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CFF0A"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DA2BBD" w:rsidRPr="008C231D">
        <w:rPr>
          <w:rFonts w:ascii="Palatino Linotype" w:eastAsia="Palatino Linotype" w:hAnsi="Palatino Linotype" w:cs="Palatino Linotype"/>
        </w:rPr>
        <w:t>nueve</w:t>
      </w:r>
      <w:r w:rsidR="00A85768" w:rsidRPr="008C231D">
        <w:rPr>
          <w:rFonts w:ascii="Palatino Linotype" w:eastAsia="Palatino Linotype" w:hAnsi="Palatino Linotype" w:cs="Palatino Linotype"/>
        </w:rPr>
        <w:t xml:space="preserve"> de noviembre </w:t>
      </w:r>
      <w:r w:rsidRPr="008C231D">
        <w:rPr>
          <w:rFonts w:ascii="Palatino Linotype" w:eastAsia="Palatino Linotype" w:hAnsi="Palatino Linotype" w:cs="Palatino Linotype"/>
        </w:rPr>
        <w:t xml:space="preserve">de dos mil veintidós. </w:t>
      </w:r>
    </w:p>
    <w:p w14:paraId="59A102B1" w14:textId="3BDCA679"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b/>
        </w:rPr>
        <w:t>VISTO</w:t>
      </w:r>
      <w:r w:rsidRPr="008C231D">
        <w:rPr>
          <w:rFonts w:ascii="Palatino Linotype" w:eastAsia="Palatino Linotype" w:hAnsi="Palatino Linotype" w:cs="Palatino Linotype"/>
        </w:rPr>
        <w:t xml:space="preserve"> el expediente formado con motivo del recurso de revisión </w:t>
      </w:r>
      <w:r w:rsidRPr="008C231D">
        <w:rPr>
          <w:rFonts w:ascii="Palatino Linotype" w:eastAsia="Palatino Linotype" w:hAnsi="Palatino Linotype" w:cs="Palatino Linotype"/>
          <w:b/>
        </w:rPr>
        <w:t>12439/INFOEM/IP/RR/2022</w:t>
      </w:r>
      <w:r w:rsidRPr="008C231D">
        <w:rPr>
          <w:rFonts w:ascii="Palatino Linotype" w:eastAsia="Palatino Linotype" w:hAnsi="Palatino Linotype" w:cs="Palatino Linotype"/>
        </w:rPr>
        <w:t xml:space="preserve">, interpuesto por </w:t>
      </w:r>
      <w:r w:rsidR="00BE10F0">
        <w:rPr>
          <w:rFonts w:ascii="Palatino Linotype" w:eastAsia="Palatino Linotype" w:hAnsi="Palatino Linotype" w:cs="Palatino Linotype"/>
          <w:b/>
        </w:rPr>
        <w:t>XXXXXXX XXXXXX XXXXX</w:t>
      </w:r>
      <w:r w:rsidRPr="008C231D">
        <w:rPr>
          <w:rFonts w:ascii="Palatino Linotype" w:eastAsia="Palatino Linotype" w:hAnsi="Palatino Linotype" w:cs="Palatino Linotype"/>
          <w:b/>
        </w:rPr>
        <w:t>,</w:t>
      </w:r>
      <w:r w:rsidRPr="008C231D">
        <w:rPr>
          <w:rFonts w:ascii="Palatino Linotype" w:eastAsia="Palatino Linotype" w:hAnsi="Palatino Linotype" w:cs="Palatino Linotype"/>
        </w:rPr>
        <w:t xml:space="preserve"> en lo sucesivo</w:t>
      </w:r>
      <w:r w:rsidRPr="008C231D">
        <w:rPr>
          <w:rFonts w:ascii="Palatino Linotype" w:eastAsia="Palatino Linotype" w:hAnsi="Palatino Linotype" w:cs="Palatino Linotype"/>
          <w:b/>
        </w:rPr>
        <w:t xml:space="preserve"> </w:t>
      </w:r>
      <w:r w:rsidRPr="008C231D">
        <w:rPr>
          <w:rFonts w:ascii="Palatino Linotype" w:eastAsia="Palatino Linotype" w:hAnsi="Palatino Linotype" w:cs="Palatino Linotype"/>
        </w:rPr>
        <w:t xml:space="preserve">la parte </w:t>
      </w:r>
      <w:r w:rsidRPr="008C231D">
        <w:rPr>
          <w:rFonts w:ascii="Palatino Linotype" w:eastAsia="Palatino Linotype" w:hAnsi="Palatino Linotype" w:cs="Palatino Linotype"/>
          <w:b/>
        </w:rPr>
        <w:t>Recurrente,</w:t>
      </w:r>
      <w:r w:rsidRPr="008C231D">
        <w:rPr>
          <w:rFonts w:ascii="Palatino Linotype" w:eastAsia="Palatino Linotype" w:hAnsi="Palatino Linotype" w:cs="Palatino Linotype"/>
        </w:rPr>
        <w:t xml:space="preserve"> en contra de la respuesta a su solicitud por parte del </w:t>
      </w:r>
      <w:r w:rsidRPr="008C231D">
        <w:rPr>
          <w:rFonts w:ascii="Palatino Linotype" w:eastAsia="Palatino Linotype" w:hAnsi="Palatino Linotype" w:cs="Palatino Linotype"/>
          <w:b/>
        </w:rPr>
        <w:t xml:space="preserve">Universidad Tecnológica de Nezahualcóyotl, </w:t>
      </w:r>
      <w:r w:rsidRPr="008C231D">
        <w:rPr>
          <w:rFonts w:ascii="Palatino Linotype" w:eastAsia="Palatino Linotype" w:hAnsi="Palatino Linotype" w:cs="Palatino Linotype"/>
        </w:rPr>
        <w:t xml:space="preserve">en lo sucesivo el </w:t>
      </w:r>
      <w:r w:rsidRPr="008C231D">
        <w:rPr>
          <w:rFonts w:ascii="Palatino Linotype" w:eastAsia="Palatino Linotype" w:hAnsi="Palatino Linotype" w:cs="Palatino Linotype"/>
          <w:b/>
        </w:rPr>
        <w:t xml:space="preserve">Sujeto Obligado, </w:t>
      </w:r>
      <w:r w:rsidRPr="008C231D">
        <w:rPr>
          <w:rFonts w:ascii="Palatino Linotype" w:eastAsia="Palatino Linotype" w:hAnsi="Palatino Linotype" w:cs="Palatino Linotype"/>
        </w:rPr>
        <w:t xml:space="preserve">se procede a dictar la presente resolución con base en los siguientes: </w:t>
      </w:r>
    </w:p>
    <w:p w14:paraId="10F114E6" w14:textId="77777777" w:rsidR="00915741" w:rsidRPr="008C231D" w:rsidRDefault="00306B9C">
      <w:pPr>
        <w:spacing w:before="240" w:after="240" w:line="360" w:lineRule="auto"/>
        <w:jc w:val="center"/>
        <w:rPr>
          <w:rFonts w:ascii="Palatino Linotype" w:eastAsia="Palatino Linotype" w:hAnsi="Palatino Linotype" w:cs="Palatino Linotype"/>
          <w:b/>
        </w:rPr>
      </w:pPr>
      <w:r w:rsidRPr="008C231D">
        <w:rPr>
          <w:rFonts w:ascii="Palatino Linotype" w:eastAsia="Palatino Linotype" w:hAnsi="Palatino Linotype" w:cs="Palatino Linotype"/>
          <w:b/>
        </w:rPr>
        <w:t>I. A N T E C E D E N T E S</w:t>
      </w:r>
    </w:p>
    <w:p w14:paraId="0BBB71CE"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b/>
        </w:rPr>
        <w:t>1. Solicitud de acceso a la información.</w:t>
      </w:r>
      <w:r w:rsidRPr="008C231D">
        <w:rPr>
          <w:rFonts w:ascii="Palatino Linotype" w:eastAsia="Palatino Linotype" w:hAnsi="Palatino Linotype" w:cs="Palatino Linotype"/>
        </w:rPr>
        <w:t xml:space="preserve"> Con fecha </w:t>
      </w:r>
      <w:r w:rsidRPr="008C231D">
        <w:rPr>
          <w:rFonts w:ascii="Palatino Linotype" w:eastAsia="Palatino Linotype" w:hAnsi="Palatino Linotype" w:cs="Palatino Linotype"/>
          <w:b/>
        </w:rPr>
        <w:t>veintitrés de junio de dos mil veintidós,</w:t>
      </w:r>
      <w:r w:rsidRPr="008C231D">
        <w:rPr>
          <w:rFonts w:ascii="Palatino Linotype" w:eastAsia="Palatino Linotype" w:hAnsi="Palatino Linotype" w:cs="Palatino Linotype"/>
        </w:rPr>
        <w:t xml:space="preserve"> la parte </w:t>
      </w:r>
      <w:r w:rsidRPr="008C231D">
        <w:rPr>
          <w:rFonts w:ascii="Palatino Linotype" w:eastAsia="Palatino Linotype" w:hAnsi="Palatino Linotype" w:cs="Palatino Linotype"/>
          <w:b/>
        </w:rPr>
        <w:t xml:space="preserve">Recurrente </w:t>
      </w:r>
      <w:r w:rsidRPr="008C231D">
        <w:rPr>
          <w:rFonts w:ascii="Palatino Linotype" w:eastAsia="Palatino Linotype" w:hAnsi="Palatino Linotype" w:cs="Palatino Linotype"/>
        </w:rPr>
        <w:t xml:space="preserve">presentó, través del Sistema de Acceso a la Información Mexiquense, en lo subsecuente el </w:t>
      </w:r>
      <w:r w:rsidRPr="008C231D">
        <w:rPr>
          <w:rFonts w:ascii="Palatino Linotype" w:eastAsia="Palatino Linotype" w:hAnsi="Palatino Linotype" w:cs="Palatino Linotype"/>
          <w:b/>
        </w:rPr>
        <w:t>SAIMEX,</w:t>
      </w:r>
      <w:r w:rsidRPr="008C231D">
        <w:rPr>
          <w:rFonts w:ascii="Palatino Linotype" w:eastAsia="Palatino Linotype" w:hAnsi="Palatino Linotype" w:cs="Palatino Linotype"/>
        </w:rPr>
        <w:t xml:space="preserve"> ante el </w:t>
      </w:r>
      <w:r w:rsidRPr="008C231D">
        <w:rPr>
          <w:rFonts w:ascii="Palatino Linotype" w:eastAsia="Palatino Linotype" w:hAnsi="Palatino Linotype" w:cs="Palatino Linotype"/>
          <w:b/>
        </w:rPr>
        <w:t>Sujeto Obligado</w:t>
      </w:r>
      <w:r w:rsidRPr="008C231D">
        <w:rPr>
          <w:rFonts w:ascii="Palatino Linotype" w:eastAsia="Palatino Linotype" w:hAnsi="Palatino Linotype" w:cs="Palatino Linotype"/>
        </w:rPr>
        <w:t>, la solicitud de acceso a la información pública, a la que se le asignó el número</w:t>
      </w:r>
      <w:r w:rsidRPr="008C231D">
        <w:rPr>
          <w:rFonts w:ascii="Palatino Linotype" w:eastAsia="Palatino Linotype" w:hAnsi="Palatino Linotype" w:cs="Palatino Linotype"/>
          <w:b/>
        </w:rPr>
        <w:t xml:space="preserve"> 00064/UTNEZA/IP/2022, </w:t>
      </w:r>
      <w:r w:rsidRPr="008C231D">
        <w:rPr>
          <w:rFonts w:ascii="Palatino Linotype" w:eastAsia="Palatino Linotype" w:hAnsi="Palatino Linotype" w:cs="Palatino Linotype"/>
        </w:rPr>
        <w:t xml:space="preserve">mediante la cual requirió la información siguiente: </w:t>
      </w:r>
    </w:p>
    <w:p w14:paraId="3109B2CB" w14:textId="77777777" w:rsidR="00915741" w:rsidRPr="008C231D" w:rsidRDefault="00306B9C">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8C231D">
        <w:rPr>
          <w:rFonts w:ascii="Palatino Linotype" w:eastAsia="Palatino Linotype" w:hAnsi="Palatino Linotype" w:cs="Palatino Linotype"/>
          <w:i/>
          <w:sz w:val="22"/>
          <w:szCs w:val="22"/>
        </w:rPr>
        <w:t xml:space="preserve">“se solicita al jefe de la </w:t>
      </w:r>
      <w:proofErr w:type="spellStart"/>
      <w:r w:rsidRPr="008C231D">
        <w:rPr>
          <w:rFonts w:ascii="Palatino Linotype" w:eastAsia="Palatino Linotype" w:hAnsi="Palatino Linotype" w:cs="Palatino Linotype"/>
          <w:i/>
          <w:sz w:val="22"/>
          <w:szCs w:val="22"/>
        </w:rPr>
        <w:t>subdireccion</w:t>
      </w:r>
      <w:proofErr w:type="spellEnd"/>
      <w:r w:rsidRPr="008C231D">
        <w:rPr>
          <w:rFonts w:ascii="Palatino Linotype" w:eastAsia="Palatino Linotype" w:hAnsi="Palatino Linotype" w:cs="Palatino Linotype"/>
          <w:i/>
          <w:sz w:val="22"/>
          <w:szCs w:val="22"/>
        </w:rPr>
        <w:t xml:space="preserve"> de servicios administrativos, a </w:t>
      </w:r>
      <w:proofErr w:type="spellStart"/>
      <w:r w:rsidRPr="008C231D">
        <w:rPr>
          <w:rFonts w:ascii="Palatino Linotype" w:eastAsia="Palatino Linotype" w:hAnsi="Palatino Linotype" w:cs="Palatino Linotype"/>
          <w:i/>
          <w:sz w:val="22"/>
          <w:szCs w:val="22"/>
        </w:rPr>
        <w:t>traves</w:t>
      </w:r>
      <w:proofErr w:type="spellEnd"/>
      <w:r w:rsidRPr="008C231D">
        <w:rPr>
          <w:rFonts w:ascii="Palatino Linotype" w:eastAsia="Palatino Linotype" w:hAnsi="Palatino Linotype" w:cs="Palatino Linotype"/>
          <w:i/>
          <w:sz w:val="22"/>
          <w:szCs w:val="22"/>
        </w:rPr>
        <w:t xml:space="preserve"> de oficio, el horario de alimentos de la secretaria la </w:t>
      </w:r>
      <w:proofErr w:type="spellStart"/>
      <w:r w:rsidRPr="008C231D">
        <w:rPr>
          <w:rFonts w:ascii="Palatino Linotype" w:eastAsia="Palatino Linotype" w:hAnsi="Palatino Linotype" w:cs="Palatino Linotype"/>
          <w:i/>
          <w:sz w:val="22"/>
          <w:szCs w:val="22"/>
        </w:rPr>
        <w:t>sra.</w:t>
      </w:r>
      <w:proofErr w:type="spellEnd"/>
      <w:r w:rsidRPr="008C231D">
        <w:rPr>
          <w:rFonts w:ascii="Palatino Linotype" w:eastAsia="Palatino Linotype" w:hAnsi="Palatino Linotype" w:cs="Palatino Linotype"/>
          <w:i/>
          <w:sz w:val="22"/>
          <w:szCs w:val="22"/>
        </w:rPr>
        <w:t xml:space="preserve"> norma </w:t>
      </w:r>
      <w:proofErr w:type="spellStart"/>
      <w:r w:rsidRPr="008C231D">
        <w:rPr>
          <w:rFonts w:ascii="Palatino Linotype" w:eastAsia="Palatino Linotype" w:hAnsi="Palatino Linotype" w:cs="Palatino Linotype"/>
          <w:i/>
          <w:sz w:val="22"/>
          <w:szCs w:val="22"/>
        </w:rPr>
        <w:t>angelica</w:t>
      </w:r>
      <w:proofErr w:type="spellEnd"/>
      <w:r w:rsidRPr="008C231D">
        <w:rPr>
          <w:rFonts w:ascii="Palatino Linotype" w:eastAsia="Palatino Linotype" w:hAnsi="Palatino Linotype" w:cs="Palatino Linotype"/>
          <w:i/>
          <w:sz w:val="22"/>
          <w:szCs w:val="22"/>
        </w:rPr>
        <w:t xml:space="preserve"> </w:t>
      </w:r>
      <w:proofErr w:type="spellStart"/>
      <w:r w:rsidRPr="008C231D">
        <w:rPr>
          <w:rFonts w:ascii="Palatino Linotype" w:eastAsia="Palatino Linotype" w:hAnsi="Palatino Linotype" w:cs="Palatino Linotype"/>
          <w:i/>
          <w:sz w:val="22"/>
          <w:szCs w:val="22"/>
        </w:rPr>
        <w:t>anaya</w:t>
      </w:r>
      <w:proofErr w:type="spellEnd"/>
      <w:r w:rsidRPr="008C231D">
        <w:rPr>
          <w:rFonts w:ascii="Palatino Linotype" w:eastAsia="Palatino Linotype" w:hAnsi="Palatino Linotype" w:cs="Palatino Linotype"/>
          <w:i/>
          <w:sz w:val="22"/>
          <w:szCs w:val="22"/>
        </w:rPr>
        <w:t xml:space="preserve"> bermejo, debido a que se le </w:t>
      </w:r>
      <w:proofErr w:type="spellStart"/>
      <w:r w:rsidRPr="008C231D">
        <w:rPr>
          <w:rFonts w:ascii="Palatino Linotype" w:eastAsia="Palatino Linotype" w:hAnsi="Palatino Linotype" w:cs="Palatino Linotype"/>
          <w:i/>
          <w:sz w:val="22"/>
          <w:szCs w:val="22"/>
        </w:rPr>
        <w:t>a</w:t>
      </w:r>
      <w:proofErr w:type="spellEnd"/>
      <w:r w:rsidRPr="008C231D">
        <w:rPr>
          <w:rFonts w:ascii="Palatino Linotype" w:eastAsia="Palatino Linotype" w:hAnsi="Palatino Linotype" w:cs="Palatino Linotype"/>
          <w:i/>
          <w:sz w:val="22"/>
          <w:szCs w:val="22"/>
        </w:rPr>
        <w:t xml:space="preserve"> observado tomando </w:t>
      </w:r>
      <w:proofErr w:type="spellStart"/>
      <w:r w:rsidRPr="008C231D">
        <w:rPr>
          <w:rFonts w:ascii="Palatino Linotype" w:eastAsia="Palatino Linotype" w:hAnsi="Palatino Linotype" w:cs="Palatino Linotype"/>
          <w:i/>
          <w:sz w:val="22"/>
          <w:szCs w:val="22"/>
        </w:rPr>
        <w:t>mas</w:t>
      </w:r>
      <w:proofErr w:type="spellEnd"/>
      <w:r w:rsidRPr="008C231D">
        <w:rPr>
          <w:rFonts w:ascii="Palatino Linotype" w:eastAsia="Palatino Linotype" w:hAnsi="Palatino Linotype" w:cs="Palatino Linotype"/>
          <w:i/>
          <w:sz w:val="22"/>
          <w:szCs w:val="22"/>
        </w:rPr>
        <w:t xml:space="preserve"> tiempo del permitido </w:t>
      </w:r>
      <w:proofErr w:type="gramStart"/>
      <w:r w:rsidRPr="008C231D">
        <w:rPr>
          <w:rFonts w:ascii="Palatino Linotype" w:eastAsia="Palatino Linotype" w:hAnsi="Palatino Linotype" w:cs="Palatino Linotype"/>
          <w:i/>
          <w:sz w:val="22"/>
          <w:szCs w:val="22"/>
        </w:rPr>
        <w:t>( hasta</w:t>
      </w:r>
      <w:proofErr w:type="gramEnd"/>
      <w:r w:rsidRPr="008C231D">
        <w:rPr>
          <w:rFonts w:ascii="Palatino Linotype" w:eastAsia="Palatino Linotype" w:hAnsi="Palatino Linotype" w:cs="Palatino Linotype"/>
          <w:i/>
          <w:sz w:val="22"/>
          <w:szCs w:val="22"/>
        </w:rPr>
        <w:t xml:space="preserve"> tres horas de comida) para el personal administrativo, de la misma manera sea revisado por el </w:t>
      </w:r>
      <w:proofErr w:type="spellStart"/>
      <w:r w:rsidRPr="008C231D">
        <w:rPr>
          <w:rFonts w:ascii="Palatino Linotype" w:eastAsia="Palatino Linotype" w:hAnsi="Palatino Linotype" w:cs="Palatino Linotype"/>
          <w:i/>
          <w:sz w:val="22"/>
          <w:szCs w:val="22"/>
        </w:rPr>
        <w:t>organo</w:t>
      </w:r>
      <w:proofErr w:type="spellEnd"/>
      <w:r w:rsidRPr="008C231D">
        <w:rPr>
          <w:rFonts w:ascii="Palatino Linotype" w:eastAsia="Palatino Linotype" w:hAnsi="Palatino Linotype" w:cs="Palatino Linotype"/>
          <w:i/>
          <w:sz w:val="22"/>
          <w:szCs w:val="22"/>
        </w:rPr>
        <w:t xml:space="preserve"> interno de control y firmado por oficio” (sic)</w:t>
      </w:r>
    </w:p>
    <w:p w14:paraId="5C1CF01C" w14:textId="77777777" w:rsidR="00915741" w:rsidRPr="008C231D" w:rsidRDefault="00306B9C">
      <w:pPr>
        <w:spacing w:before="240" w:after="240" w:line="360" w:lineRule="auto"/>
        <w:ind w:right="900"/>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La parte </w:t>
      </w:r>
      <w:r w:rsidRPr="008C231D">
        <w:rPr>
          <w:rFonts w:ascii="Palatino Linotype" w:eastAsia="Palatino Linotype" w:hAnsi="Palatino Linotype" w:cs="Palatino Linotype"/>
          <w:b/>
        </w:rPr>
        <w:t>Recurrente</w:t>
      </w:r>
      <w:r w:rsidRPr="008C231D">
        <w:rPr>
          <w:rFonts w:ascii="Palatino Linotype" w:eastAsia="Palatino Linotype" w:hAnsi="Palatino Linotype" w:cs="Palatino Linotype"/>
        </w:rPr>
        <w:t xml:space="preserve"> no adjuntó archivos.</w:t>
      </w:r>
    </w:p>
    <w:p w14:paraId="5D343E42"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b/>
        </w:rPr>
        <w:t>Modalidad de Entrega:</w:t>
      </w:r>
      <w:r w:rsidRPr="008C231D">
        <w:rPr>
          <w:rFonts w:ascii="Palatino Linotype" w:eastAsia="Palatino Linotype" w:hAnsi="Palatino Linotype" w:cs="Palatino Linotype"/>
        </w:rPr>
        <w:t xml:space="preserve"> A través de SAIMEX.</w:t>
      </w:r>
    </w:p>
    <w:p w14:paraId="38454CE2" w14:textId="77777777" w:rsidR="00915741" w:rsidRPr="008C231D" w:rsidRDefault="00306B9C">
      <w:pPr>
        <w:spacing w:before="240" w:after="240" w:line="360" w:lineRule="auto"/>
        <w:jc w:val="both"/>
        <w:rPr>
          <w:rFonts w:ascii="Palatino Linotype" w:eastAsia="Palatino Linotype" w:hAnsi="Palatino Linotype" w:cs="Palatino Linotype"/>
          <w:b/>
        </w:rPr>
      </w:pPr>
      <w:r w:rsidRPr="008C231D">
        <w:rPr>
          <w:rFonts w:ascii="Palatino Linotype" w:eastAsia="Palatino Linotype" w:hAnsi="Palatino Linotype" w:cs="Palatino Linotype"/>
          <w:b/>
        </w:rPr>
        <w:lastRenderedPageBreak/>
        <w:t xml:space="preserve">2. Respuesta. </w:t>
      </w:r>
      <w:r w:rsidRPr="008C231D">
        <w:rPr>
          <w:rFonts w:ascii="Palatino Linotype" w:eastAsia="Palatino Linotype" w:hAnsi="Palatino Linotype" w:cs="Palatino Linotype"/>
        </w:rPr>
        <w:t xml:space="preserve">Con fecha </w:t>
      </w:r>
      <w:r w:rsidRPr="008C231D">
        <w:rPr>
          <w:rFonts w:ascii="Palatino Linotype" w:eastAsia="Palatino Linotype" w:hAnsi="Palatino Linotype" w:cs="Palatino Linotype"/>
          <w:b/>
        </w:rPr>
        <w:t>uno de julio de dos mil veintidós</w:t>
      </w:r>
      <w:r w:rsidRPr="008C231D">
        <w:rPr>
          <w:rFonts w:ascii="Palatino Linotype" w:eastAsia="Palatino Linotype" w:hAnsi="Palatino Linotype" w:cs="Palatino Linotype"/>
        </w:rPr>
        <w:t xml:space="preserve">, el </w:t>
      </w:r>
      <w:r w:rsidRPr="008C231D">
        <w:rPr>
          <w:rFonts w:ascii="Palatino Linotype" w:eastAsia="Palatino Linotype" w:hAnsi="Palatino Linotype" w:cs="Palatino Linotype"/>
          <w:b/>
        </w:rPr>
        <w:t xml:space="preserve">Sujeto Obligado </w:t>
      </w:r>
      <w:r w:rsidRPr="008C231D">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5A34AF3" w14:textId="77777777" w:rsidR="00915741" w:rsidRPr="008C231D" w:rsidRDefault="00306B9C">
      <w:pPr>
        <w:spacing w:before="240" w:after="240"/>
        <w:ind w:left="851"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i/>
          <w:sz w:val="22"/>
          <w:szCs w:val="22"/>
        </w:rPr>
        <w:t>“…después de una minuciosa en los archivos de esta Dirección le comento lo siguiente...” (sic)</w:t>
      </w:r>
    </w:p>
    <w:p w14:paraId="747F25BD" w14:textId="77777777" w:rsidR="00915741" w:rsidRPr="008C231D" w:rsidRDefault="00306B9C">
      <w:pPr>
        <w:spacing w:before="240" w:after="240" w:line="360" w:lineRule="auto"/>
        <w:ind w:right="49"/>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El </w:t>
      </w:r>
      <w:r w:rsidRPr="008C231D">
        <w:rPr>
          <w:rFonts w:ascii="Palatino Linotype" w:eastAsia="Palatino Linotype" w:hAnsi="Palatino Linotype" w:cs="Palatino Linotype"/>
          <w:b/>
        </w:rPr>
        <w:t>Sujeto Obligado</w:t>
      </w:r>
      <w:r w:rsidRPr="008C231D">
        <w:rPr>
          <w:rFonts w:ascii="Palatino Linotype" w:eastAsia="Palatino Linotype" w:hAnsi="Palatino Linotype" w:cs="Palatino Linotype"/>
        </w:rPr>
        <w:t xml:space="preserve"> adjuntó el archivo </w:t>
      </w:r>
      <w:r w:rsidRPr="008C231D">
        <w:rPr>
          <w:rFonts w:ascii="Palatino Linotype" w:eastAsia="Palatino Linotype" w:hAnsi="Palatino Linotype" w:cs="Palatino Linotype"/>
          <w:i/>
        </w:rPr>
        <w:t>“Respuesta 064 SAIMEX 2022.pdf</w:t>
      </w:r>
      <w:proofErr w:type="gramStart"/>
      <w:r w:rsidRPr="008C231D">
        <w:rPr>
          <w:rFonts w:ascii="Palatino Linotype" w:eastAsia="Palatino Linotype" w:hAnsi="Palatino Linotype" w:cs="Palatino Linotype"/>
          <w:i/>
        </w:rPr>
        <w:t xml:space="preserve">”, </w:t>
      </w:r>
      <w:r w:rsidRPr="008C231D">
        <w:rPr>
          <w:rFonts w:ascii="Palatino Linotype" w:eastAsia="Palatino Linotype" w:hAnsi="Palatino Linotype" w:cs="Palatino Linotype"/>
        </w:rPr>
        <w:t xml:space="preserve"> que</w:t>
      </w:r>
      <w:proofErr w:type="gramEnd"/>
      <w:r w:rsidRPr="008C231D">
        <w:rPr>
          <w:rFonts w:ascii="Palatino Linotype" w:eastAsia="Palatino Linotype" w:hAnsi="Palatino Linotype" w:cs="Palatino Linotype"/>
        </w:rPr>
        <w:t xml:space="preserve"> contiene el oficio número 210C0301020000L/503/2022 de fecha treinta de junio de dos mil veintidós, signado por el Director de Administración y Finanzas, mediante el cual informa que el horario de alimentos registrado en el expediente de la servidora pública referida, es el de 15:00 a 16:00, mismo que varía dependiendo las necesidades del servicio.</w:t>
      </w:r>
    </w:p>
    <w:p w14:paraId="4CD7BF37" w14:textId="77777777" w:rsidR="00915741" w:rsidRPr="008C231D" w:rsidRDefault="00306B9C">
      <w:pPr>
        <w:spacing w:before="240" w:after="240" w:line="360" w:lineRule="auto"/>
        <w:ind w:right="49"/>
        <w:jc w:val="both"/>
        <w:rPr>
          <w:rFonts w:ascii="Palatino Linotype" w:eastAsia="Palatino Linotype" w:hAnsi="Palatino Linotype" w:cs="Palatino Linotype"/>
        </w:rPr>
      </w:pPr>
      <w:r w:rsidRPr="008C231D">
        <w:rPr>
          <w:rFonts w:ascii="Palatino Linotype" w:eastAsia="Palatino Linotype" w:hAnsi="Palatino Linotype" w:cs="Palatino Linotype"/>
          <w:b/>
        </w:rPr>
        <w:t xml:space="preserve">3. Interposición del recurso de revisión. </w:t>
      </w:r>
      <w:r w:rsidRPr="008C231D">
        <w:rPr>
          <w:rFonts w:ascii="Palatino Linotype" w:eastAsia="Palatino Linotype" w:hAnsi="Palatino Linotype" w:cs="Palatino Linotype"/>
        </w:rPr>
        <w:t xml:space="preserve">Inconforme con los términos de la respuesta emitida por parte del </w:t>
      </w:r>
      <w:r w:rsidRPr="008C231D">
        <w:rPr>
          <w:rFonts w:ascii="Palatino Linotype" w:eastAsia="Palatino Linotype" w:hAnsi="Palatino Linotype" w:cs="Palatino Linotype"/>
          <w:b/>
        </w:rPr>
        <w:t>Sujeto Obligado</w:t>
      </w:r>
      <w:r w:rsidRPr="008C231D">
        <w:rPr>
          <w:rFonts w:ascii="Palatino Linotype" w:eastAsia="Palatino Linotype" w:hAnsi="Palatino Linotype" w:cs="Palatino Linotype"/>
        </w:rPr>
        <w:t xml:space="preserve">, el </w:t>
      </w:r>
      <w:r w:rsidRPr="008C231D">
        <w:rPr>
          <w:rFonts w:ascii="Palatino Linotype" w:eastAsia="Palatino Linotype" w:hAnsi="Palatino Linotype" w:cs="Palatino Linotype"/>
          <w:b/>
        </w:rPr>
        <w:t>cinco de julio de dos mil veintidós,</w:t>
      </w:r>
      <w:r w:rsidRPr="008C231D">
        <w:rPr>
          <w:rFonts w:ascii="Palatino Linotype" w:eastAsia="Palatino Linotype" w:hAnsi="Palatino Linotype" w:cs="Palatino Linotype"/>
        </w:rPr>
        <w:t xml:space="preserve"> la parte recurrente interpuso el recurso de revisión a través de </w:t>
      </w:r>
      <w:r w:rsidRPr="008C231D">
        <w:rPr>
          <w:rFonts w:ascii="Palatino Linotype" w:eastAsia="Palatino Linotype" w:hAnsi="Palatino Linotype" w:cs="Palatino Linotype"/>
          <w:b/>
        </w:rPr>
        <w:t xml:space="preserve">SAIMEX, </w:t>
      </w:r>
      <w:r w:rsidRPr="008C231D">
        <w:rPr>
          <w:rFonts w:ascii="Palatino Linotype" w:eastAsia="Palatino Linotype" w:hAnsi="Palatino Linotype" w:cs="Palatino Linotype"/>
        </w:rPr>
        <w:t>en donde se manifestó de la siguiente manera:</w:t>
      </w:r>
    </w:p>
    <w:p w14:paraId="0BCF8F0E" w14:textId="77777777" w:rsidR="00915741" w:rsidRPr="008C231D" w:rsidRDefault="00306B9C">
      <w:pPr>
        <w:tabs>
          <w:tab w:val="left" w:pos="2745"/>
        </w:tabs>
        <w:spacing w:before="240" w:after="240" w:line="360" w:lineRule="auto"/>
        <w:jc w:val="both"/>
        <w:rPr>
          <w:rFonts w:ascii="Palatino Linotype" w:eastAsia="Palatino Linotype" w:hAnsi="Palatino Linotype" w:cs="Palatino Linotype"/>
          <w:b/>
        </w:rPr>
      </w:pPr>
      <w:r w:rsidRPr="008C231D">
        <w:rPr>
          <w:rFonts w:ascii="Palatino Linotype" w:eastAsia="Palatino Linotype" w:hAnsi="Palatino Linotype" w:cs="Palatino Linotype"/>
          <w:b/>
        </w:rPr>
        <w:t xml:space="preserve">Acto impugnado: </w:t>
      </w:r>
    </w:p>
    <w:p w14:paraId="34AFB90B" w14:textId="77777777" w:rsidR="00915741" w:rsidRPr="008C231D" w:rsidRDefault="00306B9C">
      <w:pPr>
        <w:tabs>
          <w:tab w:val="left" w:pos="2745"/>
        </w:tabs>
        <w:ind w:left="851"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i/>
          <w:sz w:val="22"/>
          <w:szCs w:val="22"/>
        </w:rPr>
        <w:t>“</w:t>
      </w:r>
      <w:proofErr w:type="gramStart"/>
      <w:r w:rsidRPr="008C231D">
        <w:rPr>
          <w:rFonts w:ascii="Palatino Linotype" w:eastAsia="Palatino Linotype" w:hAnsi="Palatino Linotype" w:cs="Palatino Linotype"/>
          <w:i/>
          <w:sz w:val="22"/>
          <w:szCs w:val="22"/>
        </w:rPr>
        <w:t xml:space="preserve">El horario es de 15:00 a 16:00, estamos de acuerdo, pero la queja es que se tarda 3 hasta 4 </w:t>
      </w:r>
      <w:proofErr w:type="spellStart"/>
      <w:r w:rsidRPr="008C231D">
        <w:rPr>
          <w:rFonts w:ascii="Palatino Linotype" w:eastAsia="Palatino Linotype" w:hAnsi="Palatino Linotype" w:cs="Palatino Linotype"/>
          <w:i/>
          <w:sz w:val="22"/>
          <w:szCs w:val="22"/>
        </w:rPr>
        <w:t>hrs</w:t>
      </w:r>
      <w:proofErr w:type="spellEnd"/>
      <w:r w:rsidRPr="008C231D">
        <w:rPr>
          <w:rFonts w:ascii="Palatino Linotype" w:eastAsia="Palatino Linotype" w:hAnsi="Palatino Linotype" w:cs="Palatino Linotype"/>
          <w:i/>
          <w:sz w:val="22"/>
          <w:szCs w:val="22"/>
        </w:rPr>
        <w:t xml:space="preserve"> para tomar sus alimentos!</w:t>
      </w:r>
      <w:proofErr w:type="gramEnd"/>
      <w:r w:rsidRPr="008C231D">
        <w:rPr>
          <w:rFonts w:ascii="Palatino Linotype" w:eastAsia="Palatino Linotype" w:hAnsi="Palatino Linotype" w:cs="Palatino Linotype"/>
          <w:i/>
          <w:sz w:val="22"/>
          <w:szCs w:val="22"/>
        </w:rPr>
        <w:t xml:space="preserve"> la respuesta dice que hay una variación por sus actividades, que actividades tiene la servidora </w:t>
      </w:r>
      <w:proofErr w:type="spellStart"/>
      <w:r w:rsidRPr="008C231D">
        <w:rPr>
          <w:rFonts w:ascii="Palatino Linotype" w:eastAsia="Palatino Linotype" w:hAnsi="Palatino Linotype" w:cs="Palatino Linotype"/>
          <w:i/>
          <w:sz w:val="22"/>
          <w:szCs w:val="22"/>
        </w:rPr>
        <w:t>publica</w:t>
      </w:r>
      <w:proofErr w:type="spellEnd"/>
      <w:r w:rsidRPr="008C231D">
        <w:rPr>
          <w:rFonts w:ascii="Palatino Linotype" w:eastAsia="Palatino Linotype" w:hAnsi="Palatino Linotype" w:cs="Palatino Linotype"/>
          <w:i/>
          <w:sz w:val="22"/>
          <w:szCs w:val="22"/>
        </w:rPr>
        <w:t xml:space="preserve"> para tardarse 3 o 4 horas en los alimentos. es necesario sea revisado estos actos, que se dan en el personal </w:t>
      </w:r>
      <w:proofErr w:type="spellStart"/>
      <w:r w:rsidRPr="008C231D">
        <w:rPr>
          <w:rFonts w:ascii="Palatino Linotype" w:eastAsia="Palatino Linotype" w:hAnsi="Palatino Linotype" w:cs="Palatino Linotype"/>
          <w:i/>
          <w:sz w:val="22"/>
          <w:szCs w:val="22"/>
        </w:rPr>
        <w:t>mas</w:t>
      </w:r>
      <w:proofErr w:type="spellEnd"/>
      <w:r w:rsidRPr="008C231D">
        <w:rPr>
          <w:rFonts w:ascii="Palatino Linotype" w:eastAsia="Palatino Linotype" w:hAnsi="Palatino Linotype" w:cs="Palatino Linotype"/>
          <w:i/>
          <w:sz w:val="22"/>
          <w:szCs w:val="22"/>
        </w:rPr>
        <w:t xml:space="preserve"> cercano al subdirector de servicios administrativos, que el </w:t>
      </w:r>
      <w:proofErr w:type="spellStart"/>
      <w:r w:rsidRPr="008C231D">
        <w:rPr>
          <w:rFonts w:ascii="Palatino Linotype" w:eastAsia="Palatino Linotype" w:hAnsi="Palatino Linotype" w:cs="Palatino Linotype"/>
          <w:i/>
          <w:sz w:val="22"/>
          <w:szCs w:val="22"/>
        </w:rPr>
        <w:t>Organo</w:t>
      </w:r>
      <w:proofErr w:type="spellEnd"/>
      <w:r w:rsidRPr="008C231D">
        <w:rPr>
          <w:rFonts w:ascii="Palatino Linotype" w:eastAsia="Palatino Linotype" w:hAnsi="Palatino Linotype" w:cs="Palatino Linotype"/>
          <w:i/>
          <w:sz w:val="22"/>
          <w:szCs w:val="22"/>
        </w:rPr>
        <w:t xml:space="preserve"> Interno de control solicite las actividades mediante oficio a las </w:t>
      </w:r>
      <w:proofErr w:type="spellStart"/>
      <w:r w:rsidRPr="008C231D">
        <w:rPr>
          <w:rFonts w:ascii="Palatino Linotype" w:eastAsia="Palatino Linotype" w:hAnsi="Palatino Linotype" w:cs="Palatino Linotype"/>
          <w:i/>
          <w:sz w:val="22"/>
          <w:szCs w:val="22"/>
        </w:rPr>
        <w:t>subdireccion</w:t>
      </w:r>
      <w:proofErr w:type="spellEnd"/>
      <w:r w:rsidRPr="008C231D">
        <w:rPr>
          <w:rFonts w:ascii="Palatino Linotype" w:eastAsia="Palatino Linotype" w:hAnsi="Palatino Linotype" w:cs="Palatino Linotype"/>
          <w:i/>
          <w:sz w:val="22"/>
          <w:szCs w:val="22"/>
        </w:rPr>
        <w:t xml:space="preserve"> servicios administrativos, para que sea justificado el lugar al que asiste la servidora </w:t>
      </w:r>
      <w:proofErr w:type="spellStart"/>
      <w:r w:rsidRPr="008C231D">
        <w:rPr>
          <w:rFonts w:ascii="Palatino Linotype" w:eastAsia="Palatino Linotype" w:hAnsi="Palatino Linotype" w:cs="Palatino Linotype"/>
          <w:i/>
          <w:sz w:val="22"/>
          <w:szCs w:val="22"/>
        </w:rPr>
        <w:t>publica</w:t>
      </w:r>
      <w:proofErr w:type="spellEnd"/>
      <w:r w:rsidRPr="008C231D">
        <w:rPr>
          <w:rFonts w:ascii="Palatino Linotype" w:eastAsia="Palatino Linotype" w:hAnsi="Palatino Linotype" w:cs="Palatino Linotype"/>
          <w:i/>
          <w:sz w:val="22"/>
          <w:szCs w:val="22"/>
        </w:rPr>
        <w:t xml:space="preserve"> Norma Angelica Anaya Bermejo.” (sic)</w:t>
      </w:r>
    </w:p>
    <w:p w14:paraId="545AB43C" w14:textId="77777777" w:rsidR="00915741" w:rsidRPr="008C231D" w:rsidRDefault="00915741">
      <w:pPr>
        <w:spacing w:line="360" w:lineRule="auto"/>
        <w:jc w:val="both"/>
        <w:rPr>
          <w:rFonts w:ascii="Palatino Linotype" w:eastAsia="Palatino Linotype" w:hAnsi="Palatino Linotype" w:cs="Palatino Linotype"/>
          <w:b/>
        </w:rPr>
      </w:pPr>
    </w:p>
    <w:p w14:paraId="36C14873" w14:textId="77777777" w:rsidR="00915741" w:rsidRPr="008C231D" w:rsidRDefault="00306B9C">
      <w:pPr>
        <w:spacing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b/>
        </w:rPr>
        <w:lastRenderedPageBreak/>
        <w:t>Y Razones o motivos de inconformidad</w:t>
      </w:r>
      <w:r w:rsidRPr="008C231D">
        <w:rPr>
          <w:rFonts w:ascii="Palatino Linotype" w:eastAsia="Palatino Linotype" w:hAnsi="Palatino Linotype" w:cs="Palatino Linotype"/>
        </w:rPr>
        <w:t>:</w:t>
      </w:r>
    </w:p>
    <w:p w14:paraId="300537C6" w14:textId="77777777" w:rsidR="00915741" w:rsidRPr="008C231D" w:rsidRDefault="00306B9C">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8C231D">
        <w:rPr>
          <w:rFonts w:ascii="Palatino Linotype" w:eastAsia="Palatino Linotype" w:hAnsi="Palatino Linotype" w:cs="Palatino Linotype"/>
          <w:i/>
          <w:sz w:val="22"/>
          <w:szCs w:val="22"/>
        </w:rPr>
        <w:t xml:space="preserve"> “</w:t>
      </w:r>
      <w:proofErr w:type="gramStart"/>
      <w:r w:rsidRPr="008C231D">
        <w:rPr>
          <w:rFonts w:ascii="Palatino Linotype" w:eastAsia="Palatino Linotype" w:hAnsi="Palatino Linotype" w:cs="Palatino Linotype"/>
          <w:i/>
          <w:sz w:val="22"/>
          <w:szCs w:val="22"/>
        </w:rPr>
        <w:t xml:space="preserve">Se tarda 3 o 4 horas, y lo justifican que son necesidades del servicio, que justifique sus salidas con oficio de </w:t>
      </w:r>
      <w:proofErr w:type="spellStart"/>
      <w:r w:rsidRPr="008C231D">
        <w:rPr>
          <w:rFonts w:ascii="Palatino Linotype" w:eastAsia="Palatino Linotype" w:hAnsi="Palatino Linotype" w:cs="Palatino Linotype"/>
          <w:i/>
          <w:sz w:val="22"/>
          <w:szCs w:val="22"/>
        </w:rPr>
        <w:t>comision</w:t>
      </w:r>
      <w:proofErr w:type="spellEnd"/>
      <w:r w:rsidRPr="008C231D">
        <w:rPr>
          <w:rFonts w:ascii="Palatino Linotype" w:eastAsia="Palatino Linotype" w:hAnsi="Palatino Linotype" w:cs="Palatino Linotype"/>
          <w:i/>
          <w:sz w:val="22"/>
          <w:szCs w:val="22"/>
        </w:rPr>
        <w:t>?</w:t>
      </w:r>
      <w:proofErr w:type="gramEnd"/>
      <w:r w:rsidRPr="008C231D">
        <w:rPr>
          <w:rFonts w:ascii="Palatino Linotype" w:eastAsia="Palatino Linotype" w:hAnsi="Palatino Linotype" w:cs="Palatino Linotype"/>
          <w:i/>
          <w:sz w:val="22"/>
          <w:szCs w:val="22"/>
        </w:rPr>
        <w:t>” (sic)</w:t>
      </w:r>
    </w:p>
    <w:p w14:paraId="53397228" w14:textId="77777777" w:rsidR="00915741" w:rsidRPr="008C231D" w:rsidRDefault="00306B9C">
      <w:pPr>
        <w:spacing w:before="240" w:after="240" w:line="360" w:lineRule="auto"/>
        <w:ind w:right="51"/>
        <w:jc w:val="both"/>
        <w:rPr>
          <w:rFonts w:ascii="Palatino Linotype" w:eastAsia="Palatino Linotype" w:hAnsi="Palatino Linotype" w:cs="Palatino Linotype"/>
        </w:rPr>
      </w:pPr>
      <w:r w:rsidRPr="008C231D">
        <w:rPr>
          <w:rFonts w:ascii="Palatino Linotype" w:eastAsia="Palatino Linotype" w:hAnsi="Palatino Linotype" w:cs="Palatino Linotype"/>
          <w:b/>
        </w:rPr>
        <w:t xml:space="preserve">Anexos: </w:t>
      </w:r>
      <w:r w:rsidRPr="008C231D">
        <w:rPr>
          <w:rFonts w:ascii="Palatino Linotype" w:eastAsia="Palatino Linotype" w:hAnsi="Palatino Linotype" w:cs="Palatino Linotype"/>
        </w:rPr>
        <w:t xml:space="preserve">La parte </w:t>
      </w:r>
      <w:r w:rsidRPr="008C231D">
        <w:rPr>
          <w:rFonts w:ascii="Palatino Linotype" w:eastAsia="Palatino Linotype" w:hAnsi="Palatino Linotype" w:cs="Palatino Linotype"/>
          <w:b/>
        </w:rPr>
        <w:t>Recurrente</w:t>
      </w:r>
      <w:r w:rsidRPr="008C231D">
        <w:rPr>
          <w:rFonts w:ascii="Palatino Linotype" w:eastAsia="Palatino Linotype" w:hAnsi="Palatino Linotype" w:cs="Palatino Linotype"/>
        </w:rPr>
        <w:t xml:space="preserve"> adjuntó el archivo “</w:t>
      </w:r>
      <w:proofErr w:type="spellStart"/>
      <w:r w:rsidRPr="008C231D">
        <w:rPr>
          <w:rFonts w:ascii="Palatino Linotype" w:eastAsia="Palatino Linotype" w:hAnsi="Palatino Linotype" w:cs="Palatino Linotype"/>
          <w:i/>
        </w:rPr>
        <w:t>Solicitu</w:t>
      </w:r>
      <w:proofErr w:type="spellEnd"/>
      <w:r w:rsidRPr="008C231D">
        <w:rPr>
          <w:rFonts w:ascii="Palatino Linotype" w:eastAsia="Palatino Linotype" w:hAnsi="Palatino Linotype" w:cs="Palatino Linotype"/>
          <w:i/>
        </w:rPr>
        <w:t xml:space="preserve"> 67 SAIMEX.pdf</w:t>
      </w:r>
      <w:r w:rsidRPr="008C231D">
        <w:rPr>
          <w:rFonts w:ascii="Palatino Linotype" w:eastAsia="Palatino Linotype" w:hAnsi="Palatino Linotype" w:cs="Palatino Linotype"/>
        </w:rPr>
        <w:t xml:space="preserve">”, mediante el cual el </w:t>
      </w:r>
      <w:r w:rsidRPr="008C231D">
        <w:rPr>
          <w:rFonts w:ascii="Palatino Linotype" w:eastAsia="Palatino Linotype" w:hAnsi="Palatino Linotype" w:cs="Palatino Linotype"/>
          <w:b/>
        </w:rPr>
        <w:t>Sujeto Obligado</w:t>
      </w:r>
      <w:r w:rsidRPr="008C231D">
        <w:rPr>
          <w:rFonts w:ascii="Palatino Linotype" w:eastAsia="Palatino Linotype" w:hAnsi="Palatino Linotype" w:cs="Palatino Linotype"/>
        </w:rPr>
        <w:t xml:space="preserve"> atendió la solicitud.</w:t>
      </w:r>
    </w:p>
    <w:p w14:paraId="5DDD5075" w14:textId="77777777" w:rsidR="00915741" w:rsidRPr="008C231D" w:rsidRDefault="00306B9C">
      <w:pPr>
        <w:spacing w:before="240" w:after="240" w:line="360" w:lineRule="auto"/>
        <w:ind w:right="51"/>
        <w:jc w:val="both"/>
        <w:rPr>
          <w:rFonts w:ascii="Palatino Linotype" w:eastAsia="Palatino Linotype" w:hAnsi="Palatino Linotype" w:cs="Palatino Linotype"/>
        </w:rPr>
      </w:pPr>
      <w:r w:rsidRPr="008C231D">
        <w:rPr>
          <w:rFonts w:ascii="Palatino Linotype" w:eastAsia="Palatino Linotype" w:hAnsi="Palatino Linotype" w:cs="Palatino Linotype"/>
          <w:b/>
        </w:rPr>
        <w:t xml:space="preserve">4. Turno. </w:t>
      </w:r>
      <w:r w:rsidRPr="008C231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C231D">
        <w:rPr>
          <w:rFonts w:ascii="Palatino Linotype" w:eastAsia="Palatino Linotype" w:hAnsi="Palatino Linotype" w:cs="Palatino Linotype"/>
          <w:b/>
        </w:rPr>
        <w:t xml:space="preserve">Guadalupe Ramírez Peña, </w:t>
      </w:r>
      <w:r w:rsidRPr="008C231D">
        <w:rPr>
          <w:rFonts w:ascii="Palatino Linotype" w:eastAsia="Palatino Linotype" w:hAnsi="Palatino Linotype" w:cs="Palatino Linotype"/>
        </w:rPr>
        <w:t xml:space="preserve">a efecto de que analizara sobre su admisión o su </w:t>
      </w:r>
      <w:proofErr w:type="spellStart"/>
      <w:r w:rsidRPr="008C231D">
        <w:rPr>
          <w:rFonts w:ascii="Palatino Linotype" w:eastAsia="Palatino Linotype" w:hAnsi="Palatino Linotype" w:cs="Palatino Linotype"/>
        </w:rPr>
        <w:t>desechamiento</w:t>
      </w:r>
      <w:proofErr w:type="spellEnd"/>
      <w:r w:rsidRPr="008C231D">
        <w:rPr>
          <w:rFonts w:ascii="Palatino Linotype" w:eastAsia="Palatino Linotype" w:hAnsi="Palatino Linotype" w:cs="Palatino Linotype"/>
        </w:rPr>
        <w:t>.</w:t>
      </w:r>
    </w:p>
    <w:p w14:paraId="0E646FE0"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b/>
        </w:rPr>
        <w:t>5. Admisión del Recurso de revisión.</w:t>
      </w:r>
      <w:r w:rsidRPr="008C231D">
        <w:rPr>
          <w:rFonts w:ascii="Palatino Linotype" w:eastAsia="Palatino Linotype" w:hAnsi="Palatino Linotype" w:cs="Palatino Linotype"/>
        </w:rPr>
        <w:t xml:space="preserve"> Con fecha</w:t>
      </w:r>
      <w:r w:rsidRPr="008C231D">
        <w:rPr>
          <w:rFonts w:ascii="Palatino Linotype" w:eastAsia="Palatino Linotype" w:hAnsi="Palatino Linotype" w:cs="Palatino Linotype"/>
          <w:b/>
        </w:rPr>
        <w:t xml:space="preserve"> ocho de julio de dos mil veintidós, </w:t>
      </w:r>
      <w:r w:rsidRPr="008C231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C231D">
        <w:rPr>
          <w:rFonts w:ascii="Palatino Linotype" w:eastAsia="Palatino Linotype" w:hAnsi="Palatino Linotype" w:cs="Palatino Linotype"/>
          <w:b/>
        </w:rPr>
        <w:t xml:space="preserve">Sujeto Obligado </w:t>
      </w:r>
      <w:r w:rsidRPr="008C231D">
        <w:rPr>
          <w:rFonts w:ascii="Palatino Linotype" w:eastAsia="Palatino Linotype" w:hAnsi="Palatino Linotype" w:cs="Palatino Linotype"/>
        </w:rPr>
        <w:t>presentara su informe justificado.</w:t>
      </w:r>
    </w:p>
    <w:p w14:paraId="3E248FE9"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b/>
        </w:rPr>
        <w:t>6. Manifestaciones</w:t>
      </w:r>
      <w:r w:rsidRPr="008C231D">
        <w:rPr>
          <w:rFonts w:ascii="Palatino Linotype" w:eastAsia="Palatino Linotype" w:hAnsi="Palatino Linotype" w:cs="Palatino Linotype"/>
        </w:rPr>
        <w:t xml:space="preserve">. De las constancias que obran en el expediente electrónico del SAIMEX se desprende que el </w:t>
      </w:r>
      <w:r w:rsidRPr="008C231D">
        <w:rPr>
          <w:rFonts w:ascii="Palatino Linotype" w:eastAsia="Palatino Linotype" w:hAnsi="Palatino Linotype" w:cs="Palatino Linotype"/>
          <w:b/>
        </w:rPr>
        <w:t>Sujeto Obligado</w:t>
      </w:r>
      <w:r w:rsidRPr="008C231D">
        <w:rPr>
          <w:rFonts w:ascii="Palatino Linotype" w:eastAsia="Palatino Linotype" w:hAnsi="Palatino Linotype" w:cs="Palatino Linotype"/>
        </w:rPr>
        <w:t xml:space="preserve"> no rindió su informe justificado, del mismo modo el ahora </w:t>
      </w:r>
      <w:r w:rsidRPr="008C231D">
        <w:rPr>
          <w:rFonts w:ascii="Palatino Linotype" w:eastAsia="Palatino Linotype" w:hAnsi="Palatino Linotype" w:cs="Palatino Linotype"/>
          <w:b/>
        </w:rPr>
        <w:t>Recurrente</w:t>
      </w:r>
      <w:r w:rsidRPr="008C231D">
        <w:rPr>
          <w:rFonts w:ascii="Palatino Linotype" w:eastAsia="Palatino Linotype" w:hAnsi="Palatino Linotype" w:cs="Palatino Linotype"/>
        </w:rPr>
        <w:t xml:space="preserve"> omitió realizar manifestaciones, como se observa a continuación:</w:t>
      </w:r>
    </w:p>
    <w:p w14:paraId="1BB1A594" w14:textId="77777777" w:rsidR="00915741" w:rsidRPr="008C231D" w:rsidRDefault="00306B9C">
      <w:pPr>
        <w:spacing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noProof/>
          <w:lang w:val="es-MX"/>
        </w:rPr>
        <w:lastRenderedPageBreak/>
        <w:drawing>
          <wp:inline distT="0" distB="0" distL="0" distR="0" wp14:anchorId="4E0A7001" wp14:editId="0177B959">
            <wp:extent cx="5610225" cy="1581150"/>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0225" cy="1581150"/>
                    </a:xfrm>
                    <a:prstGeom prst="rect">
                      <a:avLst/>
                    </a:prstGeom>
                    <a:ln/>
                  </pic:spPr>
                </pic:pic>
              </a:graphicData>
            </a:graphic>
          </wp:inline>
        </w:drawing>
      </w:r>
    </w:p>
    <w:p w14:paraId="0929E0A2"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b/>
        </w:rPr>
        <w:t xml:space="preserve">7. Cierre de instrucción. </w:t>
      </w:r>
      <w:r w:rsidRPr="008C231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8C231D">
        <w:rPr>
          <w:rFonts w:ascii="Palatino Linotype" w:eastAsia="Palatino Linotype" w:hAnsi="Palatino Linotype" w:cs="Palatino Linotype"/>
          <w:b/>
        </w:rPr>
        <w:t>diez de agosto de dos mil veintidós</w:t>
      </w:r>
      <w:r w:rsidRPr="008C231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69B4D5E" w14:textId="77777777" w:rsidR="00C0670D" w:rsidRPr="008C231D" w:rsidRDefault="00C0670D" w:rsidP="00C0670D">
      <w:pPr>
        <w:spacing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b/>
        </w:rPr>
        <w:t>8. Ampliación del término para resolver</w:t>
      </w:r>
      <w:r w:rsidRPr="008C231D">
        <w:rPr>
          <w:rFonts w:ascii="Palatino Linotype" w:eastAsia="Palatino Linotype" w:hAnsi="Palatino Linotype" w:cs="Palatino Linotype"/>
        </w:rPr>
        <w:t xml:space="preserve">. En fecha </w:t>
      </w:r>
      <w:r w:rsidRPr="008C231D">
        <w:rPr>
          <w:rFonts w:ascii="Palatino Linotype" w:eastAsia="Palatino Linotype" w:hAnsi="Palatino Linotype" w:cs="Palatino Linotype"/>
          <w:b/>
        </w:rPr>
        <w:t>veinte de octubre de dos mil veintidós</w:t>
      </w:r>
      <w:r w:rsidRPr="008C231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EF3D090" w14:textId="77777777" w:rsidR="00C0670D" w:rsidRPr="008C231D" w:rsidRDefault="00C0670D" w:rsidP="00C0670D">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A94EDBE" w14:textId="77777777" w:rsidR="00C0670D" w:rsidRPr="008C231D" w:rsidRDefault="00C0670D" w:rsidP="00C0670D">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E716C2A" w14:textId="77777777" w:rsidR="00C0670D" w:rsidRPr="008C231D" w:rsidRDefault="00C0670D" w:rsidP="00C0670D">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4F4E72" w14:textId="77777777" w:rsidR="00C0670D" w:rsidRPr="008C231D" w:rsidRDefault="00C0670D" w:rsidP="00C0670D">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D810DF4" w14:textId="77777777" w:rsidR="00C0670D" w:rsidRPr="008C231D" w:rsidRDefault="00C0670D" w:rsidP="00C0670D">
      <w:pPr>
        <w:spacing w:before="240" w:after="240" w:line="360" w:lineRule="auto"/>
        <w:jc w:val="both"/>
        <w:rPr>
          <w:rFonts w:ascii="Palatino Linotype" w:eastAsia="Palatino Linotype" w:hAnsi="Palatino Linotype" w:cs="Palatino Linotype"/>
          <w:strike/>
        </w:rPr>
      </w:pPr>
      <w:r w:rsidRPr="008C231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B013FBA" w14:textId="77777777" w:rsidR="00C0670D" w:rsidRPr="008C231D" w:rsidRDefault="00C0670D" w:rsidP="00C0670D">
      <w:pPr>
        <w:numPr>
          <w:ilvl w:val="0"/>
          <w:numId w:val="2"/>
        </w:num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9F6B4FC" w14:textId="77777777" w:rsidR="00C0670D" w:rsidRPr="008C231D" w:rsidRDefault="00C0670D" w:rsidP="00C0670D">
      <w:pPr>
        <w:numPr>
          <w:ilvl w:val="0"/>
          <w:numId w:val="2"/>
        </w:num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Actividad Procesal del interesado. Acciones u omisiones del interesado.</w:t>
      </w:r>
    </w:p>
    <w:p w14:paraId="688A0F65" w14:textId="77777777" w:rsidR="00C0670D" w:rsidRPr="008C231D" w:rsidRDefault="00C0670D" w:rsidP="00C0670D">
      <w:pPr>
        <w:numPr>
          <w:ilvl w:val="0"/>
          <w:numId w:val="2"/>
        </w:num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137D8C75" w14:textId="77777777" w:rsidR="00C0670D" w:rsidRPr="008C231D" w:rsidRDefault="00C0670D" w:rsidP="00C0670D">
      <w:pPr>
        <w:spacing w:before="240" w:after="240" w:line="360" w:lineRule="auto"/>
        <w:ind w:left="567"/>
        <w:jc w:val="both"/>
        <w:rPr>
          <w:rFonts w:ascii="Palatino Linotype" w:eastAsia="Palatino Linotype" w:hAnsi="Palatino Linotype" w:cs="Palatino Linotype"/>
        </w:rPr>
      </w:pPr>
      <w:r w:rsidRPr="008C231D">
        <w:rPr>
          <w:rFonts w:ascii="Palatino Linotype" w:eastAsia="Palatino Linotype" w:hAnsi="Palatino Linotype" w:cs="Palatino Linotype"/>
        </w:rPr>
        <w:t>d) La afectación generada en la situación jurídica de la persona involucrada en el proceso: Violación a sus derechos humanos.</w:t>
      </w:r>
    </w:p>
    <w:p w14:paraId="52821428" w14:textId="77777777" w:rsidR="00C0670D" w:rsidRPr="008C231D" w:rsidRDefault="00C0670D" w:rsidP="00C0670D">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4C3073" w14:textId="77777777" w:rsidR="00C0670D" w:rsidRPr="008C231D" w:rsidRDefault="00C0670D" w:rsidP="00C0670D">
      <w:pPr>
        <w:spacing w:before="240" w:after="240" w:line="360" w:lineRule="auto"/>
        <w:jc w:val="both"/>
        <w:rPr>
          <w:rFonts w:ascii="Palatino Linotype" w:eastAsia="Palatino Linotype" w:hAnsi="Palatino Linotype" w:cs="Palatino Linotype"/>
          <w:b/>
        </w:rPr>
      </w:pPr>
      <w:r w:rsidRPr="008C231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8C231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C231D">
        <w:rPr>
          <w:rFonts w:ascii="Palatino Linotype" w:eastAsia="Palatino Linotype" w:hAnsi="Palatino Linotype" w:cs="Palatino Linotype"/>
        </w:rPr>
        <w:t>, visible en la Gaceta del Seminario Judicial de la Federación con el registro digital 205635.</w:t>
      </w:r>
    </w:p>
    <w:p w14:paraId="7CEB9785" w14:textId="77777777" w:rsidR="00C0670D" w:rsidRPr="008C231D" w:rsidRDefault="00C0670D" w:rsidP="00C0670D">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8C231D">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20D129" w14:textId="77777777" w:rsidR="00C0670D" w:rsidRPr="008C231D" w:rsidRDefault="00C0670D" w:rsidP="00C0670D">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704F7E0" w14:textId="77777777" w:rsidR="00C0670D" w:rsidRPr="008C231D" w:rsidRDefault="00C0670D" w:rsidP="00C0670D">
      <w:pPr>
        <w:spacing w:before="240" w:after="240"/>
        <w:ind w:left="851" w:right="902"/>
        <w:jc w:val="both"/>
        <w:rPr>
          <w:rFonts w:ascii="Palatino Linotype" w:eastAsia="Palatino Linotype" w:hAnsi="Palatino Linotype" w:cs="Palatino Linotype"/>
          <w:sz w:val="22"/>
          <w:szCs w:val="22"/>
        </w:rPr>
      </w:pPr>
      <w:r w:rsidRPr="008C231D">
        <w:rPr>
          <w:rFonts w:ascii="Palatino Linotype" w:eastAsia="Palatino Linotype" w:hAnsi="Palatino Linotype" w:cs="Palatino Linotype"/>
        </w:rPr>
        <w:t xml:space="preserve"> </w:t>
      </w:r>
      <w:r w:rsidRPr="008C231D">
        <w:rPr>
          <w:rFonts w:ascii="Palatino Linotype" w:eastAsia="Palatino Linotype" w:hAnsi="Palatino Linotype" w:cs="Palatino Linotype"/>
          <w:i/>
          <w:sz w:val="22"/>
          <w:szCs w:val="22"/>
        </w:rPr>
        <w:t>“</w:t>
      </w:r>
      <w:r w:rsidRPr="008C231D">
        <w:rPr>
          <w:rFonts w:ascii="Palatino Linotype" w:eastAsia="Palatino Linotype" w:hAnsi="Palatino Linotype" w:cs="Palatino Linotype"/>
          <w:b/>
          <w:i/>
          <w:sz w:val="22"/>
          <w:szCs w:val="22"/>
        </w:rPr>
        <w:t>PLAZO RAZONABLE PARA RESOLVER. DIMENSIÓN Y EFECTOS DE ESTE CONCEPTO CUANDO SE ADUCE EXCESIVA CARGA DE TRABAJO</w:t>
      </w:r>
      <w:r w:rsidRPr="008C231D">
        <w:rPr>
          <w:rFonts w:ascii="Palatino Linotype" w:eastAsia="Palatino Linotype" w:hAnsi="Palatino Linotype" w:cs="Palatino Linotype"/>
          <w:i/>
          <w:sz w:val="22"/>
          <w:szCs w:val="22"/>
        </w:rPr>
        <w:t>.”</w:t>
      </w:r>
      <w:r w:rsidRPr="008C231D">
        <w:rPr>
          <w:rFonts w:ascii="Palatino Linotype" w:eastAsia="Palatino Linotype" w:hAnsi="Palatino Linotype" w:cs="Palatino Linotype"/>
          <w:sz w:val="22"/>
          <w:szCs w:val="22"/>
        </w:rPr>
        <w:t xml:space="preserve"> consultable en el Seminario Judicial de la Federación y su gaceta, con el registro digital 2002351.</w:t>
      </w:r>
    </w:p>
    <w:p w14:paraId="64A60817" w14:textId="77777777" w:rsidR="00C0670D" w:rsidRPr="008C231D" w:rsidRDefault="00C0670D" w:rsidP="00C0670D">
      <w:pPr>
        <w:spacing w:before="240" w:after="240"/>
        <w:ind w:left="851" w:right="902"/>
        <w:jc w:val="both"/>
        <w:rPr>
          <w:rFonts w:ascii="Palatino Linotype" w:eastAsia="Palatino Linotype" w:hAnsi="Palatino Linotype" w:cs="Palatino Linotype"/>
          <w:sz w:val="22"/>
          <w:szCs w:val="22"/>
        </w:rPr>
      </w:pPr>
      <w:r w:rsidRPr="008C231D">
        <w:rPr>
          <w:rFonts w:ascii="Palatino Linotype" w:eastAsia="Palatino Linotype" w:hAnsi="Palatino Linotype" w:cs="Palatino Linotype"/>
          <w:i/>
          <w:sz w:val="22"/>
          <w:szCs w:val="22"/>
        </w:rPr>
        <w:t>“</w:t>
      </w:r>
      <w:r w:rsidRPr="008C231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C231D">
        <w:rPr>
          <w:rFonts w:ascii="Palatino Linotype" w:eastAsia="Palatino Linotype" w:hAnsi="Palatino Linotype" w:cs="Palatino Linotype"/>
          <w:i/>
          <w:sz w:val="22"/>
          <w:szCs w:val="22"/>
        </w:rPr>
        <w:t>.”</w:t>
      </w:r>
      <w:r w:rsidRPr="008C231D">
        <w:rPr>
          <w:rFonts w:ascii="Palatino Linotype" w:eastAsia="Palatino Linotype" w:hAnsi="Palatino Linotype" w:cs="Palatino Linotype"/>
          <w:sz w:val="22"/>
          <w:szCs w:val="22"/>
        </w:rPr>
        <w:t>, visible en el Seminario Judicial de la Federación y su gaceta, con el registro digital 2002350.</w:t>
      </w:r>
    </w:p>
    <w:p w14:paraId="509151A4" w14:textId="77777777" w:rsidR="00C0670D" w:rsidRPr="008C231D" w:rsidRDefault="00C0670D" w:rsidP="00C0670D">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1F5E102"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0C6012B" w14:textId="77777777" w:rsidR="00C0670D" w:rsidRPr="008C231D" w:rsidRDefault="00C0670D">
      <w:pPr>
        <w:spacing w:before="240" w:after="240" w:line="360" w:lineRule="auto"/>
        <w:jc w:val="both"/>
        <w:rPr>
          <w:rFonts w:ascii="Palatino Linotype" w:eastAsia="Palatino Linotype" w:hAnsi="Palatino Linotype" w:cs="Palatino Linotype"/>
        </w:rPr>
      </w:pPr>
    </w:p>
    <w:p w14:paraId="4727706A" w14:textId="77777777" w:rsidR="00915741" w:rsidRPr="008C231D" w:rsidRDefault="00306B9C">
      <w:pPr>
        <w:widowControl w:val="0"/>
        <w:spacing w:line="360" w:lineRule="auto"/>
        <w:jc w:val="center"/>
        <w:rPr>
          <w:rFonts w:ascii="Palatino Linotype" w:eastAsia="Palatino Linotype" w:hAnsi="Palatino Linotype" w:cs="Palatino Linotype"/>
          <w:b/>
        </w:rPr>
      </w:pPr>
      <w:r w:rsidRPr="008C231D">
        <w:rPr>
          <w:rFonts w:ascii="Palatino Linotype" w:eastAsia="Palatino Linotype" w:hAnsi="Palatino Linotype" w:cs="Palatino Linotype"/>
          <w:b/>
        </w:rPr>
        <w:lastRenderedPageBreak/>
        <w:t>II. C O N S I D E R A N D O S</w:t>
      </w:r>
    </w:p>
    <w:p w14:paraId="4F106946" w14:textId="77777777" w:rsidR="00915741" w:rsidRPr="008C231D" w:rsidRDefault="00306B9C" w:rsidP="00C0670D">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b/>
        </w:rPr>
        <w:t>Primero. Competencia.</w:t>
      </w:r>
      <w:r w:rsidRPr="008C231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3A394C5" w14:textId="77777777" w:rsidR="00915741" w:rsidRPr="008C231D" w:rsidRDefault="00306B9C">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8C231D">
        <w:rPr>
          <w:rFonts w:ascii="Palatino Linotype" w:eastAsia="Palatino Linotype" w:hAnsi="Palatino Linotype" w:cs="Palatino Linotype"/>
          <w:b/>
        </w:rPr>
        <w:t>Segundo. Oportunidad y Procedibilidad del Recurso de Revisión</w:t>
      </w:r>
      <w:r w:rsidRPr="008C231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58F2A72"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C231D">
        <w:rPr>
          <w:rFonts w:ascii="Palatino Linotype" w:eastAsia="Palatino Linotype" w:hAnsi="Palatino Linotype" w:cs="Palatino Linotype"/>
          <w:b/>
        </w:rPr>
        <w:t xml:space="preserve">Sujeto Obligado </w:t>
      </w:r>
      <w:r w:rsidRPr="008C231D">
        <w:rPr>
          <w:rFonts w:ascii="Palatino Linotype" w:eastAsia="Palatino Linotype" w:hAnsi="Palatino Linotype" w:cs="Palatino Linotype"/>
        </w:rPr>
        <w:t xml:space="preserve">remitió la respuesta a la solicitud de información el día </w:t>
      </w:r>
      <w:r w:rsidRPr="008C231D">
        <w:rPr>
          <w:rFonts w:ascii="Palatino Linotype" w:eastAsia="Palatino Linotype" w:hAnsi="Palatino Linotype" w:cs="Palatino Linotype"/>
          <w:b/>
        </w:rPr>
        <w:t xml:space="preserve">uno de julio de dos mil veintidós, </w:t>
      </w:r>
      <w:r w:rsidRPr="008C231D">
        <w:rPr>
          <w:rFonts w:ascii="Palatino Linotype" w:eastAsia="Palatino Linotype" w:hAnsi="Palatino Linotype" w:cs="Palatino Linotype"/>
        </w:rPr>
        <w:t xml:space="preserve">mientras que el recurso de revisión interpuesto por la parte </w:t>
      </w:r>
      <w:r w:rsidRPr="008C231D">
        <w:rPr>
          <w:rFonts w:ascii="Palatino Linotype" w:eastAsia="Palatino Linotype" w:hAnsi="Palatino Linotype" w:cs="Palatino Linotype"/>
          <w:b/>
        </w:rPr>
        <w:t>Recurrente</w:t>
      </w:r>
      <w:r w:rsidRPr="008C231D">
        <w:rPr>
          <w:rFonts w:ascii="Palatino Linotype" w:eastAsia="Palatino Linotype" w:hAnsi="Palatino Linotype" w:cs="Palatino Linotype"/>
        </w:rPr>
        <w:t xml:space="preserve">, se tuvo por </w:t>
      </w:r>
      <w:r w:rsidRPr="008C231D">
        <w:rPr>
          <w:rFonts w:ascii="Palatino Linotype" w:eastAsia="Palatino Linotype" w:hAnsi="Palatino Linotype" w:cs="Palatino Linotype"/>
        </w:rPr>
        <w:lastRenderedPageBreak/>
        <w:t xml:space="preserve">presentado el día </w:t>
      </w:r>
      <w:r w:rsidRPr="008C231D">
        <w:rPr>
          <w:rFonts w:ascii="Palatino Linotype" w:eastAsia="Palatino Linotype" w:hAnsi="Palatino Linotype" w:cs="Palatino Linotype"/>
          <w:b/>
        </w:rPr>
        <w:t>cinco de julio de dos mil veintidós</w:t>
      </w:r>
      <w:r w:rsidRPr="008C231D">
        <w:rPr>
          <w:rFonts w:ascii="Palatino Linotype" w:eastAsia="Palatino Linotype" w:hAnsi="Palatino Linotype" w:cs="Palatino Linotype"/>
        </w:rPr>
        <w:t>, esto es, al segundo día hábil en que tuvo conocimiento de la respuesta impugnada.</w:t>
      </w:r>
    </w:p>
    <w:p w14:paraId="105C524D" w14:textId="77777777" w:rsidR="00915741" w:rsidRPr="008C231D" w:rsidRDefault="00306B9C">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8C231D">
        <w:rPr>
          <w:rFonts w:ascii="Palatino Linotype" w:eastAsia="Palatino Linotype" w:hAnsi="Palatino Linotype" w:cs="Palatino Linotype"/>
        </w:rPr>
        <w:t xml:space="preserve">En este sentido, al considerar la fecha en que se formuló la solicitud y la fecha en que respondió a ésta el </w:t>
      </w:r>
      <w:r w:rsidRPr="008C231D">
        <w:rPr>
          <w:rFonts w:ascii="Palatino Linotype" w:eastAsia="Palatino Linotype" w:hAnsi="Palatino Linotype" w:cs="Palatino Linotype"/>
          <w:b/>
        </w:rPr>
        <w:t>Sujeto Obligado</w:t>
      </w:r>
      <w:r w:rsidRPr="008C231D">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40CE0341"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A5F9FB1" w14:textId="77777777" w:rsidR="00915741" w:rsidRPr="008C231D" w:rsidRDefault="00306B9C">
      <w:pPr>
        <w:spacing w:before="240" w:after="240" w:line="360" w:lineRule="auto"/>
        <w:jc w:val="both"/>
      </w:pPr>
      <w:r w:rsidRPr="008C231D">
        <w:rPr>
          <w:rFonts w:ascii="Palatino Linotype" w:eastAsia="Palatino Linotype" w:hAnsi="Palatino Linotype" w:cs="Palatino Linotype"/>
          <w:b/>
        </w:rPr>
        <w:t>Tercero. Análisis de las causales de improcedencia y sobreseimiento del recurso de revisión.</w:t>
      </w:r>
      <w:r w:rsidRPr="008C231D">
        <w:t xml:space="preserve"> </w:t>
      </w:r>
      <w:r w:rsidRPr="008C231D">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17E234B" w14:textId="77777777" w:rsidR="00915741" w:rsidRPr="008C231D" w:rsidRDefault="00306B9C">
      <w:pPr>
        <w:spacing w:before="240" w:after="240" w:line="360" w:lineRule="auto"/>
        <w:jc w:val="both"/>
      </w:pPr>
      <w:r w:rsidRPr="008C231D">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w:t>
      </w:r>
      <w:r w:rsidRPr="008C231D">
        <w:rPr>
          <w:rFonts w:ascii="Palatino Linotype" w:eastAsia="Palatino Linotype" w:hAnsi="Palatino Linotype" w:cs="Palatino Linotype"/>
        </w:rPr>
        <w:lastRenderedPageBreak/>
        <w:t>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5F1CAD7D" w14:textId="77777777" w:rsidR="00915741" w:rsidRPr="008C231D" w:rsidRDefault="00306B9C">
      <w:pPr>
        <w:spacing w:before="240" w:after="240" w:line="360" w:lineRule="auto"/>
        <w:ind w:right="51"/>
        <w:jc w:val="both"/>
        <w:rPr>
          <w:rFonts w:ascii="Palatino Linotype" w:eastAsia="Palatino Linotype" w:hAnsi="Palatino Linotype" w:cs="Palatino Linotype"/>
        </w:rPr>
      </w:pPr>
      <w:r w:rsidRPr="008C231D">
        <w:rPr>
          <w:rFonts w:ascii="Palatino Linotype" w:eastAsia="Palatino Linotype" w:hAnsi="Palatino Linotype" w:cs="Palatino Linotype"/>
        </w:rPr>
        <w:t>De manera preliminar en el caso concreto conviene analizar si se actualiza alguna de las causales de sobreseimiento del recurso de revisión.</w:t>
      </w:r>
    </w:p>
    <w:p w14:paraId="6A388BEB" w14:textId="77777777" w:rsidR="00915741" w:rsidRPr="008C231D" w:rsidRDefault="00306B9C">
      <w:pPr>
        <w:spacing w:before="240" w:after="240" w:line="360" w:lineRule="auto"/>
        <w:ind w:right="51"/>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Así, del análisis de la solicitud de información motivo del recurso de revisión que ahora se resuelve, se advierte que la persona solicitante requirió al </w:t>
      </w:r>
      <w:r w:rsidRPr="008C231D">
        <w:rPr>
          <w:rFonts w:ascii="Palatino Linotype" w:eastAsia="Palatino Linotype" w:hAnsi="Palatino Linotype" w:cs="Palatino Linotype"/>
          <w:b/>
        </w:rPr>
        <w:t>Sujeto Obligado</w:t>
      </w:r>
      <w:r w:rsidRPr="008C231D">
        <w:rPr>
          <w:rFonts w:ascii="Palatino Linotype" w:eastAsia="Palatino Linotype" w:hAnsi="Palatino Linotype" w:cs="Palatino Linotype"/>
        </w:rPr>
        <w:t xml:space="preserve"> le proporcione información consistente en lo siguiente:</w:t>
      </w:r>
    </w:p>
    <w:p w14:paraId="165CB72D" w14:textId="77777777" w:rsidR="00915741" w:rsidRPr="008C231D" w:rsidRDefault="00306B9C">
      <w:pPr>
        <w:spacing w:before="240"/>
        <w:ind w:left="851" w:right="900"/>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i/>
          <w:sz w:val="22"/>
          <w:szCs w:val="22"/>
        </w:rPr>
        <w:t xml:space="preserve">“se solicita al jefe de la </w:t>
      </w:r>
      <w:proofErr w:type="spellStart"/>
      <w:r w:rsidRPr="008C231D">
        <w:rPr>
          <w:rFonts w:ascii="Palatino Linotype" w:eastAsia="Palatino Linotype" w:hAnsi="Palatino Linotype" w:cs="Palatino Linotype"/>
          <w:i/>
          <w:sz w:val="22"/>
          <w:szCs w:val="22"/>
        </w:rPr>
        <w:t>subdireccion</w:t>
      </w:r>
      <w:proofErr w:type="spellEnd"/>
      <w:r w:rsidRPr="008C231D">
        <w:rPr>
          <w:rFonts w:ascii="Palatino Linotype" w:eastAsia="Palatino Linotype" w:hAnsi="Palatino Linotype" w:cs="Palatino Linotype"/>
          <w:i/>
          <w:sz w:val="22"/>
          <w:szCs w:val="22"/>
        </w:rPr>
        <w:t xml:space="preserve"> de servicios administrativos, a </w:t>
      </w:r>
      <w:proofErr w:type="spellStart"/>
      <w:r w:rsidRPr="008C231D">
        <w:rPr>
          <w:rFonts w:ascii="Palatino Linotype" w:eastAsia="Palatino Linotype" w:hAnsi="Palatino Linotype" w:cs="Palatino Linotype"/>
          <w:i/>
          <w:sz w:val="22"/>
          <w:szCs w:val="22"/>
        </w:rPr>
        <w:t>traves</w:t>
      </w:r>
      <w:proofErr w:type="spellEnd"/>
      <w:r w:rsidRPr="008C231D">
        <w:rPr>
          <w:rFonts w:ascii="Palatino Linotype" w:eastAsia="Palatino Linotype" w:hAnsi="Palatino Linotype" w:cs="Palatino Linotype"/>
          <w:i/>
          <w:sz w:val="22"/>
          <w:szCs w:val="22"/>
        </w:rPr>
        <w:t xml:space="preserve"> de oficio, </w:t>
      </w:r>
      <w:r w:rsidRPr="008C231D">
        <w:rPr>
          <w:rFonts w:ascii="Palatino Linotype" w:eastAsia="Palatino Linotype" w:hAnsi="Palatino Linotype" w:cs="Palatino Linotype"/>
          <w:b/>
          <w:i/>
          <w:sz w:val="22"/>
          <w:szCs w:val="22"/>
          <w:u w:val="single"/>
        </w:rPr>
        <w:t>el horario de alimentos de la secretaria</w:t>
      </w:r>
      <w:r w:rsidRPr="008C231D">
        <w:rPr>
          <w:rFonts w:ascii="Palatino Linotype" w:eastAsia="Palatino Linotype" w:hAnsi="Palatino Linotype" w:cs="Palatino Linotype"/>
          <w:i/>
          <w:sz w:val="22"/>
          <w:szCs w:val="22"/>
        </w:rPr>
        <w:t xml:space="preserve"> la </w:t>
      </w:r>
      <w:proofErr w:type="spellStart"/>
      <w:r w:rsidRPr="008C231D">
        <w:rPr>
          <w:rFonts w:ascii="Palatino Linotype" w:eastAsia="Palatino Linotype" w:hAnsi="Palatino Linotype" w:cs="Palatino Linotype"/>
          <w:i/>
          <w:sz w:val="22"/>
          <w:szCs w:val="22"/>
        </w:rPr>
        <w:t>sra.</w:t>
      </w:r>
      <w:proofErr w:type="spellEnd"/>
      <w:r w:rsidRPr="008C231D">
        <w:rPr>
          <w:rFonts w:ascii="Palatino Linotype" w:eastAsia="Palatino Linotype" w:hAnsi="Palatino Linotype" w:cs="Palatino Linotype"/>
          <w:i/>
          <w:sz w:val="22"/>
          <w:szCs w:val="22"/>
        </w:rPr>
        <w:t xml:space="preserve"> norma </w:t>
      </w:r>
      <w:proofErr w:type="spellStart"/>
      <w:r w:rsidRPr="008C231D">
        <w:rPr>
          <w:rFonts w:ascii="Palatino Linotype" w:eastAsia="Palatino Linotype" w:hAnsi="Palatino Linotype" w:cs="Palatino Linotype"/>
          <w:i/>
          <w:sz w:val="22"/>
          <w:szCs w:val="22"/>
        </w:rPr>
        <w:t>angelica</w:t>
      </w:r>
      <w:proofErr w:type="spellEnd"/>
      <w:r w:rsidRPr="008C231D">
        <w:rPr>
          <w:rFonts w:ascii="Palatino Linotype" w:eastAsia="Palatino Linotype" w:hAnsi="Palatino Linotype" w:cs="Palatino Linotype"/>
          <w:i/>
          <w:sz w:val="22"/>
          <w:szCs w:val="22"/>
        </w:rPr>
        <w:t xml:space="preserve"> </w:t>
      </w:r>
      <w:proofErr w:type="spellStart"/>
      <w:r w:rsidRPr="008C231D">
        <w:rPr>
          <w:rFonts w:ascii="Palatino Linotype" w:eastAsia="Palatino Linotype" w:hAnsi="Palatino Linotype" w:cs="Palatino Linotype"/>
          <w:i/>
          <w:sz w:val="22"/>
          <w:szCs w:val="22"/>
        </w:rPr>
        <w:t>anaya</w:t>
      </w:r>
      <w:proofErr w:type="spellEnd"/>
      <w:r w:rsidRPr="008C231D">
        <w:rPr>
          <w:rFonts w:ascii="Palatino Linotype" w:eastAsia="Palatino Linotype" w:hAnsi="Palatino Linotype" w:cs="Palatino Linotype"/>
          <w:i/>
          <w:sz w:val="22"/>
          <w:szCs w:val="22"/>
        </w:rPr>
        <w:t xml:space="preserve"> bermejo, debido a que se le </w:t>
      </w:r>
      <w:proofErr w:type="spellStart"/>
      <w:r w:rsidRPr="008C231D">
        <w:rPr>
          <w:rFonts w:ascii="Palatino Linotype" w:eastAsia="Palatino Linotype" w:hAnsi="Palatino Linotype" w:cs="Palatino Linotype"/>
          <w:i/>
          <w:sz w:val="22"/>
          <w:szCs w:val="22"/>
        </w:rPr>
        <w:t>a</w:t>
      </w:r>
      <w:proofErr w:type="spellEnd"/>
      <w:r w:rsidRPr="008C231D">
        <w:rPr>
          <w:rFonts w:ascii="Palatino Linotype" w:eastAsia="Palatino Linotype" w:hAnsi="Palatino Linotype" w:cs="Palatino Linotype"/>
          <w:i/>
          <w:sz w:val="22"/>
          <w:szCs w:val="22"/>
        </w:rPr>
        <w:t xml:space="preserve"> observado tomando </w:t>
      </w:r>
      <w:proofErr w:type="spellStart"/>
      <w:r w:rsidRPr="008C231D">
        <w:rPr>
          <w:rFonts w:ascii="Palatino Linotype" w:eastAsia="Palatino Linotype" w:hAnsi="Palatino Linotype" w:cs="Palatino Linotype"/>
          <w:i/>
          <w:sz w:val="22"/>
          <w:szCs w:val="22"/>
        </w:rPr>
        <w:t>mas</w:t>
      </w:r>
      <w:proofErr w:type="spellEnd"/>
      <w:r w:rsidRPr="008C231D">
        <w:rPr>
          <w:rFonts w:ascii="Palatino Linotype" w:eastAsia="Palatino Linotype" w:hAnsi="Palatino Linotype" w:cs="Palatino Linotype"/>
          <w:i/>
          <w:sz w:val="22"/>
          <w:szCs w:val="22"/>
        </w:rPr>
        <w:t xml:space="preserve"> tiempo del permitido </w:t>
      </w:r>
      <w:proofErr w:type="gramStart"/>
      <w:r w:rsidRPr="008C231D">
        <w:rPr>
          <w:rFonts w:ascii="Palatino Linotype" w:eastAsia="Palatino Linotype" w:hAnsi="Palatino Linotype" w:cs="Palatino Linotype"/>
          <w:i/>
          <w:sz w:val="22"/>
          <w:szCs w:val="22"/>
        </w:rPr>
        <w:t>( hasta</w:t>
      </w:r>
      <w:proofErr w:type="gramEnd"/>
      <w:r w:rsidRPr="008C231D">
        <w:rPr>
          <w:rFonts w:ascii="Palatino Linotype" w:eastAsia="Palatino Linotype" w:hAnsi="Palatino Linotype" w:cs="Palatino Linotype"/>
          <w:i/>
          <w:sz w:val="22"/>
          <w:szCs w:val="22"/>
        </w:rPr>
        <w:t xml:space="preserve"> tres horas de comida) para el personal administrativo, de la misma manera sea revisado por el </w:t>
      </w:r>
      <w:proofErr w:type="spellStart"/>
      <w:r w:rsidRPr="008C231D">
        <w:rPr>
          <w:rFonts w:ascii="Palatino Linotype" w:eastAsia="Palatino Linotype" w:hAnsi="Palatino Linotype" w:cs="Palatino Linotype"/>
          <w:i/>
          <w:sz w:val="22"/>
          <w:szCs w:val="22"/>
        </w:rPr>
        <w:t>organo</w:t>
      </w:r>
      <w:proofErr w:type="spellEnd"/>
      <w:r w:rsidRPr="008C231D">
        <w:rPr>
          <w:rFonts w:ascii="Palatino Linotype" w:eastAsia="Palatino Linotype" w:hAnsi="Palatino Linotype" w:cs="Palatino Linotype"/>
          <w:i/>
          <w:sz w:val="22"/>
          <w:szCs w:val="22"/>
        </w:rPr>
        <w:t xml:space="preserve"> interno de control y firmado por oficio” (sic)</w:t>
      </w:r>
    </w:p>
    <w:p w14:paraId="7DEBF609" w14:textId="77777777" w:rsidR="00915741" w:rsidRPr="008C231D" w:rsidRDefault="00306B9C">
      <w:pPr>
        <w:spacing w:before="240" w:after="240" w:line="360" w:lineRule="auto"/>
        <w:ind w:right="49"/>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En respuesta, el </w:t>
      </w:r>
      <w:r w:rsidRPr="008C231D">
        <w:rPr>
          <w:rFonts w:ascii="Palatino Linotype" w:eastAsia="Palatino Linotype" w:hAnsi="Palatino Linotype" w:cs="Palatino Linotype"/>
          <w:b/>
        </w:rPr>
        <w:t xml:space="preserve">Sujeto Obligado, </w:t>
      </w:r>
      <w:r w:rsidRPr="008C231D">
        <w:rPr>
          <w:rFonts w:ascii="Palatino Linotype" w:eastAsia="Palatino Linotype" w:hAnsi="Palatino Linotype" w:cs="Palatino Linotype"/>
        </w:rPr>
        <w:t xml:space="preserve">a través de la Unidad de Transparencia hizo del conocimiento de la persona solicitante el pronunciamiento vertido por el </w:t>
      </w:r>
      <w:proofErr w:type="gramStart"/>
      <w:r w:rsidRPr="008C231D">
        <w:rPr>
          <w:rFonts w:ascii="Palatino Linotype" w:eastAsia="Palatino Linotype" w:hAnsi="Palatino Linotype" w:cs="Palatino Linotype"/>
        </w:rPr>
        <w:t>Director</w:t>
      </w:r>
      <w:proofErr w:type="gramEnd"/>
      <w:r w:rsidRPr="008C231D">
        <w:rPr>
          <w:rFonts w:ascii="Palatino Linotype" w:eastAsia="Palatino Linotype" w:hAnsi="Palatino Linotype" w:cs="Palatino Linotype"/>
        </w:rPr>
        <w:t xml:space="preserve"> de Administración y Finanzas, mediante el cual informa que el horario de alimentos registrado en el expediente de la servidora pública referida, es el de 15:00 a 16:00, mismo que varía dependiendo las necesidades del servicio.</w:t>
      </w:r>
    </w:p>
    <w:p w14:paraId="604ABC6A" w14:textId="77777777" w:rsidR="00915741" w:rsidRPr="008C231D" w:rsidRDefault="00306B9C">
      <w:pPr>
        <w:spacing w:before="240" w:after="240" w:line="360" w:lineRule="auto"/>
        <w:ind w:right="49"/>
        <w:jc w:val="both"/>
        <w:rPr>
          <w:rFonts w:ascii="Palatino Linotype" w:eastAsia="Palatino Linotype" w:hAnsi="Palatino Linotype" w:cs="Palatino Linotype"/>
        </w:rPr>
      </w:pPr>
      <w:r w:rsidRPr="008C231D">
        <w:rPr>
          <w:rFonts w:ascii="Palatino Linotype" w:eastAsia="Palatino Linotype" w:hAnsi="Palatino Linotype" w:cs="Palatino Linotype"/>
        </w:rPr>
        <w:lastRenderedPageBreak/>
        <w:t xml:space="preserve">Sin embargo, la persona solicitante, al no estar conforme con los términos de la respuesta proporcionada por el </w:t>
      </w:r>
      <w:r w:rsidRPr="008C231D">
        <w:rPr>
          <w:rFonts w:ascii="Palatino Linotype" w:eastAsia="Palatino Linotype" w:hAnsi="Palatino Linotype" w:cs="Palatino Linotype"/>
          <w:b/>
        </w:rPr>
        <w:t xml:space="preserve">Sujeto Obligado, </w:t>
      </w:r>
      <w:r w:rsidRPr="008C231D">
        <w:rPr>
          <w:rFonts w:ascii="Palatino Linotype" w:eastAsia="Palatino Linotype" w:hAnsi="Palatino Linotype" w:cs="Palatino Linotype"/>
        </w:rPr>
        <w:t>presentó el recurso de revisión que nos ocupa, en el cual señaló como motivo de inconformidad, lo siguiente:</w:t>
      </w:r>
    </w:p>
    <w:p w14:paraId="2E2B262B" w14:textId="77777777" w:rsidR="00915741" w:rsidRPr="008C231D" w:rsidRDefault="00306B9C">
      <w:pPr>
        <w:ind w:left="851"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i/>
          <w:sz w:val="22"/>
          <w:szCs w:val="22"/>
        </w:rPr>
        <w:t>“</w:t>
      </w:r>
      <w:proofErr w:type="gramStart"/>
      <w:r w:rsidRPr="008C231D">
        <w:rPr>
          <w:rFonts w:ascii="Palatino Linotype" w:eastAsia="Palatino Linotype" w:hAnsi="Palatino Linotype" w:cs="Palatino Linotype"/>
          <w:i/>
          <w:sz w:val="22"/>
          <w:szCs w:val="22"/>
        </w:rPr>
        <w:t xml:space="preserve">Se tarda 3 o 4 horas, y lo justifican que son necesidades del servicio, </w:t>
      </w:r>
      <w:r w:rsidRPr="008C231D">
        <w:rPr>
          <w:rFonts w:ascii="Palatino Linotype" w:eastAsia="Palatino Linotype" w:hAnsi="Palatino Linotype" w:cs="Palatino Linotype"/>
          <w:b/>
          <w:i/>
          <w:sz w:val="22"/>
          <w:szCs w:val="22"/>
          <w:u w:val="single"/>
        </w:rPr>
        <w:t xml:space="preserve">que justifique sus salidas con oficio de </w:t>
      </w:r>
      <w:proofErr w:type="spellStart"/>
      <w:r w:rsidRPr="008C231D">
        <w:rPr>
          <w:rFonts w:ascii="Palatino Linotype" w:eastAsia="Palatino Linotype" w:hAnsi="Palatino Linotype" w:cs="Palatino Linotype"/>
          <w:b/>
          <w:i/>
          <w:sz w:val="22"/>
          <w:szCs w:val="22"/>
          <w:u w:val="single"/>
        </w:rPr>
        <w:t>comision</w:t>
      </w:r>
      <w:proofErr w:type="spellEnd"/>
      <w:r w:rsidRPr="008C231D">
        <w:rPr>
          <w:rFonts w:ascii="Palatino Linotype" w:eastAsia="Palatino Linotype" w:hAnsi="Palatino Linotype" w:cs="Palatino Linotype"/>
          <w:i/>
          <w:sz w:val="22"/>
          <w:szCs w:val="22"/>
        </w:rPr>
        <w:t>?</w:t>
      </w:r>
      <w:proofErr w:type="gramEnd"/>
      <w:r w:rsidRPr="008C231D">
        <w:rPr>
          <w:rFonts w:ascii="Palatino Linotype" w:eastAsia="Palatino Linotype" w:hAnsi="Palatino Linotype" w:cs="Palatino Linotype"/>
          <w:i/>
          <w:sz w:val="22"/>
          <w:szCs w:val="22"/>
        </w:rPr>
        <w:t>” (sic)</w:t>
      </w:r>
    </w:p>
    <w:p w14:paraId="48641C88"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Atentos a la inconformidad planteada resulta necesario en primer lugar, que la persona solicitante no expresó motivo de inconformidad respecto de la información remitida por el </w:t>
      </w:r>
      <w:r w:rsidRPr="008C231D">
        <w:rPr>
          <w:rFonts w:ascii="Palatino Linotype" w:eastAsia="Palatino Linotype" w:hAnsi="Palatino Linotype" w:cs="Palatino Linotype"/>
          <w:b/>
        </w:rPr>
        <w:t>Sujeto Obligado</w:t>
      </w:r>
      <w:r w:rsidRPr="008C231D">
        <w:rPr>
          <w:rFonts w:ascii="Palatino Linotype" w:eastAsia="Palatino Linotype" w:hAnsi="Palatino Linotype" w:cs="Palatino Linotype"/>
        </w:rPr>
        <w:t xml:space="preserve">, para atender la solicitud de información, por lo que la respuesta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8C231D">
        <w:rPr>
          <w:rFonts w:ascii="Palatino Linotype" w:eastAsia="Palatino Linotype" w:hAnsi="Palatino Linotype" w:cs="Palatino Linotype"/>
          <w:b/>
        </w:rPr>
        <w:t>Sujeto Obligado</w:t>
      </w:r>
      <w:r w:rsidRPr="008C231D">
        <w:rPr>
          <w:rFonts w:ascii="Palatino Linotype" w:eastAsia="Palatino Linotype" w:hAnsi="Palatino Linotype" w:cs="Palatino Linotype"/>
        </w:rPr>
        <w:t>, satisface la solicitud presentada.</w:t>
      </w:r>
    </w:p>
    <w:p w14:paraId="43A7703D"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En este orden de ideas, al no haber realizado manifestaciones de inconformidad respecto de la información remitida, no pueden producirse efectos jurídicos tendentes a revocar, confirmar o modificar el acto reclamado, ya que, en el caso concreto se infiere que la información proporcionada por el </w:t>
      </w:r>
      <w:r w:rsidRPr="008C231D">
        <w:rPr>
          <w:rFonts w:ascii="Palatino Linotype" w:eastAsia="Palatino Linotype" w:hAnsi="Palatino Linotype" w:cs="Palatino Linotype"/>
          <w:b/>
        </w:rPr>
        <w:t>Sujeto Obligado</w:t>
      </w:r>
      <w:r w:rsidRPr="008C231D">
        <w:rPr>
          <w:rFonts w:ascii="Palatino Linotype" w:eastAsia="Palatino Linotype" w:hAnsi="Palatino Linotype" w:cs="Palatino Linotype"/>
        </w:rPr>
        <w:t>, satisface la solicitud presentada.</w:t>
      </w:r>
    </w:p>
    <w:p w14:paraId="09899E0B" w14:textId="77777777" w:rsidR="00915741" w:rsidRPr="008C231D" w:rsidRDefault="00306B9C">
      <w:pPr>
        <w:spacing w:before="240" w:after="36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Lo anterior es así, debido a que cuando la parte Recurrente impugna la respuesta del </w:t>
      </w:r>
      <w:r w:rsidRPr="008C231D">
        <w:rPr>
          <w:rFonts w:ascii="Palatino Linotype" w:eastAsia="Palatino Linotype" w:hAnsi="Palatino Linotype" w:cs="Palatino Linotype"/>
          <w:b/>
        </w:rPr>
        <w:t>Sujeto Obligado</w:t>
      </w:r>
      <w:r w:rsidRPr="008C231D">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w:t>
      </w:r>
      <w:r w:rsidRPr="008C231D">
        <w:rPr>
          <w:rFonts w:ascii="Palatino Linotype" w:eastAsia="Palatino Linotype" w:hAnsi="Palatino Linotype" w:cs="Palatino Linotype"/>
        </w:rPr>
        <w:lastRenderedPageBreak/>
        <w:t>Jurisprudencial Número 3ª./J.7/91, Publicada en el Semanario Judicial de la Federación y su Gaceta bajo el número de registro 174,177, que establece lo siguiente:</w:t>
      </w:r>
    </w:p>
    <w:p w14:paraId="7F80C337" w14:textId="77777777" w:rsidR="00915741" w:rsidRPr="008C231D" w:rsidRDefault="00306B9C">
      <w:pPr>
        <w:spacing w:before="240" w:after="360"/>
        <w:ind w:left="851" w:right="900"/>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 xml:space="preserve">“REVISIÓN EN AMPARO. LOS RESOLUTIVOS NO COMBATIDOS DEBEN DECLARARSE FIRMES. </w:t>
      </w:r>
      <w:r w:rsidRPr="008C231D">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9CE102B" w14:textId="77777777" w:rsidR="00915741" w:rsidRPr="008C231D" w:rsidRDefault="00306B9C">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8C231D">
        <w:rPr>
          <w:rFonts w:ascii="Palatino Linotype" w:eastAsia="Palatino Linotype" w:hAnsi="Palatino Linotype" w:cs="Palatino Linotype"/>
        </w:rPr>
        <w:t xml:space="preserve">Consecuentemente, se insiste, ante la falta de impugnación eficaz, </w:t>
      </w:r>
      <w:r w:rsidRPr="008C231D">
        <w:rPr>
          <w:rFonts w:ascii="Palatino Linotype" w:eastAsia="Palatino Linotype" w:hAnsi="Palatino Linotype" w:cs="Palatino Linotype"/>
          <w:b/>
        </w:rPr>
        <w:t>la respuesta entregada debe declararse consentida por la persona solicitante.</w:t>
      </w:r>
    </w:p>
    <w:p w14:paraId="414EE669"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14:paraId="0AEA2B1B" w14:textId="77777777" w:rsidR="00915741" w:rsidRPr="008C231D" w:rsidRDefault="00306B9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i/>
          <w:sz w:val="22"/>
          <w:szCs w:val="22"/>
        </w:rPr>
        <w:t>“</w:t>
      </w:r>
      <w:r w:rsidRPr="008C231D">
        <w:rPr>
          <w:rFonts w:ascii="Palatino Linotype" w:eastAsia="Palatino Linotype" w:hAnsi="Palatino Linotype" w:cs="Palatino Linotype"/>
          <w:b/>
          <w:i/>
          <w:sz w:val="22"/>
          <w:szCs w:val="22"/>
        </w:rPr>
        <w:t xml:space="preserve">Actos consentidos tácitamente. Improcedencia de su análisis. </w:t>
      </w:r>
      <w:r w:rsidRPr="008C231D">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4845FEF"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75612558" w14:textId="77777777" w:rsidR="00915741" w:rsidRPr="008C231D" w:rsidRDefault="00306B9C">
      <w:pPr>
        <w:ind w:left="851" w:right="900"/>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mallCaps/>
          <w:sz w:val="22"/>
          <w:szCs w:val="22"/>
        </w:rPr>
        <w:t xml:space="preserve">“ACTOS CONSENTIDOS. SON LOS QUE NO SE IMPUGNAN MEDIANTE EL RECURSO IDÓNEO. </w:t>
      </w:r>
      <w:r w:rsidRPr="008C231D">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8C231D">
        <w:rPr>
          <w:rFonts w:ascii="Palatino Linotype" w:eastAsia="Palatino Linotype" w:hAnsi="Palatino Linotype" w:cs="Palatino Linotype"/>
          <w:i/>
          <w:sz w:val="22"/>
          <w:szCs w:val="22"/>
        </w:rPr>
        <w:t>ya que</w:t>
      </w:r>
      <w:proofErr w:type="gramEnd"/>
      <w:r w:rsidRPr="008C231D">
        <w:rPr>
          <w:rFonts w:ascii="Palatino Linotype" w:eastAsia="Palatino Linotype" w:hAnsi="Palatino Linotype" w:cs="Palatino Linotype"/>
          <w:i/>
          <w:sz w:val="22"/>
          <w:szCs w:val="22"/>
        </w:rPr>
        <w:t xml:space="preserve"> si se hizo uso de otro </w:t>
      </w:r>
      <w:r w:rsidRPr="008C231D">
        <w:rPr>
          <w:rFonts w:ascii="Palatino Linotype" w:eastAsia="Palatino Linotype" w:hAnsi="Palatino Linotype" w:cs="Palatino Linotype"/>
          <w:i/>
          <w:sz w:val="22"/>
          <w:szCs w:val="22"/>
        </w:rPr>
        <w:lastRenderedPageBreak/>
        <w:t>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AE292C9" w14:textId="77777777" w:rsidR="00915741" w:rsidRPr="008C231D" w:rsidRDefault="00915741"/>
    <w:p w14:paraId="5125FF90" w14:textId="77777777" w:rsidR="00915741" w:rsidRPr="008C231D" w:rsidRDefault="00306B9C">
      <w:pPr>
        <w:spacing w:before="240" w:after="240" w:line="360" w:lineRule="auto"/>
        <w:ind w:right="-1134"/>
        <w:jc w:val="both"/>
        <w:rPr>
          <w:rFonts w:ascii="Palatino Linotype" w:eastAsia="Palatino Linotype" w:hAnsi="Palatino Linotype" w:cs="Palatino Linotype"/>
        </w:rPr>
      </w:pPr>
      <w:r w:rsidRPr="008C231D">
        <w:rPr>
          <w:rFonts w:ascii="Palatino Linotype" w:eastAsia="Palatino Linotype" w:hAnsi="Palatino Linotype" w:cs="Palatino Linotype"/>
        </w:rPr>
        <w:t>Por otro lado, es imprescindible traer a colación el contenido los artículos 186, 191 y 192 de la Ley en cita, disponen lo siguiente:</w:t>
      </w:r>
    </w:p>
    <w:p w14:paraId="39CA0949" w14:textId="77777777" w:rsidR="00915741" w:rsidRPr="008C231D" w:rsidRDefault="00306B9C">
      <w:pPr>
        <w:spacing w:before="120" w:after="120"/>
        <w:ind w:left="851"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 xml:space="preserve">“Artículo 186. </w:t>
      </w:r>
      <w:r w:rsidRPr="008C231D">
        <w:rPr>
          <w:rFonts w:ascii="Palatino Linotype" w:eastAsia="Palatino Linotype" w:hAnsi="Palatino Linotype" w:cs="Palatino Linotype"/>
          <w:i/>
          <w:sz w:val="22"/>
          <w:szCs w:val="22"/>
        </w:rPr>
        <w:t>Las resoluciones del Instituto podrán:</w:t>
      </w:r>
    </w:p>
    <w:p w14:paraId="16D3046C"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I. Desechar o sobreseer el recurso;</w:t>
      </w:r>
    </w:p>
    <w:p w14:paraId="385D60FA"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 xml:space="preserve">II. </w:t>
      </w:r>
      <w:r w:rsidRPr="008C231D">
        <w:rPr>
          <w:rFonts w:ascii="Palatino Linotype" w:eastAsia="Palatino Linotype" w:hAnsi="Palatino Linotype" w:cs="Palatino Linotype"/>
          <w:i/>
          <w:sz w:val="22"/>
          <w:szCs w:val="22"/>
        </w:rPr>
        <w:t>Confirmar la respuesta del sujeto obligado;</w:t>
      </w:r>
    </w:p>
    <w:p w14:paraId="715E2412"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 xml:space="preserve">III. </w:t>
      </w:r>
      <w:r w:rsidRPr="008C231D">
        <w:rPr>
          <w:rFonts w:ascii="Palatino Linotype" w:eastAsia="Palatino Linotype" w:hAnsi="Palatino Linotype" w:cs="Palatino Linotype"/>
          <w:i/>
          <w:sz w:val="22"/>
          <w:szCs w:val="22"/>
        </w:rPr>
        <w:t>Revocar o modificar la respuesta del sujeto obligado; y</w:t>
      </w:r>
    </w:p>
    <w:p w14:paraId="439AAACB"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 xml:space="preserve">IV. </w:t>
      </w:r>
      <w:r w:rsidRPr="008C231D">
        <w:rPr>
          <w:rFonts w:ascii="Palatino Linotype" w:eastAsia="Palatino Linotype" w:hAnsi="Palatino Linotype" w:cs="Palatino Linotype"/>
          <w:i/>
          <w:sz w:val="22"/>
          <w:szCs w:val="22"/>
        </w:rPr>
        <w:t>Ordenar la entrega de la información…”</w:t>
      </w:r>
    </w:p>
    <w:p w14:paraId="1F970916" w14:textId="77777777" w:rsidR="00915741" w:rsidRPr="008C231D" w:rsidRDefault="00915741">
      <w:pPr>
        <w:spacing w:before="120" w:after="120"/>
        <w:ind w:left="851" w:right="902"/>
        <w:jc w:val="both"/>
        <w:rPr>
          <w:rFonts w:ascii="Palatino Linotype" w:eastAsia="Palatino Linotype" w:hAnsi="Palatino Linotype" w:cs="Palatino Linotype"/>
          <w:b/>
          <w:i/>
          <w:sz w:val="22"/>
          <w:szCs w:val="22"/>
        </w:rPr>
      </w:pPr>
    </w:p>
    <w:p w14:paraId="00445495" w14:textId="77777777" w:rsidR="00915741" w:rsidRPr="008C231D" w:rsidRDefault="00306B9C">
      <w:pPr>
        <w:spacing w:before="120" w:after="120"/>
        <w:ind w:left="851"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 xml:space="preserve">"Artículo 191. </w:t>
      </w:r>
      <w:r w:rsidRPr="008C231D">
        <w:rPr>
          <w:rFonts w:ascii="Palatino Linotype" w:eastAsia="Palatino Linotype" w:hAnsi="Palatino Linotype" w:cs="Palatino Linotype"/>
          <w:i/>
          <w:sz w:val="22"/>
          <w:szCs w:val="22"/>
        </w:rPr>
        <w:t>El recurso será desechado por improcedente cuando:</w:t>
      </w:r>
    </w:p>
    <w:p w14:paraId="586D8576" w14:textId="77777777" w:rsidR="00915741" w:rsidRPr="008C231D" w:rsidRDefault="00306B9C">
      <w:pPr>
        <w:tabs>
          <w:tab w:val="left" w:pos="1276"/>
        </w:tabs>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 xml:space="preserve">I. </w:t>
      </w:r>
      <w:r w:rsidRPr="008C231D">
        <w:rPr>
          <w:rFonts w:ascii="Palatino Linotype" w:eastAsia="Palatino Linotype" w:hAnsi="Palatino Linotype" w:cs="Palatino Linotype"/>
          <w:i/>
          <w:sz w:val="22"/>
          <w:szCs w:val="22"/>
        </w:rPr>
        <w:t>Sea extemporáneo por haber transcurrido el plazo establecido en la presente Ley, a partir de la respuesta;</w:t>
      </w:r>
    </w:p>
    <w:p w14:paraId="7CA5D595" w14:textId="77777777" w:rsidR="00915741" w:rsidRPr="008C231D" w:rsidRDefault="00306B9C">
      <w:pPr>
        <w:tabs>
          <w:tab w:val="left" w:pos="1276"/>
        </w:tabs>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 xml:space="preserve">II. </w:t>
      </w:r>
      <w:r w:rsidRPr="008C231D">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14:paraId="00FFBBEE" w14:textId="77777777" w:rsidR="00915741" w:rsidRPr="008C231D" w:rsidRDefault="00306B9C">
      <w:pPr>
        <w:tabs>
          <w:tab w:val="left" w:pos="1276"/>
        </w:tabs>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 xml:space="preserve">III. </w:t>
      </w:r>
      <w:r w:rsidRPr="008C231D">
        <w:rPr>
          <w:rFonts w:ascii="Palatino Linotype" w:eastAsia="Palatino Linotype" w:hAnsi="Palatino Linotype" w:cs="Palatino Linotype"/>
          <w:i/>
          <w:sz w:val="22"/>
          <w:szCs w:val="22"/>
        </w:rPr>
        <w:t>No actualice alguno de los supuestos previstos en la presente Ley;</w:t>
      </w:r>
    </w:p>
    <w:p w14:paraId="6DD9443E" w14:textId="77777777" w:rsidR="00915741" w:rsidRPr="008C231D" w:rsidRDefault="00306B9C">
      <w:pPr>
        <w:tabs>
          <w:tab w:val="left" w:pos="1276"/>
        </w:tabs>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 xml:space="preserve">IV. </w:t>
      </w:r>
      <w:r w:rsidRPr="008C231D">
        <w:rPr>
          <w:rFonts w:ascii="Palatino Linotype" w:eastAsia="Palatino Linotype" w:hAnsi="Palatino Linotype" w:cs="Palatino Linotype"/>
          <w:i/>
          <w:sz w:val="22"/>
          <w:szCs w:val="22"/>
        </w:rPr>
        <w:t>No se haya desahogado la prevención en los términos establecidos en la presente Ley;</w:t>
      </w:r>
    </w:p>
    <w:p w14:paraId="431BF3DD" w14:textId="77777777" w:rsidR="00915741" w:rsidRPr="008C231D" w:rsidRDefault="00306B9C">
      <w:pPr>
        <w:tabs>
          <w:tab w:val="left" w:pos="1276"/>
        </w:tabs>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 xml:space="preserve">V. </w:t>
      </w:r>
      <w:r w:rsidRPr="008C231D">
        <w:rPr>
          <w:rFonts w:ascii="Palatino Linotype" w:eastAsia="Palatino Linotype" w:hAnsi="Palatino Linotype" w:cs="Palatino Linotype"/>
          <w:i/>
          <w:sz w:val="22"/>
          <w:szCs w:val="22"/>
        </w:rPr>
        <w:t>Se impugne la veracidad de la información proporcionada</w:t>
      </w:r>
      <w:r w:rsidRPr="008C231D">
        <w:rPr>
          <w:rFonts w:ascii="Palatino Linotype" w:eastAsia="Palatino Linotype" w:hAnsi="Palatino Linotype" w:cs="Palatino Linotype"/>
          <w:b/>
          <w:i/>
          <w:sz w:val="22"/>
          <w:szCs w:val="22"/>
        </w:rPr>
        <w:t>;</w:t>
      </w:r>
    </w:p>
    <w:p w14:paraId="22673589" w14:textId="77777777" w:rsidR="00915741" w:rsidRPr="008C231D" w:rsidRDefault="00306B9C">
      <w:pPr>
        <w:tabs>
          <w:tab w:val="left" w:pos="1276"/>
        </w:tabs>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 xml:space="preserve">VI. </w:t>
      </w:r>
      <w:r w:rsidRPr="008C231D">
        <w:rPr>
          <w:rFonts w:ascii="Palatino Linotype" w:eastAsia="Palatino Linotype" w:hAnsi="Palatino Linotype" w:cs="Palatino Linotype"/>
          <w:i/>
          <w:sz w:val="22"/>
          <w:szCs w:val="22"/>
        </w:rPr>
        <w:t>Se trate de una consulta, o trámite en específico; y</w:t>
      </w:r>
    </w:p>
    <w:p w14:paraId="6C7D90D9" w14:textId="77777777" w:rsidR="00915741" w:rsidRPr="008C231D" w:rsidRDefault="00306B9C">
      <w:pPr>
        <w:tabs>
          <w:tab w:val="left" w:pos="1276"/>
        </w:tabs>
        <w:spacing w:before="120" w:after="120"/>
        <w:ind w:left="1134" w:right="902"/>
        <w:jc w:val="both"/>
        <w:rPr>
          <w:rFonts w:ascii="Palatino Linotype" w:eastAsia="Palatino Linotype" w:hAnsi="Palatino Linotype" w:cs="Palatino Linotype"/>
          <w:b/>
          <w:i/>
          <w:sz w:val="22"/>
          <w:szCs w:val="22"/>
        </w:rPr>
      </w:pPr>
      <w:r w:rsidRPr="008C231D">
        <w:rPr>
          <w:rFonts w:ascii="Palatino Linotype" w:eastAsia="Palatino Linotype" w:hAnsi="Palatino Linotype" w:cs="Palatino Linotype"/>
          <w:b/>
          <w:i/>
          <w:sz w:val="22"/>
          <w:szCs w:val="22"/>
        </w:rPr>
        <w:t>VII. El recurrente amplíe su solicitud en el recurso de revisión, únicamente respecto de los nuevos contenidos.”</w:t>
      </w:r>
    </w:p>
    <w:p w14:paraId="282ACAFF" w14:textId="77777777" w:rsidR="00915741" w:rsidRPr="008C231D" w:rsidRDefault="00915741">
      <w:pPr>
        <w:spacing w:before="120" w:after="120"/>
        <w:ind w:left="851" w:right="902"/>
        <w:jc w:val="both"/>
        <w:rPr>
          <w:rFonts w:ascii="Palatino Linotype" w:eastAsia="Palatino Linotype" w:hAnsi="Palatino Linotype" w:cs="Palatino Linotype"/>
          <w:b/>
          <w:i/>
          <w:sz w:val="22"/>
          <w:szCs w:val="22"/>
        </w:rPr>
      </w:pPr>
    </w:p>
    <w:p w14:paraId="0CBA5D59" w14:textId="77777777" w:rsidR="00915741" w:rsidRPr="008C231D" w:rsidRDefault="00306B9C">
      <w:pPr>
        <w:spacing w:before="120" w:after="120"/>
        <w:ind w:left="851"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 xml:space="preserve">“Artículo 192. </w:t>
      </w:r>
      <w:r w:rsidRPr="008C231D">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649BE876"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 xml:space="preserve">I. </w:t>
      </w:r>
      <w:r w:rsidRPr="008C231D">
        <w:rPr>
          <w:rFonts w:ascii="Palatino Linotype" w:eastAsia="Palatino Linotype" w:hAnsi="Palatino Linotype" w:cs="Palatino Linotype"/>
          <w:i/>
          <w:sz w:val="22"/>
          <w:szCs w:val="22"/>
        </w:rPr>
        <w:t>El recurrente se desista expresamente del recurso;</w:t>
      </w:r>
    </w:p>
    <w:p w14:paraId="4C31DB7F"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lastRenderedPageBreak/>
        <w:t xml:space="preserve">II. </w:t>
      </w:r>
      <w:r w:rsidRPr="008C231D">
        <w:rPr>
          <w:rFonts w:ascii="Palatino Linotype" w:eastAsia="Palatino Linotype" w:hAnsi="Palatino Linotype" w:cs="Palatino Linotype"/>
          <w:i/>
          <w:sz w:val="22"/>
          <w:szCs w:val="22"/>
        </w:rPr>
        <w:t>El recurrente fallezca o, tratándose de personas jurídicas colectivas, se disuelva;</w:t>
      </w:r>
    </w:p>
    <w:p w14:paraId="2FBE6ECE"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 xml:space="preserve">III. </w:t>
      </w:r>
      <w:r w:rsidRPr="008C231D">
        <w:rPr>
          <w:rFonts w:ascii="Palatino Linotype" w:eastAsia="Palatino Linotype" w:hAnsi="Palatino Linotype" w:cs="Palatino Linotype"/>
          <w:i/>
          <w:sz w:val="22"/>
          <w:szCs w:val="22"/>
        </w:rPr>
        <w:t>El sujeto obligado responsable del acto lo modifique o revoque de tal manera que el recurso de revisión quede sin materia;</w:t>
      </w:r>
    </w:p>
    <w:p w14:paraId="37AD9C3E" w14:textId="77777777" w:rsidR="00915741" w:rsidRPr="008C231D" w:rsidRDefault="00306B9C">
      <w:pPr>
        <w:spacing w:before="120" w:after="120"/>
        <w:ind w:left="1134" w:right="902"/>
        <w:jc w:val="both"/>
        <w:rPr>
          <w:rFonts w:ascii="Palatino Linotype" w:eastAsia="Palatino Linotype" w:hAnsi="Palatino Linotype" w:cs="Palatino Linotype"/>
          <w:b/>
          <w:i/>
          <w:sz w:val="22"/>
          <w:szCs w:val="22"/>
        </w:rPr>
      </w:pPr>
      <w:r w:rsidRPr="008C231D">
        <w:rPr>
          <w:rFonts w:ascii="Palatino Linotype" w:eastAsia="Palatino Linotype" w:hAnsi="Palatino Linotype" w:cs="Palatino Linotype"/>
          <w:b/>
          <w:i/>
          <w:sz w:val="22"/>
          <w:szCs w:val="22"/>
        </w:rPr>
        <w:t>IV. Admitido el recurso de revisión, aparezca alguna causal de improcedencia en los términos de la presente Ley; y</w:t>
      </w:r>
    </w:p>
    <w:p w14:paraId="1A4FD456" w14:textId="77777777" w:rsidR="00915741" w:rsidRPr="008C231D" w:rsidRDefault="00306B9C">
      <w:pPr>
        <w:spacing w:before="120" w:after="120"/>
        <w:ind w:left="1134" w:right="902"/>
        <w:jc w:val="both"/>
        <w:rPr>
          <w:rFonts w:ascii="Palatino Linotype" w:eastAsia="Palatino Linotype" w:hAnsi="Palatino Linotype" w:cs="Palatino Linotype"/>
          <w:sz w:val="22"/>
          <w:szCs w:val="22"/>
        </w:rPr>
      </w:pPr>
      <w:r w:rsidRPr="008C231D">
        <w:rPr>
          <w:rFonts w:ascii="Palatino Linotype" w:eastAsia="Palatino Linotype" w:hAnsi="Palatino Linotype" w:cs="Palatino Linotype"/>
          <w:b/>
          <w:i/>
          <w:sz w:val="22"/>
          <w:szCs w:val="22"/>
        </w:rPr>
        <w:t xml:space="preserve">V. </w:t>
      </w:r>
      <w:r w:rsidRPr="008C231D">
        <w:rPr>
          <w:rFonts w:ascii="Palatino Linotype" w:eastAsia="Palatino Linotype" w:hAnsi="Palatino Linotype" w:cs="Palatino Linotype"/>
          <w:i/>
          <w:sz w:val="22"/>
          <w:szCs w:val="22"/>
        </w:rPr>
        <w:t>Cuando por cualquier motivo quede sin materia el recurso</w:t>
      </w:r>
      <w:r w:rsidRPr="008C231D">
        <w:rPr>
          <w:rFonts w:ascii="Palatino Linotype" w:eastAsia="Palatino Linotype" w:hAnsi="Palatino Linotype" w:cs="Palatino Linotype"/>
          <w:sz w:val="22"/>
          <w:szCs w:val="22"/>
        </w:rPr>
        <w:t>.”</w:t>
      </w:r>
    </w:p>
    <w:p w14:paraId="0391AA9B" w14:textId="77777777" w:rsidR="00915741" w:rsidRPr="008C231D" w:rsidRDefault="00306B9C">
      <w:pPr>
        <w:spacing w:before="240" w:after="240" w:line="360" w:lineRule="auto"/>
        <w:ind w:right="49"/>
        <w:jc w:val="both"/>
        <w:rPr>
          <w:rFonts w:ascii="Palatino Linotype" w:eastAsia="Palatino Linotype" w:hAnsi="Palatino Linotype" w:cs="Palatino Linotype"/>
        </w:rPr>
      </w:pPr>
      <w:r w:rsidRPr="008C231D">
        <w:rPr>
          <w:rFonts w:ascii="Palatino Linotype" w:eastAsia="Palatino Linotype" w:hAnsi="Palatino Linotype" w:cs="Palatino Linotype"/>
        </w:rPr>
        <w:t>En el presente caso, es de mencionar que del análisis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VII del artículo 191 de la misma Ley citado con antelación, al no existir elementos de procedencia, en virtud de que el mismo no actualiza alguno de los supuestos previstos en el  artículo 179, que es del tenor literal siguiente:</w:t>
      </w:r>
    </w:p>
    <w:p w14:paraId="064ABB1A" w14:textId="77777777" w:rsidR="00915741" w:rsidRPr="008C231D" w:rsidRDefault="00306B9C">
      <w:pPr>
        <w:spacing w:before="120" w:after="120"/>
        <w:ind w:left="851"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“Artículo 179</w:t>
      </w:r>
      <w:r w:rsidRPr="008C231D">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7BF89029"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I.</w:t>
      </w:r>
      <w:r w:rsidRPr="008C231D">
        <w:rPr>
          <w:rFonts w:ascii="Palatino Linotype" w:eastAsia="Palatino Linotype" w:hAnsi="Palatino Linotype" w:cs="Palatino Linotype"/>
          <w:i/>
          <w:sz w:val="22"/>
          <w:szCs w:val="22"/>
        </w:rPr>
        <w:t xml:space="preserve"> La negativa a la información solicitada;</w:t>
      </w:r>
    </w:p>
    <w:p w14:paraId="09BF6C2F"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II</w:t>
      </w:r>
      <w:r w:rsidRPr="008C231D">
        <w:rPr>
          <w:rFonts w:ascii="Palatino Linotype" w:eastAsia="Palatino Linotype" w:hAnsi="Palatino Linotype" w:cs="Palatino Linotype"/>
          <w:i/>
          <w:sz w:val="22"/>
          <w:szCs w:val="22"/>
        </w:rPr>
        <w:t>. La clasificación de la información;</w:t>
      </w:r>
    </w:p>
    <w:p w14:paraId="0FA60126"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III</w:t>
      </w:r>
      <w:r w:rsidRPr="008C231D">
        <w:rPr>
          <w:rFonts w:ascii="Palatino Linotype" w:eastAsia="Palatino Linotype" w:hAnsi="Palatino Linotype" w:cs="Palatino Linotype"/>
          <w:i/>
          <w:sz w:val="22"/>
          <w:szCs w:val="22"/>
        </w:rPr>
        <w:t>. La declaración de inexistencia de la información;</w:t>
      </w:r>
    </w:p>
    <w:p w14:paraId="6E86B983"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IV</w:t>
      </w:r>
      <w:r w:rsidRPr="008C231D">
        <w:rPr>
          <w:rFonts w:ascii="Palatino Linotype" w:eastAsia="Palatino Linotype" w:hAnsi="Palatino Linotype" w:cs="Palatino Linotype"/>
          <w:i/>
          <w:sz w:val="22"/>
          <w:szCs w:val="22"/>
        </w:rPr>
        <w:t>. La declaración de incompetencia por el sujeto obligado;</w:t>
      </w:r>
    </w:p>
    <w:p w14:paraId="4187C4F6"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V</w:t>
      </w:r>
      <w:r w:rsidRPr="008C231D">
        <w:rPr>
          <w:rFonts w:ascii="Palatino Linotype" w:eastAsia="Palatino Linotype" w:hAnsi="Palatino Linotype" w:cs="Palatino Linotype"/>
          <w:i/>
          <w:sz w:val="22"/>
          <w:szCs w:val="22"/>
        </w:rPr>
        <w:t>. La entrega de información incompleta;</w:t>
      </w:r>
    </w:p>
    <w:p w14:paraId="109BDA47"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VI.</w:t>
      </w:r>
      <w:r w:rsidRPr="008C231D">
        <w:rPr>
          <w:rFonts w:ascii="Palatino Linotype" w:eastAsia="Palatino Linotype" w:hAnsi="Palatino Linotype" w:cs="Palatino Linotype"/>
          <w:i/>
          <w:sz w:val="22"/>
          <w:szCs w:val="22"/>
        </w:rPr>
        <w:t xml:space="preserve"> La entrega de información que no corresponda con lo solicitado;</w:t>
      </w:r>
    </w:p>
    <w:p w14:paraId="46117F27"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VII</w:t>
      </w:r>
      <w:r w:rsidRPr="008C231D">
        <w:rPr>
          <w:rFonts w:ascii="Palatino Linotype" w:eastAsia="Palatino Linotype" w:hAnsi="Palatino Linotype" w:cs="Palatino Linotype"/>
          <w:i/>
          <w:sz w:val="22"/>
          <w:szCs w:val="22"/>
        </w:rPr>
        <w:t>. La falta de respuesta a una solicitud de acceso a la información;</w:t>
      </w:r>
    </w:p>
    <w:p w14:paraId="2847DF33"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VIII</w:t>
      </w:r>
      <w:r w:rsidRPr="008C231D">
        <w:rPr>
          <w:rFonts w:ascii="Palatino Linotype" w:eastAsia="Palatino Linotype" w:hAnsi="Palatino Linotype" w:cs="Palatino Linotype"/>
          <w:i/>
          <w:sz w:val="22"/>
          <w:szCs w:val="22"/>
        </w:rPr>
        <w:t>. La notificación, entrega o puesta a disposición de información en una modalidad o formato distinto al solicitado;</w:t>
      </w:r>
    </w:p>
    <w:p w14:paraId="684A6DCF"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IX.</w:t>
      </w:r>
      <w:r w:rsidRPr="008C231D">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p>
    <w:p w14:paraId="0A638694"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lastRenderedPageBreak/>
        <w:t>X.</w:t>
      </w:r>
      <w:r w:rsidRPr="008C231D">
        <w:rPr>
          <w:rFonts w:ascii="Palatino Linotype" w:eastAsia="Palatino Linotype" w:hAnsi="Palatino Linotype" w:cs="Palatino Linotype"/>
          <w:i/>
          <w:sz w:val="22"/>
          <w:szCs w:val="22"/>
        </w:rPr>
        <w:t xml:space="preserve"> Los costos o tiempos de entrega de la información;</w:t>
      </w:r>
    </w:p>
    <w:p w14:paraId="272E9038"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XI.</w:t>
      </w:r>
      <w:r w:rsidRPr="008C231D">
        <w:rPr>
          <w:rFonts w:ascii="Palatino Linotype" w:eastAsia="Palatino Linotype" w:hAnsi="Palatino Linotype" w:cs="Palatino Linotype"/>
          <w:i/>
          <w:sz w:val="22"/>
          <w:szCs w:val="22"/>
        </w:rPr>
        <w:t xml:space="preserve"> La falta de trámite a una solicitud;</w:t>
      </w:r>
    </w:p>
    <w:p w14:paraId="405F6D84"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XII.</w:t>
      </w:r>
      <w:r w:rsidRPr="008C231D">
        <w:rPr>
          <w:rFonts w:ascii="Palatino Linotype" w:eastAsia="Palatino Linotype" w:hAnsi="Palatino Linotype" w:cs="Palatino Linotype"/>
          <w:i/>
          <w:sz w:val="22"/>
          <w:szCs w:val="22"/>
        </w:rPr>
        <w:t xml:space="preserve"> La negativa a permitir la consulta directa de la información;</w:t>
      </w:r>
    </w:p>
    <w:p w14:paraId="27F92B22"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XIII.</w:t>
      </w:r>
      <w:r w:rsidRPr="008C231D">
        <w:rPr>
          <w:rFonts w:ascii="Palatino Linotype" w:eastAsia="Palatino Linotype" w:hAnsi="Palatino Linotype" w:cs="Palatino Linotype"/>
          <w:i/>
          <w:sz w:val="22"/>
          <w:szCs w:val="22"/>
        </w:rPr>
        <w:t xml:space="preserve"> La falta, deficiencia o insuficiencia de la fundamentación y/o motivación en la respuesta; y</w:t>
      </w:r>
    </w:p>
    <w:p w14:paraId="1CF88A73" w14:textId="77777777" w:rsidR="00915741" w:rsidRPr="008C231D" w:rsidRDefault="00306B9C">
      <w:pPr>
        <w:spacing w:before="120" w:after="120"/>
        <w:ind w:left="1134"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b/>
          <w:i/>
          <w:sz w:val="22"/>
          <w:szCs w:val="22"/>
        </w:rPr>
        <w:t>XIV</w:t>
      </w:r>
      <w:r w:rsidRPr="008C231D">
        <w:rPr>
          <w:rFonts w:ascii="Palatino Linotype" w:eastAsia="Palatino Linotype" w:hAnsi="Palatino Linotype" w:cs="Palatino Linotype"/>
          <w:i/>
          <w:sz w:val="22"/>
          <w:szCs w:val="22"/>
        </w:rPr>
        <w:t>. La orientación a un trámite específico.</w:t>
      </w:r>
    </w:p>
    <w:p w14:paraId="05E4221E" w14:textId="77777777" w:rsidR="00915741" w:rsidRPr="008C231D" w:rsidRDefault="00306B9C">
      <w:pPr>
        <w:spacing w:before="120" w:after="120"/>
        <w:ind w:left="851"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1BFD7F30"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Lo anterior se afirma así toda vez que la parte </w:t>
      </w:r>
      <w:r w:rsidRPr="008C231D">
        <w:rPr>
          <w:rFonts w:ascii="Palatino Linotype" w:eastAsia="Palatino Linotype" w:hAnsi="Palatino Linotype" w:cs="Palatino Linotype"/>
          <w:b/>
        </w:rPr>
        <w:t>Recurrente</w:t>
      </w:r>
      <w:r w:rsidRPr="008C231D">
        <w:rPr>
          <w:rFonts w:ascii="Palatino Linotype" w:eastAsia="Palatino Linotype" w:hAnsi="Palatino Linotype" w:cs="Palatino Linotype"/>
        </w:rPr>
        <w:t xml:space="preserve">, mediante el recurso de revisión, </w:t>
      </w:r>
      <w:r w:rsidRPr="008C231D">
        <w:rPr>
          <w:rFonts w:ascii="Palatino Linotype" w:eastAsia="Palatino Linotype" w:hAnsi="Palatino Linotype" w:cs="Palatino Linotype"/>
          <w:b/>
          <w:u w:val="single"/>
        </w:rPr>
        <w:t>solicita le sea entregada información que no fue requerida a través de la solicitud primigenia</w:t>
      </w:r>
      <w:r w:rsidRPr="008C231D">
        <w:rPr>
          <w:rFonts w:ascii="Palatino Linotype" w:eastAsia="Palatino Linotype" w:hAnsi="Palatino Linotype" w:cs="Palatino Linotype"/>
          <w:b/>
        </w:rPr>
        <w:t xml:space="preserve">, </w:t>
      </w:r>
      <w:r w:rsidRPr="008C231D">
        <w:rPr>
          <w:rFonts w:ascii="Palatino Linotype" w:eastAsia="Palatino Linotype" w:hAnsi="Palatino Linotype" w:cs="Palatino Linotype"/>
        </w:rPr>
        <w:t>pues de la confronta a la solicitud de información y las razones o motivos de inconformidad aducidos, se advierte que el requerimiento de información consistió en el horario de alimentos de la servidora pública referida en la solicitud, más no en los oficios de comisión de esta.</w:t>
      </w:r>
    </w:p>
    <w:p w14:paraId="6705274E"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Así, toda vez que los  oficios de comisión de la servidora pública no fueron solicitados desde el primer momento, como se desprende del antecedente marcado con el numeral 1 de la presente resolución, los motivos de inconformidad constituyen en su totalidad nuevos requerimientos de información, configurándose lo que se conoce como </w:t>
      </w:r>
      <w:r w:rsidRPr="008C231D">
        <w:rPr>
          <w:rFonts w:ascii="Palatino Linotype" w:eastAsia="Palatino Linotype" w:hAnsi="Palatino Linotype" w:cs="Palatino Linotype"/>
          <w:i/>
        </w:rPr>
        <w:t xml:space="preserve">plus </w:t>
      </w:r>
      <w:proofErr w:type="spellStart"/>
      <w:r w:rsidRPr="008C231D">
        <w:rPr>
          <w:rFonts w:ascii="Palatino Linotype" w:eastAsia="Palatino Linotype" w:hAnsi="Palatino Linotype" w:cs="Palatino Linotype"/>
          <w:i/>
        </w:rPr>
        <w:t>petitio</w:t>
      </w:r>
      <w:proofErr w:type="spellEnd"/>
      <w:r w:rsidRPr="008C231D">
        <w:rPr>
          <w:rFonts w:ascii="Palatino Linotype" w:eastAsia="Palatino Linotype" w:hAnsi="Palatino Linotype" w:cs="Palatino Linotype"/>
          <w:b/>
          <w:i/>
        </w:rPr>
        <w:t xml:space="preserve">, </w:t>
      </w:r>
      <w:r w:rsidRPr="008C231D">
        <w:rPr>
          <w:rFonts w:ascii="Palatino Linotype" w:eastAsia="Palatino Linotype" w:hAnsi="Palatino Linotype" w:cs="Palatino Linotype"/>
        </w:rPr>
        <w:t xml:space="preserve">que consiste en una ampliación a un requerimiento informativo, argumentos que no son susceptibles de ser valorados en términos de la fracción VII del Artículo 191 de la Ley de Transparencia y Acceso a la Información Pública del Estado de México y Municipios, el cual señala la improcedencia cuando la parte Recurrente amplíe su solicitud en el Recurso de Revisión, </w:t>
      </w:r>
      <w:r w:rsidRPr="008C231D">
        <w:rPr>
          <w:rFonts w:ascii="Palatino Linotype" w:eastAsia="Palatino Linotype" w:hAnsi="Palatino Linotype" w:cs="Palatino Linotype"/>
          <w:b/>
          <w:u w:val="single"/>
        </w:rPr>
        <w:t xml:space="preserve">únicamente respecto de los nuevos contenidos; </w:t>
      </w:r>
      <w:r w:rsidRPr="008C231D">
        <w:rPr>
          <w:rFonts w:ascii="Palatino Linotype" w:eastAsia="Palatino Linotype" w:hAnsi="Palatino Linotype" w:cs="Palatino Linotype"/>
        </w:rPr>
        <w:t xml:space="preserve">cuestión que tuvo lugar en el presente caso, pues </w:t>
      </w:r>
      <w:r w:rsidRPr="008C231D">
        <w:rPr>
          <w:rFonts w:ascii="Palatino Linotype" w:eastAsia="Palatino Linotype" w:hAnsi="Palatino Linotype" w:cs="Palatino Linotype"/>
        </w:rPr>
        <w:lastRenderedPageBreak/>
        <w:t xml:space="preserve">la parte </w:t>
      </w:r>
      <w:r w:rsidRPr="008C231D">
        <w:rPr>
          <w:rFonts w:ascii="Palatino Linotype" w:eastAsia="Palatino Linotype" w:hAnsi="Palatino Linotype" w:cs="Palatino Linotype"/>
          <w:b/>
        </w:rPr>
        <w:t>Recurrente</w:t>
      </w:r>
      <w:r w:rsidRPr="008C231D">
        <w:rPr>
          <w:rFonts w:ascii="Palatino Linotype" w:eastAsia="Palatino Linotype" w:hAnsi="Palatino Linotype" w:cs="Palatino Linotype"/>
        </w:rPr>
        <w:t xml:space="preserve"> formuló nuevos cuestionamientos, en los que solicitó información que no formó parte de su solicitud inicial y por lo tanto son inatendibles a través del recurso de revisión.</w:t>
      </w:r>
    </w:p>
    <w:p w14:paraId="4BC1D77E"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Así, es posible determinar que para el caso que nos ocupa, los argumentos formulados como motivos o razones de inconformidad son una ampliación a la solicitud inicial y corresponden a nuevos requerimientos de información, que no se encuentran relacionados con lo solicitado en un primer momento; siendo importante señalar que una vez formulada una solicitud,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6674D5C9" w14:textId="77777777" w:rsidR="00915741" w:rsidRPr="008C231D" w:rsidRDefault="00306B9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2B3A7822" w14:textId="77777777" w:rsidR="00915741" w:rsidRPr="008C231D" w:rsidRDefault="00306B9C">
      <w:pPr>
        <w:spacing w:before="240" w:after="240"/>
        <w:ind w:left="851" w:right="900"/>
        <w:jc w:val="both"/>
        <w:rPr>
          <w:rFonts w:ascii="Palatino Linotype" w:eastAsia="Palatino Linotype" w:hAnsi="Palatino Linotype" w:cs="Palatino Linotype"/>
        </w:rPr>
      </w:pPr>
      <w:r w:rsidRPr="008C231D">
        <w:rPr>
          <w:rFonts w:ascii="Palatino Linotype" w:eastAsia="Palatino Linotype" w:hAnsi="Palatino Linotype" w:cs="Palatino Linotype"/>
          <w:i/>
          <w:sz w:val="22"/>
          <w:szCs w:val="22"/>
        </w:rPr>
        <w:t>“</w:t>
      </w:r>
      <w:r w:rsidRPr="008C231D">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8C231D">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8C231D">
        <w:rPr>
          <w:rFonts w:ascii="Palatino Linotype" w:eastAsia="Palatino Linotype" w:hAnsi="Palatino Linotype" w:cs="Palatino Linotype"/>
          <w:b/>
          <w:i/>
          <w:sz w:val="22"/>
          <w:szCs w:val="22"/>
        </w:rPr>
        <w:t>.</w:t>
      </w:r>
      <w:r w:rsidRPr="008C231D">
        <w:rPr>
          <w:rFonts w:ascii="Palatino Linotype" w:eastAsia="Palatino Linotype" w:hAnsi="Palatino Linotype" w:cs="Palatino Linotype"/>
          <w:i/>
          <w:sz w:val="22"/>
          <w:szCs w:val="22"/>
        </w:rPr>
        <w:t>”</w:t>
      </w:r>
    </w:p>
    <w:p w14:paraId="7D1F6A58" w14:textId="77777777" w:rsidR="00915741" w:rsidRPr="008C231D" w:rsidRDefault="00306B9C">
      <w:pPr>
        <w:spacing w:before="240" w:after="240" w:line="360" w:lineRule="auto"/>
        <w:ind w:right="49"/>
        <w:jc w:val="both"/>
        <w:rPr>
          <w:rFonts w:ascii="Palatino Linotype" w:eastAsia="Palatino Linotype" w:hAnsi="Palatino Linotype" w:cs="Palatino Linotype"/>
        </w:rPr>
      </w:pPr>
      <w:r w:rsidRPr="008C231D">
        <w:rPr>
          <w:rFonts w:ascii="Palatino Linotype" w:eastAsia="Palatino Linotype" w:hAnsi="Palatino Linotype" w:cs="Palatino Linotype"/>
        </w:rPr>
        <w:lastRenderedPageBreak/>
        <w:t>Acotado lo anterior,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r w:rsidR="00445A99" w:rsidRPr="008C231D">
        <w:rPr>
          <w:rFonts w:ascii="Palatino Linotype" w:eastAsia="Palatino Linotype" w:hAnsi="Palatino Linotype" w:cs="Palatino Linotype"/>
        </w:rPr>
        <w:t>,</w:t>
      </w:r>
      <w:r w:rsidR="007D58F5" w:rsidRPr="008C231D">
        <w:rPr>
          <w:rFonts w:ascii="Palatino Linotype" w:eastAsia="Palatino Linotype" w:hAnsi="Palatino Linotype" w:cs="Palatino Linotype"/>
        </w:rPr>
        <w:t xml:space="preserve"> citado con antelación</w:t>
      </w:r>
      <w:r w:rsidRPr="008C231D">
        <w:rPr>
          <w:rFonts w:ascii="Palatino Linotype" w:eastAsia="Palatino Linotype" w:hAnsi="Palatino Linotype" w:cs="Palatino Linotype"/>
        </w:rPr>
        <w:t>.</w:t>
      </w:r>
    </w:p>
    <w:p w14:paraId="393FA270" w14:textId="77777777" w:rsidR="00915741" w:rsidRPr="008C231D" w:rsidRDefault="00306B9C">
      <w:pPr>
        <w:spacing w:before="240" w:after="240" w:line="360" w:lineRule="auto"/>
        <w:ind w:right="49"/>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Dentro de este orden de ideas, es evidente que no se puede invocar el precepto legal 191 de la Ley en cita ulteriormente a que ha sido admitido, determinando la actualización de un </w:t>
      </w:r>
      <w:proofErr w:type="spellStart"/>
      <w:r w:rsidRPr="008C231D">
        <w:rPr>
          <w:rFonts w:ascii="Palatino Linotype" w:eastAsia="Palatino Linotype" w:hAnsi="Palatino Linotype" w:cs="Palatino Linotype"/>
        </w:rPr>
        <w:t>desechamiento</w:t>
      </w:r>
      <w:proofErr w:type="spellEnd"/>
      <w:r w:rsidRPr="008C231D">
        <w:rPr>
          <w:rFonts w:ascii="Palatino Linotype" w:eastAsia="Palatino Linotype" w:hAnsi="Palatino Linotype" w:cs="Palatino Linotype"/>
          <w:vertAlign w:val="superscript"/>
        </w:rPr>
        <w:footnoteReference w:id="1"/>
      </w:r>
      <w:r w:rsidRPr="008C231D">
        <w:rPr>
          <w:rFonts w:ascii="Palatino Linotype" w:eastAsia="Palatino Linotype" w:hAnsi="Palatino Linotype" w:cs="Palatino Linotype"/>
        </w:rPr>
        <w:t>, porque está ya sería posterior a la etapa procedimental en la que debió desecharse.</w:t>
      </w:r>
    </w:p>
    <w:p w14:paraId="59476EE3" w14:textId="77777777" w:rsidR="00915741" w:rsidRPr="008C231D" w:rsidRDefault="00306B9C">
      <w:pPr>
        <w:spacing w:before="240" w:after="240" w:line="360" w:lineRule="auto"/>
        <w:ind w:right="49"/>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Cobrando aplicación lo previsto en la fracción IV del artículo 192, en razón a que al haber sido admitido el recurso de revisión y al actualizarse una causal de improcedencia establecida en la fracción VII del artículo 191 de la misma Ley, éste debe ser </w:t>
      </w:r>
      <w:r w:rsidRPr="008C231D">
        <w:rPr>
          <w:rFonts w:ascii="Palatino Linotype" w:eastAsia="Palatino Linotype" w:hAnsi="Palatino Linotype" w:cs="Palatino Linotype"/>
          <w:i/>
        </w:rPr>
        <w:t>sobreseído</w:t>
      </w:r>
      <w:r w:rsidRPr="008C231D">
        <w:rPr>
          <w:rFonts w:ascii="Palatino Linotype" w:eastAsia="Palatino Linotype" w:hAnsi="Palatino Linotype" w:cs="Palatino Linotype"/>
        </w:rPr>
        <w:t xml:space="preserve">. </w:t>
      </w:r>
    </w:p>
    <w:p w14:paraId="2475F041" w14:textId="77777777" w:rsidR="00915741" w:rsidRPr="008C231D" w:rsidRDefault="00306B9C">
      <w:pPr>
        <w:spacing w:before="240" w:after="240" w:line="360" w:lineRule="auto"/>
        <w:jc w:val="both"/>
        <w:rPr>
          <w:rFonts w:ascii="Palatino Linotype" w:eastAsia="Palatino Linotype" w:hAnsi="Palatino Linotype" w:cs="Palatino Linotype"/>
          <w:b/>
        </w:rPr>
      </w:pPr>
      <w:r w:rsidRPr="008C231D">
        <w:rPr>
          <w:rFonts w:ascii="Palatino Linotype" w:eastAsia="Palatino Linotype" w:hAnsi="Palatino Linotype" w:cs="Palatino Linotype"/>
        </w:rPr>
        <w:t xml:space="preserve">Atento a los razonamientos lógico jurídicos que han quedado precisados y toda vez que el  </w:t>
      </w:r>
      <w:r w:rsidRPr="008C231D">
        <w:rPr>
          <w:rFonts w:ascii="Palatino Linotype" w:eastAsia="Palatino Linotype" w:hAnsi="Palatino Linotype" w:cs="Palatino Linotype"/>
          <w:i/>
        </w:rPr>
        <w:t xml:space="preserve">sobreseimiento </w:t>
      </w:r>
      <w:r w:rsidRPr="008C231D">
        <w:rPr>
          <w:rFonts w:ascii="Palatino Linotype" w:eastAsia="Palatino Linotype" w:hAnsi="Palatino Linotype" w:cs="Palatino Linotype"/>
        </w:rPr>
        <w:t xml:space="preserve">es un acto que da por terminado el procedimiento administrativo de impugnación por alguna causa que sobreviniente en el juicio de </w:t>
      </w:r>
      <w:r w:rsidRPr="008C231D">
        <w:rPr>
          <w:rFonts w:ascii="Palatino Linotype" w:eastAsia="Palatino Linotype" w:hAnsi="Palatino Linotype" w:cs="Palatino Linotype"/>
        </w:rPr>
        <w:lastRenderedPageBreak/>
        <w:t xml:space="preserve">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8C231D">
        <w:rPr>
          <w:rFonts w:ascii="Palatino Linotype" w:eastAsia="Palatino Linotype" w:hAnsi="Palatino Linotype" w:cs="Palatino Linotype"/>
          <w:b/>
        </w:rPr>
        <w:t>SOBRESEIMIENTO, NO PERMITE ENTRAR AL ESTUDIO DE LAS CUESTIONES DE FONDO</w:t>
      </w:r>
      <w:r w:rsidRPr="008C231D">
        <w:rPr>
          <w:rFonts w:ascii="Palatino Linotype" w:eastAsia="Palatino Linotype" w:hAnsi="Palatino Linotype" w:cs="Palatino Linotype"/>
          <w:vertAlign w:val="superscript"/>
        </w:rPr>
        <w:footnoteReference w:id="2"/>
      </w:r>
      <w:r w:rsidRPr="008C231D">
        <w:rPr>
          <w:rFonts w:ascii="Palatino Linotype" w:eastAsia="Palatino Linotype" w:hAnsi="Palatino Linotype" w:cs="Palatino Linotype"/>
          <w:b/>
        </w:rPr>
        <w:t>.</w:t>
      </w:r>
    </w:p>
    <w:p w14:paraId="5B8EB5C5"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CE01D56" w14:textId="77777777" w:rsidR="00915741" w:rsidRPr="008C231D" w:rsidRDefault="00306B9C">
      <w:pPr>
        <w:spacing w:before="120" w:after="120"/>
        <w:ind w:left="851" w:right="902"/>
        <w:jc w:val="both"/>
        <w:rPr>
          <w:rFonts w:ascii="Palatino Linotype" w:eastAsia="Palatino Linotype" w:hAnsi="Palatino Linotype" w:cs="Palatino Linotype"/>
          <w:b/>
          <w:i/>
          <w:sz w:val="22"/>
          <w:szCs w:val="22"/>
        </w:rPr>
      </w:pPr>
      <w:r w:rsidRPr="008C231D">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0CD22CC2" w14:textId="77777777" w:rsidR="00915741" w:rsidRPr="008C231D" w:rsidRDefault="00306B9C">
      <w:pPr>
        <w:spacing w:before="120" w:after="120"/>
        <w:ind w:left="851" w:right="902"/>
        <w:jc w:val="both"/>
        <w:rPr>
          <w:rFonts w:ascii="Palatino Linotype" w:eastAsia="Palatino Linotype" w:hAnsi="Palatino Linotype" w:cs="Palatino Linotype"/>
          <w:i/>
          <w:sz w:val="22"/>
          <w:szCs w:val="22"/>
        </w:rPr>
      </w:pPr>
      <w:r w:rsidRPr="008C231D">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w:t>
      </w:r>
      <w:r w:rsidRPr="008C231D">
        <w:rPr>
          <w:rFonts w:ascii="Palatino Linotype" w:eastAsia="Palatino Linotype" w:hAnsi="Palatino Linotype" w:cs="Palatino Linotype"/>
          <w:i/>
          <w:sz w:val="22"/>
          <w:szCs w:val="22"/>
        </w:rPr>
        <w:lastRenderedPageBreak/>
        <w:t>pronuncia sobre la acción, diciendo así el derecho y permitiendo que impere el orden jurídico.” (Sic)</w:t>
      </w:r>
      <w:r w:rsidRPr="008C231D">
        <w:rPr>
          <w:rFonts w:ascii="Palatino Linotype" w:eastAsia="Palatino Linotype" w:hAnsi="Palatino Linotype" w:cs="Palatino Linotype"/>
        </w:rPr>
        <w:tab/>
      </w:r>
    </w:p>
    <w:p w14:paraId="760BD103" w14:textId="77777777" w:rsidR="00915741" w:rsidRPr="008C231D" w:rsidRDefault="00306B9C">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Finalmente, no escapa de la óptica de este Organismo Garante que la persona solicitante, como parte de los argumentos vertidos en el acto impugnado, señaló lo siguiente: </w:t>
      </w:r>
      <w:r w:rsidRPr="008C231D">
        <w:rPr>
          <w:rFonts w:ascii="Palatino Linotype" w:eastAsia="Palatino Linotype" w:hAnsi="Palatino Linotype" w:cs="Palatino Linotype"/>
          <w:i/>
          <w:sz w:val="22"/>
          <w:szCs w:val="22"/>
        </w:rPr>
        <w:t>“…</w:t>
      </w:r>
      <w:r w:rsidRPr="008C231D">
        <w:rPr>
          <w:rFonts w:ascii="Palatino Linotype" w:eastAsia="Palatino Linotype" w:hAnsi="Palatino Linotype" w:cs="Palatino Linotype"/>
          <w:b/>
          <w:i/>
          <w:sz w:val="22"/>
          <w:szCs w:val="22"/>
          <w:u w:val="single"/>
        </w:rPr>
        <w:t xml:space="preserve">la queja es que se tarda 3 hasta 4 </w:t>
      </w:r>
      <w:proofErr w:type="spellStart"/>
      <w:r w:rsidRPr="008C231D">
        <w:rPr>
          <w:rFonts w:ascii="Palatino Linotype" w:eastAsia="Palatino Linotype" w:hAnsi="Palatino Linotype" w:cs="Palatino Linotype"/>
          <w:b/>
          <w:i/>
          <w:sz w:val="22"/>
          <w:szCs w:val="22"/>
          <w:u w:val="single"/>
        </w:rPr>
        <w:t>hrs</w:t>
      </w:r>
      <w:proofErr w:type="spellEnd"/>
      <w:r w:rsidRPr="008C231D">
        <w:rPr>
          <w:rFonts w:ascii="Palatino Linotype" w:eastAsia="Palatino Linotype" w:hAnsi="Palatino Linotype" w:cs="Palatino Linotype"/>
          <w:b/>
          <w:i/>
          <w:sz w:val="22"/>
          <w:szCs w:val="22"/>
          <w:u w:val="single"/>
        </w:rPr>
        <w:t xml:space="preserve"> para tomar sus alimentos</w:t>
      </w:r>
      <w:r w:rsidRPr="008C231D">
        <w:rPr>
          <w:rFonts w:ascii="Palatino Linotype" w:eastAsia="Palatino Linotype" w:hAnsi="Palatino Linotype" w:cs="Palatino Linotype"/>
          <w:i/>
          <w:sz w:val="22"/>
          <w:szCs w:val="22"/>
        </w:rPr>
        <w:t xml:space="preserve">! la respuesta dice que hay una variación por sus actividades, que actividades tiene la servidora </w:t>
      </w:r>
      <w:proofErr w:type="spellStart"/>
      <w:r w:rsidRPr="008C231D">
        <w:rPr>
          <w:rFonts w:ascii="Palatino Linotype" w:eastAsia="Palatino Linotype" w:hAnsi="Palatino Linotype" w:cs="Palatino Linotype"/>
          <w:i/>
          <w:sz w:val="22"/>
          <w:szCs w:val="22"/>
        </w:rPr>
        <w:t>publica</w:t>
      </w:r>
      <w:proofErr w:type="spellEnd"/>
      <w:r w:rsidRPr="008C231D">
        <w:rPr>
          <w:rFonts w:ascii="Palatino Linotype" w:eastAsia="Palatino Linotype" w:hAnsi="Palatino Linotype" w:cs="Palatino Linotype"/>
          <w:i/>
          <w:sz w:val="22"/>
          <w:szCs w:val="22"/>
        </w:rPr>
        <w:t xml:space="preserve"> para tardarse 3 o 4 horas en los alimentos. </w:t>
      </w:r>
      <w:r w:rsidRPr="008C231D">
        <w:rPr>
          <w:rFonts w:ascii="Palatino Linotype" w:eastAsia="Palatino Linotype" w:hAnsi="Palatino Linotype" w:cs="Palatino Linotype"/>
          <w:b/>
          <w:i/>
          <w:sz w:val="22"/>
          <w:szCs w:val="22"/>
          <w:u w:val="single"/>
        </w:rPr>
        <w:t>es necesario sea revisado estos actos</w:t>
      </w:r>
      <w:r w:rsidRPr="008C231D">
        <w:rPr>
          <w:rFonts w:ascii="Palatino Linotype" w:eastAsia="Palatino Linotype" w:hAnsi="Palatino Linotype" w:cs="Palatino Linotype"/>
          <w:i/>
          <w:sz w:val="22"/>
          <w:szCs w:val="22"/>
        </w:rPr>
        <w:t xml:space="preserve">, que se dan en el personal </w:t>
      </w:r>
      <w:proofErr w:type="spellStart"/>
      <w:r w:rsidRPr="008C231D">
        <w:rPr>
          <w:rFonts w:ascii="Palatino Linotype" w:eastAsia="Palatino Linotype" w:hAnsi="Palatino Linotype" w:cs="Palatino Linotype"/>
          <w:i/>
          <w:sz w:val="22"/>
          <w:szCs w:val="22"/>
        </w:rPr>
        <w:t>mas</w:t>
      </w:r>
      <w:proofErr w:type="spellEnd"/>
      <w:r w:rsidRPr="008C231D">
        <w:rPr>
          <w:rFonts w:ascii="Palatino Linotype" w:eastAsia="Palatino Linotype" w:hAnsi="Palatino Linotype" w:cs="Palatino Linotype"/>
          <w:i/>
          <w:sz w:val="22"/>
          <w:szCs w:val="22"/>
        </w:rPr>
        <w:t xml:space="preserve"> cercano al subdirector de servicios administrativos, </w:t>
      </w:r>
      <w:r w:rsidRPr="008C231D">
        <w:rPr>
          <w:rFonts w:ascii="Palatino Linotype" w:eastAsia="Palatino Linotype" w:hAnsi="Palatino Linotype" w:cs="Palatino Linotype"/>
          <w:b/>
          <w:i/>
          <w:sz w:val="22"/>
          <w:szCs w:val="22"/>
          <w:u w:val="single"/>
        </w:rPr>
        <w:t xml:space="preserve">que el </w:t>
      </w:r>
      <w:proofErr w:type="spellStart"/>
      <w:r w:rsidRPr="008C231D">
        <w:rPr>
          <w:rFonts w:ascii="Palatino Linotype" w:eastAsia="Palatino Linotype" w:hAnsi="Palatino Linotype" w:cs="Palatino Linotype"/>
          <w:b/>
          <w:i/>
          <w:sz w:val="22"/>
          <w:szCs w:val="22"/>
          <w:u w:val="single"/>
        </w:rPr>
        <w:t>Organo</w:t>
      </w:r>
      <w:proofErr w:type="spellEnd"/>
      <w:r w:rsidRPr="008C231D">
        <w:rPr>
          <w:rFonts w:ascii="Palatino Linotype" w:eastAsia="Palatino Linotype" w:hAnsi="Palatino Linotype" w:cs="Palatino Linotype"/>
          <w:b/>
          <w:i/>
          <w:sz w:val="22"/>
          <w:szCs w:val="22"/>
          <w:u w:val="single"/>
        </w:rPr>
        <w:t xml:space="preserve"> Interno de control solicite las actividades mediante oficio a las </w:t>
      </w:r>
      <w:proofErr w:type="spellStart"/>
      <w:r w:rsidRPr="008C231D">
        <w:rPr>
          <w:rFonts w:ascii="Palatino Linotype" w:eastAsia="Palatino Linotype" w:hAnsi="Palatino Linotype" w:cs="Palatino Linotype"/>
          <w:b/>
          <w:i/>
          <w:sz w:val="22"/>
          <w:szCs w:val="22"/>
          <w:u w:val="single"/>
        </w:rPr>
        <w:t>subdireccion</w:t>
      </w:r>
      <w:proofErr w:type="spellEnd"/>
      <w:r w:rsidRPr="008C231D">
        <w:rPr>
          <w:rFonts w:ascii="Palatino Linotype" w:eastAsia="Palatino Linotype" w:hAnsi="Palatino Linotype" w:cs="Palatino Linotype"/>
          <w:b/>
          <w:i/>
          <w:sz w:val="22"/>
          <w:szCs w:val="22"/>
          <w:u w:val="single"/>
        </w:rPr>
        <w:t xml:space="preserve"> servicios administrativos</w:t>
      </w:r>
      <w:r w:rsidRPr="008C231D">
        <w:rPr>
          <w:rFonts w:ascii="Palatino Linotype" w:eastAsia="Palatino Linotype" w:hAnsi="Palatino Linotype" w:cs="Palatino Linotype"/>
          <w:i/>
          <w:sz w:val="22"/>
          <w:szCs w:val="22"/>
        </w:rPr>
        <w:t xml:space="preserve">, para que sea justificado el lugar al que asiste la servidora </w:t>
      </w:r>
      <w:proofErr w:type="spellStart"/>
      <w:r w:rsidRPr="008C231D">
        <w:rPr>
          <w:rFonts w:ascii="Palatino Linotype" w:eastAsia="Palatino Linotype" w:hAnsi="Palatino Linotype" w:cs="Palatino Linotype"/>
          <w:i/>
          <w:sz w:val="22"/>
          <w:szCs w:val="22"/>
        </w:rPr>
        <w:t>publica</w:t>
      </w:r>
      <w:proofErr w:type="spellEnd"/>
      <w:r w:rsidRPr="008C231D">
        <w:rPr>
          <w:rFonts w:ascii="Palatino Linotype" w:eastAsia="Palatino Linotype" w:hAnsi="Palatino Linotype" w:cs="Palatino Linotype"/>
          <w:i/>
          <w:sz w:val="22"/>
          <w:szCs w:val="22"/>
        </w:rPr>
        <w:t xml:space="preserve">…” (sic) </w:t>
      </w:r>
      <w:r w:rsidRPr="008C231D">
        <w:rPr>
          <w:rFonts w:ascii="Palatino Linotype" w:eastAsia="Palatino Linotype" w:hAnsi="Palatino Linotype" w:cs="Palatino Linotype"/>
          <w:sz w:val="22"/>
          <w:szCs w:val="22"/>
        </w:rPr>
        <w:t xml:space="preserve"> </w:t>
      </w:r>
      <w:r w:rsidRPr="008C231D">
        <w:rPr>
          <w:rFonts w:ascii="Palatino Linotype" w:eastAsia="Palatino Linotype" w:hAnsi="Palatino Linotype" w:cs="Palatino Linotype"/>
        </w:rPr>
        <w:t>por lo que se hace de su conocimiento que el ejercicio del Derecho de acceso a la información no es la vía para presentar quejas, denuncias o solicitar  investigaciones, así como el Recurso de Revisión no es el medio para aplicar sanciones a los servidores públicos, por lo que este Organismo Garante le sugiere interponer su queja o denuncia ante la autoridad competente.</w:t>
      </w:r>
    </w:p>
    <w:p w14:paraId="3E5E4552" w14:textId="77777777" w:rsidR="00915741" w:rsidRPr="008C231D" w:rsidRDefault="00306B9C">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8C231D">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1961D8D" w14:textId="77777777" w:rsidR="00915741" w:rsidRPr="008C231D" w:rsidRDefault="00306B9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C231D">
        <w:rPr>
          <w:rFonts w:ascii="Palatino Linotype" w:eastAsia="Palatino Linotype" w:hAnsi="Palatino Linotype" w:cs="Palatino Linotype"/>
          <w:b/>
        </w:rPr>
        <w:t>III. R E S U E L V E:</w:t>
      </w:r>
    </w:p>
    <w:p w14:paraId="36F87DFE" w14:textId="77777777" w:rsidR="00915741" w:rsidRPr="008C231D" w:rsidRDefault="00306B9C">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5" w:name="_heading=h.3dy6vkm" w:colFirst="0" w:colLast="0"/>
      <w:bookmarkEnd w:id="5"/>
      <w:r w:rsidRPr="008C231D">
        <w:rPr>
          <w:rFonts w:ascii="Palatino Linotype" w:eastAsia="Palatino Linotype" w:hAnsi="Palatino Linotype" w:cs="Palatino Linotype"/>
          <w:b/>
        </w:rPr>
        <w:t xml:space="preserve">Primero. </w:t>
      </w:r>
      <w:r w:rsidRPr="008C231D">
        <w:rPr>
          <w:rFonts w:ascii="Palatino Linotype" w:eastAsia="Palatino Linotype" w:hAnsi="Palatino Linotype" w:cs="Palatino Linotype"/>
        </w:rPr>
        <w:t>Se</w:t>
      </w:r>
      <w:r w:rsidRPr="008C231D">
        <w:rPr>
          <w:rFonts w:ascii="Palatino Linotype" w:eastAsia="Palatino Linotype" w:hAnsi="Palatino Linotype" w:cs="Palatino Linotype"/>
          <w:b/>
        </w:rPr>
        <w:t xml:space="preserve"> Sobresee </w:t>
      </w:r>
      <w:r w:rsidRPr="008C231D">
        <w:rPr>
          <w:rFonts w:ascii="Palatino Linotype" w:eastAsia="Palatino Linotype" w:hAnsi="Palatino Linotype" w:cs="Palatino Linotype"/>
        </w:rPr>
        <w:t xml:space="preserve">el recurso de revisión número </w:t>
      </w:r>
      <w:r w:rsidRPr="008C231D">
        <w:rPr>
          <w:rFonts w:ascii="Palatino Linotype" w:eastAsia="Palatino Linotype" w:hAnsi="Palatino Linotype" w:cs="Palatino Linotype"/>
          <w:b/>
        </w:rPr>
        <w:t xml:space="preserve">12439/INFOEM/IP/RR/2022, </w:t>
      </w:r>
      <w:r w:rsidRPr="008C231D">
        <w:rPr>
          <w:rFonts w:ascii="Palatino Linotype" w:eastAsia="Palatino Linotype" w:hAnsi="Palatino Linotype" w:cs="Palatino Linotype"/>
        </w:rPr>
        <w:t xml:space="preserve">en términos del </w:t>
      </w:r>
      <w:r w:rsidRPr="008C231D">
        <w:rPr>
          <w:rFonts w:ascii="Palatino Linotype" w:eastAsia="Palatino Linotype" w:hAnsi="Palatino Linotype" w:cs="Palatino Linotype"/>
          <w:b/>
        </w:rPr>
        <w:t>Considerando Tercero</w:t>
      </w:r>
      <w:r w:rsidRPr="008C231D">
        <w:rPr>
          <w:rFonts w:ascii="Palatino Linotype" w:eastAsia="Palatino Linotype" w:hAnsi="Palatino Linotype" w:cs="Palatino Linotype"/>
        </w:rPr>
        <w:t xml:space="preserve"> de la presente Resolución, por improcedente, </w:t>
      </w:r>
      <w:r w:rsidRPr="008C231D">
        <w:rPr>
          <w:rFonts w:ascii="Palatino Linotype" w:eastAsia="Palatino Linotype" w:hAnsi="Palatino Linotype" w:cs="Palatino Linotype"/>
        </w:rPr>
        <w:lastRenderedPageBreak/>
        <w:t xml:space="preserve">de conformidad con el artículo 192, fracción IV de la Ley de Transparencia y Acceso a la Información Pública del Estado de México y Municipios, en relación con la causal prevista en el artículo 191, fracción VII de la misma Ley. </w:t>
      </w:r>
    </w:p>
    <w:p w14:paraId="760655F5" w14:textId="77777777" w:rsidR="00915741" w:rsidRPr="008C231D" w:rsidRDefault="00306B9C">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b/>
        </w:rPr>
        <w:t xml:space="preserve">Segundo. Notifíquese, </w:t>
      </w:r>
      <w:r w:rsidRPr="008C231D">
        <w:rPr>
          <w:rFonts w:ascii="Palatino Linotype" w:eastAsia="Palatino Linotype" w:hAnsi="Palatino Linotype" w:cs="Palatino Linotype"/>
        </w:rPr>
        <w:t xml:space="preserve">al </w:t>
      </w:r>
      <w:proofErr w:type="gramStart"/>
      <w:r w:rsidRPr="008C231D">
        <w:rPr>
          <w:rFonts w:ascii="Palatino Linotype" w:eastAsia="Palatino Linotype" w:hAnsi="Palatino Linotype" w:cs="Palatino Linotype"/>
        </w:rPr>
        <w:t>Responsable</w:t>
      </w:r>
      <w:proofErr w:type="gramEnd"/>
      <w:r w:rsidRPr="008C231D">
        <w:rPr>
          <w:rFonts w:ascii="Palatino Linotype" w:eastAsia="Palatino Linotype" w:hAnsi="Palatino Linotype" w:cs="Palatino Linotype"/>
        </w:rPr>
        <w:t xml:space="preserve"> de la Unidad de Transparencia del </w:t>
      </w:r>
      <w:r w:rsidRPr="008C231D">
        <w:rPr>
          <w:rFonts w:ascii="Palatino Linotype" w:eastAsia="Palatino Linotype" w:hAnsi="Palatino Linotype" w:cs="Palatino Linotype"/>
          <w:b/>
        </w:rPr>
        <w:t>Sujeto Obligado</w:t>
      </w:r>
      <w:r w:rsidRPr="008C231D">
        <w:rPr>
          <w:rFonts w:ascii="Palatino Linotype" w:eastAsia="Palatino Linotype" w:hAnsi="Palatino Linotype" w:cs="Palatino Linotype"/>
        </w:rPr>
        <w:t xml:space="preserve"> la presente resolución, para su conocimiento.</w:t>
      </w:r>
    </w:p>
    <w:p w14:paraId="6C1C8C4A"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b/>
        </w:rPr>
        <w:t xml:space="preserve">Tercero. Notifíquese, </w:t>
      </w:r>
      <w:r w:rsidRPr="008C231D">
        <w:rPr>
          <w:rFonts w:ascii="Palatino Linotype" w:eastAsia="Palatino Linotype" w:hAnsi="Palatino Linotype" w:cs="Palatino Linotype"/>
        </w:rPr>
        <w:t>vía</w:t>
      </w:r>
      <w:r w:rsidRPr="008C231D">
        <w:rPr>
          <w:rFonts w:ascii="Palatino Linotype" w:eastAsia="Palatino Linotype" w:hAnsi="Palatino Linotype" w:cs="Palatino Linotype"/>
          <w:b/>
        </w:rPr>
        <w:t xml:space="preserve"> SAIMEX</w:t>
      </w:r>
      <w:r w:rsidRPr="008C231D">
        <w:rPr>
          <w:rFonts w:ascii="Palatino Linotype" w:eastAsia="Palatino Linotype" w:hAnsi="Palatino Linotype" w:cs="Palatino Linotype"/>
        </w:rPr>
        <w:t>, a</w:t>
      </w:r>
      <w:r w:rsidRPr="008C231D">
        <w:rPr>
          <w:rFonts w:ascii="Palatino Linotype" w:eastAsia="Palatino Linotype" w:hAnsi="Palatino Linotype" w:cs="Palatino Linotype"/>
          <w:b/>
        </w:rPr>
        <w:t xml:space="preserve"> </w:t>
      </w:r>
      <w:r w:rsidRPr="008C231D">
        <w:rPr>
          <w:rFonts w:ascii="Palatino Linotype" w:eastAsia="Palatino Linotype" w:hAnsi="Palatino Linotype" w:cs="Palatino Linotype"/>
        </w:rPr>
        <w:t xml:space="preserve">la parte </w:t>
      </w:r>
      <w:r w:rsidRPr="008C231D">
        <w:rPr>
          <w:rFonts w:ascii="Palatino Linotype" w:eastAsia="Palatino Linotype" w:hAnsi="Palatino Linotype" w:cs="Palatino Linotype"/>
          <w:b/>
        </w:rPr>
        <w:t>Recurrente</w:t>
      </w:r>
      <w:r w:rsidRPr="008C231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1E3EEF7E" w14:textId="77777777" w:rsidR="00915741" w:rsidRPr="008C231D" w:rsidRDefault="00306B9C">
      <w:pPr>
        <w:spacing w:before="240" w:after="240" w:line="360" w:lineRule="auto"/>
        <w:jc w:val="both"/>
        <w:rPr>
          <w:rFonts w:ascii="Palatino Linotype" w:eastAsia="Palatino Linotype" w:hAnsi="Palatino Linotype" w:cs="Palatino Linotype"/>
        </w:rPr>
      </w:pPr>
      <w:r w:rsidRPr="008C231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A2BBD" w:rsidRPr="008C231D">
        <w:rPr>
          <w:rFonts w:ascii="Palatino Linotype" w:eastAsia="Palatino Linotype" w:hAnsi="Palatino Linotype" w:cs="Palatino Linotype"/>
        </w:rPr>
        <w:t>CUADRAGÉSIMA</w:t>
      </w:r>
      <w:r w:rsidRPr="008C231D">
        <w:rPr>
          <w:rFonts w:ascii="Palatino Linotype" w:eastAsia="Palatino Linotype" w:hAnsi="Palatino Linotype" w:cs="Palatino Linotype"/>
        </w:rPr>
        <w:t xml:space="preserve"> SESIÓN ORDINARIA CELEBRADA EL </w:t>
      </w:r>
      <w:r w:rsidR="00DA2BBD" w:rsidRPr="008C231D">
        <w:rPr>
          <w:rFonts w:ascii="Palatino Linotype" w:eastAsia="Palatino Linotype" w:hAnsi="Palatino Linotype" w:cs="Palatino Linotype"/>
        </w:rPr>
        <w:t>NUEVE</w:t>
      </w:r>
      <w:r w:rsidR="00C0670D" w:rsidRPr="008C231D">
        <w:rPr>
          <w:rFonts w:ascii="Palatino Linotype" w:eastAsia="Palatino Linotype" w:hAnsi="Palatino Linotype" w:cs="Palatino Linotype"/>
        </w:rPr>
        <w:t xml:space="preserve"> DE NOVIEMBRE</w:t>
      </w:r>
      <w:r w:rsidRPr="008C231D">
        <w:rPr>
          <w:rFonts w:ascii="Palatino Linotype" w:eastAsia="Palatino Linotype" w:hAnsi="Palatino Linotype" w:cs="Palatino Linotype"/>
        </w:rPr>
        <w:t xml:space="preserve"> DE DOS MIL VEINTIDÓS, ANTE EL SECRETARIO TÉCNICO DEL PLENO ALEXIS TAPIA RAMÍREZ.</w:t>
      </w:r>
    </w:p>
    <w:p w14:paraId="6F766AF2" w14:textId="77777777" w:rsidR="00915741" w:rsidRPr="008C231D" w:rsidRDefault="00915741">
      <w:pPr>
        <w:spacing w:line="360" w:lineRule="auto"/>
        <w:jc w:val="both"/>
        <w:rPr>
          <w:rFonts w:ascii="Palatino Linotype" w:eastAsia="Palatino Linotype" w:hAnsi="Palatino Linotype" w:cs="Palatino Linotype"/>
        </w:rPr>
      </w:pPr>
    </w:p>
    <w:p w14:paraId="2CF1AC45" w14:textId="77777777" w:rsidR="00915741" w:rsidRPr="008C231D" w:rsidRDefault="00915741">
      <w:pPr>
        <w:spacing w:line="360" w:lineRule="auto"/>
        <w:jc w:val="both"/>
        <w:rPr>
          <w:rFonts w:ascii="Palatino Linotype" w:eastAsia="Palatino Linotype" w:hAnsi="Palatino Linotype" w:cs="Palatino Linotype"/>
        </w:rPr>
      </w:pPr>
    </w:p>
    <w:p w14:paraId="4E6A8B56" w14:textId="77777777" w:rsidR="00915741" w:rsidRPr="008C231D" w:rsidRDefault="00915741">
      <w:pPr>
        <w:spacing w:line="360" w:lineRule="auto"/>
        <w:jc w:val="both"/>
        <w:rPr>
          <w:rFonts w:ascii="Palatino Linotype" w:eastAsia="Palatino Linotype" w:hAnsi="Palatino Linotype" w:cs="Palatino Linotype"/>
        </w:rPr>
      </w:pPr>
    </w:p>
    <w:p w14:paraId="68704BE4" w14:textId="77777777" w:rsidR="00915741" w:rsidRPr="008C231D" w:rsidRDefault="00915741">
      <w:pPr>
        <w:spacing w:line="360" w:lineRule="auto"/>
        <w:jc w:val="both"/>
        <w:rPr>
          <w:rFonts w:ascii="Palatino Linotype" w:eastAsia="Palatino Linotype" w:hAnsi="Palatino Linotype" w:cs="Palatino Linotype"/>
        </w:rPr>
      </w:pPr>
    </w:p>
    <w:p w14:paraId="371C4804" w14:textId="77777777" w:rsidR="00915741" w:rsidRPr="008C231D" w:rsidRDefault="00915741">
      <w:pPr>
        <w:spacing w:line="360" w:lineRule="auto"/>
        <w:jc w:val="both"/>
        <w:rPr>
          <w:rFonts w:ascii="Palatino Linotype" w:eastAsia="Palatino Linotype" w:hAnsi="Palatino Linotype" w:cs="Palatino Linotype"/>
        </w:rPr>
      </w:pPr>
    </w:p>
    <w:p w14:paraId="5303814B" w14:textId="77777777" w:rsidR="00915741" w:rsidRPr="008C231D" w:rsidRDefault="00915741">
      <w:pPr>
        <w:spacing w:line="360" w:lineRule="auto"/>
        <w:jc w:val="both"/>
        <w:rPr>
          <w:rFonts w:ascii="Palatino Linotype" w:eastAsia="Palatino Linotype" w:hAnsi="Palatino Linotype" w:cs="Palatino Linotype"/>
        </w:rPr>
      </w:pPr>
    </w:p>
    <w:p w14:paraId="4883EACB" w14:textId="77777777" w:rsidR="00915741" w:rsidRPr="008C231D" w:rsidRDefault="00915741">
      <w:pPr>
        <w:spacing w:line="360" w:lineRule="auto"/>
        <w:jc w:val="both"/>
        <w:rPr>
          <w:rFonts w:ascii="Palatino Linotype" w:eastAsia="Palatino Linotype" w:hAnsi="Palatino Linotype" w:cs="Palatino Linotype"/>
        </w:rPr>
      </w:pPr>
    </w:p>
    <w:p w14:paraId="07D351B4" w14:textId="77777777" w:rsidR="00915741" w:rsidRPr="008C231D" w:rsidRDefault="00915741">
      <w:pPr>
        <w:spacing w:line="360" w:lineRule="auto"/>
        <w:jc w:val="both"/>
        <w:rPr>
          <w:rFonts w:ascii="Palatino Linotype" w:eastAsia="Palatino Linotype" w:hAnsi="Palatino Linotype" w:cs="Palatino Linotype"/>
        </w:rPr>
      </w:pPr>
    </w:p>
    <w:p w14:paraId="50F225B4" w14:textId="77777777" w:rsidR="00915741" w:rsidRPr="008C231D" w:rsidRDefault="00915741">
      <w:pPr>
        <w:spacing w:line="360" w:lineRule="auto"/>
        <w:jc w:val="both"/>
        <w:rPr>
          <w:rFonts w:ascii="Palatino Linotype" w:eastAsia="Palatino Linotype" w:hAnsi="Palatino Linotype" w:cs="Palatino Linotype"/>
        </w:rPr>
      </w:pPr>
    </w:p>
    <w:p w14:paraId="749D56E2" w14:textId="77777777" w:rsidR="00915741" w:rsidRPr="008C231D" w:rsidRDefault="00915741">
      <w:pPr>
        <w:spacing w:line="360" w:lineRule="auto"/>
        <w:jc w:val="both"/>
        <w:rPr>
          <w:rFonts w:ascii="Palatino Linotype" w:eastAsia="Palatino Linotype" w:hAnsi="Palatino Linotype" w:cs="Palatino Linotype"/>
        </w:rPr>
      </w:pPr>
    </w:p>
    <w:p w14:paraId="531B1CE7" w14:textId="77777777" w:rsidR="00915741" w:rsidRPr="008C231D" w:rsidRDefault="00915741">
      <w:pPr>
        <w:spacing w:line="360" w:lineRule="auto"/>
        <w:jc w:val="both"/>
        <w:rPr>
          <w:rFonts w:ascii="Palatino Linotype" w:eastAsia="Palatino Linotype" w:hAnsi="Palatino Linotype" w:cs="Palatino Linotype"/>
        </w:rPr>
      </w:pPr>
    </w:p>
    <w:p w14:paraId="5230AD0C" w14:textId="77777777" w:rsidR="00915741" w:rsidRPr="008C231D" w:rsidRDefault="00915741">
      <w:pPr>
        <w:spacing w:line="360" w:lineRule="auto"/>
        <w:jc w:val="both"/>
        <w:rPr>
          <w:rFonts w:ascii="Palatino Linotype" w:eastAsia="Palatino Linotype" w:hAnsi="Palatino Linotype" w:cs="Palatino Linotype"/>
        </w:rPr>
      </w:pPr>
    </w:p>
    <w:p w14:paraId="306B8B1D" w14:textId="77777777" w:rsidR="00915741" w:rsidRPr="008C231D" w:rsidRDefault="00915741">
      <w:pPr>
        <w:spacing w:line="360" w:lineRule="auto"/>
        <w:jc w:val="both"/>
        <w:rPr>
          <w:rFonts w:ascii="Palatino Linotype" w:eastAsia="Palatino Linotype" w:hAnsi="Palatino Linotype" w:cs="Palatino Linotype"/>
        </w:rPr>
      </w:pPr>
    </w:p>
    <w:p w14:paraId="28C4A4A3" w14:textId="77777777" w:rsidR="00915741" w:rsidRPr="008C231D" w:rsidRDefault="00915741">
      <w:pPr>
        <w:spacing w:line="360" w:lineRule="auto"/>
        <w:jc w:val="both"/>
        <w:rPr>
          <w:rFonts w:ascii="Palatino Linotype" w:eastAsia="Palatino Linotype" w:hAnsi="Palatino Linotype" w:cs="Palatino Linotype"/>
        </w:rPr>
      </w:pPr>
    </w:p>
    <w:p w14:paraId="1AECD789" w14:textId="77777777" w:rsidR="00915741" w:rsidRPr="008C231D" w:rsidRDefault="00915741">
      <w:pPr>
        <w:spacing w:line="360" w:lineRule="auto"/>
        <w:jc w:val="both"/>
        <w:rPr>
          <w:rFonts w:ascii="Palatino Linotype" w:eastAsia="Palatino Linotype" w:hAnsi="Palatino Linotype" w:cs="Palatino Linotype"/>
        </w:rPr>
      </w:pPr>
    </w:p>
    <w:p w14:paraId="0B155FD7" w14:textId="77777777" w:rsidR="00915741" w:rsidRPr="008C231D" w:rsidRDefault="00915741">
      <w:pPr>
        <w:spacing w:line="360" w:lineRule="auto"/>
        <w:jc w:val="both"/>
        <w:rPr>
          <w:rFonts w:ascii="Palatino Linotype" w:eastAsia="Palatino Linotype" w:hAnsi="Palatino Linotype" w:cs="Palatino Linotype"/>
        </w:rPr>
      </w:pPr>
    </w:p>
    <w:sectPr w:rsidR="00915741" w:rsidRPr="008C231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97100" w14:textId="77777777" w:rsidR="00342934" w:rsidRDefault="00342934">
      <w:r>
        <w:separator/>
      </w:r>
    </w:p>
  </w:endnote>
  <w:endnote w:type="continuationSeparator" w:id="0">
    <w:p w14:paraId="11BACDC0" w14:textId="77777777" w:rsidR="00342934" w:rsidRDefault="0034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88C2" w14:textId="77777777" w:rsidR="00915741" w:rsidRDefault="00306B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870C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870C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246455E4" w14:textId="77777777" w:rsidR="00915741" w:rsidRDefault="0091574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AF76" w14:textId="77777777" w:rsidR="00915741" w:rsidRDefault="00306B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870C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870C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3A1F2AB1" w14:textId="77777777" w:rsidR="00915741" w:rsidRDefault="0091574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E3CC8" w14:textId="77777777" w:rsidR="00342934" w:rsidRDefault="00342934">
      <w:r>
        <w:separator/>
      </w:r>
    </w:p>
  </w:footnote>
  <w:footnote w:type="continuationSeparator" w:id="0">
    <w:p w14:paraId="1C6690D2" w14:textId="77777777" w:rsidR="00342934" w:rsidRDefault="00342934">
      <w:r>
        <w:continuationSeparator/>
      </w:r>
    </w:p>
  </w:footnote>
  <w:footnote w:id="1">
    <w:p w14:paraId="33C966E0" w14:textId="77777777" w:rsidR="00915741" w:rsidRDefault="00306B9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507C70D2" w14:textId="77777777" w:rsidR="00915741" w:rsidRDefault="00915741">
      <w:pPr>
        <w:pBdr>
          <w:top w:val="nil"/>
          <w:left w:val="nil"/>
          <w:bottom w:val="nil"/>
          <w:right w:val="nil"/>
          <w:between w:val="nil"/>
        </w:pBdr>
        <w:rPr>
          <w:rFonts w:ascii="Palatino Linotype" w:eastAsia="Palatino Linotype" w:hAnsi="Palatino Linotype" w:cs="Palatino Linotype"/>
          <w:color w:val="000000"/>
          <w:sz w:val="16"/>
          <w:szCs w:val="16"/>
        </w:rPr>
      </w:pPr>
    </w:p>
  </w:footnote>
  <w:footnote w:id="2">
    <w:p w14:paraId="51011323" w14:textId="77777777" w:rsidR="00915741" w:rsidRDefault="00306B9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3148004E" w14:textId="77777777" w:rsidR="00915741" w:rsidRDefault="00306B9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87B2" w14:textId="77777777" w:rsidR="00915741" w:rsidRDefault="00306B9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C3BD6B1" wp14:editId="0EA80245">
          <wp:simplePos x="0" y="0"/>
          <wp:positionH relativeFrom="column">
            <wp:posOffset>-1080133</wp:posOffset>
          </wp:positionH>
          <wp:positionV relativeFrom="paragraph">
            <wp:posOffset>-488313</wp:posOffset>
          </wp:positionV>
          <wp:extent cx="7809865" cy="1016571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915741" w14:paraId="22333571" w14:textId="77777777">
      <w:tc>
        <w:tcPr>
          <w:tcW w:w="2489" w:type="dxa"/>
          <w:shd w:val="clear" w:color="auto" w:fill="auto"/>
        </w:tcPr>
        <w:p w14:paraId="68B2B026"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A1C7EA4" w14:textId="77777777" w:rsidR="00915741" w:rsidRDefault="00306B9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12439/INFOEM/IP/RR/2022</w:t>
          </w:r>
        </w:p>
      </w:tc>
    </w:tr>
    <w:tr w:rsidR="00915741" w14:paraId="3F964A2A" w14:textId="77777777">
      <w:trPr>
        <w:trHeight w:val="228"/>
      </w:trPr>
      <w:tc>
        <w:tcPr>
          <w:tcW w:w="2489" w:type="dxa"/>
          <w:shd w:val="clear" w:color="auto" w:fill="auto"/>
          <w:vAlign w:val="center"/>
        </w:tcPr>
        <w:p w14:paraId="2195FE0E"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24015F0" w14:textId="77777777" w:rsidR="00915741" w:rsidRDefault="00306B9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Universidad Tecnológica de Nezahualcóyotl</w:t>
          </w:r>
        </w:p>
      </w:tc>
    </w:tr>
    <w:tr w:rsidR="00915741" w14:paraId="126141DE" w14:textId="77777777">
      <w:tc>
        <w:tcPr>
          <w:tcW w:w="2489" w:type="dxa"/>
          <w:shd w:val="clear" w:color="auto" w:fill="auto"/>
          <w:vAlign w:val="center"/>
        </w:tcPr>
        <w:p w14:paraId="03A80D05" w14:textId="77777777" w:rsidR="00915741" w:rsidRDefault="00306B9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1083189" w14:textId="77777777" w:rsidR="00915741" w:rsidRDefault="00306B9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828A71C" w14:textId="77777777" w:rsidR="00915741" w:rsidRDefault="00306B9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3D2E" w14:textId="77777777" w:rsidR="00915741" w:rsidRDefault="0091574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915741" w14:paraId="0C9AFD08" w14:textId="77777777">
      <w:tc>
        <w:tcPr>
          <w:tcW w:w="2551" w:type="dxa"/>
          <w:shd w:val="clear" w:color="auto" w:fill="auto"/>
          <w:vAlign w:val="center"/>
        </w:tcPr>
        <w:p w14:paraId="7E07BD70"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09FB6694" w14:textId="77777777" w:rsidR="00915741" w:rsidRDefault="00306B9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12439/INFOEM/IP/RR/2022</w:t>
          </w:r>
        </w:p>
      </w:tc>
    </w:tr>
    <w:tr w:rsidR="00915741" w14:paraId="170FFD1F" w14:textId="77777777">
      <w:trPr>
        <w:trHeight w:val="130"/>
      </w:trPr>
      <w:tc>
        <w:tcPr>
          <w:tcW w:w="2551" w:type="dxa"/>
          <w:shd w:val="clear" w:color="auto" w:fill="auto"/>
          <w:vAlign w:val="center"/>
        </w:tcPr>
        <w:p w14:paraId="30E9D767"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5F94670" w14:textId="4B5E5E66" w:rsidR="00915741" w:rsidRDefault="00BE10F0">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 XXXXX</w:t>
          </w:r>
        </w:p>
      </w:tc>
    </w:tr>
    <w:tr w:rsidR="00915741" w14:paraId="7376E1B8" w14:textId="77777777">
      <w:trPr>
        <w:trHeight w:val="228"/>
      </w:trPr>
      <w:tc>
        <w:tcPr>
          <w:tcW w:w="2551" w:type="dxa"/>
          <w:shd w:val="clear" w:color="auto" w:fill="auto"/>
          <w:vAlign w:val="center"/>
        </w:tcPr>
        <w:p w14:paraId="5B6E5E35"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4211030" w14:textId="77777777" w:rsidR="00915741" w:rsidRDefault="00306B9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Universidad Tecnológica de Nezahualcóyotl</w:t>
          </w:r>
        </w:p>
      </w:tc>
    </w:tr>
    <w:tr w:rsidR="00915741" w14:paraId="1DF6ED6D" w14:textId="77777777">
      <w:tc>
        <w:tcPr>
          <w:tcW w:w="2551" w:type="dxa"/>
          <w:shd w:val="clear" w:color="auto" w:fill="auto"/>
          <w:vAlign w:val="center"/>
        </w:tcPr>
        <w:p w14:paraId="32BE3958"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6AAB538" w14:textId="77777777" w:rsidR="00915741" w:rsidRDefault="00306B9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FF3E66" w14:textId="77777777" w:rsidR="00915741" w:rsidRDefault="00306B9C">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5E6BCCDC" wp14:editId="689EEBD0">
          <wp:simplePos x="0" y="0"/>
          <wp:positionH relativeFrom="column">
            <wp:posOffset>-1089658</wp:posOffset>
          </wp:positionH>
          <wp:positionV relativeFrom="paragraph">
            <wp:posOffset>-1169668</wp:posOffset>
          </wp:positionV>
          <wp:extent cx="7809865" cy="1016571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C0B78"/>
    <w:multiLevelType w:val="multilevel"/>
    <w:tmpl w:val="7C0A137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5FA633AB"/>
    <w:multiLevelType w:val="multilevel"/>
    <w:tmpl w:val="E98C588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41"/>
    <w:rsid w:val="001A7C09"/>
    <w:rsid w:val="001E3183"/>
    <w:rsid w:val="00306B9C"/>
    <w:rsid w:val="00342934"/>
    <w:rsid w:val="00445A99"/>
    <w:rsid w:val="006870C6"/>
    <w:rsid w:val="007D58F5"/>
    <w:rsid w:val="008C231D"/>
    <w:rsid w:val="00915741"/>
    <w:rsid w:val="00A85768"/>
    <w:rsid w:val="00BE10F0"/>
    <w:rsid w:val="00C0670D"/>
    <w:rsid w:val="00D544CC"/>
    <w:rsid w:val="00DA2BBD"/>
    <w:rsid w:val="00F22E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4B66"/>
  <w15:docId w15:val="{4A8384F8-B4DD-4EC6-BD9C-4E621761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3W04WynUJfAnOIEG5iSEpKT9Jg==">AMUW2mUUJNTQDDoyuG7P2DCOvij/7vUpGxvAPSgH/0atY58u0S2N7JwMOizmUEG5SdrJkWd5+jJOb4RJcf/WegdVNi3+NXiNqvTJz3NcMG64qUWv93R364e6Ax//dkt+b/IQpF48UxHTiobLRviq6XIye6o8XJUKErWSDLgSoKBijlZrR1WSSxOXKHCaRRqzUVlB98KEekj8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4934</Words>
  <Characters>27143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2022-11-11T00:02:00Z</cp:lastPrinted>
  <dcterms:created xsi:type="dcterms:W3CDTF">2022-12-05T05:22:00Z</dcterms:created>
  <dcterms:modified xsi:type="dcterms:W3CDTF">2022-12-05T05:22:00Z</dcterms:modified>
</cp:coreProperties>
</file>