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E0515" w14:textId="77777777" w:rsidR="0011069C" w:rsidRPr="0024200F" w:rsidRDefault="0011069C" w:rsidP="0011069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B3AC4">
        <w:rPr>
          <w:rFonts w:ascii="Palatino Linotype" w:hAnsi="Palatino Linotype"/>
        </w:rPr>
        <w:t xml:space="preserve"> uno de junio </w:t>
      </w:r>
      <w:r>
        <w:rPr>
          <w:rFonts w:ascii="Palatino Linotype" w:hAnsi="Palatino Linotype"/>
        </w:rPr>
        <w:t>de dos mil veintidós</w:t>
      </w:r>
      <w:r w:rsidRPr="0024200F">
        <w:rPr>
          <w:rFonts w:ascii="Palatino Linotype" w:hAnsi="Palatino Linotype"/>
        </w:rPr>
        <w:t>.</w:t>
      </w:r>
    </w:p>
    <w:p w14:paraId="64B5CF31" w14:textId="77777777" w:rsidR="0011069C" w:rsidRPr="0024200F" w:rsidRDefault="0011069C" w:rsidP="0011069C">
      <w:pPr>
        <w:spacing w:line="360" w:lineRule="auto"/>
        <w:jc w:val="both"/>
        <w:rPr>
          <w:rFonts w:ascii="Palatino Linotype" w:hAnsi="Palatino Linotype"/>
        </w:rPr>
      </w:pPr>
    </w:p>
    <w:p w14:paraId="2DDA7F77" w14:textId="16E5F66C" w:rsidR="0011069C" w:rsidRPr="0024200F" w:rsidRDefault="0011069C" w:rsidP="0011069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del recurso de revisión</w:t>
      </w:r>
      <w:r>
        <w:rPr>
          <w:rFonts w:ascii="Palatino Linotype" w:hAnsi="Palatino Linotype"/>
        </w:rPr>
        <w:t xml:space="preserve"> número</w:t>
      </w:r>
      <w:r w:rsidRPr="0024200F">
        <w:rPr>
          <w:rFonts w:ascii="Palatino Linotype" w:hAnsi="Palatino Linotype"/>
        </w:rPr>
        <w:t xml:space="preserve"> </w:t>
      </w:r>
      <w:r w:rsidRPr="00A53BB7">
        <w:rPr>
          <w:rFonts w:ascii="Palatino Linotype" w:hAnsi="Palatino Linotype"/>
          <w:b/>
        </w:rPr>
        <w:t>0</w:t>
      </w:r>
      <w:r>
        <w:rPr>
          <w:rFonts w:ascii="Palatino Linotype" w:hAnsi="Palatino Linotype"/>
          <w:b/>
        </w:rPr>
        <w:t>4110</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Pr="00A53BB7">
        <w:rPr>
          <w:rFonts w:ascii="Palatino Linotype" w:hAnsi="Palatino Linotype"/>
          <w:lang w:val="es-ES_tradnl"/>
        </w:rPr>
        <w:t xml:space="preserve"> </w:t>
      </w:r>
      <w:proofErr w:type="spellStart"/>
      <w:r w:rsidR="00C11767">
        <w:rPr>
          <w:rFonts w:ascii="Palatino Linotype" w:hAnsi="Palatino Linotype"/>
          <w:b/>
          <w:lang w:val="es-ES_tradnl"/>
        </w:rPr>
        <w:t>xxxxx</w:t>
      </w:r>
      <w:proofErr w:type="spellEnd"/>
      <w:r w:rsidR="00C11767">
        <w:rPr>
          <w:rFonts w:ascii="Palatino Linotype" w:hAnsi="Palatino Linotype"/>
          <w:b/>
          <w:lang w:val="es-ES_tradnl"/>
        </w:rPr>
        <w:t xml:space="preserve"> </w:t>
      </w:r>
      <w:proofErr w:type="spellStart"/>
      <w:r w:rsidR="00C11767">
        <w:rPr>
          <w:rFonts w:ascii="Palatino Linotype" w:hAnsi="Palatino Linotype"/>
          <w:b/>
          <w:lang w:val="es-ES_tradnl"/>
        </w:rPr>
        <w:t>xxxxxxxxxxxx</w:t>
      </w:r>
      <w:proofErr w:type="spellEnd"/>
      <w:r w:rsidR="00C11767">
        <w:rPr>
          <w:rFonts w:ascii="Palatino Linotype" w:hAnsi="Palatino Linotype"/>
          <w:b/>
          <w:lang w:val="es-ES_tradnl"/>
        </w:rPr>
        <w:t xml:space="preserve"> </w:t>
      </w:r>
      <w:proofErr w:type="spellStart"/>
      <w:r w:rsidR="00C11767">
        <w:rPr>
          <w:rFonts w:ascii="Palatino Linotype" w:hAnsi="Palatino Linotype"/>
          <w:b/>
          <w:lang w:val="es-ES_tradnl"/>
        </w:rPr>
        <w:t>xxxxxxxxxxx</w:t>
      </w:r>
      <w:proofErr w:type="spellEnd"/>
      <w:r w:rsidR="00C11767">
        <w:rPr>
          <w:rFonts w:ascii="Palatino Linotype" w:hAnsi="Palatino Linotype"/>
          <w:b/>
          <w:lang w:val="es-ES_tradnl"/>
        </w:rPr>
        <w:t xml:space="preserve"> </w:t>
      </w:r>
      <w:proofErr w:type="spellStart"/>
      <w:r w:rsidR="00C11767">
        <w:rPr>
          <w:rFonts w:ascii="Palatino Linotype" w:hAnsi="Palatino Linotype"/>
          <w:b/>
          <w:lang w:val="es-ES_tradnl"/>
        </w:rPr>
        <w:t>xxxx</w:t>
      </w:r>
      <w:proofErr w:type="spellEnd"/>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11069C">
        <w:rPr>
          <w:rFonts w:ascii="Palatino Linotype" w:hAnsi="Palatino Linotype"/>
          <w:b/>
        </w:rPr>
        <w:t>Sistema Municipal Para el Desarrollo Integral de la Familia de Nicolás Romero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3258CAF4" w14:textId="77777777" w:rsidR="0011069C" w:rsidRPr="002478BC" w:rsidRDefault="0011069C" w:rsidP="0011069C">
      <w:pPr>
        <w:spacing w:line="360" w:lineRule="auto"/>
        <w:jc w:val="center"/>
        <w:rPr>
          <w:rFonts w:ascii="Palatino Linotype" w:hAnsi="Palatino Linotype"/>
          <w:b/>
          <w:bCs/>
          <w:spacing w:val="60"/>
          <w:lang w:val="es-ES_tradnl"/>
        </w:rPr>
      </w:pPr>
      <w:bookmarkStart w:id="0" w:name="_GoBack"/>
      <w:bookmarkEnd w:id="0"/>
    </w:p>
    <w:p w14:paraId="136EBA80" w14:textId="77777777" w:rsidR="0011069C" w:rsidRPr="0024200F" w:rsidRDefault="0011069C" w:rsidP="0011069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19F57B65" w14:textId="77777777" w:rsidR="0011069C" w:rsidRPr="0024200F" w:rsidRDefault="0011069C" w:rsidP="0011069C">
      <w:pPr>
        <w:spacing w:line="360" w:lineRule="auto"/>
        <w:jc w:val="center"/>
        <w:rPr>
          <w:rFonts w:ascii="Palatino Linotype" w:hAnsi="Palatino Linotype"/>
          <w:b/>
          <w:bCs/>
          <w:spacing w:val="60"/>
          <w:lang w:val="es-ES_tradnl"/>
        </w:rPr>
      </w:pPr>
    </w:p>
    <w:p w14:paraId="798BA2B0" w14:textId="77777777" w:rsidR="0011069C" w:rsidRPr="0024200F" w:rsidRDefault="0011069C" w:rsidP="0011069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28 (veintiocho) de febrero de 2022 (dos mil veintidós)</w:t>
      </w:r>
      <w:r w:rsidR="001C2243">
        <w:rPr>
          <w:rStyle w:val="Refdenotaalpie"/>
          <w:rFonts w:ascii="Palatino Linotype" w:hAnsi="Palatino Linotype"/>
        </w:rPr>
        <w:footnoteReference w:id="1"/>
      </w:r>
      <w:r w:rsidRPr="0024200F">
        <w:rPr>
          <w:rFonts w:ascii="Palatino Linotype" w:hAnsi="Palatino Linotype"/>
        </w:rPr>
        <w:t xml:space="preserve">, </w:t>
      </w:r>
      <w:r>
        <w:rPr>
          <w:rFonts w:ascii="Palatino Linotype" w:hAnsi="Palatino Linotype"/>
        </w:rPr>
        <w:t xml:space="preserve">la </w:t>
      </w:r>
      <w:r w:rsidRPr="005C2BEF">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1C2243" w:rsidRPr="001C2243">
        <w:rPr>
          <w:rFonts w:ascii="Palatino Linotype" w:hAnsi="Palatino Linotype"/>
          <w:b/>
          <w:bCs/>
        </w:rPr>
        <w:t>00003/DIFNICOROM/IP/2022</w:t>
      </w:r>
      <w:r>
        <w:rPr>
          <w:rFonts w:ascii="Palatino Linotype" w:hAnsi="Palatino Linotype"/>
          <w:b/>
          <w:bCs/>
        </w:rPr>
        <w:t>,</w:t>
      </w:r>
      <w:r w:rsidRPr="00802516">
        <w:rPr>
          <w:rFonts w:ascii="Palatino Linotype" w:hAnsi="Palatino Linotype"/>
          <w:bCs/>
        </w:rPr>
        <w:t xml:space="preserve"> </w:t>
      </w:r>
      <w:r w:rsidRPr="0024200F">
        <w:rPr>
          <w:rFonts w:ascii="Palatino Linotype" w:hAnsi="Palatino Linotype"/>
        </w:rPr>
        <w:t>mediante la cual solicitó, lo siguiente:</w:t>
      </w:r>
    </w:p>
    <w:p w14:paraId="7CED2156" w14:textId="77777777" w:rsidR="0011069C" w:rsidRDefault="0011069C" w:rsidP="0011069C">
      <w:pPr>
        <w:spacing w:line="360" w:lineRule="auto"/>
        <w:jc w:val="both"/>
        <w:rPr>
          <w:rFonts w:ascii="Palatino Linotype" w:hAnsi="Palatino Linotype" w:cs="Arial"/>
        </w:rPr>
      </w:pPr>
    </w:p>
    <w:p w14:paraId="3024D38F" w14:textId="77777777" w:rsidR="0011069C" w:rsidRPr="00157DDD" w:rsidRDefault="0011069C" w:rsidP="0011069C">
      <w:pPr>
        <w:ind w:left="567" w:right="616"/>
        <w:jc w:val="both"/>
        <w:rPr>
          <w:rFonts w:ascii="Palatino Linotype" w:hAnsi="Palatino Linotype"/>
          <w:bCs/>
          <w:i/>
          <w:sz w:val="22"/>
        </w:rPr>
      </w:pPr>
      <w:r w:rsidRPr="00157DDD">
        <w:rPr>
          <w:rFonts w:ascii="Palatino Linotype" w:hAnsi="Palatino Linotype"/>
          <w:bCs/>
          <w:i/>
          <w:sz w:val="22"/>
        </w:rPr>
        <w:t>“</w:t>
      </w:r>
      <w:r w:rsidR="001C2243" w:rsidRPr="001C2243">
        <w:rPr>
          <w:rFonts w:ascii="Palatino Linotype" w:hAnsi="Palatino Linotype"/>
          <w:bCs/>
          <w:i/>
          <w:sz w:val="22"/>
        </w:rPr>
        <w:t xml:space="preserve">solicito al entrega recepción y el finiquito entregado al servidor </w:t>
      </w:r>
      <w:proofErr w:type="spellStart"/>
      <w:r w:rsidR="001C2243" w:rsidRPr="001C2243">
        <w:rPr>
          <w:rFonts w:ascii="Palatino Linotype" w:hAnsi="Palatino Linotype"/>
          <w:bCs/>
          <w:i/>
          <w:sz w:val="22"/>
        </w:rPr>
        <w:t>publico</w:t>
      </w:r>
      <w:proofErr w:type="spellEnd"/>
      <w:r w:rsidR="001C2243" w:rsidRPr="001C2243">
        <w:rPr>
          <w:rFonts w:ascii="Palatino Linotype" w:hAnsi="Palatino Linotype"/>
          <w:bCs/>
          <w:i/>
          <w:sz w:val="22"/>
        </w:rPr>
        <w:t xml:space="preserve"> saliente de la </w:t>
      </w:r>
      <w:proofErr w:type="spellStart"/>
      <w:r w:rsidR="001C2243" w:rsidRPr="001C2243">
        <w:rPr>
          <w:rFonts w:ascii="Palatino Linotype" w:hAnsi="Palatino Linotype"/>
          <w:bCs/>
          <w:i/>
          <w:sz w:val="22"/>
        </w:rPr>
        <w:t>contraloria</w:t>
      </w:r>
      <w:proofErr w:type="spellEnd"/>
      <w:r w:rsidR="001C2243" w:rsidRPr="001C2243">
        <w:rPr>
          <w:rFonts w:ascii="Palatino Linotype" w:hAnsi="Palatino Linotype"/>
          <w:bCs/>
          <w:i/>
          <w:sz w:val="22"/>
        </w:rPr>
        <w:t xml:space="preserve"> </w:t>
      </w:r>
      <w:proofErr w:type="spellStart"/>
      <w:r w:rsidR="001C2243" w:rsidRPr="001C2243">
        <w:rPr>
          <w:rFonts w:ascii="Palatino Linotype" w:hAnsi="Palatino Linotype"/>
          <w:bCs/>
          <w:i/>
          <w:sz w:val="22"/>
        </w:rPr>
        <w:t>asi</w:t>
      </w:r>
      <w:proofErr w:type="spellEnd"/>
      <w:r w:rsidR="001C2243" w:rsidRPr="001C2243">
        <w:rPr>
          <w:rFonts w:ascii="Palatino Linotype" w:hAnsi="Palatino Linotype"/>
          <w:bCs/>
          <w:i/>
          <w:sz w:val="22"/>
        </w:rPr>
        <w:t xml:space="preserve"> como copia de su renuncia del 2021</w:t>
      </w:r>
      <w:r w:rsidRPr="002D01D2">
        <w:rPr>
          <w:rFonts w:ascii="Palatino Linotype" w:hAnsi="Palatino Linotype"/>
          <w:bCs/>
          <w:i/>
          <w:sz w:val="22"/>
        </w:rPr>
        <w:t>”</w:t>
      </w:r>
    </w:p>
    <w:p w14:paraId="0FD4DD68" w14:textId="77777777" w:rsidR="0011069C" w:rsidRDefault="0011069C" w:rsidP="0011069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743EAB0E" w14:textId="77777777" w:rsidR="0011069C" w:rsidRDefault="0011069C" w:rsidP="0011069C">
      <w:pPr>
        <w:spacing w:line="360" w:lineRule="auto"/>
        <w:jc w:val="both"/>
        <w:rPr>
          <w:rFonts w:ascii="Palatino Linotype" w:hAnsi="Palatino Linotype"/>
          <w:szCs w:val="28"/>
          <w:lang w:val="es-MX"/>
        </w:rPr>
      </w:pPr>
    </w:p>
    <w:p w14:paraId="233534D8" w14:textId="77777777" w:rsidR="0011069C" w:rsidRPr="0056113A" w:rsidRDefault="0011069C" w:rsidP="0011069C">
      <w:pPr>
        <w:spacing w:line="360" w:lineRule="auto"/>
        <w:jc w:val="both"/>
        <w:rPr>
          <w:rFonts w:ascii="Palatino Linotype" w:hAnsi="Palatino Linotype"/>
          <w:szCs w:val="28"/>
          <w:lang w:val="es-MX"/>
        </w:rPr>
      </w:pPr>
    </w:p>
    <w:p w14:paraId="4B390694" w14:textId="77777777" w:rsidR="001C2243" w:rsidRDefault="0011069C" w:rsidP="0011069C">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w:t>
      </w:r>
      <w:r w:rsidR="001C2243">
        <w:rPr>
          <w:rFonts w:ascii="Palatino Linotype" w:hAnsi="Palatino Linotype"/>
        </w:rPr>
        <w:t xml:space="preserve">n fecha 07 (siete) de marzo de 2022 (dos mil veintidós), requirió al particular, </w:t>
      </w:r>
      <w:r w:rsidR="001C2243">
        <w:rPr>
          <w:rFonts w:ascii="Palatino Linotype" w:hAnsi="Palatino Linotype"/>
          <w:b/>
        </w:rPr>
        <w:t>aclarara</w:t>
      </w:r>
      <w:r w:rsidR="001C2243">
        <w:rPr>
          <w:rFonts w:ascii="Palatino Linotype" w:hAnsi="Palatino Linotype"/>
        </w:rPr>
        <w:t xml:space="preserve"> su solicitud de información, en los términos siguientes:</w:t>
      </w:r>
    </w:p>
    <w:p w14:paraId="65BE39E0" w14:textId="77777777" w:rsidR="001C2243" w:rsidRDefault="001C2243" w:rsidP="0011069C">
      <w:pPr>
        <w:spacing w:line="360" w:lineRule="auto"/>
        <w:jc w:val="both"/>
        <w:rPr>
          <w:rFonts w:ascii="Palatino Linotype" w:hAnsi="Palatino Linotype"/>
        </w:rPr>
      </w:pPr>
    </w:p>
    <w:p w14:paraId="4DBF259C" w14:textId="77777777" w:rsidR="001C2243" w:rsidRDefault="001C2243" w:rsidP="001C2243">
      <w:pPr>
        <w:ind w:left="567" w:right="616"/>
        <w:jc w:val="both"/>
        <w:rPr>
          <w:rFonts w:ascii="Palatino Linotype" w:hAnsi="Palatino Linotype"/>
          <w:i/>
          <w:sz w:val="22"/>
        </w:rPr>
      </w:pPr>
      <w:r>
        <w:rPr>
          <w:rFonts w:ascii="Palatino Linotype" w:hAnsi="Palatino Linotype"/>
          <w:i/>
          <w:sz w:val="22"/>
        </w:rPr>
        <w:t>“</w:t>
      </w:r>
      <w:r w:rsidRPr="001C2243">
        <w:rPr>
          <w:rFonts w:ascii="Palatino Linotype" w:hAnsi="Palatino Linotype"/>
          <w:i/>
          <w:sz w:val="22"/>
        </w:rPr>
        <w:t xml:space="preserve">Con fundamento en el </w:t>
      </w:r>
      <w:proofErr w:type="spellStart"/>
      <w:r w:rsidRPr="001C2243">
        <w:rPr>
          <w:rFonts w:ascii="Palatino Linotype" w:hAnsi="Palatino Linotype"/>
          <w:i/>
          <w:sz w:val="22"/>
        </w:rPr>
        <w:t>articulo</w:t>
      </w:r>
      <w:proofErr w:type="spellEnd"/>
      <w:r w:rsidRPr="001C2243">
        <w:rPr>
          <w:rFonts w:ascii="Palatino Linotype" w:hAnsi="Palatino Linotype"/>
          <w:i/>
          <w:sz w:val="22"/>
        </w:rPr>
        <w:t xml:space="preserve"> 159 de la Ley de Transparencia y Acceso a la Información Pública del Estado de México y Municipios, se le requiere para que dentro del plazo de diez días hábiles realice lo siguiente:</w:t>
      </w:r>
    </w:p>
    <w:p w14:paraId="3912A657" w14:textId="77777777" w:rsidR="001C2243" w:rsidRPr="001C2243" w:rsidRDefault="001C2243" w:rsidP="001C2243">
      <w:pPr>
        <w:ind w:left="567" w:right="616"/>
        <w:jc w:val="both"/>
        <w:rPr>
          <w:rFonts w:ascii="Palatino Linotype" w:hAnsi="Palatino Linotype"/>
          <w:i/>
          <w:sz w:val="22"/>
        </w:rPr>
      </w:pPr>
    </w:p>
    <w:p w14:paraId="1B843B30" w14:textId="77777777" w:rsidR="001C2243" w:rsidRPr="001C2243" w:rsidRDefault="001C2243" w:rsidP="001C2243">
      <w:pPr>
        <w:ind w:left="567" w:right="616"/>
        <w:jc w:val="both"/>
        <w:rPr>
          <w:rFonts w:ascii="Palatino Linotype" w:hAnsi="Palatino Linotype"/>
          <w:i/>
          <w:sz w:val="22"/>
        </w:rPr>
      </w:pPr>
      <w:r w:rsidRPr="001C2243">
        <w:rPr>
          <w:rFonts w:ascii="Palatino Linotype" w:hAnsi="Palatino Linotype"/>
          <w:i/>
          <w:sz w:val="22"/>
        </w:rPr>
        <w:t xml:space="preserve">Por lo cual, en términos del artículo 159 de la Ley de Transparencia y Acceso a la Información Pública del Estado de México y Municipios, que a letra dice: “…Cuando los detalles proporcionados para localizar los documentos resulten insuficientes, incompletos o sean erróneos, la Unidad de Transparencia podrá requerir al solicitante, indique otros elementos que complementen, corrijan o amplíen los datos proporcionados o bien, precise uno o varios requerimientos de información…” </w:t>
      </w:r>
      <w:r w:rsidRPr="001C2243">
        <w:rPr>
          <w:rFonts w:ascii="Palatino Linotype" w:hAnsi="Palatino Linotype"/>
          <w:i/>
          <w:sz w:val="22"/>
          <w:u w:val="single"/>
        </w:rPr>
        <w:t>Es menester requerirle al solicitante, sea más claro y/o preciso en cuanto a su interrogante aportando mayores datos y más precisos en cuanto a ¿Qué Servidor Público de la Contraloría Interna se refiere?</w:t>
      </w:r>
      <w:r w:rsidRPr="001C2243">
        <w:rPr>
          <w:rFonts w:ascii="Palatino Linotype" w:hAnsi="Palatino Linotype"/>
          <w:i/>
          <w:sz w:val="22"/>
        </w:rPr>
        <w:t xml:space="preserve"> para así estar en posibilidad de atender dicha solicitud, lo anterior para los efectos legales a que haya lugar.</w:t>
      </w:r>
    </w:p>
    <w:p w14:paraId="3ADF6346" w14:textId="77777777" w:rsidR="001C2243" w:rsidRDefault="001C2243" w:rsidP="001C2243">
      <w:pPr>
        <w:ind w:left="567" w:right="616"/>
        <w:jc w:val="both"/>
        <w:rPr>
          <w:rFonts w:ascii="Palatino Linotype" w:hAnsi="Palatino Linotype"/>
          <w:sz w:val="22"/>
        </w:rPr>
      </w:pPr>
      <w:r w:rsidRPr="001C2243">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F04F2B" w14:textId="77777777" w:rsidR="001C2243" w:rsidRDefault="001C2243" w:rsidP="001C2243">
      <w:pPr>
        <w:ind w:left="567" w:right="616"/>
        <w:jc w:val="both"/>
        <w:rPr>
          <w:rFonts w:ascii="Palatino Linotype" w:hAnsi="Palatino Linotype"/>
          <w:sz w:val="22"/>
        </w:rPr>
      </w:pPr>
    </w:p>
    <w:p w14:paraId="6C19FD2F" w14:textId="77777777" w:rsidR="001C2243" w:rsidRPr="001C2243" w:rsidRDefault="001C2243" w:rsidP="001C2243">
      <w:pPr>
        <w:ind w:left="567" w:right="616"/>
        <w:jc w:val="right"/>
        <w:rPr>
          <w:rFonts w:ascii="Palatino Linotype" w:hAnsi="Palatino Linotype"/>
          <w:sz w:val="22"/>
        </w:rPr>
      </w:pPr>
      <w:r>
        <w:rPr>
          <w:rFonts w:ascii="Palatino Linotype" w:hAnsi="Palatino Linotype"/>
          <w:sz w:val="22"/>
        </w:rPr>
        <w:t>(Énfasis añadido)</w:t>
      </w:r>
    </w:p>
    <w:p w14:paraId="3C12E8BD" w14:textId="77777777" w:rsidR="001C2243" w:rsidRDefault="001C2243" w:rsidP="0011069C">
      <w:pPr>
        <w:spacing w:line="360" w:lineRule="auto"/>
        <w:jc w:val="both"/>
        <w:rPr>
          <w:rFonts w:ascii="Palatino Linotype" w:hAnsi="Palatino Linotype"/>
        </w:rPr>
      </w:pPr>
    </w:p>
    <w:p w14:paraId="3C776D75" w14:textId="77777777" w:rsidR="001C2243" w:rsidRDefault="001C2243" w:rsidP="0011069C">
      <w:pPr>
        <w:spacing w:line="360" w:lineRule="auto"/>
        <w:jc w:val="both"/>
        <w:rPr>
          <w:rFonts w:ascii="Palatino Linotype" w:hAnsi="Palatino Linotype"/>
        </w:rPr>
      </w:pPr>
      <w:r>
        <w:rPr>
          <w:rFonts w:ascii="Palatino Linotype" w:hAnsi="Palatino Linotype"/>
        </w:rPr>
        <w:t>Se hace constar que el Sujeto Obligado, adjuntó el documento electrónico “</w:t>
      </w:r>
      <w:r w:rsidRPr="001C2243">
        <w:rPr>
          <w:rFonts w:ascii="Palatino Linotype" w:hAnsi="Palatino Linotype"/>
        </w:rPr>
        <w:t>SOLICITUD DE ACLARACIÓN.pdf</w:t>
      </w:r>
      <w:r>
        <w:rPr>
          <w:rFonts w:ascii="Palatino Linotype" w:hAnsi="Palatino Linotype"/>
        </w:rPr>
        <w:t>”, relativo al oficio número NRDIF/UT/016/2022, mediante el cual el Titular de la Unidad de Transparencia, realiza el requerimiento, cuyo contenido corresponde al citado en el párrafo precedente, el cual se tiene por reproducido como si a la letra se insertase, en obvio de repeticiones innecesarias.</w:t>
      </w:r>
    </w:p>
    <w:p w14:paraId="4CAEF054" w14:textId="77777777" w:rsidR="0011069C" w:rsidRDefault="001C2243" w:rsidP="001C2243">
      <w:pPr>
        <w:spacing w:line="360" w:lineRule="auto"/>
        <w:jc w:val="both"/>
        <w:rPr>
          <w:rFonts w:ascii="Palatino Linotype" w:hAnsi="Palatino Linotype"/>
        </w:rPr>
      </w:pPr>
      <w:r w:rsidRPr="00DF05C5">
        <w:rPr>
          <w:rFonts w:ascii="Palatino Linotype" w:hAnsi="Palatino Linotype"/>
          <w:b/>
          <w:sz w:val="28"/>
        </w:rPr>
        <w:lastRenderedPageBreak/>
        <w:t>TERCERO</w:t>
      </w:r>
      <w:r>
        <w:rPr>
          <w:rFonts w:ascii="Palatino Linotype" w:hAnsi="Palatino Linotype"/>
          <w:b/>
        </w:rPr>
        <w:t>.</w:t>
      </w:r>
      <w:r>
        <w:rPr>
          <w:rFonts w:ascii="Palatino Linotype" w:hAnsi="Palatino Linotype"/>
        </w:rPr>
        <w:t xml:space="preserve"> Derivado del requerimiento de aclaración, la </w:t>
      </w:r>
      <w:r>
        <w:rPr>
          <w:rFonts w:ascii="Palatino Linotype" w:hAnsi="Palatino Linotype"/>
          <w:b/>
        </w:rPr>
        <w:t>Recurrente</w:t>
      </w:r>
      <w:r>
        <w:rPr>
          <w:rFonts w:ascii="Palatino Linotype" w:hAnsi="Palatino Linotype"/>
        </w:rPr>
        <w:t xml:space="preserve"> se sirvió en desahogar la misma, en fecha 07 (siete) de marzo de 2022 (dos mil veintidós), </w:t>
      </w:r>
      <w:r w:rsidR="0011069C" w:rsidRPr="0024200F">
        <w:rPr>
          <w:rFonts w:ascii="Palatino Linotype" w:hAnsi="Palatino Linotype"/>
        </w:rPr>
        <w:t xml:space="preserve">en </w:t>
      </w:r>
      <w:r w:rsidR="0011069C">
        <w:rPr>
          <w:rFonts w:ascii="Palatino Linotype" w:hAnsi="Palatino Linotype"/>
        </w:rPr>
        <w:t>los términos siguientes:</w:t>
      </w:r>
    </w:p>
    <w:p w14:paraId="6E46A3A6" w14:textId="77777777" w:rsidR="0011069C" w:rsidRDefault="0011069C" w:rsidP="0011069C">
      <w:pPr>
        <w:spacing w:line="360" w:lineRule="auto"/>
        <w:jc w:val="both"/>
        <w:rPr>
          <w:rFonts w:ascii="Palatino Linotype" w:hAnsi="Palatino Linotype"/>
        </w:rPr>
      </w:pPr>
    </w:p>
    <w:p w14:paraId="27010F0B" w14:textId="77777777" w:rsidR="00DF05C5" w:rsidRPr="00DF05C5" w:rsidRDefault="0011069C" w:rsidP="00DF05C5">
      <w:pPr>
        <w:ind w:left="567" w:right="616"/>
        <w:jc w:val="both"/>
        <w:rPr>
          <w:rFonts w:ascii="Palatino Linotype" w:hAnsi="Palatino Linotype"/>
          <w:bCs/>
          <w:i/>
          <w:sz w:val="22"/>
        </w:rPr>
      </w:pPr>
      <w:r w:rsidRPr="00157DDD">
        <w:rPr>
          <w:rFonts w:ascii="Palatino Linotype" w:hAnsi="Palatino Linotype"/>
          <w:bCs/>
          <w:i/>
          <w:sz w:val="22"/>
        </w:rPr>
        <w:t>“</w:t>
      </w:r>
      <w:r w:rsidR="00DF05C5" w:rsidRPr="00DF05C5">
        <w:rPr>
          <w:rFonts w:ascii="Palatino Linotype" w:hAnsi="Palatino Linotype"/>
          <w:b/>
          <w:bCs/>
          <w:i/>
          <w:sz w:val="22"/>
        </w:rPr>
        <w:t>DATOS A COMPLETAR, CORREGIR, AMPLIAR O ACLARAR</w:t>
      </w:r>
    </w:p>
    <w:p w14:paraId="6EAAD6A9" w14:textId="77777777" w:rsidR="0011069C" w:rsidRPr="00157DDD" w:rsidRDefault="00DF05C5" w:rsidP="00DF05C5">
      <w:pPr>
        <w:ind w:left="567" w:right="616"/>
        <w:jc w:val="both"/>
        <w:rPr>
          <w:rFonts w:ascii="Palatino Linotype" w:hAnsi="Palatino Linotype"/>
          <w:bCs/>
          <w:i/>
          <w:sz w:val="22"/>
        </w:rPr>
      </w:pPr>
      <w:r w:rsidRPr="00DF05C5">
        <w:rPr>
          <w:rFonts w:ascii="Palatino Linotype" w:hAnsi="Palatino Linotype"/>
          <w:bCs/>
          <w:i/>
          <w:sz w:val="22"/>
        </w:rPr>
        <w:t xml:space="preserve">Solicitó el acta entrega recepción con sus respectivos </w:t>
      </w:r>
      <w:proofErr w:type="gramStart"/>
      <w:r w:rsidRPr="00DF05C5">
        <w:rPr>
          <w:rFonts w:ascii="Palatino Linotype" w:hAnsi="Palatino Linotype"/>
          <w:bCs/>
          <w:i/>
          <w:sz w:val="22"/>
        </w:rPr>
        <w:t>anexos ,</w:t>
      </w:r>
      <w:proofErr w:type="gramEnd"/>
      <w:r w:rsidRPr="00DF05C5">
        <w:rPr>
          <w:rFonts w:ascii="Palatino Linotype" w:hAnsi="Palatino Linotype"/>
          <w:bCs/>
          <w:i/>
          <w:sz w:val="22"/>
        </w:rPr>
        <w:t xml:space="preserve"> renuncia y finiquito entregado al responsable de la contraloría de DIF del 2021 al realizar la entrega al nuevo </w:t>
      </w:r>
      <w:proofErr w:type="spellStart"/>
      <w:r w:rsidRPr="00DF05C5">
        <w:rPr>
          <w:rFonts w:ascii="Palatino Linotype" w:hAnsi="Palatino Linotype"/>
          <w:bCs/>
          <w:i/>
          <w:sz w:val="22"/>
        </w:rPr>
        <w:t>responsable.asi.como</w:t>
      </w:r>
      <w:proofErr w:type="spellEnd"/>
      <w:r w:rsidRPr="00DF05C5">
        <w:rPr>
          <w:rFonts w:ascii="Palatino Linotype" w:hAnsi="Palatino Linotype"/>
          <w:bCs/>
          <w:i/>
          <w:sz w:val="22"/>
        </w:rPr>
        <w:t xml:space="preserve"> sus últimos talones de pago del mes de diciembre 2021</w:t>
      </w:r>
      <w:r w:rsidR="0011069C">
        <w:rPr>
          <w:rFonts w:ascii="Palatino Linotype" w:hAnsi="Palatino Linotype"/>
          <w:bCs/>
          <w:i/>
          <w:sz w:val="22"/>
        </w:rPr>
        <w:t>”</w:t>
      </w:r>
    </w:p>
    <w:p w14:paraId="2AF9FE0B" w14:textId="77777777" w:rsidR="0011069C" w:rsidRDefault="0011069C" w:rsidP="0011069C">
      <w:pPr>
        <w:spacing w:line="360" w:lineRule="auto"/>
        <w:ind w:right="616"/>
        <w:jc w:val="both"/>
        <w:rPr>
          <w:rFonts w:ascii="Palatino Linotype" w:hAnsi="Palatino Linotype"/>
          <w:bCs/>
        </w:rPr>
      </w:pPr>
    </w:p>
    <w:p w14:paraId="5393AE28" w14:textId="77777777" w:rsidR="00DF05C5" w:rsidRPr="00DF05C5" w:rsidRDefault="00DF05C5" w:rsidP="00DF05C5">
      <w:pPr>
        <w:spacing w:line="360" w:lineRule="auto"/>
        <w:ind w:right="49"/>
        <w:jc w:val="both"/>
        <w:rPr>
          <w:rFonts w:ascii="Palatino Linotype" w:hAnsi="Palatino Linotype"/>
          <w:bCs/>
        </w:rPr>
      </w:pPr>
      <w:r w:rsidRPr="00DF05C5">
        <w:rPr>
          <w:rFonts w:ascii="Palatino Linotype" w:hAnsi="Palatino Linotype"/>
          <w:b/>
          <w:bCs/>
          <w:sz w:val="28"/>
        </w:rPr>
        <w:t>CUARTO</w:t>
      </w:r>
      <w:r>
        <w:rPr>
          <w:rFonts w:ascii="Palatino Linotype" w:hAnsi="Palatino Linotype"/>
          <w:b/>
          <w:bCs/>
        </w:rPr>
        <w:t>.</w:t>
      </w:r>
      <w:r>
        <w:rPr>
          <w:rFonts w:ascii="Palatino Linotype" w:hAnsi="Palatino Linotype"/>
          <w:bCs/>
        </w:rPr>
        <w:t xml:space="preserve"> Del contenido de las constancias del expediente electrónico, se observa que el Sujeto Obligado se sirvió en rendir respuesta en fecha 18 (dieciocho) de marzo de 2022 (dos mil veintidós), manifestando lo siguiente:</w:t>
      </w:r>
    </w:p>
    <w:p w14:paraId="638D1D47" w14:textId="77777777" w:rsidR="00DF05C5" w:rsidRDefault="00DF05C5" w:rsidP="0011069C">
      <w:pPr>
        <w:spacing w:line="360" w:lineRule="auto"/>
        <w:ind w:right="616"/>
        <w:jc w:val="both"/>
        <w:rPr>
          <w:rFonts w:ascii="Palatino Linotype" w:hAnsi="Palatino Linotype"/>
          <w:bCs/>
        </w:rPr>
      </w:pPr>
    </w:p>
    <w:p w14:paraId="37A92A73" w14:textId="77777777" w:rsidR="00DF05C5" w:rsidRDefault="00DF05C5" w:rsidP="00DF05C5">
      <w:pPr>
        <w:ind w:left="567" w:right="616"/>
        <w:jc w:val="both"/>
        <w:rPr>
          <w:rFonts w:ascii="Palatino Linotype" w:hAnsi="Palatino Linotype"/>
          <w:bCs/>
          <w:i/>
          <w:sz w:val="22"/>
        </w:rPr>
      </w:pPr>
      <w:r>
        <w:rPr>
          <w:rFonts w:ascii="Palatino Linotype" w:hAnsi="Palatino Linotype"/>
          <w:bCs/>
          <w:i/>
          <w:sz w:val="22"/>
        </w:rPr>
        <w:t>“</w:t>
      </w:r>
      <w:r w:rsidRPr="00DF05C5">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CE48B4" w14:textId="77777777" w:rsidR="00DF05C5" w:rsidRPr="00DF05C5" w:rsidRDefault="00DF05C5" w:rsidP="00DF05C5">
      <w:pPr>
        <w:ind w:left="567" w:right="616"/>
        <w:jc w:val="both"/>
        <w:rPr>
          <w:rFonts w:ascii="Palatino Linotype" w:hAnsi="Palatino Linotype"/>
          <w:bCs/>
          <w:i/>
          <w:sz w:val="22"/>
        </w:rPr>
      </w:pPr>
    </w:p>
    <w:p w14:paraId="57C813CE" w14:textId="77777777" w:rsidR="00DF05C5" w:rsidRPr="00DF05C5" w:rsidRDefault="00DF05C5" w:rsidP="00DF05C5">
      <w:pPr>
        <w:ind w:left="567" w:right="616"/>
        <w:jc w:val="both"/>
        <w:rPr>
          <w:rFonts w:ascii="Palatino Linotype" w:hAnsi="Palatino Linotype"/>
          <w:bCs/>
          <w:i/>
          <w:sz w:val="22"/>
        </w:rPr>
      </w:pPr>
      <w:r w:rsidRPr="00DF05C5">
        <w:rPr>
          <w:rFonts w:ascii="Palatino Linotype" w:hAnsi="Palatino Linotype"/>
          <w:bCs/>
          <w:i/>
          <w:sz w:val="22"/>
        </w:rPr>
        <w:t>Estimado particular adjunto encontrara respuesta a su solicitud de acceso a la información pública</w:t>
      </w:r>
      <w:r>
        <w:rPr>
          <w:rFonts w:ascii="Palatino Linotype" w:hAnsi="Palatino Linotype"/>
          <w:bCs/>
          <w:i/>
          <w:sz w:val="22"/>
        </w:rPr>
        <w:t>”</w:t>
      </w:r>
    </w:p>
    <w:p w14:paraId="31ACADC3" w14:textId="77777777" w:rsidR="00DF05C5" w:rsidRDefault="00DF05C5" w:rsidP="0011069C">
      <w:pPr>
        <w:spacing w:line="360" w:lineRule="auto"/>
        <w:ind w:right="616"/>
        <w:jc w:val="both"/>
        <w:rPr>
          <w:rFonts w:ascii="Palatino Linotype" w:hAnsi="Palatino Linotype"/>
          <w:bCs/>
        </w:rPr>
      </w:pPr>
    </w:p>
    <w:p w14:paraId="4892E935" w14:textId="77777777" w:rsidR="0011069C" w:rsidRDefault="0011069C" w:rsidP="0011069C">
      <w:pPr>
        <w:spacing w:line="360" w:lineRule="auto"/>
        <w:ind w:right="49"/>
        <w:jc w:val="both"/>
        <w:rPr>
          <w:rFonts w:ascii="Palatino Linotype" w:hAnsi="Palatino Linotype"/>
          <w:bCs/>
        </w:rPr>
      </w:pPr>
      <w:r>
        <w:rPr>
          <w:rFonts w:ascii="Palatino Linotype" w:hAnsi="Palatino Linotype"/>
          <w:bCs/>
        </w:rPr>
        <w:t xml:space="preserve">Adjuntando </w:t>
      </w:r>
      <w:r w:rsidR="00DF05C5">
        <w:rPr>
          <w:rFonts w:ascii="Palatino Linotype" w:hAnsi="Palatino Linotype"/>
          <w:bCs/>
        </w:rPr>
        <w:t>el</w:t>
      </w:r>
      <w:r>
        <w:rPr>
          <w:rFonts w:ascii="Palatino Linotype" w:hAnsi="Palatino Linotype"/>
          <w:bCs/>
        </w:rPr>
        <w:t xml:space="preserve"> </w:t>
      </w:r>
      <w:r w:rsidR="00DF05C5">
        <w:rPr>
          <w:rFonts w:ascii="Palatino Linotype" w:hAnsi="Palatino Linotype"/>
          <w:bCs/>
        </w:rPr>
        <w:t>documento</w:t>
      </w:r>
      <w:r>
        <w:rPr>
          <w:rFonts w:ascii="Palatino Linotype" w:hAnsi="Palatino Linotype"/>
          <w:bCs/>
        </w:rPr>
        <w:t xml:space="preserve"> “</w:t>
      </w:r>
      <w:r w:rsidR="00DF05C5" w:rsidRPr="00DF05C5">
        <w:rPr>
          <w:rFonts w:ascii="Palatino Linotype" w:hAnsi="Palatino Linotype"/>
          <w:bCs/>
        </w:rPr>
        <w:t>RESPUESTA SOLICITUD 03.pdf</w:t>
      </w:r>
      <w:r>
        <w:rPr>
          <w:rFonts w:ascii="Palatino Linotype" w:hAnsi="Palatino Linotype"/>
          <w:bCs/>
        </w:rPr>
        <w:t>”, que</w:t>
      </w:r>
      <w:r w:rsidR="00DF05C5">
        <w:rPr>
          <w:rFonts w:ascii="Palatino Linotype" w:hAnsi="Palatino Linotype"/>
          <w:bCs/>
        </w:rPr>
        <w:t xml:space="preserve"> al ser del conocimiento de las partes se omite su estudio en este apartado, máxime que habrá</w:t>
      </w:r>
      <w:r>
        <w:rPr>
          <w:rFonts w:ascii="Palatino Linotype" w:hAnsi="Palatino Linotype"/>
          <w:bCs/>
        </w:rPr>
        <w:t xml:space="preserve"> ser objeto de estudio </w:t>
      </w:r>
      <w:r w:rsidR="00DF05C5">
        <w:rPr>
          <w:rFonts w:ascii="Palatino Linotype" w:hAnsi="Palatino Linotype"/>
          <w:bCs/>
        </w:rPr>
        <w:t>párrafos posteriores</w:t>
      </w:r>
      <w:r>
        <w:rPr>
          <w:rFonts w:ascii="Palatino Linotype" w:hAnsi="Palatino Linotype"/>
          <w:bCs/>
        </w:rPr>
        <w:t>.</w:t>
      </w:r>
    </w:p>
    <w:p w14:paraId="47096827" w14:textId="77777777" w:rsidR="0011069C" w:rsidRDefault="0011069C" w:rsidP="0011069C">
      <w:pPr>
        <w:spacing w:line="360" w:lineRule="auto"/>
        <w:ind w:right="616"/>
        <w:jc w:val="both"/>
        <w:rPr>
          <w:rFonts w:ascii="Palatino Linotype" w:hAnsi="Palatino Linotype"/>
          <w:bCs/>
        </w:rPr>
      </w:pPr>
    </w:p>
    <w:p w14:paraId="4EED6819" w14:textId="77777777" w:rsidR="0011069C" w:rsidRDefault="0011069C" w:rsidP="0011069C">
      <w:pPr>
        <w:spacing w:line="360" w:lineRule="auto"/>
        <w:ind w:right="616"/>
        <w:jc w:val="both"/>
        <w:rPr>
          <w:rFonts w:ascii="Palatino Linotype" w:hAnsi="Palatino Linotype"/>
          <w:bCs/>
        </w:rPr>
      </w:pPr>
    </w:p>
    <w:p w14:paraId="04BF6F50" w14:textId="77777777" w:rsidR="0011069C" w:rsidRDefault="00DF05C5" w:rsidP="0011069C">
      <w:pPr>
        <w:spacing w:line="360" w:lineRule="auto"/>
        <w:ind w:right="51"/>
        <w:jc w:val="both"/>
        <w:rPr>
          <w:rFonts w:ascii="Palatino Linotype" w:hAnsi="Palatino Linotype" w:cs="Arial"/>
        </w:rPr>
      </w:pPr>
      <w:r>
        <w:rPr>
          <w:rFonts w:ascii="Palatino Linotype" w:hAnsi="Palatino Linotype" w:cs="Arial"/>
          <w:b/>
          <w:sz w:val="28"/>
          <w:szCs w:val="28"/>
        </w:rPr>
        <w:t>QUINTO</w:t>
      </w:r>
      <w:r w:rsidR="0011069C" w:rsidRPr="0024200F">
        <w:rPr>
          <w:rFonts w:ascii="Palatino Linotype" w:hAnsi="Palatino Linotype" w:cs="Arial"/>
          <w:b/>
          <w:sz w:val="28"/>
          <w:szCs w:val="28"/>
        </w:rPr>
        <w:t>.</w:t>
      </w:r>
      <w:r w:rsidR="0011069C" w:rsidRPr="0024200F">
        <w:rPr>
          <w:rFonts w:ascii="Palatino Linotype" w:hAnsi="Palatino Linotype" w:cs="Arial"/>
          <w:b/>
          <w:sz w:val="28"/>
        </w:rPr>
        <w:t xml:space="preserve"> </w:t>
      </w:r>
      <w:r w:rsidR="0011069C" w:rsidRPr="0024200F">
        <w:rPr>
          <w:rFonts w:ascii="Palatino Linotype" w:hAnsi="Palatino Linotype" w:cs="Arial"/>
        </w:rPr>
        <w:t xml:space="preserve">Inconforme </w:t>
      </w:r>
      <w:r w:rsidR="0011069C">
        <w:rPr>
          <w:rFonts w:ascii="Palatino Linotype" w:hAnsi="Palatino Linotype" w:cs="Arial"/>
        </w:rPr>
        <w:t>ante</w:t>
      </w:r>
      <w:r w:rsidR="0011069C" w:rsidRPr="0024200F">
        <w:rPr>
          <w:rFonts w:ascii="Palatino Linotype" w:hAnsi="Palatino Linotype" w:cs="Arial"/>
        </w:rPr>
        <w:t xml:space="preserve"> la respuesta</w:t>
      </w:r>
      <w:r w:rsidR="0011069C">
        <w:rPr>
          <w:rFonts w:ascii="Palatino Linotype" w:hAnsi="Palatino Linotype" w:cs="Arial"/>
        </w:rPr>
        <w:t xml:space="preserve"> emitida por parte del </w:t>
      </w:r>
      <w:r w:rsidR="0011069C">
        <w:rPr>
          <w:rFonts w:ascii="Palatino Linotype" w:hAnsi="Palatino Linotype" w:cs="Arial"/>
          <w:b/>
        </w:rPr>
        <w:t>Sujeto Obligado</w:t>
      </w:r>
      <w:r w:rsidR="0011069C" w:rsidRPr="0024200F">
        <w:rPr>
          <w:rFonts w:ascii="Palatino Linotype" w:hAnsi="Palatino Linotype" w:cs="Arial"/>
        </w:rPr>
        <w:t xml:space="preserve">, el </w:t>
      </w:r>
      <w:r w:rsidR="0011069C">
        <w:rPr>
          <w:rFonts w:ascii="Palatino Linotype" w:hAnsi="Palatino Linotype" w:cs="Arial"/>
        </w:rPr>
        <w:t xml:space="preserve">día </w:t>
      </w:r>
      <w:r>
        <w:rPr>
          <w:rFonts w:ascii="Palatino Linotype" w:hAnsi="Palatino Linotype" w:cs="Arial"/>
        </w:rPr>
        <w:t>18</w:t>
      </w:r>
      <w:r w:rsidR="0011069C">
        <w:rPr>
          <w:rFonts w:ascii="Palatino Linotype" w:hAnsi="Palatino Linotype" w:cs="Arial"/>
        </w:rPr>
        <w:t xml:space="preserve"> (dieci</w:t>
      </w:r>
      <w:r>
        <w:rPr>
          <w:rFonts w:ascii="Palatino Linotype" w:hAnsi="Palatino Linotype" w:cs="Arial"/>
        </w:rPr>
        <w:t>ocho</w:t>
      </w:r>
      <w:r w:rsidR="0011069C">
        <w:rPr>
          <w:rFonts w:ascii="Palatino Linotype" w:hAnsi="Palatino Linotype" w:cs="Arial"/>
        </w:rPr>
        <w:t>) de marzo de 2022 (dos mil veintidós)</w:t>
      </w:r>
      <w:r w:rsidR="0011069C" w:rsidRPr="0024200F">
        <w:rPr>
          <w:rFonts w:ascii="Palatino Linotype" w:hAnsi="Palatino Linotype" w:cs="Arial"/>
        </w:rPr>
        <w:t xml:space="preserve">, </w:t>
      </w:r>
      <w:r w:rsidR="0011069C">
        <w:rPr>
          <w:rFonts w:ascii="Palatino Linotype" w:hAnsi="Palatino Linotype" w:cs="Arial"/>
        </w:rPr>
        <w:t xml:space="preserve">la </w:t>
      </w:r>
      <w:r w:rsidR="0011069C" w:rsidRPr="005C2BEF">
        <w:rPr>
          <w:rFonts w:ascii="Palatino Linotype" w:hAnsi="Palatino Linotype" w:cs="Arial"/>
          <w:b/>
        </w:rPr>
        <w:t>Recurrente</w:t>
      </w:r>
      <w:r w:rsidR="0011069C" w:rsidRPr="0024200F">
        <w:rPr>
          <w:rFonts w:ascii="Palatino Linotype" w:hAnsi="Palatino Linotype" w:cs="Arial"/>
          <w:color w:val="000000"/>
        </w:rPr>
        <w:t xml:space="preserve"> </w:t>
      </w:r>
      <w:r w:rsidR="0011069C" w:rsidRPr="0024200F">
        <w:rPr>
          <w:rFonts w:ascii="Palatino Linotype" w:hAnsi="Palatino Linotype" w:cs="Arial"/>
        </w:rPr>
        <w:t>interpuso</w:t>
      </w:r>
      <w:r w:rsidR="0011069C">
        <w:rPr>
          <w:rFonts w:ascii="Palatino Linotype" w:hAnsi="Palatino Linotype" w:cs="Arial"/>
        </w:rPr>
        <w:t xml:space="preserve"> el presente</w:t>
      </w:r>
      <w:r w:rsidR="0011069C" w:rsidRPr="0024200F">
        <w:rPr>
          <w:rFonts w:ascii="Palatino Linotype" w:hAnsi="Palatino Linotype" w:cs="Arial"/>
        </w:rPr>
        <w:t xml:space="preserve"> recurso de revisión, </w:t>
      </w:r>
      <w:r w:rsidR="0011069C">
        <w:rPr>
          <w:rFonts w:ascii="Palatino Linotype" w:hAnsi="Palatino Linotype" w:cs="Arial"/>
        </w:rPr>
        <w:t xml:space="preserve">quedando </w:t>
      </w:r>
      <w:r w:rsidR="0011069C" w:rsidRPr="0024200F">
        <w:rPr>
          <w:rFonts w:ascii="Palatino Linotype" w:hAnsi="Palatino Linotype" w:cs="Arial"/>
        </w:rPr>
        <w:t>registrado</w:t>
      </w:r>
      <w:r w:rsidR="0011069C">
        <w:rPr>
          <w:rFonts w:ascii="Palatino Linotype" w:hAnsi="Palatino Linotype" w:cs="Arial"/>
        </w:rPr>
        <w:t>s</w:t>
      </w:r>
      <w:r w:rsidR="0011069C" w:rsidRPr="0024200F">
        <w:rPr>
          <w:rFonts w:ascii="Palatino Linotype" w:hAnsi="Palatino Linotype" w:cs="Arial"/>
        </w:rPr>
        <w:t xml:space="preserve"> en el</w:t>
      </w:r>
      <w:r w:rsidR="0011069C" w:rsidRPr="0024200F">
        <w:rPr>
          <w:rFonts w:ascii="Palatino Linotype" w:eastAsia="Arial Unicode MS" w:hAnsi="Palatino Linotype" w:cs="Arial"/>
          <w:b/>
        </w:rPr>
        <w:t xml:space="preserve"> SAIMEX</w:t>
      </w:r>
      <w:r w:rsidR="0011069C">
        <w:rPr>
          <w:rFonts w:ascii="Palatino Linotype" w:eastAsia="Arial Unicode MS" w:hAnsi="Palatino Linotype" w:cs="Arial"/>
        </w:rPr>
        <w:t xml:space="preserve"> con el número de </w:t>
      </w:r>
      <w:r w:rsidR="0011069C">
        <w:rPr>
          <w:rFonts w:ascii="Palatino Linotype" w:eastAsia="Arial Unicode MS" w:hAnsi="Palatino Linotype" w:cs="Arial"/>
        </w:rPr>
        <w:lastRenderedPageBreak/>
        <w:t xml:space="preserve">recurso </w:t>
      </w:r>
      <w:r w:rsidR="0011069C" w:rsidRPr="0024200F">
        <w:rPr>
          <w:rFonts w:ascii="Palatino Linotype" w:hAnsi="Palatino Linotype"/>
          <w:b/>
        </w:rPr>
        <w:t>0</w:t>
      </w:r>
      <w:r w:rsidR="0011069C">
        <w:rPr>
          <w:rFonts w:ascii="Palatino Linotype" w:hAnsi="Palatino Linotype"/>
          <w:b/>
        </w:rPr>
        <w:t>4</w:t>
      </w:r>
      <w:r>
        <w:rPr>
          <w:rFonts w:ascii="Palatino Linotype" w:hAnsi="Palatino Linotype"/>
          <w:b/>
        </w:rPr>
        <w:t>110</w:t>
      </w:r>
      <w:r w:rsidR="0011069C">
        <w:rPr>
          <w:rFonts w:ascii="Palatino Linotype" w:hAnsi="Palatino Linotype"/>
          <w:b/>
        </w:rPr>
        <w:t xml:space="preserve">/INFOEM/IP/RR/2022, </w:t>
      </w:r>
      <w:r w:rsidR="0011069C">
        <w:rPr>
          <w:rFonts w:ascii="Palatino Linotype" w:hAnsi="Palatino Linotype" w:cs="Arial"/>
        </w:rPr>
        <w:t>en e</w:t>
      </w:r>
      <w:r w:rsidR="0011069C" w:rsidRPr="0024200F">
        <w:rPr>
          <w:rFonts w:ascii="Palatino Linotype" w:hAnsi="Palatino Linotype" w:cs="Arial"/>
        </w:rPr>
        <w:t>l que expresó c</w:t>
      </w:r>
      <w:r w:rsidR="0011069C">
        <w:rPr>
          <w:rFonts w:ascii="Palatino Linotype" w:hAnsi="Palatino Linotype" w:cs="Arial"/>
        </w:rPr>
        <w:t>omo acto impugnado, y motivos o razones de inconformidad lo siguiente:</w:t>
      </w:r>
    </w:p>
    <w:p w14:paraId="3F1DF693" w14:textId="77777777" w:rsidR="0011069C" w:rsidRDefault="0011069C" w:rsidP="0011069C">
      <w:pPr>
        <w:spacing w:line="360" w:lineRule="auto"/>
        <w:ind w:right="51"/>
        <w:jc w:val="both"/>
        <w:rPr>
          <w:rFonts w:ascii="Palatino Linotype" w:hAnsi="Palatino Linotype" w:cs="Arial"/>
        </w:rPr>
      </w:pPr>
    </w:p>
    <w:p w14:paraId="7B894D2D" w14:textId="77777777" w:rsidR="0011069C" w:rsidRDefault="0011069C" w:rsidP="0011069C">
      <w:pPr>
        <w:spacing w:line="276" w:lineRule="auto"/>
        <w:ind w:right="616"/>
        <w:jc w:val="both"/>
        <w:rPr>
          <w:rFonts w:ascii="Palatino Linotype" w:hAnsi="Palatino Linotype"/>
        </w:rPr>
      </w:pPr>
      <w:r>
        <w:rPr>
          <w:rFonts w:ascii="Palatino Linotype" w:hAnsi="Palatino Linotype"/>
          <w:b/>
        </w:rPr>
        <w:t xml:space="preserve">Acto Impugnado: </w:t>
      </w:r>
    </w:p>
    <w:p w14:paraId="5D62A724" w14:textId="77777777" w:rsidR="0011069C" w:rsidRPr="00807CDA" w:rsidRDefault="0011069C" w:rsidP="0011069C">
      <w:pPr>
        <w:spacing w:line="276" w:lineRule="auto"/>
        <w:ind w:right="616"/>
        <w:jc w:val="both"/>
        <w:rPr>
          <w:rFonts w:ascii="Palatino Linotype" w:hAnsi="Palatino Linotype"/>
        </w:rPr>
      </w:pPr>
    </w:p>
    <w:p w14:paraId="2CB2EA38" w14:textId="77777777" w:rsidR="0011069C" w:rsidRPr="00591A86" w:rsidRDefault="0011069C" w:rsidP="0011069C">
      <w:pPr>
        <w:spacing w:line="276" w:lineRule="auto"/>
        <w:ind w:left="567" w:right="616"/>
        <w:jc w:val="both"/>
        <w:rPr>
          <w:rFonts w:ascii="Palatino Linotype" w:hAnsi="Palatino Linotype"/>
          <w:i/>
        </w:rPr>
      </w:pPr>
      <w:r>
        <w:rPr>
          <w:rFonts w:ascii="Palatino Linotype" w:hAnsi="Palatino Linotype"/>
          <w:i/>
        </w:rPr>
        <w:t>“</w:t>
      </w:r>
      <w:r w:rsidR="00DF05C5" w:rsidRPr="00DF05C5">
        <w:rPr>
          <w:rFonts w:ascii="Palatino Linotype" w:hAnsi="Palatino Linotype"/>
          <w:i/>
        </w:rPr>
        <w:t>Información entregada</w:t>
      </w:r>
      <w:r>
        <w:rPr>
          <w:rFonts w:ascii="Palatino Linotype" w:hAnsi="Palatino Linotype"/>
          <w:i/>
        </w:rPr>
        <w:t>” (sic)</w:t>
      </w:r>
    </w:p>
    <w:p w14:paraId="66D02D86" w14:textId="77777777" w:rsidR="0011069C" w:rsidRDefault="0011069C" w:rsidP="0011069C">
      <w:pPr>
        <w:spacing w:line="276" w:lineRule="auto"/>
        <w:ind w:right="616"/>
        <w:jc w:val="both"/>
        <w:rPr>
          <w:rFonts w:ascii="Palatino Linotype" w:hAnsi="Palatino Linotype"/>
        </w:rPr>
      </w:pPr>
    </w:p>
    <w:p w14:paraId="5B6F5CF2" w14:textId="77777777" w:rsidR="0011069C" w:rsidRDefault="0011069C" w:rsidP="0011069C">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5A4DA600" w14:textId="77777777" w:rsidR="0011069C" w:rsidRDefault="0011069C" w:rsidP="0011069C">
      <w:pPr>
        <w:spacing w:line="276" w:lineRule="auto"/>
        <w:ind w:right="616"/>
        <w:jc w:val="both"/>
        <w:rPr>
          <w:rFonts w:ascii="Palatino Linotype" w:hAnsi="Palatino Linotype"/>
          <w:b/>
        </w:rPr>
      </w:pPr>
    </w:p>
    <w:p w14:paraId="6FE63207" w14:textId="77777777" w:rsidR="0011069C" w:rsidRPr="00591A86" w:rsidRDefault="0011069C" w:rsidP="0011069C">
      <w:pPr>
        <w:spacing w:line="276" w:lineRule="auto"/>
        <w:ind w:left="567" w:right="616"/>
        <w:jc w:val="both"/>
        <w:rPr>
          <w:rFonts w:ascii="Palatino Linotype" w:hAnsi="Palatino Linotype"/>
          <w:i/>
        </w:rPr>
      </w:pPr>
      <w:r w:rsidRPr="00591A86">
        <w:rPr>
          <w:rFonts w:ascii="Palatino Linotype" w:hAnsi="Palatino Linotype"/>
          <w:i/>
          <w:sz w:val="22"/>
        </w:rPr>
        <w:t>“</w:t>
      </w:r>
      <w:r w:rsidR="00DF05C5" w:rsidRPr="00DF05C5">
        <w:rPr>
          <w:rFonts w:ascii="Palatino Linotype" w:hAnsi="Palatino Linotype"/>
          <w:i/>
          <w:sz w:val="22"/>
        </w:rPr>
        <w:t>Se entrega información incompleta y aunado se viola la ley ya que la versión publica está mal integrada ya que se pueden ver los datos personales dando como resultado una deficiencia en el servicio y debido proceso.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6D1A2330" w14:textId="77777777" w:rsidR="0011069C" w:rsidRDefault="0011069C" w:rsidP="0011069C">
      <w:pPr>
        <w:spacing w:line="360" w:lineRule="auto"/>
        <w:ind w:right="51"/>
        <w:jc w:val="both"/>
        <w:rPr>
          <w:rFonts w:ascii="Palatino Linotype" w:hAnsi="Palatino Linotype"/>
        </w:rPr>
      </w:pPr>
    </w:p>
    <w:p w14:paraId="1EC4D0F7" w14:textId="77777777" w:rsidR="0011069C" w:rsidRPr="00802516" w:rsidRDefault="0011069C" w:rsidP="0011069C">
      <w:pPr>
        <w:spacing w:line="360" w:lineRule="auto"/>
        <w:ind w:right="51"/>
        <w:jc w:val="both"/>
        <w:rPr>
          <w:rFonts w:ascii="Palatino Linotype" w:hAnsi="Palatino Linotype"/>
          <w:lang w:val="es-MX"/>
        </w:rPr>
      </w:pPr>
    </w:p>
    <w:p w14:paraId="7F915630" w14:textId="77777777" w:rsidR="0011069C" w:rsidRDefault="00DF05C5" w:rsidP="0011069C">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SEXTO</w:t>
      </w:r>
      <w:r w:rsidR="0011069C" w:rsidRPr="0024200F">
        <w:rPr>
          <w:rFonts w:ascii="Palatino Linotype" w:hAnsi="Palatino Linotype" w:cs="Arial"/>
          <w:b/>
          <w:sz w:val="28"/>
          <w:szCs w:val="22"/>
          <w:lang w:val="es-MX"/>
        </w:rPr>
        <w:t>.</w:t>
      </w:r>
      <w:r w:rsidR="0011069C" w:rsidRPr="0024200F">
        <w:rPr>
          <w:rFonts w:ascii="Palatino Linotype" w:hAnsi="Palatino Linotype" w:cs="Arial"/>
          <w:b/>
          <w:szCs w:val="22"/>
          <w:lang w:val="es-MX"/>
        </w:rPr>
        <w:t xml:space="preserve"> </w:t>
      </w:r>
      <w:r w:rsidR="0011069C" w:rsidRPr="0024200F">
        <w:rPr>
          <w:rFonts w:ascii="Palatino Linotype" w:hAnsi="Palatino Linotype" w:cs="Arial"/>
        </w:rPr>
        <w:t>E</w:t>
      </w:r>
      <w:r w:rsidR="0011069C">
        <w:rPr>
          <w:rFonts w:ascii="Palatino Linotype" w:hAnsi="Palatino Linotype" w:cs="Arial"/>
        </w:rPr>
        <w:t xml:space="preserve">n fecha </w:t>
      </w:r>
      <w:r>
        <w:rPr>
          <w:rFonts w:ascii="Palatino Linotype" w:hAnsi="Palatino Linotype" w:cs="Arial"/>
        </w:rPr>
        <w:t>18</w:t>
      </w:r>
      <w:r w:rsidR="0011069C">
        <w:rPr>
          <w:rFonts w:ascii="Palatino Linotype" w:hAnsi="Palatino Linotype" w:cs="Arial"/>
        </w:rPr>
        <w:t xml:space="preserve"> (dieci</w:t>
      </w:r>
      <w:r>
        <w:rPr>
          <w:rFonts w:ascii="Palatino Linotype" w:hAnsi="Palatino Linotype" w:cs="Arial"/>
        </w:rPr>
        <w:t>ocho</w:t>
      </w:r>
      <w:r w:rsidR="0011069C">
        <w:rPr>
          <w:rFonts w:ascii="Palatino Linotype" w:hAnsi="Palatino Linotype" w:cs="Arial"/>
        </w:rPr>
        <w:t>) de marzo de 2022 (dos mil veintidós), e</w:t>
      </w:r>
      <w:r w:rsidR="0011069C" w:rsidRPr="0024200F">
        <w:rPr>
          <w:rFonts w:ascii="Palatino Linotype" w:hAnsi="Palatino Linotype" w:cs="Arial"/>
        </w:rPr>
        <w:t xml:space="preserve">l </w:t>
      </w:r>
      <w:r w:rsidR="0011069C" w:rsidRPr="0024200F">
        <w:rPr>
          <w:rFonts w:ascii="Palatino Linotype" w:hAnsi="Palatino Linotype" w:cs="Arial"/>
          <w:lang w:val="es-ES_tradnl"/>
        </w:rPr>
        <w:t>recurso de que</w:t>
      </w:r>
      <w:r w:rsidR="0011069C" w:rsidRPr="0024200F">
        <w:rPr>
          <w:rFonts w:ascii="Palatino Linotype" w:hAnsi="Palatino Linotype" w:cs="Arial"/>
        </w:rPr>
        <w:t xml:space="preserve"> se trata</w:t>
      </w:r>
      <w:r w:rsidR="0011069C" w:rsidRPr="0024200F">
        <w:rPr>
          <w:rFonts w:ascii="Palatino Linotype" w:hAnsi="Palatino Linotype" w:cs="Arial"/>
          <w:lang w:val="es-ES_tradnl"/>
        </w:rPr>
        <w:t xml:space="preserve"> se envi</w:t>
      </w:r>
      <w:r w:rsidR="0011069C">
        <w:rPr>
          <w:rFonts w:ascii="Palatino Linotype" w:hAnsi="Palatino Linotype" w:cs="Arial"/>
          <w:lang w:val="es-ES_tradnl"/>
        </w:rPr>
        <w:t xml:space="preserve">ó </w:t>
      </w:r>
      <w:r w:rsidR="0011069C" w:rsidRPr="0024200F">
        <w:rPr>
          <w:rFonts w:ascii="Palatino Linotype" w:hAnsi="Palatino Linotype" w:cs="Arial"/>
          <w:lang w:val="es-ES_tradnl"/>
        </w:rPr>
        <w:t xml:space="preserve">electrónicamente al Instituto de </w:t>
      </w:r>
      <w:r w:rsidR="0011069C" w:rsidRPr="0024200F">
        <w:rPr>
          <w:rFonts w:ascii="Palatino Linotype" w:eastAsia="Arial Unicode MS" w:hAnsi="Palatino Linotype" w:cs="Arial"/>
        </w:rPr>
        <w:t>Transparencia</w:t>
      </w:r>
      <w:r w:rsidR="0011069C"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11069C" w:rsidRPr="0024200F">
        <w:rPr>
          <w:rFonts w:ascii="Palatino Linotype" w:hAnsi="Palatino Linotype"/>
        </w:rPr>
        <w:t>Ley de Transparencia y Acceso a la Información Pública del Estado de México y Municipios</w:t>
      </w:r>
      <w:r w:rsidR="0011069C" w:rsidRPr="0024200F">
        <w:rPr>
          <w:rFonts w:ascii="Palatino Linotype" w:hAnsi="Palatino Linotype" w:cs="Arial"/>
          <w:lang w:val="es-ES_tradnl"/>
        </w:rPr>
        <w:t>, se turn</w:t>
      </w:r>
      <w:r w:rsidR="0011069C">
        <w:rPr>
          <w:rFonts w:ascii="Palatino Linotype" w:hAnsi="Palatino Linotype" w:cs="Arial"/>
          <w:lang w:val="es-ES_tradnl"/>
        </w:rPr>
        <w:t xml:space="preserve">ó </w:t>
      </w:r>
      <w:r w:rsidR="0011069C" w:rsidRPr="0024200F">
        <w:rPr>
          <w:rFonts w:ascii="Palatino Linotype" w:hAnsi="Palatino Linotype" w:cs="Arial"/>
          <w:lang w:val="es-ES_tradnl"/>
        </w:rPr>
        <w:t>a través del</w:t>
      </w:r>
      <w:r w:rsidR="0011069C" w:rsidRPr="0024200F">
        <w:rPr>
          <w:rFonts w:ascii="Palatino Linotype" w:eastAsia="Arial Unicode MS" w:hAnsi="Palatino Linotype" w:cs="Arial"/>
          <w:lang w:val="es-ES_tradnl"/>
        </w:rPr>
        <w:t xml:space="preserve"> </w:t>
      </w:r>
      <w:r w:rsidR="0011069C" w:rsidRPr="0024200F">
        <w:rPr>
          <w:rFonts w:ascii="Palatino Linotype" w:eastAsia="Arial Unicode MS" w:hAnsi="Palatino Linotype" w:cs="Arial"/>
          <w:b/>
          <w:lang w:val="es-ES_tradnl"/>
        </w:rPr>
        <w:t>SAIMEX</w:t>
      </w:r>
      <w:r w:rsidR="0011069C" w:rsidRPr="0024200F">
        <w:rPr>
          <w:rFonts w:ascii="Palatino Linotype" w:hAnsi="Palatino Linotype"/>
        </w:rPr>
        <w:t xml:space="preserve">, al </w:t>
      </w:r>
      <w:r w:rsidR="0011069C">
        <w:rPr>
          <w:rFonts w:ascii="Palatino Linotype" w:hAnsi="Palatino Linotype" w:cs="Arial"/>
          <w:lang w:val="es-ES_tradnl"/>
        </w:rPr>
        <w:t>Comisionado Presidente</w:t>
      </w:r>
      <w:r w:rsidR="0011069C" w:rsidRPr="0024200F">
        <w:rPr>
          <w:rFonts w:ascii="Palatino Linotype" w:hAnsi="Palatino Linotype" w:cs="Arial"/>
          <w:lang w:val="es-ES_tradnl"/>
        </w:rPr>
        <w:t xml:space="preserve"> </w:t>
      </w:r>
      <w:r w:rsidR="0011069C">
        <w:rPr>
          <w:rFonts w:ascii="Palatino Linotype" w:hAnsi="Palatino Linotype" w:cs="Arial"/>
          <w:b/>
          <w:lang w:val="es-ES_tradnl"/>
        </w:rPr>
        <w:t>JOSÉ MARTÍNEZ VILCHIS,</w:t>
      </w:r>
      <w:r w:rsidR="0011069C" w:rsidRPr="0024200F">
        <w:rPr>
          <w:rFonts w:ascii="Palatino Linotype" w:hAnsi="Palatino Linotype" w:cs="Arial"/>
          <w:b/>
          <w:lang w:val="es-ES_tradnl"/>
        </w:rPr>
        <w:t xml:space="preserve"> </w:t>
      </w:r>
      <w:r w:rsidR="0011069C" w:rsidRPr="0024200F">
        <w:rPr>
          <w:rFonts w:ascii="Palatino Linotype" w:hAnsi="Palatino Linotype" w:cs="Arial"/>
          <w:lang w:val="es-ES_tradnl"/>
        </w:rPr>
        <w:t>a efecto de</w:t>
      </w:r>
      <w:r w:rsidR="0011069C">
        <w:rPr>
          <w:rFonts w:ascii="Palatino Linotype" w:hAnsi="Palatino Linotype" w:cs="Arial"/>
          <w:lang w:val="es-ES_tradnl"/>
        </w:rPr>
        <w:t xml:space="preserve"> que</w:t>
      </w:r>
      <w:r w:rsidR="0011069C" w:rsidRPr="0024200F">
        <w:rPr>
          <w:rFonts w:ascii="Palatino Linotype" w:hAnsi="Palatino Linotype" w:cs="Arial"/>
          <w:lang w:val="es-ES_tradnl"/>
        </w:rPr>
        <w:t xml:space="preserve"> decretar</w:t>
      </w:r>
      <w:r w:rsidR="0011069C">
        <w:rPr>
          <w:rFonts w:ascii="Palatino Linotype" w:hAnsi="Palatino Linotype" w:cs="Arial"/>
          <w:lang w:val="es-ES_tradnl"/>
        </w:rPr>
        <w:t>a</w:t>
      </w:r>
      <w:r w:rsidR="0011069C" w:rsidRPr="0024200F">
        <w:rPr>
          <w:rFonts w:ascii="Palatino Linotype" w:hAnsi="Palatino Linotype" w:cs="Arial"/>
          <w:lang w:val="es-ES_tradnl"/>
        </w:rPr>
        <w:t xml:space="preserve"> su admisión o desechamiento.</w:t>
      </w:r>
    </w:p>
    <w:p w14:paraId="05A47411" w14:textId="77777777" w:rsidR="0011069C" w:rsidRDefault="0011069C" w:rsidP="0011069C">
      <w:pPr>
        <w:spacing w:line="360" w:lineRule="auto"/>
        <w:ind w:right="49"/>
        <w:jc w:val="both"/>
        <w:rPr>
          <w:rFonts w:ascii="Palatino Linotype" w:hAnsi="Palatino Linotype" w:cs="Arial"/>
          <w:lang w:val="es-ES_tradnl"/>
        </w:rPr>
      </w:pPr>
    </w:p>
    <w:p w14:paraId="110550C6" w14:textId="77777777" w:rsidR="0011069C" w:rsidRDefault="0011069C" w:rsidP="0011069C">
      <w:pPr>
        <w:spacing w:line="360" w:lineRule="auto"/>
        <w:ind w:right="49"/>
        <w:jc w:val="both"/>
        <w:rPr>
          <w:rFonts w:ascii="Palatino Linotype" w:hAnsi="Palatino Linotype" w:cs="Arial"/>
          <w:lang w:val="es-ES_tradnl"/>
        </w:rPr>
      </w:pPr>
    </w:p>
    <w:p w14:paraId="13F86FEF" w14:textId="77777777" w:rsidR="0011069C" w:rsidRDefault="00DF05C5" w:rsidP="0011069C">
      <w:pPr>
        <w:spacing w:line="360" w:lineRule="auto"/>
        <w:ind w:right="49"/>
        <w:jc w:val="both"/>
        <w:rPr>
          <w:rFonts w:ascii="Palatino Linotype" w:hAnsi="Palatino Linotype" w:cs="Arial"/>
        </w:rPr>
      </w:pPr>
      <w:r>
        <w:rPr>
          <w:rFonts w:ascii="Palatino Linotype" w:hAnsi="Palatino Linotype" w:cs="Arial"/>
          <w:b/>
          <w:sz w:val="28"/>
          <w:szCs w:val="28"/>
          <w:lang w:val="es-ES_tradnl"/>
        </w:rPr>
        <w:t>SÉPTIMO</w:t>
      </w:r>
      <w:r w:rsidR="0011069C" w:rsidRPr="0024200F">
        <w:rPr>
          <w:rFonts w:ascii="Palatino Linotype" w:hAnsi="Palatino Linotype" w:cs="Arial"/>
          <w:b/>
          <w:lang w:val="es-ES_tradnl"/>
        </w:rPr>
        <w:t>.</w:t>
      </w:r>
      <w:r w:rsidR="0011069C">
        <w:rPr>
          <w:rFonts w:ascii="Palatino Linotype" w:hAnsi="Palatino Linotype" w:cs="Arial"/>
          <w:lang w:val="es-ES_tradnl"/>
        </w:rPr>
        <w:t xml:space="preserve"> E</w:t>
      </w:r>
      <w:r w:rsidR="0011069C">
        <w:rPr>
          <w:rFonts w:ascii="Palatino Linotype" w:hAnsi="Palatino Linotype" w:cs="Arial"/>
        </w:rPr>
        <w:t>n fecha 2</w:t>
      </w:r>
      <w:r>
        <w:rPr>
          <w:rFonts w:ascii="Palatino Linotype" w:hAnsi="Palatino Linotype" w:cs="Arial"/>
        </w:rPr>
        <w:t>4</w:t>
      </w:r>
      <w:r w:rsidR="0011069C">
        <w:rPr>
          <w:rFonts w:ascii="Palatino Linotype" w:hAnsi="Palatino Linotype" w:cs="Arial"/>
        </w:rPr>
        <w:t xml:space="preserve"> (veinti</w:t>
      </w:r>
      <w:r>
        <w:rPr>
          <w:rFonts w:ascii="Palatino Linotype" w:hAnsi="Palatino Linotype" w:cs="Arial"/>
        </w:rPr>
        <w:t>cuatro</w:t>
      </w:r>
      <w:r w:rsidR="0011069C">
        <w:rPr>
          <w:rFonts w:ascii="Palatino Linotype" w:hAnsi="Palatino Linotype" w:cs="Arial"/>
        </w:rPr>
        <w:t>) de marzo de 2022 (dos mil veintidós),</w:t>
      </w:r>
      <w:r w:rsidR="0011069C" w:rsidRPr="0024200F">
        <w:rPr>
          <w:rFonts w:ascii="Palatino Linotype" w:hAnsi="Palatino Linotype" w:cs="Arial"/>
        </w:rPr>
        <w:t xml:space="preserve"> atento a lo dispuesto en el </w:t>
      </w:r>
      <w:r w:rsidR="0011069C" w:rsidRPr="0024200F">
        <w:rPr>
          <w:rFonts w:ascii="Palatino Linotype" w:hAnsi="Palatino Linotype" w:cs="Arial"/>
          <w:lang w:val="es-ES_tradnl"/>
        </w:rPr>
        <w:t>artículo</w:t>
      </w:r>
      <w:r w:rsidR="0011069C" w:rsidRPr="0024200F">
        <w:rPr>
          <w:rFonts w:ascii="Palatino Linotype" w:hAnsi="Palatino Linotype" w:cs="Arial"/>
        </w:rPr>
        <w:t xml:space="preserve"> 185 fracciones I, II y IV </w:t>
      </w:r>
      <w:r w:rsidR="0011069C" w:rsidRPr="0024200F">
        <w:rPr>
          <w:rFonts w:ascii="Palatino Linotype" w:hAnsi="Palatino Linotype" w:cs="Arial"/>
          <w:lang w:val="es-ES_tradnl"/>
        </w:rPr>
        <w:t xml:space="preserve">de la </w:t>
      </w:r>
      <w:r w:rsidR="0011069C" w:rsidRPr="0024200F">
        <w:rPr>
          <w:rFonts w:ascii="Palatino Linotype" w:hAnsi="Palatino Linotype"/>
        </w:rPr>
        <w:t xml:space="preserve">Ley de Transparencia y Acceso a la Información Pública del Estado de México y Municipios, </w:t>
      </w:r>
      <w:r w:rsidR="0011069C">
        <w:rPr>
          <w:rFonts w:ascii="Palatino Linotype" w:hAnsi="Palatino Linotype"/>
        </w:rPr>
        <w:t xml:space="preserve">se </w:t>
      </w:r>
      <w:r w:rsidR="0011069C" w:rsidRPr="0024200F">
        <w:rPr>
          <w:rFonts w:ascii="Palatino Linotype" w:hAnsi="Palatino Linotype"/>
        </w:rPr>
        <w:t>a</w:t>
      </w:r>
      <w:r w:rsidR="0011069C" w:rsidRPr="0024200F">
        <w:rPr>
          <w:rFonts w:ascii="Palatino Linotype" w:hAnsi="Palatino Linotype" w:cs="Arial"/>
        </w:rPr>
        <w:t>cordó la admisión a trámite de</w:t>
      </w:r>
      <w:r w:rsidR="0011069C">
        <w:rPr>
          <w:rFonts w:ascii="Palatino Linotype" w:hAnsi="Palatino Linotype" w:cs="Arial"/>
        </w:rPr>
        <w:t>l</w:t>
      </w:r>
      <w:r w:rsidR="0011069C" w:rsidRPr="0024200F">
        <w:rPr>
          <w:rFonts w:ascii="Palatino Linotype" w:hAnsi="Palatino Linotype" w:cs="Arial"/>
        </w:rPr>
        <w:t xml:space="preserve"> referido recurso de revisión, así como la integración del expediente </w:t>
      </w:r>
      <w:r w:rsidR="0011069C" w:rsidRPr="0024200F">
        <w:rPr>
          <w:rFonts w:ascii="Palatino Linotype" w:hAnsi="Palatino Linotype" w:cs="Arial"/>
        </w:rPr>
        <w:lastRenderedPageBreak/>
        <w:t>respectivo, mismo que se pus</w:t>
      </w:r>
      <w:r w:rsidR="0011069C">
        <w:rPr>
          <w:rFonts w:ascii="Palatino Linotype" w:hAnsi="Palatino Linotype" w:cs="Arial"/>
        </w:rPr>
        <w:t xml:space="preserve">o </w:t>
      </w:r>
      <w:r w:rsidR="0011069C"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3CEAD98C" w14:textId="77777777" w:rsidR="0011069C" w:rsidRDefault="0011069C" w:rsidP="0011069C">
      <w:pPr>
        <w:spacing w:line="360" w:lineRule="auto"/>
        <w:ind w:right="49"/>
        <w:jc w:val="both"/>
        <w:rPr>
          <w:rFonts w:ascii="Palatino Linotype" w:hAnsi="Palatino Linotype" w:cs="Arial"/>
        </w:rPr>
      </w:pPr>
    </w:p>
    <w:p w14:paraId="18A8B2C4" w14:textId="77777777" w:rsidR="00DF05C5" w:rsidRDefault="00DF05C5" w:rsidP="0011069C">
      <w:pPr>
        <w:spacing w:line="360" w:lineRule="auto"/>
        <w:ind w:right="49"/>
        <w:jc w:val="both"/>
        <w:rPr>
          <w:rFonts w:ascii="Palatino Linotype" w:hAnsi="Palatino Linotype" w:cs="Arial"/>
        </w:rPr>
      </w:pPr>
    </w:p>
    <w:p w14:paraId="1ADEDA0E" w14:textId="77777777" w:rsidR="0011069C" w:rsidRDefault="00DF05C5" w:rsidP="0011069C">
      <w:pPr>
        <w:spacing w:line="360" w:lineRule="auto"/>
        <w:jc w:val="both"/>
        <w:rPr>
          <w:rFonts w:ascii="Palatino Linotype" w:hAnsi="Palatino Linotype" w:cs="Arial"/>
          <w:lang w:val="es-ES_tradnl"/>
        </w:rPr>
      </w:pPr>
      <w:r>
        <w:rPr>
          <w:rFonts w:ascii="Palatino Linotype" w:eastAsia="Arial Unicode MS" w:hAnsi="Palatino Linotype" w:cs="Arial"/>
          <w:b/>
          <w:sz w:val="28"/>
          <w:szCs w:val="28"/>
        </w:rPr>
        <w:t>OCTAVO</w:t>
      </w:r>
      <w:r w:rsidR="0011069C" w:rsidRPr="002012DE">
        <w:rPr>
          <w:rFonts w:ascii="Palatino Linotype" w:eastAsia="Arial Unicode MS" w:hAnsi="Palatino Linotype" w:cs="Arial"/>
          <w:b/>
          <w:sz w:val="28"/>
          <w:szCs w:val="28"/>
        </w:rPr>
        <w:t xml:space="preserve">. </w:t>
      </w:r>
      <w:r w:rsidR="0011069C" w:rsidRPr="002012DE">
        <w:rPr>
          <w:rFonts w:ascii="Palatino Linotype" w:hAnsi="Palatino Linotype" w:cs="Arial"/>
        </w:rPr>
        <w:t>De</w:t>
      </w:r>
      <w:r w:rsidR="0011069C" w:rsidRPr="002012DE">
        <w:rPr>
          <w:rFonts w:ascii="Palatino Linotype" w:hAnsi="Palatino Linotype" w:cs="Arial"/>
          <w:lang w:val="es-ES_tradnl"/>
        </w:rPr>
        <w:t xml:space="preserve"> las </w:t>
      </w:r>
      <w:r w:rsidR="0011069C" w:rsidRPr="002012DE">
        <w:rPr>
          <w:rFonts w:ascii="Palatino Linotype" w:hAnsi="Palatino Linotype" w:cs="Arial"/>
        </w:rPr>
        <w:t>constancias</w:t>
      </w:r>
      <w:r w:rsidR="0011069C" w:rsidRPr="002012DE">
        <w:rPr>
          <w:rFonts w:ascii="Palatino Linotype" w:hAnsi="Palatino Linotype" w:cs="Arial"/>
          <w:lang w:val="es-ES_tradnl"/>
        </w:rPr>
        <w:t xml:space="preserve"> que obran en el </w:t>
      </w:r>
      <w:r w:rsidR="0011069C" w:rsidRPr="002012DE">
        <w:rPr>
          <w:rFonts w:ascii="Palatino Linotype" w:hAnsi="Palatino Linotype" w:cs="Arial"/>
          <w:b/>
          <w:lang w:val="es-ES_tradnl"/>
        </w:rPr>
        <w:t>SAIMEX</w:t>
      </w:r>
      <w:r w:rsidR="0011069C" w:rsidRPr="002012DE">
        <w:rPr>
          <w:rFonts w:ascii="Palatino Linotype" w:hAnsi="Palatino Linotype" w:cs="Arial"/>
          <w:lang w:val="es-ES_tradnl"/>
        </w:rPr>
        <w:t>, se advierte que</w:t>
      </w:r>
      <w:r w:rsidR="0011069C">
        <w:rPr>
          <w:rFonts w:ascii="Palatino Linotype" w:hAnsi="Palatino Linotype" w:cs="Arial"/>
          <w:lang w:val="es-ES_tradnl"/>
        </w:rPr>
        <w:t xml:space="preserve"> </w:t>
      </w:r>
      <w:r w:rsidR="0011069C" w:rsidRPr="002012DE">
        <w:rPr>
          <w:rFonts w:ascii="Palatino Linotype" w:hAnsi="Palatino Linotype" w:cs="Arial"/>
          <w:lang w:val="es-ES_tradnl"/>
        </w:rPr>
        <w:t>el</w:t>
      </w:r>
      <w:r w:rsidR="0011069C">
        <w:rPr>
          <w:rFonts w:ascii="Palatino Linotype" w:hAnsi="Palatino Linotype" w:cs="Arial"/>
          <w:b/>
          <w:lang w:val="es-ES_tradnl"/>
        </w:rPr>
        <w:t xml:space="preserve"> Sujeto Obligado</w:t>
      </w:r>
      <w:r w:rsidR="0011069C" w:rsidRPr="00802516">
        <w:rPr>
          <w:rFonts w:ascii="Palatino Linotype" w:hAnsi="Palatino Linotype" w:cs="Arial"/>
          <w:lang w:val="es-ES_tradnl"/>
        </w:rPr>
        <w:t xml:space="preserve"> </w:t>
      </w:r>
      <w:r w:rsidR="0011069C">
        <w:rPr>
          <w:rFonts w:ascii="Palatino Linotype" w:hAnsi="Palatino Linotype" w:cs="Arial"/>
          <w:lang w:val="es-ES_tradnl"/>
        </w:rPr>
        <w:t xml:space="preserve">en fecha </w:t>
      </w:r>
      <w:r w:rsidR="0011069C">
        <w:rPr>
          <w:rFonts w:ascii="Palatino Linotype" w:hAnsi="Palatino Linotype" w:cs="Arial"/>
        </w:rPr>
        <w:t>01 (uno) de abril de 2022 (dos mil veintidós)</w:t>
      </w:r>
      <w:r w:rsidR="0011069C">
        <w:rPr>
          <w:rFonts w:ascii="Palatino Linotype" w:hAnsi="Palatino Linotype" w:cs="Arial"/>
          <w:lang w:val="es-ES_tradnl"/>
        </w:rPr>
        <w:t>, rindió su informe justificado por medio del archivo “</w:t>
      </w:r>
      <w:r w:rsidRPr="00DF05C5">
        <w:rPr>
          <w:rFonts w:ascii="Palatino Linotype" w:hAnsi="Palatino Linotype" w:cs="Arial"/>
          <w:lang w:val="es-ES_tradnl"/>
        </w:rPr>
        <w:t>Recurso de Revisión 04110.pdf</w:t>
      </w:r>
      <w:r w:rsidR="0011069C">
        <w:rPr>
          <w:rFonts w:ascii="Palatino Linotype" w:hAnsi="Palatino Linotype" w:cs="Arial"/>
          <w:lang w:val="es-ES_tradnl"/>
        </w:rPr>
        <w:t xml:space="preserve">”, documento que fue puesto a la vista de la </w:t>
      </w:r>
      <w:r w:rsidR="0011069C" w:rsidRPr="005C2BEF">
        <w:rPr>
          <w:rFonts w:ascii="Palatino Linotype" w:hAnsi="Palatino Linotype" w:cs="Arial"/>
          <w:b/>
          <w:lang w:val="es-ES_tradnl"/>
        </w:rPr>
        <w:t>Recurrente</w:t>
      </w:r>
      <w:r w:rsidR="0011069C">
        <w:rPr>
          <w:rFonts w:ascii="Palatino Linotype" w:hAnsi="Palatino Linotype" w:cs="Arial"/>
          <w:b/>
          <w:lang w:val="es-ES_tradnl"/>
        </w:rPr>
        <w:t xml:space="preserve"> </w:t>
      </w:r>
      <w:r w:rsidR="0011069C">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14:paraId="725FFE2F" w14:textId="77777777" w:rsidR="0011069C" w:rsidRDefault="0011069C" w:rsidP="0011069C">
      <w:pPr>
        <w:spacing w:line="360" w:lineRule="auto"/>
        <w:jc w:val="both"/>
        <w:rPr>
          <w:rFonts w:ascii="Palatino Linotype" w:hAnsi="Palatino Linotype" w:cs="Arial"/>
          <w:lang w:val="es-ES_tradnl"/>
        </w:rPr>
      </w:pPr>
    </w:p>
    <w:p w14:paraId="67A74CA1" w14:textId="77777777" w:rsidR="0011069C" w:rsidRDefault="0011069C" w:rsidP="0011069C">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1833AA90" w14:textId="77777777" w:rsidR="0011069C" w:rsidRDefault="0011069C" w:rsidP="0011069C">
      <w:pPr>
        <w:pStyle w:val="Prrafodelista"/>
        <w:spacing w:line="360" w:lineRule="auto"/>
        <w:ind w:left="0"/>
        <w:jc w:val="both"/>
        <w:rPr>
          <w:rFonts w:ascii="Palatino Linotype" w:hAnsi="Palatino Linotype" w:cs="Arial"/>
          <w:lang w:val="es-ES_tradnl"/>
        </w:rPr>
      </w:pPr>
    </w:p>
    <w:p w14:paraId="11230346" w14:textId="77777777" w:rsidR="0011069C" w:rsidRDefault="0011069C" w:rsidP="0011069C">
      <w:pPr>
        <w:pStyle w:val="Prrafodelista"/>
        <w:spacing w:line="360" w:lineRule="auto"/>
        <w:ind w:left="0"/>
        <w:jc w:val="both"/>
        <w:rPr>
          <w:rFonts w:ascii="Palatino Linotype" w:hAnsi="Palatino Linotype" w:cs="Arial"/>
          <w:lang w:val="es-ES_tradnl"/>
        </w:rPr>
      </w:pPr>
    </w:p>
    <w:p w14:paraId="0741474F" w14:textId="77777777" w:rsidR="0011069C" w:rsidRDefault="00DF05C5" w:rsidP="0011069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NOVENO</w:t>
      </w:r>
      <w:r w:rsidR="0011069C" w:rsidRPr="009C4F08">
        <w:rPr>
          <w:rFonts w:ascii="Palatino Linotype" w:hAnsi="Palatino Linotype" w:cs="Arial"/>
          <w:b/>
          <w:lang w:val="es-ES_tradnl"/>
        </w:rPr>
        <w:t>.</w:t>
      </w:r>
      <w:r w:rsidR="0011069C">
        <w:rPr>
          <w:rFonts w:ascii="Palatino Linotype" w:hAnsi="Palatino Linotype" w:cs="Arial"/>
          <w:b/>
          <w:lang w:val="es-ES_tradnl"/>
        </w:rPr>
        <w:t xml:space="preserve"> U</w:t>
      </w:r>
      <w:r w:rsidR="0011069C">
        <w:rPr>
          <w:rFonts w:ascii="Palatino Linotype" w:eastAsiaTheme="minorHAnsi" w:hAnsi="Palatino Linotype" w:cs="Arial"/>
          <w:lang w:val="es-MX" w:eastAsia="en-US"/>
        </w:rPr>
        <w:t>na vez transcurrido el término</w:t>
      </w:r>
      <w:r w:rsidR="0011069C"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sidR="0011069C">
        <w:rPr>
          <w:rFonts w:ascii="Palatino Linotype" w:eastAsiaTheme="minorHAnsi" w:hAnsi="Palatino Linotype" w:cs="Arial"/>
          <w:lang w:val="es-MX" w:eastAsia="en-US"/>
        </w:rPr>
        <w:t xml:space="preserve">ecretó el </w:t>
      </w:r>
      <w:r w:rsidR="0011069C" w:rsidRPr="00ED5142">
        <w:rPr>
          <w:rFonts w:ascii="Palatino Linotype" w:eastAsiaTheme="minorHAnsi" w:hAnsi="Palatino Linotype" w:cs="Arial"/>
          <w:lang w:val="es-MX" w:eastAsia="en-US"/>
        </w:rPr>
        <w:t>cierre de instrucción en fecha</w:t>
      </w:r>
      <w:r w:rsidR="0011069C">
        <w:rPr>
          <w:rFonts w:ascii="Palatino Linotype" w:eastAsiaTheme="minorHAnsi" w:hAnsi="Palatino Linotype" w:cs="Arial"/>
          <w:lang w:val="es-MX" w:eastAsia="en-US"/>
        </w:rPr>
        <w:t xml:space="preserve"> 18</w:t>
      </w:r>
      <w:r w:rsidR="0011069C" w:rsidRPr="00ED5142">
        <w:rPr>
          <w:rFonts w:ascii="Palatino Linotype" w:eastAsiaTheme="minorHAnsi" w:hAnsi="Palatino Linotype" w:cs="Arial"/>
          <w:lang w:val="es-MX" w:eastAsia="en-US"/>
        </w:rPr>
        <w:t xml:space="preserve"> </w:t>
      </w:r>
      <w:r w:rsidR="0011069C">
        <w:rPr>
          <w:rFonts w:ascii="Palatino Linotype" w:eastAsiaTheme="minorHAnsi" w:hAnsi="Palatino Linotype" w:cs="Arial"/>
          <w:lang w:val="es-MX" w:eastAsia="en-US"/>
        </w:rPr>
        <w:t xml:space="preserve">(dieciocho) de abril de 2022 (dos mil </w:t>
      </w:r>
      <w:r w:rsidR="0011069C">
        <w:rPr>
          <w:rFonts w:ascii="Palatino Linotype" w:eastAsiaTheme="minorHAnsi" w:hAnsi="Palatino Linotype" w:cs="Arial"/>
          <w:lang w:val="es-MX" w:eastAsia="en-US"/>
        </w:rPr>
        <w:lastRenderedPageBreak/>
        <w:t>veintidós)</w:t>
      </w:r>
      <w:r w:rsidR="0011069C"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6E5961FC" w14:textId="77777777" w:rsidR="0011069C" w:rsidRDefault="0011069C" w:rsidP="0011069C">
      <w:pPr>
        <w:pStyle w:val="Prrafodelista"/>
        <w:spacing w:line="360" w:lineRule="auto"/>
        <w:ind w:left="0"/>
        <w:jc w:val="both"/>
        <w:rPr>
          <w:rFonts w:ascii="Palatino Linotype" w:eastAsiaTheme="minorHAnsi" w:hAnsi="Palatino Linotype" w:cs="Arial"/>
          <w:lang w:val="es-MX" w:eastAsia="en-US"/>
        </w:rPr>
      </w:pPr>
    </w:p>
    <w:p w14:paraId="7610FAE7" w14:textId="77777777" w:rsidR="0011069C" w:rsidRDefault="0011069C" w:rsidP="0011069C">
      <w:pPr>
        <w:pStyle w:val="Prrafodelista"/>
        <w:spacing w:line="360" w:lineRule="auto"/>
        <w:ind w:left="0"/>
        <w:jc w:val="both"/>
        <w:rPr>
          <w:rFonts w:ascii="Palatino Linotype" w:eastAsiaTheme="minorHAnsi" w:hAnsi="Palatino Linotype" w:cs="Arial"/>
          <w:lang w:val="es-MX" w:eastAsia="en-US"/>
        </w:rPr>
      </w:pPr>
    </w:p>
    <w:p w14:paraId="04766197" w14:textId="77777777" w:rsidR="0011069C" w:rsidRPr="005C2BEF" w:rsidRDefault="00DF05C5" w:rsidP="0011069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sz w:val="28"/>
          <w:szCs w:val="28"/>
          <w:lang w:val="es-MX" w:eastAsia="en-US"/>
        </w:rPr>
        <w:t>DÉCIMO</w:t>
      </w:r>
      <w:r w:rsidR="0011069C" w:rsidRPr="005C2BEF">
        <w:rPr>
          <w:rFonts w:ascii="Palatino Linotype" w:eastAsiaTheme="minorHAnsi" w:hAnsi="Palatino Linotype" w:cs="Arial"/>
          <w:b/>
          <w:sz w:val="28"/>
          <w:szCs w:val="28"/>
          <w:lang w:val="es-MX" w:eastAsia="en-US"/>
        </w:rPr>
        <w:t xml:space="preserve">. </w:t>
      </w:r>
      <w:r w:rsidR="0011069C" w:rsidRPr="005C2BEF">
        <w:rPr>
          <w:rFonts w:ascii="Palatino Linotype" w:eastAsiaTheme="minorHAnsi" w:hAnsi="Palatino Linotype" w:cs="Arial"/>
          <w:lang w:val="es-MX" w:eastAsia="en-US"/>
        </w:rPr>
        <w:t>De las constancias que integran el expediente virtual, se advierte que ha transcurrido el término de Ley, para la emisión de la resolución en el presente recurso de revisión, por lo que en fecha</w:t>
      </w:r>
      <w:r w:rsidR="0011069C">
        <w:rPr>
          <w:rFonts w:ascii="Palatino Linotype" w:eastAsiaTheme="minorHAnsi" w:hAnsi="Palatino Linotype" w:cs="Arial"/>
          <w:lang w:val="es-MX" w:eastAsia="en-US"/>
        </w:rPr>
        <w:t xml:space="preserve"> 13 (trece) de </w:t>
      </w:r>
      <w:r w:rsidR="0011069C" w:rsidRPr="005C2BEF">
        <w:rPr>
          <w:rFonts w:ascii="Palatino Linotype" w:eastAsiaTheme="minorHAnsi" w:hAnsi="Palatino Linotype" w:cs="Arial"/>
          <w:lang w:val="es-MX" w:eastAsia="en-US"/>
        </w:rPr>
        <w:t>mayo de</w:t>
      </w:r>
      <w:r w:rsidR="0011069C">
        <w:rPr>
          <w:rFonts w:ascii="Palatino Linotype" w:eastAsiaTheme="minorHAnsi" w:hAnsi="Palatino Linotype" w:cs="Arial"/>
          <w:lang w:val="es-MX" w:eastAsia="en-US"/>
        </w:rPr>
        <w:t xml:space="preserve"> 2022</w:t>
      </w:r>
      <w:r w:rsidR="0011069C" w:rsidRPr="005C2BEF">
        <w:rPr>
          <w:rFonts w:ascii="Palatino Linotype" w:eastAsiaTheme="minorHAnsi" w:hAnsi="Palatino Linotype" w:cs="Arial"/>
          <w:lang w:val="es-MX" w:eastAsia="en-US"/>
        </w:rPr>
        <w:t xml:space="preserve"> </w:t>
      </w:r>
      <w:r w:rsidR="0011069C">
        <w:rPr>
          <w:rFonts w:ascii="Palatino Linotype" w:eastAsiaTheme="minorHAnsi" w:hAnsi="Palatino Linotype" w:cs="Arial"/>
          <w:lang w:val="es-MX" w:eastAsia="en-US"/>
        </w:rPr>
        <w:t>(</w:t>
      </w:r>
      <w:r w:rsidR="0011069C" w:rsidRPr="005C2BEF">
        <w:rPr>
          <w:rFonts w:ascii="Palatino Linotype" w:eastAsiaTheme="minorHAnsi" w:hAnsi="Palatino Linotype" w:cs="Arial"/>
          <w:lang w:val="es-MX" w:eastAsia="en-US"/>
        </w:rPr>
        <w:t>dos mil veintidós</w:t>
      </w:r>
      <w:r w:rsidR="0011069C">
        <w:rPr>
          <w:rFonts w:ascii="Palatino Linotype" w:eastAsiaTheme="minorHAnsi" w:hAnsi="Palatino Linotype" w:cs="Arial"/>
          <w:lang w:val="es-MX" w:eastAsia="en-US"/>
        </w:rPr>
        <w:t>)</w:t>
      </w:r>
      <w:r w:rsidR="0011069C" w:rsidRPr="005C2BEF">
        <w:rPr>
          <w:rFonts w:ascii="Palatino Linotype" w:eastAsiaTheme="minorHAnsi" w:hAnsi="Palatino Linotype" w:cs="Arial"/>
          <w:lang w:val="es-MX"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C8A8019" w14:textId="77777777" w:rsidR="0011069C" w:rsidRDefault="0011069C" w:rsidP="0011069C">
      <w:pPr>
        <w:pStyle w:val="Prrafodelista"/>
        <w:spacing w:line="360" w:lineRule="auto"/>
        <w:ind w:left="0"/>
        <w:jc w:val="both"/>
        <w:rPr>
          <w:rFonts w:ascii="Palatino Linotype" w:eastAsiaTheme="minorHAnsi" w:hAnsi="Palatino Linotype" w:cs="Arial"/>
          <w:lang w:val="es-MX" w:eastAsia="en-US"/>
        </w:rPr>
      </w:pPr>
    </w:p>
    <w:p w14:paraId="7861194B" w14:textId="77777777" w:rsidR="0011069C" w:rsidRDefault="0011069C" w:rsidP="0011069C">
      <w:pPr>
        <w:pStyle w:val="Prrafodelista"/>
        <w:spacing w:line="360" w:lineRule="auto"/>
        <w:ind w:left="0"/>
        <w:jc w:val="both"/>
        <w:rPr>
          <w:rFonts w:ascii="Palatino Linotype" w:eastAsiaTheme="minorHAnsi" w:hAnsi="Palatino Linotype" w:cs="Arial"/>
          <w:lang w:val="es-MX" w:eastAsia="en-US"/>
        </w:rPr>
      </w:pPr>
    </w:p>
    <w:p w14:paraId="401446C3" w14:textId="77777777" w:rsidR="0011069C" w:rsidRPr="0024200F" w:rsidRDefault="0011069C" w:rsidP="0011069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4EB6BB2" w14:textId="77777777" w:rsidR="0011069C" w:rsidRPr="00825F67" w:rsidRDefault="0011069C" w:rsidP="0011069C">
      <w:pPr>
        <w:spacing w:line="360" w:lineRule="auto"/>
        <w:ind w:right="49"/>
        <w:jc w:val="both"/>
        <w:rPr>
          <w:rFonts w:ascii="Palatino Linotype" w:hAnsi="Palatino Linotype"/>
          <w:szCs w:val="28"/>
        </w:rPr>
      </w:pPr>
    </w:p>
    <w:p w14:paraId="368F8918" w14:textId="77777777" w:rsidR="0011069C" w:rsidRPr="00FB3150" w:rsidRDefault="0011069C" w:rsidP="0011069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3B8B3A1B" w14:textId="77777777" w:rsidR="0011069C" w:rsidRDefault="0011069C" w:rsidP="0011069C">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343F97">
        <w:rPr>
          <w:rFonts w:ascii="Palatino Linotype" w:hAnsi="Palatino Linotype" w:cs="Arial"/>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40F639" w14:textId="77777777" w:rsidR="0011069C" w:rsidRDefault="0011069C" w:rsidP="0011069C">
      <w:pPr>
        <w:spacing w:line="360" w:lineRule="auto"/>
        <w:jc w:val="both"/>
        <w:rPr>
          <w:rFonts w:ascii="Palatino Linotype" w:hAnsi="Palatino Linotype" w:cs="Arial"/>
        </w:rPr>
      </w:pPr>
    </w:p>
    <w:p w14:paraId="4232CF6F" w14:textId="77777777" w:rsidR="0011069C" w:rsidRPr="001D77CB" w:rsidRDefault="0011069C" w:rsidP="0011069C">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24CB04A" w14:textId="77777777" w:rsidR="0011069C" w:rsidRDefault="0011069C" w:rsidP="0011069C">
      <w:pPr>
        <w:spacing w:line="360" w:lineRule="auto"/>
        <w:ind w:right="49"/>
        <w:jc w:val="both"/>
        <w:rPr>
          <w:rFonts w:ascii="Palatino Linotype" w:hAnsi="Palatino Linotype" w:cs="Arial"/>
        </w:rPr>
      </w:pPr>
    </w:p>
    <w:p w14:paraId="4313CDFD" w14:textId="77777777" w:rsidR="0011069C" w:rsidRDefault="0011069C" w:rsidP="0011069C">
      <w:pPr>
        <w:spacing w:line="360" w:lineRule="auto"/>
        <w:ind w:right="49"/>
        <w:jc w:val="both"/>
        <w:rPr>
          <w:rFonts w:ascii="Palatino Linotype" w:hAnsi="Palatino Linotype" w:cs="Arial"/>
        </w:rPr>
      </w:pPr>
    </w:p>
    <w:p w14:paraId="69D24B35" w14:textId="77777777" w:rsidR="0011069C" w:rsidRPr="00FB3150" w:rsidRDefault="0011069C" w:rsidP="0011069C">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439C2A76" w14:textId="77777777" w:rsidR="0011069C" w:rsidRDefault="0011069C" w:rsidP="0011069C">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5915D485" w14:textId="77777777" w:rsidR="0011069C" w:rsidRDefault="0011069C" w:rsidP="0011069C">
      <w:pPr>
        <w:spacing w:line="360" w:lineRule="auto"/>
        <w:ind w:right="49"/>
        <w:jc w:val="both"/>
        <w:rPr>
          <w:rFonts w:ascii="Palatino Linotype" w:hAnsi="Palatino Linotype" w:cs="Arial"/>
        </w:rPr>
      </w:pPr>
    </w:p>
    <w:p w14:paraId="3586E27C" w14:textId="77777777" w:rsidR="0011069C" w:rsidRDefault="0011069C" w:rsidP="0011069C">
      <w:pPr>
        <w:spacing w:line="360" w:lineRule="auto"/>
        <w:ind w:right="49"/>
        <w:jc w:val="both"/>
        <w:rPr>
          <w:rFonts w:ascii="Palatino Linotype" w:hAnsi="Palatino Linotype" w:cs="Arial"/>
        </w:rPr>
      </w:pPr>
    </w:p>
    <w:p w14:paraId="12AB85AB" w14:textId="77777777" w:rsidR="0011069C" w:rsidRPr="00FB3150" w:rsidRDefault="0011069C" w:rsidP="0011069C">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5933A3B2" w14:textId="77777777" w:rsidR="0011069C" w:rsidRDefault="0011069C" w:rsidP="0011069C">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14:paraId="2D1BD4CF" w14:textId="77777777" w:rsidR="0011069C" w:rsidRDefault="0011069C" w:rsidP="0011069C">
      <w:pPr>
        <w:spacing w:line="360" w:lineRule="auto"/>
        <w:ind w:right="49"/>
        <w:jc w:val="both"/>
        <w:rPr>
          <w:rFonts w:ascii="Palatino Linotype" w:hAnsi="Palatino Linotype" w:cs="Arial"/>
        </w:rPr>
      </w:pPr>
    </w:p>
    <w:p w14:paraId="1FBFC751" w14:textId="77777777" w:rsidR="0011069C" w:rsidRDefault="0011069C" w:rsidP="0011069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24200F">
        <w:rPr>
          <w:rFonts w:ascii="Palatino Linotype" w:hAnsi="Palatino Linotype" w:cs="Arial"/>
        </w:rPr>
        <w:lastRenderedPageBreak/>
        <w:t xml:space="preserve">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B4E3828" w14:textId="77777777" w:rsidR="0011069C" w:rsidRDefault="0011069C" w:rsidP="0011069C">
      <w:pPr>
        <w:pStyle w:val="Prrafodelista"/>
        <w:autoSpaceDE w:val="0"/>
        <w:autoSpaceDN w:val="0"/>
        <w:adjustRightInd w:val="0"/>
        <w:spacing w:line="360" w:lineRule="auto"/>
        <w:ind w:left="0"/>
        <w:jc w:val="both"/>
        <w:rPr>
          <w:rFonts w:ascii="Palatino Linotype" w:hAnsi="Palatino Linotype" w:cs="Arial"/>
        </w:rPr>
      </w:pPr>
    </w:p>
    <w:p w14:paraId="22CD262F" w14:textId="77777777" w:rsidR="0011069C" w:rsidRDefault="0011069C" w:rsidP="0011069C">
      <w:pPr>
        <w:pStyle w:val="Prrafodelista"/>
        <w:autoSpaceDE w:val="0"/>
        <w:autoSpaceDN w:val="0"/>
        <w:adjustRightInd w:val="0"/>
        <w:spacing w:line="360" w:lineRule="auto"/>
        <w:ind w:left="0"/>
        <w:jc w:val="both"/>
        <w:rPr>
          <w:rFonts w:ascii="Palatino Linotype" w:hAnsi="Palatino Linotype" w:cs="Arial"/>
        </w:rPr>
      </w:pPr>
    </w:p>
    <w:p w14:paraId="333E8FC6" w14:textId="77777777" w:rsidR="0011069C" w:rsidRPr="00FB3150" w:rsidRDefault="0011069C" w:rsidP="0011069C">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021E6956" w14:textId="77777777" w:rsidR="0011069C" w:rsidRDefault="0011069C" w:rsidP="0011069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63BBC9E1" w14:textId="77777777" w:rsidR="0011069C" w:rsidRDefault="0011069C" w:rsidP="0011069C">
      <w:pPr>
        <w:pStyle w:val="Prrafodelista"/>
        <w:autoSpaceDE w:val="0"/>
        <w:autoSpaceDN w:val="0"/>
        <w:adjustRightInd w:val="0"/>
        <w:spacing w:line="360" w:lineRule="auto"/>
        <w:ind w:left="0"/>
        <w:jc w:val="both"/>
        <w:rPr>
          <w:rFonts w:ascii="Palatino Linotype" w:hAnsi="Palatino Linotype" w:cs="Arial"/>
        </w:rPr>
      </w:pPr>
    </w:p>
    <w:p w14:paraId="363C9B14" w14:textId="77777777" w:rsidR="0011069C" w:rsidRDefault="00D61B84" w:rsidP="00501457">
      <w:pPr>
        <w:pStyle w:val="Prrafodelista"/>
        <w:spacing w:line="360" w:lineRule="auto"/>
        <w:ind w:left="0" w:right="49"/>
        <w:jc w:val="both"/>
        <w:rPr>
          <w:rFonts w:ascii="Palatino Linotype" w:hAnsi="Palatino Linotype"/>
          <w:bCs/>
        </w:rPr>
      </w:pPr>
      <w:r>
        <w:rPr>
          <w:rFonts w:ascii="Palatino Linotype" w:hAnsi="Palatino Linotype"/>
          <w:bCs/>
        </w:rPr>
        <w:t>Ahora bien, d</w:t>
      </w:r>
      <w:r w:rsidR="0011069C">
        <w:rPr>
          <w:rFonts w:ascii="Palatino Linotype" w:hAnsi="Palatino Linotype"/>
          <w:bCs/>
        </w:rPr>
        <w:t>el contenido de</w:t>
      </w:r>
      <w:r w:rsidR="0011069C" w:rsidRPr="004151FC">
        <w:rPr>
          <w:rFonts w:ascii="Palatino Linotype" w:hAnsi="Palatino Linotype"/>
          <w:bCs/>
        </w:rPr>
        <w:t xml:space="preserve"> la solicitud de </w:t>
      </w:r>
      <w:r w:rsidR="0011069C" w:rsidRPr="007D7352">
        <w:rPr>
          <w:rFonts w:ascii="Palatino Linotype" w:hAnsi="Palatino Linotype"/>
          <w:bCs/>
        </w:rPr>
        <w:t>información</w:t>
      </w:r>
      <w:r>
        <w:rPr>
          <w:rFonts w:ascii="Palatino Linotype" w:hAnsi="Palatino Linotype"/>
          <w:bCs/>
        </w:rPr>
        <w:t xml:space="preserve"> junto a lo señalado en el desahogo del requerimiento de aclaración,</w:t>
      </w:r>
      <w:r w:rsidR="0011069C" w:rsidRPr="007D7352">
        <w:rPr>
          <w:rFonts w:ascii="Palatino Linotype" w:hAnsi="Palatino Linotype"/>
          <w:bCs/>
        </w:rPr>
        <w:t xml:space="preserve"> </w:t>
      </w:r>
      <w:r w:rsidR="0011069C">
        <w:rPr>
          <w:rFonts w:ascii="Palatino Linotype" w:hAnsi="Palatino Linotype"/>
          <w:bCs/>
        </w:rPr>
        <w:t xml:space="preserve">podemos </w:t>
      </w:r>
      <w:r w:rsidR="0011069C" w:rsidRPr="006451E6">
        <w:rPr>
          <w:rFonts w:ascii="Palatino Linotype" w:hAnsi="Palatino Linotype"/>
          <w:bCs/>
        </w:rPr>
        <w:t xml:space="preserve">observar, que </w:t>
      </w:r>
      <w:r w:rsidR="0011069C">
        <w:rPr>
          <w:rFonts w:ascii="Palatino Linotype" w:hAnsi="Palatino Linotype"/>
          <w:bCs/>
        </w:rPr>
        <w:t xml:space="preserve">la </w:t>
      </w:r>
      <w:r w:rsidR="0011069C" w:rsidRPr="005C2BEF">
        <w:rPr>
          <w:rFonts w:ascii="Palatino Linotype" w:hAnsi="Palatino Linotype"/>
          <w:b/>
          <w:bCs/>
        </w:rPr>
        <w:t>Recurrente</w:t>
      </w:r>
      <w:r w:rsidR="0011069C" w:rsidRPr="006451E6">
        <w:rPr>
          <w:rFonts w:ascii="Palatino Linotype" w:hAnsi="Palatino Linotype"/>
          <w:bCs/>
        </w:rPr>
        <w:t xml:space="preserve"> peticiona</w:t>
      </w:r>
      <w:r w:rsidR="0011069C">
        <w:rPr>
          <w:rFonts w:ascii="Palatino Linotype" w:hAnsi="Palatino Linotype"/>
          <w:bCs/>
        </w:rPr>
        <w:t xml:space="preserve"> </w:t>
      </w:r>
      <w:r>
        <w:rPr>
          <w:rFonts w:ascii="Palatino Linotype" w:hAnsi="Palatino Linotype"/>
          <w:bCs/>
        </w:rPr>
        <w:t>objetivamente</w:t>
      </w:r>
      <w:r w:rsidR="0011069C">
        <w:rPr>
          <w:rFonts w:ascii="Palatino Linotype" w:hAnsi="Palatino Linotype"/>
          <w:bCs/>
        </w:rPr>
        <w:t xml:space="preserve">, </w:t>
      </w:r>
      <w:r w:rsidR="00501457">
        <w:rPr>
          <w:rFonts w:ascii="Palatino Linotype" w:hAnsi="Palatino Linotype"/>
          <w:bCs/>
        </w:rPr>
        <w:t>d</w:t>
      </w:r>
      <w:r w:rsidR="0011069C" w:rsidRPr="004D7E0E">
        <w:rPr>
          <w:rFonts w:ascii="Palatino Linotype" w:hAnsi="Palatino Linotype"/>
          <w:bCs/>
        </w:rPr>
        <w:t>e</w:t>
      </w:r>
      <w:r w:rsidR="00501457">
        <w:rPr>
          <w:rFonts w:ascii="Palatino Linotype" w:hAnsi="Palatino Linotype"/>
          <w:bCs/>
        </w:rPr>
        <w:t>l servidor público que dejo el ostentaba el cargo de Contralor Interno en 2021 (dos mil veintiuno), lo siguiente</w:t>
      </w:r>
    </w:p>
    <w:p w14:paraId="4E160CAE" w14:textId="77777777" w:rsidR="0011069C" w:rsidRDefault="0011069C" w:rsidP="0011069C">
      <w:pPr>
        <w:pStyle w:val="Prrafodelista"/>
        <w:spacing w:line="360" w:lineRule="auto"/>
        <w:ind w:left="567" w:right="49"/>
        <w:jc w:val="both"/>
        <w:rPr>
          <w:rFonts w:ascii="Palatino Linotype" w:hAnsi="Palatino Linotype"/>
          <w:bCs/>
        </w:rPr>
      </w:pPr>
    </w:p>
    <w:p w14:paraId="3EF154D0" w14:textId="77777777" w:rsidR="0011069C" w:rsidRDefault="00501457" w:rsidP="0011069C">
      <w:pPr>
        <w:pStyle w:val="Prrafodelista"/>
        <w:numPr>
          <w:ilvl w:val="0"/>
          <w:numId w:val="4"/>
        </w:numPr>
        <w:spacing w:line="360" w:lineRule="auto"/>
        <w:ind w:left="1276"/>
        <w:jc w:val="both"/>
        <w:rPr>
          <w:rFonts w:ascii="Palatino Linotype" w:hAnsi="Palatino Linotype" w:cs="Arial"/>
          <w:color w:val="000000" w:themeColor="text1"/>
        </w:rPr>
      </w:pPr>
      <w:r>
        <w:rPr>
          <w:rFonts w:ascii="Palatino Linotype" w:hAnsi="Palatino Linotype" w:cs="Arial"/>
          <w:color w:val="000000" w:themeColor="text1"/>
        </w:rPr>
        <w:t>Acta entrega recepción con anexos</w:t>
      </w:r>
      <w:r w:rsidR="0011069C">
        <w:rPr>
          <w:rFonts w:ascii="Palatino Linotype" w:hAnsi="Palatino Linotype" w:cs="Arial"/>
          <w:color w:val="000000" w:themeColor="text1"/>
        </w:rPr>
        <w:t>;</w:t>
      </w:r>
    </w:p>
    <w:p w14:paraId="4B4F9517" w14:textId="77777777" w:rsidR="0011069C" w:rsidRDefault="00501457" w:rsidP="0011069C">
      <w:pPr>
        <w:pStyle w:val="Prrafodelista"/>
        <w:numPr>
          <w:ilvl w:val="0"/>
          <w:numId w:val="4"/>
        </w:numPr>
        <w:spacing w:line="360" w:lineRule="auto"/>
        <w:ind w:left="1276"/>
        <w:jc w:val="both"/>
        <w:rPr>
          <w:rFonts w:ascii="Palatino Linotype" w:hAnsi="Palatino Linotype" w:cs="Arial"/>
          <w:color w:val="000000" w:themeColor="text1"/>
        </w:rPr>
      </w:pPr>
      <w:r>
        <w:rPr>
          <w:rFonts w:ascii="Palatino Linotype" w:hAnsi="Palatino Linotype" w:cs="Arial"/>
          <w:color w:val="000000" w:themeColor="text1"/>
        </w:rPr>
        <w:t>finiquito</w:t>
      </w:r>
      <w:r w:rsidR="0011069C">
        <w:rPr>
          <w:rFonts w:ascii="Palatino Linotype" w:hAnsi="Palatino Linotype" w:cs="Arial"/>
          <w:color w:val="000000" w:themeColor="text1"/>
        </w:rPr>
        <w:t xml:space="preserve">; </w:t>
      </w:r>
    </w:p>
    <w:p w14:paraId="471771EA" w14:textId="77777777" w:rsidR="0011069C" w:rsidRDefault="00501457" w:rsidP="0011069C">
      <w:pPr>
        <w:pStyle w:val="Prrafodelista"/>
        <w:numPr>
          <w:ilvl w:val="0"/>
          <w:numId w:val="4"/>
        </w:numPr>
        <w:spacing w:line="360" w:lineRule="auto"/>
        <w:ind w:left="1276"/>
        <w:jc w:val="both"/>
        <w:rPr>
          <w:rFonts w:ascii="Palatino Linotype" w:hAnsi="Palatino Linotype" w:cs="Arial"/>
          <w:color w:val="000000" w:themeColor="text1"/>
        </w:rPr>
      </w:pPr>
      <w:r>
        <w:rPr>
          <w:rFonts w:ascii="Palatino Linotype" w:hAnsi="Palatino Linotype" w:cs="Arial"/>
          <w:color w:val="000000" w:themeColor="text1"/>
        </w:rPr>
        <w:t>renuncia</w:t>
      </w:r>
      <w:r w:rsidR="0011069C" w:rsidRPr="005C2BEF">
        <w:rPr>
          <w:rFonts w:ascii="Palatino Linotype" w:hAnsi="Palatino Linotype" w:cs="Arial"/>
          <w:color w:val="000000" w:themeColor="text1"/>
        </w:rPr>
        <w:t xml:space="preserve">, </w:t>
      </w:r>
      <w:r>
        <w:rPr>
          <w:rFonts w:ascii="Palatino Linotype" w:hAnsi="Palatino Linotype" w:cs="Arial"/>
          <w:color w:val="000000" w:themeColor="text1"/>
        </w:rPr>
        <w:t>y</w:t>
      </w:r>
    </w:p>
    <w:p w14:paraId="697A00B0" w14:textId="77777777" w:rsidR="00501457" w:rsidRPr="005C2BEF" w:rsidRDefault="00501457" w:rsidP="0011069C">
      <w:pPr>
        <w:pStyle w:val="Prrafodelista"/>
        <w:numPr>
          <w:ilvl w:val="0"/>
          <w:numId w:val="4"/>
        </w:numPr>
        <w:spacing w:line="360" w:lineRule="auto"/>
        <w:ind w:left="1276"/>
        <w:jc w:val="both"/>
        <w:rPr>
          <w:rFonts w:ascii="Palatino Linotype" w:hAnsi="Palatino Linotype" w:cs="Arial"/>
          <w:color w:val="000000" w:themeColor="text1"/>
        </w:rPr>
      </w:pPr>
      <w:r>
        <w:rPr>
          <w:rFonts w:ascii="Palatino Linotype" w:hAnsi="Palatino Linotype" w:cs="Arial"/>
          <w:color w:val="000000" w:themeColor="text1"/>
        </w:rPr>
        <w:t xml:space="preserve">últimos talones de pago de diciembre </w:t>
      </w:r>
      <w:r>
        <w:rPr>
          <w:rFonts w:ascii="Palatino Linotype" w:hAnsi="Palatino Linotype"/>
          <w:bCs/>
        </w:rPr>
        <w:t>2021 (dos mil veintiuno).</w:t>
      </w:r>
    </w:p>
    <w:p w14:paraId="0879423F" w14:textId="77777777" w:rsidR="0011069C" w:rsidRDefault="000D3103" w:rsidP="0011069C">
      <w:pPr>
        <w:spacing w:line="360" w:lineRule="auto"/>
        <w:jc w:val="both"/>
        <w:rPr>
          <w:rFonts w:ascii="Palatino Linotype" w:hAnsi="Palatino Linotype"/>
          <w:bCs/>
        </w:rPr>
      </w:pPr>
      <w:r>
        <w:rPr>
          <w:rFonts w:ascii="Palatino Linotype" w:hAnsi="Palatino Linotype" w:cs="Arial"/>
          <w:color w:val="000000" w:themeColor="text1"/>
        </w:rPr>
        <w:lastRenderedPageBreak/>
        <w:t>E</w:t>
      </w:r>
      <w:r w:rsidR="0011069C">
        <w:rPr>
          <w:rFonts w:ascii="Palatino Linotype" w:hAnsi="Palatino Linotype" w:cs="Arial"/>
          <w:color w:val="000000" w:themeColor="text1"/>
        </w:rPr>
        <w:t xml:space="preserve">l </w:t>
      </w:r>
      <w:r w:rsidR="0011069C">
        <w:rPr>
          <w:rFonts w:ascii="Palatino Linotype" w:hAnsi="Palatino Linotype" w:cs="Arial"/>
          <w:b/>
          <w:color w:val="000000" w:themeColor="text1"/>
        </w:rPr>
        <w:t>Sujeto Obligado</w:t>
      </w:r>
      <w:r w:rsidR="0011069C">
        <w:rPr>
          <w:rFonts w:ascii="Palatino Linotype" w:hAnsi="Palatino Linotype" w:cs="Arial"/>
          <w:color w:val="000000" w:themeColor="text1"/>
        </w:rPr>
        <w:t xml:space="preserve"> se sirvió en dar respuesta por medio del archivo </w:t>
      </w:r>
      <w:r w:rsidR="0011069C">
        <w:rPr>
          <w:rFonts w:ascii="Palatino Linotype" w:hAnsi="Palatino Linotype"/>
          <w:bCs/>
        </w:rPr>
        <w:t>“</w:t>
      </w:r>
      <w:r w:rsidRPr="000D3103">
        <w:rPr>
          <w:rFonts w:ascii="Palatino Linotype" w:hAnsi="Palatino Linotype"/>
          <w:bCs/>
        </w:rPr>
        <w:t>RESPUESTA SOLICITUD 03.pdf</w:t>
      </w:r>
      <w:r w:rsidR="0011069C">
        <w:rPr>
          <w:rFonts w:ascii="Palatino Linotype" w:hAnsi="Palatino Linotype"/>
          <w:bCs/>
        </w:rPr>
        <w:t>”, del que</w:t>
      </w:r>
      <w:r w:rsidR="0011069C">
        <w:rPr>
          <w:rFonts w:ascii="Palatino Linotype" w:hAnsi="Palatino Linotype" w:cs="Arial"/>
          <w:color w:val="000000" w:themeColor="text1"/>
        </w:rPr>
        <w:t xml:space="preserve"> se desprende el contenido </w:t>
      </w:r>
      <w:r>
        <w:rPr>
          <w:rFonts w:ascii="Palatino Linotype" w:hAnsi="Palatino Linotype" w:cs="Arial"/>
          <w:color w:val="000000" w:themeColor="text1"/>
        </w:rPr>
        <w:t xml:space="preserve">de los documentos </w:t>
      </w:r>
      <w:r w:rsidR="0011069C">
        <w:rPr>
          <w:rFonts w:ascii="Palatino Linotype" w:hAnsi="Palatino Linotype" w:cs="Arial"/>
          <w:color w:val="000000" w:themeColor="text1"/>
        </w:rPr>
        <w:t>siguiente</w:t>
      </w:r>
      <w:r>
        <w:rPr>
          <w:rFonts w:ascii="Palatino Linotype" w:hAnsi="Palatino Linotype" w:cs="Arial"/>
          <w:color w:val="000000" w:themeColor="text1"/>
        </w:rPr>
        <w:t>s</w:t>
      </w:r>
      <w:r w:rsidR="0011069C">
        <w:rPr>
          <w:rFonts w:ascii="Palatino Linotype" w:hAnsi="Palatino Linotype"/>
          <w:bCs/>
        </w:rPr>
        <w:t>:</w:t>
      </w:r>
    </w:p>
    <w:p w14:paraId="2EEF2A5A" w14:textId="77777777" w:rsidR="0011069C" w:rsidRDefault="0011069C" w:rsidP="0011069C">
      <w:pPr>
        <w:spacing w:line="360" w:lineRule="auto"/>
        <w:jc w:val="both"/>
        <w:rPr>
          <w:rFonts w:ascii="Palatino Linotype" w:hAnsi="Palatino Linotype"/>
          <w:bCs/>
        </w:rPr>
      </w:pPr>
    </w:p>
    <w:p w14:paraId="283892C4" w14:textId="77777777" w:rsidR="0011069C" w:rsidRDefault="000D3103" w:rsidP="009B3AC4">
      <w:pPr>
        <w:pStyle w:val="Prrafodelista"/>
        <w:numPr>
          <w:ilvl w:val="0"/>
          <w:numId w:val="2"/>
        </w:numPr>
        <w:spacing w:line="360" w:lineRule="auto"/>
        <w:jc w:val="both"/>
        <w:rPr>
          <w:rFonts w:ascii="Palatino Linotype" w:hAnsi="Palatino Linotype"/>
          <w:bCs/>
        </w:rPr>
      </w:pPr>
      <w:r>
        <w:rPr>
          <w:rFonts w:ascii="Palatino Linotype" w:hAnsi="Palatino Linotype"/>
          <w:bCs/>
        </w:rPr>
        <w:t xml:space="preserve">oficio número NRDIF/UT/023/2022 del dieciocho de marzo de dos mil veintidós, </w:t>
      </w:r>
      <w:r w:rsidR="0011069C">
        <w:rPr>
          <w:rFonts w:ascii="Palatino Linotype" w:hAnsi="Palatino Linotype"/>
          <w:bCs/>
        </w:rPr>
        <w:t xml:space="preserve"> </w:t>
      </w:r>
      <w:r>
        <w:rPr>
          <w:rFonts w:ascii="Palatino Linotype" w:hAnsi="Palatino Linotype"/>
          <w:bCs/>
        </w:rPr>
        <w:t xml:space="preserve">remitido por la Titular de la Unidad de Transparencia a la Recurrente, informando haber turnado los requerimientos de información a los servidores públicos habilitados de las áreas </w:t>
      </w:r>
      <w:r w:rsidR="00381EE0">
        <w:rPr>
          <w:rFonts w:ascii="Palatino Linotype" w:hAnsi="Palatino Linotype"/>
          <w:bCs/>
        </w:rPr>
        <w:t xml:space="preserve">competentes de acuerdo a </w:t>
      </w:r>
      <w:r w:rsidR="00B8674E">
        <w:rPr>
          <w:rFonts w:ascii="Palatino Linotype" w:hAnsi="Palatino Linotype"/>
          <w:bCs/>
        </w:rPr>
        <w:t>sus atribuciones y competencias.</w:t>
      </w:r>
    </w:p>
    <w:p w14:paraId="1D633B67" w14:textId="77777777" w:rsidR="0011069C" w:rsidRDefault="0011069C" w:rsidP="009B3AC4">
      <w:pPr>
        <w:spacing w:line="360" w:lineRule="auto"/>
        <w:jc w:val="both"/>
        <w:rPr>
          <w:rFonts w:ascii="Palatino Linotype" w:hAnsi="Palatino Linotype"/>
          <w:bCs/>
        </w:rPr>
      </w:pPr>
    </w:p>
    <w:p w14:paraId="02EA9BDD" w14:textId="77777777" w:rsidR="00B8674E" w:rsidRDefault="00B8674E" w:rsidP="009B3AC4">
      <w:pPr>
        <w:pStyle w:val="Prrafodelista"/>
        <w:numPr>
          <w:ilvl w:val="0"/>
          <w:numId w:val="2"/>
        </w:numPr>
        <w:spacing w:line="360" w:lineRule="auto"/>
        <w:jc w:val="both"/>
        <w:rPr>
          <w:rFonts w:ascii="Palatino Linotype" w:hAnsi="Palatino Linotype"/>
          <w:bCs/>
        </w:rPr>
      </w:pPr>
      <w:r>
        <w:rPr>
          <w:rFonts w:ascii="Palatino Linotype" w:hAnsi="Palatino Linotype"/>
          <w:bCs/>
        </w:rPr>
        <w:t>Oficios números NRDIF/UT/017/2022, NRDIF/UT/019/2022 y NRDIF/UT/017/2022 correspondiente a los oficios de requerimientos turnados a Contralor Interno, Tesorero Municipal y Coordinador Jurídico, todos del Sujeto Obligado.</w:t>
      </w:r>
    </w:p>
    <w:p w14:paraId="7D6A1EA9" w14:textId="77777777" w:rsidR="00B8674E" w:rsidRPr="00B8674E" w:rsidRDefault="00B8674E" w:rsidP="009B3AC4">
      <w:pPr>
        <w:pStyle w:val="Prrafodelista"/>
        <w:rPr>
          <w:rFonts w:ascii="Palatino Linotype" w:hAnsi="Palatino Linotype"/>
          <w:bCs/>
        </w:rPr>
      </w:pPr>
    </w:p>
    <w:p w14:paraId="6B272E22" w14:textId="77777777" w:rsidR="00B8674E" w:rsidRPr="00FD17EB" w:rsidRDefault="00B8674E" w:rsidP="009B3AC4">
      <w:pPr>
        <w:pStyle w:val="Prrafodelista"/>
        <w:numPr>
          <w:ilvl w:val="0"/>
          <w:numId w:val="2"/>
        </w:numPr>
        <w:spacing w:line="360" w:lineRule="auto"/>
        <w:jc w:val="both"/>
        <w:rPr>
          <w:rFonts w:ascii="Palatino Linotype" w:hAnsi="Palatino Linotype"/>
          <w:bCs/>
          <w:i/>
        </w:rPr>
      </w:pPr>
      <w:r w:rsidRPr="00FD17EB">
        <w:rPr>
          <w:rFonts w:ascii="Palatino Linotype" w:hAnsi="Palatino Linotype"/>
          <w:bCs/>
        </w:rPr>
        <w:t>Oficio número SMDIF/CI/0II1/2022 de fecha nueve de marzo de dos mil veintidós, remitido por el Contralor Interno a la Titular de la Unidad de Transparencia, mediante el cual informa</w:t>
      </w:r>
      <w:r w:rsidR="00FD17EB" w:rsidRPr="00FD17EB">
        <w:rPr>
          <w:rFonts w:ascii="Palatino Linotype" w:hAnsi="Palatino Linotype"/>
          <w:bCs/>
        </w:rPr>
        <w:t xml:space="preserve"> </w:t>
      </w:r>
      <w:r w:rsidRPr="00FD17EB">
        <w:rPr>
          <w:rFonts w:ascii="Palatino Linotype" w:hAnsi="Palatino Linotype"/>
          <w:bCs/>
          <w:i/>
        </w:rPr>
        <w:t>“Por lo antes señalado, por cuanto hace a la solicitud del acta entrega recepción con sus respectivos anexos, se refiere a documentos que contienen datos personales como lo son: el domicilio, CURP, RFC, teléfono particular, por lo que solicito se someta a consideración del Comité de Transparencia la versión publica,…”</w:t>
      </w:r>
    </w:p>
    <w:p w14:paraId="5921BF1E" w14:textId="77777777" w:rsidR="0011069C" w:rsidRDefault="0011069C" w:rsidP="009B3AC4">
      <w:pPr>
        <w:spacing w:line="360" w:lineRule="auto"/>
        <w:jc w:val="both"/>
        <w:rPr>
          <w:rFonts w:ascii="Palatino Linotype" w:hAnsi="Palatino Linotype"/>
          <w:bCs/>
        </w:rPr>
      </w:pPr>
    </w:p>
    <w:p w14:paraId="7EADC9F8" w14:textId="77777777" w:rsidR="0011069C" w:rsidRPr="00FD17EB" w:rsidRDefault="00B8674E" w:rsidP="009B3AC4">
      <w:pPr>
        <w:pStyle w:val="Prrafodelista"/>
        <w:numPr>
          <w:ilvl w:val="0"/>
          <w:numId w:val="2"/>
        </w:numPr>
        <w:spacing w:line="360" w:lineRule="auto"/>
        <w:jc w:val="both"/>
        <w:rPr>
          <w:rFonts w:ascii="Palatino Linotype" w:hAnsi="Palatino Linotype"/>
          <w:bCs/>
        </w:rPr>
      </w:pPr>
      <w:r w:rsidRPr="00FD17EB">
        <w:rPr>
          <w:rFonts w:ascii="Palatino Linotype" w:hAnsi="Palatino Linotype"/>
          <w:bCs/>
        </w:rPr>
        <w:t>Oficio número SMDIF/TES/69/2022 de fecha nueve de marzo de dos mil veintidós</w:t>
      </w:r>
      <w:r w:rsidR="00FD17EB">
        <w:rPr>
          <w:rFonts w:ascii="Palatino Linotype" w:hAnsi="Palatino Linotype"/>
          <w:bCs/>
        </w:rPr>
        <w:t>,</w:t>
      </w:r>
      <w:r w:rsidRPr="00FD17EB">
        <w:rPr>
          <w:rFonts w:ascii="Palatino Linotype" w:hAnsi="Palatino Linotype"/>
          <w:bCs/>
        </w:rPr>
        <w:t xml:space="preserve"> </w:t>
      </w:r>
      <w:r w:rsidR="00FD17EB" w:rsidRPr="00FD17EB">
        <w:rPr>
          <w:rFonts w:ascii="Palatino Linotype" w:hAnsi="Palatino Linotype"/>
          <w:bCs/>
        </w:rPr>
        <w:t xml:space="preserve">remitido por el Tesorero Municipal a la Titular de la Unidad de Transparencia, mediante el cual informa que la información peticionada cuenta </w:t>
      </w:r>
      <w:r w:rsidR="00FD17EB" w:rsidRPr="00FD17EB">
        <w:rPr>
          <w:rFonts w:ascii="Palatino Linotype" w:hAnsi="Palatino Linotype"/>
          <w:bCs/>
        </w:rPr>
        <w:lastRenderedPageBreak/>
        <w:t xml:space="preserve">con datos de carácter sensible y confidencial, por lo que </w:t>
      </w:r>
      <w:r w:rsidR="00FD17EB" w:rsidRPr="00FD17EB">
        <w:rPr>
          <w:rFonts w:ascii="Palatino Linotype" w:hAnsi="Palatino Linotype"/>
          <w:bCs/>
          <w:i/>
        </w:rPr>
        <w:t>“…me dirijo a Usted para solicitar se someta a consideración del Comité de Transparencia de este Sistema la clasificación como confidencial de la información referida en los párrafos anteriores para poder elaborar la versión pública de los recibos de nómina solicitados</w:t>
      </w:r>
      <w:r w:rsidR="00FD17EB">
        <w:rPr>
          <w:rFonts w:ascii="Palatino Linotype" w:hAnsi="Palatino Linotype"/>
          <w:bCs/>
          <w:i/>
        </w:rPr>
        <w:t>”</w:t>
      </w:r>
      <w:r w:rsidR="00FD17EB">
        <w:rPr>
          <w:rFonts w:ascii="Palatino Linotype" w:hAnsi="Palatino Linotype"/>
          <w:bCs/>
        </w:rPr>
        <w:t>.</w:t>
      </w:r>
    </w:p>
    <w:p w14:paraId="6C2A3AC2" w14:textId="77777777" w:rsidR="0011069C" w:rsidRDefault="0011069C" w:rsidP="009B3AC4">
      <w:pPr>
        <w:spacing w:line="360" w:lineRule="auto"/>
        <w:jc w:val="both"/>
        <w:rPr>
          <w:rFonts w:ascii="Palatino Linotype" w:hAnsi="Palatino Linotype"/>
          <w:bCs/>
        </w:rPr>
      </w:pPr>
    </w:p>
    <w:p w14:paraId="2B1D147F" w14:textId="77777777" w:rsidR="0011069C" w:rsidRPr="00FD17EB" w:rsidRDefault="00FD17EB" w:rsidP="009B3AC4">
      <w:pPr>
        <w:pStyle w:val="Prrafodelista"/>
        <w:numPr>
          <w:ilvl w:val="0"/>
          <w:numId w:val="2"/>
        </w:numPr>
        <w:spacing w:line="360" w:lineRule="auto"/>
        <w:jc w:val="both"/>
        <w:rPr>
          <w:rFonts w:ascii="Palatino Linotype" w:hAnsi="Palatino Linotype"/>
          <w:bCs/>
        </w:rPr>
      </w:pPr>
      <w:r w:rsidRPr="00FD17EB">
        <w:rPr>
          <w:rFonts w:ascii="Palatino Linotype" w:hAnsi="Palatino Linotype"/>
          <w:bCs/>
        </w:rPr>
        <w:t>Oficio número SM/DIF/JUR/017/2022 de fecha diez de marzo de dos mil veintidós, remitido por el Coordinador Jurídico a la Titular de la Unidad de Transparencia, informando “</w:t>
      </w:r>
      <w:r w:rsidRPr="00FD17EB">
        <w:rPr>
          <w:rFonts w:ascii="Palatino Linotype" w:hAnsi="Palatino Linotype"/>
          <w:bCs/>
          <w:i/>
        </w:rPr>
        <w:t xml:space="preserve">…en mérito de lo anterior le informo, que el responsable de la Contraloría Interna de este Sistema Municipal DIF, Nicolás Romero correspondiente a la anualidad 2021 </w:t>
      </w:r>
      <w:r w:rsidRPr="00FD17EB">
        <w:rPr>
          <w:rFonts w:ascii="Palatino Linotype" w:hAnsi="Palatino Linotype"/>
          <w:b/>
          <w:bCs/>
          <w:i/>
        </w:rPr>
        <w:t>sigue laborando en continuidad con esta Administración, por tal motivo el documento de renuncia no se ha generado</w:t>
      </w:r>
      <w:r>
        <w:rPr>
          <w:rFonts w:ascii="Palatino Linotype" w:hAnsi="Palatino Linotype"/>
          <w:bCs/>
          <w:i/>
        </w:rPr>
        <w:t>”</w:t>
      </w:r>
    </w:p>
    <w:p w14:paraId="15A814E5" w14:textId="77777777" w:rsidR="0011069C" w:rsidRDefault="0011069C" w:rsidP="009B3AC4">
      <w:pPr>
        <w:spacing w:line="360" w:lineRule="auto"/>
        <w:jc w:val="both"/>
        <w:rPr>
          <w:rFonts w:ascii="Palatino Linotype" w:hAnsi="Palatino Linotype"/>
          <w:bCs/>
        </w:rPr>
      </w:pPr>
    </w:p>
    <w:p w14:paraId="6C3656FA" w14:textId="77777777" w:rsidR="0011069C" w:rsidRPr="00FD17EB" w:rsidRDefault="00FD17EB" w:rsidP="009B3AC4">
      <w:pPr>
        <w:pStyle w:val="Prrafodelista"/>
        <w:numPr>
          <w:ilvl w:val="0"/>
          <w:numId w:val="3"/>
        </w:numPr>
        <w:spacing w:line="360" w:lineRule="auto"/>
        <w:jc w:val="both"/>
        <w:rPr>
          <w:rFonts w:ascii="Palatino Linotype" w:hAnsi="Palatino Linotype"/>
          <w:bCs/>
        </w:rPr>
      </w:pPr>
      <w:r w:rsidRPr="00FD17EB">
        <w:rPr>
          <w:rFonts w:ascii="Palatino Linotype" w:hAnsi="Palatino Linotype"/>
          <w:bCs/>
        </w:rPr>
        <w:t xml:space="preserve">Oficio número SMDIF/TES/79/2022 de fecha dieciocho de marzo de dos mil veintidós remitido por el Tesorero Municipal a la Titular de la Unidad de Transparencia, mediante el cual informa </w:t>
      </w:r>
      <w:r w:rsidRPr="00FD17EB">
        <w:rPr>
          <w:rFonts w:ascii="Palatino Linotype" w:hAnsi="Palatino Linotype"/>
          <w:bCs/>
          <w:i/>
        </w:rPr>
        <w:t>“…hago de su conocimiento que el responsable de la Contraloría Interna de este Sistema, sigue ejerciendo las labores correspondientes por lo cual no se ha generado finiquito alguno.</w:t>
      </w:r>
      <w:r>
        <w:rPr>
          <w:rFonts w:ascii="Palatino Linotype" w:hAnsi="Palatino Linotype"/>
          <w:bCs/>
          <w:i/>
        </w:rPr>
        <w:t>”</w:t>
      </w:r>
    </w:p>
    <w:p w14:paraId="7BB3A117" w14:textId="77777777" w:rsidR="0011069C" w:rsidRDefault="0011069C" w:rsidP="009B3AC4">
      <w:pPr>
        <w:spacing w:line="360" w:lineRule="auto"/>
        <w:jc w:val="both"/>
        <w:rPr>
          <w:rFonts w:ascii="Palatino Linotype" w:hAnsi="Palatino Linotype"/>
          <w:bCs/>
        </w:rPr>
      </w:pPr>
    </w:p>
    <w:p w14:paraId="3537DB54" w14:textId="77777777" w:rsidR="0011069C" w:rsidRDefault="00FD17EB" w:rsidP="009B3AC4">
      <w:pPr>
        <w:pStyle w:val="Prrafodelista"/>
        <w:numPr>
          <w:ilvl w:val="0"/>
          <w:numId w:val="3"/>
        </w:numPr>
        <w:spacing w:line="360" w:lineRule="auto"/>
        <w:jc w:val="both"/>
        <w:rPr>
          <w:rFonts w:ascii="Palatino Linotype" w:hAnsi="Palatino Linotype"/>
          <w:bCs/>
        </w:rPr>
      </w:pPr>
      <w:r w:rsidRPr="00734302">
        <w:rPr>
          <w:rFonts w:ascii="Palatino Linotype" w:hAnsi="Palatino Linotype"/>
          <w:bCs/>
        </w:rPr>
        <w:t>Acta número ACT/DIFNR/EXT/COMT/1</w:t>
      </w:r>
      <w:r w:rsidRPr="00734302">
        <w:rPr>
          <w:rFonts w:ascii="Palatino Linotype" w:hAnsi="Palatino Linotype"/>
          <w:bCs/>
          <w:vertAlign w:val="superscript"/>
        </w:rPr>
        <w:t>RA</w:t>
      </w:r>
      <w:r w:rsidRPr="00734302">
        <w:rPr>
          <w:rFonts w:ascii="Palatino Linotype" w:hAnsi="Palatino Linotype"/>
          <w:bCs/>
        </w:rPr>
        <w:t xml:space="preserve">/2022 de la Primera Sesión Extraordinaria del Comité de Transparencia, de fecha catorce de marzo de dos mil veintidós, </w:t>
      </w:r>
      <w:r w:rsidR="0011069C" w:rsidRPr="00734302">
        <w:rPr>
          <w:rFonts w:ascii="Palatino Linotype" w:hAnsi="Palatino Linotype"/>
          <w:bCs/>
        </w:rPr>
        <w:t>en la cual se encuentra</w:t>
      </w:r>
      <w:r w:rsidR="00734302">
        <w:rPr>
          <w:rFonts w:ascii="Palatino Linotype" w:hAnsi="Palatino Linotype"/>
          <w:bCs/>
        </w:rPr>
        <w:t>n</w:t>
      </w:r>
      <w:r w:rsidR="0011069C" w:rsidRPr="00734302">
        <w:rPr>
          <w:rFonts w:ascii="Palatino Linotype" w:hAnsi="Palatino Linotype"/>
          <w:bCs/>
        </w:rPr>
        <w:t xml:space="preserve"> contenido</w:t>
      </w:r>
      <w:r w:rsidR="00734302">
        <w:rPr>
          <w:rFonts w:ascii="Palatino Linotype" w:hAnsi="Palatino Linotype"/>
          <w:bCs/>
        </w:rPr>
        <w:t>s</w:t>
      </w:r>
      <w:r w:rsidR="0011069C" w:rsidRPr="00734302">
        <w:rPr>
          <w:rFonts w:ascii="Palatino Linotype" w:hAnsi="Palatino Linotype"/>
          <w:bCs/>
        </w:rPr>
        <w:t xml:space="preserve"> </w:t>
      </w:r>
      <w:r w:rsidR="00734302">
        <w:rPr>
          <w:rFonts w:ascii="Palatino Linotype" w:hAnsi="Palatino Linotype"/>
          <w:bCs/>
        </w:rPr>
        <w:t>los</w:t>
      </w:r>
      <w:r w:rsidR="0011069C" w:rsidRPr="00734302">
        <w:rPr>
          <w:rFonts w:ascii="Palatino Linotype" w:hAnsi="Palatino Linotype"/>
          <w:bCs/>
        </w:rPr>
        <w:t xml:space="preserve"> numeral</w:t>
      </w:r>
      <w:r w:rsidR="00734302">
        <w:rPr>
          <w:rFonts w:ascii="Palatino Linotype" w:hAnsi="Palatino Linotype"/>
          <w:bCs/>
        </w:rPr>
        <w:t>es</w:t>
      </w:r>
      <w:r w:rsidR="0011069C" w:rsidRPr="00734302">
        <w:rPr>
          <w:rFonts w:ascii="Palatino Linotype" w:hAnsi="Palatino Linotype"/>
          <w:bCs/>
        </w:rPr>
        <w:t xml:space="preserve"> 3</w:t>
      </w:r>
      <w:r w:rsidR="00734302">
        <w:rPr>
          <w:rFonts w:ascii="Palatino Linotype" w:hAnsi="Palatino Linotype"/>
          <w:bCs/>
        </w:rPr>
        <w:t xml:space="preserve"> y 4</w:t>
      </w:r>
      <w:r w:rsidR="0011069C" w:rsidRPr="00734302">
        <w:rPr>
          <w:rFonts w:ascii="Palatino Linotype" w:hAnsi="Palatino Linotype"/>
          <w:bCs/>
        </w:rPr>
        <w:t xml:space="preserve"> de su orden del día, la aprobación de</w:t>
      </w:r>
      <w:r w:rsidR="003D159D">
        <w:rPr>
          <w:rFonts w:ascii="Palatino Linotype" w:hAnsi="Palatino Linotype"/>
          <w:bCs/>
        </w:rPr>
        <w:t xml:space="preserve"> la clasificación de los datos personales contenidos en la acta entrega recepción del primero de enero de dos mil veintidós, así como de los contenidos en los recibos de nómina del mes de diciembre de dos mil veintiuno, consecuentemente </w:t>
      </w:r>
      <w:r w:rsidR="0011069C" w:rsidRPr="00734302">
        <w:rPr>
          <w:rFonts w:ascii="Palatino Linotype" w:hAnsi="Palatino Linotype"/>
          <w:bCs/>
        </w:rPr>
        <w:t xml:space="preserve">la </w:t>
      </w:r>
      <w:r w:rsidR="00734302">
        <w:rPr>
          <w:rFonts w:ascii="Palatino Linotype" w:hAnsi="Palatino Linotype"/>
          <w:bCs/>
        </w:rPr>
        <w:t xml:space="preserve">elaboración de la versión </w:t>
      </w:r>
      <w:r w:rsidR="00734302">
        <w:rPr>
          <w:rFonts w:ascii="Palatino Linotype" w:hAnsi="Palatino Linotype"/>
          <w:bCs/>
        </w:rPr>
        <w:lastRenderedPageBreak/>
        <w:t>pública</w:t>
      </w:r>
      <w:r w:rsidR="003D159D">
        <w:rPr>
          <w:rFonts w:ascii="Palatino Linotype" w:hAnsi="Palatino Linotype"/>
          <w:bCs/>
        </w:rPr>
        <w:t xml:space="preserve"> de dichos documentos, para dar atención a la solicitud de información </w:t>
      </w:r>
      <w:r w:rsidR="003D159D" w:rsidRPr="003D159D">
        <w:rPr>
          <w:rFonts w:ascii="Palatino Linotype" w:hAnsi="Palatino Linotype"/>
          <w:bCs/>
        </w:rPr>
        <w:t>00003/DIFNICOROM/IP/2022.</w:t>
      </w:r>
    </w:p>
    <w:p w14:paraId="3AE5F59D" w14:textId="77777777" w:rsidR="003D159D" w:rsidRPr="003D159D" w:rsidRDefault="003D159D" w:rsidP="009B3AC4">
      <w:pPr>
        <w:pStyle w:val="Prrafodelista"/>
        <w:rPr>
          <w:rFonts w:ascii="Palatino Linotype" w:hAnsi="Palatino Linotype"/>
          <w:bCs/>
        </w:rPr>
      </w:pPr>
    </w:p>
    <w:p w14:paraId="230C688B" w14:textId="77777777" w:rsidR="003D159D" w:rsidRDefault="003D159D" w:rsidP="009B3AC4">
      <w:pPr>
        <w:pStyle w:val="Prrafodelista"/>
        <w:numPr>
          <w:ilvl w:val="0"/>
          <w:numId w:val="3"/>
        </w:numPr>
        <w:spacing w:line="360" w:lineRule="auto"/>
        <w:jc w:val="both"/>
        <w:rPr>
          <w:rFonts w:ascii="Palatino Linotype" w:hAnsi="Palatino Linotype"/>
          <w:bCs/>
        </w:rPr>
      </w:pPr>
      <w:r>
        <w:rPr>
          <w:rFonts w:ascii="Palatino Linotype" w:hAnsi="Palatino Linotype"/>
          <w:bCs/>
        </w:rPr>
        <w:t>Versión pública del Acta Final o de Conclusión de Gestión Municipal, de fecha uno de enero de dos mil veintidós, relativa al acta entrega recepción de quien ocupara el cargo de Contralor Interno por el periodo del 21 de octubre de 2020 al 31 de diciembre de 2021.</w:t>
      </w:r>
    </w:p>
    <w:p w14:paraId="2E13748A" w14:textId="77777777" w:rsidR="003D159D" w:rsidRDefault="003D159D" w:rsidP="009B3AC4">
      <w:pPr>
        <w:pStyle w:val="Prrafodelista"/>
        <w:spacing w:line="360" w:lineRule="auto"/>
        <w:rPr>
          <w:rFonts w:ascii="Palatino Linotype" w:hAnsi="Palatino Linotype"/>
          <w:bCs/>
        </w:rPr>
      </w:pPr>
    </w:p>
    <w:p w14:paraId="3B6A9605" w14:textId="77777777" w:rsidR="003D159D" w:rsidRPr="00EF6ABF" w:rsidRDefault="003D159D" w:rsidP="009B3AC4">
      <w:pPr>
        <w:pStyle w:val="Prrafodelista"/>
        <w:spacing w:line="360" w:lineRule="auto"/>
        <w:jc w:val="both"/>
        <w:rPr>
          <w:rFonts w:ascii="Palatino Linotype" w:hAnsi="Palatino Linotype"/>
          <w:bCs/>
        </w:rPr>
      </w:pPr>
      <w:r>
        <w:rPr>
          <w:rFonts w:ascii="Palatino Linotype" w:hAnsi="Palatino Linotype"/>
          <w:bCs/>
        </w:rPr>
        <w:t xml:space="preserve">Documento que, si bien </w:t>
      </w:r>
      <w:r w:rsidR="00EF6ABF">
        <w:rPr>
          <w:rFonts w:ascii="Palatino Linotype" w:hAnsi="Palatino Linotype"/>
          <w:bCs/>
        </w:rPr>
        <w:t>consiste en</w:t>
      </w:r>
      <w:r>
        <w:rPr>
          <w:rFonts w:ascii="Palatino Linotype" w:hAnsi="Palatino Linotype"/>
          <w:bCs/>
        </w:rPr>
        <w:t xml:space="preserve"> la versión pública, la misma </w:t>
      </w:r>
      <w:r w:rsidR="00EF6ABF">
        <w:rPr>
          <w:rFonts w:ascii="Palatino Linotype" w:hAnsi="Palatino Linotype"/>
          <w:bCs/>
        </w:rPr>
        <w:t xml:space="preserve">fue realizada </w:t>
      </w:r>
      <w:r w:rsidR="00EF6ABF">
        <w:rPr>
          <w:rFonts w:ascii="Palatino Linotype" w:hAnsi="Palatino Linotype"/>
          <w:b/>
          <w:bCs/>
        </w:rPr>
        <w:t>de manera deficiente</w:t>
      </w:r>
      <w:r w:rsidR="00EF6ABF">
        <w:rPr>
          <w:rFonts w:ascii="Palatino Linotype" w:hAnsi="Palatino Linotype"/>
          <w:bCs/>
        </w:rPr>
        <w:t>, toda vez que se presume fue hecha de manera física sobreponiendo tinta de color negro, posteriormente la digitalización del documento, no obstante, aún se aprecian visibles los datos de: domicilio, Clave Unida de Registro de Población (CURP), número telefónico personal, número de Folio de la Credencial para Votar, domicilio para oír y recibir notificaciones, así como nombre de persona autorizada para los mismos efectos, tanto de los servidores públicos entrante y saliente, así como de quienes intervinieron como testigos del acto.</w:t>
      </w:r>
    </w:p>
    <w:p w14:paraId="030A0707" w14:textId="77777777" w:rsidR="003D159D" w:rsidRDefault="003D159D" w:rsidP="009B3AC4">
      <w:pPr>
        <w:pStyle w:val="Prrafodelista"/>
        <w:spacing w:line="360" w:lineRule="auto"/>
        <w:ind w:left="720"/>
        <w:jc w:val="both"/>
        <w:rPr>
          <w:rFonts w:ascii="Palatino Linotype" w:hAnsi="Palatino Linotype"/>
          <w:bCs/>
        </w:rPr>
      </w:pPr>
    </w:p>
    <w:p w14:paraId="32BC366A" w14:textId="77777777" w:rsidR="00EF6ABF" w:rsidRPr="00734302" w:rsidRDefault="0072668B" w:rsidP="009B3AC4">
      <w:pPr>
        <w:pStyle w:val="Prrafodelista"/>
        <w:numPr>
          <w:ilvl w:val="0"/>
          <w:numId w:val="7"/>
        </w:numPr>
        <w:spacing w:line="360" w:lineRule="auto"/>
        <w:ind w:left="709"/>
        <w:jc w:val="both"/>
        <w:rPr>
          <w:rFonts w:ascii="Palatino Linotype" w:hAnsi="Palatino Linotype"/>
          <w:bCs/>
        </w:rPr>
      </w:pPr>
      <w:r>
        <w:rPr>
          <w:rFonts w:ascii="Palatino Linotype" w:hAnsi="Palatino Linotype"/>
          <w:bCs/>
        </w:rPr>
        <w:t>Versión pública de l</w:t>
      </w:r>
      <w:r w:rsidR="00EF6ABF">
        <w:rPr>
          <w:rFonts w:ascii="Palatino Linotype" w:hAnsi="Palatino Linotype"/>
          <w:bCs/>
        </w:rPr>
        <w:t xml:space="preserve">os recibos de nómina, </w:t>
      </w:r>
      <w:r>
        <w:rPr>
          <w:rFonts w:ascii="Palatino Linotype" w:hAnsi="Palatino Linotype"/>
          <w:bCs/>
        </w:rPr>
        <w:t xml:space="preserve">de la primer y segunda quincena de diciembre de dos mil veintiuno, </w:t>
      </w:r>
      <w:r w:rsidR="00EF6ABF">
        <w:rPr>
          <w:rFonts w:ascii="Palatino Linotype" w:hAnsi="Palatino Linotype"/>
          <w:bCs/>
        </w:rPr>
        <w:t xml:space="preserve">del servidor público que ocupaba el cargo de </w:t>
      </w:r>
      <w:r>
        <w:rPr>
          <w:rFonts w:ascii="Palatino Linotype" w:hAnsi="Palatino Linotype"/>
          <w:bCs/>
        </w:rPr>
        <w:t>Contralor Interno.</w:t>
      </w:r>
    </w:p>
    <w:p w14:paraId="7980540D" w14:textId="77777777" w:rsidR="0011069C" w:rsidRDefault="0011069C" w:rsidP="0011069C">
      <w:pPr>
        <w:spacing w:line="360" w:lineRule="auto"/>
        <w:jc w:val="both"/>
        <w:rPr>
          <w:rFonts w:ascii="Palatino Linotype" w:hAnsi="Palatino Linotype"/>
          <w:bCs/>
        </w:rPr>
      </w:pPr>
    </w:p>
    <w:p w14:paraId="4B257BDF" w14:textId="77777777" w:rsidR="0011069C" w:rsidRDefault="0011069C" w:rsidP="0011069C">
      <w:pPr>
        <w:spacing w:line="360" w:lineRule="auto"/>
        <w:jc w:val="both"/>
        <w:rPr>
          <w:rFonts w:ascii="Palatino Linotype" w:hAnsi="Palatino Linotype" w:cs="Arial"/>
        </w:rPr>
      </w:pPr>
      <w:r>
        <w:rPr>
          <w:rFonts w:ascii="Palatino Linotype" w:hAnsi="Palatino Linotype" w:cs="Arial"/>
        </w:rPr>
        <w:t xml:space="preserve">Atentos al contenido de documentos descritos, en primer lugar podemos acreditar que el </w:t>
      </w:r>
      <w:r w:rsidRPr="006E4CBF">
        <w:rPr>
          <w:rFonts w:ascii="Palatino Linotype" w:hAnsi="Palatino Linotype" w:cs="Arial"/>
          <w:b/>
        </w:rPr>
        <w:t>Sujeto Obligado</w:t>
      </w:r>
      <w:r>
        <w:rPr>
          <w:rFonts w:ascii="Palatino Linotype" w:hAnsi="Palatino Linotype" w:cs="Arial"/>
        </w:rPr>
        <w:t xml:space="preserve"> </w:t>
      </w:r>
      <w:r w:rsidRPr="007C3942">
        <w:rPr>
          <w:rFonts w:ascii="Palatino Linotype" w:eastAsia="Calibri" w:hAnsi="Palatino Linotype"/>
          <w:lang w:val="es-ES_tradnl"/>
        </w:rPr>
        <w:t xml:space="preserve">reconoce tener en sus archivos la información peticionada, al </w:t>
      </w:r>
      <w:r>
        <w:rPr>
          <w:rFonts w:ascii="Palatino Linotype" w:eastAsia="Calibri" w:hAnsi="Palatino Linotype"/>
          <w:lang w:val="es-ES_tradnl"/>
        </w:rPr>
        <w:t>hacer entrega de la misma</w:t>
      </w:r>
      <w:r w:rsidRPr="007C3942">
        <w:rPr>
          <w:rFonts w:ascii="Palatino Linotype" w:eastAsia="Calibri" w:hAnsi="Palatino Linotype"/>
          <w:lang w:val="es-ES_tradnl"/>
        </w:rPr>
        <w:t xml:space="preserve">, </w:t>
      </w:r>
      <w:r w:rsidRPr="006E4CBF">
        <w:rPr>
          <w:rFonts w:ascii="Palatino Linotype" w:eastAsia="Calibri" w:hAnsi="Palatino Linotype"/>
          <w:b/>
          <w:lang w:val="es-ES_tradnl"/>
        </w:rPr>
        <w:t xml:space="preserve">por lo tanto se obvia el estudio de la naturaleza de la </w:t>
      </w:r>
      <w:r w:rsidRPr="006E4CBF">
        <w:rPr>
          <w:rFonts w:ascii="Palatino Linotype" w:eastAsia="Calibri" w:hAnsi="Palatino Linotype"/>
          <w:b/>
          <w:lang w:val="es-ES_tradnl"/>
        </w:rPr>
        <w:lastRenderedPageBreak/>
        <w:t>información,</w:t>
      </w:r>
      <w:r>
        <w:rPr>
          <w:rFonts w:ascii="Palatino Linotype" w:eastAsia="Calibri" w:hAnsi="Palatino Linotype"/>
          <w:lang w:val="es-ES_tradnl"/>
        </w:rPr>
        <w:t xml:space="preserve"> al estar </w:t>
      </w:r>
      <w:r w:rsidRPr="007C3942">
        <w:rPr>
          <w:rFonts w:ascii="Palatino Linotype" w:eastAsia="Calibri" w:hAnsi="Palatino Linotype"/>
          <w:lang w:val="es-ES_tradnl"/>
        </w:rPr>
        <w:t xml:space="preserve">aceptando contar con ella, de hecho el estudio de la fuente obligacional que constriñe al </w:t>
      </w:r>
      <w:r w:rsidRPr="007C3942">
        <w:rPr>
          <w:rFonts w:ascii="Palatino Linotype" w:eastAsia="Calibri" w:hAnsi="Palatino Linotype"/>
          <w:b/>
          <w:lang w:val="es-ES_tradnl"/>
        </w:rPr>
        <w:t>Sujeto Obligado</w:t>
      </w:r>
      <w:r w:rsidRPr="007C3942">
        <w:rPr>
          <w:rFonts w:ascii="Palatino Linotype" w:eastAsia="Calibri" w:hAnsi="Palatino Linotype"/>
          <w:lang w:val="es-ES_tradnl"/>
        </w:rPr>
        <w:t xml:space="preserve">, se realiza con la finalidad de determinar si este se encuentra obligado a generarla, poseerla o administrarla, </w:t>
      </w:r>
      <w:r>
        <w:rPr>
          <w:rFonts w:ascii="Palatino Linotype" w:eastAsia="Calibri" w:hAnsi="Palatino Linotype"/>
          <w:lang w:val="es-ES_tradnl"/>
        </w:rPr>
        <w:t xml:space="preserve">en ejercicio de sus distintas facultades, funciones y/o atribuciones, </w:t>
      </w:r>
      <w:r w:rsidRPr="007C3942">
        <w:rPr>
          <w:rFonts w:ascii="Palatino Linotype" w:eastAsia="Calibri" w:hAnsi="Palatino Linotype"/>
          <w:lang w:val="es-ES_tradnl"/>
        </w:rPr>
        <w:t>pero en los casos en que de la respuesta, acepta o bien otorga indicios de que cuenta con ella, seria ocioso delimitar las norma jurídica que determine si la dependencia, cuenta con ella o no</w:t>
      </w:r>
      <w:r>
        <w:rPr>
          <w:rFonts w:ascii="Palatino Linotype" w:eastAsia="Calibri" w:hAnsi="Palatino Linotype"/>
          <w:lang w:val="es-ES_tradnl"/>
        </w:rPr>
        <w:t>, derivado del reconocimiento previo.</w:t>
      </w:r>
    </w:p>
    <w:p w14:paraId="780DEB4E" w14:textId="77777777" w:rsidR="0011069C" w:rsidRDefault="0011069C" w:rsidP="0011069C">
      <w:pPr>
        <w:spacing w:line="360" w:lineRule="auto"/>
        <w:jc w:val="both"/>
        <w:rPr>
          <w:rFonts w:ascii="Palatino Linotype" w:hAnsi="Palatino Linotype"/>
          <w:bCs/>
        </w:rPr>
      </w:pPr>
    </w:p>
    <w:p w14:paraId="4909129C" w14:textId="77777777" w:rsidR="0011069C" w:rsidRDefault="0011069C" w:rsidP="0011069C">
      <w:pPr>
        <w:spacing w:line="360" w:lineRule="auto"/>
        <w:jc w:val="both"/>
        <w:rPr>
          <w:rFonts w:ascii="Palatino Linotype" w:hAnsi="Palatino Linotype"/>
          <w:bCs/>
        </w:rPr>
      </w:pPr>
      <w:r>
        <w:rPr>
          <w:rFonts w:ascii="Palatino Linotype" w:hAnsi="Palatino Linotype"/>
          <w:bCs/>
        </w:rPr>
        <w:t xml:space="preserve">Inconforme con la respuesta proporcionada, la </w:t>
      </w:r>
      <w:r w:rsidRPr="00D909A3">
        <w:rPr>
          <w:rFonts w:ascii="Palatino Linotype" w:hAnsi="Palatino Linotype"/>
          <w:b/>
          <w:bCs/>
        </w:rPr>
        <w:t>Recurrente</w:t>
      </w:r>
      <w:r>
        <w:rPr>
          <w:rFonts w:ascii="Palatino Linotype" w:hAnsi="Palatino Linotype"/>
          <w:bCs/>
        </w:rPr>
        <w:t xml:space="preserve"> se adolece de </w:t>
      </w:r>
      <w:r w:rsidR="0072668B" w:rsidRPr="0072668B">
        <w:rPr>
          <w:rFonts w:ascii="Palatino Linotype" w:hAnsi="Palatino Linotype"/>
          <w:bCs/>
          <w:i/>
        </w:rPr>
        <w:t>“Se entrega información incompleta y aunado se viola la ley ya que la versión publica está mal integrada ya que se pueden ver los datos personales…”</w:t>
      </w:r>
      <w:r>
        <w:rPr>
          <w:rFonts w:ascii="Palatino Linotype" w:hAnsi="Palatino Linotype"/>
          <w:bCs/>
        </w:rPr>
        <w:t xml:space="preserve">, la cual se encuentra fundamento en la fracción V del artículo 179 de la </w:t>
      </w:r>
      <w:r w:rsidRPr="00A70D25">
        <w:rPr>
          <w:rFonts w:ascii="Palatino Linotype" w:hAnsi="Palatino Linotype"/>
          <w:bCs/>
        </w:rPr>
        <w:t>Ley de Transparencia y Acceso a la Información</w:t>
      </w:r>
      <w:r>
        <w:rPr>
          <w:rFonts w:ascii="Palatino Linotype" w:hAnsi="Palatino Linotype"/>
          <w:bCs/>
        </w:rPr>
        <w:t xml:space="preserve"> </w:t>
      </w:r>
      <w:r w:rsidRPr="00A70D25">
        <w:rPr>
          <w:rFonts w:ascii="Palatino Linotype" w:hAnsi="Palatino Linotype"/>
          <w:bCs/>
        </w:rPr>
        <w:t>Pública del Estado de México y Municipio</w:t>
      </w:r>
      <w:r>
        <w:rPr>
          <w:rStyle w:val="Refdenotaalpie"/>
          <w:rFonts w:ascii="Palatino Linotype" w:hAnsi="Palatino Linotype"/>
          <w:bCs/>
        </w:rPr>
        <w:footnoteReference w:id="3"/>
      </w:r>
      <w:r>
        <w:rPr>
          <w:rFonts w:ascii="Palatino Linotype" w:hAnsi="Palatino Linotype"/>
          <w:bCs/>
        </w:rPr>
        <w:t>, es por lo anterior, se procede a determinar si la respuesta del Sujeto Obligado, fue emitida conforme a derecho, la cual permita colmar los requerimientos de información.</w:t>
      </w:r>
    </w:p>
    <w:p w14:paraId="7C1BCD80" w14:textId="77777777" w:rsidR="0011069C" w:rsidRDefault="0011069C" w:rsidP="0011069C">
      <w:pPr>
        <w:spacing w:line="360" w:lineRule="auto"/>
        <w:jc w:val="both"/>
        <w:rPr>
          <w:rFonts w:ascii="Palatino Linotype" w:hAnsi="Palatino Linotype"/>
          <w:bCs/>
        </w:rPr>
      </w:pPr>
    </w:p>
    <w:p w14:paraId="51A797BE" w14:textId="77777777" w:rsidR="003F348B" w:rsidRDefault="0011069C" w:rsidP="0011069C">
      <w:pPr>
        <w:spacing w:line="360" w:lineRule="auto"/>
        <w:jc w:val="both"/>
        <w:rPr>
          <w:rFonts w:ascii="Palatino Linotype" w:eastAsia="Calibri" w:hAnsi="Palatino Linotype"/>
          <w:lang w:val="es-ES_tradnl"/>
        </w:rPr>
      </w:pPr>
      <w:r w:rsidRPr="001B0057">
        <w:rPr>
          <w:rFonts w:ascii="Palatino Linotype" w:eastAsia="Calibri" w:hAnsi="Palatino Linotype"/>
          <w:lang w:val="es-ES_tradnl"/>
        </w:rPr>
        <w:t xml:space="preserve">Derivado de la interposición del recurso de revisión, </w:t>
      </w:r>
      <w:r>
        <w:rPr>
          <w:rFonts w:ascii="Palatino Linotype" w:eastAsia="Calibri" w:hAnsi="Palatino Linotype"/>
          <w:lang w:val="es-ES_tradnl"/>
        </w:rPr>
        <w:t xml:space="preserve">en la etapa de manifestaciones </w:t>
      </w:r>
      <w:r w:rsidRPr="001B0057">
        <w:rPr>
          <w:rFonts w:ascii="Palatino Linotype" w:eastAsia="Calibri" w:hAnsi="Palatino Linotype"/>
          <w:lang w:val="es-ES_tradnl"/>
        </w:rPr>
        <w:t xml:space="preserve">el </w:t>
      </w:r>
      <w:r w:rsidRPr="001B0057">
        <w:rPr>
          <w:rFonts w:ascii="Palatino Linotype" w:eastAsia="Calibri" w:hAnsi="Palatino Linotype"/>
          <w:b/>
          <w:lang w:val="es-ES_tradnl"/>
        </w:rPr>
        <w:t>Sujeto Obligado</w:t>
      </w:r>
      <w:r w:rsidRPr="001B0057">
        <w:rPr>
          <w:rFonts w:ascii="Palatino Linotype" w:eastAsia="Calibri" w:hAnsi="Palatino Linotype"/>
          <w:lang w:val="es-ES_tradnl"/>
        </w:rPr>
        <w:t xml:space="preserve"> </w:t>
      </w:r>
      <w:r>
        <w:rPr>
          <w:rFonts w:ascii="Palatino Linotype" w:eastAsia="Calibri" w:hAnsi="Palatino Linotype"/>
          <w:lang w:val="es-ES_tradnl"/>
        </w:rPr>
        <w:t>rindió el archivo “</w:t>
      </w:r>
      <w:r w:rsidR="0072668B" w:rsidRPr="00DF05C5">
        <w:rPr>
          <w:rFonts w:ascii="Palatino Linotype" w:hAnsi="Palatino Linotype" w:cs="Arial"/>
          <w:lang w:val="es-ES_tradnl"/>
        </w:rPr>
        <w:t>Recurso de Revisión 04110.pdf</w:t>
      </w:r>
      <w:r w:rsidRPr="001B0057">
        <w:rPr>
          <w:rFonts w:ascii="Palatino Linotype" w:eastAsia="Calibri" w:hAnsi="Palatino Linotype"/>
          <w:lang w:val="es-ES_tradnl"/>
        </w:rPr>
        <w:t xml:space="preserve">”, </w:t>
      </w:r>
      <w:r>
        <w:rPr>
          <w:rFonts w:ascii="Palatino Linotype" w:eastAsia="Calibri" w:hAnsi="Palatino Linotype"/>
          <w:lang w:val="es-ES_tradnl"/>
        </w:rPr>
        <w:t xml:space="preserve">por medio del cual ratifica su respuesta primigenia, relativa a </w:t>
      </w:r>
      <w:r w:rsidR="003F348B" w:rsidRPr="003F348B">
        <w:rPr>
          <w:rFonts w:ascii="Palatino Linotype" w:eastAsia="Calibri" w:hAnsi="Palatino Linotype"/>
          <w:b/>
          <w:lang w:val="es-ES_tradnl"/>
        </w:rPr>
        <w:t>no contar con lo relativo al finiquito y renuncia</w:t>
      </w:r>
      <w:r w:rsidR="003F348B">
        <w:rPr>
          <w:rFonts w:ascii="Palatino Linotype" w:eastAsia="Calibri" w:hAnsi="Palatino Linotype"/>
          <w:lang w:val="es-ES_tradnl"/>
        </w:rPr>
        <w:t xml:space="preserve"> del servidor público que ocupaba el cargo de Contralor Interno saliente de la administración 2019 – 2021, atendiendo que aún se encuentra laborando en la actual administración, sin que haya causado baja. En lo que corresponde al Acta entrega </w:t>
      </w:r>
      <w:r w:rsidR="003F348B">
        <w:rPr>
          <w:rFonts w:ascii="Palatino Linotype" w:eastAsia="Calibri" w:hAnsi="Palatino Linotype"/>
          <w:lang w:val="es-ES_tradnl"/>
        </w:rPr>
        <w:lastRenderedPageBreak/>
        <w:t>recepción, subsana su actuar, al remitir y hacer entrega en una correcta versión pública, en la que se encuentran testados los datos de carácter sensible y confidencial.</w:t>
      </w:r>
    </w:p>
    <w:p w14:paraId="257531C3" w14:textId="77777777" w:rsidR="0011069C" w:rsidRPr="001B0057" w:rsidRDefault="0011069C" w:rsidP="0011069C">
      <w:pPr>
        <w:spacing w:line="360" w:lineRule="auto"/>
        <w:jc w:val="both"/>
        <w:rPr>
          <w:rFonts w:ascii="Palatino Linotype" w:eastAsia="Calibri" w:hAnsi="Palatino Linotype"/>
          <w:lang w:val="es-ES_tradnl"/>
        </w:rPr>
      </w:pPr>
    </w:p>
    <w:p w14:paraId="1C02C23C" w14:textId="77777777" w:rsidR="003F348B" w:rsidRDefault="003F348B" w:rsidP="0011069C">
      <w:pPr>
        <w:spacing w:line="360" w:lineRule="auto"/>
        <w:jc w:val="both"/>
        <w:rPr>
          <w:rFonts w:ascii="Palatino Linotype" w:eastAsia="Calibri" w:hAnsi="Palatino Linotype"/>
          <w:lang w:val="es-ES_tradnl"/>
        </w:rPr>
      </w:pPr>
      <w:r>
        <w:rPr>
          <w:rFonts w:ascii="Palatino Linotype" w:eastAsia="Calibri" w:hAnsi="Palatino Linotype"/>
          <w:lang w:val="es-ES_tradnl"/>
        </w:rPr>
        <w:t>Atentos a lo anterior, a efecto de realizar un mejor proveer, resulta necesario el desarrollo de un cuadro comparativo que permita contrastar los requerimientos de información confrontados con las respuestas proporcionadas por el Sujeto Obligado, por ello se procede en los términos siguientes:</w:t>
      </w:r>
    </w:p>
    <w:p w14:paraId="30E23AB6" w14:textId="77777777" w:rsidR="003F348B" w:rsidRDefault="003F348B" w:rsidP="0011069C">
      <w:pPr>
        <w:spacing w:line="360" w:lineRule="auto"/>
        <w:jc w:val="both"/>
        <w:rPr>
          <w:rFonts w:ascii="Palatino Linotype" w:eastAsia="Calibri" w:hAnsi="Palatino Linotype"/>
          <w:lang w:val="es-ES_tradnl"/>
        </w:rPr>
      </w:pPr>
    </w:p>
    <w:tbl>
      <w:tblPr>
        <w:tblStyle w:val="Tablanormal1"/>
        <w:tblW w:w="0" w:type="auto"/>
        <w:tblLook w:val="04A0" w:firstRow="1" w:lastRow="0" w:firstColumn="1" w:lastColumn="0" w:noHBand="0" w:noVBand="1"/>
      </w:tblPr>
      <w:tblGrid>
        <w:gridCol w:w="2277"/>
        <w:gridCol w:w="1971"/>
        <w:gridCol w:w="2126"/>
        <w:gridCol w:w="2737"/>
      </w:tblGrid>
      <w:tr w:rsidR="003F348B" w:rsidRPr="003F348B" w14:paraId="16A9AD6E" w14:textId="77777777" w:rsidTr="0073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shd w:val="clear" w:color="auto" w:fill="E7E6E6" w:themeFill="background2"/>
          </w:tcPr>
          <w:p w14:paraId="71F31375" w14:textId="77777777" w:rsidR="003F348B" w:rsidRPr="003F348B" w:rsidRDefault="00730414" w:rsidP="003F348B">
            <w:pPr>
              <w:spacing w:line="276" w:lineRule="auto"/>
              <w:jc w:val="center"/>
              <w:rPr>
                <w:rFonts w:ascii="Palatino Linotype" w:eastAsia="Calibri" w:hAnsi="Palatino Linotype"/>
                <w:sz w:val="21"/>
                <w:szCs w:val="21"/>
                <w:lang w:val="es-ES_tradnl"/>
              </w:rPr>
            </w:pPr>
            <w:r w:rsidRPr="00730414">
              <w:rPr>
                <w:rFonts w:ascii="Palatino Linotype" w:eastAsia="Calibri" w:hAnsi="Palatino Linotype"/>
                <w:sz w:val="21"/>
                <w:szCs w:val="21"/>
                <w:lang w:val="es-ES_tradnl"/>
              </w:rPr>
              <w:t>Del servidor público que dejo el ostentaba el cargo de Contralor Interno en 2021 (dos mil veintiuno)</w:t>
            </w:r>
          </w:p>
        </w:tc>
        <w:tc>
          <w:tcPr>
            <w:tcW w:w="1971" w:type="dxa"/>
            <w:shd w:val="clear" w:color="auto" w:fill="E7E6E6" w:themeFill="background2"/>
          </w:tcPr>
          <w:p w14:paraId="153E6A50" w14:textId="77777777" w:rsidR="003F348B" w:rsidRPr="003F348B" w:rsidRDefault="003F348B" w:rsidP="003F348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Respuesta</w:t>
            </w:r>
          </w:p>
        </w:tc>
        <w:tc>
          <w:tcPr>
            <w:tcW w:w="2126" w:type="dxa"/>
            <w:shd w:val="clear" w:color="auto" w:fill="E7E6E6" w:themeFill="background2"/>
          </w:tcPr>
          <w:p w14:paraId="16814DD1" w14:textId="77777777" w:rsidR="003F348B" w:rsidRPr="003F348B" w:rsidRDefault="003F348B" w:rsidP="003F348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Informe justificado</w:t>
            </w:r>
          </w:p>
        </w:tc>
        <w:tc>
          <w:tcPr>
            <w:tcW w:w="2737" w:type="dxa"/>
            <w:shd w:val="clear" w:color="auto" w:fill="E7E6E6" w:themeFill="background2"/>
          </w:tcPr>
          <w:p w14:paraId="7992FABA" w14:textId="77777777" w:rsidR="003F348B" w:rsidRPr="003F348B" w:rsidRDefault="00730414" w:rsidP="003F348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Determinación</w:t>
            </w:r>
          </w:p>
        </w:tc>
      </w:tr>
      <w:tr w:rsidR="003F348B" w:rsidRPr="003F348B" w14:paraId="298BBF78" w14:textId="77777777" w:rsidTr="00730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066F122E" w14:textId="77777777" w:rsidR="003F348B" w:rsidRPr="00730414" w:rsidRDefault="00730414" w:rsidP="003F348B">
            <w:pPr>
              <w:spacing w:line="276" w:lineRule="auto"/>
              <w:jc w:val="both"/>
              <w:rPr>
                <w:rFonts w:ascii="Palatino Linotype" w:eastAsia="Calibri" w:hAnsi="Palatino Linotype"/>
                <w:b w:val="0"/>
                <w:sz w:val="21"/>
                <w:szCs w:val="21"/>
                <w:lang w:val="es-ES_tradnl"/>
              </w:rPr>
            </w:pPr>
            <w:r w:rsidRPr="00730414">
              <w:rPr>
                <w:rFonts w:ascii="Palatino Linotype" w:eastAsia="Calibri" w:hAnsi="Palatino Linotype"/>
                <w:b w:val="0"/>
                <w:sz w:val="21"/>
                <w:szCs w:val="21"/>
                <w:lang w:val="es-ES_tradnl"/>
              </w:rPr>
              <w:t>1.</w:t>
            </w:r>
            <w:r w:rsidRPr="00730414">
              <w:rPr>
                <w:rFonts w:ascii="Palatino Linotype" w:eastAsia="Calibri" w:hAnsi="Palatino Linotype"/>
                <w:b w:val="0"/>
                <w:sz w:val="21"/>
                <w:szCs w:val="21"/>
                <w:lang w:val="es-ES_tradnl"/>
              </w:rPr>
              <w:tab/>
              <w:t>Acta entrega recepción con anexos</w:t>
            </w:r>
          </w:p>
        </w:tc>
        <w:tc>
          <w:tcPr>
            <w:tcW w:w="1971" w:type="dxa"/>
          </w:tcPr>
          <w:p w14:paraId="6E19318B" w14:textId="77777777" w:rsidR="003F348B" w:rsidRPr="003F348B" w:rsidRDefault="00730414" w:rsidP="007304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Entregan deficiente versión pública.</w:t>
            </w:r>
          </w:p>
        </w:tc>
        <w:tc>
          <w:tcPr>
            <w:tcW w:w="2126" w:type="dxa"/>
          </w:tcPr>
          <w:p w14:paraId="578EA299" w14:textId="77777777" w:rsidR="003F348B" w:rsidRPr="003F348B" w:rsidRDefault="00730414" w:rsidP="007304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Entrega correcta versión pública.</w:t>
            </w:r>
          </w:p>
        </w:tc>
        <w:tc>
          <w:tcPr>
            <w:tcW w:w="2737" w:type="dxa"/>
          </w:tcPr>
          <w:p w14:paraId="1600A03A" w14:textId="77777777" w:rsidR="003F348B" w:rsidRPr="00730414" w:rsidRDefault="00730414" w:rsidP="00730414">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b/>
                <w:sz w:val="21"/>
                <w:szCs w:val="21"/>
                <w:lang w:val="es-ES_tradnl"/>
              </w:rPr>
            </w:pPr>
            <w:r w:rsidRPr="00730414">
              <w:rPr>
                <w:rFonts w:ascii="Palatino Linotype" w:eastAsia="Calibri" w:hAnsi="Palatino Linotype"/>
                <w:b/>
                <w:sz w:val="21"/>
                <w:szCs w:val="21"/>
                <w:lang w:val="es-ES_tradnl"/>
              </w:rPr>
              <w:t>Parcial</w:t>
            </w:r>
          </w:p>
          <w:p w14:paraId="310F7FFA" w14:textId="77777777" w:rsidR="00730414" w:rsidRDefault="00730414" w:rsidP="007304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p>
          <w:p w14:paraId="3AAD686C" w14:textId="77777777" w:rsidR="00730414" w:rsidRPr="003F348B" w:rsidRDefault="00730414" w:rsidP="007304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No colma el requerimiento, al no proporcionar los anexos del documento.</w:t>
            </w:r>
          </w:p>
        </w:tc>
      </w:tr>
      <w:tr w:rsidR="00730414" w:rsidRPr="003F348B" w14:paraId="224B22C6" w14:textId="77777777" w:rsidTr="00730414">
        <w:tc>
          <w:tcPr>
            <w:cnfStyle w:val="001000000000" w:firstRow="0" w:lastRow="0" w:firstColumn="1" w:lastColumn="0" w:oddVBand="0" w:evenVBand="0" w:oddHBand="0" w:evenHBand="0" w:firstRowFirstColumn="0" w:firstRowLastColumn="0" w:lastRowFirstColumn="0" w:lastRowLastColumn="0"/>
            <w:tcW w:w="2277" w:type="dxa"/>
            <w:shd w:val="clear" w:color="auto" w:fill="E7E6E6" w:themeFill="background2"/>
          </w:tcPr>
          <w:p w14:paraId="713D15F7" w14:textId="77777777" w:rsidR="00730414" w:rsidRPr="00730414" w:rsidRDefault="00730414" w:rsidP="003F348B">
            <w:pPr>
              <w:spacing w:line="276" w:lineRule="auto"/>
              <w:jc w:val="both"/>
              <w:rPr>
                <w:rFonts w:ascii="Palatino Linotype" w:eastAsia="Calibri" w:hAnsi="Palatino Linotype"/>
                <w:b w:val="0"/>
                <w:sz w:val="21"/>
                <w:szCs w:val="21"/>
                <w:lang w:val="es-ES_tradnl"/>
              </w:rPr>
            </w:pPr>
            <w:r w:rsidRPr="00730414">
              <w:rPr>
                <w:rFonts w:ascii="Palatino Linotype" w:eastAsia="Calibri" w:hAnsi="Palatino Linotype"/>
                <w:b w:val="0"/>
                <w:sz w:val="21"/>
                <w:szCs w:val="21"/>
                <w:lang w:val="es-ES_tradnl"/>
              </w:rPr>
              <w:t>2.</w:t>
            </w:r>
            <w:r w:rsidRPr="00730414">
              <w:rPr>
                <w:rFonts w:ascii="Palatino Linotype" w:eastAsia="Calibri" w:hAnsi="Palatino Linotype"/>
                <w:b w:val="0"/>
                <w:sz w:val="21"/>
                <w:szCs w:val="21"/>
                <w:lang w:val="es-ES_tradnl"/>
              </w:rPr>
              <w:tab/>
              <w:t>Finiquito</w:t>
            </w:r>
          </w:p>
        </w:tc>
        <w:tc>
          <w:tcPr>
            <w:tcW w:w="4097" w:type="dxa"/>
            <w:gridSpan w:val="2"/>
            <w:shd w:val="clear" w:color="auto" w:fill="E7E6E6" w:themeFill="background2"/>
          </w:tcPr>
          <w:p w14:paraId="4F80877C" w14:textId="77777777" w:rsidR="00730414" w:rsidRPr="003F348B" w:rsidRDefault="00730414" w:rsidP="0073041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El Tesorero Municipal manifiesta que el servidor público no ha causado baja, atendiendo que sigue laborando en la actual administración, por lo que no se ha generado finiquito alguno.</w:t>
            </w:r>
          </w:p>
        </w:tc>
        <w:tc>
          <w:tcPr>
            <w:tcW w:w="2737" w:type="dxa"/>
            <w:vMerge w:val="restart"/>
            <w:shd w:val="clear" w:color="auto" w:fill="E7E6E6" w:themeFill="background2"/>
          </w:tcPr>
          <w:p w14:paraId="10DA8979" w14:textId="77777777" w:rsidR="00730414" w:rsidRDefault="00730414" w:rsidP="00730414">
            <w:pPr>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p>
          <w:p w14:paraId="2AD8B03D" w14:textId="77777777" w:rsidR="00730414" w:rsidRPr="00730414" w:rsidRDefault="00730414" w:rsidP="00730414">
            <w:pPr>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b/>
                <w:sz w:val="21"/>
                <w:szCs w:val="21"/>
                <w:lang w:val="es-ES_tradnl"/>
              </w:rPr>
            </w:pPr>
            <w:r w:rsidRPr="00730414">
              <w:rPr>
                <w:rFonts w:ascii="Palatino Linotype" w:eastAsia="Calibri" w:hAnsi="Palatino Linotype"/>
                <w:b/>
                <w:sz w:val="21"/>
                <w:szCs w:val="21"/>
                <w:lang w:val="es-ES_tradnl"/>
              </w:rPr>
              <w:t>Colmado</w:t>
            </w:r>
          </w:p>
          <w:p w14:paraId="55EDE05C" w14:textId="77777777" w:rsidR="00730414" w:rsidRDefault="00730414" w:rsidP="00730414">
            <w:pPr>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p>
          <w:p w14:paraId="21C51F36" w14:textId="77777777" w:rsidR="00730414" w:rsidRPr="003F348B" w:rsidRDefault="00730414" w:rsidP="0073041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Al consistir en hecho negativo.</w:t>
            </w:r>
          </w:p>
        </w:tc>
      </w:tr>
      <w:tr w:rsidR="00730414" w:rsidRPr="003F348B" w14:paraId="06AEAA23" w14:textId="77777777" w:rsidTr="00730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3781DCB3" w14:textId="77777777" w:rsidR="00730414" w:rsidRPr="00730414" w:rsidRDefault="00730414" w:rsidP="003F348B">
            <w:pPr>
              <w:spacing w:line="276" w:lineRule="auto"/>
              <w:jc w:val="both"/>
              <w:rPr>
                <w:rFonts w:ascii="Palatino Linotype" w:eastAsia="Calibri" w:hAnsi="Palatino Linotype"/>
                <w:b w:val="0"/>
                <w:sz w:val="21"/>
                <w:szCs w:val="21"/>
                <w:lang w:val="es-ES_tradnl"/>
              </w:rPr>
            </w:pPr>
            <w:r w:rsidRPr="00730414">
              <w:rPr>
                <w:rFonts w:ascii="Palatino Linotype" w:eastAsia="Calibri" w:hAnsi="Palatino Linotype"/>
                <w:b w:val="0"/>
                <w:sz w:val="21"/>
                <w:szCs w:val="21"/>
                <w:lang w:val="es-ES_tradnl"/>
              </w:rPr>
              <w:t>3.</w:t>
            </w:r>
            <w:r w:rsidRPr="00730414">
              <w:rPr>
                <w:rFonts w:ascii="Palatino Linotype" w:eastAsia="Calibri" w:hAnsi="Palatino Linotype"/>
                <w:b w:val="0"/>
                <w:sz w:val="21"/>
                <w:szCs w:val="21"/>
                <w:lang w:val="es-ES_tradnl"/>
              </w:rPr>
              <w:tab/>
              <w:t>Renuncia</w:t>
            </w:r>
          </w:p>
        </w:tc>
        <w:tc>
          <w:tcPr>
            <w:tcW w:w="4097" w:type="dxa"/>
            <w:gridSpan w:val="2"/>
          </w:tcPr>
          <w:p w14:paraId="0BFC7F8B" w14:textId="77777777" w:rsidR="00730414" w:rsidRPr="003F348B" w:rsidRDefault="00730414" w:rsidP="007304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El Coordinador Jurídico manifiesta que el servidor público no ha causado baja, atendiendo que sigue laborando en la actual administración, por lo que no se ha generado renuncia alguna de éste.</w:t>
            </w:r>
          </w:p>
        </w:tc>
        <w:tc>
          <w:tcPr>
            <w:tcW w:w="2737" w:type="dxa"/>
            <w:vMerge/>
          </w:tcPr>
          <w:p w14:paraId="70B5BA08" w14:textId="77777777" w:rsidR="00730414" w:rsidRPr="003F348B" w:rsidRDefault="00730414" w:rsidP="003F348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1"/>
                <w:szCs w:val="21"/>
                <w:lang w:val="es-ES_tradnl"/>
              </w:rPr>
            </w:pPr>
          </w:p>
        </w:tc>
      </w:tr>
      <w:tr w:rsidR="00730414" w:rsidRPr="003F348B" w14:paraId="4467B3B0" w14:textId="77777777" w:rsidTr="00730414">
        <w:tc>
          <w:tcPr>
            <w:cnfStyle w:val="001000000000" w:firstRow="0" w:lastRow="0" w:firstColumn="1" w:lastColumn="0" w:oddVBand="0" w:evenVBand="0" w:oddHBand="0" w:evenHBand="0" w:firstRowFirstColumn="0" w:firstRowLastColumn="0" w:lastRowFirstColumn="0" w:lastRowLastColumn="0"/>
            <w:tcW w:w="2277" w:type="dxa"/>
            <w:shd w:val="clear" w:color="auto" w:fill="E7E6E6" w:themeFill="background2"/>
          </w:tcPr>
          <w:p w14:paraId="75C1C379" w14:textId="77777777" w:rsidR="00730414" w:rsidRPr="00730414" w:rsidRDefault="00730414" w:rsidP="003F348B">
            <w:pPr>
              <w:spacing w:line="276" w:lineRule="auto"/>
              <w:jc w:val="both"/>
              <w:rPr>
                <w:rFonts w:ascii="Palatino Linotype" w:eastAsia="Calibri" w:hAnsi="Palatino Linotype"/>
                <w:b w:val="0"/>
                <w:sz w:val="21"/>
                <w:szCs w:val="21"/>
                <w:lang w:val="es-ES_tradnl"/>
              </w:rPr>
            </w:pPr>
            <w:r w:rsidRPr="00730414">
              <w:rPr>
                <w:rFonts w:ascii="Palatino Linotype" w:eastAsia="Calibri" w:hAnsi="Palatino Linotype"/>
                <w:b w:val="0"/>
                <w:sz w:val="21"/>
                <w:szCs w:val="21"/>
                <w:lang w:val="es-ES_tradnl"/>
              </w:rPr>
              <w:t>4.</w:t>
            </w:r>
            <w:r w:rsidRPr="00730414">
              <w:rPr>
                <w:rFonts w:ascii="Palatino Linotype" w:eastAsia="Calibri" w:hAnsi="Palatino Linotype"/>
                <w:b w:val="0"/>
                <w:sz w:val="21"/>
                <w:szCs w:val="21"/>
                <w:lang w:val="es-ES_tradnl"/>
              </w:rPr>
              <w:tab/>
              <w:t>Últimos talones de pago de diciembre 2021 (dos mil veintiuno)</w:t>
            </w:r>
          </w:p>
        </w:tc>
        <w:tc>
          <w:tcPr>
            <w:tcW w:w="4097" w:type="dxa"/>
            <w:gridSpan w:val="2"/>
            <w:shd w:val="clear" w:color="auto" w:fill="E7E6E6" w:themeFill="background2"/>
          </w:tcPr>
          <w:p w14:paraId="2574F318" w14:textId="77777777" w:rsidR="00730414" w:rsidRPr="003F348B" w:rsidRDefault="00730414" w:rsidP="003F348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Hace entrega de la versión pública de los dos recibos de nómina de la primera y segunda quincena de diciembre de 2021.</w:t>
            </w:r>
          </w:p>
        </w:tc>
        <w:tc>
          <w:tcPr>
            <w:tcW w:w="2737" w:type="dxa"/>
            <w:shd w:val="clear" w:color="auto" w:fill="E7E6E6" w:themeFill="background2"/>
          </w:tcPr>
          <w:p w14:paraId="129E9632" w14:textId="77777777" w:rsidR="00730414" w:rsidRPr="00730414" w:rsidRDefault="00730414" w:rsidP="00730414">
            <w:pPr>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b/>
                <w:sz w:val="21"/>
                <w:szCs w:val="21"/>
                <w:lang w:val="es-ES_tradnl"/>
              </w:rPr>
            </w:pPr>
            <w:r w:rsidRPr="00730414">
              <w:rPr>
                <w:rFonts w:ascii="Palatino Linotype" w:eastAsia="Calibri" w:hAnsi="Palatino Linotype"/>
                <w:b/>
                <w:sz w:val="21"/>
                <w:szCs w:val="21"/>
                <w:lang w:val="es-ES_tradnl"/>
              </w:rPr>
              <w:t>Colmado</w:t>
            </w:r>
          </w:p>
          <w:p w14:paraId="68F4B1A9" w14:textId="77777777" w:rsidR="00730414" w:rsidRDefault="00730414" w:rsidP="00730414">
            <w:pPr>
              <w:spacing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p>
          <w:p w14:paraId="0E5094C3" w14:textId="77777777" w:rsidR="00730414" w:rsidRPr="003F348B" w:rsidRDefault="00730414" w:rsidP="0073041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1"/>
                <w:szCs w:val="21"/>
                <w:lang w:val="es-ES_tradnl"/>
              </w:rPr>
            </w:pPr>
            <w:r>
              <w:rPr>
                <w:rFonts w:ascii="Palatino Linotype" w:eastAsia="Calibri" w:hAnsi="Palatino Linotype"/>
                <w:sz w:val="21"/>
                <w:szCs w:val="21"/>
                <w:lang w:val="es-ES_tradnl"/>
              </w:rPr>
              <w:t xml:space="preserve">Al hacer entrega de la versión pública de los </w:t>
            </w:r>
            <w:r>
              <w:rPr>
                <w:rFonts w:ascii="Palatino Linotype" w:eastAsia="Calibri" w:hAnsi="Palatino Linotype"/>
                <w:sz w:val="21"/>
                <w:szCs w:val="21"/>
                <w:lang w:val="es-ES_tradnl"/>
              </w:rPr>
              <w:lastRenderedPageBreak/>
              <w:t>documentos, junto con el Acta del Comité de Transparencia que sustenta la clasificación de la información.</w:t>
            </w:r>
          </w:p>
        </w:tc>
      </w:tr>
    </w:tbl>
    <w:p w14:paraId="59653F47" w14:textId="77777777" w:rsidR="0011069C" w:rsidRDefault="0011069C" w:rsidP="0011069C">
      <w:pPr>
        <w:spacing w:line="360" w:lineRule="auto"/>
        <w:jc w:val="both"/>
        <w:rPr>
          <w:rFonts w:ascii="Palatino Linotype" w:eastAsia="Calibri" w:hAnsi="Palatino Linotype"/>
          <w:lang w:val="es-ES_tradnl"/>
        </w:rPr>
      </w:pPr>
    </w:p>
    <w:p w14:paraId="1C39668E" w14:textId="77777777" w:rsidR="00730414" w:rsidRDefault="0011069C" w:rsidP="0011069C">
      <w:pPr>
        <w:spacing w:line="360" w:lineRule="auto"/>
        <w:jc w:val="both"/>
        <w:rPr>
          <w:rFonts w:ascii="Palatino Linotype" w:hAnsi="Palatino Linotype"/>
          <w:bCs/>
        </w:rPr>
      </w:pPr>
      <w:r>
        <w:rPr>
          <w:rFonts w:ascii="Palatino Linotype" w:hAnsi="Palatino Linotype"/>
          <w:bCs/>
        </w:rPr>
        <w:t>Atentos a</w:t>
      </w:r>
      <w:r w:rsidR="00730414">
        <w:rPr>
          <w:rFonts w:ascii="Palatino Linotype" w:hAnsi="Palatino Linotype"/>
          <w:bCs/>
        </w:rPr>
        <w:t xml:space="preserve">l cuadro que antecede, en lo que corresponde en primer lugar al numeral </w:t>
      </w:r>
      <w:r w:rsidR="00730414" w:rsidRPr="00C810A6">
        <w:rPr>
          <w:rFonts w:ascii="Palatino Linotype" w:hAnsi="Palatino Linotype"/>
          <w:b/>
          <w:bCs/>
          <w:sz w:val="26"/>
          <w:szCs w:val="26"/>
        </w:rPr>
        <w:t>1</w:t>
      </w:r>
      <w:r w:rsidR="00730414">
        <w:rPr>
          <w:rFonts w:ascii="Palatino Linotype" w:hAnsi="Palatino Linotype"/>
          <w:bCs/>
        </w:rPr>
        <w:t xml:space="preserve">, se advierte que no se tiene por colmado, toda vez que, la </w:t>
      </w:r>
      <w:r w:rsidR="00730414" w:rsidRPr="00C810A6">
        <w:rPr>
          <w:rFonts w:ascii="Palatino Linotype" w:hAnsi="Palatino Linotype"/>
          <w:b/>
          <w:bCs/>
        </w:rPr>
        <w:t>Recurrente</w:t>
      </w:r>
      <w:r w:rsidR="00730414">
        <w:rPr>
          <w:rFonts w:ascii="Palatino Linotype" w:hAnsi="Palatino Linotype"/>
          <w:bCs/>
        </w:rPr>
        <w:t xml:space="preserve"> peticionó la acta entrega recepci</w:t>
      </w:r>
      <w:r w:rsidR="00C810A6">
        <w:rPr>
          <w:rFonts w:ascii="Palatino Linotype" w:hAnsi="Palatino Linotype"/>
          <w:bCs/>
        </w:rPr>
        <w:t>ón</w:t>
      </w:r>
      <w:r w:rsidR="00730414">
        <w:rPr>
          <w:rFonts w:ascii="Palatino Linotype" w:hAnsi="Palatino Linotype"/>
          <w:bCs/>
        </w:rPr>
        <w:t xml:space="preserve"> junto con sus anexos</w:t>
      </w:r>
      <w:r w:rsidR="00C810A6">
        <w:rPr>
          <w:rFonts w:ascii="Palatino Linotype" w:hAnsi="Palatino Linotype"/>
          <w:bCs/>
        </w:rPr>
        <w:t xml:space="preserve">. El </w:t>
      </w:r>
      <w:r w:rsidR="00C810A6" w:rsidRPr="00C810A6">
        <w:rPr>
          <w:rFonts w:ascii="Palatino Linotype" w:hAnsi="Palatino Linotype"/>
          <w:b/>
          <w:bCs/>
        </w:rPr>
        <w:t>Sujeto Obligado</w:t>
      </w:r>
      <w:r w:rsidR="00C810A6">
        <w:rPr>
          <w:rFonts w:ascii="Palatino Linotype" w:hAnsi="Palatino Linotype"/>
          <w:bCs/>
        </w:rPr>
        <w:t xml:space="preserve"> tanto en respuesta como informe justificado hace entrega únicamente del acta, sin embargo, de su contenido, se aprecia se adjuntaron diversos anexos, los cuales no fueron proporcionados, luego entonces resulta dable ordenar su entrega, al formar parte del documento principal, ello de conformidad con el </w:t>
      </w:r>
      <w:r w:rsidR="00C810A6" w:rsidRPr="00C810A6">
        <w:rPr>
          <w:rFonts w:ascii="Palatino Linotype" w:hAnsi="Palatino Linotype"/>
          <w:b/>
          <w:bCs/>
        </w:rPr>
        <w:t>Criterio 17/17</w:t>
      </w:r>
      <w:r w:rsidR="00C810A6">
        <w:rPr>
          <w:rFonts w:ascii="Palatino Linotype" w:hAnsi="Palatino Linotype"/>
          <w:bCs/>
        </w:rPr>
        <w:t xml:space="preserve"> de la Segunda Época, emitido por el </w:t>
      </w:r>
      <w:r w:rsidR="00C810A6" w:rsidRPr="00C810A6">
        <w:rPr>
          <w:rFonts w:ascii="Palatino Linotype" w:hAnsi="Palatino Linotype"/>
          <w:bCs/>
        </w:rPr>
        <w:t>Instituto Nacional de Transparencia, Acceso a la Información y Protección de Datos Personales</w:t>
      </w:r>
      <w:r w:rsidR="00C810A6">
        <w:rPr>
          <w:rFonts w:ascii="Palatino Linotype" w:hAnsi="Palatino Linotype"/>
          <w:bCs/>
        </w:rPr>
        <w:t>, dichos documentos forman parte del documento principal, debiendo ser entregados de manera conjunta, se cita dicho criterio para mayor referencia a continuación:</w:t>
      </w:r>
    </w:p>
    <w:p w14:paraId="61200E4E" w14:textId="77777777" w:rsidR="00C810A6" w:rsidRDefault="00C810A6" w:rsidP="0011069C">
      <w:pPr>
        <w:spacing w:line="360" w:lineRule="auto"/>
        <w:jc w:val="both"/>
        <w:rPr>
          <w:rFonts w:ascii="Palatino Linotype" w:hAnsi="Palatino Linotype"/>
          <w:bCs/>
        </w:rPr>
      </w:pPr>
    </w:p>
    <w:p w14:paraId="25D1B36F" w14:textId="77777777" w:rsidR="00C810A6" w:rsidRPr="00C810A6" w:rsidRDefault="00C810A6" w:rsidP="00C810A6">
      <w:pPr>
        <w:ind w:left="567" w:right="616"/>
        <w:jc w:val="both"/>
        <w:rPr>
          <w:rFonts w:ascii="Palatino Linotype" w:hAnsi="Palatino Linotype"/>
          <w:bCs/>
          <w:i/>
          <w:sz w:val="22"/>
        </w:rPr>
      </w:pPr>
      <w:r>
        <w:rPr>
          <w:rFonts w:ascii="Palatino Linotype" w:hAnsi="Palatino Linotype"/>
          <w:bCs/>
          <w:i/>
          <w:sz w:val="22"/>
        </w:rPr>
        <w:t>“</w:t>
      </w:r>
      <w:r w:rsidRPr="00C810A6">
        <w:rPr>
          <w:rFonts w:ascii="Palatino Linotype" w:hAnsi="Palatino Linotype"/>
          <w:b/>
          <w:bCs/>
          <w:i/>
          <w:sz w:val="22"/>
        </w:rPr>
        <w:t>Anexos de los documentos solicitados</w:t>
      </w:r>
      <w:r w:rsidRPr="00C810A6">
        <w:rPr>
          <w:rFonts w:ascii="Palatino Linotype" w:hAnsi="Palatino Linotype"/>
          <w:bCs/>
          <w:i/>
          <w:sz w:val="22"/>
        </w:rPr>
        <w:t xml:space="preserve">. </w:t>
      </w:r>
      <w:r w:rsidRPr="00C810A6">
        <w:rPr>
          <w:rFonts w:ascii="Palatino Linotype" w:hAnsi="Palatino Linotype"/>
          <w:bCs/>
          <w:i/>
          <w:sz w:val="22"/>
          <w:u w:val="single"/>
        </w:rPr>
        <w:t>Los anexos</w:t>
      </w:r>
      <w:r w:rsidRPr="00C810A6">
        <w:rPr>
          <w:rFonts w:ascii="Palatino Linotype" w:hAnsi="Palatino Linotype"/>
          <w:bCs/>
          <w:i/>
          <w:sz w:val="22"/>
        </w:rPr>
        <w:t xml:space="preserve"> </w:t>
      </w:r>
      <w:r w:rsidRPr="00C810A6">
        <w:rPr>
          <w:rFonts w:ascii="Palatino Linotype" w:hAnsi="Palatino Linotype"/>
          <w:bCs/>
          <w:i/>
          <w:sz w:val="22"/>
          <w:u w:val="single"/>
        </w:rPr>
        <w:t>de un documento se consideran</w:t>
      </w:r>
      <w:r w:rsidRPr="00C810A6">
        <w:rPr>
          <w:rFonts w:ascii="Palatino Linotype" w:hAnsi="Palatino Linotype"/>
          <w:bCs/>
          <w:i/>
          <w:sz w:val="22"/>
        </w:rPr>
        <w:t xml:space="preserve"> </w:t>
      </w:r>
      <w:r w:rsidRPr="00C810A6">
        <w:rPr>
          <w:rFonts w:ascii="Palatino Linotype" w:hAnsi="Palatino Linotype"/>
          <w:bCs/>
          <w:i/>
          <w:sz w:val="22"/>
          <w:u w:val="single"/>
        </w:rPr>
        <w:t>parte integral del mismo</w:t>
      </w:r>
      <w:r w:rsidRPr="00C810A6">
        <w:rPr>
          <w:rFonts w:ascii="Palatino Linotype" w:hAnsi="Palatino Linotype"/>
          <w:bCs/>
          <w:i/>
          <w:sz w:val="22"/>
        </w:rPr>
        <w:t xml:space="preserve">. Por lo anterior, ante solicitudes de información relacionadas con documentos que incluyen anexos, los sujetos obligados </w:t>
      </w:r>
      <w:r w:rsidRPr="00C810A6">
        <w:rPr>
          <w:rFonts w:ascii="Palatino Linotype" w:hAnsi="Palatino Linotype"/>
          <w:bCs/>
          <w:i/>
          <w:sz w:val="22"/>
          <w:u w:val="single"/>
        </w:rPr>
        <w:t>deberán entregarlos</w:t>
      </w:r>
      <w:r w:rsidRPr="00C810A6">
        <w:rPr>
          <w:rFonts w:ascii="Palatino Linotype" w:hAnsi="Palatino Linotype"/>
          <w:bCs/>
          <w:i/>
          <w:sz w:val="22"/>
        </w:rPr>
        <w:t>, con excepción de aquellos casos en que el solicitante manifieste expresamente su interés de acceder únicamente al documento principal.</w:t>
      </w:r>
    </w:p>
    <w:p w14:paraId="78DD6EC8" w14:textId="77777777" w:rsidR="00C810A6" w:rsidRPr="00C810A6" w:rsidRDefault="00C810A6" w:rsidP="00C810A6">
      <w:pPr>
        <w:ind w:left="567" w:right="616"/>
        <w:jc w:val="both"/>
        <w:rPr>
          <w:rFonts w:ascii="Palatino Linotype" w:hAnsi="Palatino Linotype"/>
          <w:bCs/>
          <w:i/>
          <w:sz w:val="22"/>
        </w:rPr>
      </w:pPr>
      <w:r w:rsidRPr="00C810A6">
        <w:rPr>
          <w:rFonts w:ascii="Palatino Linotype" w:hAnsi="Palatino Linotype"/>
          <w:bCs/>
          <w:i/>
          <w:sz w:val="22"/>
        </w:rPr>
        <w:t>Resoluciones:</w:t>
      </w:r>
    </w:p>
    <w:p w14:paraId="61EFD71B" w14:textId="77777777" w:rsidR="00C810A6" w:rsidRPr="00C810A6" w:rsidRDefault="00C810A6" w:rsidP="00C810A6">
      <w:pPr>
        <w:ind w:left="567" w:right="616"/>
        <w:jc w:val="both"/>
        <w:rPr>
          <w:rFonts w:ascii="Palatino Linotype" w:hAnsi="Palatino Linotype"/>
          <w:bCs/>
          <w:i/>
          <w:sz w:val="22"/>
        </w:rPr>
      </w:pPr>
      <w:r w:rsidRPr="00C810A6">
        <w:rPr>
          <w:rFonts w:ascii="Palatino Linotype" w:hAnsi="Palatino Linotype"/>
          <w:bCs/>
          <w:i/>
          <w:sz w:val="22"/>
        </w:rPr>
        <w:t>•</w:t>
      </w:r>
      <w:r w:rsidRPr="00C810A6">
        <w:rPr>
          <w:rFonts w:ascii="Palatino Linotype" w:hAnsi="Palatino Linotype"/>
          <w:bCs/>
          <w:i/>
          <w:sz w:val="22"/>
        </w:rPr>
        <w:tab/>
        <w:t>RRA 0483/17. Universidad Nacional Autónoma de México. 22 de febrero de 2017. Por unanimidad. Comisionado Ponente Joel Salas Suárez.</w:t>
      </w:r>
    </w:p>
    <w:p w14:paraId="491C08BD" w14:textId="77777777" w:rsidR="00C810A6" w:rsidRPr="00C810A6" w:rsidRDefault="00C810A6" w:rsidP="00C810A6">
      <w:pPr>
        <w:ind w:left="567" w:right="616"/>
        <w:jc w:val="both"/>
        <w:rPr>
          <w:rFonts w:ascii="Palatino Linotype" w:hAnsi="Palatino Linotype"/>
          <w:bCs/>
          <w:i/>
          <w:sz w:val="22"/>
        </w:rPr>
      </w:pPr>
      <w:r w:rsidRPr="00C810A6">
        <w:rPr>
          <w:rFonts w:ascii="Palatino Linotype" w:hAnsi="Palatino Linotype"/>
          <w:bCs/>
          <w:i/>
          <w:sz w:val="22"/>
        </w:rPr>
        <w:t>•</w:t>
      </w:r>
      <w:r w:rsidRPr="00C810A6">
        <w:rPr>
          <w:rFonts w:ascii="Palatino Linotype" w:hAnsi="Palatino Linotype"/>
          <w:bCs/>
          <w:i/>
          <w:sz w:val="22"/>
        </w:rPr>
        <w:tab/>
        <w:t xml:space="preserve">RRA 4503/16. Secretaría de Hacienda y Crédito Público. 01 de marzo de 2017. Por unanimidad. Comisionada Ponente Areli Cano Guadiana. </w:t>
      </w:r>
    </w:p>
    <w:p w14:paraId="53882402" w14:textId="77777777" w:rsidR="00C810A6" w:rsidRDefault="00C810A6" w:rsidP="00C810A6">
      <w:pPr>
        <w:ind w:left="567" w:right="616"/>
        <w:jc w:val="both"/>
        <w:rPr>
          <w:rFonts w:ascii="Palatino Linotype" w:hAnsi="Palatino Linotype"/>
          <w:bCs/>
          <w:sz w:val="22"/>
        </w:rPr>
      </w:pPr>
      <w:r w:rsidRPr="00C810A6">
        <w:rPr>
          <w:rFonts w:ascii="Palatino Linotype" w:hAnsi="Palatino Linotype"/>
          <w:bCs/>
          <w:i/>
          <w:sz w:val="22"/>
        </w:rPr>
        <w:t>•</w:t>
      </w:r>
      <w:r w:rsidRPr="00C810A6">
        <w:rPr>
          <w:rFonts w:ascii="Palatino Linotype" w:hAnsi="Palatino Linotype"/>
          <w:bCs/>
          <w:i/>
          <w:sz w:val="22"/>
        </w:rPr>
        <w:tab/>
        <w:t>RRA 1639/17. Instituto Mexicano del Seguro Social. 19 de abril de 2017. Por unanimidad. Comisionado Ponente Francisco Javier Acuña Llamas</w:t>
      </w:r>
      <w:r>
        <w:rPr>
          <w:rFonts w:ascii="Palatino Linotype" w:hAnsi="Palatino Linotype"/>
          <w:bCs/>
          <w:i/>
          <w:sz w:val="22"/>
        </w:rPr>
        <w:t>”</w:t>
      </w:r>
    </w:p>
    <w:p w14:paraId="28DA4967" w14:textId="77777777" w:rsidR="00C810A6" w:rsidRDefault="00C810A6" w:rsidP="00C810A6">
      <w:pPr>
        <w:ind w:left="567" w:right="616"/>
        <w:jc w:val="both"/>
        <w:rPr>
          <w:rFonts w:ascii="Palatino Linotype" w:hAnsi="Palatino Linotype"/>
          <w:bCs/>
          <w:sz w:val="22"/>
        </w:rPr>
      </w:pPr>
    </w:p>
    <w:p w14:paraId="593EC4BD" w14:textId="77777777" w:rsidR="00C810A6" w:rsidRPr="00C810A6" w:rsidRDefault="00C810A6" w:rsidP="00C810A6">
      <w:pPr>
        <w:ind w:left="567" w:right="616"/>
        <w:jc w:val="right"/>
        <w:rPr>
          <w:rFonts w:ascii="Palatino Linotype" w:hAnsi="Palatino Linotype"/>
          <w:bCs/>
          <w:sz w:val="22"/>
        </w:rPr>
      </w:pPr>
      <w:r>
        <w:rPr>
          <w:rFonts w:ascii="Palatino Linotype" w:hAnsi="Palatino Linotype"/>
          <w:bCs/>
          <w:sz w:val="22"/>
        </w:rPr>
        <w:t>(Énfasis añadido)</w:t>
      </w:r>
    </w:p>
    <w:p w14:paraId="580E7C12" w14:textId="77777777" w:rsidR="00730414" w:rsidRDefault="00730414" w:rsidP="0011069C">
      <w:pPr>
        <w:spacing w:line="360" w:lineRule="auto"/>
        <w:jc w:val="both"/>
        <w:rPr>
          <w:rFonts w:ascii="Palatino Linotype" w:hAnsi="Palatino Linotype"/>
          <w:bCs/>
        </w:rPr>
      </w:pPr>
    </w:p>
    <w:p w14:paraId="3EBAB095" w14:textId="77777777" w:rsidR="00730414" w:rsidRDefault="00C810A6" w:rsidP="0011069C">
      <w:pPr>
        <w:spacing w:line="360" w:lineRule="auto"/>
        <w:jc w:val="both"/>
        <w:rPr>
          <w:rFonts w:ascii="Palatino Linotype" w:hAnsi="Palatino Linotype"/>
          <w:bCs/>
        </w:rPr>
      </w:pPr>
      <w:r>
        <w:rPr>
          <w:rFonts w:ascii="Palatino Linotype" w:hAnsi="Palatino Linotype"/>
          <w:bCs/>
        </w:rPr>
        <w:lastRenderedPageBreak/>
        <w:t xml:space="preserve">Continuando con el estudio y resolución del asunto, en particular de los </w:t>
      </w:r>
      <w:r w:rsidR="00730414">
        <w:rPr>
          <w:rFonts w:ascii="Palatino Linotype" w:hAnsi="Palatino Linotype"/>
          <w:bCs/>
        </w:rPr>
        <w:t xml:space="preserve">numerales </w:t>
      </w:r>
      <w:r w:rsidR="00730414" w:rsidRPr="00C810A6">
        <w:rPr>
          <w:rFonts w:ascii="Palatino Linotype" w:hAnsi="Palatino Linotype"/>
          <w:b/>
          <w:bCs/>
          <w:sz w:val="26"/>
          <w:szCs w:val="26"/>
        </w:rPr>
        <w:t>2</w:t>
      </w:r>
      <w:r w:rsidR="00730414">
        <w:rPr>
          <w:rFonts w:ascii="Palatino Linotype" w:hAnsi="Palatino Linotype"/>
          <w:bCs/>
        </w:rPr>
        <w:t xml:space="preserve">, </w:t>
      </w:r>
      <w:r w:rsidR="00730414" w:rsidRPr="00C810A6">
        <w:rPr>
          <w:rFonts w:ascii="Palatino Linotype" w:hAnsi="Palatino Linotype"/>
          <w:b/>
          <w:bCs/>
          <w:sz w:val="26"/>
          <w:szCs w:val="26"/>
        </w:rPr>
        <w:t>3</w:t>
      </w:r>
      <w:r w:rsidR="00730414">
        <w:rPr>
          <w:rFonts w:ascii="Palatino Linotype" w:hAnsi="Palatino Linotype"/>
          <w:bCs/>
        </w:rPr>
        <w:t xml:space="preserve">, </w:t>
      </w:r>
      <w:r>
        <w:rPr>
          <w:rFonts w:ascii="Palatino Linotype" w:hAnsi="Palatino Linotype"/>
          <w:bCs/>
        </w:rPr>
        <w:t xml:space="preserve">relativos al finiquito y renuncia del servidor público, el </w:t>
      </w:r>
      <w:r w:rsidRPr="00C810A6">
        <w:rPr>
          <w:rFonts w:ascii="Palatino Linotype" w:hAnsi="Palatino Linotype"/>
          <w:b/>
          <w:bCs/>
        </w:rPr>
        <w:t>Sujeto Obligado</w:t>
      </w:r>
      <w:r>
        <w:rPr>
          <w:rFonts w:ascii="Palatino Linotype" w:hAnsi="Palatino Linotype"/>
          <w:bCs/>
        </w:rPr>
        <w:t xml:space="preserve"> se pronuncia a través de su Tesorero Municipal y Coordinador Jurídico, en el sentido que el servidor </w:t>
      </w:r>
      <w:r w:rsidR="00C70E7D">
        <w:rPr>
          <w:rFonts w:ascii="Palatino Linotype" w:hAnsi="Palatino Linotype"/>
          <w:bCs/>
        </w:rPr>
        <w:t>público</w:t>
      </w:r>
      <w:r>
        <w:rPr>
          <w:rFonts w:ascii="Palatino Linotype" w:hAnsi="Palatino Linotype"/>
          <w:bCs/>
        </w:rPr>
        <w:t xml:space="preserve"> que ocupaba el cargo </w:t>
      </w:r>
      <w:r w:rsidR="00C70E7D">
        <w:rPr>
          <w:rFonts w:ascii="Palatino Linotype" w:hAnsi="Palatino Linotype"/>
          <w:bCs/>
        </w:rPr>
        <w:t>de Contralor Interno continua laborando en la actual administración 2022 – 2024, por lo que no se ha generado finiquito alguno, ni ha presentado renuncia.</w:t>
      </w:r>
    </w:p>
    <w:p w14:paraId="1B150924" w14:textId="77777777" w:rsidR="00C70E7D" w:rsidRDefault="00C70E7D" w:rsidP="0011069C">
      <w:pPr>
        <w:spacing w:line="360" w:lineRule="auto"/>
        <w:jc w:val="both"/>
        <w:rPr>
          <w:rFonts w:ascii="Palatino Linotype" w:hAnsi="Palatino Linotype"/>
          <w:bCs/>
        </w:rPr>
      </w:pPr>
    </w:p>
    <w:p w14:paraId="110C68B9" w14:textId="77777777" w:rsidR="00C70E7D" w:rsidRDefault="00C70E7D" w:rsidP="0011069C">
      <w:pPr>
        <w:spacing w:line="360" w:lineRule="auto"/>
        <w:jc w:val="both"/>
        <w:rPr>
          <w:rFonts w:ascii="Palatino Linotype" w:hAnsi="Palatino Linotype"/>
          <w:bCs/>
        </w:rPr>
      </w:pPr>
      <w:r>
        <w:rPr>
          <w:rFonts w:ascii="Palatino Linotype" w:hAnsi="Palatino Linotype"/>
          <w:bCs/>
        </w:rPr>
        <w:t xml:space="preserve">Atentos a las </w:t>
      </w:r>
      <w:r w:rsidRPr="009B3AC4">
        <w:rPr>
          <w:rFonts w:ascii="Palatino Linotype" w:hAnsi="Palatino Linotype"/>
          <w:bCs/>
        </w:rPr>
        <w:t xml:space="preserve">manifestaciones, </w:t>
      </w:r>
      <w:r w:rsidR="00936D33" w:rsidRPr="009B3AC4">
        <w:rPr>
          <w:rFonts w:ascii="Palatino Linotype" w:hAnsi="Palatino Linotype"/>
          <w:bCs/>
        </w:rPr>
        <w:t>podemos apreciar que las mismas consisten en un hecho negativo,</w:t>
      </w:r>
      <w:r w:rsidR="00936D33">
        <w:rPr>
          <w:rFonts w:ascii="Palatino Linotype" w:hAnsi="Palatino Linotype"/>
          <w:bCs/>
        </w:rPr>
        <w:t xml:space="preserve"> </w:t>
      </w:r>
      <w:r w:rsidR="008665EA">
        <w:rPr>
          <w:rFonts w:ascii="Palatino Linotype" w:hAnsi="Palatino Linotype"/>
          <w:bCs/>
        </w:rPr>
        <w:t xml:space="preserve">en el sentido que si bien dentro de sus funciones y atribuciones se encuentran las de generar el finiquito por liquidación (en el caso del Tesorero Municipal), así como administrar y poseer los documentos por recisión laboral (en cuanto corresponde al Coordinador Jurídico), también lo es que, las mismas son condicionantes, es decir, necesitan un acto o hecho previo que las genere. </w:t>
      </w:r>
    </w:p>
    <w:p w14:paraId="241A2EFE" w14:textId="77777777" w:rsidR="008665EA" w:rsidRDefault="008665EA" w:rsidP="0011069C">
      <w:pPr>
        <w:spacing w:line="360" w:lineRule="auto"/>
        <w:jc w:val="both"/>
        <w:rPr>
          <w:rFonts w:ascii="Palatino Linotype" w:hAnsi="Palatino Linotype"/>
          <w:bCs/>
        </w:rPr>
      </w:pPr>
    </w:p>
    <w:p w14:paraId="1B897914" w14:textId="77777777" w:rsidR="008665EA" w:rsidRDefault="008665EA" w:rsidP="0011069C">
      <w:pPr>
        <w:spacing w:line="360" w:lineRule="auto"/>
        <w:jc w:val="both"/>
        <w:rPr>
          <w:rFonts w:ascii="Palatino Linotype" w:hAnsi="Palatino Linotype"/>
          <w:bCs/>
        </w:rPr>
      </w:pPr>
      <w:r>
        <w:rPr>
          <w:rFonts w:ascii="Palatino Linotype" w:hAnsi="Palatino Linotype"/>
          <w:bCs/>
        </w:rPr>
        <w:t>En ese orden de ideas, al continuar laborando en la actual administración el servidor público referido, no ha causado baja laboral, consecuentemente no existen las documentales peticionadas, relativas a la carta de renuncia y de finiquito, por lo que podemos concluir, que el Sujeto Obligado emite respuesta en cumplimiento del párrafo segundo del artículo 19 de la Ley de Transparencia local</w:t>
      </w:r>
      <w:r>
        <w:rPr>
          <w:rStyle w:val="Refdenotaalpie"/>
          <w:rFonts w:ascii="Palatino Linotype" w:hAnsi="Palatino Linotype"/>
          <w:bCs/>
        </w:rPr>
        <w:footnoteReference w:id="4"/>
      </w:r>
      <w:r>
        <w:rPr>
          <w:rFonts w:ascii="Palatino Linotype" w:hAnsi="Palatino Linotype"/>
          <w:bCs/>
        </w:rPr>
        <w:t xml:space="preserve">, en el sentido que en los casos que dichas funciones o atribuciones no se hayan ejercido, deberá motivar su respuesta, </w:t>
      </w:r>
      <w:r>
        <w:rPr>
          <w:rFonts w:ascii="Palatino Linotype" w:hAnsi="Palatino Linotype"/>
          <w:bCs/>
        </w:rPr>
        <w:lastRenderedPageBreak/>
        <w:t>circunstancias que as todas luces, se aprecia en el contenido de las documentales descritas previamente.</w:t>
      </w:r>
    </w:p>
    <w:p w14:paraId="03F6AD97" w14:textId="77777777" w:rsidR="00730414" w:rsidRDefault="00730414" w:rsidP="0011069C">
      <w:pPr>
        <w:spacing w:line="360" w:lineRule="auto"/>
        <w:jc w:val="both"/>
        <w:rPr>
          <w:rFonts w:ascii="Palatino Linotype" w:hAnsi="Palatino Linotype"/>
          <w:bCs/>
        </w:rPr>
      </w:pPr>
    </w:p>
    <w:p w14:paraId="296E2B9C" w14:textId="77777777" w:rsidR="0011069C" w:rsidRDefault="006130E4" w:rsidP="0011069C">
      <w:pPr>
        <w:spacing w:line="360" w:lineRule="auto"/>
        <w:jc w:val="both"/>
        <w:rPr>
          <w:rFonts w:ascii="Palatino Linotype" w:hAnsi="Palatino Linotype"/>
          <w:bCs/>
        </w:rPr>
      </w:pPr>
      <w:r>
        <w:rPr>
          <w:rFonts w:ascii="Palatino Linotype" w:hAnsi="Palatino Linotype"/>
          <w:bCs/>
        </w:rPr>
        <w:t xml:space="preserve">Finalmente, en lo relativo al numeral </w:t>
      </w:r>
      <w:r w:rsidRPr="006130E4">
        <w:rPr>
          <w:rFonts w:ascii="Palatino Linotype" w:hAnsi="Palatino Linotype"/>
          <w:b/>
          <w:bCs/>
          <w:sz w:val="26"/>
          <w:szCs w:val="26"/>
        </w:rPr>
        <w:t>4</w:t>
      </w:r>
      <w:r>
        <w:rPr>
          <w:rFonts w:ascii="Palatino Linotype" w:hAnsi="Palatino Linotype"/>
          <w:b/>
          <w:bCs/>
        </w:rPr>
        <w:t>,</w:t>
      </w:r>
      <w:r>
        <w:rPr>
          <w:rFonts w:ascii="Palatino Linotype" w:hAnsi="Palatino Linotype"/>
          <w:bCs/>
        </w:rPr>
        <w:t xml:space="preserve"> correspondiente a los dos últimos recibos de nómina de 2021 del servidor público peticionado, tanto en respuesta como informe justificado, el </w:t>
      </w:r>
      <w:r w:rsidRPr="006130E4">
        <w:rPr>
          <w:rFonts w:ascii="Palatino Linotype" w:hAnsi="Palatino Linotype"/>
          <w:b/>
          <w:bCs/>
        </w:rPr>
        <w:t>Sujeto Obligado</w:t>
      </w:r>
      <w:r>
        <w:rPr>
          <w:rFonts w:ascii="Palatino Linotype" w:hAnsi="Palatino Linotype"/>
          <w:bCs/>
        </w:rPr>
        <w:t xml:space="preserve"> hizo entrega en versión pública de los mismos, adjuntando de igual manera, el acta del Comité de Transparencia que sustenta la clasificación de los datos de carácter sensible y confidencial, en consecuencia, </w:t>
      </w:r>
      <w:r w:rsidR="003351C1">
        <w:rPr>
          <w:rFonts w:ascii="Palatino Linotype" w:hAnsi="Palatino Linotype"/>
          <w:bCs/>
        </w:rPr>
        <w:t>se tiene por colmado el requerimiento en cuestión.</w:t>
      </w:r>
    </w:p>
    <w:p w14:paraId="028BCA88" w14:textId="77777777" w:rsidR="00285B85" w:rsidRDefault="00285B85" w:rsidP="0011069C">
      <w:pPr>
        <w:spacing w:line="360" w:lineRule="auto"/>
        <w:jc w:val="both"/>
        <w:rPr>
          <w:rFonts w:ascii="Palatino Linotype" w:hAnsi="Palatino Linotype"/>
          <w:bCs/>
        </w:rPr>
      </w:pPr>
    </w:p>
    <w:p w14:paraId="47E56220" w14:textId="77777777" w:rsidR="00285B85" w:rsidRPr="006130E4" w:rsidRDefault="00285B85" w:rsidP="0011069C">
      <w:pPr>
        <w:spacing w:line="360" w:lineRule="auto"/>
        <w:jc w:val="both"/>
        <w:rPr>
          <w:rFonts w:ascii="Palatino Linotype" w:hAnsi="Palatino Linotype"/>
          <w:bCs/>
        </w:rPr>
      </w:pPr>
      <w:r>
        <w:rPr>
          <w:rFonts w:ascii="Palatino Linotype" w:hAnsi="Palatino Linotype"/>
          <w:bCs/>
        </w:rPr>
        <w:t xml:space="preserve">Ahora bien, </w:t>
      </w:r>
      <w:r w:rsidRPr="00285B85">
        <w:rPr>
          <w:rFonts w:ascii="Palatino Linotype" w:hAnsi="Palatino Linotype"/>
          <w:bCs/>
        </w:rPr>
        <w:t xml:space="preserve">no pasa inadvertido para esta Órgano Resolutor, el hecho de que el </w:t>
      </w:r>
      <w:r w:rsidRPr="00285B85">
        <w:rPr>
          <w:rFonts w:ascii="Palatino Linotype" w:hAnsi="Palatino Linotype"/>
          <w:b/>
          <w:bCs/>
        </w:rPr>
        <w:t>Sujeto Obligado</w:t>
      </w:r>
      <w:r w:rsidRPr="00285B85">
        <w:rPr>
          <w:rFonts w:ascii="Palatino Linotype" w:hAnsi="Palatino Linotype"/>
          <w:bCs/>
        </w:rPr>
        <w:t xml:space="preserve">, al momento de presentar la documentación en su respuesta, dejó datos visibles que pueden considerarse información confidencial,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w:t>
      </w:r>
      <w:r w:rsidRPr="00285B85">
        <w:rPr>
          <w:rFonts w:ascii="Palatino Linotype" w:hAnsi="Palatino Linotype"/>
          <w:bCs/>
        </w:rPr>
        <w:lastRenderedPageBreak/>
        <w:t>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45F25199" w14:textId="77777777" w:rsidR="0011069C" w:rsidRDefault="0011069C" w:rsidP="0011069C">
      <w:pPr>
        <w:spacing w:line="360" w:lineRule="auto"/>
        <w:jc w:val="both"/>
        <w:rPr>
          <w:rFonts w:ascii="Palatino Linotype" w:hAnsi="Palatino Linotype"/>
          <w:bCs/>
        </w:rPr>
      </w:pPr>
    </w:p>
    <w:p w14:paraId="7C31419B" w14:textId="77777777" w:rsidR="0011069C" w:rsidRPr="009A71E1" w:rsidRDefault="0011069C" w:rsidP="0011069C">
      <w:pPr>
        <w:numPr>
          <w:ilvl w:val="0"/>
          <w:numId w:val="1"/>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14:paraId="08AECE26" w14:textId="77777777" w:rsidR="0011069C" w:rsidRPr="009A71E1" w:rsidRDefault="0011069C" w:rsidP="0011069C">
      <w:pPr>
        <w:tabs>
          <w:tab w:val="left" w:pos="8647"/>
        </w:tabs>
        <w:spacing w:line="360" w:lineRule="auto"/>
        <w:ind w:right="51"/>
        <w:jc w:val="both"/>
        <w:rPr>
          <w:rFonts w:ascii="Palatino Linotype" w:eastAsiaTheme="minorHAnsi" w:hAnsi="Palatino Linotype" w:cs="Arial"/>
          <w:lang w:val="es-MX" w:eastAsia="en-US"/>
        </w:rPr>
      </w:pPr>
    </w:p>
    <w:p w14:paraId="35273E94"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D988523"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1F387399"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3B76CED"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3EDAB0B7"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BA368B"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10CB5913"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85B85">
        <w:rPr>
          <w:rFonts w:ascii="Palatino Linotype" w:eastAsiaTheme="minorHAnsi" w:hAnsi="Palatino Linotype" w:cs="Arial"/>
          <w:b/>
          <w:lang w:val="es-MX" w:eastAsia="en-US"/>
        </w:rPr>
        <w:t>Registro Federal de Contribuyentes</w:t>
      </w:r>
      <w:r w:rsidRPr="00285B85">
        <w:rPr>
          <w:rFonts w:ascii="Palatino Linotype" w:eastAsiaTheme="minorHAnsi" w:hAnsi="Palatino Linotype" w:cs="Arial"/>
          <w:lang w:val="es-MX" w:eastAsia="en-US"/>
        </w:rPr>
        <w:t xml:space="preserve"> (RFC), la </w:t>
      </w:r>
      <w:r w:rsidRPr="00285B85">
        <w:rPr>
          <w:rFonts w:ascii="Palatino Linotype" w:eastAsiaTheme="minorHAnsi" w:hAnsi="Palatino Linotype" w:cs="Arial"/>
          <w:b/>
          <w:lang w:val="es-MX" w:eastAsia="en-US"/>
        </w:rPr>
        <w:t>Clave Única de Registro de Población</w:t>
      </w:r>
      <w:r w:rsidRPr="00285B85">
        <w:rPr>
          <w:rFonts w:ascii="Palatino Linotype" w:eastAsiaTheme="minorHAnsi" w:hAnsi="Palatino Linotype" w:cs="Arial"/>
          <w:lang w:val="es-MX" w:eastAsia="en-US"/>
        </w:rPr>
        <w:t xml:space="preserve"> (CURP), la </w:t>
      </w:r>
      <w:r w:rsidRPr="00285B85">
        <w:rPr>
          <w:rFonts w:ascii="Palatino Linotype" w:eastAsiaTheme="minorHAnsi" w:hAnsi="Palatino Linotype" w:cs="Arial"/>
          <w:b/>
          <w:lang w:val="es-MX" w:eastAsia="en-US"/>
        </w:rPr>
        <w:t>Clave de cualquier tipo de seguridad social</w:t>
      </w:r>
      <w:r w:rsidRPr="00285B85">
        <w:rPr>
          <w:rFonts w:ascii="Palatino Linotype" w:eastAsiaTheme="minorHAnsi" w:hAnsi="Palatino Linotype" w:cs="Arial"/>
          <w:lang w:val="es-MX" w:eastAsia="en-US"/>
        </w:rPr>
        <w:t xml:space="preserve"> (ISSEMYM, u otros), así como, los </w:t>
      </w:r>
      <w:r w:rsidRPr="00285B85">
        <w:rPr>
          <w:rFonts w:ascii="Palatino Linotype" w:eastAsiaTheme="minorHAnsi" w:hAnsi="Palatino Linotype" w:cs="Arial"/>
          <w:b/>
          <w:lang w:val="es-MX" w:eastAsia="en-US"/>
        </w:rPr>
        <w:t>préstamos o descuentos</w:t>
      </w:r>
      <w:r w:rsidRPr="00285B85">
        <w:rPr>
          <w:rFonts w:ascii="Palatino Linotype" w:eastAsiaTheme="minorHAnsi" w:hAnsi="Palatino Linotype" w:cs="Arial"/>
          <w:lang w:val="es-MX" w:eastAsia="en-US"/>
        </w:rPr>
        <w:t xml:space="preserve"> que se le hagan a la persona y que no tengan relación con los impuestos o la cuota por seguridad social.</w:t>
      </w:r>
    </w:p>
    <w:p w14:paraId="6424FAED"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79BB4BCF"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1582BC1"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4E933FCA"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0202F676"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46B5CAAF" w14:textId="77777777" w:rsidR="00285B85" w:rsidRPr="00285B85" w:rsidRDefault="00285B85" w:rsidP="00285B85">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
          <w:bCs/>
          <w:i/>
          <w:sz w:val="22"/>
          <w:szCs w:val="22"/>
          <w:lang w:val="es-MX" w:eastAsia="en-US"/>
        </w:rPr>
        <w:lastRenderedPageBreak/>
        <w:t xml:space="preserve">“Registro Federal de Contribuyentes (RFC) de las personas físicas es un dato personal confidencial. </w:t>
      </w:r>
      <w:r w:rsidRPr="00285B85">
        <w:rPr>
          <w:rFonts w:ascii="Palatino Linotype" w:eastAsiaTheme="minorHAnsi" w:hAnsi="Palatino Linotype" w:cs="Arial"/>
          <w:i/>
          <w:sz w:val="22"/>
          <w:szCs w:val="22"/>
          <w:lang w:val="es-MX" w:eastAsia="en-US"/>
        </w:rPr>
        <w:t>De conformidad con lo establecido en el artículo 18,</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fracción II de la Ley Federal de Transparencia y Acceso a la Información Pública</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 xml:space="preserve">Gubernamental </w:t>
      </w:r>
      <w:r w:rsidRPr="00285B85">
        <w:rPr>
          <w:rFonts w:ascii="Palatino Linotype" w:eastAsiaTheme="minorHAnsi" w:hAnsi="Palatino Linotype" w:cs="Arial"/>
          <w:i/>
          <w:sz w:val="22"/>
          <w:szCs w:val="22"/>
          <w:u w:val="single"/>
          <w:lang w:val="es-MX" w:eastAsia="en-US"/>
        </w:rPr>
        <w:t>se considera información confidencial los datos personales que</w:t>
      </w:r>
      <w:r w:rsidRPr="00285B85">
        <w:rPr>
          <w:rFonts w:ascii="Palatino Linotype" w:eastAsiaTheme="minorHAnsi" w:hAnsi="Palatino Linotype" w:cs="Arial"/>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requieren el consentimiento de los individuos para su difusión, distribución o</w:t>
      </w:r>
      <w:r w:rsidRPr="00285B85">
        <w:rPr>
          <w:rFonts w:ascii="Palatino Linotype" w:eastAsiaTheme="minorHAnsi" w:hAnsi="Palatino Linotype" w:cs="Arial"/>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comercialización en los términos de esta Ley. Por su parte, según dispone el</w:t>
      </w:r>
      <w:r w:rsidRPr="00285B85">
        <w:rPr>
          <w:rFonts w:ascii="Palatino Linotype" w:eastAsiaTheme="minorHAnsi" w:hAnsi="Palatino Linotype" w:cs="Arial"/>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artículo 3, fracción II de la Ley Federal de Transparencia y Acceso a la Información</w:t>
      </w:r>
      <w:r w:rsidRPr="00285B85">
        <w:rPr>
          <w:rFonts w:ascii="Palatino Linotype" w:eastAsiaTheme="minorHAnsi" w:hAnsi="Palatino Linotype" w:cs="Arial"/>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Pública Gubernamental, dato personal es toda aquella información concerniente a</w:t>
      </w:r>
      <w:r w:rsidRPr="00285B85">
        <w:rPr>
          <w:rFonts w:ascii="Palatino Linotype" w:eastAsiaTheme="minorHAnsi" w:hAnsi="Palatino Linotype" w:cs="Arial"/>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una persona física identificada o identificable</w:t>
      </w:r>
      <w:r w:rsidRPr="00285B85">
        <w:rPr>
          <w:rFonts w:ascii="Palatino Linotype" w:eastAsiaTheme="minorHAnsi" w:hAnsi="Palatino Linotype" w:cs="Arial"/>
          <w:i/>
          <w:sz w:val="22"/>
          <w:szCs w:val="22"/>
          <w:lang w:val="es-MX" w:eastAsia="en-US"/>
        </w:rPr>
        <w:t xml:space="preserve">. Para </w:t>
      </w:r>
      <w:r w:rsidRPr="00285B85">
        <w:rPr>
          <w:rFonts w:ascii="Palatino Linotype" w:eastAsiaTheme="minorHAnsi" w:hAnsi="Palatino Linotype" w:cs="Arial"/>
          <w:i/>
          <w:sz w:val="22"/>
          <w:szCs w:val="22"/>
          <w:u w:val="single"/>
          <w:lang w:val="es-MX" w:eastAsia="en-US"/>
        </w:rPr>
        <w:t>obtener el RFC es necesario</w:t>
      </w:r>
      <w:r w:rsidRPr="00285B85">
        <w:rPr>
          <w:rFonts w:ascii="Palatino Linotype" w:eastAsiaTheme="minorHAnsi" w:hAnsi="Palatino Linotype" w:cs="Arial"/>
          <w:b/>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acreditar previamente mediante documentos oficiales (pasaporte, acta de</w:t>
      </w:r>
      <w:r w:rsidRPr="00285B85">
        <w:rPr>
          <w:rFonts w:ascii="Palatino Linotype" w:eastAsiaTheme="minorHAnsi" w:hAnsi="Palatino Linotype" w:cs="Arial"/>
          <w:b/>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nacimiento, etc.) la identidad de la persona, su fecha y lugar de nacimiento, entre</w:t>
      </w:r>
      <w:r w:rsidRPr="00285B85">
        <w:rPr>
          <w:rFonts w:ascii="Palatino Linotype" w:eastAsiaTheme="minorHAnsi" w:hAnsi="Palatino Linotype" w:cs="Arial"/>
          <w:b/>
          <w:bCs/>
          <w:i/>
          <w:sz w:val="22"/>
          <w:szCs w:val="22"/>
          <w:u w:val="single"/>
          <w:lang w:val="es-MX" w:eastAsia="en-US"/>
        </w:rPr>
        <w:t xml:space="preserve"> </w:t>
      </w:r>
      <w:r w:rsidRPr="00285B85">
        <w:rPr>
          <w:rFonts w:ascii="Palatino Linotype" w:eastAsiaTheme="minorHAnsi" w:hAnsi="Palatino Linotype" w:cs="Arial"/>
          <w:i/>
          <w:sz w:val="22"/>
          <w:szCs w:val="22"/>
          <w:u w:val="single"/>
          <w:lang w:val="es-MX" w:eastAsia="en-US"/>
        </w:rPr>
        <w:t xml:space="preserve">otros. </w:t>
      </w:r>
      <w:r w:rsidRPr="00285B85">
        <w:rPr>
          <w:rFonts w:ascii="Palatino Linotype" w:eastAsiaTheme="minorHAnsi" w:hAnsi="Palatino Linotype" w:cs="Arial"/>
          <w:i/>
          <w:sz w:val="22"/>
          <w:szCs w:val="22"/>
          <w:lang w:val="es-MX" w:eastAsia="en-US"/>
        </w:rPr>
        <w:t>De acuerdo con la legislación tributaria, las personas físicas tramitan su</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inscripción en el Registro Federal de Contribuyentes con el único propósito de</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realizar mediante esa clave de identificación, operaciones o actividades de</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naturaleza tributaria. En este sentido, el artículo 79 del Código Fiscal de la</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Federación prevé que la utilización de una clave de registro no asignada por la</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autoridad constituye como una infracción en materia fiscal. De acuerdo con lo</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antes apuntado, el RFC vinculado al nombre de su titular, permite identificar la</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 xml:space="preserve">edad de la persona, así como su </w:t>
      </w:r>
      <w:proofErr w:type="spellStart"/>
      <w:r w:rsidRPr="00285B85">
        <w:rPr>
          <w:rFonts w:ascii="Palatino Linotype" w:eastAsiaTheme="minorHAnsi" w:hAnsi="Palatino Linotype" w:cs="Arial"/>
          <w:i/>
          <w:sz w:val="22"/>
          <w:szCs w:val="22"/>
          <w:lang w:val="es-MX" w:eastAsia="en-US"/>
        </w:rPr>
        <w:t>homoclave</w:t>
      </w:r>
      <w:proofErr w:type="spellEnd"/>
      <w:r w:rsidRPr="00285B85">
        <w:rPr>
          <w:rFonts w:ascii="Palatino Linotype" w:eastAsiaTheme="minorHAnsi" w:hAnsi="Palatino Linotype" w:cs="Arial"/>
          <w:i/>
          <w:sz w:val="22"/>
          <w:szCs w:val="22"/>
          <w:lang w:val="es-MX" w:eastAsia="en-US"/>
        </w:rPr>
        <w:t>, siendo esta última única e irrepetible,</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por lo que es posible concluir que el RFC constituye un dato personal y, por tanto,</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información confidencial, de conformidad con los previsto en el artículo 18,</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fracción II de la Ley Federal de Transparencia y Acceso a la Información Pública</w:t>
      </w:r>
      <w:r w:rsidRPr="00285B85">
        <w:rPr>
          <w:rFonts w:ascii="Palatino Linotype" w:eastAsiaTheme="minorHAnsi" w:hAnsi="Palatino Linotype" w:cs="Arial"/>
          <w:b/>
          <w:bCs/>
          <w:i/>
          <w:sz w:val="22"/>
          <w:szCs w:val="22"/>
          <w:lang w:val="es-MX" w:eastAsia="en-US"/>
        </w:rPr>
        <w:t xml:space="preserve"> </w:t>
      </w:r>
      <w:r w:rsidRPr="00285B85">
        <w:rPr>
          <w:rFonts w:ascii="Palatino Linotype" w:eastAsiaTheme="minorHAnsi" w:hAnsi="Palatino Linotype" w:cs="Arial"/>
          <w:i/>
          <w:sz w:val="22"/>
          <w:szCs w:val="22"/>
          <w:lang w:val="es-MX" w:eastAsia="en-US"/>
        </w:rPr>
        <w:t>Gubernamental</w:t>
      </w:r>
      <w:r w:rsidRPr="00285B85">
        <w:rPr>
          <w:rFonts w:ascii="Palatino Linotype" w:eastAsiaTheme="minorHAnsi" w:hAnsi="Palatino Linotype" w:cs="Arial"/>
          <w:bCs/>
          <w:i/>
          <w:sz w:val="22"/>
          <w:szCs w:val="22"/>
          <w:lang w:val="es-MX" w:eastAsia="en-US"/>
        </w:rPr>
        <w:t xml:space="preserve">…” </w:t>
      </w:r>
    </w:p>
    <w:p w14:paraId="472D6FCC" w14:textId="77777777" w:rsidR="00285B85" w:rsidRPr="00285B85" w:rsidRDefault="00285B85" w:rsidP="00285B85">
      <w:pPr>
        <w:tabs>
          <w:tab w:val="left" w:pos="8647"/>
        </w:tabs>
        <w:ind w:left="567" w:right="567"/>
        <w:jc w:val="both"/>
        <w:rPr>
          <w:rFonts w:ascii="Palatino Linotype" w:eastAsiaTheme="minorHAnsi" w:hAnsi="Palatino Linotype" w:cs="Arial"/>
          <w:bCs/>
          <w:sz w:val="22"/>
          <w:szCs w:val="22"/>
          <w:lang w:val="es-MX" w:eastAsia="en-US"/>
        </w:rPr>
      </w:pPr>
    </w:p>
    <w:p w14:paraId="3526B5E2" w14:textId="77777777" w:rsidR="00285B85" w:rsidRPr="00285B85" w:rsidRDefault="00285B85" w:rsidP="00285B85">
      <w:pPr>
        <w:tabs>
          <w:tab w:val="left" w:pos="8647"/>
        </w:tabs>
        <w:ind w:left="567" w:right="284"/>
        <w:jc w:val="right"/>
        <w:rPr>
          <w:rFonts w:ascii="Palatino Linotype" w:eastAsiaTheme="minorHAnsi" w:hAnsi="Palatino Linotype" w:cs="Arial"/>
          <w:sz w:val="22"/>
          <w:szCs w:val="22"/>
          <w:lang w:val="es-MX" w:eastAsia="en-US"/>
        </w:rPr>
      </w:pPr>
      <w:r w:rsidRPr="00285B85">
        <w:rPr>
          <w:rFonts w:ascii="Palatino Linotype" w:eastAsiaTheme="minorHAnsi" w:hAnsi="Palatino Linotype" w:cs="Arial"/>
          <w:sz w:val="22"/>
          <w:szCs w:val="22"/>
          <w:lang w:val="es-MX" w:eastAsia="en-US"/>
        </w:rPr>
        <w:t>(Énfasis añadido)</w:t>
      </w:r>
    </w:p>
    <w:p w14:paraId="291C7199"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433ED3E6" w14:textId="77777777" w:rsid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285B85">
        <w:rPr>
          <w:rFonts w:ascii="Palatino Linotype" w:eastAsiaTheme="minorHAnsi" w:hAnsi="Palatino Linotype" w:cs="Arial"/>
          <w:lang w:val="es-MX" w:eastAsia="en-US"/>
        </w:rPr>
        <w:t>homoclave</w:t>
      </w:r>
      <w:proofErr w:type="spellEnd"/>
      <w:r w:rsidRPr="00285B85">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C53E5CF" w14:textId="77777777" w:rsidR="00282984" w:rsidRPr="00285B85" w:rsidRDefault="00282984" w:rsidP="00285B85">
      <w:pPr>
        <w:tabs>
          <w:tab w:val="left" w:pos="8647"/>
        </w:tabs>
        <w:spacing w:line="360" w:lineRule="auto"/>
        <w:ind w:right="51"/>
        <w:jc w:val="both"/>
        <w:rPr>
          <w:rFonts w:ascii="Palatino Linotype" w:eastAsiaTheme="minorHAnsi" w:hAnsi="Palatino Linotype" w:cs="Arial"/>
          <w:lang w:val="es-MX" w:eastAsia="en-US"/>
        </w:rPr>
      </w:pPr>
    </w:p>
    <w:p w14:paraId="19A42C70"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 xml:space="preserve">En cuanto al CURP, en virtud de que éste se integra por datos personales que únicamente le conciernen a un particular como son su fecha de nacimiento, su nombre, </w:t>
      </w:r>
      <w:r w:rsidRPr="00285B85">
        <w:rPr>
          <w:rFonts w:ascii="Palatino Linotype" w:eastAsiaTheme="minorHAnsi" w:hAnsi="Palatino Linotype" w:cs="Arial"/>
          <w:lang w:val="es-MX" w:eastAsia="en-US"/>
        </w:rPr>
        <w:lastRenderedPageBreak/>
        <w:t xml:space="preserve">sus apellidos y su lugar de nacimiento; información que permite distinguirlo del resto de los habitantes, se considera que es de carácter confidencial. Argumento que es compartido por el entonces </w:t>
      </w:r>
      <w:r w:rsidRPr="00285B85">
        <w:rPr>
          <w:rFonts w:ascii="Palatino Linotype" w:eastAsiaTheme="minorHAnsi" w:hAnsi="Palatino Linotype" w:cs="Arial"/>
          <w:b/>
          <w:bCs/>
          <w:lang w:val="es-MX" w:eastAsia="en-US"/>
        </w:rPr>
        <w:t xml:space="preserve">Instituto Federal de Acceso a la Información y Protección de Datos (IFAI), conforme al </w:t>
      </w:r>
      <w:r w:rsidRPr="00285B85">
        <w:rPr>
          <w:rFonts w:ascii="Palatino Linotype" w:eastAsiaTheme="minorHAnsi" w:hAnsi="Palatino Linotype" w:cs="Arial"/>
          <w:lang w:val="es-MX" w:eastAsia="en-US"/>
        </w:rPr>
        <w:t xml:space="preserve">criterio número 0003-10, el cual refiere: </w:t>
      </w:r>
    </w:p>
    <w:p w14:paraId="4A49904A"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03314B4A" w14:textId="77777777" w:rsidR="00285B85" w:rsidRPr="00285B85" w:rsidRDefault="00285B85" w:rsidP="00282984">
      <w:pPr>
        <w:tabs>
          <w:tab w:val="left" w:pos="8505"/>
        </w:tabs>
        <w:ind w:left="567" w:right="567"/>
        <w:jc w:val="both"/>
        <w:rPr>
          <w:rFonts w:ascii="Palatino Linotype" w:eastAsiaTheme="minorHAnsi" w:hAnsi="Palatino Linotype" w:cs="Arial"/>
          <w:i/>
          <w:sz w:val="22"/>
          <w:szCs w:val="22"/>
          <w:lang w:val="es-MX" w:eastAsia="en-US"/>
        </w:rPr>
      </w:pPr>
      <w:r w:rsidRPr="00285B8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285B8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85B85">
        <w:rPr>
          <w:rFonts w:ascii="Palatino Linotype" w:eastAsiaTheme="minorHAnsi" w:hAnsi="Palatino Linotype" w:cs="Arial"/>
          <w:b/>
          <w:bCs/>
          <w:i/>
          <w:sz w:val="22"/>
          <w:szCs w:val="22"/>
          <w:lang w:val="es-MX" w:eastAsia="en-US"/>
        </w:rPr>
        <w:t>..</w:t>
      </w:r>
      <w:r w:rsidRPr="00285B85">
        <w:rPr>
          <w:rFonts w:ascii="Palatino Linotype" w:eastAsiaTheme="minorHAnsi" w:hAnsi="Palatino Linotype" w:cs="Arial"/>
          <w:i/>
          <w:sz w:val="22"/>
          <w:szCs w:val="22"/>
          <w:lang w:val="es-MX" w:eastAsia="en-US"/>
        </w:rPr>
        <w:t>.” (Sic)</w:t>
      </w:r>
    </w:p>
    <w:p w14:paraId="152218A6" w14:textId="77777777" w:rsidR="00285B85" w:rsidRPr="00285B85" w:rsidRDefault="00285B85" w:rsidP="00285B85">
      <w:pPr>
        <w:autoSpaceDE w:val="0"/>
        <w:autoSpaceDN w:val="0"/>
        <w:adjustRightInd w:val="0"/>
        <w:spacing w:line="360" w:lineRule="auto"/>
        <w:contextualSpacing/>
        <w:jc w:val="both"/>
        <w:rPr>
          <w:rFonts w:ascii="Palatino Linotype" w:hAnsi="Palatino Linotype" w:cs="Arial"/>
        </w:rPr>
      </w:pPr>
    </w:p>
    <w:p w14:paraId="581845B6" w14:textId="77777777" w:rsidR="00285B85" w:rsidRPr="00285B85" w:rsidRDefault="00285B85" w:rsidP="00285B85">
      <w:pPr>
        <w:autoSpaceDE w:val="0"/>
        <w:autoSpaceDN w:val="0"/>
        <w:adjustRightInd w:val="0"/>
        <w:spacing w:line="360" w:lineRule="auto"/>
        <w:contextualSpacing/>
        <w:jc w:val="both"/>
        <w:rPr>
          <w:rFonts w:ascii="Palatino Linotype" w:hAnsi="Palatino Linotype" w:cs="Arial"/>
        </w:rPr>
      </w:pPr>
      <w:r w:rsidRPr="00285B8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374ACF" w14:textId="77777777" w:rsidR="00285B85" w:rsidRPr="00285B85" w:rsidRDefault="00285B85" w:rsidP="00285B85">
      <w:pPr>
        <w:autoSpaceDE w:val="0"/>
        <w:autoSpaceDN w:val="0"/>
        <w:adjustRightInd w:val="0"/>
        <w:spacing w:line="360" w:lineRule="auto"/>
        <w:contextualSpacing/>
        <w:jc w:val="both"/>
        <w:rPr>
          <w:rFonts w:ascii="Palatino Linotype" w:hAnsi="Palatino Linotype" w:cs="Arial"/>
        </w:rPr>
      </w:pPr>
    </w:p>
    <w:p w14:paraId="023DAC10"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w:t>
      </w:r>
      <w:r w:rsidRPr="00285B85">
        <w:rPr>
          <w:rFonts w:ascii="Palatino Linotype" w:eastAsiaTheme="minorHAnsi" w:hAnsi="Palatino Linotype" w:cs="Arial"/>
          <w:lang w:val="es-MX" w:eastAsia="en-US"/>
        </w:rPr>
        <w:lastRenderedPageBreak/>
        <w:t>de acceso público, de ahí que deben protegerse mediante la versión pública correspondiente.</w:t>
      </w:r>
    </w:p>
    <w:p w14:paraId="12FE9285"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4B47AE57"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7F82F07"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2730D6D8" w14:textId="77777777" w:rsidR="00285B85" w:rsidRPr="00285B85" w:rsidRDefault="00285B85" w:rsidP="00282984">
      <w:pPr>
        <w:tabs>
          <w:tab w:val="left" w:pos="8505"/>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w:t>
      </w:r>
      <w:r w:rsidRPr="00285B85">
        <w:rPr>
          <w:rFonts w:ascii="Palatino Linotype" w:eastAsiaTheme="minorHAnsi" w:hAnsi="Palatino Linotype" w:cs="Arial"/>
          <w:b/>
          <w:bCs/>
          <w:i/>
          <w:sz w:val="22"/>
          <w:szCs w:val="22"/>
          <w:lang w:val="es-MX" w:eastAsia="en-US"/>
        </w:rPr>
        <w:t>Cuarto</w:t>
      </w:r>
      <w:r w:rsidRPr="00285B85">
        <w:rPr>
          <w:rFonts w:ascii="Palatino Linotype" w:eastAsiaTheme="minorHAnsi" w:hAnsi="Palatino Linotype" w:cs="Arial"/>
          <w:bCs/>
          <w:i/>
          <w:sz w:val="22"/>
          <w:szCs w:val="22"/>
          <w:lang w:val="es-MX" w:eastAsia="en-US"/>
        </w:rPr>
        <w:t xml:space="preserve">. </w:t>
      </w:r>
      <w:r w:rsidRPr="00285B85">
        <w:rPr>
          <w:rFonts w:ascii="Palatino Linotype" w:eastAsiaTheme="minorHAnsi" w:hAnsi="Palatino Linotype" w:cs="Arial"/>
          <w:b/>
          <w:bCs/>
          <w:i/>
          <w:sz w:val="22"/>
          <w:szCs w:val="22"/>
          <w:u w:val="single"/>
          <w:lang w:val="es-MX" w:eastAsia="en-US"/>
        </w:rPr>
        <w:t>Para clasificar la información como reservada o confidencial,</w:t>
      </w:r>
      <w:r w:rsidRPr="00285B8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AED1E5"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8B7053A"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w:t>
      </w:r>
    </w:p>
    <w:p w14:paraId="10503D0B"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
          <w:bCs/>
          <w:i/>
          <w:sz w:val="22"/>
          <w:szCs w:val="22"/>
          <w:lang w:val="es-MX" w:eastAsia="en-US"/>
        </w:rPr>
        <w:t>Quinto</w:t>
      </w:r>
      <w:r w:rsidRPr="00285B85">
        <w:rPr>
          <w:rFonts w:ascii="Palatino Linotype" w:eastAsiaTheme="minorHAnsi" w:hAnsi="Palatino Linotype" w:cs="Arial"/>
          <w:bCs/>
          <w:i/>
          <w:sz w:val="22"/>
          <w:szCs w:val="22"/>
          <w:lang w:val="es-MX" w:eastAsia="en-US"/>
        </w:rPr>
        <w:t xml:space="preserve">. </w:t>
      </w:r>
      <w:r w:rsidRPr="00285B8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285B8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285B8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85B8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71428099"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p>
    <w:p w14:paraId="1F4C50DD"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
          <w:bCs/>
          <w:i/>
          <w:sz w:val="22"/>
          <w:szCs w:val="22"/>
          <w:lang w:val="es-MX" w:eastAsia="en-US"/>
        </w:rPr>
        <w:t>Octavo</w:t>
      </w:r>
      <w:r w:rsidRPr="00285B85">
        <w:rPr>
          <w:rFonts w:ascii="Palatino Linotype" w:eastAsiaTheme="minorHAnsi" w:hAnsi="Palatino Linotype" w:cs="Arial"/>
          <w:bCs/>
          <w:i/>
          <w:sz w:val="22"/>
          <w:szCs w:val="22"/>
          <w:lang w:val="es-MX" w:eastAsia="en-US"/>
        </w:rPr>
        <w:t xml:space="preserve">. </w:t>
      </w:r>
      <w:r w:rsidRPr="00285B8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285B8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4DC6FBB0"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5B25AC3"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w:t>
      </w:r>
    </w:p>
    <w:p w14:paraId="0650E427" w14:textId="77777777" w:rsidR="00285B85" w:rsidRPr="00285B85" w:rsidRDefault="00285B85" w:rsidP="00282984">
      <w:pPr>
        <w:tabs>
          <w:tab w:val="left" w:pos="8647"/>
        </w:tabs>
        <w:ind w:left="567" w:right="567"/>
        <w:jc w:val="both"/>
        <w:rPr>
          <w:rFonts w:ascii="Palatino Linotype" w:eastAsiaTheme="minorHAnsi" w:hAnsi="Palatino Linotype" w:cs="Arial"/>
          <w:b/>
          <w:bCs/>
          <w:i/>
          <w:sz w:val="22"/>
          <w:szCs w:val="22"/>
          <w:lang w:val="es-MX" w:eastAsia="en-US"/>
        </w:rPr>
      </w:pPr>
      <w:r w:rsidRPr="00285B85">
        <w:rPr>
          <w:rFonts w:ascii="Palatino Linotype" w:eastAsiaTheme="minorHAnsi" w:hAnsi="Palatino Linotype" w:cs="Arial"/>
          <w:b/>
          <w:bCs/>
          <w:i/>
          <w:sz w:val="22"/>
          <w:szCs w:val="22"/>
          <w:lang w:val="es-MX" w:eastAsia="en-US"/>
        </w:rPr>
        <w:t>DE LA INFORMACIÓN CONFIDENCIAL</w:t>
      </w:r>
    </w:p>
    <w:p w14:paraId="684D6290"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
          <w:bCs/>
          <w:i/>
          <w:sz w:val="22"/>
          <w:szCs w:val="22"/>
          <w:lang w:val="es-MX" w:eastAsia="en-US"/>
        </w:rPr>
        <w:t xml:space="preserve">Trigésimo octavo. </w:t>
      </w:r>
      <w:r w:rsidRPr="00285B85">
        <w:rPr>
          <w:rFonts w:ascii="Palatino Linotype" w:eastAsiaTheme="minorHAnsi" w:hAnsi="Palatino Linotype" w:cs="Arial"/>
          <w:bCs/>
          <w:i/>
          <w:sz w:val="22"/>
          <w:szCs w:val="22"/>
          <w:lang w:val="es-MX" w:eastAsia="en-US"/>
        </w:rPr>
        <w:t>Se considera información confidencial:</w:t>
      </w:r>
    </w:p>
    <w:p w14:paraId="7BCB2991" w14:textId="77777777" w:rsidR="00285B85" w:rsidRPr="00285B85" w:rsidRDefault="00285B85" w:rsidP="00282984">
      <w:pPr>
        <w:tabs>
          <w:tab w:val="left" w:pos="8647"/>
        </w:tabs>
        <w:ind w:left="567" w:right="567"/>
        <w:jc w:val="both"/>
        <w:rPr>
          <w:rFonts w:ascii="Palatino Linotype" w:eastAsiaTheme="minorHAnsi" w:hAnsi="Palatino Linotype" w:cs="Arial"/>
          <w:b/>
          <w:bCs/>
          <w:i/>
          <w:sz w:val="22"/>
          <w:szCs w:val="22"/>
          <w:lang w:val="es-MX" w:eastAsia="en-US"/>
        </w:rPr>
      </w:pPr>
      <w:r w:rsidRPr="00285B85">
        <w:rPr>
          <w:rFonts w:ascii="Palatino Linotype" w:eastAsiaTheme="minorHAnsi" w:hAnsi="Palatino Linotype" w:cs="Arial"/>
          <w:bCs/>
          <w:i/>
          <w:sz w:val="22"/>
          <w:szCs w:val="22"/>
          <w:lang w:val="es-MX" w:eastAsia="en-US"/>
        </w:rPr>
        <w:t xml:space="preserve">I. </w:t>
      </w:r>
      <w:r w:rsidRPr="00285B85">
        <w:rPr>
          <w:rFonts w:ascii="Palatino Linotype" w:eastAsiaTheme="minorHAnsi" w:hAnsi="Palatino Linotype" w:cs="Arial"/>
          <w:b/>
          <w:bCs/>
          <w:i/>
          <w:sz w:val="22"/>
          <w:szCs w:val="22"/>
          <w:u w:val="single"/>
          <w:lang w:val="es-MX" w:eastAsia="en-US"/>
        </w:rPr>
        <w:t>Los datos personales en los términos de la norma aplicable</w:t>
      </w:r>
      <w:r w:rsidRPr="00285B85">
        <w:rPr>
          <w:rFonts w:ascii="Palatino Linotype" w:eastAsiaTheme="minorHAnsi" w:hAnsi="Palatino Linotype" w:cs="Arial"/>
          <w:b/>
          <w:bCs/>
          <w:i/>
          <w:sz w:val="22"/>
          <w:szCs w:val="22"/>
          <w:lang w:val="es-MX" w:eastAsia="en-US"/>
        </w:rPr>
        <w:t>;</w:t>
      </w:r>
    </w:p>
    <w:p w14:paraId="3C069829"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40839BB"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285B85">
        <w:rPr>
          <w:rFonts w:ascii="Palatino Linotype" w:eastAsiaTheme="minorHAnsi" w:hAnsi="Palatino Linotype" w:cs="Arial"/>
          <w:bCs/>
          <w:i/>
          <w:sz w:val="22"/>
          <w:szCs w:val="22"/>
          <w:lang w:val="es-MX" w:eastAsia="en-US"/>
        </w:rPr>
        <w:t>III …</w:t>
      </w:r>
      <w:proofErr w:type="gramEnd"/>
    </w:p>
    <w:p w14:paraId="2A9B96CC" w14:textId="77777777" w:rsidR="00285B85" w:rsidRPr="00285B85" w:rsidRDefault="00285B85" w:rsidP="00282984">
      <w:pPr>
        <w:tabs>
          <w:tab w:val="left" w:pos="8647"/>
        </w:tabs>
        <w:ind w:left="567" w:right="567"/>
        <w:jc w:val="both"/>
        <w:rPr>
          <w:rFonts w:ascii="Palatino Linotype" w:eastAsiaTheme="minorHAnsi" w:hAnsi="Palatino Linotype" w:cs="Arial"/>
          <w:bCs/>
          <w:i/>
          <w:sz w:val="22"/>
          <w:szCs w:val="22"/>
          <w:lang w:val="es-MX" w:eastAsia="en-US"/>
        </w:rPr>
      </w:pPr>
      <w:r w:rsidRPr="00285B8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2DF4DE1C" w14:textId="77777777" w:rsidR="00285B85" w:rsidRPr="00285B85" w:rsidRDefault="00285B85" w:rsidP="00282984">
      <w:pPr>
        <w:tabs>
          <w:tab w:val="left" w:pos="8647"/>
        </w:tabs>
        <w:ind w:left="567" w:right="567"/>
        <w:jc w:val="right"/>
        <w:rPr>
          <w:rFonts w:ascii="Palatino Linotype" w:eastAsiaTheme="minorHAnsi" w:hAnsi="Palatino Linotype" w:cs="Arial"/>
          <w:bCs/>
          <w:sz w:val="22"/>
          <w:szCs w:val="22"/>
          <w:lang w:val="es-MX" w:eastAsia="en-US"/>
        </w:rPr>
      </w:pPr>
      <w:r w:rsidRPr="00285B85">
        <w:rPr>
          <w:rFonts w:ascii="Palatino Linotype" w:eastAsiaTheme="minorHAnsi" w:hAnsi="Palatino Linotype" w:cs="Arial"/>
          <w:bCs/>
          <w:sz w:val="22"/>
          <w:szCs w:val="22"/>
          <w:lang w:val="es-MX" w:eastAsia="en-US"/>
        </w:rPr>
        <w:t>(Énfasis añadido)</w:t>
      </w:r>
    </w:p>
    <w:p w14:paraId="25F9B562"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77B048F0"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r w:rsidRPr="00285B8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EB254F" w14:textId="77777777" w:rsidR="00285B85" w:rsidRPr="00285B85" w:rsidRDefault="00285B85" w:rsidP="00285B85">
      <w:pPr>
        <w:tabs>
          <w:tab w:val="left" w:pos="8647"/>
        </w:tabs>
        <w:spacing w:line="360" w:lineRule="auto"/>
        <w:ind w:right="51"/>
        <w:jc w:val="both"/>
        <w:rPr>
          <w:rFonts w:ascii="Palatino Linotype" w:eastAsiaTheme="minorHAnsi" w:hAnsi="Palatino Linotype" w:cs="Arial"/>
          <w:lang w:val="es-MX" w:eastAsia="en-US"/>
        </w:rPr>
      </w:pPr>
    </w:p>
    <w:p w14:paraId="180326F0" w14:textId="77777777" w:rsidR="00285B85" w:rsidRPr="00285B85" w:rsidRDefault="00285B85" w:rsidP="00285B8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285B85">
        <w:rPr>
          <w:rFonts w:ascii="Palatino Linotype" w:hAnsi="Palatino Linotype" w:cs="Arial"/>
        </w:rPr>
        <w:t xml:space="preserve">Entonces, el </w:t>
      </w:r>
      <w:r w:rsidRPr="00285B85">
        <w:rPr>
          <w:rFonts w:ascii="Palatino Linotype" w:hAnsi="Palatino Linotype" w:cs="Arial"/>
          <w:b/>
        </w:rPr>
        <w:t>Sujeto Obligado</w:t>
      </w:r>
      <w:r w:rsidRPr="00285B8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w:t>
      </w:r>
      <w:r w:rsidRPr="00285B85">
        <w:rPr>
          <w:rFonts w:ascii="Palatino Linotype" w:hAnsi="Palatino Linotype" w:cs="Arial"/>
        </w:rPr>
        <w:lastRenderedPageBreak/>
        <w:t>149 de la Ley de Transparencia y Acceso a la Información Pública del Estado de México y Municipios</w:t>
      </w:r>
      <w:r w:rsidRPr="00285B85">
        <w:rPr>
          <w:rFonts w:ascii="Palatino Linotype" w:hAnsi="Palatino Linotype" w:cs="Arial"/>
          <w:i/>
          <w:iCs/>
        </w:rPr>
        <w:t>.</w:t>
      </w:r>
    </w:p>
    <w:p w14:paraId="4BF9737E" w14:textId="77777777" w:rsidR="0011069C" w:rsidRPr="009A71E1" w:rsidRDefault="0011069C" w:rsidP="0011069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3BD08C5B" w14:textId="77777777" w:rsidR="0011069C" w:rsidRPr="009A71E1" w:rsidRDefault="0011069C" w:rsidP="0011069C">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la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1C2243" w:rsidRPr="001C2243">
        <w:rPr>
          <w:rFonts w:ascii="Palatino Linotype" w:hAnsi="Palatino Linotype"/>
          <w:b/>
          <w:bCs/>
        </w:rPr>
        <w:t>00003/DIFNICOROM/IP/2022</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4AA541E5" w14:textId="77777777" w:rsidR="0011069C" w:rsidRPr="009A71E1" w:rsidRDefault="0011069C" w:rsidP="0011069C">
      <w:pPr>
        <w:spacing w:line="360" w:lineRule="auto"/>
        <w:jc w:val="both"/>
        <w:rPr>
          <w:rFonts w:ascii="Palatino Linotype" w:eastAsiaTheme="minorHAnsi" w:hAnsi="Palatino Linotype" w:cstheme="minorBidi"/>
          <w:lang w:val="es-MX" w:eastAsia="en-US"/>
        </w:rPr>
      </w:pPr>
    </w:p>
    <w:p w14:paraId="40DDC8EE" w14:textId="77777777" w:rsidR="0011069C" w:rsidRDefault="0011069C" w:rsidP="0011069C">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17722B07" w14:textId="77777777" w:rsidR="0011069C" w:rsidRPr="009A71E1" w:rsidRDefault="0011069C" w:rsidP="0011069C">
      <w:pPr>
        <w:spacing w:line="360" w:lineRule="auto"/>
        <w:jc w:val="both"/>
        <w:rPr>
          <w:rFonts w:ascii="Palatino Linotype" w:hAnsi="Palatino Linotype"/>
          <w:lang w:val="es-MX"/>
        </w:rPr>
      </w:pPr>
    </w:p>
    <w:p w14:paraId="11E979D9" w14:textId="77777777" w:rsidR="0011069C" w:rsidRDefault="0011069C" w:rsidP="0011069C">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4F42631" w14:textId="77777777" w:rsidR="00282984" w:rsidRPr="00282984" w:rsidRDefault="00282984" w:rsidP="0011069C">
      <w:pPr>
        <w:spacing w:line="360" w:lineRule="auto"/>
        <w:jc w:val="center"/>
        <w:rPr>
          <w:rFonts w:ascii="Palatino Linotype" w:hAnsi="Palatino Linotype"/>
          <w:bCs/>
          <w:spacing w:val="60"/>
          <w:lang w:val="es-ES_tradnl"/>
        </w:rPr>
      </w:pPr>
    </w:p>
    <w:p w14:paraId="6569EDA8" w14:textId="77777777" w:rsidR="0011069C" w:rsidRDefault="0011069C" w:rsidP="0011069C">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001C2243" w:rsidRPr="001C2243">
        <w:rPr>
          <w:rFonts w:ascii="Palatino Linotype" w:hAnsi="Palatino Linotype"/>
          <w:b/>
          <w:bCs/>
        </w:rPr>
        <w:t>00003/DIFNICOROM/IP/2022</w:t>
      </w:r>
      <w:r w:rsidRPr="009A71E1">
        <w:rPr>
          <w:rFonts w:ascii="Palatino Linotype" w:eastAsiaTheme="minorHAnsi" w:hAnsi="Palatino Linotype" w:cs="Arial"/>
          <w:lang w:val="es-MX" w:eastAsia="en-US"/>
        </w:rPr>
        <w:t xml:space="preserve">, por resultar fundados los motivos de inconformidad vertidos por </w:t>
      </w:r>
      <w:r>
        <w:rPr>
          <w:rFonts w:ascii="Palatino Linotype" w:eastAsiaTheme="minorHAnsi" w:hAnsi="Palatino Linotype" w:cs="Arial"/>
          <w:b/>
          <w:lang w:val="es-MX" w:eastAsia="en-US"/>
        </w:rPr>
        <w:t>la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ésta resolución.</w:t>
      </w:r>
    </w:p>
    <w:p w14:paraId="2BCF274A" w14:textId="77777777" w:rsidR="0011069C" w:rsidRDefault="0011069C" w:rsidP="0011069C">
      <w:pPr>
        <w:autoSpaceDE w:val="0"/>
        <w:autoSpaceDN w:val="0"/>
        <w:adjustRightInd w:val="0"/>
        <w:spacing w:line="360" w:lineRule="auto"/>
        <w:ind w:right="49"/>
        <w:jc w:val="both"/>
        <w:rPr>
          <w:rFonts w:ascii="Palatino Linotype" w:eastAsiaTheme="minorHAnsi" w:hAnsi="Palatino Linotype" w:cs="Arial"/>
          <w:lang w:val="es-MX" w:eastAsia="en-US"/>
        </w:rPr>
      </w:pPr>
    </w:p>
    <w:p w14:paraId="452312E1" w14:textId="77777777" w:rsidR="0011069C" w:rsidRPr="009A71E1" w:rsidRDefault="0011069C" w:rsidP="0011069C">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Pr="00583901">
        <w:rPr>
          <w:rFonts w:ascii="Palatino Linotype" w:eastAsiaTheme="minorHAnsi" w:hAnsi="Palatino Linotype" w:cs="Arial"/>
          <w:lang w:val="es-MX" w:eastAsia="en-US"/>
        </w:rPr>
        <w:t xml:space="preserve">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de esta resolución, haga entrega</w:t>
      </w:r>
      <w:r>
        <w:rPr>
          <w:rFonts w:ascii="Palatino Linotype" w:eastAsiaTheme="minorHAnsi" w:hAnsi="Palatino Linotype" w:cs="Arial"/>
          <w:lang w:val="es-MX" w:eastAsia="en-US"/>
        </w:rPr>
        <w:t xml:space="preserve"> en versión pública del soporte documental</w:t>
      </w:r>
      <w:r w:rsidRPr="00BC480B">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en que obre lo siguiente</w:t>
      </w:r>
      <w:r w:rsidRPr="009A71E1">
        <w:rPr>
          <w:rFonts w:ascii="Palatino Linotype" w:hAnsi="Palatino Linotype"/>
          <w:bCs/>
        </w:rPr>
        <w:t>:</w:t>
      </w:r>
    </w:p>
    <w:p w14:paraId="6D982923" w14:textId="77777777" w:rsidR="0011069C" w:rsidRPr="009A71E1" w:rsidRDefault="0011069C" w:rsidP="0011069C">
      <w:pPr>
        <w:spacing w:line="360" w:lineRule="auto"/>
        <w:ind w:right="49"/>
        <w:jc w:val="both"/>
        <w:rPr>
          <w:rFonts w:ascii="Palatino Linotype" w:hAnsi="Palatino Linotype" w:cs="Arial"/>
          <w:color w:val="000000" w:themeColor="text1"/>
        </w:rPr>
      </w:pPr>
    </w:p>
    <w:p w14:paraId="016F1709" w14:textId="77777777" w:rsidR="0011069C" w:rsidRPr="00BC480B" w:rsidRDefault="00282984" w:rsidP="0011069C">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Anexos del Acta entrega recepción, proporcionada tanto en respuesta como informe justificado.</w:t>
      </w:r>
    </w:p>
    <w:p w14:paraId="1DD3565D" w14:textId="77777777" w:rsidR="0011069C" w:rsidRDefault="0011069C" w:rsidP="0011069C">
      <w:pPr>
        <w:spacing w:line="360" w:lineRule="auto"/>
        <w:jc w:val="both"/>
        <w:rPr>
          <w:rFonts w:ascii="Palatino Linotype" w:eastAsiaTheme="minorHAnsi" w:hAnsi="Palatino Linotype" w:cs="Arial"/>
          <w:lang w:val="es-MX" w:eastAsia="en-US"/>
        </w:rPr>
      </w:pPr>
    </w:p>
    <w:p w14:paraId="4FA4FA10" w14:textId="77777777" w:rsidR="0011069C" w:rsidRDefault="0011069C" w:rsidP="0011069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Debiendo </w:t>
      </w:r>
      <w:r w:rsidRPr="009A71E1">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Pr="009A71E1">
        <w:rPr>
          <w:rFonts w:ascii="Palatino Linotype" w:eastAsiaTheme="minorHAnsi" w:hAnsi="Palatino Linotype" w:cs="Arial"/>
          <w:lang w:val="es-MX" w:eastAsia="en-US"/>
        </w:rPr>
        <w:t>fracción</w:t>
      </w:r>
      <w:proofErr w:type="gramEnd"/>
      <w:r w:rsidRPr="009A71E1">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14:paraId="071A19B6" w14:textId="77777777" w:rsidR="0011069C" w:rsidRDefault="0011069C" w:rsidP="0011069C">
      <w:pPr>
        <w:spacing w:line="360" w:lineRule="auto"/>
        <w:jc w:val="both"/>
        <w:rPr>
          <w:rFonts w:ascii="Palatino Linotype" w:eastAsiaTheme="minorHAnsi" w:hAnsi="Palatino Linotype" w:cs="Arial"/>
          <w:lang w:val="es-MX" w:eastAsia="en-US"/>
        </w:rPr>
      </w:pPr>
    </w:p>
    <w:p w14:paraId="0F59077A" w14:textId="77777777" w:rsidR="0011069C" w:rsidRDefault="0011069C" w:rsidP="0011069C">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65809B2D" w14:textId="77777777" w:rsidR="001C2243" w:rsidRPr="009A71E1" w:rsidRDefault="001C2243" w:rsidP="0011069C">
      <w:pPr>
        <w:autoSpaceDE w:val="0"/>
        <w:autoSpaceDN w:val="0"/>
        <w:adjustRightInd w:val="0"/>
        <w:spacing w:line="360" w:lineRule="auto"/>
        <w:ind w:right="49"/>
        <w:jc w:val="both"/>
        <w:rPr>
          <w:rFonts w:ascii="Palatino Linotype" w:eastAsiaTheme="minorHAnsi" w:hAnsi="Palatino Linotype" w:cs="Arial"/>
          <w:lang w:val="es-MX" w:eastAsia="en-US"/>
        </w:rPr>
      </w:pPr>
    </w:p>
    <w:p w14:paraId="11CDEE9C" w14:textId="77777777" w:rsidR="0011069C" w:rsidRPr="009A71E1" w:rsidRDefault="0011069C" w:rsidP="0011069C">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14:paraId="2447814F" w14:textId="77777777" w:rsidR="0011069C" w:rsidRPr="009A71E1" w:rsidRDefault="0011069C" w:rsidP="0011069C">
      <w:pPr>
        <w:autoSpaceDE w:val="0"/>
        <w:autoSpaceDN w:val="0"/>
        <w:adjustRightInd w:val="0"/>
        <w:spacing w:line="360" w:lineRule="auto"/>
        <w:jc w:val="both"/>
        <w:rPr>
          <w:rFonts w:ascii="Palatino Linotype" w:hAnsi="Palatino Linotype" w:cs="Arial"/>
          <w:lang w:val="es-MX"/>
        </w:rPr>
      </w:pPr>
    </w:p>
    <w:p w14:paraId="663874BC" w14:textId="77777777" w:rsidR="0011069C" w:rsidRDefault="0011069C" w:rsidP="0011069C">
      <w:pPr>
        <w:autoSpaceDE w:val="0"/>
        <w:autoSpaceDN w:val="0"/>
        <w:adjustRightInd w:val="0"/>
        <w:spacing w:line="360" w:lineRule="auto"/>
        <w:jc w:val="both"/>
        <w:rPr>
          <w:rFonts w:ascii="Palatino Linotype" w:eastAsiaTheme="minorHAnsi" w:hAnsi="Palatino Linotype" w:cs="Arial"/>
          <w:lang w:val="es-MX" w:eastAsia="en-US"/>
        </w:rPr>
      </w:pPr>
      <w:r w:rsidRPr="000A63DA">
        <w:rPr>
          <w:rFonts w:ascii="Palatino Linotype" w:eastAsiaTheme="minorHAnsi" w:hAnsi="Palatino Linotype" w:cstheme="minorBidi"/>
          <w:b/>
          <w:sz w:val="28"/>
          <w:szCs w:val="28"/>
          <w:lang w:val="es-MX" w:eastAsia="en-US"/>
        </w:rPr>
        <w:t>QUINTO</w:t>
      </w:r>
      <w:r w:rsidRPr="000A63DA">
        <w:rPr>
          <w:rFonts w:ascii="Palatino Linotype" w:eastAsiaTheme="minorHAnsi" w:hAnsi="Palatino Linotype" w:cstheme="minorBidi"/>
          <w:b/>
          <w:lang w:val="es-MX" w:eastAsia="en-US"/>
        </w:rPr>
        <w:t xml:space="preserve">. </w:t>
      </w:r>
      <w:r w:rsidRPr="000A63DA">
        <w:rPr>
          <w:rFonts w:ascii="Palatino Linotype" w:eastAsiaTheme="minorHAnsi" w:hAnsi="Palatino Linotype" w:cs="Arial"/>
          <w:b/>
          <w:lang w:val="es-MX" w:eastAsia="en-US"/>
        </w:rPr>
        <w:t>Notifíquese</w:t>
      </w:r>
      <w:r w:rsidRPr="000A63DA">
        <w:rPr>
          <w:rFonts w:ascii="Palatino Linotype" w:eastAsiaTheme="minorHAnsi" w:hAnsi="Palatino Linotype" w:cs="Arial"/>
          <w:lang w:val="es-MX" w:eastAsia="en-US"/>
        </w:rPr>
        <w:t xml:space="preserve"> a través del Sistema de Acceso a la Información Mexiquense (SAIMEX), al </w:t>
      </w:r>
      <w:r w:rsidRPr="000A63DA">
        <w:rPr>
          <w:rFonts w:ascii="Palatino Linotype" w:eastAsiaTheme="minorHAnsi" w:hAnsi="Palatino Linotype" w:cs="Arial"/>
          <w:b/>
          <w:lang w:val="es-MX" w:eastAsia="en-US"/>
        </w:rPr>
        <w:t>Recurrente</w:t>
      </w:r>
      <w:r w:rsidRPr="000A63DA">
        <w:rPr>
          <w:rFonts w:ascii="Palatino Linotype" w:eastAsiaTheme="minorHAnsi" w:hAnsi="Palatino Linotype" w:cs="Arial"/>
          <w:lang w:val="es-MX" w:eastAsia="en-US"/>
        </w:rPr>
        <w:t xml:space="preserve"> la presente resolución, así como, que de conformidad con lo establecido en el artículo 196 de la Ley de Transparencia y Acceso a la Información </w:t>
      </w:r>
      <w:r w:rsidRPr="000A63DA">
        <w:rPr>
          <w:rFonts w:ascii="Palatino Linotype" w:eastAsiaTheme="minorHAnsi" w:hAnsi="Palatino Linotype" w:cs="Arial"/>
          <w:lang w:val="es-MX" w:eastAsia="en-US"/>
        </w:rPr>
        <w:lastRenderedPageBreak/>
        <w:t>Pública del Estado de México y Municipios,</w:t>
      </w:r>
      <w:r w:rsidR="000D6801">
        <w:rPr>
          <w:rFonts w:ascii="Palatino Linotype" w:eastAsiaTheme="minorHAnsi" w:hAnsi="Palatino Linotype" w:cs="Arial"/>
          <w:lang w:val="es-MX" w:eastAsia="en-US"/>
        </w:rPr>
        <w:t xml:space="preserve"> podrá impugnarla</w:t>
      </w:r>
      <w:r w:rsidRPr="000A63DA">
        <w:rPr>
          <w:rFonts w:ascii="Palatino Linotype" w:eastAsiaTheme="minorHAnsi" w:hAnsi="Palatino Linotype" w:cs="Arial"/>
          <w:lang w:val="es-MX" w:eastAsia="en-US"/>
        </w:rPr>
        <w:t xml:space="preserve"> vía Juicio de Amparo en los términos de las leyes aplicables.</w:t>
      </w:r>
    </w:p>
    <w:p w14:paraId="1EE3439D" w14:textId="77777777" w:rsidR="00282984" w:rsidRDefault="00282984" w:rsidP="0011069C">
      <w:pPr>
        <w:autoSpaceDE w:val="0"/>
        <w:autoSpaceDN w:val="0"/>
        <w:adjustRightInd w:val="0"/>
        <w:spacing w:line="360" w:lineRule="auto"/>
        <w:jc w:val="both"/>
        <w:rPr>
          <w:rFonts w:ascii="Palatino Linotype" w:eastAsiaTheme="minorHAnsi" w:hAnsi="Palatino Linotype" w:cs="Arial"/>
          <w:lang w:val="es-MX" w:eastAsia="en-US"/>
        </w:rPr>
      </w:pPr>
    </w:p>
    <w:p w14:paraId="0FA5A66B" w14:textId="77777777" w:rsidR="00282984" w:rsidRPr="000A63DA" w:rsidRDefault="00282984" w:rsidP="0011069C">
      <w:pPr>
        <w:autoSpaceDE w:val="0"/>
        <w:autoSpaceDN w:val="0"/>
        <w:adjustRightInd w:val="0"/>
        <w:spacing w:line="360" w:lineRule="auto"/>
        <w:jc w:val="both"/>
        <w:rPr>
          <w:rFonts w:ascii="Palatino Linotype" w:eastAsiaTheme="minorHAnsi" w:hAnsi="Palatino Linotype" w:cstheme="minorBidi"/>
          <w:lang w:val="es-MX" w:eastAsia="es-ES_tradnl"/>
        </w:rPr>
      </w:pPr>
      <w:r w:rsidRPr="00282984">
        <w:rPr>
          <w:rFonts w:ascii="Palatino Linotype" w:eastAsiaTheme="minorHAnsi" w:hAnsi="Palatino Linotype" w:cstheme="minorBidi"/>
          <w:b/>
          <w:sz w:val="28"/>
          <w:lang w:val="es-MX" w:eastAsia="es-ES_tradnl"/>
        </w:rPr>
        <w:t>SEXTO</w:t>
      </w:r>
      <w:r w:rsidRPr="00282984">
        <w:rPr>
          <w:rFonts w:ascii="Palatino Linotype" w:eastAsiaTheme="minorHAnsi" w:hAnsi="Palatino Linotype" w:cstheme="minorBidi"/>
          <w:lang w:val="es-MX" w:eastAsia="es-ES_tradnl"/>
        </w:rPr>
        <w:t xml:space="preserve">. </w:t>
      </w:r>
      <w:r w:rsidRPr="00282984">
        <w:rPr>
          <w:rFonts w:ascii="Palatino Linotype" w:eastAsiaTheme="minorHAnsi" w:hAnsi="Palatino Linotype" w:cstheme="minorBidi"/>
          <w:b/>
          <w:lang w:val="es-MX" w:eastAsia="es-ES_tradnl"/>
        </w:rPr>
        <w:t>GÍRESE</w:t>
      </w:r>
      <w:r w:rsidRPr="00282984">
        <w:rPr>
          <w:rFonts w:ascii="Palatino Linotype" w:eastAsiaTheme="minorHAnsi" w:hAnsi="Palatino Linotype" w:cstheme="minorBidi"/>
          <w:lang w:val="es-MX" w:eastAsia="es-ES_tradnl"/>
        </w:rPr>
        <w:t xml:space="preserve"> oficio al Titular de la Dirección de Protección de Datos Personales, en atención al artículo 82, fracción XXVII de la Ley de Protección de Datos Personales del Estado de México y Municipios, a fin de que determinen lo conducente en términos del Considerando CUARTO de la presente resolución.</w:t>
      </w:r>
    </w:p>
    <w:p w14:paraId="60EE1C2E" w14:textId="77777777" w:rsidR="0011069C" w:rsidRDefault="0011069C" w:rsidP="0011069C">
      <w:pPr>
        <w:spacing w:line="360" w:lineRule="auto"/>
        <w:jc w:val="both"/>
        <w:rPr>
          <w:rFonts w:ascii="Palatino Linotype" w:hAnsi="Palatino Linotype" w:cs="Arial"/>
        </w:rPr>
      </w:pPr>
    </w:p>
    <w:p w14:paraId="29BBEB3A" w14:textId="77777777" w:rsidR="002A5FF9" w:rsidRDefault="0011069C" w:rsidP="0011069C">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002A5FF9">
        <w:rPr>
          <w:rFonts w:ascii="Palatino Linotype" w:eastAsiaTheme="minorHAnsi" w:hAnsi="Palatino Linotype" w:cs="Arial"/>
          <w:lang w:val="es-MX" w:eastAsia="en-US"/>
        </w:rPr>
        <w:t>VIGÉSIMA</w:t>
      </w:r>
      <w:r>
        <w:rPr>
          <w:rFonts w:ascii="Palatino Linotype" w:eastAsiaTheme="minorHAnsi" w:hAnsi="Palatino Linotype" w:cs="Arial"/>
          <w:lang w:val="es-MX" w:eastAsia="en-US"/>
        </w:rPr>
        <w:t xml:space="preserve"> </w:t>
      </w:r>
      <w:r w:rsidRPr="00070700">
        <w:rPr>
          <w:rFonts w:ascii="Palatino Linotype" w:eastAsiaTheme="minorHAnsi" w:hAnsi="Palatino Linotype" w:cs="Arial"/>
          <w:lang w:val="es-MX" w:eastAsia="en-US"/>
        </w:rPr>
        <w:t xml:space="preserve">SESIÓN ORDINARIA CELEBRADA EL </w:t>
      </w:r>
      <w:r w:rsidR="002A5FF9">
        <w:rPr>
          <w:rFonts w:ascii="Palatino Linotype" w:eastAsiaTheme="minorHAnsi" w:hAnsi="Palatino Linotype" w:cs="Arial"/>
          <w:lang w:val="es-MX" w:eastAsia="en-US"/>
        </w:rPr>
        <w:t>UNO DE JUNIO DE DOS MIL VEINTIDÓS</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2A5FF9">
        <w:rPr>
          <w:rFonts w:ascii="Palatino Linotype" w:hAnsi="Palatino Linotype" w:cs="Arial"/>
        </w:rPr>
        <w:t>----------------------------------------</w:t>
      </w:r>
    </w:p>
    <w:p w14:paraId="293BD3BB" w14:textId="77777777" w:rsidR="0011069C" w:rsidRDefault="002A5FF9" w:rsidP="0011069C">
      <w:pPr>
        <w:spacing w:line="360" w:lineRule="auto"/>
        <w:jc w:val="both"/>
        <w:rPr>
          <w:rFonts w:ascii="Palatino Linotype" w:hAnsi="Palatino Linotype" w:cs="Arial"/>
        </w:rPr>
      </w:pPr>
      <w:r>
        <w:rPr>
          <w:rFonts w:ascii="Palatino Linotype" w:hAnsi="Palatino Linotype" w:cs="Arial"/>
        </w:rPr>
        <w:t>-</w:t>
      </w:r>
      <w:r w:rsidR="0011069C">
        <w:rPr>
          <w:rFonts w:ascii="Palatino Linotype" w:hAnsi="Palatino Linotype" w:cs="Arial"/>
        </w:rPr>
        <w:t>-----------------------------------------------------------------------------------------------------------------</w:t>
      </w:r>
    </w:p>
    <w:p w14:paraId="77368798" w14:textId="77777777" w:rsidR="002A5FF9" w:rsidRDefault="002A5FF9" w:rsidP="002A5FF9">
      <w:pPr>
        <w:spacing w:line="360" w:lineRule="auto"/>
        <w:jc w:val="both"/>
        <w:rPr>
          <w:rFonts w:ascii="Palatino Linotype" w:hAnsi="Palatino Linotype" w:cs="Arial"/>
        </w:rPr>
      </w:pPr>
      <w:r>
        <w:rPr>
          <w:rFonts w:ascii="Palatino Linotype" w:hAnsi="Palatino Linotype" w:cs="Arial"/>
        </w:rPr>
        <w:t>------------------------------------------------------------------------------------------------------------------</w:t>
      </w:r>
    </w:p>
    <w:p w14:paraId="01FCCA2F" w14:textId="77777777" w:rsidR="002A5FF9" w:rsidRDefault="002A5FF9" w:rsidP="002A5FF9">
      <w:pPr>
        <w:spacing w:line="360" w:lineRule="auto"/>
        <w:jc w:val="both"/>
        <w:rPr>
          <w:rFonts w:ascii="Palatino Linotype" w:hAnsi="Palatino Linotype" w:cs="Arial"/>
        </w:rPr>
      </w:pPr>
      <w:r>
        <w:rPr>
          <w:rFonts w:ascii="Palatino Linotype" w:hAnsi="Palatino Linotype" w:cs="Arial"/>
        </w:rPr>
        <w:t>------------------------------------------------------------------------------------------------------------------</w:t>
      </w:r>
    </w:p>
    <w:p w14:paraId="59E51935" w14:textId="77777777" w:rsidR="002A5FF9" w:rsidRDefault="002A5FF9" w:rsidP="002A5FF9">
      <w:pPr>
        <w:spacing w:line="360" w:lineRule="auto"/>
        <w:jc w:val="both"/>
        <w:rPr>
          <w:rFonts w:ascii="Palatino Linotype" w:hAnsi="Palatino Linotype" w:cs="Arial"/>
        </w:rPr>
      </w:pPr>
      <w:r>
        <w:rPr>
          <w:rFonts w:ascii="Palatino Linotype" w:hAnsi="Palatino Linotype" w:cs="Arial"/>
        </w:rPr>
        <w:t>------------------------------------------------------------------------------------------------------------------</w:t>
      </w:r>
    </w:p>
    <w:p w14:paraId="4504DF92" w14:textId="77777777" w:rsidR="002A5FF9" w:rsidRDefault="002A5FF9" w:rsidP="002A5FF9">
      <w:pPr>
        <w:spacing w:line="360" w:lineRule="auto"/>
        <w:jc w:val="both"/>
        <w:rPr>
          <w:rFonts w:ascii="Palatino Linotype" w:hAnsi="Palatino Linotype" w:cs="Arial"/>
        </w:rPr>
      </w:pPr>
      <w:r>
        <w:rPr>
          <w:rFonts w:ascii="Palatino Linotype" w:hAnsi="Palatino Linotype" w:cs="Arial"/>
        </w:rPr>
        <w:t>------------------------------------------------------------------------------------------------------------------</w:t>
      </w:r>
    </w:p>
    <w:p w14:paraId="6701C24C" w14:textId="77777777" w:rsidR="0011069C" w:rsidRPr="00DE4568" w:rsidRDefault="0011069C" w:rsidP="0011069C">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4987CAC8" w14:textId="77777777" w:rsidR="0011069C" w:rsidRDefault="0011069C" w:rsidP="0011069C">
      <w:pPr>
        <w:spacing w:line="360" w:lineRule="auto"/>
        <w:jc w:val="both"/>
        <w:rPr>
          <w:rFonts w:ascii="Palatino Linotype" w:hAnsi="Palatino Linotype" w:cs="Arial"/>
        </w:rPr>
      </w:pPr>
    </w:p>
    <w:p w14:paraId="797B2714" w14:textId="77777777" w:rsidR="0011069C" w:rsidRDefault="0011069C" w:rsidP="0011069C">
      <w:pPr>
        <w:spacing w:line="360" w:lineRule="auto"/>
        <w:jc w:val="both"/>
        <w:rPr>
          <w:rFonts w:ascii="Palatino Linotype" w:hAnsi="Palatino Linotype" w:cs="Arial"/>
        </w:rPr>
      </w:pPr>
    </w:p>
    <w:p w14:paraId="049734F6" w14:textId="77777777" w:rsidR="0011069C" w:rsidRDefault="0011069C" w:rsidP="0011069C">
      <w:pPr>
        <w:spacing w:line="360" w:lineRule="auto"/>
        <w:jc w:val="both"/>
        <w:rPr>
          <w:rFonts w:ascii="Palatino Linotype" w:hAnsi="Palatino Linotype" w:cs="Arial"/>
        </w:rPr>
      </w:pPr>
    </w:p>
    <w:p w14:paraId="37D77D3C" w14:textId="77777777" w:rsidR="0011069C" w:rsidRDefault="0011069C" w:rsidP="0011069C"/>
    <w:p w14:paraId="60EC45A8" w14:textId="77777777" w:rsidR="0011069C" w:rsidRDefault="0011069C" w:rsidP="0011069C"/>
    <w:p w14:paraId="63391638" w14:textId="77777777" w:rsidR="0011069C" w:rsidRDefault="0011069C" w:rsidP="0011069C"/>
    <w:p w14:paraId="20165A88" w14:textId="77777777" w:rsidR="0011069C" w:rsidRDefault="0011069C" w:rsidP="0011069C"/>
    <w:p w14:paraId="149BD45F" w14:textId="77777777" w:rsidR="0011069C" w:rsidRDefault="0011069C" w:rsidP="0011069C"/>
    <w:p w14:paraId="392F067F" w14:textId="77777777" w:rsidR="0011069C" w:rsidRDefault="0011069C" w:rsidP="0011069C"/>
    <w:p w14:paraId="5C1902A3" w14:textId="77777777" w:rsidR="0011069C" w:rsidRDefault="0011069C" w:rsidP="0011069C"/>
    <w:p w14:paraId="46871283" w14:textId="77777777" w:rsidR="0011069C" w:rsidRDefault="0011069C" w:rsidP="0011069C"/>
    <w:p w14:paraId="46DE09A0" w14:textId="77777777" w:rsidR="0011069C" w:rsidRDefault="0011069C" w:rsidP="0011069C"/>
    <w:p w14:paraId="4F241764" w14:textId="77777777" w:rsidR="0011069C" w:rsidRDefault="0011069C" w:rsidP="0011069C"/>
    <w:p w14:paraId="36A2301E" w14:textId="77777777" w:rsidR="0011069C" w:rsidRDefault="0011069C" w:rsidP="0011069C"/>
    <w:p w14:paraId="071CD21B" w14:textId="77777777" w:rsidR="0011069C" w:rsidRDefault="0011069C" w:rsidP="0011069C"/>
    <w:p w14:paraId="77B51C2A" w14:textId="77777777" w:rsidR="0011069C" w:rsidRDefault="0011069C" w:rsidP="0011069C"/>
    <w:p w14:paraId="7A066699" w14:textId="77777777" w:rsidR="0011069C" w:rsidRDefault="0011069C" w:rsidP="0011069C"/>
    <w:p w14:paraId="629AF8C9" w14:textId="77777777" w:rsidR="0011069C" w:rsidRDefault="0011069C" w:rsidP="0011069C"/>
    <w:p w14:paraId="6E4724F0" w14:textId="77777777" w:rsidR="0011069C" w:rsidRDefault="0011069C" w:rsidP="0011069C"/>
    <w:p w14:paraId="3A60F6EF" w14:textId="77777777" w:rsidR="00C53776" w:rsidRDefault="00C53776"/>
    <w:sectPr w:rsidR="00C53776" w:rsidSect="000D310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DA26F" w14:textId="77777777" w:rsidR="00EA23FF" w:rsidRDefault="00EA23FF" w:rsidP="0011069C">
      <w:r>
        <w:separator/>
      </w:r>
    </w:p>
  </w:endnote>
  <w:endnote w:type="continuationSeparator" w:id="0">
    <w:p w14:paraId="5D2B58B0" w14:textId="77777777" w:rsidR="00EA23FF" w:rsidRDefault="00EA23FF" w:rsidP="0011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9AEA" w14:textId="77777777" w:rsidR="00FD17EB" w:rsidRPr="00A2780F" w:rsidRDefault="00FD17EB" w:rsidP="000D310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3E71">
      <w:rPr>
        <w:rFonts w:ascii="Arial" w:hAnsi="Arial" w:cs="Arial"/>
        <w:b/>
        <w:bCs/>
        <w:noProof/>
        <w:sz w:val="20"/>
        <w:szCs w:val="20"/>
      </w:rPr>
      <w:t>26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3E71">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180C5" w14:textId="77777777" w:rsidR="00FD17EB" w:rsidRPr="00070856" w:rsidRDefault="00FD17EB" w:rsidP="000D310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3E7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3E71">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035A" w14:textId="77777777" w:rsidR="00EA23FF" w:rsidRDefault="00EA23FF" w:rsidP="0011069C">
      <w:r>
        <w:separator/>
      </w:r>
    </w:p>
  </w:footnote>
  <w:footnote w:type="continuationSeparator" w:id="0">
    <w:p w14:paraId="4E880B54" w14:textId="77777777" w:rsidR="00EA23FF" w:rsidRDefault="00EA23FF" w:rsidP="0011069C">
      <w:r>
        <w:continuationSeparator/>
      </w:r>
    </w:p>
  </w:footnote>
  <w:footnote w:id="1">
    <w:p w14:paraId="068B6B0F" w14:textId="77777777" w:rsidR="00FD17EB" w:rsidRPr="001C2243" w:rsidRDefault="00FD17EB" w:rsidP="001C2243">
      <w:pPr>
        <w:pStyle w:val="Textonotapie"/>
        <w:jc w:val="both"/>
        <w:rPr>
          <w:lang w:val="es-MX"/>
        </w:rPr>
      </w:pPr>
      <w:r>
        <w:rPr>
          <w:rStyle w:val="Refdenotaalpie"/>
        </w:rPr>
        <w:footnoteRef/>
      </w:r>
      <w:r>
        <w:t xml:space="preserve"> </w:t>
      </w:r>
      <w:r w:rsidRPr="001C2243">
        <w:rPr>
          <w:rFonts w:ascii="Palatino Linotype" w:hAnsi="Palatino Linotype"/>
          <w:lang w:val="es-MX"/>
        </w:rPr>
        <w:t>Cabe precisar que la solicitud fue presentada el día domingo 27 (veintisiete) de febrero de 2022 (dos mil veintidós) pero al corresponder a día inhábil, se tuvo por ingresada al día hábil inmediato.</w:t>
      </w:r>
    </w:p>
  </w:footnote>
  <w:footnote w:id="2">
    <w:p w14:paraId="2D96C27E" w14:textId="77777777" w:rsidR="00FD17EB" w:rsidRPr="00946E1F" w:rsidRDefault="00FD17EB" w:rsidP="0011069C">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BB01D6A" w14:textId="77777777" w:rsidR="00FD17EB" w:rsidRPr="00A70D25" w:rsidRDefault="00FD17EB" w:rsidP="0011069C">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7E65237A" w14:textId="77777777" w:rsidR="00FD17EB" w:rsidRPr="00A70D25" w:rsidRDefault="00FD17EB" w:rsidP="0011069C">
      <w:pPr>
        <w:pStyle w:val="Textonotapie"/>
        <w:jc w:val="both"/>
        <w:rPr>
          <w:rFonts w:ascii="Palatino Linotype" w:hAnsi="Palatino Linotype"/>
        </w:rPr>
      </w:pPr>
      <w:r w:rsidRPr="00A70D25">
        <w:rPr>
          <w:rFonts w:ascii="Palatino Linotype" w:hAnsi="Palatino Linotype"/>
        </w:rPr>
        <w:t>(…)</w:t>
      </w:r>
    </w:p>
    <w:p w14:paraId="090EF376" w14:textId="77777777" w:rsidR="00FD17EB" w:rsidRPr="00A70D25" w:rsidRDefault="00FD17EB" w:rsidP="0011069C">
      <w:pPr>
        <w:pStyle w:val="Textonotapie"/>
        <w:jc w:val="both"/>
      </w:pPr>
      <w:r w:rsidRPr="00A70D25">
        <w:rPr>
          <w:rFonts w:ascii="Palatino Linotype" w:hAnsi="Palatino Linotype"/>
          <w:b/>
        </w:rPr>
        <w:t>V</w:t>
      </w:r>
      <w:r w:rsidRPr="00A70D25">
        <w:rPr>
          <w:rFonts w:ascii="Palatino Linotype" w:hAnsi="Palatino Linotype"/>
        </w:rPr>
        <w:t>. La entrega de información incompleta;</w:t>
      </w:r>
    </w:p>
  </w:footnote>
  <w:footnote w:id="4">
    <w:p w14:paraId="1D9EBE53" w14:textId="77777777" w:rsidR="008665EA" w:rsidRPr="008665EA" w:rsidRDefault="008665EA" w:rsidP="008665EA">
      <w:pPr>
        <w:pStyle w:val="Textonotapie"/>
        <w:jc w:val="both"/>
        <w:rPr>
          <w:rFonts w:ascii="Palatino Linotype" w:hAnsi="Palatino Linotype"/>
        </w:rPr>
      </w:pPr>
      <w:r>
        <w:rPr>
          <w:rStyle w:val="Refdenotaalpie"/>
        </w:rPr>
        <w:footnoteRef/>
      </w:r>
      <w:r>
        <w:t xml:space="preserve"> </w:t>
      </w:r>
      <w:r w:rsidRPr="008665EA">
        <w:rPr>
          <w:rFonts w:ascii="Palatino Linotype" w:hAnsi="Palatino Linotype"/>
          <w:b/>
        </w:rPr>
        <w:t>Artículo 19.</w:t>
      </w:r>
      <w:r w:rsidRPr="008665EA">
        <w:rPr>
          <w:rFonts w:ascii="Palatino Linotype" w:hAnsi="Palatino Linotype"/>
        </w:rPr>
        <w:t xml:space="preserve"> Se presume que la información debe existir si se refiere a las facultades, competencias y funciones que los ordenamientos jurídicos aplicables otorgan a los sujetos obligados.</w:t>
      </w:r>
    </w:p>
    <w:p w14:paraId="6DF8426D" w14:textId="77777777" w:rsidR="008665EA" w:rsidRPr="008665EA" w:rsidRDefault="008665EA" w:rsidP="008665EA">
      <w:pPr>
        <w:pStyle w:val="Textonotapie"/>
        <w:jc w:val="both"/>
        <w:rPr>
          <w:lang w:val="es-MX"/>
        </w:rPr>
      </w:pPr>
      <w:r w:rsidRPr="008665EA">
        <w:rPr>
          <w:rFonts w:ascii="Palatino Linotype" w:hAnsi="Palatino Linotype"/>
        </w:rPr>
        <w:t>En los casos en que ciertas facultades, competencias o funciones no se hayan ejercido, se debe motivar la respuesta en función de las causas que motiven tal circunstancia</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694"/>
      <w:gridCol w:w="5811"/>
    </w:tblGrid>
    <w:tr w:rsidR="00FD17EB" w:rsidRPr="008F2CCC" w14:paraId="1C4A5F34" w14:textId="77777777" w:rsidTr="000D3103">
      <w:tc>
        <w:tcPr>
          <w:tcW w:w="2694" w:type="dxa"/>
          <w:shd w:val="clear" w:color="auto" w:fill="auto"/>
        </w:tcPr>
        <w:p w14:paraId="0DE50251" w14:textId="77777777" w:rsidR="00FD17EB" w:rsidRPr="00807CDA" w:rsidRDefault="00FD17EB" w:rsidP="000D3103">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14:paraId="25969121" w14:textId="77777777" w:rsidR="00FD17EB" w:rsidRPr="00664658" w:rsidRDefault="00FD17EB" w:rsidP="0011069C">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4110/INFOEM/IP/RR/2022</w:t>
          </w:r>
        </w:p>
      </w:tc>
    </w:tr>
    <w:tr w:rsidR="00FD17EB" w:rsidRPr="008F2CCC" w14:paraId="39616787" w14:textId="77777777" w:rsidTr="000D3103">
      <w:tc>
        <w:tcPr>
          <w:tcW w:w="2694" w:type="dxa"/>
          <w:shd w:val="clear" w:color="auto" w:fill="auto"/>
        </w:tcPr>
        <w:p w14:paraId="6C331AEA" w14:textId="77777777" w:rsidR="00FD17EB" w:rsidRPr="00807CDA" w:rsidRDefault="00FD17EB" w:rsidP="000D3103">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14:paraId="7F9C78B7" w14:textId="77777777" w:rsidR="00FD17EB" w:rsidRDefault="00FD17EB" w:rsidP="000D3103">
          <w:pPr>
            <w:spacing w:line="276" w:lineRule="auto"/>
            <w:jc w:val="right"/>
            <w:rPr>
              <w:rFonts w:ascii="Palatino Linotype" w:hAnsi="Palatino Linotype"/>
              <w:b/>
              <w:sz w:val="22"/>
              <w:szCs w:val="22"/>
            </w:rPr>
          </w:pPr>
          <w:r w:rsidRPr="0011069C">
            <w:rPr>
              <w:rFonts w:ascii="Palatino Linotype" w:hAnsi="Palatino Linotype"/>
              <w:b/>
              <w:sz w:val="22"/>
              <w:szCs w:val="22"/>
            </w:rPr>
            <w:t xml:space="preserve">Sistema Municipal Para el Desarrollo </w:t>
          </w:r>
        </w:p>
        <w:p w14:paraId="30D01279" w14:textId="77777777" w:rsidR="00FD17EB" w:rsidRPr="00664658" w:rsidRDefault="00FD17EB" w:rsidP="000D3103">
          <w:pPr>
            <w:spacing w:line="276" w:lineRule="auto"/>
            <w:jc w:val="right"/>
            <w:rPr>
              <w:rFonts w:ascii="Palatino Linotype" w:hAnsi="Palatino Linotype"/>
              <w:b/>
              <w:sz w:val="22"/>
              <w:szCs w:val="22"/>
              <w:lang w:val="es-ES_tradnl"/>
            </w:rPr>
          </w:pPr>
          <w:r w:rsidRPr="0011069C">
            <w:rPr>
              <w:rFonts w:ascii="Palatino Linotype" w:hAnsi="Palatino Linotype"/>
              <w:b/>
              <w:sz w:val="22"/>
              <w:szCs w:val="22"/>
            </w:rPr>
            <w:t>Integral de la Familia de Nicolás Romero</w:t>
          </w:r>
        </w:p>
      </w:tc>
    </w:tr>
    <w:tr w:rsidR="00FD17EB" w:rsidRPr="008F2CCC" w14:paraId="4851A6AB" w14:textId="77777777" w:rsidTr="000D3103">
      <w:trPr>
        <w:trHeight w:val="228"/>
      </w:trPr>
      <w:tc>
        <w:tcPr>
          <w:tcW w:w="2694" w:type="dxa"/>
          <w:shd w:val="clear" w:color="auto" w:fill="auto"/>
        </w:tcPr>
        <w:p w14:paraId="68CD6907" w14:textId="77777777" w:rsidR="00FD17EB" w:rsidRPr="00807CDA" w:rsidRDefault="00FD17EB" w:rsidP="000D3103">
          <w:pPr>
            <w:spacing w:line="276" w:lineRule="auto"/>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9596" wp14:editId="39767FF9">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811" w:type="dxa"/>
          <w:shd w:val="clear" w:color="auto" w:fill="auto"/>
        </w:tcPr>
        <w:p w14:paraId="2B431A38" w14:textId="77777777" w:rsidR="00FD17EB" w:rsidRPr="00664658" w:rsidRDefault="00FD17EB" w:rsidP="000D310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F73BD2B" w14:textId="77777777" w:rsidR="00FD17EB" w:rsidRPr="001779E0" w:rsidRDefault="00FD17EB" w:rsidP="000D3103">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410"/>
      <w:gridCol w:w="6095"/>
    </w:tblGrid>
    <w:tr w:rsidR="00FD17EB" w:rsidRPr="008F2CCC" w14:paraId="6CFD07C3" w14:textId="77777777" w:rsidTr="000D3103">
      <w:tc>
        <w:tcPr>
          <w:tcW w:w="2410" w:type="dxa"/>
          <w:shd w:val="clear" w:color="auto" w:fill="auto"/>
        </w:tcPr>
        <w:p w14:paraId="6F22372D" w14:textId="77777777" w:rsidR="00FD17EB" w:rsidRPr="00807CDA" w:rsidRDefault="00FD17EB" w:rsidP="000D3103">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14:paraId="0EABB9A1" w14:textId="77777777" w:rsidR="00FD17EB" w:rsidRPr="008F2CCC" w:rsidRDefault="00FD17EB" w:rsidP="0011069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04110/INFOEM/IP/RR/2022</w:t>
          </w:r>
        </w:p>
      </w:tc>
    </w:tr>
    <w:tr w:rsidR="00FD17EB" w:rsidRPr="008F2CCC" w14:paraId="68F51CEB" w14:textId="77777777" w:rsidTr="000D3103">
      <w:tc>
        <w:tcPr>
          <w:tcW w:w="2410" w:type="dxa"/>
          <w:shd w:val="clear" w:color="auto" w:fill="auto"/>
          <w:vAlign w:val="center"/>
        </w:tcPr>
        <w:p w14:paraId="421FBF79" w14:textId="77777777" w:rsidR="00FD17EB" w:rsidRPr="00807CDA" w:rsidRDefault="00FD17EB" w:rsidP="000D310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14:paraId="570153B5" w14:textId="31707434" w:rsidR="00FD17EB" w:rsidRPr="008F2CCC" w:rsidRDefault="00A73E71" w:rsidP="000D310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w:t>
          </w:r>
          <w:proofErr w:type="spellEnd"/>
        </w:p>
      </w:tc>
    </w:tr>
    <w:tr w:rsidR="00FD17EB" w:rsidRPr="008F2CCC" w14:paraId="6FF7F34E" w14:textId="77777777" w:rsidTr="000D3103">
      <w:trPr>
        <w:trHeight w:val="228"/>
      </w:trPr>
      <w:tc>
        <w:tcPr>
          <w:tcW w:w="2410" w:type="dxa"/>
          <w:shd w:val="clear" w:color="auto" w:fill="auto"/>
        </w:tcPr>
        <w:p w14:paraId="1E635F3B" w14:textId="77777777" w:rsidR="00FD17EB" w:rsidRPr="00807CDA" w:rsidRDefault="00FD17EB" w:rsidP="000D310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14:paraId="401A44A2" w14:textId="77777777" w:rsidR="00FD17EB" w:rsidRDefault="00FD17EB" w:rsidP="000D3103">
          <w:pPr>
            <w:spacing w:line="360" w:lineRule="auto"/>
            <w:jc w:val="right"/>
            <w:rPr>
              <w:rFonts w:ascii="Palatino Linotype" w:hAnsi="Palatino Linotype"/>
              <w:b/>
              <w:sz w:val="22"/>
              <w:szCs w:val="22"/>
            </w:rPr>
          </w:pPr>
          <w:r w:rsidRPr="0011069C">
            <w:rPr>
              <w:rFonts w:ascii="Palatino Linotype" w:hAnsi="Palatino Linotype"/>
              <w:b/>
              <w:sz w:val="22"/>
              <w:szCs w:val="22"/>
            </w:rPr>
            <w:t xml:space="preserve">Sistema Municipal Para el Desarrollo </w:t>
          </w:r>
        </w:p>
        <w:p w14:paraId="4AC7D9B6" w14:textId="77777777" w:rsidR="00FD17EB" w:rsidRPr="00DC41C8" w:rsidRDefault="00FD17EB" w:rsidP="000D3103">
          <w:pPr>
            <w:spacing w:line="360" w:lineRule="auto"/>
            <w:jc w:val="right"/>
            <w:rPr>
              <w:rFonts w:ascii="Palatino Linotype" w:hAnsi="Palatino Linotype"/>
              <w:b/>
              <w:sz w:val="22"/>
              <w:szCs w:val="22"/>
            </w:rPr>
          </w:pPr>
          <w:r w:rsidRPr="0011069C">
            <w:rPr>
              <w:rFonts w:ascii="Palatino Linotype" w:hAnsi="Palatino Linotype"/>
              <w:b/>
              <w:sz w:val="22"/>
              <w:szCs w:val="22"/>
            </w:rPr>
            <w:t>Integral de la Familia de Nicolás Romero</w:t>
          </w:r>
        </w:p>
      </w:tc>
    </w:tr>
    <w:tr w:rsidR="00FD17EB" w:rsidRPr="008F2CCC" w14:paraId="56C487EC" w14:textId="77777777" w:rsidTr="000D3103">
      <w:tc>
        <w:tcPr>
          <w:tcW w:w="2410" w:type="dxa"/>
          <w:shd w:val="clear" w:color="auto" w:fill="auto"/>
        </w:tcPr>
        <w:p w14:paraId="163DEF86" w14:textId="77777777" w:rsidR="00FD17EB" w:rsidRPr="00807CDA" w:rsidRDefault="00FD17EB" w:rsidP="000D3103">
          <w:pPr>
            <w:spacing w:line="360" w:lineRule="auto"/>
            <w:jc w:val="both"/>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2183D31" wp14:editId="46F02A16">
                <wp:simplePos x="0" y="0"/>
                <wp:positionH relativeFrom="page">
                  <wp:posOffset>-1443990</wp:posOffset>
                </wp:positionH>
                <wp:positionV relativeFrom="page">
                  <wp:posOffset>-1263015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6095" w:type="dxa"/>
          <w:shd w:val="clear" w:color="auto" w:fill="auto"/>
        </w:tcPr>
        <w:p w14:paraId="611AA8A4" w14:textId="77777777" w:rsidR="00FD17EB" w:rsidRPr="008F2CCC" w:rsidRDefault="00FD17EB" w:rsidP="000D310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9F5B99" w14:textId="77777777" w:rsidR="00FD17EB" w:rsidRPr="009F1AB6" w:rsidRDefault="00FD17E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EC5634"/>
    <w:multiLevelType w:val="hybridMultilevel"/>
    <w:tmpl w:val="C7F47B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4D21C9A"/>
    <w:multiLevelType w:val="hybridMultilevel"/>
    <w:tmpl w:val="D74E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9C"/>
    <w:rsid w:val="00017E55"/>
    <w:rsid w:val="000738C2"/>
    <w:rsid w:val="000D3103"/>
    <w:rsid w:val="000D6801"/>
    <w:rsid w:val="000E2244"/>
    <w:rsid w:val="0011069C"/>
    <w:rsid w:val="001C2243"/>
    <w:rsid w:val="00282984"/>
    <w:rsid w:val="00285B85"/>
    <w:rsid w:val="002A5FF9"/>
    <w:rsid w:val="003351C1"/>
    <w:rsid w:val="00381EE0"/>
    <w:rsid w:val="003D159D"/>
    <w:rsid w:val="003F348B"/>
    <w:rsid w:val="00501457"/>
    <w:rsid w:val="006130E4"/>
    <w:rsid w:val="0064529F"/>
    <w:rsid w:val="0072668B"/>
    <w:rsid w:val="00730414"/>
    <w:rsid w:val="00734302"/>
    <w:rsid w:val="008665EA"/>
    <w:rsid w:val="008A0512"/>
    <w:rsid w:val="00936D33"/>
    <w:rsid w:val="0098518A"/>
    <w:rsid w:val="009B3AC4"/>
    <w:rsid w:val="00A73E71"/>
    <w:rsid w:val="00B8674E"/>
    <w:rsid w:val="00C11767"/>
    <w:rsid w:val="00C53776"/>
    <w:rsid w:val="00C70E7D"/>
    <w:rsid w:val="00C810A6"/>
    <w:rsid w:val="00D61B84"/>
    <w:rsid w:val="00DF05C5"/>
    <w:rsid w:val="00EA23FF"/>
    <w:rsid w:val="00EF6ABF"/>
    <w:rsid w:val="00FD1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66BA"/>
  <w15:chartTrackingRefBased/>
  <w15:docId w15:val="{340BF579-9063-4039-9824-BDC9B398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69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069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069C"/>
    <w:rPr>
      <w:rFonts w:eastAsiaTheme="minorEastAsia"/>
      <w:sz w:val="24"/>
      <w:szCs w:val="24"/>
      <w:lang w:val="es-ES_tradnl" w:eastAsia="es-ES"/>
    </w:rPr>
  </w:style>
  <w:style w:type="paragraph" w:styleId="Piedepgina">
    <w:name w:val="footer"/>
    <w:basedOn w:val="Normal"/>
    <w:link w:val="PiedepginaCar"/>
    <w:uiPriority w:val="99"/>
    <w:unhideWhenUsed/>
    <w:rsid w:val="0011069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069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069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069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069C"/>
    <w:rPr>
      <w:vertAlign w:val="superscript"/>
    </w:rPr>
  </w:style>
  <w:style w:type="character" w:customStyle="1" w:styleId="apple-converted-space">
    <w:name w:val="apple-converted-space"/>
    <w:basedOn w:val="Fuentedeprrafopredeter"/>
    <w:rsid w:val="0011069C"/>
  </w:style>
  <w:style w:type="character" w:styleId="Hipervnculo">
    <w:name w:val="Hyperlink"/>
    <w:basedOn w:val="Fuentedeprrafopredeter"/>
    <w:uiPriority w:val="99"/>
    <w:unhideWhenUsed/>
    <w:rsid w:val="0011069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069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069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3F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F34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836454">
      <w:bodyDiv w:val="1"/>
      <w:marLeft w:val="0"/>
      <w:marRight w:val="0"/>
      <w:marTop w:val="0"/>
      <w:marBottom w:val="0"/>
      <w:divBdr>
        <w:top w:val="none" w:sz="0" w:space="0" w:color="auto"/>
        <w:left w:val="none" w:sz="0" w:space="0" w:color="auto"/>
        <w:bottom w:val="none" w:sz="0" w:space="0" w:color="auto"/>
        <w:right w:val="none" w:sz="0" w:space="0" w:color="auto"/>
      </w:divBdr>
    </w:div>
    <w:div w:id="1198859780">
      <w:bodyDiv w:val="1"/>
      <w:marLeft w:val="0"/>
      <w:marRight w:val="0"/>
      <w:marTop w:val="0"/>
      <w:marBottom w:val="0"/>
      <w:divBdr>
        <w:top w:val="none" w:sz="0" w:space="0" w:color="auto"/>
        <w:left w:val="none" w:sz="0" w:space="0" w:color="auto"/>
        <w:bottom w:val="none" w:sz="0" w:space="0" w:color="auto"/>
        <w:right w:val="none" w:sz="0" w:space="0" w:color="auto"/>
      </w:divBdr>
    </w:div>
    <w:div w:id="12651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6398</Words>
  <Characters>35190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2022-06-07T03:48:00Z</dcterms:created>
  <dcterms:modified xsi:type="dcterms:W3CDTF">2022-07-12T18:11:00Z</dcterms:modified>
</cp:coreProperties>
</file>