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FFE" w:rsidRPr="0024200F" w:rsidRDefault="004C6FFE" w:rsidP="004C6FFE">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quince de junio de dos mil veintidós</w:t>
      </w:r>
      <w:r w:rsidRPr="0024200F">
        <w:rPr>
          <w:rFonts w:ascii="Palatino Linotype" w:hAnsi="Palatino Linotype"/>
        </w:rPr>
        <w:t>.</w:t>
      </w:r>
    </w:p>
    <w:p w:rsidR="004C6FFE" w:rsidRPr="0024200F" w:rsidRDefault="004C6FFE" w:rsidP="004C6FFE">
      <w:pPr>
        <w:spacing w:line="360" w:lineRule="auto"/>
        <w:jc w:val="both"/>
        <w:rPr>
          <w:rFonts w:ascii="Palatino Linotype" w:hAnsi="Palatino Linotype"/>
        </w:rPr>
      </w:pPr>
    </w:p>
    <w:p w:rsidR="004C6FFE" w:rsidRPr="0024200F" w:rsidRDefault="004C6FFE" w:rsidP="004C6FFE">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Pr>
          <w:rFonts w:ascii="Palatino Linotype" w:hAnsi="Palatino Linotype"/>
          <w:b/>
        </w:rPr>
        <w:t xml:space="preserve">06095/INFOEM/IP/RR/2022 </w:t>
      </w:r>
      <w:r w:rsidRPr="0024200F">
        <w:rPr>
          <w:rFonts w:ascii="Palatino Linotype" w:hAnsi="Palatino Linotype"/>
        </w:rPr>
        <w:t>promovido por</w:t>
      </w:r>
      <w:r w:rsidR="00CF4553">
        <w:rPr>
          <w:rFonts w:ascii="Palatino Linotype" w:hAnsi="Palatino Linotype"/>
        </w:rPr>
        <w:t xml:space="preserve"> </w:t>
      </w:r>
      <w:proofErr w:type="spellStart"/>
      <w:r w:rsidR="00CF4553">
        <w:rPr>
          <w:rFonts w:ascii="Palatino Linotype" w:hAnsi="Palatino Linotype"/>
        </w:rPr>
        <w:t>xxxxxxxxxxxxxxxxxx</w:t>
      </w:r>
      <w:proofErr w:type="spellEnd"/>
      <w:r>
        <w:rPr>
          <w:rFonts w:ascii="Palatino Linotype" w:hAnsi="Palatino Linotype"/>
        </w:rPr>
        <w:t>, quien en lo</w:t>
      </w:r>
      <w:r w:rsidRPr="0024200F">
        <w:rPr>
          <w:rFonts w:ascii="Palatino Linotype" w:hAnsi="Palatino Linotype"/>
        </w:rPr>
        <w:t xml:space="preserve"> sucesivo</w:t>
      </w:r>
      <w:r>
        <w:rPr>
          <w:rFonts w:ascii="Palatino Linotype" w:hAnsi="Palatino Linotype"/>
        </w:rPr>
        <w:t xml:space="preserve"> se le denominara como </w:t>
      </w:r>
      <w:r>
        <w:rPr>
          <w:rFonts w:ascii="Palatino Linotype" w:hAnsi="Palatino Linotype"/>
          <w:b/>
        </w:rPr>
        <w:t>la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Pr>
          <w:rFonts w:ascii="Palatino Linotype" w:hAnsi="Palatino Linotype"/>
          <w:b/>
        </w:rPr>
        <w:t>Servicios Educativos Integrados al Estado de México</w:t>
      </w:r>
      <w:r w:rsidRPr="0024200F">
        <w:rPr>
          <w:rFonts w:ascii="Palatino Linotype" w:hAnsi="Palatino Linotype"/>
        </w:rPr>
        <w:t xml:space="preserve">, en lo sucesivo </w:t>
      </w:r>
      <w:r w:rsidRPr="0024200F">
        <w:rPr>
          <w:rFonts w:ascii="Palatino Linotype" w:hAnsi="Palatino Linotype"/>
          <w:b/>
        </w:rPr>
        <w:t xml:space="preserve">el </w:t>
      </w:r>
      <w:r w:rsidRPr="00EB0CBC">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4C6FFE" w:rsidRPr="002478BC" w:rsidRDefault="004C6FFE" w:rsidP="004C6FFE">
      <w:pPr>
        <w:spacing w:line="360" w:lineRule="auto"/>
        <w:jc w:val="center"/>
        <w:rPr>
          <w:rFonts w:ascii="Palatino Linotype" w:hAnsi="Palatino Linotype"/>
          <w:b/>
          <w:bCs/>
          <w:spacing w:val="60"/>
          <w:lang w:val="es-ES_tradnl"/>
        </w:rPr>
      </w:pPr>
    </w:p>
    <w:p w:rsidR="004C6FFE" w:rsidRPr="0024200F" w:rsidRDefault="004C6FFE" w:rsidP="004C6FFE">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4C6FFE" w:rsidRPr="0024200F" w:rsidRDefault="004C6FFE" w:rsidP="004C6FFE">
      <w:pPr>
        <w:spacing w:line="360" w:lineRule="auto"/>
        <w:jc w:val="center"/>
        <w:rPr>
          <w:rFonts w:ascii="Palatino Linotype" w:hAnsi="Palatino Linotype"/>
          <w:b/>
          <w:bCs/>
          <w:spacing w:val="60"/>
          <w:lang w:val="es-ES_tradnl"/>
        </w:rPr>
      </w:pPr>
    </w:p>
    <w:p w:rsidR="004C6FFE" w:rsidRPr="0024200F" w:rsidRDefault="004C6FFE" w:rsidP="004C6FFE">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06 (seis) de mayo 2022 (dos mil veintidós)</w:t>
      </w:r>
      <w:r w:rsidRPr="0024200F">
        <w:rPr>
          <w:rFonts w:ascii="Palatino Linotype" w:hAnsi="Palatino Linotype"/>
        </w:rPr>
        <w:t xml:space="preserve">, </w:t>
      </w:r>
      <w:r>
        <w:rPr>
          <w:rFonts w:ascii="Palatino Linotype" w:hAnsi="Palatino Linotype"/>
          <w:b/>
        </w:rPr>
        <w:t>la 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Pr>
          <w:rFonts w:ascii="Palatino Linotype" w:hAnsi="Palatino Linotype"/>
          <w:b/>
          <w:bCs/>
        </w:rPr>
        <w:t>00115/SEIEM</w:t>
      </w:r>
      <w:r w:rsidRPr="00604A7F">
        <w:rPr>
          <w:rFonts w:ascii="Palatino Linotype" w:hAnsi="Palatino Linotype"/>
          <w:b/>
          <w:bCs/>
        </w:rPr>
        <w:t>/IP/2022</w:t>
      </w:r>
      <w:r w:rsidRPr="00896769">
        <w:rPr>
          <w:rFonts w:ascii="Palatino Linotype" w:hAnsi="Palatino Linotype"/>
          <w:bCs/>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rsidR="004C6FFE" w:rsidRDefault="004C6FFE" w:rsidP="004C6FFE">
      <w:pPr>
        <w:spacing w:line="360" w:lineRule="auto"/>
        <w:jc w:val="both"/>
        <w:rPr>
          <w:rFonts w:ascii="Palatino Linotype" w:hAnsi="Palatino Linotype" w:cs="Arial"/>
        </w:rPr>
      </w:pPr>
    </w:p>
    <w:p w:rsidR="004C6FFE" w:rsidRPr="00432345" w:rsidRDefault="004C6FFE" w:rsidP="004C6FFE">
      <w:pPr>
        <w:ind w:left="567" w:right="616"/>
        <w:jc w:val="both"/>
        <w:rPr>
          <w:rFonts w:ascii="Palatino Linotype" w:hAnsi="Palatino Linotype"/>
          <w:i/>
          <w:color w:val="000000"/>
          <w:sz w:val="22"/>
          <w:szCs w:val="14"/>
        </w:rPr>
      </w:pPr>
      <w:r w:rsidRPr="00157DDD">
        <w:rPr>
          <w:rFonts w:ascii="Palatino Linotype" w:hAnsi="Palatino Linotype"/>
          <w:bCs/>
          <w:i/>
          <w:sz w:val="22"/>
        </w:rPr>
        <w:t>“</w:t>
      </w:r>
      <w:r w:rsidRPr="00432345">
        <w:rPr>
          <w:rFonts w:ascii="Palatino Linotype" w:hAnsi="Palatino Linotype"/>
          <w:i/>
          <w:color w:val="000000"/>
          <w:sz w:val="22"/>
          <w:szCs w:val="14"/>
        </w:rPr>
        <w:t>Solicito la información y documentación que acredite que: 1. La información generada por ese sujeto obligado tenga un lenguaje sencillo para cualquier persona. 2. Aplica algún Manual, Lineamiento o cualquier otro tipo de documento jurídico o administrativo que regule la aplicación del lenguaje sencillo, claro o ciudadano en su comunicación hacia la ciudadanía. 3. Ese sujeto obligado comunica de forma clara sus atribuciones y funciones a la ciudadanía.</w:t>
      </w:r>
      <w:r w:rsidRPr="0020570A">
        <w:rPr>
          <w:rFonts w:ascii="Palatino Linotype" w:hAnsi="Palatino Linotype"/>
          <w:bCs/>
          <w:i/>
          <w:sz w:val="22"/>
        </w:rPr>
        <w:t>” (Sic)</w:t>
      </w:r>
    </w:p>
    <w:p w:rsidR="004C6FFE" w:rsidRPr="0020570A" w:rsidRDefault="004C6FFE" w:rsidP="004C6FFE">
      <w:pPr>
        <w:ind w:left="567" w:right="616"/>
        <w:jc w:val="both"/>
        <w:rPr>
          <w:rFonts w:ascii="Palatino Linotype" w:hAnsi="Palatino Linotype"/>
          <w:bCs/>
          <w:i/>
          <w:sz w:val="22"/>
        </w:rPr>
      </w:pPr>
    </w:p>
    <w:p w:rsidR="004C6FFE" w:rsidRDefault="004C6FFE" w:rsidP="004C6FFE">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rsidR="004C6FFE" w:rsidRDefault="004C6FFE" w:rsidP="004C6FFE">
      <w:pPr>
        <w:spacing w:line="360" w:lineRule="auto"/>
        <w:jc w:val="both"/>
        <w:rPr>
          <w:rFonts w:ascii="Palatino Linotype" w:hAnsi="Palatino Linotype"/>
          <w:szCs w:val="28"/>
          <w:lang w:val="es-MX"/>
        </w:rPr>
      </w:pPr>
    </w:p>
    <w:p w:rsidR="004C6FFE" w:rsidRDefault="004C6FFE" w:rsidP="004C6FFE">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proofErr w:type="spellStart"/>
      <w:r>
        <w:rPr>
          <w:rFonts w:ascii="Palatino Linotype" w:hAnsi="Palatino Linotype"/>
        </w:rPr>
        <w:t>ape</w:t>
      </w:r>
      <w:bookmarkStart w:id="0" w:name="_GoBack"/>
      <w:bookmarkEnd w:id="0"/>
      <w:r>
        <w:rPr>
          <w:rFonts w:ascii="Palatino Linotype" w:hAnsi="Palatino Linotype"/>
        </w:rPr>
        <w:t>rturado</w:t>
      </w:r>
      <w:proofErr w:type="spellEnd"/>
      <w:r>
        <w:rPr>
          <w:rFonts w:ascii="Palatino Linotype" w:hAnsi="Palatino Linotype"/>
        </w:rPr>
        <w:t xml:space="preserve">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b/>
        </w:rPr>
        <w:t xml:space="preserve"> </w:t>
      </w:r>
      <w:r>
        <w:rPr>
          <w:rFonts w:ascii="Palatino Linotype" w:hAnsi="Palatino Linotype"/>
        </w:rPr>
        <w:t xml:space="preserve">solicito aclaración respecto a la </w:t>
      </w:r>
      <w:r w:rsidRPr="0024200F">
        <w:rPr>
          <w:rFonts w:ascii="Palatino Linotype" w:hAnsi="Palatino Linotype"/>
        </w:rPr>
        <w:t>solicitud de acceso a</w:t>
      </w:r>
      <w:r>
        <w:rPr>
          <w:rFonts w:ascii="Palatino Linotype" w:hAnsi="Palatino Linotype"/>
        </w:rPr>
        <w:t xml:space="preserve"> la</w:t>
      </w:r>
      <w:r w:rsidRPr="0024200F">
        <w:rPr>
          <w:rFonts w:ascii="Palatino Linotype" w:hAnsi="Palatino Linotype"/>
        </w:rPr>
        <w:t xml:space="preserve"> información pública, </w:t>
      </w:r>
      <w:r>
        <w:rPr>
          <w:rFonts w:ascii="Palatino Linotype" w:hAnsi="Palatino Linotype"/>
        </w:rPr>
        <w:t>con</w:t>
      </w:r>
      <w:r w:rsidRPr="0024200F">
        <w:rPr>
          <w:rFonts w:ascii="Palatino Linotype" w:hAnsi="Palatino Linotype"/>
        </w:rPr>
        <w:t xml:space="preserve"> número de expediente </w:t>
      </w:r>
      <w:r>
        <w:rPr>
          <w:rFonts w:ascii="Palatino Linotype" w:hAnsi="Palatino Linotype"/>
          <w:b/>
          <w:bCs/>
        </w:rPr>
        <w:t>00115/SEIEM</w:t>
      </w:r>
      <w:r w:rsidRPr="00604A7F">
        <w:rPr>
          <w:rFonts w:ascii="Palatino Linotype" w:hAnsi="Palatino Linotype"/>
          <w:b/>
          <w:bCs/>
        </w:rPr>
        <w:t>/IP/2022</w:t>
      </w:r>
    </w:p>
    <w:p w:rsidR="004C6FFE" w:rsidRDefault="004C6FFE" w:rsidP="004C6FFE">
      <w:pPr>
        <w:spacing w:line="360" w:lineRule="auto"/>
        <w:jc w:val="both"/>
        <w:rPr>
          <w:rFonts w:ascii="Palatino Linotype" w:hAnsi="Palatino Linotype"/>
          <w:bCs/>
        </w:rPr>
      </w:pPr>
    </w:p>
    <w:p w:rsidR="004C6FFE" w:rsidRDefault="004C6FFE" w:rsidP="004C6FFE">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sidRPr="00EB0CBC">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 19 (diecinueve) de abril de 2022 (dos mil veintidós)</w:t>
      </w:r>
      <w:r w:rsidRPr="0024200F">
        <w:rPr>
          <w:rFonts w:ascii="Palatino Linotype" w:hAnsi="Palatino Linotype" w:cs="Arial"/>
        </w:rPr>
        <w:t xml:space="preserve">, </w:t>
      </w:r>
      <w:r>
        <w:rPr>
          <w:rFonts w:ascii="Palatino Linotype" w:hAnsi="Palatino Linotype" w:cs="Arial"/>
        </w:rPr>
        <w:t>la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Pr>
          <w:rFonts w:ascii="Palatino Linotype" w:hAnsi="Palatino Linotype"/>
          <w:b/>
        </w:rPr>
        <w:t xml:space="preserve">06095/INFOEM/IP/RR/2022,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w:t>
      </w:r>
      <w:r w:rsidRPr="004D157D">
        <w:rPr>
          <w:rFonts w:ascii="Palatino Linotype" w:hAnsi="Palatino Linotype" w:cs="Arial"/>
          <w:b/>
        </w:rPr>
        <w:t>acto impugnado</w:t>
      </w:r>
      <w:r>
        <w:rPr>
          <w:rFonts w:ascii="Palatino Linotype" w:hAnsi="Palatino Linotype" w:cs="Arial"/>
        </w:rPr>
        <w:t xml:space="preserve">, y </w:t>
      </w:r>
      <w:r w:rsidRPr="004D157D">
        <w:rPr>
          <w:rFonts w:ascii="Palatino Linotype" w:hAnsi="Palatino Linotype" w:cs="Arial"/>
          <w:b/>
        </w:rPr>
        <w:t>motivos o razones de inconformidad</w:t>
      </w:r>
      <w:r>
        <w:rPr>
          <w:rFonts w:ascii="Palatino Linotype" w:hAnsi="Palatino Linotype" w:cs="Arial"/>
        </w:rPr>
        <w:t xml:space="preserve"> los siguientes:</w:t>
      </w:r>
    </w:p>
    <w:p w:rsidR="004C6FFE" w:rsidRDefault="004C6FFE" w:rsidP="004C6FFE">
      <w:pPr>
        <w:spacing w:line="276" w:lineRule="auto"/>
        <w:ind w:right="616"/>
        <w:jc w:val="both"/>
        <w:rPr>
          <w:rFonts w:ascii="Palatino Linotype" w:hAnsi="Palatino Linotype"/>
          <w:b/>
        </w:rPr>
      </w:pPr>
    </w:p>
    <w:p w:rsidR="004C6FFE" w:rsidRPr="00432345" w:rsidRDefault="004C6FFE" w:rsidP="004C6FFE">
      <w:pPr>
        <w:pStyle w:val="Prrafodelista"/>
        <w:numPr>
          <w:ilvl w:val="0"/>
          <w:numId w:val="1"/>
        </w:numPr>
        <w:spacing w:line="276" w:lineRule="auto"/>
        <w:ind w:right="616"/>
        <w:jc w:val="both"/>
        <w:rPr>
          <w:rFonts w:ascii="Palatino Linotype" w:hAnsi="Palatino Linotype"/>
          <w:b/>
        </w:rPr>
      </w:pPr>
      <w:r>
        <w:rPr>
          <w:rFonts w:ascii="Palatino Linotype" w:hAnsi="Palatino Linotype"/>
          <w:b/>
        </w:rPr>
        <w:t>Acto impugnado:</w:t>
      </w:r>
    </w:p>
    <w:p w:rsidR="004C6FFE" w:rsidRDefault="004C6FFE" w:rsidP="004C6FFE">
      <w:pPr>
        <w:spacing w:line="276" w:lineRule="auto"/>
        <w:ind w:left="567" w:right="616"/>
        <w:jc w:val="both"/>
        <w:rPr>
          <w:rFonts w:ascii="Palatino Linotype" w:hAnsi="Palatino Linotype"/>
        </w:rPr>
      </w:pPr>
      <w:r>
        <w:rPr>
          <w:rFonts w:ascii="Palatino Linotype" w:hAnsi="Palatino Linotype"/>
          <w:i/>
          <w:color w:val="000000"/>
          <w:sz w:val="22"/>
          <w:szCs w:val="22"/>
        </w:rPr>
        <w:t>“</w:t>
      </w:r>
      <w:r w:rsidRPr="00432345">
        <w:rPr>
          <w:rFonts w:ascii="Palatino Linotype" w:hAnsi="Palatino Linotype"/>
          <w:i/>
          <w:color w:val="000000"/>
          <w:sz w:val="22"/>
          <w:szCs w:val="22"/>
        </w:rPr>
        <w:t>La respuesta.</w:t>
      </w:r>
      <w:r>
        <w:rPr>
          <w:rFonts w:ascii="Palatino Linotype" w:hAnsi="Palatino Linotype"/>
          <w:i/>
          <w:sz w:val="22"/>
        </w:rPr>
        <w:t>” (sic)</w:t>
      </w:r>
    </w:p>
    <w:p w:rsidR="004C6FFE" w:rsidRPr="00F02E91" w:rsidRDefault="004C6FFE" w:rsidP="004C6FFE">
      <w:pPr>
        <w:spacing w:line="360" w:lineRule="auto"/>
        <w:ind w:right="616"/>
        <w:jc w:val="both"/>
        <w:rPr>
          <w:rFonts w:ascii="Palatino Linotype" w:hAnsi="Palatino Linotype"/>
        </w:rPr>
      </w:pPr>
    </w:p>
    <w:p w:rsidR="004C6FFE" w:rsidRPr="00B7063D" w:rsidRDefault="004C6FFE" w:rsidP="004C6FFE">
      <w:pPr>
        <w:pStyle w:val="Prrafodelista"/>
        <w:numPr>
          <w:ilvl w:val="0"/>
          <w:numId w:val="1"/>
        </w:numPr>
        <w:spacing w:line="360" w:lineRule="auto"/>
        <w:ind w:right="51"/>
        <w:jc w:val="both"/>
        <w:rPr>
          <w:rFonts w:ascii="Palatino Linotype" w:hAnsi="Palatino Linotype"/>
        </w:rPr>
      </w:pPr>
      <w:r w:rsidRPr="006B65F9">
        <w:rPr>
          <w:rFonts w:ascii="Palatino Linotype" w:hAnsi="Palatino Linotype"/>
          <w:b/>
        </w:rPr>
        <w:t>Razones o motivos de inconformidad:</w:t>
      </w:r>
    </w:p>
    <w:p w:rsidR="004C6FFE" w:rsidRPr="005C7D38" w:rsidRDefault="004C6FFE" w:rsidP="004C6FFE">
      <w:pPr>
        <w:ind w:left="567" w:right="616"/>
        <w:jc w:val="both"/>
        <w:rPr>
          <w:rFonts w:ascii="Palatino Linotype" w:hAnsi="Palatino Linotype"/>
          <w:i/>
          <w:sz w:val="22"/>
        </w:rPr>
      </w:pPr>
      <w:r>
        <w:rPr>
          <w:rFonts w:ascii="Palatino Linotype" w:hAnsi="Palatino Linotype"/>
          <w:i/>
          <w:sz w:val="22"/>
        </w:rPr>
        <w:t>“</w:t>
      </w:r>
      <w:r w:rsidRPr="00432345">
        <w:rPr>
          <w:rFonts w:ascii="Palatino Linotype" w:hAnsi="Palatino Linotype"/>
          <w:i/>
          <w:color w:val="000000"/>
          <w:sz w:val="22"/>
          <w:szCs w:val="22"/>
        </w:rPr>
        <w:t xml:space="preserve">La naturaleza de la respuesta es de una aclaración, por lo que no atiende a mi solicitud, sin </w:t>
      </w:r>
      <w:proofErr w:type="gramStart"/>
      <w:r w:rsidRPr="00432345">
        <w:rPr>
          <w:rFonts w:ascii="Palatino Linotype" w:hAnsi="Palatino Linotype"/>
          <w:i/>
          <w:color w:val="000000"/>
          <w:sz w:val="22"/>
          <w:szCs w:val="22"/>
        </w:rPr>
        <w:t>embargo</w:t>
      </w:r>
      <w:proofErr w:type="gramEnd"/>
      <w:r w:rsidRPr="00432345">
        <w:rPr>
          <w:rFonts w:ascii="Palatino Linotype" w:hAnsi="Palatino Linotype"/>
          <w:i/>
          <w:color w:val="000000"/>
          <w:sz w:val="22"/>
          <w:szCs w:val="22"/>
        </w:rPr>
        <w:t xml:space="preserve"> por la forma en que se atendió tampoco me permite solventar la aclaración, en consecuencia violenta mi derecho humano de acceso a la información.</w:t>
      </w:r>
      <w:r>
        <w:rPr>
          <w:rFonts w:ascii="Palatino Linotype" w:hAnsi="Palatino Linotype"/>
          <w:i/>
          <w:sz w:val="22"/>
        </w:rPr>
        <w:t>”</w:t>
      </w:r>
    </w:p>
    <w:p w:rsidR="004C6FFE" w:rsidRDefault="004C6FFE" w:rsidP="004C6FFE">
      <w:pPr>
        <w:spacing w:line="360" w:lineRule="auto"/>
        <w:ind w:right="51"/>
        <w:jc w:val="both"/>
        <w:rPr>
          <w:rFonts w:ascii="Palatino Linotype" w:hAnsi="Palatino Linotype"/>
        </w:rPr>
      </w:pPr>
    </w:p>
    <w:p w:rsidR="004C6FFE" w:rsidRDefault="004C6FFE" w:rsidP="004C6FFE">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n fecha 19 (diecinueve) de abril de 2022 (dos mil veintidós),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 xml:space="preserve">a través </w:t>
      </w:r>
      <w:r w:rsidRPr="0024200F">
        <w:rPr>
          <w:rFonts w:ascii="Palatino Linotype" w:hAnsi="Palatino Linotype" w:cs="Arial"/>
          <w:lang w:val="es-ES_tradnl"/>
        </w:rPr>
        <w:lastRenderedPageBreak/>
        <w:t>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al</w:t>
      </w:r>
      <w:r>
        <w:rPr>
          <w:rFonts w:ascii="Palatino Linotype" w:hAnsi="Palatino Linotype"/>
        </w:rPr>
        <w:t xml:space="preserve"> </w:t>
      </w:r>
      <w:r>
        <w:rPr>
          <w:rFonts w:ascii="Palatino Linotype" w:hAnsi="Palatino Linotype" w:cs="Arial"/>
          <w:lang w:val="es-ES_tradnl"/>
        </w:rPr>
        <w:t>Comisionado Presidente</w:t>
      </w:r>
      <w:r w:rsidRPr="0024200F">
        <w:rPr>
          <w:rFonts w:ascii="Palatino Linotype" w:hAnsi="Palatino Linotype" w:cs="Arial"/>
          <w:lang w:val="es-ES_tradnl"/>
        </w:rPr>
        <w:t xml:space="preserve"> </w:t>
      </w:r>
      <w:r>
        <w:rPr>
          <w:rFonts w:ascii="Palatino Linotype" w:hAnsi="Palatino Linotype" w:cs="Arial"/>
          <w:b/>
          <w:lang w:val="es-ES_tradnl"/>
        </w:rPr>
        <w:t>JOSÉ MARTÍNEZ VILCHIS,</w:t>
      </w:r>
      <w:r>
        <w:rPr>
          <w:rFonts w:ascii="Palatino Linotype" w:hAnsi="Palatino Linotype" w:cs="Arial"/>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w:t>
      </w:r>
      <w:proofErr w:type="spellStart"/>
      <w:r w:rsidRPr="0024200F">
        <w:rPr>
          <w:rFonts w:ascii="Palatino Linotype" w:hAnsi="Palatino Linotype" w:cs="Arial"/>
          <w:lang w:val="es-ES_tradnl"/>
        </w:rPr>
        <w:t>desechamiento</w:t>
      </w:r>
      <w:proofErr w:type="spellEnd"/>
      <w:r w:rsidRPr="0024200F">
        <w:rPr>
          <w:rFonts w:ascii="Palatino Linotype" w:hAnsi="Palatino Linotype" w:cs="Arial"/>
          <w:lang w:val="es-ES_tradnl"/>
        </w:rPr>
        <w:t>.</w:t>
      </w:r>
    </w:p>
    <w:p w:rsidR="004C6FFE" w:rsidRDefault="004C6FFE" w:rsidP="004C6FFE">
      <w:pPr>
        <w:spacing w:line="360" w:lineRule="auto"/>
        <w:ind w:right="49"/>
        <w:jc w:val="both"/>
        <w:rPr>
          <w:rFonts w:ascii="Palatino Linotype" w:hAnsi="Palatino Linotype" w:cs="Arial"/>
          <w:lang w:val="es-ES_tradnl"/>
        </w:rPr>
      </w:pPr>
    </w:p>
    <w:p w:rsidR="004C6FFE" w:rsidRDefault="004C6FFE" w:rsidP="004C6FFE">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 25 (veinticinco) de abril de 2022 (dos mil veintidós),</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4C6FFE" w:rsidRDefault="004C6FFE" w:rsidP="004C6FFE">
      <w:pPr>
        <w:spacing w:line="360" w:lineRule="auto"/>
        <w:ind w:right="49"/>
        <w:jc w:val="both"/>
        <w:rPr>
          <w:rFonts w:ascii="Palatino Linotype" w:hAnsi="Palatino Linotype" w:cs="Arial"/>
        </w:rPr>
      </w:pPr>
    </w:p>
    <w:p w:rsidR="004C6FFE" w:rsidRDefault="004C6FFE" w:rsidP="004C6FFE">
      <w:pPr>
        <w:spacing w:line="360" w:lineRule="auto"/>
        <w:jc w:val="both"/>
        <w:rPr>
          <w:rFonts w:ascii="Palatino Linotype" w:hAnsi="Palatino Linotype"/>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 el</w:t>
      </w:r>
      <w:r w:rsidRPr="002012DE">
        <w:rPr>
          <w:rFonts w:ascii="Palatino Linotype" w:hAnsi="Palatino Linotype" w:cs="Arial"/>
          <w:b/>
          <w:lang w:val="es-ES_tradnl"/>
        </w:rPr>
        <w:t xml:space="preserve"> </w:t>
      </w:r>
      <w:r w:rsidRPr="00EB0CBC">
        <w:rPr>
          <w:rFonts w:ascii="Palatino Linotype" w:hAnsi="Palatino Linotype" w:cs="Arial"/>
          <w:b/>
          <w:lang w:val="es-ES_tradnl"/>
        </w:rPr>
        <w:t xml:space="preserve">Sujeto </w:t>
      </w:r>
      <w:r w:rsidRPr="00180C3F">
        <w:rPr>
          <w:rFonts w:ascii="Palatino Linotype" w:hAnsi="Palatino Linotype" w:cs="Arial"/>
          <w:b/>
          <w:lang w:val="es-ES_tradnl"/>
        </w:rPr>
        <w:t>Obligado</w:t>
      </w:r>
      <w:r>
        <w:rPr>
          <w:rFonts w:ascii="Palatino Linotype" w:hAnsi="Palatino Linotype" w:cs="Arial"/>
          <w:lang w:val="es-ES_tradnl"/>
        </w:rPr>
        <w:t xml:space="preserve"> el día</w:t>
      </w:r>
      <w:r w:rsidRPr="00180C3F">
        <w:rPr>
          <w:rFonts w:ascii="Palatino Linotype" w:hAnsi="Palatino Linotype" w:cs="Arial"/>
          <w:lang w:val="es-ES_tradnl"/>
        </w:rPr>
        <w:t xml:space="preserve"> </w:t>
      </w:r>
      <w:r>
        <w:rPr>
          <w:rFonts w:ascii="Palatino Linotype" w:hAnsi="Palatino Linotype" w:cs="Arial"/>
          <w:lang w:val="es-ES_tradnl"/>
        </w:rPr>
        <w:t>29</w:t>
      </w:r>
      <w:r w:rsidRPr="006F31E7">
        <w:rPr>
          <w:rFonts w:ascii="Palatino Linotype" w:hAnsi="Palatino Linotype" w:cs="Arial"/>
          <w:lang w:val="es-ES_tradnl"/>
        </w:rPr>
        <w:t xml:space="preserve"> (</w:t>
      </w:r>
      <w:r>
        <w:rPr>
          <w:rFonts w:ascii="Palatino Linotype" w:hAnsi="Palatino Linotype" w:cs="Arial"/>
          <w:lang w:val="es-ES_tradnl"/>
        </w:rPr>
        <w:t xml:space="preserve">veintinueve) de abril </w:t>
      </w:r>
      <w:r w:rsidRPr="006F31E7">
        <w:rPr>
          <w:rFonts w:ascii="Palatino Linotype" w:hAnsi="Palatino Linotype" w:cs="Arial"/>
          <w:lang w:val="es-ES_tradnl"/>
        </w:rPr>
        <w:t xml:space="preserve">de 2022 (dos mil veintidós), </w:t>
      </w:r>
      <w:r w:rsidRPr="006F31E7">
        <w:rPr>
          <w:rFonts w:ascii="Palatino Linotype" w:hAnsi="Palatino Linotype"/>
        </w:rPr>
        <w:t>rindió su informe justificado, el cual se tuvo por presentado en tiempo y forma, a través del archivo e</w:t>
      </w:r>
      <w:r>
        <w:rPr>
          <w:rFonts w:ascii="Palatino Linotype" w:hAnsi="Palatino Linotype"/>
        </w:rPr>
        <w:t xml:space="preserve">lectrónico </w:t>
      </w:r>
      <w:r w:rsidRPr="00B7063D">
        <w:rPr>
          <w:rFonts w:ascii="Palatino Linotype" w:hAnsi="Palatino Linotype"/>
          <w:b/>
          <w:bCs/>
          <w:i/>
          <w:iCs/>
        </w:rPr>
        <w:t>“</w:t>
      </w:r>
      <w:r w:rsidRPr="00B7063D">
        <w:rPr>
          <w:rFonts w:ascii="Palatino Linotype" w:hAnsi="Palatino Linotype"/>
          <w:b/>
          <w:bCs/>
          <w:i/>
          <w:iCs/>
        </w:rPr>
        <w:tab/>
        <w:t>06095_2022_IJ_JMV.pdf”,</w:t>
      </w:r>
      <w:r w:rsidRPr="006F31E7">
        <w:rPr>
          <w:rFonts w:ascii="Palatino Linotype" w:hAnsi="Palatino Linotype"/>
        </w:rPr>
        <w:t xml:space="preserve"> mismo </w:t>
      </w:r>
      <w:r>
        <w:rPr>
          <w:rFonts w:ascii="Palatino Linotype" w:hAnsi="Palatino Linotype"/>
        </w:rPr>
        <w:t>se puso</w:t>
      </w:r>
      <w:r w:rsidRPr="006F31E7">
        <w:rPr>
          <w:rFonts w:ascii="Palatino Linotype" w:hAnsi="Palatino Linotype"/>
        </w:rPr>
        <w:t xml:space="preserve"> a disposición d</w:t>
      </w:r>
      <w:r>
        <w:rPr>
          <w:rFonts w:ascii="Palatino Linotype" w:hAnsi="Palatino Linotype"/>
        </w:rPr>
        <w:t xml:space="preserve">e la Recurrente en fecha 6 (seis) de mayo de </w:t>
      </w:r>
      <w:r w:rsidRPr="006F31E7">
        <w:rPr>
          <w:rFonts w:ascii="Palatino Linotype" w:hAnsi="Palatino Linotype" w:cs="Arial"/>
          <w:lang w:val="es-ES_tradnl"/>
        </w:rPr>
        <w:t>2022 (dos mil veintidós)</w:t>
      </w:r>
      <w:r w:rsidRPr="006F31E7">
        <w:rPr>
          <w:rFonts w:ascii="Palatino Linotype" w:hAnsi="Palatino Linotype"/>
        </w:rPr>
        <w:t xml:space="preserve">, para que en un plazo de tres días </w:t>
      </w:r>
      <w:r>
        <w:rPr>
          <w:rFonts w:ascii="Palatino Linotype" w:hAnsi="Palatino Linotype"/>
        </w:rPr>
        <w:t>manifestará</w:t>
      </w:r>
      <w:r w:rsidRPr="006F31E7">
        <w:rPr>
          <w:rFonts w:ascii="Palatino Linotype" w:hAnsi="Palatino Linotype"/>
        </w:rPr>
        <w:t xml:space="preserve"> lo que a su derecho convenga.</w:t>
      </w:r>
    </w:p>
    <w:p w:rsidR="004C6FFE" w:rsidRPr="006F31E7" w:rsidRDefault="004C6FFE" w:rsidP="004C6FFE">
      <w:pPr>
        <w:spacing w:line="360" w:lineRule="auto"/>
        <w:jc w:val="both"/>
        <w:rPr>
          <w:rFonts w:ascii="Palatino Linotype" w:hAnsi="Palatino Linotype" w:cs="Arial"/>
          <w:lang w:val="es-ES_tradnl"/>
        </w:rPr>
      </w:pPr>
    </w:p>
    <w:p w:rsidR="004C6FFE" w:rsidRDefault="004C6FFE" w:rsidP="004C6FFE">
      <w:pPr>
        <w:pStyle w:val="Prrafodelista"/>
        <w:spacing w:line="360" w:lineRule="auto"/>
        <w:ind w:left="0"/>
        <w:jc w:val="both"/>
        <w:rPr>
          <w:rFonts w:ascii="Palatino Linotype" w:hAnsi="Palatino Linotype" w:cs="Arial"/>
          <w:b/>
          <w:lang w:val="es-ES_tradnl"/>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w:t>
      </w:r>
      <w:r>
        <w:rPr>
          <w:rFonts w:ascii="Palatino Linotype" w:eastAsiaTheme="minorHAnsi" w:hAnsi="Palatino Linotype" w:cs="Arial"/>
          <w:lang w:val="es-MX" w:eastAsia="en-US"/>
        </w:rPr>
        <w:t xml:space="preserve"> pendiente por desahogar, ni más</w:t>
      </w:r>
      <w:r w:rsidRPr="00ED5142">
        <w:rPr>
          <w:rFonts w:ascii="Palatino Linotype" w:eastAsiaTheme="minorHAnsi" w:hAnsi="Palatino Linotype" w:cs="Arial"/>
          <w:lang w:val="es-MX" w:eastAsia="en-US"/>
        </w:rPr>
        <w:t xml:space="preserv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Pr>
          <w:rFonts w:ascii="Palatino Linotype" w:eastAsiaTheme="minorHAnsi" w:hAnsi="Palatino Linotype" w:cs="Arial"/>
          <w:lang w:val="es-MX" w:eastAsia="en-US"/>
        </w:rPr>
        <w:t xml:space="preserve">16 (dieciséis) de mayo de 2022 </w:t>
      </w:r>
      <w:r>
        <w:rPr>
          <w:rFonts w:ascii="Palatino Linotype" w:eastAsiaTheme="minorHAnsi" w:hAnsi="Palatino Linotype" w:cs="Arial"/>
          <w:lang w:val="es-MX" w:eastAsia="en-US"/>
        </w:rPr>
        <w:lastRenderedPageBreak/>
        <w:t>(dos mil veintidós)</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4C6FFE" w:rsidRDefault="004C6FFE" w:rsidP="004C6FFE">
      <w:pPr>
        <w:pStyle w:val="Prrafodelista"/>
        <w:spacing w:line="360" w:lineRule="auto"/>
        <w:ind w:left="0"/>
        <w:jc w:val="both"/>
        <w:rPr>
          <w:rFonts w:ascii="Palatino Linotype" w:eastAsiaTheme="minorHAnsi" w:hAnsi="Palatino Linotype" w:cs="Arial"/>
          <w:lang w:val="es-MX" w:eastAsia="en-US"/>
        </w:rPr>
      </w:pPr>
    </w:p>
    <w:p w:rsidR="004C6FFE" w:rsidRDefault="004C6FFE" w:rsidP="004C6FFE">
      <w:pPr>
        <w:pStyle w:val="Prrafodelista"/>
        <w:spacing w:line="360" w:lineRule="auto"/>
        <w:ind w:left="0"/>
        <w:jc w:val="both"/>
        <w:rPr>
          <w:rFonts w:ascii="Palatino Linotype" w:eastAsiaTheme="minorHAnsi" w:hAnsi="Palatino Linotype" w:cs="Arial"/>
          <w:lang w:val="es-MX" w:eastAsia="en-US"/>
        </w:rPr>
      </w:pPr>
      <w:r w:rsidRPr="00E72B01">
        <w:rPr>
          <w:rFonts w:ascii="Palatino Linotype" w:eastAsiaTheme="minorHAnsi" w:hAnsi="Palatino Linotype" w:cs="Arial"/>
          <w:b/>
          <w:sz w:val="28"/>
          <w:lang w:val="es-MX" w:eastAsia="en-US"/>
        </w:rPr>
        <w:t>OCTAVO</w:t>
      </w:r>
      <w:r w:rsidRPr="003B6892">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De las constancias que integran el expediente en que se actúa, se advierte que e</w:t>
      </w:r>
      <w:r w:rsidRPr="00E72B01">
        <w:rPr>
          <w:rFonts w:ascii="Palatino Linotype" w:eastAsiaTheme="minorHAnsi" w:hAnsi="Palatino Linotype" w:cs="Arial"/>
          <w:lang w:val="es-MX" w:eastAsia="en-US"/>
        </w:rPr>
        <w:t xml:space="preserve">l día </w:t>
      </w:r>
      <w:r>
        <w:rPr>
          <w:rFonts w:ascii="Palatino Linotype" w:eastAsiaTheme="minorHAnsi" w:hAnsi="Palatino Linotype" w:cs="Arial"/>
          <w:lang w:val="es-MX" w:eastAsia="en-US"/>
        </w:rPr>
        <w:t>06 (</w:t>
      </w:r>
      <w:r>
        <w:rPr>
          <w:rFonts w:ascii="Palatino Linotype" w:hAnsi="Palatino Linotype"/>
        </w:rPr>
        <w:t>seis</w:t>
      </w:r>
      <w:r>
        <w:rPr>
          <w:rFonts w:ascii="Palatino Linotype" w:eastAsiaTheme="minorHAnsi" w:hAnsi="Palatino Linotype" w:cs="Arial"/>
          <w:lang w:val="es-MX" w:eastAsia="en-US"/>
        </w:rPr>
        <w:t>) de junio de 2022 (dos mil veintidós)</w:t>
      </w:r>
      <w:r w:rsidRPr="00E72B01">
        <w:rPr>
          <w:rFonts w:ascii="Palatino Linotype" w:eastAsiaTheme="minorHAnsi" w:hAnsi="Palatino Linotype" w:cs="Arial"/>
          <w:lang w:val="es-MX" w:eastAsia="en-US"/>
        </w:rPr>
        <w:t>, en el detalle de seguimiento de</w:t>
      </w:r>
      <w:r>
        <w:rPr>
          <w:rFonts w:ascii="Palatino Linotype" w:eastAsiaTheme="minorHAnsi" w:hAnsi="Palatino Linotype" w:cs="Arial"/>
          <w:lang w:val="es-MX" w:eastAsia="en-US"/>
        </w:rPr>
        <w:t xml:space="preserve"> </w:t>
      </w:r>
      <w:r w:rsidRPr="00E72B01">
        <w:rPr>
          <w:rFonts w:ascii="Palatino Linotype" w:eastAsiaTheme="minorHAnsi" w:hAnsi="Palatino Linotype" w:cs="Arial"/>
          <w:lang w:val="es-MX" w:eastAsia="en-US"/>
        </w:rPr>
        <w:t xml:space="preserve">solicitud, se aprecia que </w:t>
      </w:r>
      <w:r>
        <w:rPr>
          <w:rFonts w:ascii="Palatino Linotype" w:eastAsiaTheme="minorHAnsi" w:hAnsi="Palatino Linotype" w:cs="Arial"/>
          <w:lang w:val="es-MX" w:eastAsia="en-US"/>
        </w:rPr>
        <w:t>la</w:t>
      </w:r>
      <w:r w:rsidRPr="00E72B01">
        <w:rPr>
          <w:rFonts w:ascii="Palatino Linotype" w:eastAsiaTheme="minorHAnsi" w:hAnsi="Palatino Linotype" w:cs="Arial"/>
          <w:lang w:val="es-MX" w:eastAsia="en-US"/>
        </w:rPr>
        <w:t xml:space="preserve"> hoy </w:t>
      </w:r>
      <w:r w:rsidRPr="00E72B01">
        <w:rPr>
          <w:rFonts w:ascii="Palatino Linotype" w:eastAsiaTheme="minorHAnsi" w:hAnsi="Palatino Linotype" w:cs="Arial"/>
          <w:b/>
          <w:lang w:val="es-MX" w:eastAsia="en-US"/>
        </w:rPr>
        <w:t>Recurrente</w:t>
      </w:r>
      <w:r w:rsidRPr="00E72B01">
        <w:rPr>
          <w:rFonts w:ascii="Palatino Linotype" w:eastAsiaTheme="minorHAnsi" w:hAnsi="Palatino Linotype" w:cs="Arial"/>
          <w:lang w:val="es-MX" w:eastAsia="en-US"/>
        </w:rPr>
        <w:t xml:space="preserve"> se desistió del recurso de revisión que</w:t>
      </w:r>
      <w:r>
        <w:rPr>
          <w:rFonts w:ascii="Palatino Linotype" w:eastAsiaTheme="minorHAnsi" w:hAnsi="Palatino Linotype" w:cs="Arial"/>
          <w:lang w:val="es-MX" w:eastAsia="en-US"/>
        </w:rPr>
        <w:t xml:space="preserve"> nos ocupa.</w:t>
      </w:r>
    </w:p>
    <w:p w:rsidR="004C6FFE" w:rsidRPr="00E72B01" w:rsidRDefault="004C6FFE" w:rsidP="004C6FFE">
      <w:pPr>
        <w:pStyle w:val="Prrafodelista"/>
        <w:spacing w:line="360" w:lineRule="auto"/>
        <w:ind w:left="0"/>
        <w:jc w:val="both"/>
        <w:rPr>
          <w:rFonts w:ascii="Palatino Linotype" w:eastAsiaTheme="minorHAnsi" w:hAnsi="Palatino Linotype" w:cs="Arial"/>
          <w:i/>
          <w:sz w:val="22"/>
          <w:lang w:val="es-MX" w:eastAsia="en-US"/>
        </w:rPr>
      </w:pPr>
    </w:p>
    <w:p w:rsidR="004C6FFE" w:rsidRDefault="004C6FFE" w:rsidP="004C6FFE">
      <w:pPr>
        <w:pStyle w:val="Prrafodelista"/>
        <w:spacing w:line="360" w:lineRule="auto"/>
        <w:ind w:left="0"/>
        <w:jc w:val="both"/>
        <w:rPr>
          <w:rFonts w:ascii="Palatino Linotype" w:eastAsiaTheme="minorHAnsi" w:hAnsi="Palatino Linotype" w:cs="Arial"/>
          <w:lang w:val="es-MX" w:eastAsia="en-US"/>
        </w:rPr>
      </w:pPr>
    </w:p>
    <w:p w:rsidR="004C6FFE" w:rsidRDefault="004C6FFE" w:rsidP="004C6FFE">
      <w:pPr>
        <w:pStyle w:val="Prrafodelista"/>
        <w:spacing w:line="360" w:lineRule="auto"/>
        <w:ind w:left="0"/>
        <w:jc w:val="both"/>
        <w:rPr>
          <w:rFonts w:ascii="Palatino Linotype" w:eastAsiaTheme="minorHAnsi" w:hAnsi="Palatino Linotype" w:cs="Arial"/>
          <w:lang w:val="es-MX" w:eastAsia="en-US"/>
        </w:rPr>
      </w:pPr>
    </w:p>
    <w:p w:rsidR="004C6FFE" w:rsidRPr="0024200F" w:rsidRDefault="004C6FFE" w:rsidP="004C6FFE">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4C6FFE" w:rsidRPr="00825F67" w:rsidRDefault="004C6FFE" w:rsidP="004C6FFE">
      <w:pPr>
        <w:spacing w:line="360" w:lineRule="auto"/>
        <w:ind w:right="49"/>
        <w:jc w:val="both"/>
        <w:rPr>
          <w:rFonts w:ascii="Palatino Linotype" w:hAnsi="Palatino Linotype"/>
          <w:szCs w:val="28"/>
        </w:rPr>
      </w:pPr>
    </w:p>
    <w:p w:rsidR="004C6FFE" w:rsidRPr="00FB3150" w:rsidRDefault="004C6FFE" w:rsidP="004C6FFE">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4C6FFE" w:rsidRPr="00EB0CBC" w:rsidRDefault="004C6FFE" w:rsidP="004C6FFE">
      <w:pPr>
        <w:spacing w:line="360" w:lineRule="auto"/>
        <w:jc w:val="both"/>
        <w:rPr>
          <w:rFonts w:ascii="Palatino Linotype" w:hAnsi="Palatino Linotype" w:cs="Arial"/>
        </w:rPr>
      </w:pPr>
      <w:r w:rsidRPr="00EB0CBC">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w:t>
      </w:r>
      <w:r w:rsidRPr="00EB0CBC">
        <w:rPr>
          <w:rFonts w:ascii="Palatino Linotype" w:hAnsi="Palatino Linotype" w:cs="Arial"/>
          <w:b/>
        </w:rPr>
        <w:t>Recurrente</w:t>
      </w:r>
      <w:r w:rsidRPr="00EB0CBC">
        <w:rPr>
          <w:rFonts w:ascii="Palatino Linotype" w:hAnsi="Palatino Linotype" w:cs="Arial"/>
        </w:rPr>
        <w:t>,</w:t>
      </w:r>
      <w:r w:rsidRPr="00EB0CBC">
        <w:rPr>
          <w:rFonts w:ascii="Palatino Linotype" w:hAnsi="Palatino Linotype" w:cs="Arial"/>
          <w:b/>
        </w:rPr>
        <w:t xml:space="preserve"> </w:t>
      </w:r>
      <w:r w:rsidRPr="00EB0CBC">
        <w:rPr>
          <w:rFonts w:ascii="Palatino Linotype" w:hAnsi="Palatino Linotype" w:cs="Arial"/>
        </w:rPr>
        <w:t xml:space="preserve">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w:t>
      </w:r>
      <w:r w:rsidRPr="00EB0CBC">
        <w:rPr>
          <w:rFonts w:ascii="Palatino Linotype" w:hAnsi="Palatino Linotype" w:cs="Arial"/>
        </w:rPr>
        <w:lastRenderedPageBreak/>
        <w:t>Instituto de Transparencia, Acceso a la Información Pública y Protección de Datos Personales del Estado de México y Municipios.</w:t>
      </w:r>
    </w:p>
    <w:p w:rsidR="004C6FFE" w:rsidRDefault="004C6FFE" w:rsidP="004C6FFE">
      <w:pPr>
        <w:spacing w:line="360" w:lineRule="auto"/>
        <w:jc w:val="both"/>
        <w:rPr>
          <w:rFonts w:ascii="Palatino Linotype" w:hAnsi="Palatino Linotype" w:cs="Arial"/>
        </w:rPr>
      </w:pPr>
    </w:p>
    <w:p w:rsidR="004C6FFE" w:rsidRPr="00CC1F73" w:rsidRDefault="004C6FFE" w:rsidP="004C6FFE">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CC1F73">
        <w:rPr>
          <w:rFonts w:ascii="Palatino Linotype" w:eastAsiaTheme="minorHAnsi" w:hAnsi="Palatino Linotype" w:cs="Arial"/>
          <w:b/>
          <w:sz w:val="28"/>
          <w:szCs w:val="28"/>
          <w:lang w:val="es-MX" w:eastAsia="en-US"/>
        </w:rPr>
        <w:t xml:space="preserve">SEGUNDO. </w:t>
      </w:r>
      <w:r w:rsidRPr="00CC1F73">
        <w:rPr>
          <w:rFonts w:ascii="Palatino Linotype" w:eastAsiaTheme="minorHAnsi" w:hAnsi="Palatino Linotype" w:cs="Arial"/>
          <w:b/>
          <w:sz w:val="26"/>
          <w:szCs w:val="26"/>
          <w:lang w:val="es-MX" w:eastAsia="en-US"/>
        </w:rPr>
        <w:t>Alcances del recurso de revisión.</w:t>
      </w:r>
      <w:r w:rsidRPr="00CC1F73">
        <w:rPr>
          <w:rFonts w:ascii="Palatino Linotype" w:eastAsiaTheme="minorHAnsi" w:hAnsi="Palatino Linotype" w:cs="Arial"/>
          <w:b/>
          <w:sz w:val="28"/>
          <w:szCs w:val="28"/>
          <w:lang w:val="es-MX" w:eastAsia="en-US"/>
        </w:rPr>
        <w:t xml:space="preserve"> </w:t>
      </w:r>
    </w:p>
    <w:p w:rsidR="004C6FFE" w:rsidRPr="00CC1F73" w:rsidRDefault="004C6FFE" w:rsidP="004C6FFE">
      <w:pPr>
        <w:autoSpaceDE w:val="0"/>
        <w:autoSpaceDN w:val="0"/>
        <w:adjustRightInd w:val="0"/>
        <w:spacing w:line="360" w:lineRule="auto"/>
        <w:jc w:val="both"/>
        <w:rPr>
          <w:rFonts w:ascii="Palatino Linotype" w:hAnsi="Palatino Linotype" w:cs="Arial"/>
        </w:rPr>
      </w:pPr>
      <w:r w:rsidRPr="00CC1F73">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4C6FFE" w:rsidRPr="00CC1F73" w:rsidRDefault="004C6FFE" w:rsidP="004C6FFE">
      <w:pPr>
        <w:autoSpaceDE w:val="0"/>
        <w:autoSpaceDN w:val="0"/>
        <w:adjustRightInd w:val="0"/>
        <w:spacing w:line="360" w:lineRule="auto"/>
        <w:jc w:val="both"/>
        <w:rPr>
          <w:rFonts w:ascii="Palatino Linotype" w:hAnsi="Palatino Linotype" w:cs="Arial"/>
        </w:rPr>
      </w:pPr>
    </w:p>
    <w:p w:rsidR="004C6FFE" w:rsidRPr="00CC1F73" w:rsidRDefault="004C6FFE" w:rsidP="004C6FFE">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 xml:space="preserve">Así mismo, esta Ponencia considera importante abordar el análisis de los requisitos de </w:t>
      </w:r>
      <w:proofErr w:type="spellStart"/>
      <w:r w:rsidRPr="00CC1F73">
        <w:rPr>
          <w:rFonts w:ascii="Palatino Linotype" w:eastAsiaTheme="minorHAnsi" w:hAnsi="Palatino Linotype" w:cs="Arial"/>
          <w:lang w:val="es-MX" w:eastAsia="en-US"/>
        </w:rPr>
        <w:t>procedibilidad</w:t>
      </w:r>
      <w:proofErr w:type="spellEnd"/>
      <w:r w:rsidRPr="00CC1F73">
        <w:rPr>
          <w:rFonts w:ascii="Palatino Linotype" w:eastAsiaTheme="minorHAnsi" w:hAnsi="Palatino Linotype" w:cs="Arial"/>
          <w:lang w:val="es-MX" w:eastAsia="en-US"/>
        </w:rPr>
        <w:t xml:space="preserve"> de los recursos de revisión, así el artículo 180 de la Ley de Transparencia y Acceso a la Información Pública del Estado de México y Municipios, que establece lo siguiente:</w:t>
      </w:r>
    </w:p>
    <w:p w:rsidR="004C6FFE" w:rsidRPr="00CC1F73" w:rsidRDefault="004C6FFE" w:rsidP="004C6FFE">
      <w:pPr>
        <w:autoSpaceDE w:val="0"/>
        <w:autoSpaceDN w:val="0"/>
        <w:adjustRightInd w:val="0"/>
        <w:spacing w:line="360" w:lineRule="auto"/>
        <w:jc w:val="both"/>
        <w:rPr>
          <w:rFonts w:ascii="Palatino Linotype" w:eastAsiaTheme="minorHAnsi" w:hAnsi="Palatino Linotype" w:cs="Arial"/>
          <w:lang w:val="es-MX" w:eastAsia="en-US"/>
        </w:rPr>
      </w:pP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Artículo 180</w:t>
      </w:r>
      <w:r w:rsidRPr="00CC1F73">
        <w:rPr>
          <w:rFonts w:ascii="Palatino Linotype" w:eastAsiaTheme="minorHAnsi" w:hAnsi="Palatino Linotype" w:cs="Arial"/>
          <w:i/>
          <w:sz w:val="22"/>
          <w:lang w:val="es-MX" w:eastAsia="en-US"/>
        </w:rPr>
        <w:t xml:space="preserve">. El recurso de revisión contendrá: </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xml:space="preserve">. El Sujeto Obligado ante la cual se presentó la solicitud; </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w:t>
      </w:r>
      <w:r w:rsidRPr="00CC1F73">
        <w:rPr>
          <w:rFonts w:ascii="Palatino Linotype" w:eastAsiaTheme="minorHAnsi" w:hAnsi="Palatino Linotype" w:cs="Arial"/>
          <w:i/>
          <w:sz w:val="22"/>
          <w:lang w:val="es-MX" w:eastAsia="en-US"/>
        </w:rPr>
        <w:t xml:space="preserve">. </w:t>
      </w:r>
      <w:r w:rsidRPr="003B6892">
        <w:rPr>
          <w:rFonts w:ascii="Palatino Linotype" w:eastAsiaTheme="minorHAnsi" w:hAnsi="Palatino Linotype" w:cs="Arial"/>
          <w:i/>
          <w:sz w:val="22"/>
          <w:lang w:val="es-MX" w:eastAsia="en-US"/>
        </w:rPr>
        <w:t>El nombre del solicitante</w:t>
      </w:r>
      <w:r w:rsidRPr="00CC1F73">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III</w:t>
      </w:r>
      <w:r w:rsidRPr="00CC1F73">
        <w:rPr>
          <w:rFonts w:ascii="Palatino Linotype" w:eastAsiaTheme="minorHAnsi" w:hAnsi="Palatino Linotype" w:cs="Arial"/>
          <w:i/>
          <w:sz w:val="22"/>
          <w:lang w:val="es-MX" w:eastAsia="en-US"/>
        </w:rPr>
        <w:t xml:space="preserve">. El número de folio de respuesta de la solicitud de acceso; </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IV</w:t>
      </w:r>
      <w:r w:rsidRPr="00CC1F73">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w:t>
      </w:r>
      <w:r w:rsidRPr="00CC1F73">
        <w:rPr>
          <w:rFonts w:ascii="Palatino Linotype" w:eastAsiaTheme="minorHAnsi" w:hAnsi="Palatino Linotype" w:cs="Arial"/>
          <w:i/>
          <w:sz w:val="22"/>
          <w:lang w:val="es-MX" w:eastAsia="en-US"/>
        </w:rPr>
        <w:t xml:space="preserve">. El acto que se recurre; </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w:t>
      </w:r>
      <w:r w:rsidRPr="00CC1F73">
        <w:rPr>
          <w:rFonts w:ascii="Palatino Linotype" w:eastAsiaTheme="minorHAnsi" w:hAnsi="Palatino Linotype" w:cs="Arial"/>
          <w:i/>
          <w:sz w:val="22"/>
          <w:lang w:val="es-MX" w:eastAsia="en-US"/>
        </w:rPr>
        <w:t xml:space="preserve">. Las razones o motivos de inconformidad; </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VII</w:t>
      </w:r>
      <w:r w:rsidRPr="00CC1F73">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lastRenderedPageBreak/>
        <w:t>VIII</w:t>
      </w:r>
      <w:r w:rsidRPr="00CC1F73">
        <w:rPr>
          <w:rFonts w:ascii="Palatino Linotype" w:eastAsiaTheme="minorHAnsi" w:hAnsi="Palatino Linotype" w:cs="Arial"/>
          <w:i/>
          <w:sz w:val="22"/>
          <w:lang w:val="es-MX" w:eastAsia="en-US"/>
        </w:rPr>
        <w:t>. Firma d</w:t>
      </w:r>
      <w:r>
        <w:rPr>
          <w:rFonts w:ascii="Palatino Linotype" w:eastAsiaTheme="minorHAnsi" w:hAnsi="Palatino Linotype" w:cs="Arial"/>
          <w:i/>
          <w:sz w:val="22"/>
          <w:lang w:val="es-MX" w:eastAsia="en-US"/>
        </w:rPr>
        <w:t>el Recurrente</w:t>
      </w:r>
      <w:r w:rsidRPr="00CC1F73">
        <w:rPr>
          <w:rFonts w:ascii="Palatino Linotype" w:eastAsiaTheme="minorHAnsi" w:hAnsi="Palatino Linotype" w:cs="Arial"/>
          <w:i/>
          <w:sz w:val="22"/>
          <w:lang w:val="es-MX" w:eastAsia="en-US"/>
        </w:rPr>
        <w:t xml:space="preserve">, en su caso, cuando se presente por escrito, requisito sin el cual se dará trámite al recurso. </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 xml:space="preserve">En ningún caso será necesario que el particular ratifique el recurso de revisión interpuesto. </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u w:val="single"/>
          <w:lang w:val="es-MX" w:eastAsia="en-US"/>
        </w:rPr>
      </w:pPr>
      <w:r w:rsidRPr="00CC1F73">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p>
    <w:p w:rsidR="004C6FFE" w:rsidRDefault="004C6FFE" w:rsidP="004C6FFE">
      <w:pPr>
        <w:autoSpaceDE w:val="0"/>
        <w:autoSpaceDN w:val="0"/>
        <w:adjustRightInd w:val="0"/>
        <w:ind w:left="567" w:right="567"/>
        <w:jc w:val="right"/>
        <w:rPr>
          <w:rFonts w:ascii="Palatino Linotype" w:eastAsiaTheme="minorHAnsi" w:hAnsi="Palatino Linotype" w:cs="Arial"/>
          <w:sz w:val="22"/>
          <w:lang w:val="es-MX" w:eastAsia="en-US"/>
        </w:rPr>
      </w:pPr>
      <w:r w:rsidRPr="00CC1F73">
        <w:rPr>
          <w:rFonts w:ascii="Palatino Linotype" w:eastAsiaTheme="minorHAnsi" w:hAnsi="Palatino Linotype" w:cs="Arial"/>
          <w:sz w:val="22"/>
          <w:lang w:val="es-MX" w:eastAsia="en-US"/>
        </w:rPr>
        <w:t>(Énfasis añadido)</w:t>
      </w:r>
    </w:p>
    <w:p w:rsidR="004C6FFE" w:rsidRPr="003B6892" w:rsidRDefault="004C6FFE" w:rsidP="004C6FFE">
      <w:pPr>
        <w:autoSpaceDE w:val="0"/>
        <w:autoSpaceDN w:val="0"/>
        <w:adjustRightInd w:val="0"/>
        <w:ind w:left="567" w:right="567"/>
        <w:jc w:val="right"/>
        <w:rPr>
          <w:rFonts w:ascii="Palatino Linotype" w:eastAsiaTheme="minorHAnsi" w:hAnsi="Palatino Linotype" w:cs="Arial"/>
          <w:sz w:val="22"/>
          <w:lang w:val="es-MX" w:eastAsia="en-US"/>
        </w:rPr>
      </w:pPr>
    </w:p>
    <w:p w:rsidR="004C6FFE" w:rsidRDefault="004C6FFE" w:rsidP="004C6FFE">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CC1F73">
        <w:rPr>
          <w:rFonts w:ascii="Palatino Linotype" w:eastAsiaTheme="minorHAnsi" w:hAnsi="Palatino Linotype" w:cs="Arial"/>
          <w:i/>
          <w:lang w:val="es-MX" w:eastAsia="en-US"/>
        </w:rPr>
        <w:t>sine qua non</w:t>
      </w:r>
      <w:r w:rsidRPr="00CC1F73">
        <w:rPr>
          <w:rFonts w:ascii="Palatino Linotype" w:eastAsiaTheme="minorHAnsi" w:hAnsi="Palatino Linotype" w:cs="Arial"/>
          <w:lang w:val="es-MX"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4C6FFE" w:rsidRPr="00CC1F73" w:rsidRDefault="004C6FFE" w:rsidP="004C6FFE">
      <w:pPr>
        <w:autoSpaceDE w:val="0"/>
        <w:autoSpaceDN w:val="0"/>
        <w:adjustRightInd w:val="0"/>
        <w:spacing w:line="360" w:lineRule="auto"/>
        <w:jc w:val="both"/>
        <w:rPr>
          <w:rFonts w:ascii="Palatino Linotype" w:eastAsiaTheme="minorHAnsi" w:hAnsi="Palatino Linotype" w:cs="Arial"/>
          <w:lang w:val="es-MX" w:eastAsia="en-US"/>
        </w:rPr>
      </w:pPr>
    </w:p>
    <w:p w:rsidR="004C6FFE" w:rsidRDefault="004C6FFE" w:rsidP="004C6FFE">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4C6FFE" w:rsidRPr="00CC1F73" w:rsidRDefault="004C6FFE" w:rsidP="004C6FFE">
      <w:pPr>
        <w:autoSpaceDE w:val="0"/>
        <w:autoSpaceDN w:val="0"/>
        <w:adjustRightInd w:val="0"/>
        <w:spacing w:line="360" w:lineRule="auto"/>
        <w:jc w:val="both"/>
        <w:rPr>
          <w:rFonts w:ascii="Palatino Linotype" w:eastAsiaTheme="minorHAnsi" w:hAnsi="Palatino Linotype" w:cs="Arial"/>
          <w:lang w:val="es-MX" w:eastAsia="en-US"/>
        </w:rPr>
      </w:pPr>
    </w:p>
    <w:p w:rsidR="004C6FFE" w:rsidRPr="00CC1F73" w:rsidRDefault="004C6FFE" w:rsidP="004C6FFE">
      <w:pPr>
        <w:autoSpaceDE w:val="0"/>
        <w:autoSpaceDN w:val="0"/>
        <w:adjustRightInd w:val="0"/>
        <w:jc w:val="center"/>
        <w:rPr>
          <w:rFonts w:ascii="Palatino Linotype" w:eastAsiaTheme="minorHAnsi" w:hAnsi="Palatino Linotype" w:cs="Arial"/>
          <w:b/>
          <w:i/>
          <w:sz w:val="22"/>
          <w:szCs w:val="22"/>
          <w:lang w:val="es-MX" w:eastAsia="en-US"/>
        </w:rPr>
      </w:pPr>
      <w:r w:rsidRPr="00CC1F73">
        <w:rPr>
          <w:rFonts w:ascii="Palatino Linotype" w:eastAsiaTheme="minorHAnsi" w:hAnsi="Palatino Linotype" w:cs="Arial"/>
          <w:b/>
          <w:i/>
          <w:sz w:val="22"/>
          <w:szCs w:val="22"/>
          <w:lang w:val="es-MX" w:eastAsia="en-US"/>
        </w:rPr>
        <w:t>Constitución Política de los Estados Unidos Mexicanos</w:t>
      </w:r>
    </w:p>
    <w:p w:rsidR="004C6FFE" w:rsidRPr="00CC1F73" w:rsidRDefault="004C6FFE" w:rsidP="004C6FFE">
      <w:pPr>
        <w:autoSpaceDE w:val="0"/>
        <w:autoSpaceDN w:val="0"/>
        <w:adjustRightInd w:val="0"/>
        <w:jc w:val="both"/>
        <w:rPr>
          <w:rFonts w:ascii="Palatino Linotype" w:eastAsiaTheme="minorHAnsi" w:hAnsi="Palatino Linotype" w:cs="Arial"/>
          <w:sz w:val="22"/>
          <w:szCs w:val="22"/>
          <w:lang w:val="es-MX" w:eastAsia="en-US"/>
        </w:rPr>
      </w:pP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szCs w:val="22"/>
          <w:lang w:val="es-MX" w:eastAsia="en-US"/>
        </w:rPr>
      </w:pPr>
      <w:r w:rsidRPr="00CC1F73">
        <w:rPr>
          <w:rFonts w:ascii="Palatino Linotype" w:eastAsiaTheme="minorHAnsi" w:hAnsi="Palatino Linotype" w:cs="Arial"/>
          <w:i/>
          <w:sz w:val="22"/>
          <w:szCs w:val="22"/>
          <w:lang w:val="es-MX" w:eastAsia="en-US"/>
        </w:rPr>
        <w:t>“</w:t>
      </w:r>
      <w:r w:rsidRPr="00CC1F73">
        <w:rPr>
          <w:rFonts w:ascii="Palatino Linotype" w:eastAsiaTheme="minorHAnsi" w:hAnsi="Palatino Linotype" w:cs="Arial"/>
          <w:b/>
          <w:i/>
          <w:sz w:val="22"/>
          <w:szCs w:val="22"/>
          <w:lang w:val="es-MX" w:eastAsia="en-US"/>
        </w:rPr>
        <w:t>Artículo 6o</w:t>
      </w:r>
      <w:r w:rsidRPr="00CC1F73">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Para efectos de lo dispuesto en el presente artículo se observará lo siguiente:</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A</w:t>
      </w:r>
      <w:r w:rsidRPr="00CC1F73">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III.</w:t>
      </w:r>
      <w:r w:rsidRPr="00CC1F73">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w:t>
      </w:r>
      <w:r w:rsidRPr="00CC1F73">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w:t>
      </w:r>
      <w:r w:rsidRPr="00CC1F73">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La ley establecerá aquella información que se considere reservada o confidencial.</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p>
    <w:p w:rsidR="004C6FFE" w:rsidRPr="00CC1F73" w:rsidRDefault="004C6FFE" w:rsidP="004C6FFE">
      <w:pPr>
        <w:autoSpaceDE w:val="0"/>
        <w:autoSpaceDN w:val="0"/>
        <w:adjustRightInd w:val="0"/>
        <w:ind w:left="567" w:right="567"/>
        <w:jc w:val="center"/>
        <w:rPr>
          <w:rFonts w:ascii="Palatino Linotype" w:eastAsiaTheme="minorHAnsi" w:hAnsi="Palatino Linotype" w:cs="Arial"/>
          <w:b/>
          <w:i/>
          <w:sz w:val="22"/>
          <w:lang w:val="es-MX" w:eastAsia="en-US"/>
        </w:rPr>
      </w:pPr>
      <w:r w:rsidRPr="00CC1F73">
        <w:rPr>
          <w:rFonts w:ascii="Palatino Linotype" w:eastAsiaTheme="minorHAnsi" w:hAnsi="Palatino Linotype" w:cs="Arial"/>
          <w:b/>
          <w:i/>
          <w:sz w:val="22"/>
          <w:lang w:val="es-MX" w:eastAsia="en-US"/>
        </w:rPr>
        <w:t>Constitución Política del Estado Libre y Soberano de México</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Artículo 5</w:t>
      </w:r>
      <w:r w:rsidRPr="00CC1F73">
        <w:rPr>
          <w:rFonts w:ascii="Palatino Linotype" w:eastAsiaTheme="minorHAnsi" w:hAnsi="Palatino Linotype" w:cs="Arial"/>
          <w:i/>
          <w:sz w:val="22"/>
          <w:lang w:val="es-MX" w:eastAsia="en-US"/>
        </w:rPr>
        <w:t xml:space="preserve">. … </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Este derecho se regirá por los principios y bases siguientes:</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III</w:t>
      </w:r>
      <w:r w:rsidRPr="00CC1F73">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4C6FFE" w:rsidRPr="00CC1F73" w:rsidRDefault="004C6FFE" w:rsidP="004C6FFE">
      <w:pPr>
        <w:autoSpaceDE w:val="0"/>
        <w:autoSpaceDN w:val="0"/>
        <w:adjustRightInd w:val="0"/>
        <w:ind w:left="567" w:right="567"/>
        <w:jc w:val="right"/>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(Énfasis añadido)</w:t>
      </w:r>
    </w:p>
    <w:p w:rsidR="004C6FFE" w:rsidRPr="00CC1F73" w:rsidRDefault="004C6FFE" w:rsidP="004C6FFE">
      <w:pPr>
        <w:autoSpaceDE w:val="0"/>
        <w:autoSpaceDN w:val="0"/>
        <w:adjustRightInd w:val="0"/>
        <w:spacing w:line="360" w:lineRule="auto"/>
        <w:jc w:val="both"/>
        <w:rPr>
          <w:rFonts w:ascii="Palatino Linotype" w:eastAsiaTheme="minorHAnsi" w:hAnsi="Palatino Linotype" w:cs="Arial"/>
          <w:lang w:val="es-MX" w:eastAsia="en-US"/>
        </w:rPr>
      </w:pPr>
    </w:p>
    <w:p w:rsidR="004C6FFE" w:rsidRPr="00CC1F73" w:rsidRDefault="004C6FFE" w:rsidP="004C6FFE">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4C6FFE" w:rsidRPr="00CC1F73" w:rsidRDefault="004C6FFE" w:rsidP="004C6FFE">
      <w:pPr>
        <w:autoSpaceDE w:val="0"/>
        <w:autoSpaceDN w:val="0"/>
        <w:adjustRightInd w:val="0"/>
        <w:spacing w:line="360" w:lineRule="auto"/>
        <w:jc w:val="both"/>
        <w:rPr>
          <w:rFonts w:ascii="Palatino Linotype" w:eastAsiaTheme="minorHAnsi" w:hAnsi="Palatino Linotype" w:cs="Arial"/>
          <w:lang w:val="es-MX" w:eastAsia="en-US"/>
        </w:rPr>
      </w:pP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Artículo 1o.</w:t>
      </w:r>
      <w:r w:rsidRPr="00CC1F73">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lastRenderedPageBreak/>
        <w:t>Las normas relativas a los derechos humanos se interpretarán de conformidad con esta Constitución y con los tratados internacionales de la materia favoreciendo en todo tiempo a las personas la protección más amplia.</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C6FFE" w:rsidRDefault="004C6FFE" w:rsidP="004C6FFE">
      <w:pPr>
        <w:autoSpaceDE w:val="0"/>
        <w:autoSpaceDN w:val="0"/>
        <w:adjustRightInd w:val="0"/>
        <w:spacing w:line="360" w:lineRule="auto"/>
        <w:jc w:val="both"/>
        <w:rPr>
          <w:rFonts w:ascii="Palatino Linotype" w:eastAsiaTheme="minorHAnsi" w:hAnsi="Palatino Linotype" w:cs="Arial"/>
          <w:lang w:val="es-MX" w:eastAsia="en-US"/>
        </w:rPr>
      </w:pPr>
    </w:p>
    <w:p w:rsidR="004C6FFE" w:rsidRPr="00CC1F73" w:rsidRDefault="004C6FFE" w:rsidP="004C6FFE">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C6FFE" w:rsidRPr="00CC1F73" w:rsidRDefault="004C6FFE" w:rsidP="004C6FFE">
      <w:pPr>
        <w:autoSpaceDE w:val="0"/>
        <w:autoSpaceDN w:val="0"/>
        <w:adjustRightInd w:val="0"/>
        <w:spacing w:line="360" w:lineRule="auto"/>
        <w:jc w:val="both"/>
        <w:rPr>
          <w:rFonts w:ascii="Palatino Linotype" w:eastAsiaTheme="minorHAnsi" w:hAnsi="Palatino Linotype" w:cs="Arial"/>
          <w:lang w:val="es-MX" w:eastAsia="en-US"/>
        </w:rPr>
      </w:pPr>
    </w:p>
    <w:p w:rsidR="004C6FFE" w:rsidRDefault="004C6FFE" w:rsidP="004C6FFE">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4C6FFE" w:rsidRDefault="004C6FFE" w:rsidP="004C6FFE">
      <w:pPr>
        <w:autoSpaceDE w:val="0"/>
        <w:autoSpaceDN w:val="0"/>
        <w:adjustRightInd w:val="0"/>
        <w:spacing w:line="360" w:lineRule="auto"/>
        <w:jc w:val="both"/>
        <w:rPr>
          <w:rFonts w:ascii="Palatino Linotype" w:eastAsiaTheme="minorHAnsi" w:hAnsi="Palatino Linotype" w:cs="Arial"/>
          <w:lang w:val="es-MX" w:eastAsia="en-US"/>
        </w:rPr>
      </w:pP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CC1F73">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w:t>
      </w:r>
      <w:r w:rsidRPr="00CC1F73">
        <w:rPr>
          <w:rFonts w:ascii="Palatino Linotype" w:eastAsiaTheme="minorHAnsi" w:hAnsi="Palatino Linotype" w:cs="Arial"/>
          <w:i/>
          <w:sz w:val="22"/>
          <w:lang w:val="es-MX" w:eastAsia="en-US"/>
        </w:rPr>
        <w:lastRenderedPageBreak/>
        <w:t>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2"/>
          <w:lang w:val="es-MX" w:eastAsia="en-US"/>
        </w:rPr>
      </w:pPr>
    </w:p>
    <w:p w:rsidR="004C6FFE" w:rsidRPr="00CC1F73" w:rsidRDefault="004C6FFE" w:rsidP="004C6FFE">
      <w:pPr>
        <w:autoSpaceDE w:val="0"/>
        <w:autoSpaceDN w:val="0"/>
        <w:adjustRightInd w:val="0"/>
        <w:ind w:left="567" w:right="567"/>
        <w:jc w:val="both"/>
        <w:rPr>
          <w:rFonts w:ascii="Palatino Linotype" w:eastAsiaTheme="minorHAnsi" w:hAnsi="Palatino Linotype" w:cs="Arial"/>
          <w:b/>
          <w:i/>
          <w:sz w:val="20"/>
          <w:lang w:val="es-MX" w:eastAsia="en-US"/>
        </w:rPr>
      </w:pPr>
      <w:r w:rsidRPr="00CC1F73">
        <w:rPr>
          <w:rFonts w:ascii="Palatino Linotype" w:eastAsiaTheme="minorHAnsi" w:hAnsi="Palatino Linotype" w:cs="Arial"/>
          <w:b/>
          <w:i/>
          <w:sz w:val="20"/>
          <w:lang w:val="es-MX" w:eastAsia="en-US"/>
        </w:rPr>
        <w:t>Resoluciones</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5275/13.</w:t>
      </w:r>
      <w:r w:rsidRPr="00CC1F73">
        <w:rPr>
          <w:rFonts w:ascii="Palatino Linotype" w:eastAsiaTheme="minorHAnsi" w:hAnsi="Palatino Linotype" w:cs="Arial"/>
          <w:i/>
          <w:sz w:val="20"/>
          <w:lang w:val="es-MX" w:eastAsia="en-US"/>
        </w:rPr>
        <w:t xml:space="preserve"> Interpuesto en contra de la Secretaría de la Defensa Nacional. Comisionado Ponente Ángel Trinidad Zaldívar.</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2937/13.</w:t>
      </w:r>
      <w:r w:rsidRPr="00CC1F73">
        <w:rPr>
          <w:rFonts w:ascii="Palatino Linotype" w:eastAsiaTheme="minorHAnsi" w:hAnsi="Palatino Linotype" w:cs="Arial"/>
          <w:i/>
          <w:sz w:val="20"/>
          <w:lang w:val="es-MX" w:eastAsia="en-US"/>
        </w:rPr>
        <w:t xml:space="preserve"> Interpuesto en contra de LICONSA, S.A. de C.V. Comisionado. Ponente Gerardo </w:t>
      </w:r>
      <w:proofErr w:type="spellStart"/>
      <w:r w:rsidRPr="00CC1F73">
        <w:rPr>
          <w:rFonts w:ascii="Palatino Linotype" w:eastAsiaTheme="minorHAnsi" w:hAnsi="Palatino Linotype" w:cs="Arial"/>
          <w:i/>
          <w:sz w:val="20"/>
          <w:lang w:val="es-MX" w:eastAsia="en-US"/>
        </w:rPr>
        <w:t>Laveaga</w:t>
      </w:r>
      <w:proofErr w:type="spellEnd"/>
      <w:r w:rsidRPr="00CC1F73">
        <w:rPr>
          <w:rFonts w:ascii="Palatino Linotype" w:eastAsiaTheme="minorHAnsi" w:hAnsi="Palatino Linotype" w:cs="Arial"/>
          <w:i/>
          <w:sz w:val="20"/>
          <w:lang w:val="es-MX" w:eastAsia="en-US"/>
        </w:rPr>
        <w:t xml:space="preserve"> Rendón.</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3609/12.</w:t>
      </w:r>
      <w:r w:rsidRPr="00CC1F73">
        <w:rPr>
          <w:rFonts w:ascii="Palatino Linotype" w:eastAsiaTheme="minorHAnsi" w:hAnsi="Palatino Linotype" w:cs="Arial"/>
          <w:i/>
          <w:sz w:val="20"/>
          <w:lang w:val="es-MX" w:eastAsia="en-US"/>
        </w:rPr>
        <w:t xml:space="preserve"> Interpuesto en contra de la Secretaría de Educación Pública. Comisionada Ponente Sigrid </w:t>
      </w:r>
      <w:proofErr w:type="spellStart"/>
      <w:r w:rsidRPr="00CC1F73">
        <w:rPr>
          <w:rFonts w:ascii="Palatino Linotype" w:eastAsiaTheme="minorHAnsi" w:hAnsi="Palatino Linotype" w:cs="Arial"/>
          <w:i/>
          <w:sz w:val="20"/>
          <w:lang w:val="es-MX" w:eastAsia="en-US"/>
        </w:rPr>
        <w:t>Arzt</w:t>
      </w:r>
      <w:proofErr w:type="spellEnd"/>
      <w:r w:rsidRPr="00CC1F73">
        <w:rPr>
          <w:rFonts w:ascii="Palatino Linotype" w:eastAsiaTheme="minorHAnsi" w:hAnsi="Palatino Linotype" w:cs="Arial"/>
          <w:i/>
          <w:sz w:val="20"/>
          <w:lang w:val="es-MX" w:eastAsia="en-US"/>
        </w:rPr>
        <w:t xml:space="preserve"> Colunga.</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3361/12.</w:t>
      </w:r>
      <w:r w:rsidRPr="00CC1F73">
        <w:rPr>
          <w:rFonts w:ascii="Palatino Linotype" w:eastAsiaTheme="minorHAnsi" w:hAnsi="Palatino Linotype" w:cs="Arial"/>
          <w:i/>
          <w:sz w:val="20"/>
          <w:lang w:val="es-MX" w:eastAsia="en-US"/>
        </w:rPr>
        <w:t xml:space="preserve"> Interpuesto en contra del Servicio de Administración Tributaria. Comisionada Ponente María Elena Pérez-Jaén Zermeño.</w:t>
      </w:r>
    </w:p>
    <w:p w:rsidR="004C6FFE" w:rsidRPr="00CC1F73" w:rsidRDefault="004C6FFE" w:rsidP="004C6FFE">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0563/12.</w:t>
      </w:r>
      <w:r w:rsidRPr="00CC1F73">
        <w:rPr>
          <w:rFonts w:ascii="Palatino Linotype" w:eastAsiaTheme="minorHAnsi" w:hAnsi="Palatino Linotype" w:cs="Arial"/>
          <w:i/>
          <w:sz w:val="20"/>
          <w:lang w:val="es-MX" w:eastAsia="en-US"/>
        </w:rPr>
        <w:t xml:space="preserve"> Interpuesto en contra de la Secretaría de la Función Pública. Comisionada Ponente Jacqueline </w:t>
      </w:r>
      <w:proofErr w:type="spellStart"/>
      <w:r w:rsidRPr="00CC1F73">
        <w:rPr>
          <w:rFonts w:ascii="Palatino Linotype" w:eastAsiaTheme="minorHAnsi" w:hAnsi="Palatino Linotype" w:cs="Arial"/>
          <w:i/>
          <w:sz w:val="20"/>
          <w:lang w:val="es-MX" w:eastAsia="en-US"/>
        </w:rPr>
        <w:t>Peschard</w:t>
      </w:r>
      <w:proofErr w:type="spellEnd"/>
      <w:r w:rsidRPr="00CC1F73">
        <w:rPr>
          <w:rFonts w:ascii="Palatino Linotype" w:eastAsiaTheme="minorHAnsi" w:hAnsi="Palatino Linotype" w:cs="Arial"/>
          <w:i/>
          <w:sz w:val="20"/>
          <w:lang w:val="es-MX" w:eastAsia="en-US"/>
        </w:rPr>
        <w:t xml:space="preserve"> Mariscal.”</w:t>
      </w:r>
    </w:p>
    <w:p w:rsidR="004C6FFE" w:rsidRPr="00CC1F73" w:rsidRDefault="004C6FFE" w:rsidP="004C6FFE">
      <w:pPr>
        <w:autoSpaceDE w:val="0"/>
        <w:autoSpaceDN w:val="0"/>
        <w:adjustRightInd w:val="0"/>
        <w:spacing w:line="360" w:lineRule="auto"/>
        <w:jc w:val="both"/>
        <w:rPr>
          <w:rFonts w:ascii="Palatino Linotype" w:eastAsiaTheme="minorHAnsi" w:hAnsi="Palatino Linotype" w:cs="Arial"/>
          <w:lang w:val="es-MX" w:eastAsia="en-US"/>
        </w:rPr>
      </w:pPr>
    </w:p>
    <w:p w:rsidR="004C6FFE" w:rsidRDefault="004C6FFE" w:rsidP="004C6FFE">
      <w:pPr>
        <w:spacing w:line="360" w:lineRule="auto"/>
        <w:ind w:right="49"/>
        <w:jc w:val="both"/>
        <w:rPr>
          <w:rFonts w:ascii="Palatino Linotype" w:hAnsi="Palatino Linotype" w:cs="Arial"/>
        </w:rPr>
      </w:pPr>
    </w:p>
    <w:p w:rsidR="004C6FFE" w:rsidRPr="0047590A" w:rsidRDefault="004C6FFE" w:rsidP="004C6FFE">
      <w:pPr>
        <w:spacing w:line="360" w:lineRule="auto"/>
        <w:jc w:val="both"/>
        <w:rPr>
          <w:rFonts w:ascii="Palatino Linotype" w:eastAsiaTheme="minorEastAsia" w:hAnsi="Palatino Linotype" w:cs="Arial"/>
          <w:b/>
          <w:sz w:val="28"/>
          <w:szCs w:val="28"/>
          <w:lang w:val="es-ES_tradnl"/>
        </w:rPr>
      </w:pPr>
      <w:r w:rsidRPr="0047590A">
        <w:rPr>
          <w:rFonts w:ascii="Palatino Linotype" w:eastAsiaTheme="minorEastAsia" w:hAnsi="Palatino Linotype" w:cs="Arial"/>
          <w:b/>
          <w:sz w:val="28"/>
          <w:szCs w:val="28"/>
          <w:lang w:val="es-ES_tradnl"/>
        </w:rPr>
        <w:t>TERCERO. Del estudio de las causas de improcedencia y sobreseimiento.</w:t>
      </w:r>
    </w:p>
    <w:p w:rsidR="004C6FFE" w:rsidRDefault="004C6FFE" w:rsidP="004C6FF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el procedimiento de acceso a la información y de los medios de impugnación de la materia, se advierten diversos supuestos de </w:t>
      </w:r>
      <w:proofErr w:type="spellStart"/>
      <w:r w:rsidRPr="003F13D5">
        <w:rPr>
          <w:rFonts w:ascii="Palatino Linotype" w:eastAsiaTheme="minorEastAsia" w:hAnsi="Palatino Linotype" w:cs="Arial"/>
          <w:lang w:val="es-ES_tradnl"/>
        </w:rPr>
        <w:t>procedibilidad</w:t>
      </w:r>
      <w:proofErr w:type="spellEnd"/>
      <w:r w:rsidRPr="003F13D5">
        <w:rPr>
          <w:rFonts w:ascii="Palatino Linotype" w:eastAsiaTheme="minorEastAsia" w:hAnsi="Palatino Linotype" w:cs="Arial"/>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C6FFE" w:rsidRPr="003F13D5" w:rsidRDefault="004C6FFE" w:rsidP="004C6FFE">
      <w:pPr>
        <w:spacing w:line="360" w:lineRule="auto"/>
        <w:jc w:val="both"/>
        <w:rPr>
          <w:rFonts w:ascii="Palatino Linotype" w:eastAsiaTheme="minorEastAsia" w:hAnsi="Palatino Linotype" w:cs="Arial"/>
          <w:lang w:val="es-ES_tradnl"/>
        </w:rPr>
      </w:pPr>
    </w:p>
    <w:p w:rsidR="004C6FFE" w:rsidRDefault="004C6FFE" w:rsidP="004C6FF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Luego entonces, es menester señalar que es una facultad legal entrar al estudio del sobreseimiento que hagan valer las partes o que se adviertan de oficio por este </w:t>
      </w:r>
      <w:proofErr w:type="spellStart"/>
      <w:r w:rsidRPr="003F13D5">
        <w:rPr>
          <w:rFonts w:ascii="Palatino Linotype" w:eastAsiaTheme="minorEastAsia" w:hAnsi="Palatino Linotype" w:cs="Arial"/>
          <w:lang w:val="es-ES_tradnl"/>
        </w:rPr>
        <w:t>Resolutor</w:t>
      </w:r>
      <w:proofErr w:type="spellEnd"/>
      <w:r w:rsidRPr="003F13D5">
        <w:rPr>
          <w:rFonts w:ascii="Palatino Linotype" w:eastAsiaTheme="minorEastAsia" w:hAnsi="Palatino Linotype" w:cs="Arial"/>
          <w:lang w:val="es-ES_tradnl"/>
        </w:rPr>
        <w:t xml:space="preserve">; supuestos procesales que dotan de seguridad jurídica a las resoluciones </w:t>
      </w:r>
      <w:r w:rsidRPr="003F13D5">
        <w:rPr>
          <w:rFonts w:ascii="Palatino Linotype" w:eastAsiaTheme="minorEastAsia" w:hAnsi="Palatino Linotype" w:cs="Arial"/>
          <w:lang w:val="es-ES_tradnl"/>
        </w:rPr>
        <w:lastRenderedPageBreak/>
        <w:t>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rsidR="004C6FFE" w:rsidRPr="003F13D5" w:rsidRDefault="004C6FFE" w:rsidP="004C6FFE">
      <w:pPr>
        <w:spacing w:line="360" w:lineRule="auto"/>
        <w:jc w:val="both"/>
        <w:rPr>
          <w:rFonts w:ascii="Palatino Linotype" w:eastAsiaTheme="minorEastAsia" w:hAnsi="Palatino Linotype" w:cs="Arial"/>
          <w:lang w:val="es-ES_tradnl"/>
        </w:rPr>
      </w:pPr>
    </w:p>
    <w:p w:rsidR="004C6FFE" w:rsidRDefault="004C6FFE" w:rsidP="004C6FF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Estudio de causales de sobreseimiento que no son incompatibles con el derecho de acceso a la información, ya que éste no se coarta por regular causas de improcedencia y</w:t>
      </w:r>
      <w:r>
        <w:rPr>
          <w:rFonts w:ascii="Palatino Linotype" w:eastAsiaTheme="minorEastAsia" w:hAnsi="Palatino Linotype" w:cs="Arial"/>
          <w:lang w:val="es-ES_tradnl"/>
        </w:rPr>
        <w:t xml:space="preserve"> sobreseimiento con tales fines</w:t>
      </w:r>
      <w:r w:rsidRPr="003F13D5">
        <w:rPr>
          <w:rFonts w:ascii="Palatino Linotype" w:eastAsiaTheme="minorEastAsia" w:hAnsi="Palatino Linotype" w:cs="Arial"/>
          <w:lang w:val="es-ES_tradnl"/>
        </w:rPr>
        <w:t xml:space="preserve">, por lo tanto, resulta importante referir </w:t>
      </w:r>
      <w:proofErr w:type="gramStart"/>
      <w:r w:rsidRPr="003F13D5">
        <w:rPr>
          <w:rFonts w:ascii="Palatino Linotype" w:eastAsiaTheme="minorEastAsia" w:hAnsi="Palatino Linotype" w:cs="Arial"/>
          <w:lang w:val="es-ES_tradnl"/>
        </w:rPr>
        <w:t>que</w:t>
      </w:r>
      <w:proofErr w:type="gramEnd"/>
      <w:r w:rsidRPr="003F13D5">
        <w:rPr>
          <w:rFonts w:ascii="Palatino Linotype" w:eastAsiaTheme="minorEastAsia" w:hAnsi="Palatino Linotype" w:cs="Arial"/>
          <w:lang w:val="es-ES_tradnl"/>
        </w:rPr>
        <w:t xml:space="preserve"> en la Ley de Transparencia Local vigente, en su artículo 192 contempla la figura jurídica del sobreseimiento; en el cual, la hipótesis inmersa en la fracción I, refiere que </w:t>
      </w:r>
      <w:r>
        <w:rPr>
          <w:rFonts w:ascii="Palatino Linotype" w:eastAsiaTheme="minorEastAsia" w:hAnsi="Palatino Linotype" w:cs="Arial"/>
          <w:lang w:val="es-ES_tradnl"/>
        </w:rPr>
        <w:t>la Recurrente</w:t>
      </w:r>
      <w:r w:rsidRPr="003F13D5">
        <w:rPr>
          <w:rFonts w:ascii="Palatino Linotype" w:eastAsiaTheme="minorEastAsia" w:hAnsi="Palatino Linotype" w:cs="Arial"/>
          <w:lang w:val="es-ES_tradnl"/>
        </w:rPr>
        <w:t xml:space="preserve"> se desista expresamente del recurso.</w:t>
      </w:r>
    </w:p>
    <w:p w:rsidR="004C6FFE" w:rsidRPr="003F13D5" w:rsidRDefault="004C6FFE" w:rsidP="004C6FFE">
      <w:pPr>
        <w:spacing w:line="360" w:lineRule="auto"/>
        <w:jc w:val="both"/>
        <w:rPr>
          <w:rFonts w:ascii="Palatino Linotype" w:eastAsiaTheme="minorEastAsia" w:hAnsi="Palatino Linotype" w:cs="Arial"/>
          <w:lang w:val="es-ES_tradnl"/>
        </w:rPr>
      </w:pPr>
    </w:p>
    <w:p w:rsidR="004C6FFE" w:rsidRPr="003F13D5" w:rsidRDefault="004C6FFE" w:rsidP="004C6FFE">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w:t>
      </w:r>
      <w:r w:rsidRPr="003F13D5">
        <w:rPr>
          <w:rFonts w:ascii="Palatino Linotype" w:eastAsiaTheme="minorEastAsia" w:hAnsi="Palatino Linotype" w:cs="Arial"/>
          <w:b/>
          <w:i/>
          <w:sz w:val="22"/>
          <w:lang w:val="es-ES_tradnl"/>
        </w:rPr>
        <w:t>Artículo 192.</w:t>
      </w:r>
      <w:r w:rsidRPr="003F13D5">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rsidR="004C6FFE" w:rsidRPr="003F13D5" w:rsidRDefault="004C6FFE" w:rsidP="004C6FFE">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i/>
          <w:sz w:val="22"/>
          <w:lang w:val="es-ES_tradnl"/>
        </w:rPr>
        <w:t xml:space="preserve">I. </w:t>
      </w:r>
      <w:r>
        <w:rPr>
          <w:rFonts w:ascii="Palatino Linotype" w:eastAsiaTheme="minorEastAsia" w:hAnsi="Palatino Linotype" w:cs="Arial"/>
          <w:i/>
          <w:sz w:val="22"/>
          <w:lang w:val="es-ES_tradnl"/>
        </w:rPr>
        <w:t>La Recurrente</w:t>
      </w:r>
      <w:r w:rsidRPr="003F13D5">
        <w:rPr>
          <w:rFonts w:ascii="Palatino Linotype" w:eastAsiaTheme="minorEastAsia" w:hAnsi="Palatino Linotype" w:cs="Arial"/>
          <w:i/>
          <w:sz w:val="22"/>
          <w:u w:val="single"/>
          <w:lang w:val="es-ES_tradnl"/>
        </w:rPr>
        <w:t xml:space="preserve"> se desista expresamente del recurso</w:t>
      </w:r>
      <w:r w:rsidRPr="003F13D5">
        <w:rPr>
          <w:rFonts w:ascii="Palatino Linotype" w:eastAsiaTheme="minorEastAsia" w:hAnsi="Palatino Linotype" w:cs="Arial"/>
          <w:i/>
          <w:sz w:val="22"/>
          <w:lang w:val="es-ES_tradnl"/>
        </w:rPr>
        <w:t>;</w:t>
      </w:r>
    </w:p>
    <w:p w:rsidR="004C6FFE" w:rsidRPr="003F13D5" w:rsidRDefault="004C6FFE" w:rsidP="004C6FFE">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 xml:space="preserve">II. </w:t>
      </w:r>
      <w:r>
        <w:rPr>
          <w:rFonts w:ascii="Palatino Linotype" w:eastAsiaTheme="minorEastAsia" w:hAnsi="Palatino Linotype" w:cs="Arial"/>
          <w:i/>
          <w:sz w:val="22"/>
          <w:lang w:val="es-ES_tradnl"/>
        </w:rPr>
        <w:t>La Recurrente</w:t>
      </w:r>
      <w:r w:rsidRPr="003F13D5">
        <w:rPr>
          <w:rFonts w:ascii="Palatino Linotype" w:eastAsiaTheme="minorEastAsia" w:hAnsi="Palatino Linotype" w:cs="Arial"/>
          <w:i/>
          <w:sz w:val="22"/>
          <w:lang w:val="es-ES_tradnl"/>
        </w:rPr>
        <w:t xml:space="preserve"> fallezca o, tratándose de personas jurídicas colectivas, se disuelva;</w:t>
      </w:r>
    </w:p>
    <w:p w:rsidR="004C6FFE" w:rsidRPr="003F13D5" w:rsidRDefault="004C6FFE" w:rsidP="004C6FFE">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III. El sujeto obligado responsable del acto lo modifique o revoque de tal manera que el recurso de revisión quede sin materia;</w:t>
      </w:r>
    </w:p>
    <w:p w:rsidR="004C6FFE" w:rsidRPr="003F13D5" w:rsidRDefault="004C6FFE" w:rsidP="004C6FFE">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IV. Admitido el recurso de revisión, aparezca alguna causal de improcedencia en los términos de la presente Ley; y</w:t>
      </w:r>
    </w:p>
    <w:p w:rsidR="004C6FFE" w:rsidRDefault="004C6FFE" w:rsidP="004C6FFE">
      <w:pPr>
        <w:ind w:left="567" w:right="616"/>
        <w:jc w:val="both"/>
        <w:rPr>
          <w:rFonts w:ascii="Palatino Linotype" w:eastAsiaTheme="minorEastAsia" w:hAnsi="Palatino Linotype" w:cs="Arial"/>
          <w:sz w:val="22"/>
          <w:lang w:val="es-ES_tradnl"/>
        </w:rPr>
      </w:pPr>
      <w:r w:rsidRPr="003F13D5">
        <w:rPr>
          <w:rFonts w:ascii="Palatino Linotype" w:eastAsiaTheme="minorEastAsia" w:hAnsi="Palatino Linotype" w:cs="Arial"/>
          <w:i/>
          <w:sz w:val="22"/>
          <w:lang w:val="es-ES_tradnl"/>
        </w:rPr>
        <w:t>V. Cuando por cualquier motivo quede sin materia el recurso.</w:t>
      </w:r>
      <w:r>
        <w:rPr>
          <w:rFonts w:ascii="Palatino Linotype" w:eastAsiaTheme="minorEastAsia" w:hAnsi="Palatino Linotype" w:cs="Arial"/>
          <w:i/>
          <w:sz w:val="22"/>
          <w:lang w:val="es-ES_tradnl"/>
        </w:rPr>
        <w:t>”</w:t>
      </w:r>
    </w:p>
    <w:p w:rsidR="004C6FFE" w:rsidRDefault="004C6FFE" w:rsidP="004C6FFE">
      <w:pPr>
        <w:ind w:left="567" w:right="616"/>
        <w:jc w:val="both"/>
        <w:rPr>
          <w:rFonts w:ascii="Palatino Linotype" w:eastAsiaTheme="minorEastAsia" w:hAnsi="Palatino Linotype" w:cs="Arial"/>
          <w:sz w:val="22"/>
          <w:lang w:val="es-ES_tradnl"/>
        </w:rPr>
      </w:pPr>
    </w:p>
    <w:p w:rsidR="004C6FFE" w:rsidRPr="003F13D5" w:rsidRDefault="004C6FFE" w:rsidP="004C6FFE">
      <w:pPr>
        <w:ind w:left="567" w:right="616"/>
        <w:jc w:val="right"/>
        <w:rPr>
          <w:rFonts w:ascii="Palatino Linotype" w:eastAsiaTheme="minorEastAsia" w:hAnsi="Palatino Linotype" w:cs="Arial"/>
          <w:sz w:val="22"/>
          <w:lang w:val="es-ES_tradnl"/>
        </w:rPr>
      </w:pPr>
      <w:r>
        <w:rPr>
          <w:rFonts w:ascii="Palatino Linotype" w:eastAsiaTheme="minorEastAsia" w:hAnsi="Palatino Linotype" w:cs="Arial"/>
          <w:sz w:val="22"/>
          <w:lang w:val="es-ES_tradnl"/>
        </w:rPr>
        <w:t>(Énfasis añadido)</w:t>
      </w:r>
    </w:p>
    <w:p w:rsidR="004C6FFE" w:rsidRDefault="004C6FFE" w:rsidP="004C6FFE">
      <w:pPr>
        <w:spacing w:line="360" w:lineRule="auto"/>
        <w:jc w:val="both"/>
        <w:rPr>
          <w:rFonts w:ascii="Palatino Linotype" w:eastAsiaTheme="minorEastAsia" w:hAnsi="Palatino Linotype" w:cs="Arial"/>
          <w:lang w:val="es-ES_tradnl"/>
        </w:rPr>
      </w:pPr>
    </w:p>
    <w:p w:rsidR="004C6FFE" w:rsidRDefault="004C6FFE" w:rsidP="004C6FF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Así, para que se tenga por desistido bastará con que la parte </w:t>
      </w:r>
      <w:r w:rsidRPr="00A11CF7">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expresamente se desista del recurso de revisión promovido, </w:t>
      </w:r>
      <w:r>
        <w:rPr>
          <w:rFonts w:ascii="Palatino Linotype" w:eastAsiaTheme="minorEastAsia" w:hAnsi="Palatino Linotype" w:cs="Arial"/>
          <w:lang w:val="es-ES_tradnl"/>
        </w:rPr>
        <w:t xml:space="preserve">circunstancia que como quedó señalado </w:t>
      </w:r>
      <w:r>
        <w:rPr>
          <w:rFonts w:ascii="Palatino Linotype" w:eastAsiaTheme="minorEastAsia" w:hAnsi="Palatino Linotype" w:cs="Arial"/>
          <w:lang w:val="es-ES_tradnl"/>
        </w:rPr>
        <w:lastRenderedPageBreak/>
        <w:t xml:space="preserve">en el apartado de antecedentes, </w:t>
      </w:r>
      <w:r w:rsidRPr="006D77A7">
        <w:rPr>
          <w:rFonts w:ascii="Palatino Linotype" w:eastAsiaTheme="minorEastAsia" w:hAnsi="Palatino Linotype" w:cs="Arial"/>
          <w:b/>
          <w:lang w:val="es-ES_tradnl"/>
        </w:rPr>
        <w:t>la Recurrente</w:t>
      </w:r>
      <w:r>
        <w:rPr>
          <w:rFonts w:ascii="Palatino Linotype" w:eastAsiaTheme="minorEastAsia" w:hAnsi="Palatino Linotype" w:cs="Arial"/>
          <w:lang w:val="es-ES_tradnl"/>
        </w:rPr>
        <w:t>, expresó su voluntad de desistirse del recurso, manifestando:</w:t>
      </w:r>
    </w:p>
    <w:p w:rsidR="004C6FFE" w:rsidRDefault="004C6FFE" w:rsidP="004C6FFE">
      <w:pPr>
        <w:spacing w:line="360" w:lineRule="auto"/>
        <w:ind w:firstLine="851"/>
        <w:rPr>
          <w:rFonts w:ascii="Palatino Linotype" w:eastAsiaTheme="minorEastAsia" w:hAnsi="Palatino Linotype" w:cs="Arial"/>
          <w:i/>
          <w:lang w:val="es-ES_tradnl"/>
        </w:rPr>
      </w:pPr>
      <w:r>
        <w:rPr>
          <w:rFonts w:ascii="Palatino Linotype" w:eastAsiaTheme="minorEastAsia" w:hAnsi="Palatino Linotype" w:cs="Arial"/>
          <w:i/>
          <w:lang w:val="es-ES_tradnl"/>
        </w:rPr>
        <w:t>“</w:t>
      </w:r>
      <w:r w:rsidRPr="00E634B3">
        <w:rPr>
          <w:rFonts w:ascii="Palatino Linotype" w:eastAsiaTheme="minorEastAsia" w:hAnsi="Palatino Linotype" w:cs="Arial"/>
          <w:i/>
          <w:lang w:val="es-ES_tradnl"/>
        </w:rPr>
        <w:t>En el informe justificado, atendieron mi solicitud.</w:t>
      </w:r>
      <w:r>
        <w:rPr>
          <w:rFonts w:ascii="Palatino Linotype" w:eastAsiaTheme="minorEastAsia" w:hAnsi="Palatino Linotype" w:cs="Arial"/>
          <w:i/>
          <w:lang w:val="es-ES_tradnl"/>
        </w:rPr>
        <w:t>” (sic)</w:t>
      </w:r>
    </w:p>
    <w:p w:rsidR="004C6FFE" w:rsidRPr="00E634B3" w:rsidRDefault="004C6FFE" w:rsidP="004C6FFE">
      <w:pPr>
        <w:spacing w:line="360" w:lineRule="auto"/>
        <w:ind w:firstLine="851"/>
        <w:rPr>
          <w:rFonts w:ascii="Palatino Linotype" w:eastAsiaTheme="minorEastAsia" w:hAnsi="Palatino Linotype" w:cs="Arial"/>
          <w:i/>
          <w:lang w:val="es-ES_tradnl"/>
        </w:rPr>
      </w:pPr>
    </w:p>
    <w:p w:rsidR="004C6FFE" w:rsidRDefault="004C6FFE" w:rsidP="004C6FF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orden de ideas, se entiende que </w:t>
      </w:r>
      <w:r>
        <w:rPr>
          <w:rFonts w:ascii="Palatino Linotype" w:eastAsiaTheme="minorEastAsia" w:hAnsi="Palatino Linotype" w:cs="Arial"/>
          <w:b/>
          <w:lang w:val="es-ES_tradnl"/>
        </w:rPr>
        <w:t>la Recurrente</w:t>
      </w:r>
      <w:r w:rsidRPr="003F13D5">
        <w:rPr>
          <w:rFonts w:ascii="Palatino Linotype" w:eastAsiaTheme="minorEastAsia" w:hAnsi="Palatino Linotype" w:cs="Arial"/>
          <w:lang w:val="es-ES_tradnl"/>
        </w:rPr>
        <w:t>, sin existir coacción o dolo, en ejercicio de sus derechos, se desiste del recurso en que se actúa, por lo que se procede a la valoración, respecto de si el desistimiento cumple con lo establecido en la fracción I del artículo 192 de la Ley de Transparencia y Acceso a la Información Pública del Estado de México y Municipios.</w:t>
      </w:r>
    </w:p>
    <w:p w:rsidR="004C6FFE" w:rsidRPr="003F13D5" w:rsidRDefault="004C6FFE" w:rsidP="004C6FFE">
      <w:pPr>
        <w:spacing w:line="360" w:lineRule="auto"/>
        <w:jc w:val="both"/>
        <w:rPr>
          <w:rFonts w:ascii="Palatino Linotype" w:eastAsiaTheme="minorEastAsia" w:hAnsi="Palatino Linotype" w:cs="Arial"/>
          <w:lang w:val="es-ES_tradnl"/>
        </w:rPr>
      </w:pPr>
    </w:p>
    <w:p w:rsidR="004C6FFE" w:rsidRDefault="004C6FFE" w:rsidP="004C6FF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primer lugar, habrá que señalarse que el desistimiento, es la terminación anormal de un proceso, por el que el actor manifiesta su voluntad de abandonar su pretensión; lo que, en el caso concreto, ha de entenderse como la renuncia que hace </w:t>
      </w:r>
      <w:r>
        <w:rPr>
          <w:rFonts w:ascii="Palatino Linotype" w:eastAsiaTheme="minorEastAsia" w:hAnsi="Palatino Linotype" w:cs="Arial"/>
          <w:lang w:val="es-ES_tradnl"/>
        </w:rPr>
        <w:t>la Recurrente</w:t>
      </w:r>
      <w:r w:rsidRPr="003F13D5">
        <w:rPr>
          <w:rFonts w:ascii="Palatino Linotype" w:eastAsiaTheme="minorEastAsia" w:hAnsi="Palatino Linotype" w:cs="Arial"/>
          <w:lang w:val="es-ES_tradnl"/>
        </w:rPr>
        <w:t xml:space="preserve"> a la pretensión procesal que dio origen al recurso, ocasionando la culminación del mismo. Se precisa que no existe momento procesal alguno para realizarlo, por lo que el mismo se podrá interponer en cualquier momento.</w:t>
      </w:r>
    </w:p>
    <w:p w:rsidR="004C6FFE" w:rsidRPr="003F13D5" w:rsidRDefault="004C6FFE" w:rsidP="004C6FFE">
      <w:pPr>
        <w:spacing w:line="360" w:lineRule="auto"/>
        <w:jc w:val="both"/>
        <w:rPr>
          <w:rFonts w:ascii="Palatino Linotype" w:eastAsiaTheme="minorEastAsia" w:hAnsi="Palatino Linotype" w:cs="Arial"/>
          <w:lang w:val="es-ES_tradnl"/>
        </w:rPr>
      </w:pPr>
    </w:p>
    <w:p w:rsidR="004C6FFE" w:rsidRDefault="004C6FFE" w:rsidP="004C6FF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tenor de ideas, la parte </w:t>
      </w:r>
      <w:r w:rsidRPr="003F13D5">
        <w:rPr>
          <w:rFonts w:ascii="Palatino Linotype" w:eastAsiaTheme="minorEastAsia" w:hAnsi="Palatino Linotype" w:cs="Arial"/>
          <w:b/>
          <w:lang w:val="es-ES_tradnl"/>
        </w:rPr>
        <w:t>Recurrente</w:t>
      </w:r>
      <w:r>
        <w:rPr>
          <w:rFonts w:ascii="Palatino Linotype" w:eastAsiaTheme="minorEastAsia" w:hAnsi="Palatino Linotype" w:cs="Arial"/>
          <w:lang w:val="es-ES_tradnl"/>
        </w:rPr>
        <w:t xml:space="preserve"> con la legitimación activa </w:t>
      </w:r>
      <w:r w:rsidRPr="003F13D5">
        <w:rPr>
          <w:rFonts w:ascii="Palatino Linotype" w:eastAsiaTheme="minorEastAsia" w:hAnsi="Palatino Linotype" w:cs="Arial"/>
          <w:lang w:val="es-ES_tradnl"/>
        </w:rPr>
        <w:t xml:space="preserve">que debidamente se tiene acreditada en autos, es la misma persona que realizó la solicitud de información número </w:t>
      </w:r>
      <w:r>
        <w:rPr>
          <w:rFonts w:ascii="Palatino Linotype" w:eastAsiaTheme="minorEastAsia" w:hAnsi="Palatino Linotype" w:cs="Arial"/>
          <w:b/>
          <w:lang w:val="es-ES_tradnl"/>
        </w:rPr>
        <w:t>00115/SEIEM</w:t>
      </w:r>
      <w:r w:rsidRPr="002C0BFD">
        <w:rPr>
          <w:rFonts w:ascii="Palatino Linotype" w:eastAsiaTheme="minorEastAsia" w:hAnsi="Palatino Linotype" w:cs="Arial"/>
          <w:b/>
          <w:lang w:val="es-ES_tradnl"/>
        </w:rPr>
        <w:t>/IP/2022</w:t>
      </w:r>
      <w:r w:rsidRPr="003F13D5">
        <w:rPr>
          <w:rFonts w:ascii="Palatino Linotype" w:eastAsiaTheme="minorEastAsia" w:hAnsi="Palatino Linotype" w:cs="Arial"/>
          <w:lang w:val="es-ES_tradnl"/>
        </w:rPr>
        <w:t xml:space="preserve">, y quien, posteriormente interpuso el presente recurso de revisión número </w:t>
      </w:r>
      <w:r>
        <w:rPr>
          <w:rFonts w:ascii="Palatino Linotype" w:eastAsiaTheme="minorEastAsia" w:hAnsi="Palatino Linotype" w:cs="Arial"/>
          <w:b/>
          <w:lang w:val="es-ES_tradnl"/>
        </w:rPr>
        <w:t>06095</w:t>
      </w:r>
      <w:r w:rsidRPr="0004427D">
        <w:rPr>
          <w:rFonts w:ascii="Palatino Linotype" w:eastAsiaTheme="minorEastAsia" w:hAnsi="Palatino Linotype" w:cs="Arial"/>
          <w:b/>
          <w:lang w:val="es-ES_tradnl"/>
        </w:rPr>
        <w:t>/INFOEM/IP/RR/2022,</w:t>
      </w:r>
      <w:r w:rsidRPr="003F13D5">
        <w:rPr>
          <w:rFonts w:ascii="Palatino Linotype" w:eastAsiaTheme="minorEastAsia" w:hAnsi="Palatino Linotype" w:cs="Arial"/>
          <w:lang w:val="es-ES_tradnl"/>
        </w:rPr>
        <w:t xml:space="preserve"> en contra de la </w:t>
      </w:r>
      <w:r>
        <w:rPr>
          <w:rFonts w:ascii="Palatino Linotype" w:eastAsiaTheme="minorEastAsia" w:hAnsi="Palatino Linotype" w:cs="Arial"/>
          <w:lang w:val="es-ES_tradnl"/>
        </w:rPr>
        <w:t xml:space="preserve">omisión de la </w:t>
      </w:r>
      <w:r w:rsidRPr="003F13D5">
        <w:rPr>
          <w:rFonts w:ascii="Palatino Linotype" w:eastAsiaTheme="minorEastAsia" w:hAnsi="Palatino Linotype" w:cs="Arial"/>
          <w:lang w:val="es-ES_tradnl"/>
        </w:rPr>
        <w:t>respuesta; todo esto, de conformidad con las actuaciones que obran en el expediente electrónico del SAIMEX.</w:t>
      </w:r>
    </w:p>
    <w:p w:rsidR="004C6FFE" w:rsidRPr="003F13D5" w:rsidRDefault="004C6FFE" w:rsidP="004C6FFE">
      <w:pPr>
        <w:spacing w:line="360" w:lineRule="auto"/>
        <w:jc w:val="both"/>
        <w:rPr>
          <w:rFonts w:ascii="Palatino Linotype" w:eastAsiaTheme="minorEastAsia" w:hAnsi="Palatino Linotype" w:cs="Arial"/>
          <w:lang w:val="es-ES_tradnl"/>
        </w:rPr>
      </w:pPr>
    </w:p>
    <w:p w:rsidR="004C6FFE" w:rsidRDefault="004C6FFE" w:rsidP="004C6FF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lastRenderedPageBreak/>
        <w:t>Por lo anterior, es dable enfatizar que la figura del desistimiento tiene como finalidad la interrupción y terminación del procedimiento sin entrar al estudio, derivado de</w:t>
      </w:r>
      <w:r>
        <w:rPr>
          <w:rFonts w:ascii="Palatino Linotype" w:eastAsiaTheme="minorEastAsia" w:hAnsi="Palatino Linotype" w:cs="Arial"/>
          <w:lang w:val="es-ES_tradnl"/>
        </w:rPr>
        <w:t xml:space="preserve"> la existencia de la renuncia de la Recurrente</w:t>
      </w:r>
      <w:r w:rsidRPr="003F13D5">
        <w:rPr>
          <w:rFonts w:ascii="Palatino Linotype" w:eastAsiaTheme="minorEastAsia" w:hAnsi="Palatino Linotype" w:cs="Arial"/>
          <w:lang w:val="es-ES_tradnl"/>
        </w:rPr>
        <w:t xml:space="preserve"> a la sustanciación y resolución del procedimiento; por lo que, con efectos vinculantes a la presente Resolución, dicho desistimiento debe quedar firme.</w:t>
      </w:r>
    </w:p>
    <w:p w:rsidR="004C6FFE" w:rsidRPr="003F13D5" w:rsidRDefault="004C6FFE" w:rsidP="004C6FFE">
      <w:pPr>
        <w:spacing w:line="360" w:lineRule="auto"/>
        <w:jc w:val="both"/>
        <w:rPr>
          <w:rFonts w:ascii="Palatino Linotype" w:eastAsiaTheme="minorEastAsia" w:hAnsi="Palatino Linotype" w:cs="Arial"/>
          <w:lang w:val="es-ES_tradnl"/>
        </w:rPr>
      </w:pPr>
    </w:p>
    <w:p w:rsidR="004C6FFE" w:rsidRDefault="004C6FFE" w:rsidP="004C6FF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consecuencia, al actualizarse lo estipulado en la fracción I del artículo 192 de la Ley de Transparencia y Acceso a la Información Pública del Estado de México y Municipios, lo procedente es Sobreseer el recurso de revisión que atañe; dado que, no es necesario estudiar si existió vulneración al derecho de acceso a la información pública, en atención que </w:t>
      </w:r>
      <w:r>
        <w:rPr>
          <w:rFonts w:ascii="Palatino Linotype" w:eastAsiaTheme="minorEastAsia" w:hAnsi="Palatino Linotype" w:cs="Arial"/>
          <w:lang w:val="es-ES_tradnl"/>
        </w:rPr>
        <w:t>la Recurrente</w:t>
      </w:r>
      <w:r w:rsidRPr="003F13D5">
        <w:rPr>
          <w:rFonts w:ascii="Palatino Linotype" w:eastAsiaTheme="minorEastAsia" w:hAnsi="Palatino Linotype" w:cs="Arial"/>
          <w:lang w:val="es-ES_tradnl"/>
        </w:rPr>
        <w:t xml:space="preserve"> que presentó el recurso de revisión manifiesta la voluntad de desistirse, con las consecuencias que a ello conlleva.</w:t>
      </w:r>
    </w:p>
    <w:p w:rsidR="004C6FFE" w:rsidRPr="003F13D5" w:rsidRDefault="004C6FFE" w:rsidP="004C6FFE">
      <w:pPr>
        <w:spacing w:line="360" w:lineRule="auto"/>
        <w:jc w:val="both"/>
        <w:rPr>
          <w:rFonts w:ascii="Palatino Linotype" w:eastAsiaTheme="minorEastAsia" w:hAnsi="Palatino Linotype" w:cs="Arial"/>
          <w:lang w:val="es-ES_tradnl"/>
        </w:rPr>
      </w:pPr>
    </w:p>
    <w:p w:rsidR="004C6FFE" w:rsidRPr="003F13D5" w:rsidRDefault="004C6FFE" w:rsidP="004C6FF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antes expuesto y fundado es de resolverse y,</w:t>
      </w:r>
    </w:p>
    <w:p w:rsidR="004C6FFE" w:rsidRDefault="004C6FFE" w:rsidP="004C6FFE">
      <w:pPr>
        <w:spacing w:line="360" w:lineRule="auto"/>
        <w:jc w:val="both"/>
        <w:rPr>
          <w:rFonts w:ascii="Palatino Linotype" w:eastAsiaTheme="minorEastAsia" w:hAnsi="Palatino Linotype" w:cs="Arial"/>
          <w:lang w:val="es-ES_tradnl"/>
        </w:rPr>
      </w:pPr>
    </w:p>
    <w:p w:rsidR="004C6FFE" w:rsidRPr="003F13D5" w:rsidRDefault="004C6FFE" w:rsidP="004C6FFE">
      <w:pPr>
        <w:spacing w:line="360" w:lineRule="auto"/>
        <w:jc w:val="center"/>
        <w:rPr>
          <w:rFonts w:ascii="Palatino Linotype" w:eastAsiaTheme="minorEastAsia" w:hAnsi="Palatino Linotype" w:cs="Arial"/>
          <w:b/>
          <w:sz w:val="28"/>
          <w:szCs w:val="28"/>
          <w:lang w:val="es-ES_tradnl"/>
        </w:rPr>
      </w:pPr>
      <w:r w:rsidRPr="003F13D5">
        <w:rPr>
          <w:rFonts w:ascii="Palatino Linotype" w:eastAsiaTheme="minorEastAsia" w:hAnsi="Palatino Linotype" w:cs="Arial"/>
          <w:b/>
          <w:sz w:val="28"/>
          <w:szCs w:val="28"/>
          <w:lang w:val="es-ES_tradnl"/>
        </w:rPr>
        <w:t>SE    RESUELVE</w:t>
      </w:r>
    </w:p>
    <w:p w:rsidR="004C6FFE" w:rsidRPr="003F13D5" w:rsidRDefault="004C6FFE" w:rsidP="004C6FFE">
      <w:pPr>
        <w:spacing w:line="360" w:lineRule="auto"/>
        <w:jc w:val="both"/>
        <w:rPr>
          <w:rFonts w:ascii="Palatino Linotype" w:eastAsiaTheme="minorEastAsia" w:hAnsi="Palatino Linotype" w:cs="Arial"/>
          <w:lang w:val="es-ES_tradnl"/>
        </w:rPr>
      </w:pPr>
    </w:p>
    <w:p w:rsidR="004C6FFE" w:rsidRDefault="004C6FFE" w:rsidP="004C6FF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b/>
          <w:sz w:val="28"/>
          <w:szCs w:val="28"/>
          <w:lang w:val="es-ES_tradnl"/>
        </w:rPr>
        <w:t>PRIMERO</w:t>
      </w:r>
      <w:r w:rsidRPr="003F13D5">
        <w:rPr>
          <w:rFonts w:ascii="Palatino Linotype" w:eastAsiaTheme="minorEastAsia" w:hAnsi="Palatino Linotype" w:cs="Arial"/>
          <w:lang w:val="es-ES_tradnl"/>
        </w:rPr>
        <w:t xml:space="preserve">. Se </w:t>
      </w:r>
      <w:r w:rsidRPr="003F13D5">
        <w:rPr>
          <w:rFonts w:ascii="Palatino Linotype" w:eastAsiaTheme="minorEastAsia" w:hAnsi="Palatino Linotype" w:cs="Arial"/>
          <w:b/>
          <w:lang w:val="es-ES_tradnl"/>
        </w:rPr>
        <w:t>SOBRESEE</w:t>
      </w:r>
      <w:r w:rsidRPr="003F13D5">
        <w:rPr>
          <w:rFonts w:ascii="Palatino Linotype" w:eastAsiaTheme="minorEastAsia" w:hAnsi="Palatino Linotype" w:cs="Arial"/>
          <w:lang w:val="es-ES_tradnl"/>
        </w:rPr>
        <w:t xml:space="preserve"> el recurso de revisión número </w:t>
      </w:r>
      <w:r>
        <w:rPr>
          <w:rFonts w:ascii="Palatino Linotype" w:eastAsiaTheme="minorEastAsia" w:hAnsi="Palatino Linotype" w:cs="Arial"/>
          <w:b/>
          <w:lang w:val="es-ES_tradnl"/>
        </w:rPr>
        <w:t>06095</w:t>
      </w:r>
      <w:r w:rsidRPr="0004427D">
        <w:rPr>
          <w:rFonts w:ascii="Palatino Linotype" w:eastAsiaTheme="minorEastAsia" w:hAnsi="Palatino Linotype" w:cs="Arial"/>
          <w:b/>
          <w:lang w:val="es-ES_tradnl"/>
        </w:rPr>
        <w:t>/INFOEM/IP/RR/2022</w:t>
      </w:r>
      <w:r w:rsidRPr="003F13D5">
        <w:rPr>
          <w:rFonts w:ascii="Palatino Linotype" w:eastAsiaTheme="minorEastAsia" w:hAnsi="Palatino Linotype" w:cs="Arial"/>
          <w:lang w:val="es-ES_tradnl"/>
        </w:rPr>
        <w:t xml:space="preserve">, por haberse desistido expresamente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en términos del Considerando Tercero de la presente resolución.</w:t>
      </w:r>
    </w:p>
    <w:p w:rsidR="004C6FFE" w:rsidRPr="003F13D5" w:rsidRDefault="004C6FFE" w:rsidP="004C6FFE">
      <w:pPr>
        <w:spacing w:line="360" w:lineRule="auto"/>
        <w:jc w:val="both"/>
        <w:rPr>
          <w:rFonts w:ascii="Palatino Linotype" w:eastAsiaTheme="minorEastAsia" w:hAnsi="Palatino Linotype" w:cs="Arial"/>
          <w:lang w:val="es-ES_tradnl"/>
        </w:rPr>
      </w:pPr>
    </w:p>
    <w:p w:rsidR="004C6FFE" w:rsidRDefault="004C6FFE" w:rsidP="004C6FF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b/>
          <w:sz w:val="28"/>
          <w:szCs w:val="28"/>
          <w:lang w:val="es-ES_tradnl"/>
        </w:rPr>
        <w:t>SEGUNDO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al Titular de la Unidad de Transparencia del Sujeto Obligado.</w:t>
      </w:r>
    </w:p>
    <w:p w:rsidR="004C6FFE" w:rsidRPr="003F13D5" w:rsidRDefault="004C6FFE" w:rsidP="004C6FFE">
      <w:pPr>
        <w:spacing w:line="360" w:lineRule="auto"/>
        <w:jc w:val="both"/>
        <w:rPr>
          <w:rFonts w:ascii="Palatino Linotype" w:eastAsiaTheme="minorEastAsia" w:hAnsi="Palatino Linotype" w:cs="Arial"/>
          <w:lang w:val="es-ES_tradnl"/>
        </w:rPr>
      </w:pPr>
    </w:p>
    <w:p w:rsidR="004C6FFE" w:rsidRPr="003F13D5" w:rsidRDefault="004C6FFE" w:rsidP="004C6FFE">
      <w:pPr>
        <w:spacing w:line="360" w:lineRule="auto"/>
        <w:jc w:val="both"/>
        <w:rPr>
          <w:rFonts w:ascii="Palatino Linotype" w:eastAsiaTheme="minorHAnsi" w:hAnsi="Palatino Linotype" w:cstheme="minorBidi"/>
          <w:lang w:eastAsia="es-ES_tradnl"/>
        </w:rPr>
      </w:pPr>
      <w:r w:rsidRPr="003F13D5">
        <w:rPr>
          <w:rFonts w:ascii="Palatino Linotype" w:eastAsiaTheme="minorEastAsia" w:hAnsi="Palatino Linotype" w:cs="Arial"/>
          <w:b/>
          <w:sz w:val="28"/>
          <w:szCs w:val="28"/>
          <w:lang w:val="es-ES_tradnl"/>
        </w:rPr>
        <w:t>TERCERO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vía Sistema de Acceso a la Información Mexiquense (SAIMEX); así mismo, de conformidad con lo establecido en el artículo 196 de la Ley de Transparencia y Acceso a la Información Pública del Estado de México y Municipios, podrá promover el Juicio de Amparo en los términos de las leyes aplicables.</w:t>
      </w:r>
    </w:p>
    <w:p w:rsidR="004C6FFE" w:rsidRDefault="004C6FFE" w:rsidP="004C6FFE">
      <w:pPr>
        <w:spacing w:line="360" w:lineRule="auto"/>
        <w:jc w:val="both"/>
        <w:rPr>
          <w:rFonts w:ascii="Palatino Linotype" w:eastAsiaTheme="minorHAnsi" w:hAnsi="Palatino Linotype" w:cstheme="minorBidi"/>
          <w:lang w:val="es-MX" w:eastAsia="es-ES_tradnl"/>
        </w:rPr>
      </w:pPr>
    </w:p>
    <w:p w:rsidR="004C6FFE" w:rsidRDefault="004C6FFE" w:rsidP="004C6FFE">
      <w:pPr>
        <w:spacing w:line="360" w:lineRule="auto"/>
        <w:jc w:val="both"/>
        <w:rPr>
          <w:rFonts w:ascii="Palatino Linotype" w:hAnsi="Palatino Linotype" w:cs="Arial"/>
        </w:rPr>
      </w:pPr>
      <w:r>
        <w:rPr>
          <w:rFonts w:ascii="Palatino Linotype" w:eastAsiaTheme="minorHAnsi" w:hAnsi="Palatino Linotype" w:cs="Arial"/>
          <w:lang w:val="es-MX"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VIGESIMA SEGUNDA SESIÓN ORDINARIA, CELEBRADA EL QUINCE DE JUNIO DE DOS MIL VEINTIDÓS, ANTE EL SECRETARIO TÉCNICO DEL PLENO ALEXIS TAPIA RAMÍREZ</w:t>
      </w:r>
      <w:r>
        <w:rPr>
          <w:rFonts w:ascii="Palatino Linotype" w:hAnsi="Palatino Linotype" w:cs="Arial"/>
        </w:rPr>
        <w:t>. --------------------------------------------------------------------------------------------------------------------------------------------------------------------------------------------------------------------------------------------------------------------------------------------------------------------------------------------------------------------------------------------------------------------------------------------------------------------------------------------------------------------------------------------------------------------------------------------------------------------------------------------------------------------------------------------------------------------------------------------------------------------------------------------------------------------------------------------------------------------------------------------------------------------------------</w:t>
      </w:r>
    </w:p>
    <w:p w:rsidR="004C6FFE" w:rsidRPr="002C0BFD" w:rsidRDefault="004C6FFE" w:rsidP="004C6FFE">
      <w:pPr>
        <w:spacing w:line="360" w:lineRule="auto"/>
        <w:jc w:val="both"/>
        <w:rPr>
          <w:rFonts w:ascii="Palatino Linotype" w:hAnsi="Palatino Linotype" w:cs="Arial"/>
          <w:sz w:val="20"/>
        </w:rPr>
      </w:pPr>
      <w:r>
        <w:rPr>
          <w:rFonts w:ascii="Palatino Linotype" w:hAnsi="Palatino Linotype" w:cs="Arial"/>
          <w:sz w:val="20"/>
        </w:rPr>
        <w:t>CCR/FZH</w:t>
      </w:r>
    </w:p>
    <w:p w:rsidR="004C6FFE" w:rsidRDefault="004C6FFE" w:rsidP="004C6FFE">
      <w:pPr>
        <w:spacing w:line="360" w:lineRule="auto"/>
        <w:jc w:val="both"/>
        <w:rPr>
          <w:rFonts w:ascii="Palatino Linotype" w:hAnsi="Palatino Linotype" w:cs="Arial"/>
        </w:rPr>
      </w:pPr>
    </w:p>
    <w:p w:rsidR="004C6FFE" w:rsidRDefault="004C6FFE" w:rsidP="004C6FFE">
      <w:pPr>
        <w:spacing w:line="360" w:lineRule="auto"/>
        <w:jc w:val="both"/>
        <w:rPr>
          <w:rFonts w:ascii="Palatino Linotype" w:hAnsi="Palatino Linotype" w:cs="Arial"/>
        </w:rPr>
      </w:pPr>
    </w:p>
    <w:p w:rsidR="004C6FFE" w:rsidRDefault="004C6FFE" w:rsidP="004C6FFE">
      <w:pPr>
        <w:spacing w:line="360" w:lineRule="auto"/>
        <w:jc w:val="both"/>
        <w:rPr>
          <w:rFonts w:ascii="Palatino Linotype" w:hAnsi="Palatino Linotype" w:cs="Arial"/>
        </w:rPr>
      </w:pPr>
    </w:p>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4C6FFE" w:rsidRDefault="004C6FFE" w:rsidP="004C6FFE"/>
    <w:p w:rsidR="00DA7107" w:rsidRDefault="00DA7107"/>
    <w:sectPr w:rsidR="00DA7107" w:rsidSect="001B5F43">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7F3" w:rsidRDefault="008347F3">
      <w:r>
        <w:separator/>
      </w:r>
    </w:p>
  </w:endnote>
  <w:endnote w:type="continuationSeparator" w:id="0">
    <w:p w:rsidR="008347F3" w:rsidRDefault="00834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F43" w:rsidRPr="00A2780F" w:rsidRDefault="004C6FFE" w:rsidP="001B5F4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F4553">
      <w:rPr>
        <w:rFonts w:ascii="Arial" w:hAnsi="Arial" w:cs="Arial"/>
        <w:b/>
        <w:bCs/>
        <w:noProof/>
        <w:sz w:val="20"/>
        <w:szCs w:val="20"/>
      </w:rPr>
      <w:t>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F4553">
      <w:rPr>
        <w:rFonts w:ascii="Arial" w:hAnsi="Arial" w:cs="Arial"/>
        <w:b/>
        <w:bCs/>
        <w:noProof/>
        <w:sz w:val="20"/>
        <w:szCs w:val="20"/>
      </w:rPr>
      <w:t>15</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F43" w:rsidRPr="00070856" w:rsidRDefault="004C6FFE" w:rsidP="001B5F4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F4553">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F4553">
      <w:rPr>
        <w:rFonts w:ascii="Arial" w:hAnsi="Arial" w:cs="Arial"/>
        <w:b/>
        <w:bCs/>
        <w:noProof/>
        <w:sz w:val="20"/>
        <w:szCs w:val="20"/>
      </w:rPr>
      <w:t>15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7F3" w:rsidRDefault="008347F3">
      <w:r>
        <w:separator/>
      </w:r>
    </w:p>
  </w:footnote>
  <w:footnote w:type="continuationSeparator" w:id="0">
    <w:p w:rsidR="008347F3" w:rsidRDefault="008347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872" w:type="dxa"/>
      <w:tblInd w:w="1200" w:type="dxa"/>
      <w:tblLayout w:type="fixed"/>
      <w:tblLook w:val="04A0" w:firstRow="1" w:lastRow="0" w:firstColumn="1" w:lastColumn="0" w:noHBand="0" w:noVBand="1"/>
    </w:tblPr>
    <w:tblGrid>
      <w:gridCol w:w="3620"/>
      <w:gridCol w:w="4252"/>
    </w:tblGrid>
    <w:tr w:rsidR="001B5F43" w:rsidRPr="008F2CCC" w:rsidTr="001B5F43">
      <w:tc>
        <w:tcPr>
          <w:tcW w:w="3620" w:type="dxa"/>
          <w:shd w:val="clear" w:color="auto" w:fill="auto"/>
        </w:tcPr>
        <w:p w:rsidR="001B5F43" w:rsidRPr="007E5FC4" w:rsidRDefault="004C6FFE"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1B5F43" w:rsidRPr="00664658" w:rsidRDefault="004C6FFE" w:rsidP="006D77A7">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06095/INFOEM/IP/RR/2022</w:t>
          </w:r>
        </w:p>
      </w:tc>
    </w:tr>
    <w:tr w:rsidR="001B5F43" w:rsidRPr="008F2CCC" w:rsidTr="001B5F43">
      <w:tc>
        <w:tcPr>
          <w:tcW w:w="3620" w:type="dxa"/>
          <w:shd w:val="clear" w:color="auto" w:fill="auto"/>
        </w:tcPr>
        <w:p w:rsidR="001B5F43" w:rsidRPr="007E5FC4" w:rsidRDefault="004C6FFE"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6D77A7" w:rsidRPr="006D77A7" w:rsidRDefault="008347F3" w:rsidP="006D77A7">
          <w:pPr>
            <w:spacing w:line="276" w:lineRule="auto"/>
            <w:jc w:val="right"/>
            <w:rPr>
              <w:rFonts w:ascii="Palatino Linotype" w:hAnsi="Palatino Linotype"/>
              <w:b/>
              <w:sz w:val="22"/>
              <w:szCs w:val="22"/>
            </w:rPr>
          </w:pPr>
        </w:p>
        <w:p w:rsidR="001B5F43" w:rsidRPr="00664658" w:rsidRDefault="004C6FFE" w:rsidP="006D77A7">
          <w:pPr>
            <w:spacing w:line="276" w:lineRule="auto"/>
            <w:jc w:val="right"/>
            <w:rPr>
              <w:rFonts w:ascii="Palatino Linotype" w:hAnsi="Palatino Linotype"/>
              <w:b/>
              <w:sz w:val="22"/>
              <w:szCs w:val="22"/>
              <w:lang w:val="es-ES_tradnl"/>
            </w:rPr>
          </w:pPr>
          <w:r w:rsidRPr="006D77A7">
            <w:rPr>
              <w:rFonts w:ascii="Palatino Linotype" w:hAnsi="Palatino Linotype"/>
              <w:b/>
              <w:sz w:val="22"/>
              <w:szCs w:val="22"/>
            </w:rPr>
            <w:t>Servicios Educativos Integrados al Estado de México</w:t>
          </w:r>
        </w:p>
      </w:tc>
    </w:tr>
    <w:tr w:rsidR="001B5F43" w:rsidRPr="008F2CCC" w:rsidTr="001B5F43">
      <w:trPr>
        <w:trHeight w:val="228"/>
      </w:trPr>
      <w:tc>
        <w:tcPr>
          <w:tcW w:w="3620" w:type="dxa"/>
          <w:shd w:val="clear" w:color="auto" w:fill="auto"/>
        </w:tcPr>
        <w:p w:rsidR="001B5F43" w:rsidRPr="007E5FC4" w:rsidRDefault="004C6FFE"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1B5F43" w:rsidRPr="00664658" w:rsidRDefault="004C6FFE" w:rsidP="001B5F4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1B5F43" w:rsidRPr="001779E0" w:rsidRDefault="004C6FFE" w:rsidP="001B5F43">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9CCB318" wp14:editId="0CFF5B11">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13" w:type="dxa"/>
      <w:tblInd w:w="1635" w:type="dxa"/>
      <w:tblLayout w:type="fixed"/>
      <w:tblLook w:val="04A0" w:firstRow="1" w:lastRow="0" w:firstColumn="1" w:lastColumn="0" w:noHBand="0" w:noVBand="1"/>
    </w:tblPr>
    <w:tblGrid>
      <w:gridCol w:w="2977"/>
      <w:gridCol w:w="4536"/>
    </w:tblGrid>
    <w:tr w:rsidR="001B5F43" w:rsidRPr="008F2CCC" w:rsidTr="001B5F43">
      <w:tc>
        <w:tcPr>
          <w:tcW w:w="2977" w:type="dxa"/>
          <w:shd w:val="clear" w:color="auto" w:fill="auto"/>
        </w:tcPr>
        <w:p w:rsidR="001B5F43" w:rsidRPr="007E5FC4" w:rsidRDefault="004C6FFE"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1B5F43" w:rsidRPr="008F2CCC" w:rsidRDefault="004C6FFE" w:rsidP="00701A1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06095/INFOEM/IP/RR/2022</w:t>
          </w:r>
        </w:p>
      </w:tc>
    </w:tr>
    <w:tr w:rsidR="001B5F43" w:rsidRPr="008F2CCC" w:rsidTr="001B5F43">
      <w:tc>
        <w:tcPr>
          <w:tcW w:w="2977" w:type="dxa"/>
          <w:shd w:val="clear" w:color="auto" w:fill="auto"/>
          <w:vAlign w:val="center"/>
        </w:tcPr>
        <w:p w:rsidR="001B5F43" w:rsidRPr="007E5FC4" w:rsidRDefault="004C6FFE"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1B5F43" w:rsidRPr="008F2CCC" w:rsidRDefault="00CF4553" w:rsidP="001B5F43">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w:t>
          </w:r>
          <w:proofErr w:type="spellEnd"/>
        </w:p>
      </w:tc>
    </w:tr>
    <w:tr w:rsidR="001B5F43" w:rsidRPr="008F2CCC" w:rsidTr="001B5F43">
      <w:trPr>
        <w:trHeight w:val="228"/>
      </w:trPr>
      <w:tc>
        <w:tcPr>
          <w:tcW w:w="2977" w:type="dxa"/>
          <w:shd w:val="clear" w:color="auto" w:fill="auto"/>
        </w:tcPr>
        <w:p w:rsidR="001B5F43" w:rsidRPr="007E5FC4" w:rsidRDefault="004C6FFE"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1B5F43" w:rsidRPr="00DC41C8" w:rsidRDefault="004C6FFE" w:rsidP="001B5F43">
          <w:pPr>
            <w:spacing w:line="360" w:lineRule="auto"/>
            <w:jc w:val="right"/>
            <w:rPr>
              <w:rFonts w:ascii="Palatino Linotype" w:hAnsi="Palatino Linotype"/>
              <w:b/>
              <w:sz w:val="22"/>
              <w:szCs w:val="22"/>
            </w:rPr>
          </w:pPr>
          <w:r w:rsidRPr="00701A14">
            <w:rPr>
              <w:rFonts w:ascii="Palatino Linotype" w:hAnsi="Palatino Linotype"/>
              <w:b/>
              <w:bCs/>
              <w:sz w:val="22"/>
              <w:szCs w:val="22"/>
            </w:rPr>
            <w:t>Servicios Educativos Integrados al Estado de México</w:t>
          </w:r>
        </w:p>
      </w:tc>
    </w:tr>
    <w:tr w:rsidR="001B5F43" w:rsidRPr="008F2CCC" w:rsidTr="001B5F43">
      <w:tc>
        <w:tcPr>
          <w:tcW w:w="2977" w:type="dxa"/>
          <w:shd w:val="clear" w:color="auto" w:fill="auto"/>
        </w:tcPr>
        <w:p w:rsidR="001B5F43" w:rsidRPr="007E5FC4" w:rsidRDefault="004C6FFE"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1B5F43" w:rsidRPr="008F2CCC" w:rsidRDefault="004C6FFE" w:rsidP="001B5F4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1B5F43" w:rsidRPr="009F1AB6" w:rsidRDefault="004C6FFE">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B554942" wp14:editId="51E837A7">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F2394"/>
    <w:multiLevelType w:val="hybridMultilevel"/>
    <w:tmpl w:val="6172C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FFE"/>
    <w:rsid w:val="004C6FFE"/>
    <w:rsid w:val="008347F3"/>
    <w:rsid w:val="00CF4553"/>
    <w:rsid w:val="00DA71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CC498"/>
  <w15:chartTrackingRefBased/>
  <w15:docId w15:val="{C1178D92-FB95-484E-8193-3E1A3C77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FF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C6FF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C6FFE"/>
    <w:rPr>
      <w:rFonts w:eastAsiaTheme="minorEastAsia"/>
      <w:sz w:val="24"/>
      <w:szCs w:val="24"/>
      <w:lang w:val="es-ES_tradnl" w:eastAsia="es-ES"/>
    </w:rPr>
  </w:style>
  <w:style w:type="paragraph" w:styleId="Piedepgina">
    <w:name w:val="footer"/>
    <w:basedOn w:val="Normal"/>
    <w:link w:val="PiedepginaCar"/>
    <w:uiPriority w:val="99"/>
    <w:unhideWhenUsed/>
    <w:rsid w:val="004C6FF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C6FFE"/>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C6FFE"/>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C6FF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3714</Words>
  <Characters>20430</Characters>
  <Application>Microsoft Office Word</Application>
  <DocSecurity>0</DocSecurity>
  <Lines>170</Lines>
  <Paragraphs>48</Paragraphs>
  <ScaleCrop>false</ScaleCrop>
  <Company/>
  <LinksUpToDate>false</LinksUpToDate>
  <CharactersWithSpaces>24096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libni</cp:lastModifiedBy>
  <cp:revision>2</cp:revision>
  <dcterms:created xsi:type="dcterms:W3CDTF">2022-06-08T21:50:00Z</dcterms:created>
  <dcterms:modified xsi:type="dcterms:W3CDTF">2022-06-27T03:04:00Z</dcterms:modified>
</cp:coreProperties>
</file>