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785C69" w14:textId="77777777" w:rsidR="00A60646" w:rsidRDefault="007151D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dieciocho de mayo de dos mil veintidós. </w:t>
      </w:r>
    </w:p>
    <w:p w14:paraId="567E0581" w14:textId="372DB4AA" w:rsidR="00A60646" w:rsidRDefault="007151D3">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01039/INFOEM/IP/RR/2022</w:t>
      </w:r>
      <w:r>
        <w:rPr>
          <w:rFonts w:ascii="Palatino Linotype" w:eastAsia="Palatino Linotype" w:hAnsi="Palatino Linotype" w:cs="Palatino Linotype"/>
        </w:rPr>
        <w:t xml:space="preserve">, interpuesto por </w:t>
      </w:r>
      <w:r w:rsidR="00156359">
        <w:rPr>
          <w:rFonts w:ascii="Palatino Linotype" w:eastAsia="Palatino Linotype" w:hAnsi="Palatino Linotype" w:cs="Palatino Linotype"/>
          <w:b/>
        </w:rPr>
        <w:t xml:space="preserve">XXXXX </w:t>
      </w:r>
      <w:proofErr w:type="spellStart"/>
      <w:r w:rsidR="00156359">
        <w:rPr>
          <w:rFonts w:ascii="Palatino Linotype" w:eastAsia="Palatino Linotype" w:hAnsi="Palatino Linotype" w:cs="Palatino Linotype"/>
          <w:b/>
        </w:rPr>
        <w:t>XXXXX</w:t>
      </w:r>
      <w:proofErr w:type="spellEnd"/>
      <w:r w:rsidR="00156359">
        <w:rPr>
          <w:rFonts w:ascii="Palatino Linotype" w:eastAsia="Palatino Linotype" w:hAnsi="Palatino Linotype" w:cs="Palatino Linotype"/>
          <w:b/>
        </w:rPr>
        <w:t xml:space="preserve"> </w:t>
      </w:r>
      <w:proofErr w:type="spellStart"/>
      <w:r w:rsidR="00156359">
        <w:rPr>
          <w:rFonts w:ascii="Palatino Linotype" w:eastAsia="Palatino Linotype" w:hAnsi="Palatino Linotype" w:cs="Palatino Linotype"/>
          <w:b/>
        </w:rPr>
        <w:t>XXXXX</w:t>
      </w:r>
      <w:bookmarkStart w:id="0" w:name="_GoBack"/>
      <w:bookmarkEnd w:id="0"/>
      <w:proofErr w:type="spellEnd"/>
      <w:r>
        <w:rPr>
          <w:rFonts w:ascii="Palatino Linotype" w:eastAsia="Palatino Linotype" w:hAnsi="Palatino Linotype" w:cs="Palatino Linotype"/>
        </w:rPr>
        <w:t>, en lo sucesivo</w:t>
      </w:r>
      <w:r>
        <w:rPr>
          <w:rFonts w:ascii="Palatino Linotype" w:eastAsia="Palatino Linotype" w:hAnsi="Palatino Linotype" w:cs="Palatino Linotype"/>
          <w:b/>
        </w:rPr>
        <w:t xml:space="preserve"> 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por parte del </w:t>
      </w:r>
      <w:r>
        <w:rPr>
          <w:rFonts w:ascii="Palatino Linotype" w:eastAsia="Palatino Linotype" w:hAnsi="Palatino Linotype" w:cs="Palatino Linotype"/>
          <w:b/>
        </w:rPr>
        <w:t xml:space="preserve">Organismo Público Descentralizado para la Prestación de los Servicios de Agua Potable Alcantarillado y Saneamiento de Atizapán de Zaragoza por sus siglas S.A.P.A.S.A.,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3BA60C24" w14:textId="77777777" w:rsidR="00A60646" w:rsidRDefault="007151D3">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14:paraId="6C2C9898" w14:textId="77777777" w:rsidR="00A60646" w:rsidRDefault="007151D3">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Con fecha </w:t>
      </w:r>
      <w:r>
        <w:rPr>
          <w:rFonts w:ascii="Palatino Linotype" w:eastAsia="Palatino Linotype" w:hAnsi="Palatino Linotype" w:cs="Palatino Linotype"/>
          <w:b/>
        </w:rPr>
        <w:t>veinte de enero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00010/OASATIZARA/IP/2022 </w:t>
      </w:r>
      <w:r>
        <w:rPr>
          <w:rFonts w:ascii="Palatino Linotype" w:eastAsia="Palatino Linotype" w:hAnsi="Palatino Linotype" w:cs="Palatino Linotype"/>
        </w:rPr>
        <w:t xml:space="preserve">mediante la cual requirió la información siguiente: </w:t>
      </w:r>
    </w:p>
    <w:p w14:paraId="05E6DF0E" w14:textId="77777777" w:rsidR="00A60646" w:rsidRDefault="007151D3">
      <w:pPr>
        <w:spacing w:before="240" w:after="240"/>
        <w:ind w:left="851" w:right="902"/>
        <w:jc w:val="both"/>
        <w:rPr>
          <w:rFonts w:ascii="Palatino Linotype" w:eastAsia="Palatino Linotype" w:hAnsi="Palatino Linotype" w:cs="Palatino Linotype"/>
          <w:i/>
          <w:sz w:val="22"/>
          <w:szCs w:val="22"/>
        </w:rPr>
      </w:pPr>
      <w:bookmarkStart w:id="1" w:name="_heading=h.gjdgxs" w:colFirst="0" w:colLast="0"/>
      <w:bookmarkEnd w:id="1"/>
      <w:r>
        <w:rPr>
          <w:rFonts w:ascii="Palatino Linotype" w:eastAsia="Palatino Linotype" w:hAnsi="Palatino Linotype" w:cs="Palatino Linotype"/>
          <w:i/>
          <w:sz w:val="22"/>
          <w:szCs w:val="22"/>
        </w:rPr>
        <w:lastRenderedPageBreak/>
        <w:t>“Solicito los juicios promovidos por el sujeto obligado en el 2022 y 2021” (sic)</w:t>
      </w:r>
    </w:p>
    <w:p w14:paraId="0507DBDB" w14:textId="77777777" w:rsidR="00A60646" w:rsidRDefault="007151D3">
      <w:pPr>
        <w:spacing w:before="240" w:after="240" w:line="360" w:lineRule="auto"/>
        <w:ind w:right="900"/>
        <w:jc w:val="both"/>
        <w:rPr>
          <w:rFonts w:ascii="Palatino Linotype" w:eastAsia="Palatino Linotype" w:hAnsi="Palatino Linotype" w:cs="Palatino Linotype"/>
        </w:rPr>
      </w:pP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adjuntó archivos.</w:t>
      </w:r>
    </w:p>
    <w:p w14:paraId="198A03C7" w14:textId="77777777" w:rsidR="00A60646" w:rsidRDefault="007151D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a través del SAIMEX.</w:t>
      </w:r>
    </w:p>
    <w:p w14:paraId="5EBFAB01" w14:textId="77777777" w:rsidR="00A60646" w:rsidRDefault="007151D3">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rPr>
        <w:t xml:space="preserve">2. Solicitud de Aclaración.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color w:val="000000"/>
        </w:rPr>
        <w:t xml:space="preserve"> en fecha </w:t>
      </w:r>
      <w:r>
        <w:rPr>
          <w:rFonts w:ascii="Palatino Linotype" w:eastAsia="Palatino Linotype" w:hAnsi="Palatino Linotype" w:cs="Palatino Linotype"/>
          <w:b/>
          <w:color w:val="000000"/>
        </w:rPr>
        <w:t>veintisiete de enero de dos mil veintidós,</w:t>
      </w:r>
      <w:r>
        <w:rPr>
          <w:rFonts w:ascii="Palatino Linotype" w:eastAsia="Palatino Linotype" w:hAnsi="Palatino Linotype" w:cs="Palatino Linotype"/>
          <w:color w:val="000000"/>
        </w:rPr>
        <w:t xml:space="preserve"> solicita a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color w:val="000000"/>
        </w:rPr>
        <w:t xml:space="preserve">, aclare la solicitud en el siguiente sentido: </w:t>
      </w:r>
    </w:p>
    <w:p w14:paraId="7A102AAA" w14:textId="77777777" w:rsidR="00A60646" w:rsidRDefault="007151D3">
      <w:pPr>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“México y Municipios, se le requiere para que dentro del plazo de diez días hábiles realice lo siguiente:</w:t>
      </w:r>
    </w:p>
    <w:p w14:paraId="5941ABC6" w14:textId="77777777" w:rsidR="00A60646" w:rsidRDefault="007151D3">
      <w:pPr>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función de otorgarle respuesta a su solicitud de acceso a la información pública, </w:t>
      </w:r>
      <w:r>
        <w:rPr>
          <w:rFonts w:ascii="Palatino Linotype" w:eastAsia="Palatino Linotype" w:hAnsi="Palatino Linotype" w:cs="Palatino Linotype"/>
          <w:b/>
          <w:i/>
          <w:sz w:val="22"/>
          <w:szCs w:val="22"/>
          <w:u w:val="single"/>
        </w:rPr>
        <w:t>se le requiere especificar a que tipo de juicio se refiere</w:t>
      </w:r>
    </w:p>
    <w:p w14:paraId="4767BA0C" w14:textId="77777777" w:rsidR="00A60646" w:rsidRDefault="007151D3">
      <w:pPr>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71594682" w14:textId="77777777" w:rsidR="00A60646" w:rsidRDefault="007151D3">
      <w:pPr>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08F2D580" w14:textId="77777777" w:rsidR="00A60646" w:rsidRDefault="007151D3">
      <w:pPr>
        <w:spacing w:before="240" w:after="240" w:line="360" w:lineRule="auto"/>
        <w:ind w:left="851"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 xml:space="preserve">C. MARIAMNEÈ VEGA BLANCARTE” </w:t>
      </w:r>
      <w:r>
        <w:rPr>
          <w:rFonts w:ascii="Palatino Linotype" w:eastAsia="Palatino Linotype" w:hAnsi="Palatino Linotype" w:cs="Palatino Linotype"/>
          <w:sz w:val="22"/>
          <w:szCs w:val="22"/>
        </w:rPr>
        <w:t>(Sic)</w:t>
      </w:r>
    </w:p>
    <w:p w14:paraId="66F5551B" w14:textId="77777777" w:rsidR="00A60646" w:rsidRDefault="007151D3">
      <w:pP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3. Aclaración. </w:t>
      </w:r>
      <w:r>
        <w:rPr>
          <w:rFonts w:ascii="Palatino Linotype" w:eastAsia="Palatino Linotype" w:hAnsi="Palatino Linotype" w:cs="Palatino Linotype"/>
          <w:color w:val="000000"/>
        </w:rPr>
        <w:t xml:space="preserve">En fecha treinta y uno de enero del año dos mil veintidós,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manifiesta lo siguiente:</w:t>
      </w:r>
    </w:p>
    <w:p w14:paraId="6CCEE331" w14:textId="77777777" w:rsidR="00A60646" w:rsidRDefault="00A60646">
      <w:pPr>
        <w:spacing w:line="360" w:lineRule="auto"/>
        <w:rPr>
          <w:rFonts w:ascii="Palatino Linotype" w:eastAsia="Palatino Linotype" w:hAnsi="Palatino Linotype" w:cs="Palatino Linotype"/>
          <w:color w:val="000000"/>
        </w:rPr>
      </w:pPr>
    </w:p>
    <w:p w14:paraId="57EECEB4" w14:textId="77777777" w:rsidR="00A60646" w:rsidRDefault="007151D3">
      <w:pPr>
        <w:spacing w:line="360"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Todos.</w:t>
      </w:r>
      <w:r>
        <w:rPr>
          <w:rFonts w:ascii="Palatino Linotype" w:eastAsia="Palatino Linotype" w:hAnsi="Palatino Linotype" w:cs="Palatino Linotype"/>
          <w:i/>
          <w:sz w:val="22"/>
          <w:szCs w:val="22"/>
        </w:rPr>
        <w:t xml:space="preserve"> creo que le falta preparación para poder analizar y atender solicitudes. </w:t>
      </w:r>
      <w:r>
        <w:rPr>
          <w:rFonts w:ascii="Palatino Linotype" w:eastAsia="Palatino Linotype" w:hAnsi="Palatino Linotype" w:cs="Palatino Linotype"/>
          <w:b/>
          <w:i/>
          <w:sz w:val="22"/>
          <w:szCs w:val="22"/>
        </w:rPr>
        <w:t>Solicito también remita evidencia de su experiencia como titular encargada para el área de transparencia y su certificación</w:t>
      </w:r>
      <w:r>
        <w:rPr>
          <w:rFonts w:ascii="Palatino Linotype" w:eastAsia="Palatino Linotype" w:hAnsi="Palatino Linotype" w:cs="Palatino Linotype"/>
          <w:i/>
          <w:sz w:val="22"/>
          <w:szCs w:val="22"/>
        </w:rPr>
        <w:t>” (Sic)</w:t>
      </w:r>
    </w:p>
    <w:p w14:paraId="7F7CABA0" w14:textId="77777777" w:rsidR="00A60646" w:rsidRDefault="007151D3">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4. 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dieciocho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 SAIMEX, sustancialmente en los términos siguientes:   </w:t>
      </w:r>
    </w:p>
    <w:p w14:paraId="6CD109F7" w14:textId="77777777" w:rsidR="00A60646" w:rsidRDefault="007151D3">
      <w:pPr>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A7837DA" w14:textId="77777777" w:rsidR="00A60646" w:rsidRDefault="007151D3">
      <w:pPr>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Por lo que atañe a la Coordinación Jurídica, área encargada de atender su solicitud, la cual adjunta el oficio con número SAPASA/CJ/MTLA/00129/2022, en el que informa que, </w:t>
      </w:r>
      <w:r>
        <w:rPr>
          <w:rFonts w:ascii="Palatino Linotype" w:eastAsia="Palatino Linotype" w:hAnsi="Palatino Linotype" w:cs="Palatino Linotype"/>
          <w:b/>
          <w:i/>
          <w:sz w:val="22"/>
          <w:szCs w:val="22"/>
        </w:rPr>
        <w:t>durante la segunda Sesión Ordinaria del Comité de Transparencia, celebrado el día nueve de febrero de dos mil veintidós, mediante el acuerdo número ACT/03/2022, en el que se confirmó por unanimidad de votos de los integrantes de dicho Órgano Colegiado, la CLASIFICACIÓN DE LA INFORMACIÓN CON CARÁCTER DE RESERVA TOTAL</w:t>
      </w:r>
      <w:r>
        <w:rPr>
          <w:rFonts w:ascii="Palatino Linotype" w:eastAsia="Palatino Linotype" w:hAnsi="Palatino Linotype" w:cs="Palatino Linotype"/>
          <w:i/>
          <w:sz w:val="22"/>
          <w:szCs w:val="22"/>
        </w:rPr>
        <w:t>, en virtud de encontrarse en trámite la información solicitada Finalmente, se le comunica que, en caso de inconformidad a la respuesta dada a su solicitud, con fundamento en lo dispuesto por los artículos 176, 177 y 178 de la LTAIPEMYM, se le informa que, podrá interponer Recurso de Revisión, para lo cual dispone de un plazo de quince días hábiles contados a partir de la fecha de la presente notificación a su solicitud de acceso a información.</w:t>
      </w:r>
    </w:p>
    <w:p w14:paraId="6103680E" w14:textId="77777777" w:rsidR="00A60646" w:rsidRDefault="007151D3">
      <w:pPr>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5ABBD453" w14:textId="77777777" w:rsidR="00A60646" w:rsidRDefault="007151D3">
      <w:pPr>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 MARIAMNEÈ VEGA BLANCARTE...” (sic)</w:t>
      </w:r>
    </w:p>
    <w:p w14:paraId="72CD5BED" w14:textId="77777777" w:rsidR="00A60646" w:rsidRDefault="007151D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adjuntó los siguientes archivos:</w:t>
      </w:r>
    </w:p>
    <w:p w14:paraId="4B4C82E4" w14:textId="77777777" w:rsidR="00A60646" w:rsidRDefault="007151D3">
      <w:pPr>
        <w:numPr>
          <w:ilvl w:val="0"/>
          <w:numId w:val="6"/>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RESPUESTA 000010-OASATIZARA-IP-2022.pdf”,</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color w:val="000000"/>
        </w:rPr>
        <w:t xml:space="preserve">que contiene el oficio de fecha catorce de febrero de dos mil veintidós, suscrito y signado por el Coordinador jurídico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por medio del cual informa</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color w:val="000000"/>
        </w:rPr>
        <w:t>que</w:t>
      </w:r>
      <w:r>
        <w:rPr>
          <w:rFonts w:ascii="Palatino Linotype" w:eastAsia="Palatino Linotype" w:hAnsi="Palatino Linotype" w:cs="Palatino Linotype"/>
          <w:i/>
          <w:color w:val="000000"/>
        </w:rPr>
        <w:t>:  “…durante la segunda sesión ordinaria del Comité de Transparencia celebrada el día nueve de febrero de dos mil veintidós, mediante el acuerdo número ACT/03/2022, en la que se confirmó por unanimidad de votos de los integrantes de dicho órgano colegiado, la clasificación de la información solicitada, derivada de la solicitud de acceso al información pública con número de folio 000010/OASATIZARA/IP/2022. Lo anterior con el fin de dar cumplimiento a lo solicitado por el ciudadano en cuanto a la información que solicitó de los 4 juicios promovidos por el Organismo Público Descentralizado para la prestación de servicios de agua potable variado y saneamiento del municipio de Atizapán de Zaragoza. “(Sic)</w:t>
      </w:r>
    </w:p>
    <w:p w14:paraId="51463EF7" w14:textId="77777777" w:rsidR="00A60646" w:rsidRDefault="007151D3">
      <w:pPr>
        <w:spacing w:before="240" w:after="240" w:line="360" w:lineRule="auto"/>
        <w:ind w:left="360" w:right="49"/>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r>
        <w:rPr>
          <w:rFonts w:ascii="Palatino Linotype" w:eastAsia="Palatino Linotype" w:hAnsi="Palatino Linotype" w:cs="Palatino Linotype"/>
        </w:rPr>
        <w:t xml:space="preserve">Agregando la tabla de clasificación de información reservada en la que se destaca la existencia de cuatro juicios promovidos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con un periodo de reserva de cinco años</w:t>
      </w:r>
      <w:r>
        <w:rPr>
          <w:rFonts w:ascii="Palatino Linotype" w:eastAsia="Palatino Linotype" w:hAnsi="Palatino Linotype" w:cs="Palatino Linotype"/>
          <w:b/>
          <w:i/>
        </w:rPr>
        <w:t>.</w:t>
      </w:r>
    </w:p>
    <w:p w14:paraId="0EEA7747" w14:textId="77777777" w:rsidR="00A60646" w:rsidRDefault="007151D3">
      <w:pPr>
        <w:numPr>
          <w:ilvl w:val="0"/>
          <w:numId w:val="6"/>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 xml:space="preserve">“Acta de la 2a Sesión Ordinaria del CT 2022.pdf”, </w:t>
      </w:r>
      <w:r>
        <w:rPr>
          <w:rFonts w:ascii="Palatino Linotype" w:eastAsia="Palatino Linotype" w:hAnsi="Palatino Linotype" w:cs="Palatino Linotype"/>
          <w:color w:val="000000"/>
        </w:rPr>
        <w:t xml:space="preserve">que contiene el acta de la segunda sesión ordinaria del Comité de Transparencia del Organismo SAPASA de Atizapán de Zaragoza de fecha 10 de febrero de 2022, en la que </w:t>
      </w:r>
      <w:r>
        <w:rPr>
          <w:rFonts w:ascii="Palatino Linotype" w:eastAsia="Palatino Linotype" w:hAnsi="Palatino Linotype" w:cs="Palatino Linotype"/>
          <w:color w:val="000000"/>
        </w:rPr>
        <w:lastRenderedPageBreak/>
        <w:t>analizan, discuten y confirman la clasificación de información con carácter de reserva total de cuatro juicios promovidos por el Sujeto Obligado en el 2022 y 2021 solicitado por la Coordinación Jurídica de S.A.P.A.S.A., documento que ser analizado líneas posteriores.</w:t>
      </w:r>
    </w:p>
    <w:p w14:paraId="53EEA7B3" w14:textId="77777777" w:rsidR="00A60646" w:rsidRDefault="007151D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5.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Pr>
          <w:rFonts w:ascii="Palatino Linotype" w:eastAsia="Palatino Linotype" w:hAnsi="Palatino Linotype" w:cs="Palatino Linotype"/>
          <w:b/>
        </w:rPr>
        <w:t>veintiuno de febrero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14:paraId="05A44DC1" w14:textId="77777777" w:rsidR="00A60646" w:rsidRDefault="007151D3">
      <w:pPr>
        <w:tabs>
          <w:tab w:val="left" w:pos="2745"/>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p>
    <w:p w14:paraId="0B47A2C8" w14:textId="77777777" w:rsidR="00A60646" w:rsidRDefault="007151D3">
      <w:pPr>
        <w:tabs>
          <w:tab w:val="left" w:pos="2745"/>
        </w:tabs>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“Respuesta.” (sic)</w:t>
      </w:r>
    </w:p>
    <w:p w14:paraId="563C98F0" w14:textId="77777777" w:rsidR="00A60646" w:rsidRDefault="007151D3">
      <w:pPr>
        <w:tabs>
          <w:tab w:val="left" w:pos="2745"/>
        </w:tabs>
        <w:spacing w:before="120" w:after="120"/>
        <w:ind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rPr>
        <w:t xml:space="preserve"> Razones o motivos de inconformidad</w:t>
      </w:r>
      <w:r>
        <w:rPr>
          <w:rFonts w:ascii="Palatino Linotype" w:eastAsia="Palatino Linotype" w:hAnsi="Palatino Linotype" w:cs="Palatino Linotype"/>
        </w:rPr>
        <w:t>:</w:t>
      </w:r>
    </w:p>
    <w:p w14:paraId="6DC4178F" w14:textId="77777777" w:rsidR="00A60646" w:rsidRDefault="007151D3">
      <w:pPr>
        <w:spacing w:line="276" w:lineRule="auto"/>
        <w:ind w:left="851" w:right="902"/>
        <w:jc w:val="both"/>
        <w:rPr>
          <w:rFonts w:ascii="Palatino Linotype" w:eastAsia="Palatino Linotype" w:hAnsi="Palatino Linotype" w:cs="Palatino Linotype"/>
          <w:i/>
          <w:sz w:val="22"/>
          <w:szCs w:val="22"/>
        </w:rPr>
      </w:pPr>
      <w:bookmarkStart w:id="2" w:name="_heading=h.30j0zll" w:colFirst="0" w:colLast="0"/>
      <w:bookmarkEnd w:id="2"/>
      <w:r>
        <w:rPr>
          <w:rFonts w:ascii="Palatino Linotype" w:eastAsia="Palatino Linotype" w:hAnsi="Palatino Linotype" w:cs="Palatino Linotype"/>
          <w:i/>
          <w:sz w:val="22"/>
          <w:szCs w:val="22"/>
        </w:rPr>
        <w:t xml:space="preserve"> “No remiten la respuesta a mi solicitud y en cambio mandan un acta mal hecha No remiten el acuerdo y clasifican violentando mi derecho de acceso a la información, quien sea la persona que esté en transparencia está violentando el derecho a la información por lo que además solicito den vista a la contraloría” (sic)</w:t>
      </w:r>
    </w:p>
    <w:p w14:paraId="16C8CA21" w14:textId="77777777" w:rsidR="00A60646" w:rsidRDefault="007151D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adjuntó archivos.</w:t>
      </w:r>
    </w:p>
    <w:p w14:paraId="2FFF0D29" w14:textId="77777777" w:rsidR="00A60646" w:rsidRDefault="007151D3">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6.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w:t>
      </w:r>
      <w:r>
        <w:rPr>
          <w:rFonts w:ascii="Palatino Linotype" w:eastAsia="Palatino Linotype" w:hAnsi="Palatino Linotype" w:cs="Palatino Linotype"/>
        </w:rPr>
        <w:lastRenderedPageBreak/>
        <w:t xml:space="preserve">Transparencia, Acceso a la Información Pública y Protección de Datos Personales del Estado de México y Municipios,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 xml:space="preserve">a efecto de que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14:paraId="66A8A812" w14:textId="77777777" w:rsidR="00A60646" w:rsidRDefault="007151D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Admisión del Recurso de revisión.</w:t>
      </w:r>
      <w:r>
        <w:rPr>
          <w:rFonts w:ascii="Palatino Linotype" w:eastAsia="Palatino Linotype" w:hAnsi="Palatino Linotype" w:cs="Palatino Linotype"/>
        </w:rPr>
        <w:t xml:space="preserve"> Con fecha</w:t>
      </w:r>
      <w:r>
        <w:rPr>
          <w:rFonts w:ascii="Palatino Linotype" w:eastAsia="Palatino Linotype" w:hAnsi="Palatino Linotype" w:cs="Palatino Linotype"/>
          <w:b/>
        </w:rPr>
        <w:t xml:space="preserve"> cuatro de abril de dos mil veintidós,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w:t>
      </w:r>
    </w:p>
    <w:p w14:paraId="6F44B3FF" w14:textId="77777777" w:rsidR="00A60646" w:rsidRDefault="007151D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 Manifestaciones</w:t>
      </w:r>
      <w:r>
        <w:rPr>
          <w:rFonts w:ascii="Palatino Linotype" w:eastAsia="Palatino Linotype" w:hAnsi="Palatino Linotype" w:cs="Palatino Linotype"/>
        </w:rPr>
        <w:t xml:space="preserve">. De las constancias que obran en el expediente electrónico del SAIMEX se desprende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fechas tres de marzo, veintiocho de abril y cuatro de mayo, rindió su informe justificado, remitiendo las siguientes documentales: </w:t>
      </w:r>
    </w:p>
    <w:p w14:paraId="39BA2856" w14:textId="77777777" w:rsidR="00A60646" w:rsidRDefault="007151D3">
      <w:pPr>
        <w:numPr>
          <w:ilvl w:val="0"/>
          <w:numId w:val="6"/>
        </w:numPr>
        <w:pBdr>
          <w:top w:val="nil"/>
          <w:left w:val="nil"/>
          <w:bottom w:val="nil"/>
          <w:right w:val="nil"/>
          <w:between w:val="nil"/>
        </w:pBdr>
        <w:spacing w:before="240"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“solicitud 10.pdf” </w:t>
      </w:r>
      <w:r>
        <w:rPr>
          <w:rFonts w:ascii="Palatino Linotype" w:eastAsia="Palatino Linotype" w:hAnsi="Palatino Linotype" w:cs="Palatino Linotype"/>
          <w:color w:val="000000"/>
        </w:rPr>
        <w:t>Oficio número  SASAPA/CI/MTLA/129/2022, de fecha catorce de febrero de dos mil veintidós, suscrito y signado por el Coordinador Jurídico de SAPASA, por medio del cual informa que:</w:t>
      </w:r>
    </w:p>
    <w:p w14:paraId="35AA37E5" w14:textId="77777777" w:rsidR="00A60646" w:rsidRDefault="007151D3">
      <w:pPr>
        <w:pBdr>
          <w:top w:val="nil"/>
          <w:left w:val="nil"/>
          <w:bottom w:val="nil"/>
          <w:right w:val="nil"/>
          <w:between w:val="nil"/>
        </w:pBdr>
        <w:spacing w:line="360" w:lineRule="auto"/>
        <w:ind w:left="720"/>
        <w:jc w:val="both"/>
        <w:rPr>
          <w:rFonts w:ascii="Palatino Linotype" w:eastAsia="Palatino Linotype" w:hAnsi="Palatino Linotype" w:cs="Palatino Linotype"/>
          <w:b/>
          <w:i/>
          <w:color w:val="000000"/>
        </w:rPr>
      </w:pPr>
      <w:r>
        <w:rPr>
          <w:noProof/>
          <w:color w:val="000000"/>
          <w:lang w:val="es-MX"/>
        </w:rPr>
        <w:lastRenderedPageBreak/>
        <w:drawing>
          <wp:inline distT="0" distB="0" distL="0" distR="0" wp14:anchorId="7C9A9EE1" wp14:editId="52CE2223">
            <wp:extent cx="5263097" cy="1927762"/>
            <wp:effectExtent l="0" t="0" r="0" b="0"/>
            <wp:docPr id="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61779" t="41038" r="9029" b="39952"/>
                    <a:stretch>
                      <a:fillRect/>
                    </a:stretch>
                  </pic:blipFill>
                  <pic:spPr>
                    <a:xfrm>
                      <a:off x="0" y="0"/>
                      <a:ext cx="5263097" cy="1927762"/>
                    </a:xfrm>
                    <a:prstGeom prst="rect">
                      <a:avLst/>
                    </a:prstGeom>
                    <a:ln/>
                  </pic:spPr>
                </pic:pic>
              </a:graphicData>
            </a:graphic>
          </wp:inline>
        </w:drawing>
      </w:r>
    </w:p>
    <w:p w14:paraId="5E2F1F10" w14:textId="77777777" w:rsidR="00A60646" w:rsidRDefault="007151D3">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i/>
          <w:color w:val="000000"/>
        </w:rPr>
        <w:t xml:space="preserve">“en </w:t>
      </w:r>
      <w:proofErr w:type="spellStart"/>
      <w:r>
        <w:rPr>
          <w:rFonts w:ascii="Palatino Linotype" w:eastAsia="Palatino Linotype" w:hAnsi="Palatino Linotype" w:cs="Palatino Linotype"/>
          <w:b/>
          <w:i/>
          <w:color w:val="000000"/>
        </w:rPr>
        <w:t>atencion</w:t>
      </w:r>
      <w:proofErr w:type="spellEnd"/>
      <w:r>
        <w:rPr>
          <w:rFonts w:ascii="Palatino Linotype" w:eastAsia="Palatino Linotype" w:hAnsi="Palatino Linotype" w:cs="Palatino Linotype"/>
          <w:b/>
          <w:i/>
          <w:color w:val="000000"/>
        </w:rPr>
        <w:t xml:space="preserve"> al recurso 1039 .</w:t>
      </w:r>
      <w:proofErr w:type="spellStart"/>
      <w:r>
        <w:rPr>
          <w:rFonts w:ascii="Palatino Linotype" w:eastAsia="Palatino Linotype" w:hAnsi="Palatino Linotype" w:cs="Palatino Linotype"/>
          <w:b/>
          <w:i/>
          <w:color w:val="000000"/>
        </w:rPr>
        <w:t>pdf</w:t>
      </w:r>
      <w:proofErr w:type="spellEnd"/>
      <w:r>
        <w:rPr>
          <w:rFonts w:ascii="Palatino Linotype" w:eastAsia="Palatino Linotype" w:hAnsi="Palatino Linotype" w:cs="Palatino Linotype"/>
          <w:b/>
          <w:i/>
          <w:color w:val="000000"/>
        </w:rPr>
        <w:t>”</w:t>
      </w:r>
      <w:r>
        <w:rPr>
          <w:rFonts w:ascii="Palatino Linotype" w:eastAsia="Palatino Linotype" w:hAnsi="Palatino Linotype" w:cs="Palatino Linotype"/>
          <w:b/>
          <w:i/>
          <w:color w:val="000000"/>
        </w:rPr>
        <w:tab/>
        <w:t xml:space="preserve">, </w:t>
      </w:r>
      <w:r>
        <w:rPr>
          <w:rFonts w:ascii="Palatino Linotype" w:eastAsia="Palatino Linotype" w:hAnsi="Palatino Linotype" w:cs="Palatino Linotype"/>
          <w:color w:val="000000"/>
        </w:rPr>
        <w:t xml:space="preserve">que contiene tres archivos que se </w:t>
      </w:r>
      <w:r>
        <w:rPr>
          <w:rFonts w:ascii="Palatino Linotype" w:eastAsia="Palatino Linotype" w:hAnsi="Palatino Linotype" w:cs="Palatino Linotype"/>
        </w:rPr>
        <w:t>describen</w:t>
      </w:r>
      <w:r>
        <w:rPr>
          <w:rFonts w:ascii="Palatino Linotype" w:eastAsia="Palatino Linotype" w:hAnsi="Palatino Linotype" w:cs="Palatino Linotype"/>
          <w:color w:val="000000"/>
        </w:rPr>
        <w:t xml:space="preserve"> a continuación: </w:t>
      </w:r>
    </w:p>
    <w:p w14:paraId="50C77E9B" w14:textId="77777777" w:rsidR="00A60646" w:rsidRDefault="00A60646">
      <w:pPr>
        <w:pBdr>
          <w:top w:val="nil"/>
          <w:left w:val="nil"/>
          <w:bottom w:val="nil"/>
          <w:right w:val="nil"/>
          <w:between w:val="nil"/>
        </w:pBdr>
        <w:spacing w:line="360" w:lineRule="auto"/>
        <w:ind w:left="720"/>
        <w:jc w:val="both"/>
        <w:rPr>
          <w:rFonts w:ascii="Palatino Linotype" w:eastAsia="Palatino Linotype" w:hAnsi="Palatino Linotype" w:cs="Palatino Linotype"/>
        </w:rPr>
      </w:pPr>
    </w:p>
    <w:p w14:paraId="1050D954" w14:textId="77777777" w:rsidR="00A60646" w:rsidRPr="0043227A" w:rsidRDefault="007151D3">
      <w:pPr>
        <w:numPr>
          <w:ilvl w:val="0"/>
          <w:numId w:val="2"/>
        </w:numPr>
        <w:pBdr>
          <w:top w:val="nil"/>
          <w:left w:val="nil"/>
          <w:bottom w:val="nil"/>
          <w:right w:val="nil"/>
          <w:between w:val="nil"/>
        </w:pBdr>
        <w:spacing w:line="360" w:lineRule="auto"/>
        <w:ind w:left="1560" w:hanging="284"/>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Documento denominado: Certificado de Competencia laboral en el Estándar de Competencia, emitido por el Consejo Nacional de Normalización y Certificación de Competencias Laborales a </w:t>
      </w:r>
      <w:proofErr w:type="spellStart"/>
      <w:r>
        <w:rPr>
          <w:rFonts w:ascii="Palatino Linotype" w:eastAsia="Palatino Linotype" w:hAnsi="Palatino Linotype" w:cs="Palatino Linotype"/>
          <w:color w:val="000000"/>
        </w:rPr>
        <w:t>Mariamnee</w:t>
      </w:r>
      <w:proofErr w:type="spellEnd"/>
      <w:r>
        <w:rPr>
          <w:rFonts w:ascii="Palatino Linotype" w:eastAsia="Palatino Linotype" w:hAnsi="Palatino Linotype" w:cs="Palatino Linotype"/>
          <w:color w:val="000000"/>
        </w:rPr>
        <w:t xml:space="preserve"> Vega Blancarte.</w:t>
      </w:r>
    </w:p>
    <w:p w14:paraId="08AE16E7" w14:textId="77777777" w:rsidR="0043227A" w:rsidRDefault="0043227A" w:rsidP="002B4C09">
      <w:pPr>
        <w:pBdr>
          <w:top w:val="nil"/>
          <w:left w:val="nil"/>
          <w:bottom w:val="nil"/>
          <w:right w:val="nil"/>
          <w:between w:val="nil"/>
        </w:pBdr>
        <w:spacing w:line="360" w:lineRule="auto"/>
        <w:ind w:left="1560"/>
        <w:jc w:val="both"/>
        <w:rPr>
          <w:rFonts w:ascii="Palatino Linotype" w:eastAsia="Palatino Linotype" w:hAnsi="Palatino Linotype" w:cs="Palatino Linotype"/>
          <w:i/>
          <w:color w:val="000000"/>
        </w:rPr>
      </w:pPr>
    </w:p>
    <w:p w14:paraId="19B155EA" w14:textId="77777777" w:rsidR="00A60646" w:rsidRDefault="007151D3">
      <w:pPr>
        <w:numPr>
          <w:ilvl w:val="0"/>
          <w:numId w:val="2"/>
        </w:numPr>
        <w:pBdr>
          <w:top w:val="nil"/>
          <w:left w:val="nil"/>
          <w:bottom w:val="nil"/>
          <w:right w:val="nil"/>
          <w:between w:val="nil"/>
        </w:pBdr>
        <w:spacing w:line="360" w:lineRule="auto"/>
        <w:ind w:left="1560" w:hanging="284"/>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Oficio número  SASAPA/CI/MTLA/270/2022, de fecha veintisiete de abril de dos mil veintidós, suscrito y signado por el Coordinador Jurídico de SAPASA, por medio del cual informa:</w:t>
      </w:r>
    </w:p>
    <w:p w14:paraId="4339BC1D" w14:textId="77777777" w:rsidR="00A60646" w:rsidRDefault="007151D3">
      <w:pPr>
        <w:pBdr>
          <w:top w:val="nil"/>
          <w:left w:val="nil"/>
          <w:bottom w:val="nil"/>
          <w:right w:val="nil"/>
          <w:between w:val="nil"/>
        </w:pBdr>
        <w:spacing w:line="360" w:lineRule="auto"/>
        <w:ind w:left="1560" w:hanging="284"/>
        <w:jc w:val="both"/>
        <w:rPr>
          <w:rFonts w:ascii="Palatino Linotype" w:eastAsia="Palatino Linotype" w:hAnsi="Palatino Linotype" w:cs="Palatino Linotype"/>
          <w:color w:val="000000"/>
        </w:rPr>
      </w:pPr>
      <w:r>
        <w:rPr>
          <w:noProof/>
          <w:color w:val="000000"/>
          <w:lang w:val="es-MX"/>
        </w:rPr>
        <w:lastRenderedPageBreak/>
        <w:drawing>
          <wp:inline distT="0" distB="0" distL="0" distR="0" wp14:anchorId="4900710E" wp14:editId="30FE05D8">
            <wp:extent cx="4851374" cy="1386107"/>
            <wp:effectExtent l="0" t="0" r="0" b="0"/>
            <wp:docPr id="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61100" t="39830" r="9199" b="45081"/>
                    <a:stretch>
                      <a:fillRect/>
                    </a:stretch>
                  </pic:blipFill>
                  <pic:spPr>
                    <a:xfrm>
                      <a:off x="0" y="0"/>
                      <a:ext cx="4851374" cy="1386107"/>
                    </a:xfrm>
                    <a:prstGeom prst="rect">
                      <a:avLst/>
                    </a:prstGeom>
                    <a:ln/>
                  </pic:spPr>
                </pic:pic>
              </a:graphicData>
            </a:graphic>
          </wp:inline>
        </w:drawing>
      </w:r>
    </w:p>
    <w:p w14:paraId="18F270AA" w14:textId="77777777" w:rsidR="00A60646" w:rsidRDefault="007151D3">
      <w:pPr>
        <w:numPr>
          <w:ilvl w:val="0"/>
          <w:numId w:val="2"/>
        </w:numPr>
        <w:pBdr>
          <w:top w:val="nil"/>
          <w:left w:val="nil"/>
          <w:bottom w:val="nil"/>
          <w:right w:val="nil"/>
          <w:between w:val="nil"/>
        </w:pBdr>
        <w:spacing w:line="360" w:lineRule="auto"/>
        <w:ind w:left="1560" w:hanging="284"/>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Ficha Curricular de la servidora pública </w:t>
      </w:r>
      <w:proofErr w:type="spellStart"/>
      <w:r>
        <w:rPr>
          <w:rFonts w:ascii="Palatino Linotype" w:eastAsia="Palatino Linotype" w:hAnsi="Palatino Linotype" w:cs="Palatino Linotype"/>
          <w:color w:val="000000"/>
        </w:rPr>
        <w:t>Mariamnee</w:t>
      </w:r>
      <w:proofErr w:type="spellEnd"/>
      <w:r>
        <w:rPr>
          <w:rFonts w:ascii="Palatino Linotype" w:eastAsia="Palatino Linotype" w:hAnsi="Palatino Linotype" w:cs="Palatino Linotype"/>
          <w:color w:val="000000"/>
        </w:rPr>
        <w:t xml:space="preserve"> Vega Blancarte.</w:t>
      </w:r>
    </w:p>
    <w:p w14:paraId="27D8F237" w14:textId="77777777" w:rsidR="00A60646" w:rsidRDefault="00A60646">
      <w:pPr>
        <w:pBdr>
          <w:top w:val="nil"/>
          <w:left w:val="nil"/>
          <w:bottom w:val="nil"/>
          <w:right w:val="nil"/>
          <w:between w:val="nil"/>
        </w:pBdr>
        <w:spacing w:line="360" w:lineRule="auto"/>
        <w:ind w:left="1080"/>
        <w:jc w:val="both"/>
        <w:rPr>
          <w:rFonts w:ascii="Palatino Linotype" w:eastAsia="Palatino Linotype" w:hAnsi="Palatino Linotype" w:cs="Palatino Linotype"/>
          <w:color w:val="000000"/>
        </w:rPr>
      </w:pPr>
    </w:p>
    <w:p w14:paraId="48D0F442" w14:textId="77777777" w:rsidR="00A60646" w:rsidRDefault="007151D3">
      <w:pPr>
        <w:numPr>
          <w:ilvl w:val="0"/>
          <w:numId w:val="6"/>
        </w:num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“00010.pdf”, </w:t>
      </w:r>
      <w:r>
        <w:rPr>
          <w:rFonts w:ascii="Palatino Linotype" w:eastAsia="Palatino Linotype" w:hAnsi="Palatino Linotype" w:cs="Palatino Linotype"/>
          <w:color w:val="000000"/>
        </w:rPr>
        <w:t>en la que se adjuntan dos documentos:</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color w:val="000000"/>
        </w:rPr>
        <w:t xml:space="preserve">Acta de la Octava Sesión Extraordinaria el Organismo SAPASA de Atizapán de Zaragoza, de fecha dos de mayo de dos mil veintidós, por medio de la cual aprueban la clasificación de Información confidencial de la CURP, contenida en el documento: Certificado de Competencia Laboral en el Estándar de Competencia,  y el Consentimiento de la servidora pública </w:t>
      </w:r>
      <w:proofErr w:type="spellStart"/>
      <w:r>
        <w:rPr>
          <w:rFonts w:ascii="Palatino Linotype" w:eastAsia="Palatino Linotype" w:hAnsi="Palatino Linotype" w:cs="Palatino Linotype"/>
          <w:color w:val="000000"/>
        </w:rPr>
        <w:t>Mariamnee</w:t>
      </w:r>
      <w:proofErr w:type="spellEnd"/>
      <w:r>
        <w:rPr>
          <w:rFonts w:ascii="Palatino Linotype" w:eastAsia="Palatino Linotype" w:hAnsi="Palatino Linotype" w:cs="Palatino Linotype"/>
          <w:color w:val="000000"/>
        </w:rPr>
        <w:t xml:space="preserve"> Vega Blancarte, para hacer pública su fotografía en el Certificado de Competencia Laboral en el Estándar de Competencia.</w:t>
      </w:r>
    </w:p>
    <w:p w14:paraId="13375E5F" w14:textId="77777777" w:rsidR="00A60646" w:rsidRDefault="007151D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Documentos que fueron puestos a la vista del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fecha cuatro de mayo de dos mil veintidós, por su parte el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omitió realizar manifestaciones.</w:t>
      </w:r>
    </w:p>
    <w:p w14:paraId="4E2C268C" w14:textId="77777777" w:rsidR="00A60646" w:rsidRDefault="007151D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9.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w:t>
      </w:r>
      <w:r>
        <w:rPr>
          <w:rFonts w:ascii="Palatino Linotype" w:eastAsia="Palatino Linotype" w:hAnsi="Palatino Linotype" w:cs="Palatino Linotype"/>
        </w:rPr>
        <w:lastRenderedPageBreak/>
        <w:t xml:space="preserve">con fecha </w:t>
      </w:r>
      <w:r>
        <w:rPr>
          <w:rFonts w:ascii="Palatino Linotype" w:eastAsia="Palatino Linotype" w:hAnsi="Palatino Linotype" w:cs="Palatino Linotype"/>
          <w:b/>
        </w:rPr>
        <w:t>once de mayo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ECFA001" w14:textId="77777777" w:rsidR="00A60646" w:rsidRDefault="007151D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10. Ampliación del término para resolver</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once de mayo de dos mil veintidós</w:t>
      </w:r>
      <w:r>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 por un plazo de quince días hábiles.</w:t>
      </w:r>
    </w:p>
    <w:p w14:paraId="4E3A035B" w14:textId="77777777" w:rsidR="00A60646" w:rsidRDefault="007151D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229F8E5B" w14:textId="77777777" w:rsidR="00A60646" w:rsidRDefault="007151D3">
      <w:pPr>
        <w:widowControl w:val="0"/>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14:paraId="5E24F9CC" w14:textId="77777777" w:rsidR="00A60646" w:rsidRDefault="00A60646">
      <w:pPr>
        <w:widowControl w:val="0"/>
        <w:spacing w:line="360" w:lineRule="auto"/>
        <w:jc w:val="center"/>
        <w:rPr>
          <w:rFonts w:ascii="Palatino Linotype" w:eastAsia="Palatino Linotype" w:hAnsi="Palatino Linotype" w:cs="Palatino Linotype"/>
          <w:b/>
        </w:rPr>
      </w:pPr>
    </w:p>
    <w:p w14:paraId="4B8FDE8D" w14:textId="77777777" w:rsidR="00A60646" w:rsidRDefault="007151D3">
      <w:pPr>
        <w:spacing w:line="360" w:lineRule="auto"/>
        <w:jc w:val="both"/>
        <w:rPr>
          <w:rFonts w:ascii="Palatino Linotype" w:eastAsia="Palatino Linotype" w:hAnsi="Palatino Linotype" w:cs="Palatino Linotype"/>
        </w:rPr>
      </w:pPr>
      <w:bookmarkStart w:id="3" w:name="_heading=h.tyjcwt" w:colFirst="0" w:colLast="0"/>
      <w:bookmarkEnd w:id="3"/>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w:t>
      </w:r>
      <w:r>
        <w:rPr>
          <w:rFonts w:ascii="Palatino Linotype" w:eastAsia="Palatino Linotype" w:hAnsi="Palatino Linotype" w:cs="Palatino Linotype"/>
        </w:rPr>
        <w:lastRenderedPageBreak/>
        <w:t>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959A016" w14:textId="77777777" w:rsidR="00A60646" w:rsidRDefault="007151D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E5F562B" w14:textId="77777777" w:rsidR="00A60646" w:rsidRDefault="007151D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la respuesta a la solicitud de información el día </w:t>
      </w:r>
      <w:r>
        <w:rPr>
          <w:rFonts w:ascii="Palatino Linotype" w:eastAsia="Palatino Linotype" w:hAnsi="Palatino Linotype" w:cs="Palatino Linotype"/>
          <w:b/>
        </w:rPr>
        <w:t xml:space="preserve">dieciocho de febrero de dos mil veintidós, </w:t>
      </w:r>
      <w:r>
        <w:rPr>
          <w:rFonts w:ascii="Palatino Linotype" w:eastAsia="Palatino Linotype" w:hAnsi="Palatino Linotype" w:cs="Palatino Linotype"/>
        </w:rPr>
        <w:t xml:space="preserve">mientras que el recurso de revisión interpuesto por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tuvo por presentado el día </w:t>
      </w:r>
      <w:r>
        <w:rPr>
          <w:rFonts w:ascii="Palatino Linotype" w:eastAsia="Palatino Linotype" w:hAnsi="Palatino Linotype" w:cs="Palatino Linotype"/>
          <w:b/>
        </w:rPr>
        <w:t>veintiuno de febrero de dos mil veintidós</w:t>
      </w:r>
      <w:r>
        <w:rPr>
          <w:rFonts w:ascii="Palatino Linotype" w:eastAsia="Palatino Linotype" w:hAnsi="Palatino Linotype" w:cs="Palatino Linotype"/>
        </w:rPr>
        <w:t>, esto es, al siguiente día hábil en que tuvo conocimiento de la respuesta impugnada.</w:t>
      </w:r>
    </w:p>
    <w:p w14:paraId="1A7971DC" w14:textId="77777777" w:rsidR="00A60646" w:rsidRDefault="007151D3">
      <w:pPr>
        <w:spacing w:before="240" w:after="240" w:line="360" w:lineRule="auto"/>
        <w:jc w:val="both"/>
        <w:rPr>
          <w:rFonts w:ascii="Palatino Linotype" w:eastAsia="Palatino Linotype" w:hAnsi="Palatino Linotype" w:cs="Palatino Linotype"/>
        </w:rPr>
      </w:pPr>
      <w:bookmarkStart w:id="4" w:name="_heading=h.3znysh7" w:colFirst="0" w:colLast="0"/>
      <w:bookmarkEnd w:id="4"/>
      <w:r>
        <w:rPr>
          <w:rFonts w:ascii="Palatino Linotype" w:eastAsia="Palatino Linotype" w:hAnsi="Palatino Linotype" w:cs="Palatino Linotype"/>
        </w:rPr>
        <w:t xml:space="preserve">Es de suma importancia mencionar que si bien parte no proporcionó nombre como se advierte en el detalle de seguimiento del SAIMEX, sin embargo, el no </w:t>
      </w:r>
      <w:r>
        <w:rPr>
          <w:rFonts w:ascii="Palatino Linotype" w:eastAsia="Palatino Linotype" w:hAnsi="Palatino Linotype" w:cs="Palatino Linotype"/>
        </w:rPr>
        <w:lastRenderedPageBreak/>
        <w:t>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011CE47" w14:textId="77777777" w:rsidR="00A60646" w:rsidRDefault="007151D3">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06234CF8" w14:textId="77777777" w:rsidR="00A60646" w:rsidRDefault="007151D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el mismo tenor, el propio artículo 180 de la Ley de Transparencia local citado, en su último párrafo establece que cuando el recurso se interponga de manera electrónica, no será indispensable que contenga determinados requisitos, entre ellos, el nombre de la parte Recurrente, por lo que, en el presente caso, al haber sido presentado el recurso de revisión vía SAIMEX, dicho requisito resulta innecesario.</w:t>
      </w:r>
    </w:p>
    <w:p w14:paraId="134C6B09" w14:textId="77777777" w:rsidR="00A60646" w:rsidRDefault="007151D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Pr>
          <w:rFonts w:ascii="Palatino Linotype" w:eastAsia="Palatino Linotype" w:hAnsi="Palatino Linotype" w:cs="Palatino Linotype"/>
          <w:b/>
        </w:rPr>
        <w:t>SAIMEX.</w:t>
      </w:r>
    </w:p>
    <w:p w14:paraId="75B300CC" w14:textId="77777777" w:rsidR="00A60646" w:rsidRDefault="007151D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Finalmente, se advierte que resulta procedente la interposición del recurso, según lo manifestado por el recurrente en sus motivos de inconformidad, de acuerdo al artículo 179, fracciones I y II del ordenamiento legal citado, que a la letra dice: </w:t>
      </w:r>
    </w:p>
    <w:p w14:paraId="6F328BB7" w14:textId="77777777" w:rsidR="00A60646" w:rsidRDefault="007151D3">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0126E432" w14:textId="77777777" w:rsidR="00A60646" w:rsidRDefault="007151D3">
      <w:pPr>
        <w:numPr>
          <w:ilvl w:val="0"/>
          <w:numId w:val="7"/>
        </w:numPr>
        <w:pBdr>
          <w:top w:val="nil"/>
          <w:left w:val="nil"/>
          <w:bottom w:val="nil"/>
          <w:right w:val="nil"/>
          <w:between w:val="nil"/>
        </w:pBdr>
        <w:spacing w:before="120"/>
        <w:ind w:right="902" w:hanging="7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negativa a la información solicitada</w:t>
      </w:r>
    </w:p>
    <w:p w14:paraId="4C0CF741" w14:textId="77777777" w:rsidR="00A60646" w:rsidRDefault="007151D3">
      <w:pPr>
        <w:numPr>
          <w:ilvl w:val="0"/>
          <w:numId w:val="7"/>
        </w:numPr>
        <w:pBdr>
          <w:top w:val="nil"/>
          <w:left w:val="nil"/>
          <w:bottom w:val="nil"/>
          <w:right w:val="nil"/>
          <w:between w:val="nil"/>
        </w:pBdr>
        <w:spacing w:after="120"/>
        <w:ind w:right="902" w:hanging="7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clasificación de información</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w:t>
      </w:r>
    </w:p>
    <w:p w14:paraId="28764F15" w14:textId="77777777" w:rsidR="00A60646" w:rsidRDefault="007151D3">
      <w:pPr>
        <w:spacing w:before="36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del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14:paraId="5DC4AF18" w14:textId="77777777" w:rsidR="00A60646" w:rsidRDefault="007151D3">
      <w:pPr>
        <w:spacing w:before="36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w:t>
      </w:r>
      <w:r>
        <w:rPr>
          <w:rFonts w:ascii="Palatino Linotype" w:eastAsia="Palatino Linotype" w:hAnsi="Palatino Linotype" w:cs="Palatino Linotype"/>
        </w:rPr>
        <w:lastRenderedPageBreak/>
        <w:t>párrafos primero, segundo y tercero y 6 apartado A fracciones I, II, III, IV, V, VI y VII que a la letra señalan:</w:t>
      </w:r>
    </w:p>
    <w:p w14:paraId="5D7E1D15" w14:textId="77777777" w:rsidR="00A60646" w:rsidRDefault="007151D3">
      <w:pPr>
        <w:tabs>
          <w:tab w:val="left" w:pos="709"/>
        </w:tabs>
        <w:spacing w:before="360" w:after="36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4A2EA803" w14:textId="77777777" w:rsidR="00A60646" w:rsidRDefault="007151D3">
      <w:pPr>
        <w:tabs>
          <w:tab w:val="left" w:pos="709"/>
        </w:tabs>
        <w:spacing w:before="360" w:after="360" w:line="276" w:lineRule="auto"/>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7AF05ED1" w14:textId="77777777" w:rsidR="00A60646" w:rsidRDefault="007151D3">
      <w:pPr>
        <w:tabs>
          <w:tab w:val="left" w:pos="709"/>
        </w:tabs>
        <w:spacing w:before="360" w:after="36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72726F0F" w14:textId="77777777" w:rsidR="00A60646" w:rsidRDefault="007151D3">
      <w:pPr>
        <w:tabs>
          <w:tab w:val="left" w:pos="709"/>
        </w:tabs>
        <w:spacing w:before="360" w:after="36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B1B8B76" w14:textId="77777777" w:rsidR="00A60646" w:rsidRDefault="007151D3">
      <w:pPr>
        <w:spacing w:before="360" w:after="36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5AC1EED4" w14:textId="77777777" w:rsidR="00A60646" w:rsidRDefault="007151D3">
      <w:pPr>
        <w:spacing w:before="360" w:after="36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CF4275C" w14:textId="77777777" w:rsidR="00A60646" w:rsidRDefault="007151D3">
      <w:pPr>
        <w:spacing w:before="360" w:after="36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1D96E74A" w14:textId="77777777" w:rsidR="00A60646" w:rsidRDefault="007151D3">
      <w:pPr>
        <w:spacing w:before="360" w:after="36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133C6D1" w14:textId="77777777" w:rsidR="00A60646" w:rsidRDefault="007151D3">
      <w:pPr>
        <w:spacing w:before="360" w:after="360" w:line="276" w:lineRule="auto"/>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7A5F1DF5" w14:textId="77777777" w:rsidR="00A60646" w:rsidRDefault="007151D3">
      <w:pPr>
        <w:spacing w:before="360" w:after="36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2E0D3EA2" w14:textId="77777777" w:rsidR="00A60646" w:rsidRDefault="007151D3">
      <w:pPr>
        <w:spacing w:before="360" w:after="36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4D28A5CA" w14:textId="77777777" w:rsidR="00A60646" w:rsidRDefault="007151D3">
      <w:pPr>
        <w:spacing w:before="360" w:after="36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B6D2787" w14:textId="77777777" w:rsidR="00A60646" w:rsidRDefault="007151D3">
      <w:pPr>
        <w:spacing w:before="360" w:after="36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15922429" w14:textId="77777777" w:rsidR="00A60646" w:rsidRDefault="007151D3">
      <w:pPr>
        <w:spacing w:before="360" w:after="36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228202A0" w14:textId="77777777" w:rsidR="00A60646" w:rsidRDefault="007151D3">
      <w:pPr>
        <w:tabs>
          <w:tab w:val="left" w:pos="709"/>
        </w:tabs>
        <w:spacing w:before="36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Sujeto Obligado debe cumplir con dichos dispositivos legales.</w:t>
      </w:r>
    </w:p>
    <w:p w14:paraId="70AB83C5" w14:textId="77777777" w:rsidR="00A60646" w:rsidRDefault="007151D3">
      <w:pPr>
        <w:spacing w:before="280" w:after="280" w:line="360" w:lineRule="auto"/>
        <w:jc w:val="both"/>
      </w:pPr>
      <w:r>
        <w:rPr>
          <w:rFonts w:ascii="Palatino Linotype" w:eastAsia="Palatino Linotype" w:hAnsi="Palatino Linotype" w:cs="Palatino Linotype"/>
        </w:rPr>
        <w:t xml:space="preserve">Por lo que es necesario recordar lo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requirió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saber</w:t>
      </w:r>
      <w:r>
        <w:rPr>
          <w:rFonts w:ascii="Palatino Linotype" w:eastAsia="Palatino Linotype" w:hAnsi="Palatino Linotype" w:cs="Palatino Linotype"/>
          <w:b/>
        </w:rPr>
        <w:t xml:space="preserve">: </w:t>
      </w:r>
      <w:r>
        <w:rPr>
          <w:rFonts w:ascii="Palatino Linotype" w:eastAsia="Palatino Linotype" w:hAnsi="Palatino Linotype" w:cs="Palatino Linotype"/>
        </w:rPr>
        <w:t>“</w:t>
      </w:r>
      <w:r>
        <w:rPr>
          <w:rFonts w:ascii="Palatino Linotype" w:eastAsia="Palatino Linotype" w:hAnsi="Palatino Linotype" w:cs="Palatino Linotype"/>
          <w:b/>
          <w:i/>
        </w:rPr>
        <w:t>los juicios promovidos por el sujeto obligado en el 2022 y 2021”.</w:t>
      </w:r>
    </w:p>
    <w:p w14:paraId="7EEB1FFD" w14:textId="77777777" w:rsidR="00A60646" w:rsidRDefault="007151D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 lo cual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solicitó aclaración, en la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señaló: “</w:t>
      </w:r>
      <w:r>
        <w:rPr>
          <w:rFonts w:ascii="Palatino Linotype" w:eastAsia="Palatino Linotype" w:hAnsi="Palatino Linotype" w:cs="Palatino Linotype"/>
          <w:b/>
          <w:i/>
        </w:rPr>
        <w:t>Todos. Solicito también remita evidencia de su experiencia como titular encargada para el área de transparencia y su certificación”</w:t>
      </w:r>
      <w:r>
        <w:rPr>
          <w:rFonts w:ascii="Palatino Linotype" w:eastAsia="Palatino Linotype" w:hAnsi="Palatino Linotype" w:cs="Palatino Linotype"/>
        </w:rPr>
        <w:t xml:space="preserve"> (Sic) </w:t>
      </w:r>
    </w:p>
    <w:p w14:paraId="1D371DD4" w14:textId="77777777" w:rsidR="00A60646" w:rsidRDefault="007151D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Posterior a la solicitud de aclaración, en respuesta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 través de la Unidad de Transparencia, remitió los siguientes documentos:</w:t>
      </w:r>
    </w:p>
    <w:p w14:paraId="66801DAA" w14:textId="77777777" w:rsidR="00A60646" w:rsidRDefault="007151D3">
      <w:pPr>
        <w:numPr>
          <w:ilvl w:val="0"/>
          <w:numId w:val="6"/>
        </w:num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RESPUESTA 000010-OASATIZARA-IP-2022.pdf</w:t>
      </w:r>
    </w:p>
    <w:p w14:paraId="5BFEDFD1" w14:textId="77777777" w:rsidR="00A60646" w:rsidRDefault="007151D3">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Oficio número SAPASA/CJ/MTLA/0129/2021, de fecha catorce de febrero de dos mil veintidós, suscrito y signado por el Coordinador Jurídico, donde informa que  </w:t>
      </w:r>
      <w:r>
        <w:rPr>
          <w:rFonts w:ascii="Palatino Linotype" w:eastAsia="Palatino Linotype" w:hAnsi="Palatino Linotype" w:cs="Palatino Linotype"/>
          <w:i/>
        </w:rPr>
        <w:t xml:space="preserve">durante la segunda Sesión Ordinaria del Comité de Transparencia, celebrada el día nueve de febrero de dos mil veintidós, mediante el acuerdo número ACT/03/2022, se confirmó por unanimidad de votos de los integrantes de dicho Órgano Colegiado, la clasificación de la información solicitada, derivada de la Solicitud de acceso a la Información pública con número de folio 000010/0A SATIZARNIP/2022. </w:t>
      </w:r>
    </w:p>
    <w:p w14:paraId="5BDD45B1" w14:textId="77777777" w:rsidR="00A60646" w:rsidRDefault="00A60646">
      <w:pPr>
        <w:spacing w:before="240" w:after="240" w:line="360" w:lineRule="auto"/>
        <w:jc w:val="both"/>
        <w:rPr>
          <w:rFonts w:ascii="Palatino Linotype" w:eastAsia="Palatino Linotype" w:hAnsi="Palatino Linotype" w:cs="Palatino Linotype"/>
        </w:rPr>
      </w:pPr>
    </w:p>
    <w:p w14:paraId="52C77F4D" w14:textId="77777777" w:rsidR="00A60646" w:rsidRDefault="007151D3">
      <w:pPr>
        <w:spacing w:before="240" w:after="240" w:line="360" w:lineRule="auto"/>
        <w:jc w:val="center"/>
        <w:rPr>
          <w:rFonts w:ascii="Palatino Linotype" w:eastAsia="Palatino Linotype" w:hAnsi="Palatino Linotype" w:cs="Palatino Linotype"/>
        </w:rPr>
      </w:pPr>
      <w:r>
        <w:rPr>
          <w:noProof/>
          <w:lang w:val="es-MX"/>
        </w:rPr>
        <w:lastRenderedPageBreak/>
        <w:drawing>
          <wp:inline distT="0" distB="0" distL="0" distR="0" wp14:anchorId="1C330E8E" wp14:editId="6DC22451">
            <wp:extent cx="4051301" cy="4271065"/>
            <wp:effectExtent l="0" t="0" r="0" b="0"/>
            <wp:docPr id="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68290" t="15366" r="3510" b="26940"/>
                    <a:stretch>
                      <a:fillRect/>
                    </a:stretch>
                  </pic:blipFill>
                  <pic:spPr>
                    <a:xfrm>
                      <a:off x="0" y="0"/>
                      <a:ext cx="4051301" cy="4271065"/>
                    </a:xfrm>
                    <a:prstGeom prst="rect">
                      <a:avLst/>
                    </a:prstGeom>
                    <a:ln/>
                  </pic:spPr>
                </pic:pic>
              </a:graphicData>
            </a:graphic>
          </wp:inline>
        </w:drawing>
      </w:r>
    </w:p>
    <w:p w14:paraId="4A6B8B4F" w14:textId="77777777" w:rsidR="00A60646" w:rsidRDefault="007151D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con el fin de dar cumplimiento a lo solicitado por el ciudadano en cuanto a la información que solicito de los 4 juicios promovidos por el Organismo Público Descentralizado para la Prestación de los Servicios de Agua Potable, Alcantarillado y Saneamiento del Municipio de Atizapán de Zaragoza, agregando la tabla de clasificación de información reservada:</w:t>
      </w:r>
    </w:p>
    <w:p w14:paraId="1ACC237A" w14:textId="77777777" w:rsidR="00A60646" w:rsidRDefault="007151D3">
      <w:pPr>
        <w:spacing w:before="240" w:after="240" w:line="360" w:lineRule="auto"/>
        <w:jc w:val="both"/>
        <w:rPr>
          <w:rFonts w:ascii="Palatino Linotype" w:eastAsia="Palatino Linotype" w:hAnsi="Palatino Linotype" w:cs="Palatino Linotype"/>
        </w:rPr>
      </w:pPr>
      <w:r>
        <w:rPr>
          <w:noProof/>
          <w:lang w:val="es-MX"/>
        </w:rPr>
        <w:lastRenderedPageBreak/>
        <w:drawing>
          <wp:anchor distT="0" distB="0" distL="114300" distR="114300" simplePos="0" relativeHeight="251658240" behindDoc="0" locked="0" layoutInCell="1" hidden="0" allowOverlap="1" wp14:anchorId="4BF8233F" wp14:editId="096D106A">
            <wp:simplePos x="0" y="0"/>
            <wp:positionH relativeFrom="column">
              <wp:posOffset>1196403</wp:posOffset>
            </wp:positionH>
            <wp:positionV relativeFrom="paragraph">
              <wp:posOffset>3785</wp:posOffset>
            </wp:positionV>
            <wp:extent cx="3219323" cy="3949231"/>
            <wp:effectExtent l="0" t="0" r="0" b="0"/>
            <wp:wrapSquare wrapText="bothSides" distT="0" distB="0" distL="114300" distR="114300"/>
            <wp:docPr id="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43071" t="21411" r="32271" b="15856"/>
                    <a:stretch>
                      <a:fillRect/>
                    </a:stretch>
                  </pic:blipFill>
                  <pic:spPr>
                    <a:xfrm>
                      <a:off x="0" y="0"/>
                      <a:ext cx="3219323" cy="3949231"/>
                    </a:xfrm>
                    <a:prstGeom prst="rect">
                      <a:avLst/>
                    </a:prstGeom>
                    <a:ln/>
                  </pic:spPr>
                </pic:pic>
              </a:graphicData>
            </a:graphic>
          </wp:anchor>
        </w:drawing>
      </w:r>
    </w:p>
    <w:p w14:paraId="2479C7A1" w14:textId="77777777" w:rsidR="00A60646" w:rsidRDefault="00A60646">
      <w:pPr>
        <w:spacing w:before="240" w:after="240" w:line="360" w:lineRule="auto"/>
        <w:jc w:val="both"/>
        <w:rPr>
          <w:rFonts w:ascii="Palatino Linotype" w:eastAsia="Palatino Linotype" w:hAnsi="Palatino Linotype" w:cs="Palatino Linotype"/>
        </w:rPr>
      </w:pPr>
    </w:p>
    <w:p w14:paraId="6EEC29D3" w14:textId="77777777" w:rsidR="00A60646" w:rsidRDefault="00A60646">
      <w:pPr>
        <w:spacing w:before="240" w:after="240" w:line="360" w:lineRule="auto"/>
        <w:jc w:val="both"/>
        <w:rPr>
          <w:rFonts w:ascii="Palatino Linotype" w:eastAsia="Palatino Linotype" w:hAnsi="Palatino Linotype" w:cs="Palatino Linotype"/>
        </w:rPr>
      </w:pPr>
    </w:p>
    <w:p w14:paraId="750D88A6" w14:textId="77777777" w:rsidR="00A60646" w:rsidRDefault="00A60646">
      <w:pPr>
        <w:spacing w:before="240" w:after="240" w:line="360" w:lineRule="auto"/>
        <w:jc w:val="both"/>
        <w:rPr>
          <w:rFonts w:ascii="Palatino Linotype" w:eastAsia="Palatino Linotype" w:hAnsi="Palatino Linotype" w:cs="Palatino Linotype"/>
        </w:rPr>
      </w:pPr>
    </w:p>
    <w:p w14:paraId="23403208" w14:textId="77777777" w:rsidR="00A60646" w:rsidRDefault="00A60646">
      <w:pPr>
        <w:spacing w:before="240" w:after="240" w:line="360" w:lineRule="auto"/>
        <w:jc w:val="both"/>
        <w:rPr>
          <w:rFonts w:ascii="Palatino Linotype" w:eastAsia="Palatino Linotype" w:hAnsi="Palatino Linotype" w:cs="Palatino Linotype"/>
        </w:rPr>
      </w:pPr>
    </w:p>
    <w:p w14:paraId="70CC1BC5" w14:textId="77777777" w:rsidR="00A60646" w:rsidRDefault="00A60646">
      <w:pPr>
        <w:spacing w:before="240" w:after="240" w:line="360" w:lineRule="auto"/>
        <w:jc w:val="both"/>
        <w:rPr>
          <w:rFonts w:ascii="Palatino Linotype" w:eastAsia="Palatino Linotype" w:hAnsi="Palatino Linotype" w:cs="Palatino Linotype"/>
        </w:rPr>
      </w:pPr>
    </w:p>
    <w:p w14:paraId="61523D9D" w14:textId="77777777" w:rsidR="00A60646" w:rsidRDefault="00A60646">
      <w:pPr>
        <w:spacing w:before="240" w:after="240" w:line="360" w:lineRule="auto"/>
        <w:jc w:val="both"/>
        <w:rPr>
          <w:rFonts w:ascii="Palatino Linotype" w:eastAsia="Palatino Linotype" w:hAnsi="Palatino Linotype" w:cs="Palatino Linotype"/>
        </w:rPr>
      </w:pPr>
    </w:p>
    <w:p w14:paraId="2B12A35A" w14:textId="77777777" w:rsidR="00A60646" w:rsidRDefault="00A60646">
      <w:pPr>
        <w:spacing w:before="240" w:after="240" w:line="360" w:lineRule="auto"/>
        <w:jc w:val="both"/>
        <w:rPr>
          <w:rFonts w:ascii="Palatino Linotype" w:eastAsia="Palatino Linotype" w:hAnsi="Palatino Linotype" w:cs="Palatino Linotype"/>
        </w:rPr>
      </w:pPr>
    </w:p>
    <w:p w14:paraId="05117C14" w14:textId="77777777" w:rsidR="00A60646" w:rsidRDefault="00A60646">
      <w:pPr>
        <w:spacing w:before="240" w:after="240" w:line="360" w:lineRule="auto"/>
        <w:jc w:val="both"/>
        <w:rPr>
          <w:rFonts w:ascii="Palatino Linotype" w:eastAsia="Palatino Linotype" w:hAnsi="Palatino Linotype" w:cs="Palatino Linotype"/>
        </w:rPr>
      </w:pPr>
    </w:p>
    <w:p w14:paraId="0AD1D094" w14:textId="77777777" w:rsidR="00A60646" w:rsidRDefault="007151D3">
      <w:pPr>
        <w:numPr>
          <w:ilvl w:val="0"/>
          <w:numId w:val="6"/>
        </w:numPr>
        <w:pBdr>
          <w:top w:val="nil"/>
          <w:left w:val="nil"/>
          <w:bottom w:val="nil"/>
          <w:right w:val="nil"/>
          <w:between w:val="nil"/>
        </w:pBdr>
        <w:spacing w:before="240" w:after="240" w:line="36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Acta de la 2a Sesión Ordinaria del CT 2022.pdf</w:t>
      </w:r>
    </w:p>
    <w:p w14:paraId="2E3B71EB" w14:textId="77777777" w:rsidR="00A60646" w:rsidRDefault="007151D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Acta de la segunda sesión ordinaria del Comité de Transparencia, de fecha diez de febrero de dos mil veintidós, en el que se destaca el punto 3.</w:t>
      </w:r>
      <w:r>
        <w:rPr>
          <w:rFonts w:ascii="Palatino Linotype" w:eastAsia="Palatino Linotype" w:hAnsi="Palatino Linotype" w:cs="Palatino Linotype"/>
        </w:rPr>
        <w:tab/>
      </w:r>
      <w:r>
        <w:rPr>
          <w:rFonts w:ascii="Palatino Linotype" w:eastAsia="Palatino Linotype" w:hAnsi="Palatino Linotype" w:cs="Palatino Linotype"/>
          <w:i/>
        </w:rPr>
        <w:t xml:space="preserve">Análisis, discusión y en caso confirmación de la clasificación de información con carácter de reserva total de 4 juicios promovidos por el sujeto obligado en el 2022 y 2021, solicitado por la Coordinación Jurídica </w:t>
      </w:r>
      <w:r>
        <w:rPr>
          <w:rFonts w:ascii="Palatino Linotype" w:eastAsia="Palatino Linotype" w:hAnsi="Palatino Linotype" w:cs="Palatino Linotype"/>
          <w:i/>
        </w:rPr>
        <w:lastRenderedPageBreak/>
        <w:t>de S.A.P.A.S.A., en virtud de emitir respuesta a la solicitud de acceso a la información pública con folio 000010/OASATIZARA/IP/2022</w:t>
      </w:r>
      <w:r>
        <w:rPr>
          <w:rFonts w:ascii="Palatino Linotype" w:eastAsia="Palatino Linotype" w:hAnsi="Palatino Linotype" w:cs="Palatino Linotype"/>
        </w:rPr>
        <w:t>.</w:t>
      </w:r>
    </w:p>
    <w:p w14:paraId="398E0808" w14:textId="77777777" w:rsidR="00A60646" w:rsidRDefault="007151D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Conocida la respuesta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al no estar conforme con los términos de la misma, presentó el recurso de revisión que nos ocupa, mediante el cual refirió como motivos de inconformidad que: “</w:t>
      </w:r>
      <w:r>
        <w:rPr>
          <w:rFonts w:ascii="Palatino Linotype" w:eastAsia="Palatino Linotype" w:hAnsi="Palatino Linotype" w:cs="Palatino Linotype"/>
          <w:b/>
          <w:i/>
        </w:rPr>
        <w:t>No remiten la respuesta a mi solicitud y en cambio mandan un acta mal hecha No remiten el acuerdo y clasifican violentando mi derecho de acceso a la información, quien sea la persona que esté en transparencia está violentando el derecho a la información por lo que además solicito den vista a la contraloría”</w:t>
      </w:r>
      <w:r>
        <w:rPr>
          <w:rFonts w:ascii="Palatino Linotype" w:eastAsia="Palatino Linotype" w:hAnsi="Palatino Linotype" w:cs="Palatino Linotype"/>
        </w:rPr>
        <w:t xml:space="preserve"> (sic)</w:t>
      </w:r>
    </w:p>
    <w:p w14:paraId="18D6F592" w14:textId="77777777" w:rsidR="00A60646" w:rsidRDefault="007151D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Admitido el presente recurso de revisión, en términos del artículo 185 fracción II</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por lo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fechas tres de marzo, veintiocho de abril y cuatro de mayo, rindió su informe justificado y dos alcances, que se describen a continuación: </w:t>
      </w:r>
    </w:p>
    <w:p w14:paraId="0997B3A4" w14:textId="77777777" w:rsidR="00A60646" w:rsidRDefault="007151D3">
      <w:pPr>
        <w:numPr>
          <w:ilvl w:val="0"/>
          <w:numId w:val="6"/>
        </w:numPr>
        <w:pBdr>
          <w:top w:val="nil"/>
          <w:left w:val="nil"/>
          <w:bottom w:val="nil"/>
          <w:right w:val="nil"/>
          <w:between w:val="nil"/>
        </w:pBdr>
        <w:spacing w:before="240"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lastRenderedPageBreak/>
        <w:t xml:space="preserve">“solicitud 10.pdf” </w:t>
      </w:r>
      <w:r>
        <w:rPr>
          <w:rFonts w:ascii="Palatino Linotype" w:eastAsia="Palatino Linotype" w:hAnsi="Palatino Linotype" w:cs="Palatino Linotype"/>
          <w:color w:val="000000"/>
        </w:rPr>
        <w:t>Oficio número  SASAPA/CI/MTLA/129/2022, de fecha catorce de febrero de dos mil veintidós, suscrito y signado por el Coordinador Jurídico de SAPASA, por medio del cual informa que:</w:t>
      </w:r>
    </w:p>
    <w:p w14:paraId="1BD346A3" w14:textId="77777777" w:rsidR="00A60646" w:rsidRDefault="007151D3">
      <w:pPr>
        <w:pBdr>
          <w:top w:val="nil"/>
          <w:left w:val="nil"/>
          <w:bottom w:val="nil"/>
          <w:right w:val="nil"/>
          <w:between w:val="nil"/>
        </w:pBdr>
        <w:spacing w:line="360" w:lineRule="auto"/>
        <w:ind w:left="720"/>
        <w:jc w:val="both"/>
        <w:rPr>
          <w:rFonts w:ascii="Palatino Linotype" w:eastAsia="Palatino Linotype" w:hAnsi="Palatino Linotype" w:cs="Palatino Linotype"/>
          <w:b/>
          <w:i/>
          <w:color w:val="000000"/>
        </w:rPr>
      </w:pPr>
      <w:r>
        <w:rPr>
          <w:noProof/>
          <w:color w:val="000000"/>
          <w:lang w:val="es-MX"/>
        </w:rPr>
        <w:drawing>
          <wp:inline distT="0" distB="0" distL="0" distR="0" wp14:anchorId="381B74E5" wp14:editId="10604C7C">
            <wp:extent cx="5263097" cy="1927762"/>
            <wp:effectExtent l="0" t="0" r="0" b="0"/>
            <wp:docPr id="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61779" t="41038" r="9029" b="39952"/>
                    <a:stretch>
                      <a:fillRect/>
                    </a:stretch>
                  </pic:blipFill>
                  <pic:spPr>
                    <a:xfrm>
                      <a:off x="0" y="0"/>
                      <a:ext cx="5263097" cy="1927762"/>
                    </a:xfrm>
                    <a:prstGeom prst="rect">
                      <a:avLst/>
                    </a:prstGeom>
                    <a:ln/>
                  </pic:spPr>
                </pic:pic>
              </a:graphicData>
            </a:graphic>
          </wp:inline>
        </w:drawing>
      </w:r>
    </w:p>
    <w:p w14:paraId="1349AD90" w14:textId="77777777" w:rsidR="00A60646" w:rsidRDefault="007151D3">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i/>
          <w:color w:val="000000"/>
        </w:rPr>
        <w:t xml:space="preserve">“en </w:t>
      </w:r>
      <w:proofErr w:type="spellStart"/>
      <w:r>
        <w:rPr>
          <w:rFonts w:ascii="Palatino Linotype" w:eastAsia="Palatino Linotype" w:hAnsi="Palatino Linotype" w:cs="Palatino Linotype"/>
          <w:b/>
          <w:i/>
          <w:color w:val="000000"/>
        </w:rPr>
        <w:t>atencion</w:t>
      </w:r>
      <w:proofErr w:type="spellEnd"/>
      <w:r>
        <w:rPr>
          <w:rFonts w:ascii="Palatino Linotype" w:eastAsia="Palatino Linotype" w:hAnsi="Palatino Linotype" w:cs="Palatino Linotype"/>
          <w:b/>
          <w:i/>
          <w:color w:val="000000"/>
        </w:rPr>
        <w:t xml:space="preserve"> al recurso 1039 .</w:t>
      </w:r>
      <w:proofErr w:type="spellStart"/>
      <w:r>
        <w:rPr>
          <w:rFonts w:ascii="Palatino Linotype" w:eastAsia="Palatino Linotype" w:hAnsi="Palatino Linotype" w:cs="Palatino Linotype"/>
          <w:b/>
          <w:i/>
          <w:color w:val="000000"/>
        </w:rPr>
        <w:t>pdf</w:t>
      </w:r>
      <w:proofErr w:type="spellEnd"/>
      <w:r>
        <w:rPr>
          <w:rFonts w:ascii="Palatino Linotype" w:eastAsia="Palatino Linotype" w:hAnsi="Palatino Linotype" w:cs="Palatino Linotype"/>
          <w:b/>
          <w:i/>
          <w:color w:val="000000"/>
        </w:rPr>
        <w:t>”</w:t>
      </w:r>
      <w:r>
        <w:rPr>
          <w:rFonts w:ascii="Palatino Linotype" w:eastAsia="Palatino Linotype" w:hAnsi="Palatino Linotype" w:cs="Palatino Linotype"/>
          <w:b/>
          <w:i/>
          <w:color w:val="000000"/>
        </w:rPr>
        <w:tab/>
        <w:t xml:space="preserve">, </w:t>
      </w:r>
      <w:r>
        <w:rPr>
          <w:rFonts w:ascii="Palatino Linotype" w:eastAsia="Palatino Linotype" w:hAnsi="Palatino Linotype" w:cs="Palatino Linotype"/>
          <w:color w:val="000000"/>
        </w:rPr>
        <w:t xml:space="preserve">que contiene tres archivos que se describen a continuación: </w:t>
      </w:r>
    </w:p>
    <w:p w14:paraId="0C9438B2" w14:textId="77777777" w:rsidR="00A60646" w:rsidRDefault="00A60646">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rPr>
      </w:pPr>
    </w:p>
    <w:p w14:paraId="2D4FADCD" w14:textId="77777777" w:rsidR="00A60646" w:rsidRDefault="007151D3">
      <w:pPr>
        <w:numPr>
          <w:ilvl w:val="0"/>
          <w:numId w:val="4"/>
        </w:numPr>
        <w:pBdr>
          <w:top w:val="nil"/>
          <w:left w:val="nil"/>
          <w:bottom w:val="nil"/>
          <w:right w:val="nil"/>
          <w:between w:val="nil"/>
        </w:pBdr>
        <w:spacing w:line="360" w:lineRule="auto"/>
        <w:ind w:left="1560" w:hanging="284"/>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Documento denominado: </w:t>
      </w:r>
      <w:r>
        <w:rPr>
          <w:rFonts w:ascii="Palatino Linotype" w:eastAsia="Palatino Linotype" w:hAnsi="Palatino Linotype" w:cs="Palatino Linotype"/>
          <w:b/>
          <w:i/>
          <w:color w:val="000000"/>
        </w:rPr>
        <w:t>Certificado de Competencia laboral en el Estándar de Competencia</w:t>
      </w:r>
      <w:r>
        <w:rPr>
          <w:rFonts w:ascii="Palatino Linotype" w:eastAsia="Palatino Linotype" w:hAnsi="Palatino Linotype" w:cs="Palatino Linotype"/>
          <w:color w:val="000000"/>
        </w:rPr>
        <w:t xml:space="preserve">, emitido por el Consejo Nacional de Normalización y Certificación de Competencias Laborales a </w:t>
      </w:r>
      <w:proofErr w:type="spellStart"/>
      <w:r>
        <w:rPr>
          <w:rFonts w:ascii="Palatino Linotype" w:eastAsia="Palatino Linotype" w:hAnsi="Palatino Linotype" w:cs="Palatino Linotype"/>
          <w:color w:val="000000"/>
        </w:rPr>
        <w:t>Mariamnee</w:t>
      </w:r>
      <w:proofErr w:type="spellEnd"/>
      <w:r>
        <w:rPr>
          <w:rFonts w:ascii="Palatino Linotype" w:eastAsia="Palatino Linotype" w:hAnsi="Palatino Linotype" w:cs="Palatino Linotype"/>
          <w:color w:val="000000"/>
        </w:rPr>
        <w:t xml:space="preserve"> Vega Blancarte.</w:t>
      </w:r>
    </w:p>
    <w:p w14:paraId="64CB6098" w14:textId="77777777" w:rsidR="00A60646" w:rsidRDefault="00A60646">
      <w:pPr>
        <w:pBdr>
          <w:top w:val="nil"/>
          <w:left w:val="nil"/>
          <w:bottom w:val="nil"/>
          <w:right w:val="nil"/>
          <w:between w:val="nil"/>
        </w:pBdr>
        <w:spacing w:line="360" w:lineRule="auto"/>
        <w:ind w:left="1560"/>
        <w:jc w:val="both"/>
        <w:rPr>
          <w:rFonts w:ascii="Palatino Linotype" w:eastAsia="Palatino Linotype" w:hAnsi="Palatino Linotype" w:cs="Palatino Linotype"/>
          <w:i/>
          <w:color w:val="000000"/>
        </w:rPr>
      </w:pPr>
    </w:p>
    <w:p w14:paraId="6945A03A" w14:textId="77777777" w:rsidR="00A60646" w:rsidRDefault="007151D3">
      <w:pPr>
        <w:numPr>
          <w:ilvl w:val="0"/>
          <w:numId w:val="4"/>
        </w:numPr>
        <w:pBdr>
          <w:top w:val="nil"/>
          <w:left w:val="nil"/>
          <w:bottom w:val="nil"/>
          <w:right w:val="nil"/>
          <w:between w:val="nil"/>
        </w:pBdr>
        <w:spacing w:line="360" w:lineRule="auto"/>
        <w:ind w:left="1560" w:hanging="284"/>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Oficio número  SASAPA/CI/MTLA/270/2022, de fecha veintisiete de abril de dos mil veintidós, suscrito y signado por el Coordinador Jurídico de SAPASA, por medio del cual informa:</w:t>
      </w:r>
    </w:p>
    <w:p w14:paraId="2F20B853" w14:textId="77777777" w:rsidR="00A60646" w:rsidRDefault="007151D3">
      <w:pPr>
        <w:pBdr>
          <w:top w:val="nil"/>
          <w:left w:val="nil"/>
          <w:bottom w:val="nil"/>
          <w:right w:val="nil"/>
          <w:between w:val="nil"/>
        </w:pBdr>
        <w:spacing w:line="360" w:lineRule="auto"/>
        <w:ind w:left="1560" w:hanging="284"/>
        <w:jc w:val="both"/>
        <w:rPr>
          <w:rFonts w:ascii="Palatino Linotype" w:eastAsia="Palatino Linotype" w:hAnsi="Palatino Linotype" w:cs="Palatino Linotype"/>
          <w:color w:val="000000"/>
        </w:rPr>
      </w:pPr>
      <w:r>
        <w:rPr>
          <w:noProof/>
          <w:color w:val="000000"/>
          <w:lang w:val="es-MX"/>
        </w:rPr>
        <w:lastRenderedPageBreak/>
        <w:drawing>
          <wp:inline distT="0" distB="0" distL="0" distR="0" wp14:anchorId="5962FBF9" wp14:editId="456971DF">
            <wp:extent cx="4851382" cy="1911985"/>
            <wp:effectExtent l="0" t="0" r="0" b="0"/>
            <wp:docPr id="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61100" t="39830" r="9199" b="45081"/>
                    <a:stretch>
                      <a:fillRect/>
                    </a:stretch>
                  </pic:blipFill>
                  <pic:spPr>
                    <a:xfrm>
                      <a:off x="0" y="0"/>
                      <a:ext cx="4851382" cy="1911985"/>
                    </a:xfrm>
                    <a:prstGeom prst="rect">
                      <a:avLst/>
                    </a:prstGeom>
                    <a:ln/>
                  </pic:spPr>
                </pic:pic>
              </a:graphicData>
            </a:graphic>
          </wp:inline>
        </w:drawing>
      </w:r>
    </w:p>
    <w:p w14:paraId="154C072C" w14:textId="77777777" w:rsidR="00A60646" w:rsidRDefault="007151D3">
      <w:pPr>
        <w:numPr>
          <w:ilvl w:val="0"/>
          <w:numId w:val="4"/>
        </w:numPr>
        <w:pBdr>
          <w:top w:val="nil"/>
          <w:left w:val="nil"/>
          <w:bottom w:val="nil"/>
          <w:right w:val="nil"/>
          <w:between w:val="nil"/>
        </w:pBdr>
        <w:spacing w:line="360" w:lineRule="auto"/>
        <w:ind w:left="1560" w:hanging="284"/>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Ficha Curricular de la servidora pública </w:t>
      </w:r>
      <w:proofErr w:type="spellStart"/>
      <w:r>
        <w:rPr>
          <w:rFonts w:ascii="Palatino Linotype" w:eastAsia="Palatino Linotype" w:hAnsi="Palatino Linotype" w:cs="Palatino Linotype"/>
          <w:color w:val="000000"/>
        </w:rPr>
        <w:t>Mariamnee</w:t>
      </w:r>
      <w:proofErr w:type="spellEnd"/>
      <w:r>
        <w:rPr>
          <w:rFonts w:ascii="Palatino Linotype" w:eastAsia="Palatino Linotype" w:hAnsi="Palatino Linotype" w:cs="Palatino Linotype"/>
          <w:color w:val="000000"/>
        </w:rPr>
        <w:t xml:space="preserve"> Vega Blancarte.</w:t>
      </w:r>
    </w:p>
    <w:p w14:paraId="20BBCD3F" w14:textId="77777777" w:rsidR="00A60646" w:rsidRDefault="00A60646">
      <w:pPr>
        <w:pBdr>
          <w:top w:val="nil"/>
          <w:left w:val="nil"/>
          <w:bottom w:val="nil"/>
          <w:right w:val="nil"/>
          <w:between w:val="nil"/>
        </w:pBdr>
        <w:spacing w:line="360" w:lineRule="auto"/>
        <w:ind w:left="1080"/>
        <w:jc w:val="both"/>
        <w:rPr>
          <w:rFonts w:ascii="Palatino Linotype" w:eastAsia="Palatino Linotype" w:hAnsi="Palatino Linotype" w:cs="Palatino Linotype"/>
          <w:color w:val="000000"/>
        </w:rPr>
      </w:pPr>
    </w:p>
    <w:p w14:paraId="5FBDAE72" w14:textId="77777777" w:rsidR="00A60646" w:rsidRDefault="007151D3">
      <w:pPr>
        <w:numPr>
          <w:ilvl w:val="0"/>
          <w:numId w:val="6"/>
        </w:num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“00010.pdf”, </w:t>
      </w:r>
      <w:r>
        <w:rPr>
          <w:rFonts w:ascii="Palatino Linotype" w:eastAsia="Palatino Linotype" w:hAnsi="Palatino Linotype" w:cs="Palatino Linotype"/>
          <w:color w:val="000000"/>
        </w:rPr>
        <w:t xml:space="preserve">en la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adjunta dos documentos:</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color w:val="000000"/>
        </w:rPr>
        <w:t xml:space="preserve">Acta de la Octava Sesión Extraordinaria el Organismo SAPASA de Atizapán de Zaragoza, de fecha dos de mayo de dos mil veintidós, por medio de la cual aprueban la clasificación de Información confidencial de la CURP, contenida en el documento: Certificado de Competencia Laboral en el Estándar de Competencia,  y el Consentimiento de la servidora pública </w:t>
      </w:r>
      <w:proofErr w:type="spellStart"/>
      <w:r>
        <w:rPr>
          <w:rFonts w:ascii="Palatino Linotype" w:eastAsia="Palatino Linotype" w:hAnsi="Palatino Linotype" w:cs="Palatino Linotype"/>
          <w:color w:val="000000"/>
        </w:rPr>
        <w:t>Mariamnee</w:t>
      </w:r>
      <w:proofErr w:type="spellEnd"/>
      <w:r>
        <w:rPr>
          <w:rFonts w:ascii="Palatino Linotype" w:eastAsia="Palatino Linotype" w:hAnsi="Palatino Linotype" w:cs="Palatino Linotype"/>
          <w:color w:val="000000"/>
        </w:rPr>
        <w:t xml:space="preserve"> Vega Blancarte, para hacer pública su fotografía en el Certificado de Competencia Laboral en el Estándar de Competencia.</w:t>
      </w:r>
    </w:p>
    <w:p w14:paraId="0ADA2CF9" w14:textId="77777777" w:rsidR="00A60646" w:rsidRDefault="007151D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Documentos que fueron puestos a la vista del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fecha cuatro de mayo de dos mil veintidós, por su parte el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omitió realizar manifestaciones, quedando precluido su derecho.</w:t>
      </w:r>
    </w:p>
    <w:p w14:paraId="6EFC12F6" w14:textId="77777777" w:rsidR="00A60646" w:rsidRDefault="007151D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esta tesitura se procede al análisis de los requerimientos planteados por el particular, así como la respuesta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con la finalidad de determinar si el derecho de acceso ha quedado satisfecho o en su defecto, establecer el o los documentos que, de manera enunciativa más no limitativa, pudieran colmar el mismo.</w:t>
      </w:r>
    </w:p>
    <w:p w14:paraId="577064A5" w14:textId="77777777" w:rsidR="00A60646" w:rsidRDefault="007151D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en atención a los motivos de inconformidad expuestos por el </w:t>
      </w:r>
      <w:r>
        <w:rPr>
          <w:rFonts w:ascii="Palatino Linotype" w:eastAsia="Palatino Linotype" w:hAnsi="Palatino Linotype" w:cs="Palatino Linotype"/>
          <w:b/>
        </w:rPr>
        <w:t>RECURRENTE</w:t>
      </w:r>
      <w:r>
        <w:rPr>
          <w:rFonts w:ascii="Palatino Linotype" w:eastAsia="Palatino Linotype" w:hAnsi="Palatino Linotype" w:cs="Palatino Linotype"/>
        </w:rPr>
        <w:t>, se analizará cada punto de los argumentos planteados, en los siguientes numerales:</w:t>
      </w:r>
    </w:p>
    <w:p w14:paraId="0DD202C2" w14:textId="77777777" w:rsidR="00A60646" w:rsidRDefault="007151D3">
      <w:pPr>
        <w:numPr>
          <w:ilvl w:val="0"/>
          <w:numId w:val="8"/>
        </w:numPr>
        <w:pBdr>
          <w:top w:val="nil"/>
          <w:left w:val="nil"/>
          <w:bottom w:val="nil"/>
          <w:right w:val="nil"/>
          <w:between w:val="nil"/>
        </w:pBdr>
        <w:spacing w:before="240" w:after="240"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i/>
        </w:rPr>
        <w:t>Respecto a los Juicios promovidos por el Sujeto Obligado en los años 2021 y 2022</w:t>
      </w:r>
      <w:r>
        <w:rPr>
          <w:rFonts w:ascii="Palatino Linotype" w:eastAsia="Palatino Linotype" w:hAnsi="Palatino Linotype" w:cs="Palatino Linotype"/>
          <w:b/>
          <w:i/>
          <w:color w:val="000000"/>
        </w:rPr>
        <w:t>.</w:t>
      </w:r>
    </w:p>
    <w:p w14:paraId="4CC086C5" w14:textId="77777777" w:rsidR="00A60646" w:rsidRDefault="007151D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las constancias que obran en el SAIMEX, se tiene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brindó respuesta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informando, a través del Servidor Público Habilitado de la Coordinación Jurídica, que se tenían </w:t>
      </w:r>
      <w:r>
        <w:rPr>
          <w:rFonts w:ascii="Palatino Linotype" w:eastAsia="Palatino Linotype" w:hAnsi="Palatino Linotype" w:cs="Palatino Linotype"/>
          <w:b/>
          <w:u w:val="single"/>
        </w:rPr>
        <w:t>cuatro juicios iniciados</w:t>
      </w:r>
      <w:r>
        <w:rPr>
          <w:rFonts w:ascii="Palatino Linotype" w:eastAsia="Palatino Linotype" w:hAnsi="Palatino Linotype" w:cs="Palatino Linotype"/>
          <w:u w:val="single"/>
        </w:rPr>
        <w:t xml:space="preserve"> </w:t>
      </w:r>
      <w:r>
        <w:rPr>
          <w:rFonts w:ascii="Palatino Linotype" w:eastAsia="Palatino Linotype" w:hAnsi="Palatino Linotype" w:cs="Palatino Linotype"/>
        </w:rPr>
        <w:t xml:space="preserve">en 2021 y 2022, </w:t>
      </w:r>
      <w:r>
        <w:rPr>
          <w:rFonts w:ascii="Palatino Linotype" w:eastAsia="Palatino Linotype" w:hAnsi="Palatino Linotype" w:cs="Palatino Linotype"/>
          <w:b/>
          <w:u w:val="single"/>
        </w:rPr>
        <w:t>los cuales se encontraban en trámite</w:t>
      </w:r>
      <w:r>
        <w:rPr>
          <w:rFonts w:ascii="Palatino Linotype" w:eastAsia="Palatino Linotype" w:hAnsi="Palatino Linotype" w:cs="Palatino Linotype"/>
        </w:rPr>
        <w:t>, por ello que solicitaron la clasificación de información reservada.</w:t>
      </w:r>
    </w:p>
    <w:p w14:paraId="10FF198C" w14:textId="77777777" w:rsidR="00A60646" w:rsidRDefault="007151D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ello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remite el acuerdo de clasificación, que se muestra a continuación:</w:t>
      </w:r>
    </w:p>
    <w:p w14:paraId="2583CB81" w14:textId="77777777" w:rsidR="00A60646" w:rsidRDefault="007151D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 </w:t>
      </w:r>
      <w:r>
        <w:rPr>
          <w:noProof/>
          <w:lang w:val="es-MX"/>
        </w:rPr>
        <w:drawing>
          <wp:inline distT="0" distB="0" distL="0" distR="0" wp14:anchorId="79425FDC" wp14:editId="026471B0">
            <wp:extent cx="5516813" cy="2468115"/>
            <wp:effectExtent l="0" t="0" r="0" b="0"/>
            <wp:docPr id="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69238" t="65119" r="12946" b="21033"/>
                    <a:stretch>
                      <a:fillRect/>
                    </a:stretch>
                  </pic:blipFill>
                  <pic:spPr>
                    <a:xfrm>
                      <a:off x="0" y="0"/>
                      <a:ext cx="5516813" cy="2468115"/>
                    </a:xfrm>
                    <a:prstGeom prst="rect">
                      <a:avLst/>
                    </a:prstGeom>
                    <a:ln/>
                  </pic:spPr>
                </pic:pic>
              </a:graphicData>
            </a:graphic>
          </wp:inline>
        </w:drawing>
      </w:r>
    </w:p>
    <w:p w14:paraId="4C22DDD1" w14:textId="77777777" w:rsidR="00A60646" w:rsidRDefault="007151D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es importante señalar que  mediante el alcance a informe justificado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señala que los juicios no encuadran con los supuestos que establece el artículo 142 de la Ley de Transparencia y Acceso a la Información del Estado de México y Municipios:</w:t>
      </w:r>
    </w:p>
    <w:p w14:paraId="70A47F7A" w14:textId="77777777" w:rsidR="00A60646" w:rsidRDefault="007151D3">
      <w:pPr>
        <w:spacing w:before="240" w:after="240" w:line="360" w:lineRule="auto"/>
        <w:jc w:val="both"/>
        <w:rPr>
          <w:rFonts w:ascii="Palatino Linotype" w:eastAsia="Palatino Linotype" w:hAnsi="Palatino Linotype" w:cs="Palatino Linotype"/>
        </w:rPr>
      </w:pPr>
      <w:r>
        <w:rPr>
          <w:noProof/>
          <w:color w:val="000000"/>
          <w:lang w:val="es-MX"/>
        </w:rPr>
        <w:drawing>
          <wp:inline distT="0" distB="0" distL="0" distR="0" wp14:anchorId="626A1CAA" wp14:editId="1BDA9AA7">
            <wp:extent cx="5648777" cy="2086938"/>
            <wp:effectExtent l="0" t="0" r="0" b="0"/>
            <wp:docPr id="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61100" t="39830" r="9199" b="45081"/>
                    <a:stretch>
                      <a:fillRect/>
                    </a:stretch>
                  </pic:blipFill>
                  <pic:spPr>
                    <a:xfrm>
                      <a:off x="0" y="0"/>
                      <a:ext cx="5648777" cy="2086938"/>
                    </a:xfrm>
                    <a:prstGeom prst="rect">
                      <a:avLst/>
                    </a:prstGeom>
                    <a:ln/>
                  </pic:spPr>
                </pic:pic>
              </a:graphicData>
            </a:graphic>
          </wp:inline>
        </w:drawing>
      </w:r>
    </w:p>
    <w:p w14:paraId="71BB6261" w14:textId="77777777" w:rsidR="00A60646" w:rsidRDefault="007151D3">
      <w:pPr>
        <w:tabs>
          <w:tab w:val="left" w:pos="8222"/>
        </w:tabs>
        <w:spacing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Así, se considera que los expedientes referidos por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actualizan la reserva de la información, en términos del artículo 140, fracción VIII   de la Ley de Transparencia y Acceso a la Información del Estado de México y Municipios, pues el proceso administrativo sigue en trámite.</w:t>
      </w:r>
    </w:p>
    <w:p w14:paraId="3CBA1534" w14:textId="77777777" w:rsidR="00A60646" w:rsidRDefault="007151D3">
      <w:pPr>
        <w:spacing w:before="36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entendido, es de señalar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niega la existencia de la información solicitada, sino por el contrario, al clasificarla como reservada, se tiene que asevera su existencia, por lo que el estudio de la naturaleza jurídica se obvia. </w:t>
      </w:r>
    </w:p>
    <w:p w14:paraId="49CC505F" w14:textId="77777777" w:rsidR="00A60646" w:rsidRDefault="007151D3">
      <w:pPr>
        <w:widowControl w:val="0"/>
        <w:spacing w:before="36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así, ya que el estudio de la naturaleza jurídica de la información pública solicitada tiene por objeto determinar si el Sujeto Obligado la genera, posee o administra; sin embargo, en aquellos casos en que éste la asume, ello efectivamente está en su poder; por consiguiente, sería ocioso y a nada práctico nos conduciría su estudio, ya que, se insiste, la información pública solicitada, ya fue asumida por el Sujeto Obligado. </w:t>
      </w:r>
    </w:p>
    <w:p w14:paraId="3E34163E" w14:textId="77777777" w:rsidR="00A60646" w:rsidRDefault="007151D3">
      <w:pPr>
        <w:spacing w:before="36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Aunado a lo anterior, para este Pleno, la lógica jurídica, conlleva a que la clasificación y la inexistencia de la misma información son situaciones que no pueden coexistir, es así que la inexistencia implica necesariamente que la información no se encuentra en los archivos del Sujeto Obligado, mientras que la </w:t>
      </w:r>
      <w:r>
        <w:rPr>
          <w:rFonts w:ascii="Palatino Linotype" w:eastAsia="Palatino Linotype" w:hAnsi="Palatino Linotype" w:cs="Palatino Linotype"/>
        </w:rPr>
        <w:lastRenderedPageBreak/>
        <w:t xml:space="preserve">clasificación forzosamente equivale a que éste sí tiene la información solicitada, por tanto, si en el presente caso, se niega la entrega de la información materia del recurso por considerarla clasificada, está reconociendo explícitamente que la misma obra en sus archivos. </w:t>
      </w:r>
    </w:p>
    <w:p w14:paraId="6F46182B" w14:textId="77777777" w:rsidR="00A60646" w:rsidRDefault="007151D3">
      <w:pPr>
        <w:spacing w:before="36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Tiene aplicación al respecto el criterio sostenido por el ahora Instituto Nacional de Transparencia, Acceso a la Información y Protección de Datos Personales número 29/10, mismo que tiene como contenido el que a continuación se transcribe:</w:t>
      </w:r>
    </w:p>
    <w:p w14:paraId="6F1A2D0B" w14:textId="77777777" w:rsidR="00A60646" w:rsidRDefault="00A60646">
      <w:pPr>
        <w:spacing w:line="360" w:lineRule="auto"/>
        <w:ind w:right="49"/>
        <w:jc w:val="both"/>
        <w:rPr>
          <w:rFonts w:ascii="Palatino Linotype" w:eastAsia="Palatino Linotype" w:hAnsi="Palatino Linotype" w:cs="Palatino Linotype"/>
        </w:rPr>
      </w:pPr>
    </w:p>
    <w:p w14:paraId="5A3EEFE9" w14:textId="77777777" w:rsidR="00A60646" w:rsidRDefault="007151D3">
      <w:pPr>
        <w:spacing w:after="360" w:line="276" w:lineRule="auto"/>
        <w:ind w:left="851"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rPr>
        <w:t>“</w:t>
      </w:r>
      <w:r>
        <w:rPr>
          <w:rFonts w:ascii="Palatino Linotype" w:eastAsia="Palatino Linotype" w:hAnsi="Palatino Linotype" w:cs="Palatino Linotype"/>
          <w:b/>
          <w:i/>
          <w:sz w:val="22"/>
          <w:szCs w:val="22"/>
        </w:rPr>
        <w:t>La clasificación y la inexistencia de información son conceptos que no pueden coexistir.</w:t>
      </w:r>
      <w:r>
        <w:rPr>
          <w:rFonts w:ascii="Palatino Linotype" w:eastAsia="Palatino Linotype" w:hAnsi="Palatino Linotype" w:cs="Palatino Linotype"/>
          <w:i/>
          <w:sz w:val="22"/>
          <w:szCs w:val="22"/>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3B86B3A8" w14:textId="77777777" w:rsidR="00A60646" w:rsidRDefault="007151D3">
      <w:pPr>
        <w:spacing w:before="360" w:after="360" w:line="360" w:lineRule="auto"/>
        <w:ind w:right="141"/>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uno de los principios en materia de Transparencia y Acceso a la Información Pública, consiste en que en la entrega de la información deberá garantizar que sea </w:t>
      </w:r>
      <w:r>
        <w:rPr>
          <w:rFonts w:ascii="Palatino Linotype" w:eastAsia="Palatino Linotype" w:hAnsi="Palatino Linotype" w:cs="Palatino Linotype"/>
          <w:b/>
          <w:u w:val="single"/>
        </w:rPr>
        <w:t>congruente</w:t>
      </w:r>
      <w:r>
        <w:rPr>
          <w:rFonts w:ascii="Palatino Linotype" w:eastAsia="Palatino Linotype" w:hAnsi="Palatino Linotype" w:cs="Palatino Linotype"/>
        </w:rPr>
        <w:t xml:space="preserve"> y </w:t>
      </w:r>
      <w:r>
        <w:rPr>
          <w:rFonts w:ascii="Palatino Linotype" w:eastAsia="Palatino Linotype" w:hAnsi="Palatino Linotype" w:cs="Palatino Linotype"/>
          <w:b/>
          <w:u w:val="single"/>
        </w:rPr>
        <w:t xml:space="preserve"> sujeta a un claro régimen de excepciones</w:t>
      </w:r>
      <w:r>
        <w:rPr>
          <w:rFonts w:ascii="Palatino Linotype" w:eastAsia="Palatino Linotype" w:hAnsi="Palatino Linotype" w:cs="Palatino Linotype"/>
        </w:rPr>
        <w:t>, tal como lo estipula el artículo 11 de la Ley en la materia que en su texto literal refiere:</w:t>
      </w:r>
    </w:p>
    <w:p w14:paraId="39A71118" w14:textId="77777777" w:rsidR="00A60646" w:rsidRDefault="007151D3">
      <w:pPr>
        <w:spacing w:before="360" w:after="36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11.</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En la generación, publicación y entrega de información se deberá</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garantizar que ésta</w:t>
      </w:r>
      <w:r>
        <w:rPr>
          <w:rFonts w:ascii="Palatino Linotype" w:eastAsia="Palatino Linotype" w:hAnsi="Palatino Linotype" w:cs="Palatino Linotype"/>
          <w:i/>
          <w:sz w:val="22"/>
          <w:szCs w:val="22"/>
        </w:rPr>
        <w:t xml:space="preserve"> sea accesible, actualizada, completa, </w:t>
      </w:r>
      <w:r>
        <w:rPr>
          <w:rFonts w:ascii="Palatino Linotype" w:eastAsia="Palatino Linotype" w:hAnsi="Palatino Linotype" w:cs="Palatino Linotype"/>
          <w:b/>
          <w:i/>
          <w:sz w:val="22"/>
          <w:szCs w:val="22"/>
          <w:u w:val="single"/>
        </w:rPr>
        <w:t>congruente,</w:t>
      </w:r>
      <w:r>
        <w:rPr>
          <w:rFonts w:ascii="Palatino Linotype" w:eastAsia="Palatino Linotype" w:hAnsi="Palatino Linotype" w:cs="Palatino Linotype"/>
          <w:i/>
          <w:sz w:val="22"/>
          <w:szCs w:val="22"/>
        </w:rPr>
        <w:t xml:space="preserve"> confiable, verificable, veraz, integral, oportuna y expedita, </w:t>
      </w:r>
      <w:r>
        <w:rPr>
          <w:rFonts w:ascii="Palatino Linotype" w:eastAsia="Palatino Linotype" w:hAnsi="Palatino Linotype" w:cs="Palatino Linotype"/>
          <w:b/>
          <w:i/>
          <w:sz w:val="22"/>
          <w:szCs w:val="22"/>
          <w:u w:val="single"/>
        </w:rPr>
        <w:t xml:space="preserve">sujeta a un claro régimen de excepciones que deberá estar definido y ser además legítima y estrictamente necesaria </w:t>
      </w:r>
      <w:r>
        <w:rPr>
          <w:rFonts w:ascii="Palatino Linotype" w:eastAsia="Palatino Linotype" w:hAnsi="Palatino Linotype" w:cs="Palatino Linotype"/>
          <w:i/>
          <w:sz w:val="22"/>
          <w:szCs w:val="22"/>
        </w:rPr>
        <w:t>en una sociedad democrática, por lo que atenderá las necesidades del derecho de acceso a la información de toda persona.</w:t>
      </w:r>
    </w:p>
    <w:p w14:paraId="5947901F" w14:textId="77777777" w:rsidR="00A60646" w:rsidRDefault="007151D3">
      <w:pPr>
        <w:spacing w:before="360" w:after="360"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14:paraId="2970DD44" w14:textId="77777777" w:rsidR="00A60646" w:rsidRDefault="007151D3">
      <w:pPr>
        <w:spacing w:before="360" w:after="360" w:line="360" w:lineRule="auto"/>
        <w:ind w:right="141"/>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el análisis en el presente asunto consiste en determinar si la restricción realizada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mediante el acuerdo por el cual clasificó como información reservada, cumple con los elementos formales y materiales establecidos en la Ley en la materia. </w:t>
      </w:r>
    </w:p>
    <w:p w14:paraId="69E531AC" w14:textId="77777777" w:rsidR="00A60646" w:rsidRDefault="007151D3">
      <w:pPr>
        <w:spacing w:before="36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si bien es cierto el derecho de acceso a la información pública se satisface en aquellos casos en que se entregue el soporte documental en que conste la información requerida, también lo es que este derecho puede ser restringido cuando se trate de información que por su naturaleza deba clasificarse como </w:t>
      </w:r>
      <w:r>
        <w:rPr>
          <w:rFonts w:ascii="Palatino Linotype" w:eastAsia="Palatino Linotype" w:hAnsi="Palatino Linotype" w:cs="Palatino Linotype"/>
        </w:rPr>
        <w:lastRenderedPageBreak/>
        <w:t xml:space="preserve">reservada; y en este supuesto los artículos 128 segundo párrafo y 103 segundo párrafo de las leyes estatal y general respectivamente, señalan que se deben expresar las razones, motivos o circunstancias especiales que llevan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concluir que el caso corresponde con la norma; asimismo, estas disposiciones precisan que, además de señalar las razones, motivos o circunstancias, se deberá aplicar la prueba de daño, en la que se precisen las razones objetivas por la que la apertura de la información genera una afectación. </w:t>
      </w:r>
    </w:p>
    <w:p w14:paraId="18AF87A0" w14:textId="77777777" w:rsidR="00A60646" w:rsidRDefault="007151D3">
      <w:pPr>
        <w:spacing w:before="36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asunto que ahora se analiza,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señaló que, proporcionar lesiona el interés jurídicamente protegido la Ley, y que el menoscabo o daño que puede producirse con la publicidad de la información es mayor al interés de conocerla y por lo tanto, determinó que la información requerida encuadra en los supuestos de clasificación como reservada, que establece el artículo 140, fracciones VI, VIII y X, de la Ley de Transparencia y Acceso a la Información Pública del Estado de México y Municipios. </w:t>
      </w:r>
    </w:p>
    <w:p w14:paraId="20F2CD6F" w14:textId="77777777" w:rsidR="00A60646" w:rsidRDefault="007151D3">
      <w:pPr>
        <w:spacing w:before="36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resulta necesario, analizar el Acuerdo emitido por el Comité de Transparencia, en el que se clasificó como información reservada los cuatro juicios promovidos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por lo que a fin de establecer si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cumplió con las formalidades exigidas por con el artículo 113, fracción VI, de la Ley General de Transparencia y Acceso a la Información Pública, numeral </w:t>
      </w:r>
      <w:r>
        <w:rPr>
          <w:rFonts w:ascii="Palatino Linotype" w:eastAsia="Palatino Linotype" w:hAnsi="Palatino Linotype" w:cs="Palatino Linotype"/>
        </w:rPr>
        <w:lastRenderedPageBreak/>
        <w:t xml:space="preserve">vigésimo cuarto, fracción II, de los Lineamientos Generales en Materia de Clasificación y Desclasificación de la Información, así como para la Elaboración de Versiones Públicas, y con lo dispuesto por los artículos 91, 128, 129, 140 fracción VIII, y 141, de la Ley de Transparencia y Acceso a la Información Pública del Estado de México y Municipios: </w:t>
      </w:r>
    </w:p>
    <w:tbl>
      <w:tblPr>
        <w:tblStyle w:val="ac"/>
        <w:tblW w:w="8906"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275"/>
        <w:gridCol w:w="6096"/>
      </w:tblGrid>
      <w:tr w:rsidR="00A60646" w14:paraId="31ACDB02" w14:textId="77777777">
        <w:tc>
          <w:tcPr>
            <w:tcW w:w="1535" w:type="dxa"/>
            <w:tcBorders>
              <w:top w:val="nil"/>
              <w:left w:val="nil"/>
            </w:tcBorders>
          </w:tcPr>
          <w:p w14:paraId="1DBFD9AB" w14:textId="77777777" w:rsidR="00A60646" w:rsidRDefault="00A60646">
            <w:pPr>
              <w:pBdr>
                <w:top w:val="nil"/>
                <w:left w:val="nil"/>
                <w:bottom w:val="nil"/>
                <w:right w:val="nil"/>
                <w:between w:val="nil"/>
              </w:pBdr>
              <w:ind w:left="47"/>
              <w:jc w:val="both"/>
              <w:rPr>
                <w:rFonts w:ascii="Palatino Linotype" w:eastAsia="Palatino Linotype" w:hAnsi="Palatino Linotype" w:cs="Palatino Linotype"/>
                <w:b/>
                <w:color w:val="000000"/>
                <w:sz w:val="20"/>
                <w:szCs w:val="20"/>
              </w:rPr>
            </w:pPr>
          </w:p>
        </w:tc>
        <w:tc>
          <w:tcPr>
            <w:tcW w:w="1275" w:type="dxa"/>
            <w:tcBorders>
              <w:bottom w:val="single" w:sz="4" w:space="0" w:color="000000"/>
            </w:tcBorders>
            <w:shd w:val="clear" w:color="auto" w:fill="BFBFBF"/>
            <w:vAlign w:val="bottom"/>
          </w:tcPr>
          <w:p w14:paraId="640E2D64" w14:textId="77777777" w:rsidR="00A60646" w:rsidRDefault="007151D3">
            <w:pPr>
              <w:pBdr>
                <w:top w:val="nil"/>
                <w:left w:val="nil"/>
                <w:bottom w:val="nil"/>
                <w:right w:val="nil"/>
                <w:between w:val="nil"/>
              </w:pBdr>
              <w:ind w:left="47"/>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rPr>
              <w:t>Cumplió</w:t>
            </w:r>
          </w:p>
        </w:tc>
        <w:tc>
          <w:tcPr>
            <w:tcW w:w="6096" w:type="dxa"/>
            <w:tcBorders>
              <w:bottom w:val="single" w:sz="4" w:space="0" w:color="000000"/>
            </w:tcBorders>
            <w:shd w:val="clear" w:color="auto" w:fill="BFBFBF"/>
            <w:vAlign w:val="bottom"/>
          </w:tcPr>
          <w:p w14:paraId="0EF03EFB" w14:textId="77777777" w:rsidR="00A60646" w:rsidRDefault="007151D3">
            <w:pPr>
              <w:pBdr>
                <w:top w:val="nil"/>
                <w:left w:val="nil"/>
                <w:bottom w:val="nil"/>
                <w:right w:val="nil"/>
                <w:between w:val="nil"/>
              </w:pBdr>
              <w:ind w:left="4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Contenido</w:t>
            </w:r>
          </w:p>
        </w:tc>
      </w:tr>
      <w:tr w:rsidR="00A60646" w14:paraId="18AF87B4" w14:textId="77777777">
        <w:tc>
          <w:tcPr>
            <w:tcW w:w="1535" w:type="dxa"/>
            <w:vAlign w:val="center"/>
          </w:tcPr>
          <w:p w14:paraId="4F5A9B91" w14:textId="77777777" w:rsidR="00A60646" w:rsidRDefault="007151D3">
            <w:pPr>
              <w:jc w:val="both"/>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Número de folio de la solicitud</w:t>
            </w:r>
          </w:p>
        </w:tc>
        <w:tc>
          <w:tcPr>
            <w:tcW w:w="1275" w:type="dxa"/>
            <w:tcBorders>
              <w:top w:val="single" w:sz="4" w:space="0" w:color="000000"/>
            </w:tcBorders>
            <w:vAlign w:val="center"/>
          </w:tcPr>
          <w:p w14:paraId="620EDA39" w14:textId="77777777" w:rsidR="00A60646" w:rsidRDefault="007151D3">
            <w:pPr>
              <w:ind w:left="47"/>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Sí</w:t>
            </w:r>
          </w:p>
        </w:tc>
        <w:tc>
          <w:tcPr>
            <w:tcW w:w="6096" w:type="dxa"/>
            <w:tcBorders>
              <w:top w:val="single" w:sz="4" w:space="0" w:color="000000"/>
            </w:tcBorders>
            <w:vAlign w:val="center"/>
          </w:tcPr>
          <w:p w14:paraId="6ED6A0A9" w14:textId="77777777" w:rsidR="00A60646" w:rsidRDefault="00A60646">
            <w:pPr>
              <w:ind w:left="-115"/>
              <w:jc w:val="both"/>
              <w:rPr>
                <w:rFonts w:ascii="Palatino Linotype" w:eastAsia="Palatino Linotype" w:hAnsi="Palatino Linotype" w:cs="Palatino Linotype"/>
                <w:sz w:val="20"/>
                <w:szCs w:val="20"/>
              </w:rPr>
            </w:pPr>
          </w:p>
          <w:p w14:paraId="3ADE5913" w14:textId="77777777" w:rsidR="00A60646" w:rsidRDefault="007151D3">
            <w:pPr>
              <w:ind w:left="18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3. Análisis, discusión y en caso confirmación de la clasificación de información con carácter de reserva total de 4 juicios promovidos por el sujeto obligado en el 2022 y 2021, solicitado por la Coordinación Jurídica de S.A.P.A.S.A., en virtud de emitir respuesta a la solicitud de acceso a la información pública con folio</w:t>
            </w:r>
          </w:p>
          <w:p w14:paraId="7F0BF41B" w14:textId="77777777" w:rsidR="00A60646" w:rsidRDefault="007151D3">
            <w:pPr>
              <w:ind w:left="180"/>
              <w:jc w:val="both"/>
              <w:rPr>
                <w:rFonts w:ascii="Palatino Linotype" w:eastAsia="Palatino Linotype" w:hAnsi="Palatino Linotype" w:cs="Palatino Linotype"/>
                <w:b/>
                <w:sz w:val="20"/>
                <w:szCs w:val="20"/>
                <w:u w:val="single"/>
              </w:rPr>
            </w:pPr>
            <w:r>
              <w:rPr>
                <w:rFonts w:ascii="Palatino Linotype" w:eastAsia="Palatino Linotype" w:hAnsi="Palatino Linotype" w:cs="Palatino Linotype"/>
                <w:b/>
                <w:sz w:val="20"/>
                <w:szCs w:val="20"/>
                <w:u w:val="single"/>
              </w:rPr>
              <w:t>000010/OASATIZARA/IP/2022.</w:t>
            </w:r>
          </w:p>
          <w:p w14:paraId="08A0B795" w14:textId="77777777" w:rsidR="00A60646" w:rsidRDefault="00A60646">
            <w:pPr>
              <w:ind w:left="180"/>
              <w:jc w:val="both"/>
              <w:rPr>
                <w:rFonts w:ascii="Palatino Linotype" w:eastAsia="Palatino Linotype" w:hAnsi="Palatino Linotype" w:cs="Palatino Linotype"/>
                <w:b/>
                <w:sz w:val="20"/>
                <w:szCs w:val="20"/>
                <w:u w:val="single"/>
              </w:rPr>
            </w:pPr>
          </w:p>
        </w:tc>
      </w:tr>
      <w:tr w:rsidR="00A60646" w14:paraId="30319A07" w14:textId="77777777">
        <w:trPr>
          <w:trHeight w:val="730"/>
        </w:trPr>
        <w:tc>
          <w:tcPr>
            <w:tcW w:w="1535" w:type="dxa"/>
            <w:vAlign w:val="center"/>
          </w:tcPr>
          <w:p w14:paraId="20F5BD30" w14:textId="77777777" w:rsidR="00A60646" w:rsidRDefault="007151D3">
            <w:pPr>
              <w:jc w:val="both"/>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Referencia de la información solicitada</w:t>
            </w:r>
          </w:p>
        </w:tc>
        <w:tc>
          <w:tcPr>
            <w:tcW w:w="1275" w:type="dxa"/>
            <w:vAlign w:val="center"/>
          </w:tcPr>
          <w:p w14:paraId="0E67A824" w14:textId="77777777" w:rsidR="00A60646" w:rsidRDefault="007151D3">
            <w:pPr>
              <w:ind w:left="47"/>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Sí</w:t>
            </w:r>
          </w:p>
        </w:tc>
        <w:tc>
          <w:tcPr>
            <w:tcW w:w="6096" w:type="dxa"/>
            <w:vAlign w:val="center"/>
          </w:tcPr>
          <w:p w14:paraId="39AA2E6B" w14:textId="77777777" w:rsidR="00A60646" w:rsidRDefault="007151D3">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ANTECEDENTES</w:t>
            </w:r>
          </w:p>
          <w:p w14:paraId="50C38155" w14:textId="77777777" w:rsidR="00A60646" w:rsidRDefault="00A60646">
            <w:pPr>
              <w:jc w:val="center"/>
              <w:rPr>
                <w:rFonts w:ascii="Palatino Linotype" w:eastAsia="Palatino Linotype" w:hAnsi="Palatino Linotype" w:cs="Palatino Linotype"/>
                <w:b/>
                <w:sz w:val="20"/>
                <w:szCs w:val="20"/>
              </w:rPr>
            </w:pPr>
          </w:p>
          <w:p w14:paraId="77457823" w14:textId="77777777" w:rsidR="00A60646" w:rsidRDefault="007151D3">
            <w:pPr>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Primero.</w:t>
            </w:r>
            <w:r>
              <w:rPr>
                <w:rFonts w:ascii="Palatino Linotype" w:eastAsia="Palatino Linotype" w:hAnsi="Palatino Linotype" w:cs="Palatino Linotype"/>
                <w:sz w:val="20"/>
                <w:szCs w:val="20"/>
              </w:rPr>
              <w:t xml:space="preserve"> El día veinte de enero de dos mil veintidós a través del portal de internet SAIMEX, se recibió una solicitud de información pública con número de folio 00010/OAZATIZARA/IP/2022 dirigida al Organismo S.A.P.A.S.A., en la que manifiesta lo siguiente: </w:t>
            </w:r>
          </w:p>
          <w:p w14:paraId="3F1EC3E3" w14:textId="77777777" w:rsidR="00A60646" w:rsidRDefault="00A60646">
            <w:pPr>
              <w:jc w:val="both"/>
              <w:rPr>
                <w:rFonts w:ascii="Palatino Linotype" w:eastAsia="Palatino Linotype" w:hAnsi="Palatino Linotype" w:cs="Palatino Linotype"/>
                <w:sz w:val="20"/>
                <w:szCs w:val="20"/>
              </w:rPr>
            </w:pPr>
          </w:p>
          <w:p w14:paraId="1A4DA7F8" w14:textId="77777777" w:rsidR="00A60646" w:rsidRDefault="007151D3">
            <w:pPr>
              <w:jc w:val="both"/>
              <w:rPr>
                <w:rFonts w:ascii="Palatino Linotype" w:eastAsia="Palatino Linotype" w:hAnsi="Palatino Linotype" w:cs="Palatino Linotype"/>
                <w:b/>
                <w:sz w:val="20"/>
                <w:szCs w:val="20"/>
                <w:u w:val="single"/>
              </w:rPr>
            </w:pPr>
            <w:r>
              <w:rPr>
                <w:rFonts w:ascii="Palatino Linotype" w:eastAsia="Palatino Linotype" w:hAnsi="Palatino Linotype" w:cs="Palatino Linotype"/>
                <w:b/>
                <w:sz w:val="20"/>
                <w:szCs w:val="20"/>
                <w:u w:val="single"/>
              </w:rPr>
              <w:t>" ... Solicito los juicios promovidos por el sujeto obligado en el 2022 y 2021 ... " (sic).</w:t>
            </w:r>
          </w:p>
        </w:tc>
      </w:tr>
      <w:tr w:rsidR="00A60646" w14:paraId="20AE6114" w14:textId="77777777">
        <w:tc>
          <w:tcPr>
            <w:tcW w:w="1535" w:type="dxa"/>
            <w:vAlign w:val="center"/>
          </w:tcPr>
          <w:p w14:paraId="79EEDC93" w14:textId="77777777" w:rsidR="00A60646" w:rsidRDefault="007151D3">
            <w:pPr>
              <w:jc w:val="both"/>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 xml:space="preserve">Causal aplicable del artículo 113 de la Ley General, vinculándola con el Lineamiento específico del presente </w:t>
            </w:r>
            <w:r>
              <w:rPr>
                <w:rFonts w:ascii="Palatino Linotype" w:eastAsia="Palatino Linotype" w:hAnsi="Palatino Linotype" w:cs="Palatino Linotype"/>
                <w:b/>
                <w:sz w:val="16"/>
                <w:szCs w:val="16"/>
              </w:rPr>
              <w:lastRenderedPageBreak/>
              <w:t>ordenamiento y, cuando corresponda, el supuesto normativo que expresamente le otorga el carácter de información reservada.</w:t>
            </w:r>
          </w:p>
          <w:p w14:paraId="5B90F208" w14:textId="77777777" w:rsidR="00A60646" w:rsidRDefault="007151D3">
            <w:pPr>
              <w:jc w:val="both"/>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(Artículo 140 de la Ley Local)</w:t>
            </w:r>
          </w:p>
        </w:tc>
        <w:tc>
          <w:tcPr>
            <w:tcW w:w="1275" w:type="dxa"/>
            <w:vAlign w:val="center"/>
          </w:tcPr>
          <w:p w14:paraId="62A1F5D8" w14:textId="77777777" w:rsidR="00A60646" w:rsidRDefault="007151D3">
            <w:pPr>
              <w:ind w:left="47"/>
              <w:jc w:val="center"/>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lastRenderedPageBreak/>
              <w:t>No</w:t>
            </w:r>
          </w:p>
        </w:tc>
        <w:tc>
          <w:tcPr>
            <w:tcW w:w="6096" w:type="dxa"/>
            <w:vAlign w:val="center"/>
          </w:tcPr>
          <w:p w14:paraId="7A61509B" w14:textId="77777777" w:rsidR="00A60646" w:rsidRDefault="007151D3">
            <w:pPr>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 ... así como lo preceptuado en los artículos 6 apartado A fracciones I y VIII párrafo sexto de la Constitución Política de los Estados Unidos Mexicanos; 5 párrafos trigésimo, trigésimo primero y trigésimo segundo, fracciones 1, 11, 111, IV, V, VI, VII, VIII y IX de la Constitución Política del Estado Libre y Soberano de México; 3 fracciones XX, XXIV, XXXIX y XLI, 4 párrafo segundo, 8, 10, 20,122, 128, 130, 132 fracciones I y 11, </w:t>
            </w:r>
            <w:r>
              <w:rPr>
                <w:rFonts w:ascii="Palatino Linotype" w:eastAsia="Palatino Linotype" w:hAnsi="Palatino Linotype" w:cs="Palatino Linotype"/>
                <w:i/>
                <w:sz w:val="20"/>
                <w:szCs w:val="20"/>
              </w:rPr>
              <w:lastRenderedPageBreak/>
              <w:t>134 párrafo tercero</w:t>
            </w:r>
            <w:r>
              <w:rPr>
                <w:rFonts w:ascii="Palatino Linotype" w:eastAsia="Palatino Linotype" w:hAnsi="Palatino Linotype" w:cs="Palatino Linotype"/>
                <w:b/>
                <w:i/>
                <w:sz w:val="20"/>
                <w:szCs w:val="20"/>
              </w:rPr>
              <w:t>, 140 fracciones VIII, IX y X de la Ley de Transparencia y Acceso a la Información Pública del Estado de México y Municipios</w:t>
            </w:r>
            <w:r>
              <w:rPr>
                <w:rFonts w:ascii="Palatino Linotype" w:eastAsia="Palatino Linotype" w:hAnsi="Palatino Linotype" w:cs="Palatino Linotype"/>
                <w:i/>
                <w:sz w:val="20"/>
                <w:szCs w:val="20"/>
              </w:rPr>
              <w:t xml:space="preserve">; señalo: </w:t>
            </w:r>
          </w:p>
          <w:p w14:paraId="025E5528" w14:textId="77777777" w:rsidR="00A60646" w:rsidRDefault="007151D3">
            <w:pPr>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p>
          <w:p w14:paraId="77F582F8" w14:textId="77777777" w:rsidR="00A60646" w:rsidRDefault="007151D3">
            <w:pPr>
              <w:jc w:val="both"/>
              <w:rPr>
                <w:rFonts w:ascii="Palatino Linotype" w:eastAsia="Palatino Linotype" w:hAnsi="Palatino Linotype" w:cs="Palatino Linotype"/>
                <w:b/>
              </w:rPr>
            </w:pPr>
            <w:r>
              <w:rPr>
                <w:rFonts w:ascii="Palatino Linotype" w:eastAsia="Palatino Linotype" w:hAnsi="Palatino Linotype" w:cs="Palatino Linotype"/>
                <w:b/>
                <w:i/>
                <w:sz w:val="20"/>
                <w:szCs w:val="20"/>
              </w:rPr>
              <w:t>En función los artículos 140 fracción VI, VIII y X de la Ley de Transparencia y Acceso a la Información Pública del Estado de México y Municipios; en relación con el numeral Vigésimo Cuarto numeral II de los Lineamientos Generales en Materia de Clasificación y Desclasificación de la Información, así como para la Elaboración de Versiones Públicas</w:t>
            </w:r>
            <w:r>
              <w:rPr>
                <w:rFonts w:ascii="Palatino Linotype" w:eastAsia="Palatino Linotype" w:hAnsi="Palatino Linotype" w:cs="Palatino Linotype"/>
                <w:i/>
                <w:sz w:val="20"/>
                <w:szCs w:val="20"/>
              </w:rPr>
              <w:t>.</w:t>
            </w:r>
          </w:p>
        </w:tc>
      </w:tr>
      <w:tr w:rsidR="00A60646" w14:paraId="78748009" w14:textId="77777777">
        <w:tc>
          <w:tcPr>
            <w:tcW w:w="1535" w:type="dxa"/>
            <w:vAlign w:val="center"/>
          </w:tcPr>
          <w:p w14:paraId="5CCF05EB" w14:textId="77777777" w:rsidR="00A60646" w:rsidRDefault="007151D3">
            <w:pPr>
              <w:tabs>
                <w:tab w:val="left" w:pos="317"/>
              </w:tabs>
              <w:jc w:val="both"/>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lastRenderedPageBreak/>
              <w:t>Fundamento y Motivación Legal</w:t>
            </w:r>
          </w:p>
        </w:tc>
        <w:tc>
          <w:tcPr>
            <w:tcW w:w="1275" w:type="dxa"/>
            <w:vAlign w:val="center"/>
          </w:tcPr>
          <w:p w14:paraId="0D22F76B" w14:textId="77777777" w:rsidR="00A60646" w:rsidRDefault="007151D3">
            <w:pPr>
              <w:ind w:left="47"/>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No</w:t>
            </w:r>
          </w:p>
        </w:tc>
        <w:tc>
          <w:tcPr>
            <w:tcW w:w="6096" w:type="dxa"/>
            <w:vAlign w:val="center"/>
          </w:tcPr>
          <w:p w14:paraId="117A7EB1" w14:textId="77777777" w:rsidR="00A60646" w:rsidRDefault="00A60646">
            <w:pPr>
              <w:jc w:val="both"/>
              <w:rPr>
                <w:rFonts w:ascii="Palatino Linotype" w:eastAsia="Palatino Linotype" w:hAnsi="Palatino Linotype" w:cs="Palatino Linotype"/>
                <w:b/>
                <w:sz w:val="2"/>
                <w:szCs w:val="2"/>
              </w:rPr>
            </w:pPr>
          </w:p>
          <w:p w14:paraId="235B1655" w14:textId="77777777" w:rsidR="00A60646" w:rsidRDefault="007151D3">
            <w:pPr>
              <w:ind w:left="47"/>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Con fundamento en la disposición emanada del arábigo 168 fracción I de la Ley local en la Materia; en estrecha relación con los diversos 59 fracciones II, V y VI, 122, 128 párrafo segundo, 134 párrafo tercero, </w:t>
            </w:r>
            <w:r>
              <w:rPr>
                <w:rFonts w:ascii="Palatino Linotype" w:eastAsia="Palatino Linotype" w:hAnsi="Palatino Linotype" w:cs="Palatino Linotype"/>
                <w:b/>
                <w:i/>
                <w:sz w:val="20"/>
                <w:szCs w:val="20"/>
              </w:rPr>
              <w:t xml:space="preserve">140 fracción VIII, IX y X, del mismo Ordenamiento en consulta, </w:t>
            </w:r>
            <w:r>
              <w:rPr>
                <w:rFonts w:ascii="Palatino Linotype" w:eastAsia="Palatino Linotype" w:hAnsi="Palatino Linotype" w:cs="Palatino Linotype"/>
                <w:i/>
                <w:sz w:val="20"/>
                <w:szCs w:val="20"/>
              </w:rPr>
              <w:t>pidiendo CLASIFICAR la información solicitada, en su Modalidad de RESERVADA, así como la documentación y constancias inherentes a la misma; la que deberá permanecer con tal carácter durante un, PERIODO DE CINCO (5) AÑOS o, en su caso</w:t>
            </w:r>
            <w:r>
              <w:rPr>
                <w:rFonts w:ascii="Palatino Linotype" w:eastAsia="Palatino Linotype" w:hAnsi="Palatino Linotype" w:cs="Palatino Linotype"/>
                <w:b/>
                <w:i/>
                <w:sz w:val="20"/>
                <w:szCs w:val="20"/>
              </w:rPr>
              <w:t>, hasta que los juicios promovidos por el Organismo Público Descentralizado para la Prestación de los Servicios de Agua Potable, Alcantarillado y Saneamiento de Atizapán de Zaragoza, se concluyan y se dicte sentencia ejecutoriada</w:t>
            </w:r>
            <w:r>
              <w:rPr>
                <w:rFonts w:ascii="Palatino Linotype" w:eastAsia="Palatino Linotype" w:hAnsi="Palatino Linotype" w:cs="Palatino Linotype"/>
                <w:i/>
                <w:sz w:val="20"/>
                <w:szCs w:val="20"/>
              </w:rPr>
              <w:t xml:space="preserve"> ... " (</w:t>
            </w:r>
            <w:r>
              <w:rPr>
                <w:rFonts w:ascii="Palatino Linotype" w:eastAsia="Palatino Linotype" w:hAnsi="Palatino Linotype" w:cs="Palatino Linotype"/>
                <w:sz w:val="20"/>
                <w:szCs w:val="20"/>
              </w:rPr>
              <w:t>sic)</w:t>
            </w:r>
          </w:p>
        </w:tc>
      </w:tr>
      <w:tr w:rsidR="00A60646" w14:paraId="4529626D" w14:textId="77777777">
        <w:tc>
          <w:tcPr>
            <w:tcW w:w="1535" w:type="dxa"/>
            <w:vAlign w:val="center"/>
          </w:tcPr>
          <w:p w14:paraId="2860CC36" w14:textId="77777777" w:rsidR="00A60646" w:rsidRDefault="007151D3">
            <w:pPr>
              <w:jc w:val="both"/>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Conexión entre los fundamentos y motivos que dieron origen a la Reserva de la información</w:t>
            </w:r>
          </w:p>
        </w:tc>
        <w:tc>
          <w:tcPr>
            <w:tcW w:w="1275" w:type="dxa"/>
            <w:vAlign w:val="center"/>
          </w:tcPr>
          <w:p w14:paraId="2486FFAC" w14:textId="77777777" w:rsidR="00A60646" w:rsidRDefault="007151D3">
            <w:pPr>
              <w:ind w:left="47"/>
              <w:jc w:val="center"/>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 xml:space="preserve">No </w:t>
            </w:r>
          </w:p>
        </w:tc>
        <w:tc>
          <w:tcPr>
            <w:tcW w:w="6096" w:type="dxa"/>
            <w:vAlign w:val="center"/>
          </w:tcPr>
          <w:p w14:paraId="6A0B2AF8" w14:textId="77777777" w:rsidR="00A60646" w:rsidRDefault="007151D3">
            <w:pPr>
              <w:pBdr>
                <w:top w:val="nil"/>
                <w:left w:val="nil"/>
                <w:bottom w:val="nil"/>
                <w:right w:val="nil"/>
                <w:between w:val="nil"/>
              </w:pBdr>
              <w:ind w:left="29" w:firstLine="18"/>
              <w:jc w:val="both"/>
              <w:rPr>
                <w:sz w:val="20"/>
                <w:szCs w:val="20"/>
              </w:rPr>
            </w:pPr>
            <w:r>
              <w:rPr>
                <w:sz w:val="20"/>
                <w:szCs w:val="20"/>
              </w:rPr>
              <w:t xml:space="preserve"> </w:t>
            </w:r>
          </w:p>
          <w:p w14:paraId="497C62DB" w14:textId="77777777" w:rsidR="00A60646" w:rsidRDefault="007151D3">
            <w:pPr>
              <w:pBdr>
                <w:top w:val="nil"/>
                <w:left w:val="nil"/>
                <w:bottom w:val="nil"/>
                <w:right w:val="nil"/>
                <w:between w:val="nil"/>
              </w:pBdr>
              <w:ind w:left="2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“…toda vez que respecto de los juicios promovidos por el Organismo Público Descentralizado para la Prestación de los Servicios de Agua Potable, Alcantarillado y Saneamiento de Atizapán de Zaragoza</w:t>
            </w:r>
            <w:r>
              <w:rPr>
                <w:rFonts w:ascii="Palatino Linotype" w:eastAsia="Palatino Linotype" w:hAnsi="Palatino Linotype" w:cs="Palatino Linotype"/>
                <w:b/>
                <w:i/>
                <w:sz w:val="20"/>
                <w:szCs w:val="20"/>
              </w:rPr>
              <w:t>, no se ha concluido, ni dictado sentencia ejecutoriada me permito a efecto de dar atención adecuada al asunto que por esta vía se expone</w:t>
            </w:r>
            <w:r>
              <w:rPr>
                <w:rFonts w:ascii="Palatino Linotype" w:eastAsia="Palatino Linotype" w:hAnsi="Palatino Linotype" w:cs="Palatino Linotype"/>
                <w:i/>
                <w:sz w:val="20"/>
                <w:szCs w:val="20"/>
              </w:rPr>
              <w:t>; actuando a la luz de los Principios Rectores de Certeza, Legalidad, Eficacia, Objetividad, Profesionalismo y Máxima Publicidad contenidos en la Legislación local de la materia;</w:t>
            </w:r>
          </w:p>
          <w:p w14:paraId="43E94194" w14:textId="77777777" w:rsidR="00A60646" w:rsidRDefault="00A60646">
            <w:pPr>
              <w:pBdr>
                <w:top w:val="nil"/>
                <w:left w:val="nil"/>
                <w:bottom w:val="nil"/>
                <w:right w:val="nil"/>
                <w:between w:val="nil"/>
              </w:pBdr>
              <w:ind w:left="29" w:firstLine="18"/>
              <w:jc w:val="both"/>
              <w:rPr>
                <w:color w:val="000000"/>
                <w:sz w:val="20"/>
                <w:szCs w:val="20"/>
              </w:rPr>
            </w:pPr>
          </w:p>
          <w:p w14:paraId="66859252" w14:textId="77777777" w:rsidR="00A60646" w:rsidRDefault="007151D3">
            <w:pPr>
              <w:ind w:left="47"/>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Segundo. El servidor Público Habilitado argumenta que a fin de que se lleve a cabo la clasificación parcial, se aplica una prueba de daño de conformidad con el artículo 129 de la Ley de la materia, entendiéndose por ésta, la demostración de manera fundada y motivada, que la </w:t>
            </w:r>
            <w:r>
              <w:rPr>
                <w:rFonts w:ascii="Palatino Linotype" w:eastAsia="Palatino Linotype" w:hAnsi="Palatino Linotype" w:cs="Palatino Linotype"/>
                <w:i/>
                <w:sz w:val="20"/>
                <w:szCs w:val="20"/>
              </w:rPr>
              <w:lastRenderedPageBreak/>
              <w:t xml:space="preserve">divulgación de la información lesiona el interés jurídicamente protegido por la Ley y que el menoscabo o daño que puede producirse con la publicidad de la información es mayor que el interés de conocerla y, por consiguiente, debe clasificarse como reservada, precisando las razones objetivas por las que la apertura de la información genera una afectación, lo anterior de conformidad con los artículos 140, fracción VI, VIII </w:t>
            </w:r>
            <w:r>
              <w:rPr>
                <w:rFonts w:ascii="Palatino Linotype" w:eastAsia="Palatino Linotype" w:hAnsi="Palatino Linotype" w:cs="Palatino Linotype"/>
                <w:b/>
                <w:i/>
                <w:sz w:val="20"/>
                <w:szCs w:val="20"/>
              </w:rPr>
              <w:t xml:space="preserve"> y X,</w:t>
            </w:r>
            <w:r>
              <w:rPr>
                <w:rFonts w:ascii="Palatino Linotype" w:eastAsia="Palatino Linotype" w:hAnsi="Palatino Linotype" w:cs="Palatino Linotype"/>
                <w:i/>
                <w:sz w:val="20"/>
                <w:szCs w:val="20"/>
              </w:rPr>
              <w:t xml:space="preserve"> de la Ley de Transparencia y de Acceso a la Información Pública del Estado de México y Municipios, …”</w:t>
            </w:r>
          </w:p>
          <w:p w14:paraId="2D4B3F8A" w14:textId="77777777" w:rsidR="00A60646" w:rsidRDefault="00A60646">
            <w:pPr>
              <w:ind w:left="47"/>
              <w:jc w:val="both"/>
              <w:rPr>
                <w:rFonts w:ascii="Palatino Linotype" w:eastAsia="Palatino Linotype" w:hAnsi="Palatino Linotype" w:cs="Palatino Linotype"/>
                <w:i/>
                <w:sz w:val="20"/>
                <w:szCs w:val="20"/>
              </w:rPr>
            </w:pPr>
          </w:p>
          <w:p w14:paraId="3AD14C40" w14:textId="77777777" w:rsidR="00A60646" w:rsidRDefault="007151D3">
            <w:pPr>
              <w:pBdr>
                <w:top w:val="nil"/>
                <w:left w:val="nil"/>
                <w:bottom w:val="nil"/>
                <w:right w:val="nil"/>
                <w:between w:val="nil"/>
              </w:pBdr>
              <w:ind w:left="29" w:firstLine="18"/>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 Como lo ha sostenido nuestro Máximo Tribunal de Justicia, el Derecho Humano de Acceso a la Información Pública encuentra sustento en al artículo 6° de nuestra Constitución Federal, el cual deben garantizar y proteger todas las Autoridades en su respectivo ámbito competencial, conforme al mandato emanado del artículo 1 °  Constitucional; empero, el ejercicio de este Derecho no resulta ilimitado, sino por el contrario, se encuentra restringido conforme a las excepciones que la norma dispone. </w:t>
            </w:r>
          </w:p>
          <w:p w14:paraId="0A671928" w14:textId="77777777" w:rsidR="00A60646" w:rsidRDefault="00A60646">
            <w:pPr>
              <w:pBdr>
                <w:top w:val="nil"/>
                <w:left w:val="nil"/>
                <w:bottom w:val="nil"/>
                <w:right w:val="nil"/>
                <w:between w:val="nil"/>
              </w:pBdr>
              <w:ind w:left="29" w:firstLine="18"/>
              <w:jc w:val="both"/>
              <w:rPr>
                <w:rFonts w:ascii="Palatino Linotype" w:eastAsia="Palatino Linotype" w:hAnsi="Palatino Linotype" w:cs="Palatino Linotype"/>
                <w:color w:val="000000"/>
                <w:sz w:val="20"/>
                <w:szCs w:val="20"/>
              </w:rPr>
            </w:pPr>
          </w:p>
          <w:p w14:paraId="303CC835" w14:textId="77777777" w:rsidR="00A60646" w:rsidRDefault="007151D3">
            <w:pPr>
              <w:pBdr>
                <w:top w:val="nil"/>
                <w:left w:val="nil"/>
                <w:bottom w:val="nil"/>
                <w:right w:val="nil"/>
                <w:between w:val="nil"/>
              </w:pBdr>
              <w:ind w:left="29" w:firstLine="18"/>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En estas condiciones el Estado, con apego a las normas Constitucionales y legales, se encuentra impedido para garantizar de manera indiscriminada este Derecho, debiendo actuar con arreglo a las excepciones que lo regulan y a su vez lo garantizan, en atención a la materia a que se refiera. Esto con el ánimo de evitar incurrir en alguna omisión por la inobservancia de la reserva que se advierta sobre aquella información que sea solicitada por virtud del ejercicio del Derecho de Acceso a la Información Pública. </w:t>
            </w:r>
          </w:p>
          <w:p w14:paraId="26D96755" w14:textId="77777777" w:rsidR="00A60646" w:rsidRDefault="00A60646">
            <w:pPr>
              <w:pBdr>
                <w:top w:val="nil"/>
                <w:left w:val="nil"/>
                <w:bottom w:val="nil"/>
                <w:right w:val="nil"/>
                <w:between w:val="nil"/>
              </w:pBdr>
              <w:ind w:left="29" w:firstLine="18"/>
              <w:jc w:val="both"/>
              <w:rPr>
                <w:rFonts w:ascii="Palatino Linotype" w:eastAsia="Palatino Linotype" w:hAnsi="Palatino Linotype" w:cs="Palatino Linotype"/>
                <w:color w:val="000000"/>
                <w:sz w:val="20"/>
                <w:szCs w:val="20"/>
              </w:rPr>
            </w:pPr>
          </w:p>
          <w:p w14:paraId="7D5DE5B1" w14:textId="77777777" w:rsidR="00A60646" w:rsidRDefault="007151D3">
            <w:pPr>
              <w:pBdr>
                <w:top w:val="nil"/>
                <w:left w:val="nil"/>
                <w:bottom w:val="nil"/>
                <w:right w:val="nil"/>
                <w:between w:val="nil"/>
              </w:pBdr>
              <w:ind w:left="29" w:firstLine="18"/>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Aunado a lo expuesto, el contenido del propio artículo 6º Constitucional del que emana el Derecho de Libre Acceso a la Información Pública, del que, además, se desprende la restricción al mismo, ya que en él se identifica que la Información podrá ser reservada por razones de Interés Público y bajo los términos que señalen las Leyes, por lo que es de concluirse que la Reserva, bajo las condiciones e hipótesis exigidos por la Norma, constituye un presupuesto válido y legal. Se </w:t>
            </w:r>
            <w:r>
              <w:rPr>
                <w:rFonts w:ascii="Palatino Linotype" w:eastAsia="Palatino Linotype" w:hAnsi="Palatino Linotype" w:cs="Palatino Linotype"/>
                <w:sz w:val="20"/>
                <w:szCs w:val="20"/>
              </w:rPr>
              <w:t>inserta el artículo</w:t>
            </w:r>
            <w:r>
              <w:rPr>
                <w:rFonts w:ascii="Palatino Linotype" w:eastAsia="Palatino Linotype" w:hAnsi="Palatino Linotype" w:cs="Palatino Linotype"/>
                <w:color w:val="000000"/>
                <w:sz w:val="20"/>
                <w:szCs w:val="20"/>
              </w:rPr>
              <w:t xml:space="preserve"> en lo que interesa: …</w:t>
            </w:r>
          </w:p>
          <w:p w14:paraId="1641B1E3" w14:textId="77777777" w:rsidR="00A60646" w:rsidRDefault="00A60646">
            <w:pPr>
              <w:pBdr>
                <w:top w:val="nil"/>
                <w:left w:val="nil"/>
                <w:bottom w:val="nil"/>
                <w:right w:val="nil"/>
                <w:between w:val="nil"/>
              </w:pBdr>
              <w:ind w:left="29" w:firstLine="18"/>
              <w:jc w:val="both"/>
              <w:rPr>
                <w:rFonts w:ascii="Palatino Linotype" w:eastAsia="Palatino Linotype" w:hAnsi="Palatino Linotype" w:cs="Palatino Linotype"/>
                <w:color w:val="000000"/>
                <w:sz w:val="20"/>
                <w:szCs w:val="20"/>
              </w:rPr>
            </w:pPr>
          </w:p>
          <w:p w14:paraId="71520B3B" w14:textId="77777777" w:rsidR="00A60646" w:rsidRDefault="007151D3">
            <w:pPr>
              <w:pBdr>
                <w:top w:val="nil"/>
                <w:left w:val="nil"/>
                <w:bottom w:val="nil"/>
                <w:right w:val="nil"/>
                <w:between w:val="nil"/>
              </w:pBdr>
              <w:ind w:left="29" w:firstLine="18"/>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De ahí que, el Derecho a la Información Pública se encuentre restringido de manera excepcional, cuando por razones de Interés Público, se deba Clasificar. Encontrando como presupuesto legal, cuando la divulgación de la información obstruya o pueda causar un serio perjuicio a las actividades de fiscalización, verificación, inspección, comprobación y </w:t>
            </w:r>
            <w:r>
              <w:rPr>
                <w:rFonts w:ascii="Palatino Linotype" w:eastAsia="Palatino Linotype" w:hAnsi="Palatino Linotype" w:cs="Palatino Linotype"/>
                <w:sz w:val="20"/>
                <w:szCs w:val="20"/>
              </w:rPr>
              <w:t>auditoría</w:t>
            </w:r>
            <w:r>
              <w:rPr>
                <w:rFonts w:ascii="Palatino Linotype" w:eastAsia="Palatino Linotype" w:hAnsi="Palatino Linotype" w:cs="Palatino Linotype"/>
                <w:color w:val="000000"/>
                <w:sz w:val="20"/>
                <w:szCs w:val="20"/>
              </w:rPr>
              <w:t xml:space="preserve"> sobre el cumplimiento de las Leyes. </w:t>
            </w:r>
          </w:p>
          <w:p w14:paraId="7385D85B" w14:textId="77777777" w:rsidR="00A60646" w:rsidRDefault="00A60646">
            <w:pPr>
              <w:pBdr>
                <w:top w:val="nil"/>
                <w:left w:val="nil"/>
                <w:bottom w:val="nil"/>
                <w:right w:val="nil"/>
                <w:between w:val="nil"/>
              </w:pBdr>
              <w:ind w:left="29" w:firstLine="18"/>
              <w:jc w:val="both"/>
              <w:rPr>
                <w:rFonts w:ascii="Palatino Linotype" w:eastAsia="Palatino Linotype" w:hAnsi="Palatino Linotype" w:cs="Palatino Linotype"/>
                <w:color w:val="000000"/>
                <w:sz w:val="20"/>
                <w:szCs w:val="20"/>
              </w:rPr>
            </w:pPr>
          </w:p>
          <w:p w14:paraId="70CA1A0F" w14:textId="77777777" w:rsidR="00A60646" w:rsidRDefault="007151D3">
            <w:pPr>
              <w:pBdr>
                <w:top w:val="nil"/>
                <w:left w:val="nil"/>
                <w:bottom w:val="nil"/>
                <w:right w:val="nil"/>
                <w:between w:val="nil"/>
              </w:pBdr>
              <w:ind w:left="29" w:firstLine="18"/>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Sustentando lo anterior, primordialmente, en el artículo 140 fracciones VI, VIII y X, de la Ley de Transparencia y Acceso a la Información Pública del Estado de México y Municipios. Por lo tanto, a efecto de dar cumplimiento a lo ordenado por los preceptos anteriores y, en particular, porque se actualizan las causales de reserva señaladas en el artículo 140, fracciones VI, VIII, y X de la Ley de Transparencia estatal. </w:t>
            </w:r>
          </w:p>
          <w:p w14:paraId="1456AD29" w14:textId="77777777" w:rsidR="00A60646" w:rsidRDefault="00A60646">
            <w:pPr>
              <w:pBdr>
                <w:top w:val="nil"/>
                <w:left w:val="nil"/>
                <w:bottom w:val="nil"/>
                <w:right w:val="nil"/>
                <w:between w:val="nil"/>
              </w:pBdr>
              <w:ind w:left="29" w:firstLine="18"/>
              <w:jc w:val="both"/>
              <w:rPr>
                <w:rFonts w:ascii="Palatino Linotype" w:eastAsia="Palatino Linotype" w:hAnsi="Palatino Linotype" w:cs="Palatino Linotype"/>
                <w:color w:val="000000"/>
                <w:sz w:val="20"/>
                <w:szCs w:val="20"/>
              </w:rPr>
            </w:pPr>
          </w:p>
          <w:p w14:paraId="5C3DAD2C" w14:textId="77777777" w:rsidR="00A60646" w:rsidRDefault="007151D3">
            <w:pPr>
              <w:pBdr>
                <w:top w:val="nil"/>
                <w:left w:val="nil"/>
                <w:bottom w:val="nil"/>
                <w:right w:val="nil"/>
                <w:between w:val="nil"/>
              </w:pBdr>
              <w:ind w:left="29" w:firstLine="18"/>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En el presente caso, se configura las causales bajo análisis, toda vez que en los juicios promovidos por el Organismo Público Descentralizado para la Prestación de los Servicios de Agua Potable, Alcantarillado y Saneamiento de Atizapán de Zaragoza, no se han concluido, ni se ha dictado sentencia ejecutoriada. </w:t>
            </w:r>
          </w:p>
        </w:tc>
      </w:tr>
      <w:tr w:rsidR="00A60646" w14:paraId="428F5F1A" w14:textId="77777777">
        <w:tc>
          <w:tcPr>
            <w:tcW w:w="8906" w:type="dxa"/>
            <w:gridSpan w:val="3"/>
            <w:shd w:val="clear" w:color="auto" w:fill="D9D9D9"/>
            <w:vAlign w:val="center"/>
          </w:tcPr>
          <w:p w14:paraId="5FB1C996" w14:textId="77777777" w:rsidR="00A60646" w:rsidRDefault="007151D3">
            <w:pPr>
              <w:pBdr>
                <w:top w:val="nil"/>
                <w:left w:val="nil"/>
                <w:bottom w:val="nil"/>
                <w:right w:val="nil"/>
                <w:between w:val="nil"/>
              </w:pBdr>
              <w:ind w:left="29" w:firstLine="18"/>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lastRenderedPageBreak/>
              <w:t>Prueba de Daño</w:t>
            </w:r>
          </w:p>
        </w:tc>
      </w:tr>
      <w:tr w:rsidR="00A60646" w14:paraId="7E63B3F8" w14:textId="77777777">
        <w:tc>
          <w:tcPr>
            <w:tcW w:w="1535" w:type="dxa"/>
            <w:vAlign w:val="center"/>
          </w:tcPr>
          <w:p w14:paraId="11403999" w14:textId="77777777" w:rsidR="00A60646" w:rsidRDefault="007151D3">
            <w:pPr>
              <w:jc w:val="both"/>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Riesgo Real, Demostrable e Identificable</w:t>
            </w:r>
          </w:p>
          <w:p w14:paraId="67EE4B31" w14:textId="77777777" w:rsidR="00A60646" w:rsidRDefault="007151D3">
            <w:pPr>
              <w:jc w:val="both"/>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(Modo, Tiempo y Lugar)</w:t>
            </w:r>
          </w:p>
        </w:tc>
        <w:tc>
          <w:tcPr>
            <w:tcW w:w="1275" w:type="dxa"/>
            <w:vAlign w:val="center"/>
          </w:tcPr>
          <w:p w14:paraId="3BC781E0" w14:textId="77777777" w:rsidR="00A60646" w:rsidRDefault="007151D3">
            <w:pPr>
              <w:pBdr>
                <w:top w:val="nil"/>
                <w:left w:val="nil"/>
                <w:bottom w:val="nil"/>
                <w:right w:val="nil"/>
                <w:between w:val="nil"/>
              </w:pBdr>
              <w:ind w:left="29" w:firstLine="18"/>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Sí</w:t>
            </w:r>
          </w:p>
        </w:tc>
        <w:tc>
          <w:tcPr>
            <w:tcW w:w="6096" w:type="dxa"/>
            <w:vAlign w:val="center"/>
          </w:tcPr>
          <w:p w14:paraId="6FCE3781" w14:textId="77777777" w:rsidR="00A60646" w:rsidRDefault="007151D3">
            <w:pPr>
              <w:pBdr>
                <w:top w:val="nil"/>
                <w:left w:val="nil"/>
                <w:bottom w:val="nil"/>
                <w:right w:val="nil"/>
                <w:between w:val="nil"/>
              </w:pBdr>
              <w:ind w:left="29" w:firstLine="18"/>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En consecuencia, el difundir información relacionada con los juicios promovidos por el Organismo Público Descentralizado para la Prestación de los Servicios de Agua Potable, Alcantarillado y Saneamiento de Atizapán de Zaragoza, se dejarían en desventaja aquellas acciones tendientes a garantizar el justo y debido proceso, ya que se entorpecerían las acciones que realizan las partes en menoscabo de acciones y estrategias implementadas para el justo y pleno derecho a la defensa de sus respectivos intereses. </w:t>
            </w:r>
          </w:p>
          <w:p w14:paraId="5534347E" w14:textId="77777777" w:rsidR="00A60646" w:rsidRDefault="00A60646">
            <w:pPr>
              <w:pBdr>
                <w:top w:val="nil"/>
                <w:left w:val="nil"/>
                <w:bottom w:val="nil"/>
                <w:right w:val="nil"/>
                <w:between w:val="nil"/>
              </w:pBdr>
              <w:ind w:left="29" w:firstLine="18"/>
              <w:jc w:val="both"/>
              <w:rPr>
                <w:rFonts w:ascii="Palatino Linotype" w:eastAsia="Palatino Linotype" w:hAnsi="Palatino Linotype" w:cs="Palatino Linotype"/>
                <w:color w:val="000000"/>
                <w:sz w:val="20"/>
                <w:szCs w:val="20"/>
              </w:rPr>
            </w:pPr>
          </w:p>
          <w:p w14:paraId="4ECE9D84" w14:textId="77777777" w:rsidR="00A60646" w:rsidRDefault="007151D3">
            <w:pPr>
              <w:pBdr>
                <w:top w:val="nil"/>
                <w:left w:val="nil"/>
                <w:bottom w:val="nil"/>
                <w:right w:val="nil"/>
                <w:between w:val="nil"/>
              </w:pBdr>
              <w:ind w:left="29" w:firstLine="18"/>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El interés jurídico tutelado por las causales de reserva invocadas se pondría directamente en un </w:t>
            </w:r>
            <w:r>
              <w:rPr>
                <w:rFonts w:ascii="Palatino Linotype" w:eastAsia="Palatino Linotype" w:hAnsi="Palatino Linotype" w:cs="Palatino Linotype"/>
                <w:b/>
                <w:color w:val="000000"/>
                <w:sz w:val="20"/>
                <w:szCs w:val="20"/>
                <w:u w:val="single"/>
              </w:rPr>
              <w:t>riesgo real</w:t>
            </w:r>
            <w:r>
              <w:rPr>
                <w:rFonts w:ascii="Palatino Linotype" w:eastAsia="Palatino Linotype" w:hAnsi="Palatino Linotype" w:cs="Palatino Linotype"/>
                <w:color w:val="000000"/>
                <w:sz w:val="20"/>
                <w:szCs w:val="20"/>
              </w:rPr>
              <w:t xml:space="preserve"> con la entrega de la información, vinculándose a la legítima defensa de este Organismo, en el deseo de conocer información de los juicios </w:t>
            </w:r>
            <w:r>
              <w:rPr>
                <w:rFonts w:ascii="Palatino Linotype" w:eastAsia="Palatino Linotype" w:hAnsi="Palatino Linotype" w:cs="Palatino Linotype"/>
                <w:color w:val="000000"/>
                <w:sz w:val="20"/>
                <w:szCs w:val="20"/>
              </w:rPr>
              <w:lastRenderedPageBreak/>
              <w:t xml:space="preserve">promovidos por el Organismo Público Descentralizado para la Prestación de los Servicios de Agua Potable, Alcantarillado y Saneamiento de Atizapán de Zaragoza. </w:t>
            </w:r>
          </w:p>
          <w:p w14:paraId="677D9F53" w14:textId="77777777" w:rsidR="00A60646" w:rsidRDefault="00A60646">
            <w:pPr>
              <w:pBdr>
                <w:top w:val="nil"/>
                <w:left w:val="nil"/>
                <w:bottom w:val="nil"/>
                <w:right w:val="nil"/>
                <w:between w:val="nil"/>
              </w:pBdr>
              <w:ind w:left="29" w:firstLine="18"/>
              <w:jc w:val="both"/>
              <w:rPr>
                <w:rFonts w:ascii="Palatino Linotype" w:eastAsia="Palatino Linotype" w:hAnsi="Palatino Linotype" w:cs="Palatino Linotype"/>
                <w:color w:val="000000"/>
                <w:sz w:val="20"/>
                <w:szCs w:val="20"/>
              </w:rPr>
            </w:pPr>
          </w:p>
          <w:p w14:paraId="59563334" w14:textId="77777777" w:rsidR="00A60646" w:rsidRDefault="007151D3">
            <w:pPr>
              <w:pBdr>
                <w:top w:val="nil"/>
                <w:left w:val="nil"/>
                <w:bottom w:val="nil"/>
                <w:right w:val="nil"/>
                <w:between w:val="nil"/>
              </w:pBdr>
              <w:ind w:left="29" w:firstLine="18"/>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Así las cosas, el referido riesgo es </w:t>
            </w:r>
            <w:r>
              <w:rPr>
                <w:rFonts w:ascii="Palatino Linotype" w:eastAsia="Palatino Linotype" w:hAnsi="Palatino Linotype" w:cs="Palatino Linotype"/>
                <w:b/>
                <w:color w:val="000000"/>
                <w:sz w:val="20"/>
                <w:szCs w:val="20"/>
                <w:u w:val="single"/>
              </w:rPr>
              <w:t>demostrable</w:t>
            </w:r>
            <w:r>
              <w:rPr>
                <w:rFonts w:ascii="Palatino Linotype" w:eastAsia="Palatino Linotype" w:hAnsi="Palatino Linotype" w:cs="Palatino Linotype"/>
                <w:color w:val="000000"/>
                <w:sz w:val="20"/>
                <w:szCs w:val="20"/>
                <w:u w:val="single"/>
              </w:rPr>
              <w:t>,</w:t>
            </w:r>
            <w:r>
              <w:rPr>
                <w:rFonts w:ascii="Palatino Linotype" w:eastAsia="Palatino Linotype" w:hAnsi="Palatino Linotype" w:cs="Palatino Linotype"/>
                <w:color w:val="000000"/>
                <w:sz w:val="20"/>
                <w:szCs w:val="20"/>
              </w:rPr>
              <w:t xml:space="preserve"> habida cuenta de que, con fundamento en los artículos 152 y 155, párrafos primero, fracción 11, tercero y cuarto de la Ley de Transparencia y Acceso a la Información Pública, cualquier persona, por sí misma o a través de su representante, puede solicitar la información requerida, a través de una solicitud de acceso a la información pública. </w:t>
            </w:r>
          </w:p>
          <w:p w14:paraId="5AF73BFD" w14:textId="77777777" w:rsidR="00A60646" w:rsidRDefault="00A60646">
            <w:pPr>
              <w:pBdr>
                <w:top w:val="nil"/>
                <w:left w:val="nil"/>
                <w:bottom w:val="nil"/>
                <w:right w:val="nil"/>
                <w:between w:val="nil"/>
              </w:pBdr>
              <w:ind w:left="29" w:firstLine="18"/>
              <w:jc w:val="both"/>
              <w:rPr>
                <w:rFonts w:ascii="Palatino Linotype" w:eastAsia="Palatino Linotype" w:hAnsi="Palatino Linotype" w:cs="Palatino Linotype"/>
                <w:color w:val="000000"/>
                <w:sz w:val="20"/>
                <w:szCs w:val="20"/>
              </w:rPr>
            </w:pPr>
          </w:p>
          <w:p w14:paraId="59C53A8A" w14:textId="77777777" w:rsidR="00A60646" w:rsidRDefault="007151D3">
            <w:pPr>
              <w:pBdr>
                <w:top w:val="nil"/>
                <w:left w:val="nil"/>
                <w:bottom w:val="nil"/>
                <w:right w:val="nil"/>
                <w:between w:val="nil"/>
              </w:pBdr>
              <w:ind w:left="29" w:firstLine="18"/>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Finalmente, la entrega de la información generaría un riesgo</w:t>
            </w:r>
            <w:r>
              <w:rPr>
                <w:rFonts w:ascii="Palatino Linotype" w:eastAsia="Palatino Linotype" w:hAnsi="Palatino Linotype" w:cs="Palatino Linotype"/>
                <w:b/>
                <w:color w:val="000000"/>
                <w:sz w:val="20"/>
                <w:szCs w:val="20"/>
              </w:rPr>
              <w:t xml:space="preserve"> </w:t>
            </w:r>
            <w:r>
              <w:rPr>
                <w:rFonts w:ascii="Palatino Linotype" w:eastAsia="Palatino Linotype" w:hAnsi="Palatino Linotype" w:cs="Palatino Linotype"/>
                <w:b/>
                <w:color w:val="000000"/>
                <w:sz w:val="20"/>
                <w:szCs w:val="20"/>
                <w:u w:val="single"/>
              </w:rPr>
              <w:t>identificable</w:t>
            </w:r>
            <w:r>
              <w:rPr>
                <w:rFonts w:ascii="Palatino Linotype" w:eastAsia="Palatino Linotype" w:hAnsi="Palatino Linotype" w:cs="Palatino Linotype"/>
                <w:color w:val="000000"/>
                <w:sz w:val="20"/>
                <w:szCs w:val="20"/>
                <w:u w:val="single"/>
              </w:rPr>
              <w:t>,</w:t>
            </w:r>
            <w:r>
              <w:rPr>
                <w:rFonts w:ascii="Palatino Linotype" w:eastAsia="Palatino Linotype" w:hAnsi="Palatino Linotype" w:cs="Palatino Linotype"/>
                <w:color w:val="000000"/>
                <w:sz w:val="20"/>
                <w:szCs w:val="20"/>
              </w:rPr>
              <w:t xml:space="preserve"> ya que cualquier persona sin ser parte de los juicios en cita, podría afectar y causar daño o perjuicio al debido proceso al divulgar información que podría dar ventaja a una de las partes; y con las subsecuentes afectaciones a la contraparte.</w:t>
            </w:r>
          </w:p>
        </w:tc>
      </w:tr>
      <w:tr w:rsidR="00A60646" w14:paraId="0ACB5D44" w14:textId="77777777">
        <w:tc>
          <w:tcPr>
            <w:tcW w:w="1535" w:type="dxa"/>
            <w:vAlign w:val="center"/>
          </w:tcPr>
          <w:p w14:paraId="51FC2A41" w14:textId="77777777" w:rsidR="00A60646" w:rsidRDefault="007151D3">
            <w:pPr>
              <w:jc w:val="both"/>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lastRenderedPageBreak/>
              <w:t>Temporalidad de la Reserva de la información</w:t>
            </w:r>
          </w:p>
        </w:tc>
        <w:tc>
          <w:tcPr>
            <w:tcW w:w="1275" w:type="dxa"/>
            <w:shd w:val="clear" w:color="auto" w:fill="auto"/>
            <w:vAlign w:val="center"/>
          </w:tcPr>
          <w:p w14:paraId="51EDCE83" w14:textId="77777777" w:rsidR="00A60646" w:rsidRDefault="007151D3">
            <w:pPr>
              <w:pBdr>
                <w:top w:val="nil"/>
                <w:left w:val="nil"/>
                <w:bottom w:val="nil"/>
                <w:right w:val="nil"/>
                <w:between w:val="nil"/>
              </w:pBdr>
              <w:ind w:left="29" w:firstLine="18"/>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Sí</w:t>
            </w:r>
          </w:p>
        </w:tc>
        <w:tc>
          <w:tcPr>
            <w:tcW w:w="6096" w:type="dxa"/>
            <w:vAlign w:val="center"/>
          </w:tcPr>
          <w:p w14:paraId="2B185BB2" w14:textId="77777777" w:rsidR="00A60646" w:rsidRDefault="00A60646">
            <w:pPr>
              <w:pBdr>
                <w:top w:val="nil"/>
                <w:left w:val="nil"/>
                <w:bottom w:val="nil"/>
                <w:right w:val="nil"/>
                <w:between w:val="nil"/>
              </w:pBdr>
              <w:ind w:left="29" w:firstLine="18"/>
              <w:jc w:val="both"/>
              <w:rPr>
                <w:color w:val="000000"/>
              </w:rPr>
            </w:pPr>
          </w:p>
          <w:p w14:paraId="608288EA" w14:textId="77777777" w:rsidR="00A60646" w:rsidRDefault="007151D3">
            <w:pPr>
              <w:pBdr>
                <w:top w:val="nil"/>
                <w:left w:val="nil"/>
                <w:bottom w:val="nil"/>
                <w:right w:val="nil"/>
                <w:between w:val="nil"/>
              </w:pBdr>
              <w:ind w:left="29" w:firstLine="18"/>
              <w:jc w:val="both"/>
              <w:rPr>
                <w:rFonts w:ascii="Palatino Linotype" w:eastAsia="Palatino Linotype" w:hAnsi="Palatino Linotype" w:cs="Palatino Linotype"/>
                <w:color w:val="000000"/>
              </w:rPr>
            </w:pPr>
            <w:r>
              <w:rPr>
                <w:rFonts w:ascii="Palatino Linotype" w:eastAsia="Palatino Linotype" w:hAnsi="Palatino Linotype" w:cs="Palatino Linotype"/>
                <w:i/>
                <w:sz w:val="20"/>
                <w:szCs w:val="20"/>
              </w:rPr>
              <w:t>“…la que deberá permanecer con tal carácter durante un</w:t>
            </w:r>
            <w:r>
              <w:rPr>
                <w:rFonts w:ascii="Palatino Linotype" w:eastAsia="Palatino Linotype" w:hAnsi="Palatino Linotype" w:cs="Palatino Linotype"/>
                <w:b/>
                <w:i/>
                <w:sz w:val="20"/>
                <w:szCs w:val="20"/>
              </w:rPr>
              <w:t>, PERIODO DE CINCO (5) AÑOS</w:t>
            </w:r>
            <w:r>
              <w:rPr>
                <w:rFonts w:ascii="Palatino Linotype" w:eastAsia="Palatino Linotype" w:hAnsi="Palatino Linotype" w:cs="Palatino Linotype"/>
                <w:i/>
                <w:sz w:val="20"/>
                <w:szCs w:val="20"/>
              </w:rPr>
              <w:t xml:space="preserve"> o, en su caso</w:t>
            </w:r>
            <w:r>
              <w:rPr>
                <w:rFonts w:ascii="Palatino Linotype" w:eastAsia="Palatino Linotype" w:hAnsi="Palatino Linotype" w:cs="Palatino Linotype"/>
                <w:b/>
                <w:i/>
                <w:sz w:val="20"/>
                <w:szCs w:val="20"/>
              </w:rPr>
              <w:t>, hasta que los juicios promovidos por el Organismo Público Descentralizado para la Prestación de los Servicios de Agua Potable, Alcantarillado y Saneamiento de Atizapán de Zaragoza, se concluyan y se dicte sentencia ejecutoriada</w:t>
            </w:r>
            <w:r>
              <w:rPr>
                <w:rFonts w:ascii="Palatino Linotype" w:eastAsia="Palatino Linotype" w:hAnsi="Palatino Linotype" w:cs="Palatino Linotype"/>
                <w:i/>
                <w:sz w:val="20"/>
                <w:szCs w:val="20"/>
              </w:rPr>
              <w:t xml:space="preserve"> ... " (</w:t>
            </w:r>
            <w:r>
              <w:rPr>
                <w:rFonts w:ascii="Palatino Linotype" w:eastAsia="Palatino Linotype" w:hAnsi="Palatino Linotype" w:cs="Palatino Linotype"/>
                <w:sz w:val="20"/>
                <w:szCs w:val="20"/>
              </w:rPr>
              <w:t>sic)</w:t>
            </w:r>
          </w:p>
        </w:tc>
      </w:tr>
      <w:tr w:rsidR="00A60646" w14:paraId="647357E4" w14:textId="77777777">
        <w:trPr>
          <w:trHeight w:val="3517"/>
        </w:trPr>
        <w:tc>
          <w:tcPr>
            <w:tcW w:w="1535" w:type="dxa"/>
            <w:vAlign w:val="center"/>
          </w:tcPr>
          <w:p w14:paraId="36C5AE87" w14:textId="77777777" w:rsidR="00A60646" w:rsidRDefault="007151D3">
            <w:pPr>
              <w:tabs>
                <w:tab w:val="left" w:pos="317"/>
              </w:tabs>
              <w:jc w:val="both"/>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Autoridades competentes.</w:t>
            </w:r>
          </w:p>
        </w:tc>
        <w:tc>
          <w:tcPr>
            <w:tcW w:w="1275" w:type="dxa"/>
            <w:vAlign w:val="center"/>
          </w:tcPr>
          <w:p w14:paraId="58C54D0E" w14:textId="77777777" w:rsidR="00A60646" w:rsidRDefault="007151D3">
            <w:pPr>
              <w:pBdr>
                <w:top w:val="nil"/>
                <w:left w:val="nil"/>
                <w:bottom w:val="nil"/>
                <w:right w:val="nil"/>
                <w:between w:val="nil"/>
              </w:pBdr>
              <w:ind w:left="29" w:firstLine="18"/>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Sí</w:t>
            </w:r>
          </w:p>
        </w:tc>
        <w:tc>
          <w:tcPr>
            <w:tcW w:w="6096" w:type="dxa"/>
          </w:tcPr>
          <w:p w14:paraId="2429EE06" w14:textId="77777777" w:rsidR="00A60646" w:rsidRDefault="00A60646">
            <w:pPr>
              <w:jc w:val="both"/>
            </w:pPr>
          </w:p>
          <w:p w14:paraId="779D3125" w14:textId="77777777" w:rsidR="00A60646" w:rsidRDefault="007151D3">
            <w:pPr>
              <w:jc w:val="center"/>
            </w:pPr>
            <w:r>
              <w:rPr>
                <w:noProof/>
                <w:lang w:val="es-MX"/>
              </w:rPr>
              <w:drawing>
                <wp:inline distT="0" distB="0" distL="0" distR="0" wp14:anchorId="2C6BAA92" wp14:editId="397B7BD4">
                  <wp:extent cx="2651130" cy="1994213"/>
                  <wp:effectExtent l="0" t="0" r="0" b="0"/>
                  <wp:docPr id="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l="62358" t="44601" r="10117" b="18589"/>
                          <a:stretch>
                            <a:fillRect/>
                          </a:stretch>
                        </pic:blipFill>
                        <pic:spPr>
                          <a:xfrm>
                            <a:off x="0" y="0"/>
                            <a:ext cx="2651130" cy="1994213"/>
                          </a:xfrm>
                          <a:prstGeom prst="rect">
                            <a:avLst/>
                          </a:prstGeom>
                          <a:ln/>
                        </pic:spPr>
                      </pic:pic>
                    </a:graphicData>
                  </a:graphic>
                </wp:inline>
              </w:drawing>
            </w:r>
          </w:p>
        </w:tc>
      </w:tr>
    </w:tbl>
    <w:p w14:paraId="37FFC4FB" w14:textId="77777777" w:rsidR="00A60646" w:rsidRDefault="007151D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este sentido, el Pleno de este Instituto determina que efectivamente los cuatro juicios promovidos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se encuentran en proceso deberán de estar clasificados como reservados hasta en tanto no se concluyan, y más aún, cuando el área competente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 pronunció al señalar que efectivamente no se encuadran con las hipótesis previstas en el artículo 142 de la Ley en la materia.</w:t>
      </w:r>
    </w:p>
    <w:p w14:paraId="6A34B463" w14:textId="77777777" w:rsidR="002B4C09" w:rsidRDefault="007151D3" w:rsidP="008C2CAE">
      <w:pPr>
        <w:pStyle w:val="NormalWeb"/>
        <w:spacing w:before="240" w:beforeAutospacing="0" w:after="240" w:afterAutospacing="0" w:line="360" w:lineRule="auto"/>
        <w:jc w:val="both"/>
        <w:rPr>
          <w:rFonts w:ascii="Palatino Linotype" w:eastAsia="Palatino Linotype" w:hAnsi="Palatino Linotype" w:cs="Palatino Linotype"/>
        </w:rPr>
      </w:pPr>
      <w:r>
        <w:rPr>
          <w:rFonts w:ascii="Palatino Linotype" w:eastAsia="Palatino Linotype" w:hAnsi="Palatino Linotype" w:cs="Palatino Linotype"/>
        </w:rPr>
        <w:t>Sin embargo,</w:t>
      </w:r>
      <w:r w:rsidR="009F1BB5">
        <w:rPr>
          <w:rFonts w:ascii="Palatino Linotype" w:eastAsia="Palatino Linotype" w:hAnsi="Palatino Linotype" w:cs="Palatino Linotype"/>
        </w:rPr>
        <w:t xml:space="preserve"> no todas </w:t>
      </w:r>
      <w:r>
        <w:rPr>
          <w:rFonts w:ascii="Palatino Linotype" w:eastAsia="Palatino Linotype" w:hAnsi="Palatino Linotype" w:cs="Palatino Linotype"/>
        </w:rPr>
        <w:t xml:space="preserve">la hipótesis jurídica </w:t>
      </w:r>
      <w:r w:rsidR="002B4C09">
        <w:rPr>
          <w:rFonts w:ascii="Palatino Linotype" w:eastAsia="Palatino Linotype" w:hAnsi="Palatino Linotype" w:cs="Palatino Linotype"/>
        </w:rPr>
        <w:t xml:space="preserve">invocada en el acuerdo de clasificación emitido por el Sujeto Obligado </w:t>
      </w:r>
      <w:r w:rsidR="009F1BB5">
        <w:rPr>
          <w:rFonts w:ascii="Palatino Linotype" w:eastAsia="Palatino Linotype" w:hAnsi="Palatino Linotype" w:cs="Palatino Linotype"/>
        </w:rPr>
        <w:t>aplican</w:t>
      </w:r>
      <w:r>
        <w:rPr>
          <w:rFonts w:ascii="Palatino Linotype" w:eastAsia="Palatino Linotype" w:hAnsi="Palatino Linotype" w:cs="Palatino Linotype"/>
        </w:rPr>
        <w:t xml:space="preserve"> en el asunto que se resuelve, ya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sidR="002B4C09">
        <w:rPr>
          <w:rFonts w:ascii="Palatino Linotype" w:eastAsia="Palatino Linotype" w:hAnsi="Palatino Linotype" w:cs="Palatino Linotype"/>
        </w:rPr>
        <w:t>ya que refiere diversas</w:t>
      </w:r>
      <w:r>
        <w:rPr>
          <w:rFonts w:ascii="Palatino Linotype" w:eastAsia="Palatino Linotype" w:hAnsi="Palatino Linotype" w:cs="Palatino Linotype"/>
        </w:rPr>
        <w:t xml:space="preserve"> fracciones para fundamentar </w:t>
      </w:r>
      <w:r w:rsidR="002B4C09">
        <w:rPr>
          <w:rFonts w:ascii="Palatino Linotype" w:eastAsia="Palatino Linotype" w:hAnsi="Palatino Linotype" w:cs="Palatino Linotype"/>
        </w:rPr>
        <w:t xml:space="preserve">la clasificación, al señalar lo referente </w:t>
      </w:r>
      <w:r>
        <w:rPr>
          <w:rFonts w:ascii="Palatino Linotype" w:eastAsia="Palatino Linotype" w:hAnsi="Palatino Linotype" w:cs="Palatino Linotype"/>
        </w:rPr>
        <w:t>al 140 fracciones VI, VIII, IX y X de la Ley de Transparencia y Acceso a la Información Pública de</w:t>
      </w:r>
      <w:r w:rsidR="002B4C09">
        <w:rPr>
          <w:rFonts w:ascii="Palatino Linotype" w:eastAsia="Palatino Linotype" w:hAnsi="Palatino Linotype" w:cs="Palatino Linotype"/>
        </w:rPr>
        <w:t xml:space="preserve">l Estado de México y Municipio. </w:t>
      </w:r>
    </w:p>
    <w:p w14:paraId="02F926B1" w14:textId="77777777" w:rsidR="002B4C09" w:rsidRDefault="002B4C09" w:rsidP="008C2CAE">
      <w:pPr>
        <w:pStyle w:val="NormalWeb"/>
        <w:spacing w:before="240" w:beforeAutospacing="0" w:after="240" w:afterAutospacing="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que para este Organismo Garante </w:t>
      </w:r>
      <w:r w:rsidR="009F1BB5">
        <w:rPr>
          <w:rFonts w:ascii="Palatino Linotype" w:eastAsia="Palatino Linotype" w:hAnsi="Palatino Linotype" w:cs="Palatino Linotype"/>
        </w:rPr>
        <w:t xml:space="preserve">las </w:t>
      </w:r>
      <w:r w:rsidR="00E06DC6">
        <w:rPr>
          <w:rFonts w:ascii="Palatino Linotype" w:eastAsia="Palatino Linotype" w:hAnsi="Palatino Linotype" w:cs="Palatino Linotype"/>
        </w:rPr>
        <w:t>hipótesis</w:t>
      </w:r>
      <w:r w:rsidR="009F1BB5">
        <w:rPr>
          <w:rFonts w:ascii="Palatino Linotype" w:eastAsia="Palatino Linotype" w:hAnsi="Palatino Linotype" w:cs="Palatino Linotype"/>
        </w:rPr>
        <w:t xml:space="preserve"> </w:t>
      </w:r>
      <w:r>
        <w:rPr>
          <w:rFonts w:ascii="Palatino Linotype" w:eastAsia="Palatino Linotype" w:hAnsi="Palatino Linotype" w:cs="Palatino Linotype"/>
        </w:rPr>
        <w:t>que aplica</w:t>
      </w:r>
      <w:r w:rsidR="009F1BB5">
        <w:rPr>
          <w:rFonts w:ascii="Palatino Linotype" w:eastAsia="Palatino Linotype" w:hAnsi="Palatino Linotype" w:cs="Palatino Linotype"/>
        </w:rPr>
        <w:t>n</w:t>
      </w:r>
      <w:r>
        <w:rPr>
          <w:rFonts w:ascii="Palatino Linotype" w:eastAsia="Palatino Linotype" w:hAnsi="Palatino Linotype" w:cs="Palatino Linotype"/>
        </w:rPr>
        <w:t xml:space="preserve"> al caso concreto </w:t>
      </w:r>
      <w:r w:rsidR="009F1BB5">
        <w:rPr>
          <w:rFonts w:ascii="Palatino Linotype" w:eastAsia="Palatino Linotype" w:hAnsi="Palatino Linotype" w:cs="Palatino Linotype"/>
        </w:rPr>
        <w:t>son las</w:t>
      </w:r>
      <w:r>
        <w:rPr>
          <w:rFonts w:ascii="Palatino Linotype" w:eastAsia="Palatino Linotype" w:hAnsi="Palatino Linotype" w:cs="Palatino Linotype"/>
        </w:rPr>
        <w:t xml:space="preserve"> establecida</w:t>
      </w:r>
      <w:r w:rsidR="009F1BB5">
        <w:rPr>
          <w:rFonts w:ascii="Palatino Linotype" w:eastAsia="Palatino Linotype" w:hAnsi="Palatino Linotype" w:cs="Palatino Linotype"/>
        </w:rPr>
        <w:t>s</w:t>
      </w:r>
      <w:r>
        <w:rPr>
          <w:rFonts w:ascii="Palatino Linotype" w:eastAsia="Palatino Linotype" w:hAnsi="Palatino Linotype" w:cs="Palatino Linotype"/>
        </w:rPr>
        <w:t xml:space="preserve"> en la fracci</w:t>
      </w:r>
      <w:r w:rsidR="009F1BB5">
        <w:rPr>
          <w:rFonts w:ascii="Palatino Linotype" w:eastAsia="Palatino Linotype" w:hAnsi="Palatino Linotype" w:cs="Palatino Linotype"/>
        </w:rPr>
        <w:t>ones</w:t>
      </w:r>
      <w:r>
        <w:rPr>
          <w:rFonts w:ascii="Palatino Linotype" w:eastAsia="Palatino Linotype" w:hAnsi="Palatino Linotype" w:cs="Palatino Linotype"/>
        </w:rPr>
        <w:t xml:space="preserve"> VI y VIII del artículo 140 de la Ley de Transparencia, que a la letra señala</w:t>
      </w:r>
      <w:r w:rsidR="009F1BB5">
        <w:rPr>
          <w:rFonts w:ascii="Palatino Linotype" w:eastAsia="Palatino Linotype" w:hAnsi="Palatino Linotype" w:cs="Palatino Linotype"/>
        </w:rPr>
        <w:t>n</w:t>
      </w:r>
      <w:r>
        <w:rPr>
          <w:rFonts w:ascii="Palatino Linotype" w:eastAsia="Palatino Linotype" w:hAnsi="Palatino Linotype" w:cs="Palatino Linotype"/>
        </w:rPr>
        <w:t xml:space="preserve">: </w:t>
      </w:r>
    </w:p>
    <w:p w14:paraId="2B4DF6EB" w14:textId="77777777" w:rsidR="008C2CAE" w:rsidRDefault="008C2CAE" w:rsidP="008C2CAE">
      <w:pPr>
        <w:pStyle w:val="NormalWeb"/>
        <w:spacing w:before="0" w:beforeAutospacing="0" w:after="0" w:afterAutospacing="0" w:line="276" w:lineRule="auto"/>
        <w:ind w:left="851" w:right="851"/>
        <w:jc w:val="both"/>
      </w:pPr>
      <w:r>
        <w:rPr>
          <w:rFonts w:ascii="Palatino Linotype" w:hAnsi="Palatino Linotype"/>
          <w:b/>
          <w:bCs/>
          <w:i/>
          <w:iCs/>
          <w:color w:val="000000"/>
          <w:sz w:val="22"/>
          <w:szCs w:val="22"/>
        </w:rPr>
        <w:t>Artículo 140.</w:t>
      </w:r>
      <w:r>
        <w:rPr>
          <w:rFonts w:ascii="Palatino Linotype" w:hAnsi="Palatino Linotype"/>
          <w:i/>
          <w:iCs/>
          <w:color w:val="000000"/>
          <w:sz w:val="22"/>
          <w:szCs w:val="22"/>
        </w:rPr>
        <w:t xml:space="preserve"> </w:t>
      </w:r>
      <w:r>
        <w:rPr>
          <w:rFonts w:ascii="Palatino Linotype" w:hAnsi="Palatino Linotype"/>
          <w:b/>
          <w:bCs/>
          <w:i/>
          <w:iCs/>
          <w:color w:val="000000"/>
          <w:sz w:val="22"/>
          <w:szCs w:val="22"/>
          <w:u w:val="single"/>
        </w:rPr>
        <w:t>El acceso a la información pública será restringido</w:t>
      </w:r>
      <w:r>
        <w:rPr>
          <w:rFonts w:ascii="Palatino Linotype" w:hAnsi="Palatino Linotype"/>
          <w:i/>
          <w:iCs/>
          <w:color w:val="000000"/>
          <w:sz w:val="22"/>
          <w:szCs w:val="22"/>
        </w:rPr>
        <w:t xml:space="preserve"> excepcionalmente, cuando por razones de interés público, ésta sea clasificada como reservada, conforme a los criterios siguientes:</w:t>
      </w:r>
    </w:p>
    <w:p w14:paraId="69066C10" w14:textId="77777777" w:rsidR="008C2CAE" w:rsidRDefault="008C2CAE" w:rsidP="008C2CAE">
      <w:pPr>
        <w:pStyle w:val="NormalWeb"/>
        <w:spacing w:before="0" w:beforeAutospacing="0" w:after="0" w:afterAutospacing="0" w:line="276" w:lineRule="auto"/>
        <w:ind w:left="851" w:right="851"/>
        <w:jc w:val="both"/>
      </w:pPr>
      <w:r>
        <w:rPr>
          <w:rFonts w:ascii="Palatino Linotype" w:hAnsi="Palatino Linotype"/>
          <w:i/>
          <w:iCs/>
          <w:color w:val="000000"/>
          <w:sz w:val="22"/>
          <w:szCs w:val="22"/>
        </w:rPr>
        <w:t>…</w:t>
      </w:r>
    </w:p>
    <w:p w14:paraId="366C98B9" w14:textId="77777777" w:rsidR="002B4C09" w:rsidRDefault="008C2CAE" w:rsidP="008C2CAE">
      <w:pPr>
        <w:pStyle w:val="NormalWeb"/>
        <w:spacing w:before="0" w:beforeAutospacing="0" w:after="0" w:afterAutospacing="0" w:line="276" w:lineRule="auto"/>
        <w:ind w:left="851" w:right="851"/>
        <w:jc w:val="both"/>
        <w:rPr>
          <w:rFonts w:ascii="Palatino Linotype" w:hAnsi="Palatino Linotype"/>
          <w:i/>
          <w:iCs/>
          <w:color w:val="000000"/>
          <w:sz w:val="22"/>
          <w:szCs w:val="22"/>
        </w:rPr>
      </w:pPr>
      <w:r>
        <w:rPr>
          <w:rFonts w:ascii="Palatino Linotype" w:hAnsi="Palatino Linotype"/>
          <w:b/>
          <w:bCs/>
          <w:i/>
          <w:iCs/>
          <w:color w:val="000000"/>
          <w:sz w:val="22"/>
          <w:szCs w:val="22"/>
        </w:rPr>
        <w:t>VI.</w:t>
      </w:r>
      <w:r>
        <w:rPr>
          <w:rFonts w:ascii="Palatino Linotype" w:hAnsi="Palatino Linotype"/>
          <w:i/>
          <w:iCs/>
          <w:color w:val="000000"/>
          <w:sz w:val="22"/>
          <w:szCs w:val="22"/>
        </w:rPr>
        <w:t xml:space="preserve"> Pueda causar daño u obstruya la prevención o persecución de los delitos, altere el proceso de investigación de las carpetas de investigación, </w:t>
      </w:r>
      <w:r>
        <w:rPr>
          <w:rFonts w:ascii="Palatino Linotype" w:hAnsi="Palatino Linotype"/>
          <w:b/>
          <w:bCs/>
          <w:i/>
          <w:iCs/>
          <w:color w:val="000000"/>
          <w:sz w:val="22"/>
          <w:szCs w:val="22"/>
          <w:u w:val="single"/>
        </w:rPr>
        <w:t xml:space="preserve">afecte o vulnere la conducción o los derechos del debido proceso en los procedimientos </w:t>
      </w:r>
      <w:r>
        <w:rPr>
          <w:rFonts w:ascii="Palatino Linotype" w:hAnsi="Palatino Linotype"/>
          <w:b/>
          <w:bCs/>
          <w:i/>
          <w:iCs/>
          <w:color w:val="000000"/>
          <w:sz w:val="22"/>
          <w:szCs w:val="22"/>
          <w:u w:val="single"/>
        </w:rPr>
        <w:lastRenderedPageBreak/>
        <w:t>judiciales o administrativos, incluidos</w:t>
      </w:r>
      <w:r>
        <w:rPr>
          <w:rFonts w:ascii="Palatino Linotype" w:hAnsi="Palatino Linotype"/>
          <w:i/>
          <w:iCs/>
          <w:color w:val="000000"/>
          <w:sz w:val="22"/>
          <w:szCs w:val="22"/>
        </w:rPr>
        <w:t xml:space="preserve"> los de quejas, denuncias, inconformidades, </w:t>
      </w:r>
      <w:r>
        <w:rPr>
          <w:rFonts w:ascii="Palatino Linotype" w:hAnsi="Palatino Linotype"/>
          <w:b/>
          <w:bCs/>
          <w:i/>
          <w:iCs/>
          <w:color w:val="000000"/>
          <w:sz w:val="22"/>
          <w:szCs w:val="22"/>
          <w:u w:val="single"/>
        </w:rPr>
        <w:t>responsabilidades administrativas y resarcitorias en tanto no hayan quedado firmes</w:t>
      </w:r>
      <w:r>
        <w:rPr>
          <w:rFonts w:ascii="Palatino Linotype" w:hAnsi="Palatino Linotype"/>
          <w:i/>
          <w:iCs/>
          <w:color w:val="000000"/>
          <w:sz w:val="22"/>
          <w:szCs w:val="22"/>
        </w:rPr>
        <w:t xml:space="preserve"> o afecte la administración de justicia o la seguridad de un denunciante, querellante o testigo, así como sus familias, en los términos de las disposiciones jurídicas aplicables;</w:t>
      </w:r>
    </w:p>
    <w:p w14:paraId="7F2BD528" w14:textId="77777777" w:rsidR="002B4C09" w:rsidRDefault="002B4C09" w:rsidP="008C2CAE">
      <w:pPr>
        <w:pStyle w:val="NormalWeb"/>
        <w:spacing w:before="0" w:beforeAutospacing="0" w:after="0" w:afterAutospacing="0" w:line="276" w:lineRule="auto"/>
        <w:ind w:left="851" w:right="851"/>
        <w:jc w:val="both"/>
        <w:rPr>
          <w:rFonts w:ascii="Palatino Linotype" w:hAnsi="Palatino Linotype"/>
          <w:i/>
          <w:iCs/>
          <w:color w:val="000000"/>
          <w:sz w:val="22"/>
          <w:szCs w:val="22"/>
        </w:rPr>
      </w:pPr>
    </w:p>
    <w:p w14:paraId="4F9D6B92" w14:textId="77777777" w:rsidR="008C2CAE" w:rsidRDefault="002B4C09" w:rsidP="008C2CAE">
      <w:pPr>
        <w:pStyle w:val="NormalWeb"/>
        <w:spacing w:before="0" w:beforeAutospacing="0" w:after="0" w:afterAutospacing="0" w:line="276" w:lineRule="auto"/>
        <w:ind w:left="851" w:right="851"/>
        <w:jc w:val="both"/>
      </w:pPr>
      <w:r>
        <w:rPr>
          <w:rFonts w:ascii="Palatino Linotype" w:hAnsi="Palatino Linotype"/>
          <w:i/>
          <w:iCs/>
          <w:color w:val="000000"/>
          <w:sz w:val="22"/>
          <w:szCs w:val="22"/>
        </w:rPr>
        <w:t xml:space="preserve">VIII. Vulnere la conducción de los expedientes judiciales o </w:t>
      </w:r>
      <w:r w:rsidRPr="002B4C09">
        <w:rPr>
          <w:rFonts w:ascii="Palatino Linotype" w:hAnsi="Palatino Linotype"/>
          <w:b/>
          <w:i/>
          <w:iCs/>
          <w:color w:val="000000"/>
          <w:sz w:val="22"/>
          <w:szCs w:val="22"/>
          <w:u w:val="single"/>
        </w:rPr>
        <w:t>de los procedimientos administrativos seguidos en forma de juicio, en tanto no hayan quedado firmes</w:t>
      </w:r>
      <w:r w:rsidR="008C2CAE">
        <w:rPr>
          <w:rFonts w:ascii="Palatino Linotype" w:hAnsi="Palatino Linotype"/>
          <w:i/>
          <w:iCs/>
          <w:color w:val="000000"/>
          <w:sz w:val="22"/>
          <w:szCs w:val="22"/>
        </w:rPr>
        <w:t>”</w:t>
      </w:r>
    </w:p>
    <w:p w14:paraId="6534AC9C" w14:textId="77777777" w:rsidR="00A60646" w:rsidRPr="009F1BB5" w:rsidRDefault="002B4C09" w:rsidP="008C2CAE">
      <w:pPr>
        <w:pStyle w:val="NormalWeb"/>
        <w:spacing w:before="240" w:beforeAutospacing="0" w:after="240" w:afterAutospacing="0" w:line="360" w:lineRule="auto"/>
        <w:jc w:val="both"/>
        <w:rPr>
          <w:rFonts w:ascii="Palatino Linotype" w:hAnsi="Palatino Linotype"/>
          <w:color w:val="000000"/>
        </w:rPr>
      </w:pPr>
      <w:r>
        <w:rPr>
          <w:rFonts w:ascii="Palatino Linotype" w:hAnsi="Palatino Linotype"/>
          <w:color w:val="000000"/>
        </w:rPr>
        <w:t xml:space="preserve">Causales que son acordes con las bases, principios y disposiciones establecidos en la Ley General de Transparencia y Acceso a la Información Pública, puesto que se encuentra vinculada estrechamente con procedimientos administrativos, como lo son investigaciones y fincamientos de responsabilidades administrativas, causales </w:t>
      </w:r>
      <w:r w:rsidR="009F1BB5">
        <w:rPr>
          <w:rFonts w:ascii="Palatino Linotype" w:hAnsi="Palatino Linotype"/>
          <w:color w:val="000000"/>
        </w:rPr>
        <w:t xml:space="preserve">que se encuentran establecidas expresamente en el artículo 113 de la  Ley General de Transparencia </w:t>
      </w:r>
      <w:r w:rsidR="007151D3">
        <w:rPr>
          <w:rFonts w:ascii="Palatino Linotype" w:eastAsia="Palatino Linotype" w:hAnsi="Palatino Linotype" w:cs="Palatino Linotype"/>
        </w:rPr>
        <w:t>Ley General de Transparencia y Acceso a la Información Pública</w:t>
      </w:r>
      <w:r w:rsidR="008C2CAE">
        <w:rPr>
          <w:rFonts w:ascii="Palatino Linotype" w:eastAsia="Palatino Linotype" w:hAnsi="Palatino Linotype" w:cs="Palatino Linotype"/>
        </w:rPr>
        <w:t>, la cual se muestra a continuación</w:t>
      </w:r>
      <w:r w:rsidR="007151D3">
        <w:rPr>
          <w:rFonts w:ascii="Palatino Linotype" w:eastAsia="Palatino Linotype" w:hAnsi="Palatino Linotype" w:cs="Palatino Linotype"/>
        </w:rPr>
        <w:t>:</w:t>
      </w:r>
    </w:p>
    <w:p w14:paraId="30CEBE14" w14:textId="77777777" w:rsidR="00A60646" w:rsidRDefault="007151D3" w:rsidP="008C2CAE">
      <w:pPr>
        <w:spacing w:before="360" w:after="36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 </w:t>
      </w: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113</w:t>
      </w:r>
      <w:r>
        <w:rPr>
          <w:rFonts w:ascii="Palatino Linotype" w:eastAsia="Palatino Linotype" w:hAnsi="Palatino Linotype" w:cs="Palatino Linotype"/>
          <w:i/>
          <w:sz w:val="22"/>
          <w:szCs w:val="22"/>
        </w:rPr>
        <w:t>. Como información reservada podrá clasificarse aquella cuya publicación:</w:t>
      </w:r>
    </w:p>
    <w:p w14:paraId="065EE434" w14:textId="77777777" w:rsidR="00A60646" w:rsidRDefault="007151D3" w:rsidP="008C2CAE">
      <w:pPr>
        <w:spacing w:before="360" w:after="36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16557B1" w14:textId="77777777" w:rsidR="00A60646" w:rsidRPr="008C2CAE" w:rsidRDefault="007151D3" w:rsidP="008C2CAE">
      <w:pPr>
        <w:spacing w:before="360" w:after="360" w:line="276" w:lineRule="auto"/>
        <w:ind w:left="851" w:right="616"/>
        <w:jc w:val="both"/>
        <w:rPr>
          <w:rFonts w:ascii="Palatino Linotype" w:eastAsia="Palatino Linotype" w:hAnsi="Palatino Linotype" w:cs="Palatino Linotype"/>
          <w:i/>
          <w:sz w:val="22"/>
          <w:szCs w:val="22"/>
        </w:rPr>
      </w:pPr>
      <w:r>
        <w:t xml:space="preserve"> </w:t>
      </w:r>
      <w:r>
        <w:rPr>
          <w:rFonts w:ascii="Palatino Linotype" w:eastAsia="Palatino Linotype" w:hAnsi="Palatino Linotype" w:cs="Palatino Linotype"/>
          <w:i/>
          <w:sz w:val="22"/>
          <w:szCs w:val="22"/>
        </w:rPr>
        <w:t>XI. Vulnere la conducción de los Expedientes judiciales o de los procedimientos administrativos seguidos en forma de juicio, en tanto no hayan causado estado; “</w:t>
      </w:r>
    </w:p>
    <w:p w14:paraId="27E1C8A4" w14:textId="77777777" w:rsidR="00A60646" w:rsidRDefault="009F1BB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Dicho acuerdo también deberá establecer el</w:t>
      </w:r>
      <w:r w:rsidR="007151D3">
        <w:rPr>
          <w:rFonts w:ascii="Palatino Linotype" w:eastAsia="Palatino Linotype" w:hAnsi="Palatino Linotype" w:cs="Palatino Linotype"/>
        </w:rPr>
        <w:t xml:space="preserve"> vínculo con el Lineamiento específico, emitido en los Lineamientos Generales en Materia de Clasificación y Desclasificación de la Información</w:t>
      </w:r>
      <w:r>
        <w:rPr>
          <w:rFonts w:ascii="Palatino Linotype" w:eastAsia="Palatino Linotype" w:hAnsi="Palatino Linotype" w:cs="Palatino Linotype"/>
        </w:rPr>
        <w:t>, conforme a lo siguiente</w:t>
      </w:r>
      <w:r w:rsidR="007151D3">
        <w:rPr>
          <w:rFonts w:ascii="Palatino Linotype" w:eastAsia="Palatino Linotype" w:hAnsi="Palatino Linotype" w:cs="Palatino Linotype"/>
        </w:rPr>
        <w:t>:</w:t>
      </w:r>
    </w:p>
    <w:p w14:paraId="1BDAFCEB" w14:textId="77777777" w:rsidR="00A60646" w:rsidRDefault="007151D3">
      <w:pPr>
        <w:spacing w:before="360" w:after="36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Vigésimo octavo.</w:t>
      </w:r>
      <w:r>
        <w:rPr>
          <w:rFonts w:ascii="Palatino Linotype" w:eastAsia="Palatino Linotype" w:hAnsi="Palatino Linotype" w:cs="Palatino Linotype"/>
          <w:i/>
          <w:sz w:val="22"/>
          <w:szCs w:val="22"/>
        </w:rPr>
        <w:t xml:space="preserve">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w:t>
      </w:r>
    </w:p>
    <w:p w14:paraId="3B259156" w14:textId="77777777" w:rsidR="00A60646" w:rsidRDefault="007151D3">
      <w:pPr>
        <w:spacing w:before="360" w:after="36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La existencia de un procedimiento de responsabilidad administrativa en trámite, y</w:t>
      </w:r>
    </w:p>
    <w:p w14:paraId="2B4556CA" w14:textId="77777777" w:rsidR="00A60646" w:rsidRDefault="007151D3">
      <w:pPr>
        <w:spacing w:before="360" w:after="36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Que la información se refiera a actuaciones, diligencias y constancias propias del procedimiento de responsabilidad.” </w:t>
      </w:r>
    </w:p>
    <w:p w14:paraId="1E1F4A91" w14:textId="77777777" w:rsidR="009F1BB5" w:rsidRDefault="009F1BB5">
      <w:pPr>
        <w:spacing w:before="360" w:after="36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si bien la clasificación planteada de justifica en razón de que de conformidad con la respuesta emitida por el Sujeto Obligado, se desprende que el mismo se encuentra en proceso, de tal manera que no se actualiza el supuesto de haber causado estado, también lo es que </w:t>
      </w:r>
      <w:r w:rsidR="007151D3">
        <w:rPr>
          <w:rFonts w:ascii="Palatino Linotype" w:eastAsia="Palatino Linotype" w:hAnsi="Palatino Linotype" w:cs="Palatino Linotype"/>
        </w:rPr>
        <w:t xml:space="preserve">el Acuerdo de Clasificación presentado por </w:t>
      </w:r>
      <w:r w:rsidR="007151D3">
        <w:rPr>
          <w:rFonts w:ascii="Palatino Linotype" w:eastAsia="Palatino Linotype" w:hAnsi="Palatino Linotype" w:cs="Palatino Linotype"/>
          <w:b/>
        </w:rPr>
        <w:t>EL SUJETO OBLIGADO</w:t>
      </w:r>
      <w:r w:rsidR="007151D3">
        <w:rPr>
          <w:rFonts w:ascii="Palatino Linotype" w:eastAsia="Palatino Linotype" w:hAnsi="Palatino Linotype" w:cs="Palatino Linotype"/>
        </w:rPr>
        <w:t xml:space="preserve"> no se encuentra debidamente fundamentado, ya que </w:t>
      </w:r>
      <w:r>
        <w:rPr>
          <w:rFonts w:ascii="Palatino Linotype" w:eastAsia="Palatino Linotype" w:hAnsi="Palatino Linotype" w:cs="Palatino Linotype"/>
        </w:rPr>
        <w:t>invoca disposiciones</w:t>
      </w:r>
      <w:r w:rsidR="007151D3">
        <w:rPr>
          <w:rFonts w:ascii="Palatino Linotype" w:eastAsia="Palatino Linotype" w:hAnsi="Palatino Linotype" w:cs="Palatino Linotype"/>
        </w:rPr>
        <w:t xml:space="preserve"> jurídica</w:t>
      </w:r>
      <w:r>
        <w:rPr>
          <w:rFonts w:ascii="Palatino Linotype" w:eastAsia="Palatino Linotype" w:hAnsi="Palatino Linotype" w:cs="Palatino Linotype"/>
        </w:rPr>
        <w:t>s</w:t>
      </w:r>
      <w:r w:rsidR="007151D3">
        <w:rPr>
          <w:rFonts w:ascii="Palatino Linotype" w:eastAsia="Palatino Linotype" w:hAnsi="Palatino Linotype" w:cs="Palatino Linotype"/>
        </w:rPr>
        <w:t xml:space="preserve"> </w:t>
      </w:r>
      <w:r>
        <w:rPr>
          <w:rFonts w:ascii="Palatino Linotype" w:eastAsia="Palatino Linotype" w:hAnsi="Palatino Linotype" w:cs="Palatino Linotype"/>
        </w:rPr>
        <w:t>que no son aplicables al caso concreto.</w:t>
      </w:r>
    </w:p>
    <w:p w14:paraId="317C6595" w14:textId="77777777" w:rsidR="007B37F9" w:rsidRDefault="007B37F9" w:rsidP="007B37F9">
      <w:pPr>
        <w:spacing w:line="360" w:lineRule="auto"/>
        <w:ind w:right="-93"/>
        <w:jc w:val="both"/>
        <w:rPr>
          <w:rFonts w:ascii="Palatino Linotype" w:hAnsi="Palatino Linotype"/>
          <w:color w:val="000000"/>
        </w:rPr>
      </w:pPr>
      <w:r>
        <w:rPr>
          <w:rFonts w:ascii="Palatino Linotype" w:hAnsi="Palatino Linotype"/>
          <w:color w:val="000000"/>
        </w:rPr>
        <w:lastRenderedPageBreak/>
        <w:t>Por lo que el Sujeto Obligado deberá emitir el acuerdo debidamente fundado y motivado cumpliendo cabalmente las formalidades previstas en los artículos 47, 49 fracción VIII, 122, 125, 128, 129, 131, 132 fracción II, 133, 134, 140 fracción VI  y VIII y 141 de la Ley de Transparencia y Acceso a la Información Pública del Estado de México y Municipios, que se transcriben a continuación:</w:t>
      </w:r>
    </w:p>
    <w:p w14:paraId="0C51D4DB" w14:textId="77777777" w:rsidR="00B90850" w:rsidRPr="00EA5914" w:rsidRDefault="00B90850" w:rsidP="007B37F9">
      <w:pPr>
        <w:spacing w:line="360" w:lineRule="auto"/>
        <w:ind w:right="-93"/>
        <w:jc w:val="both"/>
        <w:rPr>
          <w:rFonts w:ascii="Palatino Linotype" w:eastAsia="Calibri" w:hAnsi="Palatino Linotype" w:cs="Tahoma"/>
          <w:bCs/>
          <w:lang w:eastAsia="en-US"/>
        </w:rPr>
      </w:pPr>
    </w:p>
    <w:p w14:paraId="3A5F933A" w14:textId="77777777" w:rsidR="007B37F9" w:rsidRDefault="007B37F9" w:rsidP="007B37F9">
      <w:pPr>
        <w:pStyle w:val="NormalWeb"/>
        <w:spacing w:before="0" w:beforeAutospacing="0" w:after="0" w:afterAutospacing="0"/>
        <w:ind w:left="851" w:right="851"/>
        <w:jc w:val="both"/>
        <w:rPr>
          <w:rFonts w:ascii="Palatino Linotype" w:hAnsi="Palatino Linotype"/>
          <w:i/>
          <w:iCs/>
          <w:color w:val="000000"/>
          <w:sz w:val="22"/>
          <w:szCs w:val="22"/>
        </w:rPr>
      </w:pPr>
      <w:r>
        <w:rPr>
          <w:rFonts w:ascii="Palatino Linotype" w:hAnsi="Palatino Linotype"/>
          <w:i/>
          <w:iCs/>
          <w:color w:val="000000"/>
          <w:sz w:val="22"/>
          <w:szCs w:val="22"/>
        </w:rPr>
        <w:t>“</w:t>
      </w:r>
      <w:r>
        <w:rPr>
          <w:rFonts w:ascii="Palatino Linotype" w:hAnsi="Palatino Linotype"/>
          <w:b/>
          <w:bCs/>
          <w:i/>
          <w:iCs/>
          <w:color w:val="000000"/>
          <w:sz w:val="22"/>
          <w:szCs w:val="22"/>
        </w:rPr>
        <w:t xml:space="preserve">Artículo 47. </w:t>
      </w:r>
      <w:r>
        <w:rPr>
          <w:rFonts w:ascii="Palatino Linotype" w:hAnsi="Palatino Linotype"/>
          <w:i/>
          <w:iCs/>
          <w:color w:val="000000"/>
          <w:sz w:val="22"/>
          <w:szCs w:val="22"/>
        </w:rPr>
        <w:t>El Comité de Transparencia será la autoridad máxima al interior del sujeto obligado en materia del derecho de acceso a la información.</w:t>
      </w:r>
    </w:p>
    <w:p w14:paraId="7F9FDE59" w14:textId="77777777" w:rsidR="00B90850" w:rsidRDefault="00B90850" w:rsidP="007B37F9">
      <w:pPr>
        <w:pStyle w:val="NormalWeb"/>
        <w:spacing w:before="0" w:beforeAutospacing="0" w:after="0" w:afterAutospacing="0"/>
        <w:ind w:left="851" w:right="851"/>
        <w:jc w:val="both"/>
      </w:pPr>
    </w:p>
    <w:p w14:paraId="33220B12" w14:textId="77777777" w:rsidR="007B37F9" w:rsidRDefault="007B37F9" w:rsidP="007B37F9">
      <w:pPr>
        <w:pStyle w:val="NormalWeb"/>
        <w:spacing w:before="0" w:beforeAutospacing="0" w:after="0" w:afterAutospacing="0"/>
        <w:ind w:left="851" w:right="851"/>
        <w:jc w:val="both"/>
      </w:pPr>
      <w:r>
        <w:rPr>
          <w:rFonts w:ascii="Palatino Linotype" w:hAnsi="Palatino Linotype"/>
          <w:b/>
          <w:bCs/>
          <w:i/>
          <w:iCs/>
          <w:color w:val="000000"/>
          <w:sz w:val="22"/>
          <w:szCs w:val="22"/>
        </w:rPr>
        <w:t xml:space="preserve">Los titulares de las unidades administrativas que propongan la reserva, </w:t>
      </w:r>
      <w:r>
        <w:rPr>
          <w:rFonts w:ascii="Palatino Linotype" w:hAnsi="Palatino Linotype"/>
          <w:i/>
          <w:iCs/>
          <w:color w:val="000000"/>
          <w:sz w:val="22"/>
          <w:szCs w:val="22"/>
        </w:rPr>
        <w:t>confidencialidad o declaren la inexistencia de información</w:t>
      </w:r>
      <w:r>
        <w:rPr>
          <w:rFonts w:ascii="Palatino Linotype" w:hAnsi="Palatino Linotype"/>
          <w:b/>
          <w:bCs/>
          <w:i/>
          <w:iCs/>
          <w:color w:val="000000"/>
          <w:sz w:val="22"/>
          <w:szCs w:val="22"/>
        </w:rPr>
        <w:t>, acudirán a las sesiones de dicho Comité donde se discuta la propuesta correspondiente</w:t>
      </w:r>
      <w:r>
        <w:rPr>
          <w:rFonts w:ascii="Palatino Linotype" w:hAnsi="Palatino Linotype"/>
          <w:b/>
          <w:bCs/>
          <w:color w:val="000000"/>
          <w:sz w:val="22"/>
          <w:szCs w:val="22"/>
        </w:rPr>
        <w:t>.</w:t>
      </w:r>
    </w:p>
    <w:p w14:paraId="3C0F8C6D" w14:textId="77777777" w:rsidR="007B37F9" w:rsidRDefault="007B37F9" w:rsidP="007B37F9"/>
    <w:p w14:paraId="3B8B181A" w14:textId="77777777" w:rsidR="007B37F9" w:rsidRDefault="007B37F9" w:rsidP="007B37F9">
      <w:pPr>
        <w:pStyle w:val="NormalWeb"/>
        <w:spacing w:before="0" w:beforeAutospacing="0" w:after="0" w:afterAutospacing="0"/>
        <w:ind w:left="851" w:right="851"/>
        <w:jc w:val="both"/>
      </w:pPr>
      <w:r>
        <w:rPr>
          <w:rFonts w:ascii="Palatino Linotype" w:hAnsi="Palatino Linotype"/>
          <w:b/>
          <w:bCs/>
          <w:i/>
          <w:iCs/>
          <w:color w:val="000000"/>
          <w:sz w:val="22"/>
          <w:szCs w:val="22"/>
        </w:rPr>
        <w:t>Artículo 49.</w:t>
      </w:r>
      <w:r>
        <w:rPr>
          <w:rFonts w:ascii="Palatino Linotype" w:hAnsi="Palatino Linotype"/>
          <w:i/>
          <w:iCs/>
          <w:color w:val="000000"/>
          <w:sz w:val="22"/>
          <w:szCs w:val="22"/>
        </w:rPr>
        <w:t xml:space="preserve"> Los Comités de Transparencia tendrán las siguientes atribuciones:</w:t>
      </w:r>
    </w:p>
    <w:p w14:paraId="62286380" w14:textId="77777777" w:rsidR="007B37F9" w:rsidRDefault="007B37F9" w:rsidP="007B37F9">
      <w:pPr>
        <w:pStyle w:val="NormalWeb"/>
        <w:spacing w:before="0" w:beforeAutospacing="0" w:after="0" w:afterAutospacing="0"/>
        <w:ind w:left="851" w:right="851"/>
        <w:jc w:val="both"/>
      </w:pPr>
      <w:r>
        <w:rPr>
          <w:rFonts w:ascii="Palatino Linotype" w:hAnsi="Palatino Linotype"/>
          <w:i/>
          <w:iCs/>
          <w:color w:val="000000"/>
          <w:sz w:val="22"/>
          <w:szCs w:val="22"/>
        </w:rPr>
        <w:t>…</w:t>
      </w:r>
    </w:p>
    <w:p w14:paraId="427E1F55" w14:textId="77777777" w:rsidR="007B37F9" w:rsidRDefault="007B37F9" w:rsidP="007B37F9">
      <w:pPr>
        <w:pStyle w:val="NormalWeb"/>
        <w:spacing w:before="0" w:beforeAutospacing="0" w:after="0" w:afterAutospacing="0"/>
        <w:ind w:left="851" w:right="851"/>
        <w:jc w:val="both"/>
      </w:pPr>
      <w:r>
        <w:rPr>
          <w:rFonts w:ascii="Palatino Linotype" w:hAnsi="Palatino Linotype"/>
          <w:b/>
          <w:bCs/>
          <w:i/>
          <w:iCs/>
          <w:color w:val="000000"/>
          <w:sz w:val="22"/>
          <w:szCs w:val="22"/>
        </w:rPr>
        <w:t xml:space="preserve">VIII. Aprobar, </w:t>
      </w:r>
      <w:r>
        <w:rPr>
          <w:rFonts w:ascii="Palatino Linotype" w:hAnsi="Palatino Linotype"/>
          <w:i/>
          <w:iCs/>
          <w:color w:val="000000"/>
          <w:sz w:val="22"/>
          <w:szCs w:val="22"/>
        </w:rPr>
        <w:t>modificar o revocar</w:t>
      </w:r>
      <w:r>
        <w:rPr>
          <w:rFonts w:ascii="Palatino Linotype" w:hAnsi="Palatino Linotype"/>
          <w:b/>
          <w:bCs/>
          <w:i/>
          <w:iCs/>
          <w:color w:val="000000"/>
          <w:sz w:val="22"/>
          <w:szCs w:val="22"/>
        </w:rPr>
        <w:t xml:space="preserve"> la clasificación de la información;</w:t>
      </w:r>
    </w:p>
    <w:p w14:paraId="7B84E70D" w14:textId="77777777" w:rsidR="007B37F9" w:rsidRDefault="007B37F9" w:rsidP="007B37F9">
      <w:pPr>
        <w:pStyle w:val="NormalWeb"/>
        <w:spacing w:before="0" w:beforeAutospacing="0" w:after="0" w:afterAutospacing="0"/>
        <w:ind w:left="851" w:right="851"/>
        <w:jc w:val="both"/>
      </w:pPr>
      <w:r>
        <w:rPr>
          <w:rFonts w:ascii="Palatino Linotype" w:hAnsi="Palatino Linotype"/>
          <w:i/>
          <w:iCs/>
          <w:color w:val="000000"/>
          <w:sz w:val="22"/>
          <w:szCs w:val="22"/>
        </w:rPr>
        <w:t>…</w:t>
      </w:r>
    </w:p>
    <w:p w14:paraId="34A0E27F" w14:textId="77777777" w:rsidR="007B37F9" w:rsidRDefault="007B37F9" w:rsidP="007B37F9"/>
    <w:p w14:paraId="1B1DF6E2" w14:textId="77777777" w:rsidR="007B37F9" w:rsidRDefault="007B37F9" w:rsidP="007B37F9">
      <w:pPr>
        <w:pStyle w:val="NormalWeb"/>
        <w:spacing w:before="0" w:beforeAutospacing="0" w:after="0" w:afterAutospacing="0"/>
        <w:ind w:left="851" w:right="851"/>
        <w:jc w:val="both"/>
      </w:pPr>
      <w:r>
        <w:rPr>
          <w:rFonts w:ascii="Palatino Linotype" w:hAnsi="Palatino Linotype"/>
          <w:b/>
          <w:bCs/>
          <w:i/>
          <w:iCs/>
          <w:color w:val="000000"/>
          <w:sz w:val="22"/>
          <w:szCs w:val="22"/>
        </w:rPr>
        <w:t xml:space="preserve">Artículo 122. La clasificación es el proceso mediante el cual el sujeto obligado determina que la información en su poder </w:t>
      </w:r>
      <w:proofErr w:type="spellStart"/>
      <w:r>
        <w:rPr>
          <w:rFonts w:ascii="Palatino Linotype" w:hAnsi="Palatino Linotype"/>
          <w:b/>
          <w:bCs/>
          <w:i/>
          <w:iCs/>
          <w:color w:val="000000"/>
          <w:sz w:val="22"/>
          <w:szCs w:val="22"/>
        </w:rPr>
        <w:t>actualiza</w:t>
      </w:r>
      <w:proofErr w:type="spellEnd"/>
      <w:r>
        <w:rPr>
          <w:rFonts w:ascii="Palatino Linotype" w:hAnsi="Palatino Linotype"/>
          <w:b/>
          <w:bCs/>
          <w:i/>
          <w:iCs/>
          <w:color w:val="000000"/>
          <w:sz w:val="22"/>
          <w:szCs w:val="22"/>
        </w:rPr>
        <w:t xml:space="preserve"> alguno de los supuestos de reserva</w:t>
      </w:r>
      <w:r>
        <w:rPr>
          <w:rFonts w:ascii="Palatino Linotype" w:hAnsi="Palatino Linotype"/>
          <w:i/>
          <w:iCs/>
          <w:color w:val="000000"/>
          <w:sz w:val="22"/>
          <w:szCs w:val="22"/>
        </w:rPr>
        <w:t xml:space="preserve"> o confidencialidad, de conformidad con lo dispuesto en el presente título.</w:t>
      </w:r>
    </w:p>
    <w:p w14:paraId="67950049" w14:textId="77777777" w:rsidR="007B37F9" w:rsidRDefault="007B37F9" w:rsidP="007B37F9"/>
    <w:p w14:paraId="5A38D599" w14:textId="77777777" w:rsidR="007B37F9" w:rsidRDefault="007B37F9" w:rsidP="007B37F9">
      <w:pPr>
        <w:pStyle w:val="NormalWeb"/>
        <w:spacing w:before="0" w:beforeAutospacing="0" w:after="0" w:afterAutospacing="0"/>
        <w:ind w:left="851" w:right="851"/>
        <w:jc w:val="both"/>
      </w:pPr>
      <w:r>
        <w:rPr>
          <w:rFonts w:ascii="Palatino Linotype" w:hAnsi="Palatino Linotype"/>
          <w:b/>
          <w:bCs/>
          <w:i/>
          <w:iCs/>
          <w:color w:val="000000"/>
          <w:sz w:val="22"/>
          <w:szCs w:val="22"/>
        </w:rPr>
        <w:t>Los supuestos de reserva</w:t>
      </w:r>
      <w:r>
        <w:rPr>
          <w:rFonts w:ascii="Palatino Linotype" w:hAnsi="Palatino Linotype"/>
          <w:i/>
          <w:iCs/>
          <w:color w:val="000000"/>
          <w:sz w:val="22"/>
          <w:szCs w:val="22"/>
        </w:rPr>
        <w:t xml:space="preserve"> o confidencialidad previstos en las leyes </w:t>
      </w:r>
      <w:r>
        <w:rPr>
          <w:rFonts w:ascii="Palatino Linotype" w:hAnsi="Palatino Linotype"/>
          <w:b/>
          <w:bCs/>
          <w:i/>
          <w:iCs/>
          <w:color w:val="000000"/>
          <w:sz w:val="22"/>
          <w:szCs w:val="22"/>
        </w:rPr>
        <w:t>deberán ser acordes con las bases, principios y disposiciones establecidos en la Ley General y, en ningún caso, podrán contravenirla.</w:t>
      </w:r>
    </w:p>
    <w:p w14:paraId="516729B2" w14:textId="77777777" w:rsidR="007B37F9" w:rsidRDefault="007B37F9" w:rsidP="007B37F9"/>
    <w:p w14:paraId="7DB766B4" w14:textId="77777777" w:rsidR="007B37F9" w:rsidRDefault="007B37F9" w:rsidP="007B37F9">
      <w:pPr>
        <w:pStyle w:val="NormalWeb"/>
        <w:spacing w:before="0" w:beforeAutospacing="0" w:after="0" w:afterAutospacing="0"/>
        <w:ind w:left="851" w:right="851"/>
        <w:jc w:val="both"/>
      </w:pPr>
      <w:r>
        <w:rPr>
          <w:rFonts w:ascii="Palatino Linotype" w:hAnsi="Palatino Linotype"/>
          <w:i/>
          <w:iCs/>
          <w:color w:val="000000"/>
          <w:sz w:val="22"/>
          <w:szCs w:val="22"/>
        </w:rPr>
        <w:lastRenderedPageBreak/>
        <w:t>Los titulares de las áreas de los sujetos obligados serán los responsables de clasificar la información, de conformidad con lo dispuesto en la presente Ley y demás disposiciones jurídicas aplicables.</w:t>
      </w:r>
    </w:p>
    <w:p w14:paraId="7FEC0DCF" w14:textId="77777777" w:rsidR="007B37F9" w:rsidRDefault="007B37F9" w:rsidP="007B37F9"/>
    <w:p w14:paraId="1DDAB94F" w14:textId="77777777" w:rsidR="007B37F9" w:rsidRDefault="007B37F9" w:rsidP="007B37F9">
      <w:pPr>
        <w:pStyle w:val="NormalWeb"/>
        <w:spacing w:before="0" w:beforeAutospacing="0" w:after="0" w:afterAutospacing="0"/>
        <w:ind w:left="851" w:right="851"/>
        <w:jc w:val="both"/>
      </w:pPr>
      <w:r>
        <w:rPr>
          <w:rFonts w:ascii="Palatino Linotype" w:hAnsi="Palatino Linotype"/>
          <w:b/>
          <w:bCs/>
          <w:i/>
          <w:iCs/>
          <w:color w:val="000000"/>
          <w:sz w:val="22"/>
          <w:szCs w:val="22"/>
        </w:rPr>
        <w:t>Artículo 125. La información clasificada como reservada, de acuerdo a lo establecido en esta Ley podrá permanecer con tal carácter hasta por un periodo de cinco años, contados a partir de su clasificación,</w:t>
      </w:r>
      <w:r>
        <w:rPr>
          <w:rFonts w:ascii="Palatino Linotype" w:hAnsi="Palatino Linotype"/>
          <w:i/>
          <w:iCs/>
          <w:color w:val="000000"/>
          <w:sz w:val="22"/>
          <w:szCs w:val="22"/>
        </w:rPr>
        <w:t xml:space="preserve"> salvo que antes del cumplimiento del periodo de restricción, dejaran de existir los motivos de su reserva.</w:t>
      </w:r>
    </w:p>
    <w:p w14:paraId="6B03CFF5" w14:textId="77777777" w:rsidR="007B37F9" w:rsidRDefault="007B37F9" w:rsidP="007B37F9"/>
    <w:p w14:paraId="0C4DD60E" w14:textId="77777777" w:rsidR="007B37F9" w:rsidRDefault="007B37F9" w:rsidP="007B37F9">
      <w:pPr>
        <w:pStyle w:val="NormalWeb"/>
        <w:spacing w:before="0" w:beforeAutospacing="0" w:after="0" w:afterAutospacing="0"/>
        <w:ind w:left="851" w:right="851"/>
        <w:jc w:val="both"/>
      </w:pPr>
      <w:r>
        <w:rPr>
          <w:rFonts w:ascii="Palatino Linotype" w:hAnsi="Palatino Linotype"/>
          <w:b/>
          <w:bCs/>
          <w:i/>
          <w:iCs/>
          <w:color w:val="000000"/>
          <w:sz w:val="22"/>
          <w:szCs w:val="22"/>
        </w:rPr>
        <w:t xml:space="preserve">Los titulares de las áreas deberán determinar que el plazo de reserva </w:t>
      </w:r>
      <w:r>
        <w:rPr>
          <w:rFonts w:ascii="Palatino Linotype" w:hAnsi="Palatino Linotype"/>
          <w:i/>
          <w:iCs/>
          <w:color w:val="000000"/>
          <w:sz w:val="22"/>
          <w:szCs w:val="22"/>
        </w:rPr>
        <w:t>sea el estrictamente necesario para proteger la información mientras subsistan las causas que dieron origen a la clasificación, salvaguardando el interés público protegido y tomarán en cuenta las razones que justifican el periodo de reserva establecido.</w:t>
      </w:r>
    </w:p>
    <w:p w14:paraId="211987DE" w14:textId="77777777" w:rsidR="007B37F9" w:rsidRDefault="007B37F9" w:rsidP="007B37F9"/>
    <w:p w14:paraId="6B7E0CA3" w14:textId="77777777" w:rsidR="007B37F9" w:rsidRDefault="007B37F9" w:rsidP="007B37F9">
      <w:pPr>
        <w:pStyle w:val="NormalWeb"/>
        <w:spacing w:before="0" w:beforeAutospacing="0" w:after="0" w:afterAutospacing="0"/>
        <w:ind w:left="851" w:right="851"/>
        <w:jc w:val="both"/>
      </w:pPr>
      <w:r>
        <w:rPr>
          <w:rFonts w:ascii="Palatino Linotype" w:hAnsi="Palatino Linotype"/>
          <w:i/>
          <w:iCs/>
          <w:color w:val="000000"/>
          <w:sz w:val="22"/>
          <w:szCs w:val="22"/>
        </w:rPr>
        <w:t>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14:paraId="5DB7C3DF" w14:textId="77777777" w:rsidR="007B37F9" w:rsidRDefault="007B37F9" w:rsidP="007B37F9"/>
    <w:p w14:paraId="6DE2292F" w14:textId="77777777" w:rsidR="007B37F9" w:rsidRDefault="007B37F9" w:rsidP="007B37F9">
      <w:pPr>
        <w:pStyle w:val="NormalWeb"/>
        <w:spacing w:before="0" w:beforeAutospacing="0" w:after="0" w:afterAutospacing="0"/>
        <w:ind w:left="851" w:right="851"/>
        <w:jc w:val="both"/>
      </w:pPr>
      <w:r>
        <w:rPr>
          <w:rFonts w:ascii="Palatino Linotype" w:hAnsi="Palatino Linotype"/>
          <w:i/>
          <w:iCs/>
          <w:color w:val="000000"/>
          <w:sz w:val="22"/>
          <w:szCs w:val="22"/>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1852F4DA" w14:textId="77777777" w:rsidR="007B37F9" w:rsidRDefault="007B37F9" w:rsidP="007B37F9"/>
    <w:p w14:paraId="4187FD93" w14:textId="77777777" w:rsidR="007B37F9" w:rsidRDefault="007B37F9" w:rsidP="007B37F9">
      <w:pPr>
        <w:pStyle w:val="NormalWeb"/>
        <w:spacing w:before="0" w:beforeAutospacing="0" w:after="0" w:afterAutospacing="0"/>
        <w:ind w:left="851" w:right="851"/>
        <w:jc w:val="both"/>
      </w:pPr>
      <w:r>
        <w:rPr>
          <w:rFonts w:ascii="Palatino Linotype" w:hAnsi="Palatino Linotype"/>
          <w:b/>
          <w:bCs/>
          <w:i/>
          <w:iCs/>
          <w:color w:val="000000"/>
          <w:sz w:val="22"/>
          <w:szCs w:val="22"/>
        </w:rPr>
        <w:lastRenderedPageBreak/>
        <w:t xml:space="preserve">Artículo 128. </w:t>
      </w:r>
      <w:r>
        <w:rPr>
          <w:rFonts w:ascii="Palatino Linotype" w:hAnsi="Palatino Linotype"/>
          <w:i/>
          <w:iCs/>
          <w:color w:val="000000"/>
          <w:sz w:val="22"/>
          <w:szCs w:val="22"/>
        </w:rPr>
        <w:t>En los casos en que se niegue el acceso a la información, por actualizarse alguno de los supuestos de clasificación, el Comité de Transparencia deberá confirmar, modificar o revocar la decisión.</w:t>
      </w:r>
    </w:p>
    <w:p w14:paraId="1917DAF4" w14:textId="77777777" w:rsidR="007B37F9" w:rsidRDefault="007B37F9" w:rsidP="007B37F9"/>
    <w:p w14:paraId="4337815B" w14:textId="77777777" w:rsidR="007B37F9" w:rsidRDefault="007B37F9" w:rsidP="007B37F9">
      <w:pPr>
        <w:pStyle w:val="NormalWeb"/>
        <w:spacing w:before="0" w:beforeAutospacing="0" w:after="0" w:afterAutospacing="0"/>
        <w:ind w:left="851" w:right="851"/>
        <w:jc w:val="both"/>
      </w:pPr>
      <w:r>
        <w:rPr>
          <w:rFonts w:ascii="Palatino Linotype" w:hAnsi="Palatino Linotype"/>
          <w:b/>
          <w:bCs/>
          <w:i/>
          <w:iCs/>
          <w:color w:val="000000"/>
          <w:sz w:val="22"/>
          <w:szCs w:val="22"/>
        </w:rPr>
        <w:t>Para motivar la clasificación de la información</w:t>
      </w:r>
      <w:r>
        <w:rPr>
          <w:rFonts w:ascii="Palatino Linotype" w:hAnsi="Palatino Linotype"/>
          <w:i/>
          <w:iCs/>
          <w:color w:val="000000"/>
          <w:sz w:val="22"/>
          <w:szCs w:val="22"/>
        </w:rPr>
        <w:t xml:space="preserve"> y la ampliación del plazo de reserva, </w:t>
      </w:r>
      <w:r>
        <w:rPr>
          <w:rFonts w:ascii="Palatino Linotype" w:hAnsi="Palatino Linotype"/>
          <w:b/>
          <w:bCs/>
          <w:i/>
          <w:iCs/>
          <w:color w:val="000000"/>
          <w:sz w:val="22"/>
          <w:szCs w:val="22"/>
        </w:rPr>
        <w:t>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14:paraId="436A5B2C" w14:textId="77777777" w:rsidR="007B37F9" w:rsidRDefault="007B37F9" w:rsidP="007B37F9"/>
    <w:p w14:paraId="62387C07" w14:textId="77777777" w:rsidR="007B37F9" w:rsidRDefault="007B37F9" w:rsidP="007B37F9">
      <w:pPr>
        <w:pStyle w:val="NormalWeb"/>
        <w:spacing w:before="0" w:beforeAutospacing="0" w:after="0" w:afterAutospacing="0"/>
        <w:ind w:left="851" w:right="851"/>
        <w:jc w:val="both"/>
      </w:pPr>
      <w:r>
        <w:rPr>
          <w:rFonts w:ascii="Palatino Linotype" w:hAnsi="Palatino Linotype"/>
          <w:b/>
          <w:bCs/>
          <w:i/>
          <w:iCs/>
          <w:color w:val="000000"/>
          <w:sz w:val="22"/>
          <w:szCs w:val="22"/>
        </w:rPr>
        <w:t>Tratándose de aquélla información que actualice los supuestos de clasificación, deberá señalarse el plazo al que estará sujeto la reserva.</w:t>
      </w:r>
    </w:p>
    <w:p w14:paraId="2BFAF89A" w14:textId="77777777" w:rsidR="007B37F9" w:rsidRDefault="007B37F9" w:rsidP="007B37F9"/>
    <w:p w14:paraId="5620008A" w14:textId="77777777" w:rsidR="007B37F9" w:rsidRDefault="007B37F9" w:rsidP="007B37F9">
      <w:pPr>
        <w:pStyle w:val="NormalWeb"/>
        <w:spacing w:before="0" w:beforeAutospacing="0" w:after="0" w:afterAutospacing="0"/>
        <w:ind w:left="851" w:right="851"/>
        <w:jc w:val="both"/>
      </w:pPr>
      <w:r>
        <w:rPr>
          <w:rFonts w:ascii="Palatino Linotype" w:hAnsi="Palatino Linotype"/>
          <w:b/>
          <w:bCs/>
          <w:i/>
          <w:iCs/>
          <w:color w:val="000000"/>
          <w:sz w:val="22"/>
          <w:szCs w:val="22"/>
        </w:rPr>
        <w:t xml:space="preserve">Artículo 129. </w:t>
      </w:r>
      <w:r>
        <w:rPr>
          <w:rFonts w:ascii="Palatino Linotype" w:hAnsi="Palatino Linotype"/>
          <w:i/>
          <w:iCs/>
          <w:color w:val="000000"/>
          <w:sz w:val="22"/>
          <w:szCs w:val="22"/>
        </w:rPr>
        <w:t>En la aplicación de la prueba de daño, el sujeto obligado deberá precisar las razones objetivas por las que la apertura de la información generaría una afectación, justificando que:</w:t>
      </w:r>
    </w:p>
    <w:p w14:paraId="24C18ABF" w14:textId="77777777" w:rsidR="007B37F9" w:rsidRDefault="007B37F9" w:rsidP="007B37F9">
      <w:pPr>
        <w:pStyle w:val="NormalWeb"/>
        <w:spacing w:before="0" w:beforeAutospacing="0" w:after="0" w:afterAutospacing="0"/>
        <w:ind w:left="851" w:right="851"/>
        <w:jc w:val="both"/>
      </w:pPr>
      <w:r>
        <w:rPr>
          <w:rFonts w:ascii="Palatino Linotype" w:hAnsi="Palatino Linotype"/>
          <w:b/>
          <w:bCs/>
          <w:i/>
          <w:iCs/>
          <w:color w:val="000000"/>
          <w:sz w:val="22"/>
          <w:szCs w:val="22"/>
        </w:rPr>
        <w:t xml:space="preserve">I. </w:t>
      </w:r>
      <w:r>
        <w:rPr>
          <w:rFonts w:ascii="Palatino Linotype" w:hAnsi="Palatino Linotype"/>
          <w:i/>
          <w:iCs/>
          <w:color w:val="000000"/>
          <w:sz w:val="22"/>
          <w:szCs w:val="22"/>
        </w:rPr>
        <w:t>La divulgación de la información representa un riesgo real, demostrable e identificable del perjuicio significativo al interés público o a la seguridad pública;</w:t>
      </w:r>
    </w:p>
    <w:p w14:paraId="2FF48858" w14:textId="77777777" w:rsidR="007B37F9" w:rsidRDefault="007B37F9" w:rsidP="007B37F9">
      <w:pPr>
        <w:pStyle w:val="NormalWeb"/>
        <w:spacing w:before="0" w:beforeAutospacing="0" w:after="0" w:afterAutospacing="0"/>
        <w:ind w:left="851" w:right="851"/>
        <w:jc w:val="both"/>
      </w:pPr>
      <w:r>
        <w:rPr>
          <w:rFonts w:ascii="Palatino Linotype" w:hAnsi="Palatino Linotype"/>
          <w:b/>
          <w:bCs/>
          <w:i/>
          <w:iCs/>
          <w:color w:val="000000"/>
          <w:sz w:val="22"/>
          <w:szCs w:val="22"/>
        </w:rPr>
        <w:t xml:space="preserve">II. </w:t>
      </w:r>
      <w:r>
        <w:rPr>
          <w:rFonts w:ascii="Palatino Linotype" w:hAnsi="Palatino Linotype"/>
          <w:i/>
          <w:iCs/>
          <w:color w:val="000000"/>
          <w:sz w:val="22"/>
          <w:szCs w:val="22"/>
        </w:rPr>
        <w:t>El riesgo de perjuicio que supondría la divulgación supera el interés público general de que se difunda; y</w:t>
      </w:r>
    </w:p>
    <w:p w14:paraId="531F7255" w14:textId="77777777" w:rsidR="007B37F9" w:rsidRDefault="007B37F9" w:rsidP="007B37F9">
      <w:pPr>
        <w:pStyle w:val="NormalWeb"/>
        <w:spacing w:before="0" w:beforeAutospacing="0" w:after="0" w:afterAutospacing="0"/>
        <w:ind w:left="851" w:right="851"/>
        <w:jc w:val="both"/>
      </w:pPr>
      <w:r>
        <w:rPr>
          <w:rFonts w:ascii="Palatino Linotype" w:hAnsi="Palatino Linotype"/>
          <w:b/>
          <w:bCs/>
          <w:i/>
          <w:iCs/>
          <w:color w:val="000000"/>
          <w:sz w:val="22"/>
          <w:szCs w:val="22"/>
        </w:rPr>
        <w:t xml:space="preserve">III. </w:t>
      </w:r>
      <w:r>
        <w:rPr>
          <w:rFonts w:ascii="Palatino Linotype" w:hAnsi="Palatino Linotype"/>
          <w:i/>
          <w:iCs/>
          <w:color w:val="000000"/>
          <w:sz w:val="22"/>
          <w:szCs w:val="22"/>
        </w:rPr>
        <w:t>La limitación se adecua al principio de proporcionalidad y representa el medio menos restrictivo disponible representa el medio menos restrictivo disponible para evitar el perjuicio.</w:t>
      </w:r>
    </w:p>
    <w:p w14:paraId="787202F6" w14:textId="77777777" w:rsidR="007B37F9" w:rsidRDefault="007B37F9" w:rsidP="007B37F9"/>
    <w:p w14:paraId="48E8A0A3" w14:textId="77777777" w:rsidR="007B37F9" w:rsidRDefault="007B37F9" w:rsidP="007B37F9">
      <w:pPr>
        <w:pStyle w:val="NormalWeb"/>
        <w:spacing w:before="0" w:beforeAutospacing="0" w:after="0" w:afterAutospacing="0"/>
        <w:ind w:left="851" w:right="851"/>
        <w:jc w:val="both"/>
      </w:pPr>
      <w:r>
        <w:rPr>
          <w:rFonts w:ascii="Palatino Linotype" w:hAnsi="Palatino Linotype"/>
          <w:b/>
          <w:bCs/>
          <w:i/>
          <w:iCs/>
          <w:color w:val="000000"/>
          <w:sz w:val="22"/>
          <w:szCs w:val="22"/>
        </w:rPr>
        <w:t xml:space="preserve">Artículo 131. </w:t>
      </w:r>
      <w:r>
        <w:rPr>
          <w:rFonts w:ascii="Palatino Linotype" w:hAnsi="Palatino Linotype"/>
          <w:i/>
          <w:iCs/>
          <w:color w:val="000000"/>
          <w:sz w:val="22"/>
          <w:szCs w:val="22"/>
        </w:rPr>
        <w:t>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14:paraId="1F675E11" w14:textId="77777777" w:rsidR="007B37F9" w:rsidRDefault="007B37F9" w:rsidP="007B37F9"/>
    <w:p w14:paraId="5B906547" w14:textId="77777777" w:rsidR="007B37F9" w:rsidRDefault="007B37F9" w:rsidP="007B37F9">
      <w:pPr>
        <w:pStyle w:val="NormalWeb"/>
        <w:spacing w:before="0" w:beforeAutospacing="0" w:after="0" w:afterAutospacing="0"/>
        <w:ind w:left="851" w:right="851"/>
        <w:jc w:val="both"/>
      </w:pPr>
      <w:r>
        <w:rPr>
          <w:rFonts w:ascii="Palatino Linotype" w:hAnsi="Palatino Linotype"/>
          <w:b/>
          <w:bCs/>
          <w:i/>
          <w:iCs/>
          <w:color w:val="000000"/>
          <w:sz w:val="22"/>
          <w:szCs w:val="22"/>
        </w:rPr>
        <w:t xml:space="preserve">Artículo 132. </w:t>
      </w:r>
      <w:r>
        <w:rPr>
          <w:rFonts w:ascii="Palatino Linotype" w:hAnsi="Palatino Linotype"/>
          <w:i/>
          <w:iCs/>
          <w:color w:val="000000"/>
          <w:sz w:val="22"/>
          <w:szCs w:val="22"/>
        </w:rPr>
        <w:t>La clasificación de la información se llevará a cabo en el momento en que:</w:t>
      </w:r>
    </w:p>
    <w:p w14:paraId="4D8A29FC" w14:textId="77777777" w:rsidR="007B37F9" w:rsidRDefault="007B37F9" w:rsidP="007B37F9">
      <w:pPr>
        <w:pStyle w:val="NormalWeb"/>
        <w:spacing w:before="0" w:beforeAutospacing="0" w:after="0" w:afterAutospacing="0"/>
        <w:ind w:left="851" w:right="851"/>
        <w:jc w:val="both"/>
      </w:pPr>
      <w:r>
        <w:rPr>
          <w:rFonts w:ascii="Palatino Linotype" w:hAnsi="Palatino Linotype"/>
          <w:b/>
          <w:bCs/>
          <w:i/>
          <w:iCs/>
          <w:color w:val="000000"/>
          <w:sz w:val="22"/>
          <w:szCs w:val="22"/>
        </w:rPr>
        <w:lastRenderedPageBreak/>
        <w:t>…</w:t>
      </w:r>
    </w:p>
    <w:p w14:paraId="4879968B" w14:textId="77777777" w:rsidR="007B37F9" w:rsidRDefault="007B37F9" w:rsidP="007B37F9">
      <w:pPr>
        <w:pStyle w:val="NormalWeb"/>
        <w:spacing w:before="0" w:beforeAutospacing="0" w:after="0" w:afterAutospacing="0"/>
        <w:ind w:left="851" w:right="851"/>
        <w:jc w:val="both"/>
      </w:pPr>
      <w:r>
        <w:rPr>
          <w:rFonts w:ascii="Palatino Linotype" w:hAnsi="Palatino Linotype"/>
          <w:b/>
          <w:bCs/>
          <w:i/>
          <w:iCs/>
          <w:color w:val="000000"/>
          <w:sz w:val="22"/>
          <w:szCs w:val="22"/>
        </w:rPr>
        <w:t xml:space="preserve">II. </w:t>
      </w:r>
      <w:r>
        <w:rPr>
          <w:rFonts w:ascii="Palatino Linotype" w:hAnsi="Palatino Linotype"/>
          <w:i/>
          <w:iCs/>
          <w:color w:val="000000"/>
          <w:sz w:val="22"/>
          <w:szCs w:val="22"/>
        </w:rPr>
        <w:t>Se determine mediante resolución de autoridad competente; o</w:t>
      </w:r>
    </w:p>
    <w:p w14:paraId="7B911ED8" w14:textId="77777777" w:rsidR="007B37F9" w:rsidRDefault="007B37F9" w:rsidP="007B37F9">
      <w:pPr>
        <w:pStyle w:val="NormalWeb"/>
        <w:spacing w:before="0" w:beforeAutospacing="0" w:after="0" w:afterAutospacing="0"/>
        <w:ind w:left="851" w:right="851"/>
        <w:jc w:val="both"/>
      </w:pPr>
      <w:r>
        <w:rPr>
          <w:rFonts w:ascii="Palatino Linotype" w:hAnsi="Palatino Linotype"/>
          <w:b/>
          <w:bCs/>
          <w:i/>
          <w:iCs/>
          <w:color w:val="000000"/>
          <w:sz w:val="22"/>
          <w:szCs w:val="22"/>
        </w:rPr>
        <w:t>…</w:t>
      </w:r>
    </w:p>
    <w:p w14:paraId="09594832" w14:textId="77777777" w:rsidR="007B37F9" w:rsidRDefault="007B37F9" w:rsidP="007B37F9"/>
    <w:p w14:paraId="4133663A" w14:textId="77777777" w:rsidR="007B37F9" w:rsidRDefault="007B37F9" w:rsidP="007B37F9">
      <w:pPr>
        <w:pStyle w:val="NormalWeb"/>
        <w:spacing w:before="0" w:beforeAutospacing="0" w:after="0" w:afterAutospacing="0"/>
        <w:ind w:left="851" w:right="851"/>
        <w:jc w:val="both"/>
      </w:pPr>
      <w:r>
        <w:rPr>
          <w:rFonts w:ascii="Palatino Linotype" w:hAnsi="Palatino Linotype"/>
          <w:b/>
          <w:bCs/>
          <w:i/>
          <w:iCs/>
          <w:color w:val="000000"/>
          <w:sz w:val="22"/>
          <w:szCs w:val="22"/>
        </w:rPr>
        <w:t>Artículo 133. Los documentos clasificados total</w:t>
      </w:r>
      <w:r>
        <w:rPr>
          <w:rFonts w:ascii="Palatino Linotype" w:hAnsi="Palatino Linotype"/>
          <w:i/>
          <w:iCs/>
          <w:color w:val="000000"/>
          <w:sz w:val="22"/>
          <w:szCs w:val="22"/>
        </w:rPr>
        <w:t xml:space="preserve"> o parcialmente </w:t>
      </w:r>
      <w:r>
        <w:rPr>
          <w:rFonts w:ascii="Palatino Linotype" w:hAnsi="Palatino Linotype"/>
          <w:b/>
          <w:bCs/>
          <w:i/>
          <w:iCs/>
          <w:color w:val="000000"/>
          <w:sz w:val="22"/>
          <w:szCs w:val="22"/>
        </w:rPr>
        <w:t>deberán llevar una leyenda que indique tal carácter, la fecha de clasificación, el fundamento legal y, en su caso, el periodo de reserva.</w:t>
      </w:r>
    </w:p>
    <w:p w14:paraId="6BE5A485" w14:textId="77777777" w:rsidR="007B37F9" w:rsidRDefault="007B37F9" w:rsidP="007B37F9"/>
    <w:p w14:paraId="63E58045" w14:textId="77777777" w:rsidR="007B37F9" w:rsidRDefault="007B37F9" w:rsidP="007B37F9">
      <w:pPr>
        <w:pStyle w:val="NormalWeb"/>
        <w:spacing w:before="0" w:beforeAutospacing="0" w:after="0" w:afterAutospacing="0"/>
        <w:ind w:left="851" w:right="851"/>
        <w:jc w:val="both"/>
      </w:pPr>
      <w:r>
        <w:rPr>
          <w:rFonts w:ascii="Palatino Linotype" w:hAnsi="Palatino Linotype"/>
          <w:b/>
          <w:bCs/>
          <w:i/>
          <w:iCs/>
          <w:color w:val="000000"/>
          <w:sz w:val="22"/>
          <w:szCs w:val="22"/>
        </w:rPr>
        <w:t xml:space="preserve">Artículo 134. </w:t>
      </w:r>
      <w:r>
        <w:rPr>
          <w:rFonts w:ascii="Palatino Linotype" w:hAnsi="Palatino Linotype"/>
          <w:i/>
          <w:iCs/>
          <w:color w:val="000000"/>
          <w:sz w:val="22"/>
          <w:szCs w:val="22"/>
        </w:rPr>
        <w:t xml:space="preserve">Los sujetos obligados </w:t>
      </w:r>
      <w:r>
        <w:rPr>
          <w:rFonts w:ascii="Palatino Linotype" w:hAnsi="Palatino Linotype"/>
          <w:b/>
          <w:bCs/>
          <w:i/>
          <w:iCs/>
          <w:color w:val="000000"/>
          <w:sz w:val="22"/>
          <w:szCs w:val="22"/>
          <w:u w:val="single"/>
        </w:rPr>
        <w:t>no podrán emitir acuerdos de carácter general ni particular que clasifiquen documentos o información como reservada</w:t>
      </w:r>
      <w:r>
        <w:rPr>
          <w:rFonts w:ascii="Palatino Linotype" w:hAnsi="Palatino Linotype"/>
          <w:i/>
          <w:iCs/>
          <w:color w:val="000000"/>
          <w:sz w:val="22"/>
          <w:szCs w:val="22"/>
        </w:rPr>
        <w:t xml:space="preserve">. </w:t>
      </w:r>
      <w:r>
        <w:rPr>
          <w:rFonts w:ascii="Palatino Linotype" w:hAnsi="Palatino Linotype"/>
          <w:b/>
          <w:bCs/>
          <w:i/>
          <w:iCs/>
          <w:color w:val="000000"/>
          <w:sz w:val="22"/>
          <w:szCs w:val="22"/>
          <w:u w:val="single"/>
        </w:rPr>
        <w:t>La clasificación</w:t>
      </w:r>
      <w:r>
        <w:rPr>
          <w:rFonts w:ascii="Palatino Linotype" w:hAnsi="Palatino Linotype"/>
          <w:i/>
          <w:iCs/>
          <w:color w:val="000000"/>
          <w:sz w:val="22"/>
          <w:szCs w:val="22"/>
        </w:rPr>
        <w:t xml:space="preserve"> podrá establecerse de manera parcial o total de acuerdo al contenido de la información del documento y </w:t>
      </w:r>
      <w:r>
        <w:rPr>
          <w:rFonts w:ascii="Palatino Linotype" w:hAnsi="Palatino Linotype"/>
          <w:b/>
          <w:bCs/>
          <w:i/>
          <w:iCs/>
          <w:color w:val="000000"/>
          <w:sz w:val="22"/>
          <w:szCs w:val="22"/>
          <w:u w:val="single"/>
        </w:rPr>
        <w:t>deberá estar acorde con la actualización de los supuestos definidos en el presente Título como información clasificada</w:t>
      </w:r>
      <w:r>
        <w:rPr>
          <w:rFonts w:ascii="Palatino Linotype" w:hAnsi="Palatino Linotype"/>
          <w:i/>
          <w:iCs/>
          <w:color w:val="000000"/>
          <w:sz w:val="22"/>
          <w:szCs w:val="22"/>
        </w:rPr>
        <w:t>. </w:t>
      </w:r>
    </w:p>
    <w:p w14:paraId="7676BDF1" w14:textId="77777777" w:rsidR="007B37F9" w:rsidRDefault="007B37F9" w:rsidP="007B37F9">
      <w:pPr>
        <w:pStyle w:val="NormalWeb"/>
        <w:spacing w:before="0" w:beforeAutospacing="0" w:after="0" w:afterAutospacing="0"/>
        <w:ind w:left="851" w:right="851"/>
        <w:jc w:val="both"/>
      </w:pPr>
      <w:r>
        <w:rPr>
          <w:rFonts w:ascii="Palatino Linotype" w:hAnsi="Palatino Linotype"/>
          <w:b/>
          <w:bCs/>
          <w:i/>
          <w:iCs/>
          <w:color w:val="000000"/>
          <w:sz w:val="22"/>
          <w:szCs w:val="22"/>
          <w:u w:val="single"/>
        </w:rPr>
        <w:t>En ningún caso se podrán clasificar documentos antes de que se genere la información. La clasificación de información se realizará conforme a un análisis caso por caso, mediante la aplicación de la prueba de daño. </w:t>
      </w:r>
    </w:p>
    <w:p w14:paraId="4461AF73" w14:textId="77777777" w:rsidR="007B37F9" w:rsidRDefault="007B37F9" w:rsidP="007B37F9"/>
    <w:p w14:paraId="7294B401" w14:textId="77777777" w:rsidR="007B37F9" w:rsidRDefault="007B37F9" w:rsidP="007B37F9">
      <w:pPr>
        <w:pStyle w:val="NormalWeb"/>
        <w:spacing w:before="0" w:beforeAutospacing="0" w:after="0" w:afterAutospacing="0"/>
        <w:ind w:left="851" w:right="851"/>
        <w:jc w:val="both"/>
      </w:pPr>
      <w:r>
        <w:rPr>
          <w:rFonts w:ascii="Palatino Linotype" w:hAnsi="Palatino Linotype"/>
          <w:b/>
          <w:bCs/>
          <w:i/>
          <w:iCs/>
          <w:color w:val="000000"/>
          <w:sz w:val="22"/>
          <w:szCs w:val="22"/>
        </w:rPr>
        <w:t xml:space="preserve">Artículo 140. </w:t>
      </w:r>
      <w:r>
        <w:rPr>
          <w:rFonts w:ascii="Palatino Linotype" w:hAnsi="Palatino Linotype"/>
          <w:i/>
          <w:iCs/>
          <w:color w:val="000000"/>
          <w:sz w:val="22"/>
          <w:szCs w:val="22"/>
        </w:rPr>
        <w:t>El acceso a la información pública será restringido excepcionalmente, cuando por razones de interés público, ésta sea clasificada como reservada, conforme a los criterios siguientes:</w:t>
      </w:r>
    </w:p>
    <w:p w14:paraId="4DCA736A" w14:textId="77777777" w:rsidR="007B37F9" w:rsidRDefault="007B37F9" w:rsidP="007B37F9">
      <w:pPr>
        <w:pStyle w:val="NormalWeb"/>
        <w:spacing w:before="0" w:beforeAutospacing="0" w:after="0" w:afterAutospacing="0"/>
        <w:ind w:left="851" w:right="851"/>
        <w:jc w:val="both"/>
      </w:pPr>
      <w:r>
        <w:rPr>
          <w:rFonts w:ascii="Palatino Linotype" w:hAnsi="Palatino Linotype"/>
          <w:b/>
          <w:bCs/>
          <w:i/>
          <w:iCs/>
          <w:color w:val="000000"/>
          <w:sz w:val="22"/>
          <w:szCs w:val="22"/>
        </w:rPr>
        <w:t>…</w:t>
      </w:r>
    </w:p>
    <w:p w14:paraId="6ABA7675" w14:textId="77777777" w:rsidR="007B37F9" w:rsidRDefault="007B37F9" w:rsidP="007B37F9">
      <w:pPr>
        <w:pStyle w:val="NormalWeb"/>
        <w:spacing w:before="0" w:beforeAutospacing="0" w:after="0" w:afterAutospacing="0"/>
        <w:ind w:left="851" w:right="851"/>
        <w:jc w:val="both"/>
      </w:pPr>
      <w:r>
        <w:rPr>
          <w:rFonts w:ascii="Palatino Linotype" w:hAnsi="Palatino Linotype"/>
          <w:b/>
          <w:bCs/>
          <w:i/>
          <w:iCs/>
          <w:color w:val="000000"/>
          <w:sz w:val="22"/>
          <w:szCs w:val="22"/>
        </w:rPr>
        <w:t>VIII. Vulnere la conducción de los expedientes judiciales o de los procedimientos administrativos seguidos en forma de juicio, en tanto no hayan quedo firmes.</w:t>
      </w:r>
    </w:p>
    <w:p w14:paraId="0E5F5540" w14:textId="77777777" w:rsidR="007B37F9" w:rsidRDefault="007B37F9" w:rsidP="007B37F9">
      <w:pPr>
        <w:pStyle w:val="NormalWeb"/>
        <w:spacing w:before="0" w:beforeAutospacing="0" w:after="0" w:afterAutospacing="0"/>
        <w:ind w:left="851" w:right="851"/>
        <w:jc w:val="both"/>
      </w:pPr>
      <w:r>
        <w:rPr>
          <w:rFonts w:ascii="Palatino Linotype" w:hAnsi="Palatino Linotype"/>
          <w:b/>
          <w:bCs/>
          <w:i/>
          <w:iCs/>
          <w:color w:val="000000"/>
          <w:sz w:val="22"/>
          <w:szCs w:val="22"/>
        </w:rPr>
        <w:t xml:space="preserve">Artículo 141. </w:t>
      </w:r>
      <w:r>
        <w:rPr>
          <w:rFonts w:ascii="Palatino Linotype" w:hAnsi="Palatino Linotype"/>
          <w:i/>
          <w:iCs/>
          <w:color w:val="000000"/>
          <w:sz w:val="22"/>
          <w:szCs w:val="22"/>
        </w:rPr>
        <w:t>Las causales de reserva previstas en este Capítulo se deberán fundar y motivar, a través de la aplicación de la prueba de daño a la que se hace referencia en el presente Título.</w:t>
      </w:r>
    </w:p>
    <w:p w14:paraId="7A563D8E" w14:textId="77777777" w:rsidR="007B37F9" w:rsidRDefault="007B37F9" w:rsidP="007B37F9">
      <w:pPr>
        <w:pStyle w:val="NormalWeb"/>
        <w:spacing w:before="0" w:beforeAutospacing="0" w:after="0" w:afterAutospacing="0"/>
        <w:ind w:left="851" w:right="851"/>
      </w:pPr>
      <w:r>
        <w:rPr>
          <w:rFonts w:ascii="Palatino Linotype" w:hAnsi="Palatino Linotype"/>
          <w:b/>
          <w:bCs/>
          <w:i/>
          <w:iCs/>
          <w:color w:val="000000"/>
          <w:sz w:val="22"/>
          <w:szCs w:val="22"/>
        </w:rPr>
        <w:t>Énfasis añadido</w:t>
      </w:r>
    </w:p>
    <w:p w14:paraId="59847176" w14:textId="77777777" w:rsidR="007B37F9" w:rsidRDefault="007B37F9" w:rsidP="007B37F9"/>
    <w:p w14:paraId="4901A5E4" w14:textId="77777777" w:rsidR="007B37F9" w:rsidRDefault="007B37F9" w:rsidP="007B37F9">
      <w:pPr>
        <w:pStyle w:val="NormalWeb"/>
        <w:spacing w:before="0" w:beforeAutospacing="0" w:after="0" w:afterAutospacing="0" w:line="360" w:lineRule="auto"/>
        <w:ind w:right="51"/>
        <w:jc w:val="both"/>
      </w:pPr>
      <w:r>
        <w:rPr>
          <w:rFonts w:ascii="Palatino Linotype" w:hAnsi="Palatino Linotype"/>
          <w:color w:val="000000"/>
        </w:rPr>
        <w:t xml:space="preserve">De la interpretación sistemática de los artículos citados, se advierte que el Sujeto Obligado debe realizar la debida reserva de la información por seguir en trámite el </w:t>
      </w:r>
      <w:r>
        <w:rPr>
          <w:rFonts w:ascii="Palatino Linotype" w:hAnsi="Palatino Linotype"/>
          <w:color w:val="000000"/>
        </w:rPr>
        <w:lastRenderedPageBreak/>
        <w:t>procedimiento aludido, siguiendo los requisitos expuestos: </w:t>
      </w:r>
      <w:r>
        <w:br/>
      </w:r>
    </w:p>
    <w:p w14:paraId="5F45F67D" w14:textId="77777777" w:rsidR="007B37F9" w:rsidRDefault="007B37F9" w:rsidP="00B90850">
      <w:pPr>
        <w:pStyle w:val="NormalWeb"/>
        <w:numPr>
          <w:ilvl w:val="0"/>
          <w:numId w:val="9"/>
        </w:numPr>
        <w:spacing w:before="0" w:beforeAutospacing="0" w:after="0" w:afterAutospacing="0"/>
        <w:ind w:left="709" w:right="902"/>
        <w:jc w:val="both"/>
        <w:textAlignment w:val="baseline"/>
        <w:rPr>
          <w:rFonts w:ascii="Palatino Linotype" w:hAnsi="Palatino Linotype"/>
          <w:b/>
          <w:bCs/>
          <w:i/>
          <w:iCs/>
          <w:color w:val="000000"/>
          <w:sz w:val="22"/>
          <w:szCs w:val="22"/>
        </w:rPr>
      </w:pPr>
      <w:r>
        <w:rPr>
          <w:rFonts w:ascii="Palatino Linotype" w:hAnsi="Palatino Linotype"/>
          <w:b/>
          <w:bCs/>
          <w:i/>
          <w:iCs/>
          <w:color w:val="000000"/>
          <w:sz w:val="22"/>
          <w:szCs w:val="22"/>
        </w:rPr>
        <w:t>La divulgación de la información representa un riesgo real, demostrable e identificable del perjuicio significativo al interés público o a la seguridad pública;</w:t>
      </w:r>
    </w:p>
    <w:p w14:paraId="1A0E115F" w14:textId="77777777" w:rsidR="007B37F9" w:rsidRDefault="007B37F9" w:rsidP="00B90850">
      <w:pPr>
        <w:pStyle w:val="NormalWeb"/>
        <w:numPr>
          <w:ilvl w:val="0"/>
          <w:numId w:val="9"/>
        </w:numPr>
        <w:spacing w:before="0" w:beforeAutospacing="0" w:after="0" w:afterAutospacing="0"/>
        <w:ind w:left="709" w:right="900"/>
        <w:jc w:val="both"/>
        <w:textAlignment w:val="baseline"/>
        <w:rPr>
          <w:rFonts w:ascii="Palatino Linotype" w:hAnsi="Palatino Linotype"/>
          <w:b/>
          <w:bCs/>
          <w:i/>
          <w:iCs/>
          <w:color w:val="000000"/>
          <w:sz w:val="22"/>
          <w:szCs w:val="22"/>
        </w:rPr>
      </w:pPr>
      <w:r>
        <w:rPr>
          <w:rFonts w:ascii="Palatino Linotype" w:hAnsi="Palatino Linotype"/>
          <w:b/>
          <w:bCs/>
          <w:i/>
          <w:iCs/>
          <w:color w:val="000000"/>
          <w:sz w:val="22"/>
          <w:szCs w:val="22"/>
        </w:rPr>
        <w:t>El riesgo de perjuicio que supondría la divulgación supera el interés público general de que se difunda; y</w:t>
      </w:r>
    </w:p>
    <w:p w14:paraId="28BD3BEF" w14:textId="77777777" w:rsidR="007B37F9" w:rsidRDefault="007B37F9" w:rsidP="00B90850">
      <w:pPr>
        <w:pStyle w:val="NormalWeb"/>
        <w:numPr>
          <w:ilvl w:val="0"/>
          <w:numId w:val="9"/>
        </w:numPr>
        <w:spacing w:before="0" w:beforeAutospacing="0" w:after="0" w:afterAutospacing="0"/>
        <w:ind w:left="709" w:right="900"/>
        <w:jc w:val="both"/>
        <w:textAlignment w:val="baseline"/>
        <w:rPr>
          <w:rFonts w:ascii="Palatino Linotype" w:hAnsi="Palatino Linotype"/>
          <w:b/>
          <w:bCs/>
          <w:i/>
          <w:iCs/>
          <w:color w:val="000000"/>
          <w:sz w:val="22"/>
          <w:szCs w:val="22"/>
        </w:rPr>
      </w:pPr>
      <w:r>
        <w:rPr>
          <w:rFonts w:ascii="Palatino Linotype" w:hAnsi="Palatino Linotype"/>
          <w:b/>
          <w:bCs/>
          <w:i/>
          <w:iCs/>
          <w:color w:val="000000"/>
          <w:sz w:val="22"/>
          <w:szCs w:val="22"/>
        </w:rPr>
        <w:t>La limitación se adecua al principio de proporcionalidad y representa el medio menos restrictivo disponible representa el medio menos restrictivo disponible para evitar el perjuicio.</w:t>
      </w:r>
    </w:p>
    <w:p w14:paraId="7EB1122B" w14:textId="77777777" w:rsidR="007B37F9" w:rsidRDefault="007B37F9" w:rsidP="007B37F9"/>
    <w:p w14:paraId="6A12ED5C" w14:textId="77777777" w:rsidR="007B37F9" w:rsidRDefault="007B37F9" w:rsidP="007B37F9">
      <w:pPr>
        <w:pStyle w:val="NormalWeb"/>
        <w:spacing w:before="0" w:beforeAutospacing="0" w:after="0" w:afterAutospacing="0" w:line="360" w:lineRule="auto"/>
        <w:ind w:right="51"/>
        <w:jc w:val="both"/>
      </w:pPr>
      <w:r>
        <w:rPr>
          <w:rFonts w:ascii="Palatino Linotype" w:hAnsi="Palatino Linotype"/>
          <w:color w:val="000000"/>
        </w:rPr>
        <w:t>Requisitos que deben estar acompañados de la debida fundamentación y motivación, cobrado aplicación lo que señala la jurisprudencia de la novena época visible en el Semanario Judicial de la Federación y su Gaceta. Instancia: Tribunales Colegiados de Circuito. Tesis I.4o.A.J/43 (9a.) bajo el número de registro 175082 cuyo rubro y texto esgrime;</w:t>
      </w:r>
    </w:p>
    <w:p w14:paraId="7328D86E" w14:textId="77777777" w:rsidR="007B37F9" w:rsidRDefault="007B37F9" w:rsidP="007B37F9"/>
    <w:p w14:paraId="0103F764" w14:textId="77777777" w:rsidR="007B37F9" w:rsidRDefault="007B37F9" w:rsidP="007B37F9">
      <w:pPr>
        <w:pStyle w:val="NormalWeb"/>
        <w:spacing w:before="0" w:beforeAutospacing="0" w:after="0" w:afterAutospacing="0"/>
        <w:ind w:left="851" w:right="902"/>
        <w:jc w:val="both"/>
      </w:pPr>
      <w:r>
        <w:rPr>
          <w:rFonts w:ascii="Palatino Linotype" w:hAnsi="Palatino Linotype"/>
          <w:b/>
          <w:bCs/>
          <w:i/>
          <w:iCs/>
          <w:color w:val="000000"/>
          <w:sz w:val="22"/>
          <w:szCs w:val="22"/>
        </w:rPr>
        <w:t>FUNDAMENTACIÓN Y MOTIVACIÓN. EL ASPECTO FORMAL DE LA GARANTÍA Y SU FINALIDAD SE TRADUCEN EN EXPLICAR, JUSTIFICAR, POSIBILITAR LA DEFENSA Y COMUNICAR LA DECISIÓN.</w:t>
      </w:r>
    </w:p>
    <w:p w14:paraId="10365B86" w14:textId="77777777" w:rsidR="007B37F9" w:rsidRDefault="007B37F9" w:rsidP="007B37F9">
      <w:pPr>
        <w:pStyle w:val="NormalWeb"/>
        <w:spacing w:before="0" w:beforeAutospacing="0" w:after="0" w:afterAutospacing="0"/>
        <w:ind w:left="851" w:right="902"/>
        <w:jc w:val="both"/>
      </w:pPr>
      <w:r>
        <w:rPr>
          <w:rFonts w:ascii="Palatino Linotype" w:hAnsi="Palatino Linotype"/>
          <w:i/>
          <w:iCs/>
          <w:color w:val="000000"/>
          <w:sz w:val="22"/>
          <w:szCs w:val="22"/>
        </w:rPr>
        <w:br/>
        <w:t>El contenido formal de la garantía de legalidad prevista en el artículo </w:t>
      </w:r>
      <w:hyperlink r:id="rId14" w:history="1">
        <w:r>
          <w:rPr>
            <w:rStyle w:val="Hipervnculo"/>
            <w:rFonts w:ascii="Palatino Linotype" w:hAnsi="Palatino Linotype"/>
            <w:i/>
            <w:iCs/>
            <w:color w:val="000000"/>
            <w:sz w:val="22"/>
            <w:szCs w:val="22"/>
          </w:rPr>
          <w:t>16 constitucional</w:t>
        </w:r>
      </w:hyperlink>
      <w:r>
        <w:rPr>
          <w:rFonts w:ascii="Palatino Linotype" w:hAnsi="Palatino Linotype"/>
          <w:i/>
          <w:iCs/>
          <w:color w:val="000000"/>
          <w:sz w:val="22"/>
          <w:szCs w:val="22"/>
        </w:rPr>
        <w:t xml:space="preserve">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w:t>
      </w:r>
      <w:r>
        <w:rPr>
          <w:rFonts w:ascii="Palatino Linotype" w:hAnsi="Palatino Linotype"/>
          <w:i/>
          <w:iCs/>
          <w:color w:val="000000"/>
          <w:sz w:val="22"/>
          <w:szCs w:val="22"/>
        </w:rPr>
        <w:lastRenderedPageBreak/>
        <w:t>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1061CCE5" w14:textId="77777777" w:rsidR="007B37F9" w:rsidRDefault="007B37F9" w:rsidP="007B37F9"/>
    <w:p w14:paraId="12FE286D" w14:textId="77777777" w:rsidR="007B37F9" w:rsidRDefault="007B37F9" w:rsidP="007B37F9">
      <w:pPr>
        <w:pStyle w:val="NormalWeb"/>
        <w:spacing w:before="0" w:beforeAutospacing="0" w:after="0" w:afterAutospacing="0" w:line="360" w:lineRule="auto"/>
        <w:jc w:val="both"/>
        <w:rPr>
          <w:rFonts w:ascii="Palatino Linotype" w:hAnsi="Palatino Linotype"/>
          <w:color w:val="000000"/>
        </w:rPr>
      </w:pPr>
      <w:r>
        <w:rPr>
          <w:rFonts w:ascii="Palatino Linotype" w:hAnsi="Palatino Linotype"/>
          <w:color w:val="000000"/>
        </w:rPr>
        <w:t>Lo anterior es así, toda vez que no se debe perder de vista que para clasificar como reservada la información se debe desarrollar la prueba de daño que debe de ser acorde a lo establecido por la ley aplicable y debe ser de acuerdo a un razonamiento lógico jurídico que justifique la hipótesis de la pretendida clasificación, y acompañar el respectivo acuerdo de clasificación.</w:t>
      </w:r>
    </w:p>
    <w:p w14:paraId="3B619469" w14:textId="77777777" w:rsidR="007B37F9" w:rsidRDefault="007B37F9" w:rsidP="007B37F9">
      <w:pPr>
        <w:pStyle w:val="NormalWeb"/>
        <w:spacing w:before="0" w:beforeAutospacing="0" w:after="0" w:afterAutospacing="0" w:line="360" w:lineRule="auto"/>
        <w:jc w:val="both"/>
      </w:pPr>
    </w:p>
    <w:p w14:paraId="298741D2" w14:textId="77777777" w:rsidR="007B37F9" w:rsidRDefault="007B37F9" w:rsidP="007B37F9">
      <w:pPr>
        <w:pStyle w:val="NormalWeb"/>
        <w:spacing w:before="0" w:beforeAutospacing="0" w:after="0" w:afterAutospacing="0" w:line="360" w:lineRule="auto"/>
        <w:jc w:val="both"/>
        <w:rPr>
          <w:rFonts w:ascii="Palatino Linotype" w:hAnsi="Palatino Linotype"/>
          <w:color w:val="000000"/>
        </w:rPr>
      </w:pPr>
      <w:r>
        <w:rPr>
          <w:rFonts w:ascii="Palatino Linotype" w:hAnsi="Palatino Linotype"/>
          <w:color w:val="000000"/>
        </w:rPr>
        <w:t>Siendo que la prueba de daño es aquella argumentación fundada y motivada que deben realizar los Sujetos Obligados tendientes a acreditar que la divulgación de información lesiona el interés jurídico protegido por la normatividad aplicable y que el daño que puede producirse con la publicidad de la información es mayor que el interés de conocerla, dicha prueba pretende ser una garantía para impedir la reserva discrecional de la información.</w:t>
      </w:r>
    </w:p>
    <w:p w14:paraId="44F4E3F7" w14:textId="77777777" w:rsidR="00B90850" w:rsidRDefault="00B90850" w:rsidP="007B37F9">
      <w:pPr>
        <w:pStyle w:val="NormalWeb"/>
        <w:spacing w:before="0" w:beforeAutospacing="0" w:after="0" w:afterAutospacing="0" w:line="360" w:lineRule="auto"/>
        <w:jc w:val="both"/>
        <w:rPr>
          <w:rFonts w:ascii="Palatino Linotype" w:hAnsi="Palatino Linotype"/>
          <w:color w:val="000000"/>
        </w:rPr>
      </w:pPr>
    </w:p>
    <w:p w14:paraId="01DA49EF" w14:textId="77777777" w:rsidR="00B90850" w:rsidRDefault="00B90850" w:rsidP="00B90850">
      <w:pPr>
        <w:pStyle w:val="NormalWeb"/>
        <w:spacing w:before="0" w:beforeAutospacing="0" w:after="240" w:afterAutospacing="0" w:line="360" w:lineRule="auto"/>
        <w:jc w:val="both"/>
      </w:pPr>
      <w:r>
        <w:rPr>
          <w:rFonts w:ascii="Palatino Linotype" w:hAnsi="Palatino Linotype"/>
          <w:color w:val="000000"/>
        </w:rPr>
        <w:lastRenderedPageBreak/>
        <w:t>En efecto, generalmente se concede que no basta que un documento verse, por ejemplo, sobre seguridad nacional para que éste pueda ser automáticamente reservado del conocimiento público, se debe demostrar además que la divulgación de ese documento genera o puede generar un daño específico al valor jurídicamente protegido. En otras palabras, se requiere de una ponderación de los valores en conflicto —en este caso publicidad contra seguridad— para poder determinar de manera cierta que la primera pone en riesgo a la segunda, y que por ello procede una reserva temporal del documento, a esto se le conoce como la "prueba de daño".</w:t>
      </w:r>
    </w:p>
    <w:p w14:paraId="2E530914" w14:textId="77777777" w:rsidR="00B90850" w:rsidRDefault="00B90850" w:rsidP="00B90850">
      <w:pPr>
        <w:pStyle w:val="NormalWeb"/>
        <w:spacing w:before="240" w:beforeAutospacing="0" w:after="240" w:afterAutospacing="0" w:line="360" w:lineRule="auto"/>
        <w:jc w:val="both"/>
      </w:pPr>
      <w:r>
        <w:rPr>
          <w:rFonts w:ascii="Palatino Linotype" w:hAnsi="Palatino Linotype"/>
          <w:color w:val="000000"/>
        </w:rPr>
        <w:t xml:space="preserve">En esta tesitura, la prueba de daño en el presente asunto debe, con base en los "Lineamientos generales para la clasificación y desclasificación de la información de las dependencias y entidades de la Administración Pública resulta necesario considerar "la existencia de elementos objetivos que permitan determinar si la difusión de la información causaría un </w:t>
      </w:r>
      <w:r>
        <w:rPr>
          <w:rFonts w:ascii="Palatino Linotype" w:hAnsi="Palatino Linotype"/>
          <w:i/>
          <w:iCs/>
          <w:color w:val="000000"/>
        </w:rPr>
        <w:t xml:space="preserve">daño presente, probable y específico </w:t>
      </w:r>
      <w:r>
        <w:rPr>
          <w:rFonts w:ascii="Palatino Linotype" w:hAnsi="Palatino Linotype"/>
          <w:color w:val="000000"/>
        </w:rPr>
        <w:t>a los intereses jurídicos tutelados por dicho precepto, es decir, de conformidad a lo establecido en los artículos 129 y 131 de la Ley de Transparencia vigente en la entidad, el sujeto Obligado debe acreditar de manera fehaciente que al proporcionar la información materia del presente asunto el daño que se causaría es presente, probable y específico, justificando que:</w:t>
      </w:r>
    </w:p>
    <w:p w14:paraId="42900109" w14:textId="77777777" w:rsidR="00B90850" w:rsidRDefault="00B90850" w:rsidP="00B90850">
      <w:pPr>
        <w:pStyle w:val="NormalWeb"/>
        <w:spacing w:before="240" w:beforeAutospacing="0" w:after="240" w:afterAutospacing="0" w:line="360" w:lineRule="auto"/>
        <w:jc w:val="both"/>
      </w:pPr>
      <w:r>
        <w:rPr>
          <w:rFonts w:ascii="Palatino Linotype" w:hAnsi="Palatino Linotype"/>
          <w:b/>
          <w:bCs/>
          <w:color w:val="000000"/>
        </w:rPr>
        <w:lastRenderedPageBreak/>
        <w:t xml:space="preserve">I. </w:t>
      </w:r>
      <w:r>
        <w:rPr>
          <w:rFonts w:ascii="Palatino Linotype" w:hAnsi="Palatino Linotype"/>
          <w:color w:val="000000"/>
        </w:rPr>
        <w:t>La divulgación de la información representa un riesgo real, demostrable e identificable del perjuicio significativo al interés público o a la seguridad pública;</w:t>
      </w:r>
    </w:p>
    <w:p w14:paraId="29848CAA" w14:textId="77777777" w:rsidR="00B90850" w:rsidRDefault="00B90850" w:rsidP="00B90850">
      <w:pPr>
        <w:pStyle w:val="NormalWeb"/>
        <w:spacing w:before="240" w:beforeAutospacing="0" w:after="240" w:afterAutospacing="0" w:line="360" w:lineRule="auto"/>
        <w:jc w:val="both"/>
      </w:pPr>
      <w:r>
        <w:rPr>
          <w:rFonts w:ascii="Palatino Linotype" w:hAnsi="Palatino Linotype"/>
          <w:b/>
          <w:bCs/>
          <w:color w:val="000000"/>
        </w:rPr>
        <w:t xml:space="preserve">II. </w:t>
      </w:r>
      <w:r>
        <w:rPr>
          <w:rFonts w:ascii="Palatino Linotype" w:hAnsi="Palatino Linotype"/>
          <w:color w:val="000000"/>
        </w:rPr>
        <w:t>El riesgo de perjuicio que supondría la divulgación supera el interés público general de que se difunda; y</w:t>
      </w:r>
    </w:p>
    <w:p w14:paraId="5D1519CB" w14:textId="77777777" w:rsidR="00B90850" w:rsidRDefault="00B90850" w:rsidP="00B90850">
      <w:pPr>
        <w:spacing w:line="360" w:lineRule="auto"/>
        <w:ind w:right="-93"/>
        <w:jc w:val="both"/>
        <w:rPr>
          <w:rFonts w:ascii="Palatino Linotype" w:eastAsia="Calibri" w:hAnsi="Palatino Linotype" w:cs="Tahoma"/>
          <w:bCs/>
          <w:lang w:eastAsia="en-US"/>
        </w:rPr>
      </w:pPr>
      <w:r>
        <w:rPr>
          <w:rFonts w:ascii="Palatino Linotype" w:hAnsi="Palatino Linotype"/>
          <w:b/>
          <w:bCs/>
          <w:color w:val="000000"/>
        </w:rPr>
        <w:t xml:space="preserve">III. </w:t>
      </w:r>
      <w:r>
        <w:rPr>
          <w:rFonts w:ascii="Palatino Linotype" w:hAnsi="Palatino Linotype"/>
          <w:color w:val="000000"/>
        </w:rPr>
        <w:t>La limitación se adecua al principio de proporcionalidad y representa el medio menos restrictivo disponible representa el medio menos restrictivo disponible para evitar el perjuicio.</w:t>
      </w:r>
    </w:p>
    <w:p w14:paraId="0D8B57E4" w14:textId="77777777" w:rsidR="009F1BB5" w:rsidRDefault="00B90850">
      <w:pPr>
        <w:spacing w:before="360" w:after="360" w:line="360" w:lineRule="auto"/>
        <w:ind w:right="49"/>
        <w:jc w:val="both"/>
        <w:rPr>
          <w:rFonts w:ascii="Palatino Linotype" w:eastAsia="Palatino Linotype" w:hAnsi="Palatino Linotype" w:cs="Palatino Linotype"/>
        </w:rPr>
      </w:pPr>
      <w:r>
        <w:rPr>
          <w:rFonts w:ascii="Palatino Linotype" w:hAnsi="Palatino Linotype"/>
          <w:color w:val="000000"/>
        </w:rPr>
        <w:t xml:space="preserve">En efecto, en el caso concreto el Sujeto Obligado deberá acreditar </w:t>
      </w:r>
      <w:r w:rsidR="007B37F9">
        <w:rPr>
          <w:rFonts w:ascii="Palatino Linotype" w:eastAsia="Palatino Linotype" w:hAnsi="Palatino Linotype" w:cs="Palatino Linotype"/>
        </w:rPr>
        <w:t xml:space="preserve">que la divulgación de los expedientes solicitados representa un riesgo real, demostrable e identificable de perjuicio significativo al interés público relativo a las partes vinculadas al procedimiento y la conducción de procedimientos de investigación y responsabilidad administrativa, que podría afectar su eficacia, </w:t>
      </w:r>
      <w:r>
        <w:rPr>
          <w:rFonts w:ascii="Palatino Linotype" w:eastAsia="Palatino Linotype" w:hAnsi="Palatino Linotype" w:cs="Palatino Linotype"/>
        </w:rPr>
        <w:t>incidir en la actividad objetiva que realiza la autoridad correspondiente o bien de los presuntos responsables quienes pudieran intentar o alterar el desahogo de estos procedimientos o los resultados de los mismos, entre otros aspectos.</w:t>
      </w:r>
    </w:p>
    <w:p w14:paraId="35B782D2" w14:textId="77777777" w:rsidR="00A60646" w:rsidRDefault="00B90850">
      <w:pPr>
        <w:spacing w:before="360" w:after="36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Por lo anterior,</w:t>
      </w:r>
      <w:r w:rsidR="007151D3">
        <w:rPr>
          <w:rFonts w:ascii="Palatino Linotype" w:eastAsia="Palatino Linotype" w:hAnsi="Palatino Linotype" w:cs="Palatino Linotype"/>
        </w:rPr>
        <w:t xml:space="preserve"> se modifica la respuesta a fin de que remita nuevamente el acuerdo de clasificación, debidamente fundado y motivado.</w:t>
      </w:r>
    </w:p>
    <w:p w14:paraId="5C228695" w14:textId="77777777" w:rsidR="00A60646" w:rsidRDefault="00A60646">
      <w:pPr>
        <w:tabs>
          <w:tab w:val="left" w:pos="8222"/>
        </w:tabs>
        <w:spacing w:line="360" w:lineRule="auto"/>
        <w:ind w:right="-28"/>
        <w:jc w:val="both"/>
        <w:rPr>
          <w:rFonts w:ascii="Palatino Linotype" w:eastAsia="Palatino Linotype" w:hAnsi="Palatino Linotype" w:cs="Palatino Linotype"/>
        </w:rPr>
      </w:pPr>
    </w:p>
    <w:p w14:paraId="3391E93B" w14:textId="77777777" w:rsidR="00A60646" w:rsidRDefault="007151D3">
      <w:pPr>
        <w:numPr>
          <w:ilvl w:val="0"/>
          <w:numId w:val="1"/>
        </w:numPr>
        <w:tabs>
          <w:tab w:val="left" w:pos="8222"/>
        </w:tabs>
        <w:spacing w:line="360" w:lineRule="auto"/>
        <w:ind w:right="-28"/>
        <w:jc w:val="both"/>
        <w:rPr>
          <w:rFonts w:ascii="Palatino Linotype" w:eastAsia="Palatino Linotype" w:hAnsi="Palatino Linotype" w:cs="Palatino Linotype"/>
          <w:b/>
        </w:rPr>
      </w:pPr>
      <w:r>
        <w:rPr>
          <w:rFonts w:ascii="Palatino Linotype" w:eastAsia="Palatino Linotype" w:hAnsi="Palatino Linotype" w:cs="Palatino Linotype"/>
          <w:b/>
        </w:rPr>
        <w:t>Respecto al documento donde conste la experiencia como Titular del Área de Transparencia y su certificación,</w:t>
      </w:r>
    </w:p>
    <w:p w14:paraId="7FAD53DF" w14:textId="77777777" w:rsidR="00A60646" w:rsidRDefault="00A60646">
      <w:pPr>
        <w:tabs>
          <w:tab w:val="left" w:pos="8222"/>
        </w:tabs>
        <w:spacing w:line="360" w:lineRule="auto"/>
        <w:ind w:right="-28"/>
        <w:jc w:val="both"/>
        <w:rPr>
          <w:rFonts w:ascii="Palatino Linotype" w:eastAsia="Palatino Linotype" w:hAnsi="Palatino Linotype" w:cs="Palatino Linotype"/>
          <w:highlight w:val="yellow"/>
        </w:rPr>
      </w:pPr>
    </w:p>
    <w:p w14:paraId="3777913E" w14:textId="77777777" w:rsidR="00A60646" w:rsidRDefault="007151D3">
      <w:pPr>
        <w:tabs>
          <w:tab w:val="left" w:pos="8222"/>
        </w:tabs>
        <w:spacing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 xml:space="preserve">El Sujeto obligado en la respuesta inicial no atendió este punto de la solicitud de información, sin embargo mediante informe justificado y alcance al mismo entrega el Certificado de Competencia laboral en el Estándar de Competencia, emitido por el Consejo Nacional de Normalización y Certificación de Competencias Laborales a </w:t>
      </w:r>
      <w:proofErr w:type="spellStart"/>
      <w:r>
        <w:rPr>
          <w:rFonts w:ascii="Palatino Linotype" w:eastAsia="Palatino Linotype" w:hAnsi="Palatino Linotype" w:cs="Palatino Linotype"/>
        </w:rPr>
        <w:t>Mariamnee</w:t>
      </w:r>
      <w:proofErr w:type="spellEnd"/>
      <w:r>
        <w:rPr>
          <w:rFonts w:ascii="Palatino Linotype" w:eastAsia="Palatino Linotype" w:hAnsi="Palatino Linotype" w:cs="Palatino Linotype"/>
        </w:rPr>
        <w:t xml:space="preserve"> Vega Blancarte, en el que testa la CURP de la servidora pública y  adjuntan el acuerdo de clasificación de información confidencial, el Consentimiento de la servidora pública </w:t>
      </w:r>
      <w:proofErr w:type="spellStart"/>
      <w:r>
        <w:rPr>
          <w:rFonts w:ascii="Palatino Linotype" w:eastAsia="Palatino Linotype" w:hAnsi="Palatino Linotype" w:cs="Palatino Linotype"/>
        </w:rPr>
        <w:t>Mariamnee</w:t>
      </w:r>
      <w:proofErr w:type="spellEnd"/>
      <w:r>
        <w:rPr>
          <w:rFonts w:ascii="Palatino Linotype" w:eastAsia="Palatino Linotype" w:hAnsi="Palatino Linotype" w:cs="Palatino Linotype"/>
        </w:rPr>
        <w:t xml:space="preserve"> Vega Blancarte, para hacer pública su fotografía en el documento de referencia. </w:t>
      </w:r>
    </w:p>
    <w:p w14:paraId="010BBB7D" w14:textId="77777777" w:rsidR="00A60646" w:rsidRDefault="00A60646">
      <w:pPr>
        <w:tabs>
          <w:tab w:val="left" w:pos="8222"/>
        </w:tabs>
        <w:spacing w:line="360" w:lineRule="auto"/>
        <w:ind w:right="-28"/>
        <w:jc w:val="both"/>
        <w:rPr>
          <w:rFonts w:ascii="Palatino Linotype" w:eastAsia="Palatino Linotype" w:hAnsi="Palatino Linotype" w:cs="Palatino Linotype"/>
        </w:rPr>
      </w:pPr>
    </w:p>
    <w:p w14:paraId="3A245439" w14:textId="77777777" w:rsidR="00A60646" w:rsidRDefault="007151D3">
      <w:pPr>
        <w:tabs>
          <w:tab w:val="left" w:pos="8222"/>
        </w:tabs>
        <w:spacing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b/>
        </w:rPr>
        <w:t>En atención a su experiencia</w:t>
      </w:r>
      <w:r>
        <w:rPr>
          <w:rFonts w:ascii="Palatino Linotype" w:eastAsia="Palatino Linotype" w:hAnsi="Palatino Linotype" w:cs="Palatino Linotype"/>
        </w:rPr>
        <w:t xml:space="preserve">, el Sujeto Obligado remite la ficha curricular de la servidora pública de la cual se solicita información, al respecto este Pleno considera que con las documentales que entrega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 solicitado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ya que en efecto proporciona el Currículo Vitae solicitado, en el que se describe la experiencia laboral y formación académica con la que cuenta.  </w:t>
      </w:r>
    </w:p>
    <w:p w14:paraId="1EBFCFD3" w14:textId="77777777" w:rsidR="00A60646" w:rsidRDefault="007151D3">
      <w:pPr>
        <w:tabs>
          <w:tab w:val="left" w:pos="8222"/>
        </w:tabs>
        <w:spacing w:line="360" w:lineRule="auto"/>
        <w:ind w:right="-28"/>
        <w:jc w:val="both"/>
        <w:rPr>
          <w:rFonts w:ascii="Palatino Linotype" w:eastAsia="Palatino Linotype" w:hAnsi="Palatino Linotype" w:cs="Palatino Linotype"/>
          <w:highlight w:val="yellow"/>
        </w:rPr>
      </w:pPr>
      <w:r>
        <w:rPr>
          <w:rFonts w:ascii="Palatino Linotype" w:eastAsia="Palatino Linotype" w:hAnsi="Palatino Linotype" w:cs="Palatino Linotype"/>
        </w:rPr>
        <w:lastRenderedPageBreak/>
        <w:t>Dentro de la experiencia laboral se precisan los cargos públicos que ha desempeñado dentro de la administración pública en algunos Municipios del Estado de México, incluyendo el Municipio de Atizapán de Zaragoza.</w:t>
      </w:r>
    </w:p>
    <w:p w14:paraId="3F948AAC" w14:textId="77777777" w:rsidR="00A60646" w:rsidRDefault="007151D3">
      <w:pPr>
        <w:spacing w:before="240" w:after="240" w:line="360" w:lineRule="auto"/>
        <w:ind w:right="-234"/>
        <w:jc w:val="both"/>
        <w:rPr>
          <w:rFonts w:ascii="Palatino Linotype" w:eastAsia="Palatino Linotype" w:hAnsi="Palatino Linotype" w:cs="Palatino Linotype"/>
        </w:rPr>
      </w:pPr>
      <w:r>
        <w:rPr>
          <w:rFonts w:ascii="Palatino Linotype" w:eastAsia="Palatino Linotype" w:hAnsi="Palatino Linotype" w:cs="Palatino Linotype"/>
        </w:rPr>
        <w:t xml:space="preserve">Es de señalar que el </w:t>
      </w:r>
      <w:proofErr w:type="spellStart"/>
      <w:r>
        <w:rPr>
          <w:rFonts w:ascii="Palatino Linotype" w:eastAsia="Palatino Linotype" w:hAnsi="Palatino Linotype" w:cs="Palatino Linotype"/>
        </w:rPr>
        <w:t>curriculum</w:t>
      </w:r>
      <w:proofErr w:type="spellEnd"/>
      <w:r>
        <w:rPr>
          <w:rFonts w:ascii="Palatino Linotype" w:eastAsia="Palatino Linotype" w:hAnsi="Palatino Linotype" w:cs="Palatino Linotype"/>
        </w:rPr>
        <w:t xml:space="preserve"> es el documento que las personas elaboran con los datos principalmente de preparación académica y </w:t>
      </w:r>
      <w:r>
        <w:rPr>
          <w:rFonts w:ascii="Palatino Linotype" w:eastAsia="Palatino Linotype" w:hAnsi="Palatino Linotype" w:cs="Palatino Linotype"/>
          <w:b/>
          <w:u w:val="single"/>
        </w:rPr>
        <w:t>experiencia profesional</w:t>
      </w:r>
      <w:r>
        <w:rPr>
          <w:rFonts w:ascii="Palatino Linotype" w:eastAsia="Palatino Linotype" w:hAnsi="Palatino Linotype" w:cs="Palatino Linotype"/>
        </w:rPr>
        <w:t xml:space="preserve"> con la finalidad de presentarlo ante un posible empleador, por lo que, dicho documento permite identificar el nivel de conocimiento de su titular, su perfil profesional y/o laboral. </w:t>
      </w:r>
    </w:p>
    <w:p w14:paraId="4098CB17" w14:textId="77777777" w:rsidR="00A60646" w:rsidRDefault="007151D3">
      <w:pPr>
        <w:spacing w:before="240" w:after="240" w:line="360" w:lineRule="auto"/>
        <w:ind w:right="-234"/>
        <w:jc w:val="both"/>
        <w:rPr>
          <w:rFonts w:ascii="Palatino Linotype" w:eastAsia="Palatino Linotype" w:hAnsi="Palatino Linotype" w:cs="Palatino Linotype"/>
        </w:rPr>
      </w:pPr>
      <w:r>
        <w:rPr>
          <w:rFonts w:ascii="Palatino Linotype" w:eastAsia="Palatino Linotype" w:hAnsi="Palatino Linotype" w:cs="Palatino Linotype"/>
        </w:rPr>
        <w:t xml:space="preserve">En ese orden de ideas, si bien, el documento referido es elaborado por cada persona sin ninguna validez oficial, también lo es que como se mencionó, este tiene como objetivo que las personas conozcan la trayectoria de quien lo presenta, situación que toma mayor relevancia al tratarse de aquel que ostenta un cargo en la administración; por lo que, existe un interés público para dar a conocer su contenido, pues transparenta que el personal que labora para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cuenta con las capacidades, conocimientos y experiencia necesaria para el cabal cumplimiento de sus funciones. </w:t>
      </w:r>
    </w:p>
    <w:p w14:paraId="40B40CB1" w14:textId="77777777" w:rsidR="00A60646" w:rsidRDefault="007151D3">
      <w:pPr>
        <w:spacing w:before="240" w:after="240" w:line="360" w:lineRule="auto"/>
        <w:ind w:right="-234"/>
        <w:jc w:val="both"/>
        <w:rPr>
          <w:rFonts w:ascii="Palatino Linotype" w:eastAsia="Palatino Linotype" w:hAnsi="Palatino Linotype" w:cs="Palatino Linotype"/>
        </w:rPr>
      </w:pPr>
      <w:r>
        <w:rPr>
          <w:rFonts w:ascii="Palatino Linotype" w:eastAsia="Palatino Linotype" w:hAnsi="Palatino Linotype" w:cs="Palatino Linotype"/>
        </w:rPr>
        <w:t xml:space="preserve">Es por lo anterior que el artículo 92, fracción XXI de la Ley de Transparencia y Acceso a la Información Pública del Estado de México y Municipios, establece que la información curricular es considerada como obligación de transparencia también para </w:t>
      </w:r>
      <w:r>
        <w:rPr>
          <w:rFonts w:ascii="Palatino Linotype" w:eastAsia="Palatino Linotype" w:hAnsi="Palatino Linotype" w:cs="Palatino Linotype"/>
        </w:rPr>
        <w:lastRenderedPageBreak/>
        <w:t xml:space="preserve">el Instituto de Transparencia, Acceso a la Información Pública y Protección de Datos Personales del Estado de México y Municipios. </w:t>
      </w:r>
    </w:p>
    <w:p w14:paraId="5657CC40" w14:textId="77777777" w:rsidR="00A60646" w:rsidRDefault="007151D3">
      <w:pPr>
        <w:spacing w:before="240" w:after="240" w:line="360" w:lineRule="auto"/>
        <w:ind w:right="-234"/>
        <w:jc w:val="both"/>
        <w:rPr>
          <w:rFonts w:ascii="Palatino Linotype" w:eastAsia="Palatino Linotype" w:hAnsi="Palatino Linotype" w:cs="Palatino Linotype"/>
        </w:rPr>
      </w:pPr>
      <w:r>
        <w:rPr>
          <w:rFonts w:ascii="Palatino Linotype" w:eastAsia="Palatino Linotype" w:hAnsi="Palatino Linotype" w:cs="Palatino Linotype"/>
        </w:rPr>
        <w:t xml:space="preserve">A mayor abundamiento conviene mencionar, el Criterio 03/09 emitido por el Pleno del entonces Instituto Federal de Acceso a la Información y Protección de Datos establece que: </w:t>
      </w:r>
    </w:p>
    <w:p w14:paraId="014386F3" w14:textId="77777777" w:rsidR="00A60646" w:rsidRDefault="007151D3">
      <w:pPr>
        <w:spacing w:before="240" w:after="24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w:t>
      </w:r>
      <w:proofErr w:type="spellStart"/>
      <w:r>
        <w:rPr>
          <w:rFonts w:ascii="Palatino Linotype" w:eastAsia="Palatino Linotype" w:hAnsi="Palatino Linotype" w:cs="Palatino Linotype"/>
          <w:i/>
          <w:sz w:val="22"/>
          <w:szCs w:val="22"/>
        </w:rPr>
        <w:t>Curriculum</w:t>
      </w:r>
      <w:proofErr w:type="spellEnd"/>
      <w:r>
        <w:rPr>
          <w:rFonts w:ascii="Palatino Linotype" w:eastAsia="Palatino Linotype" w:hAnsi="Palatino Linotype" w:cs="Palatino Linotype"/>
          <w:i/>
          <w:sz w:val="22"/>
          <w:szCs w:val="22"/>
        </w:rPr>
        <w:t xml:space="preserve"> Vitae de servidores públicos.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w:t>
      </w:r>
      <w:proofErr w:type="spellStart"/>
      <w:r>
        <w:rPr>
          <w:rFonts w:ascii="Palatino Linotype" w:eastAsia="Palatino Linotype" w:hAnsi="Palatino Linotype" w:cs="Palatino Linotype"/>
          <w:i/>
          <w:sz w:val="22"/>
          <w:szCs w:val="22"/>
        </w:rPr>
        <w:t>curriculum</w:t>
      </w:r>
      <w:proofErr w:type="spellEnd"/>
      <w:r>
        <w:rPr>
          <w:rFonts w:ascii="Palatino Linotype" w:eastAsia="Palatino Linotype" w:hAnsi="Palatino Linotype" w:cs="Palatino Linotype"/>
          <w:i/>
          <w:sz w:val="22"/>
          <w:szCs w:val="22"/>
        </w:rPr>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Pr>
          <w:rFonts w:ascii="Palatino Linotype" w:eastAsia="Palatino Linotype" w:hAnsi="Palatino Linotype" w:cs="Palatino Linotype"/>
          <w:i/>
          <w:sz w:val="22"/>
          <w:szCs w:val="22"/>
        </w:rPr>
        <w:t>curriculum</w:t>
      </w:r>
      <w:proofErr w:type="spellEnd"/>
      <w:r>
        <w:rPr>
          <w:rFonts w:ascii="Palatino Linotype" w:eastAsia="Palatino Linotype" w:hAnsi="Palatino Linotype" w:cs="Palatino Linotype"/>
          <w:i/>
          <w:sz w:val="22"/>
          <w:szCs w:val="22"/>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Pr>
          <w:rFonts w:ascii="Palatino Linotype" w:eastAsia="Palatino Linotype" w:hAnsi="Palatino Linotype" w:cs="Palatino Linotype"/>
          <w:i/>
          <w:sz w:val="22"/>
          <w:szCs w:val="22"/>
        </w:rPr>
        <w:t>curriculum</w:t>
      </w:r>
      <w:proofErr w:type="spellEnd"/>
      <w:r>
        <w:rPr>
          <w:rFonts w:ascii="Palatino Linotype" w:eastAsia="Palatino Linotype" w:hAnsi="Palatino Linotype" w:cs="Palatino Linotype"/>
          <w:i/>
          <w:sz w:val="22"/>
          <w:szCs w:val="22"/>
        </w:rPr>
        <w:t xml:space="preserve"> vitae de un servidor público susceptibles de hacerse del conocimiento público, ante una solicitud de acceso, se encuentran los relativos a su trayectoria académica, profesional, laboral, así como todos </w:t>
      </w:r>
      <w:r>
        <w:rPr>
          <w:rFonts w:ascii="Palatino Linotype" w:eastAsia="Palatino Linotype" w:hAnsi="Palatino Linotype" w:cs="Palatino Linotype"/>
          <w:i/>
          <w:sz w:val="22"/>
          <w:szCs w:val="22"/>
        </w:rPr>
        <w:lastRenderedPageBreak/>
        <w:t xml:space="preserve">aquellos que acrediten su capacidad, habilidades o pericia para ocupar el cargo público.” </w:t>
      </w:r>
    </w:p>
    <w:p w14:paraId="169CC7A3" w14:textId="77777777" w:rsidR="00A60646" w:rsidRDefault="007151D3">
      <w:pPr>
        <w:spacing w:before="240" w:after="240" w:line="360" w:lineRule="auto"/>
        <w:ind w:right="-234"/>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una de las formas en que los ciudadanos pueden evaluar las aptitudes para desempeñar un cargo público determinado, es mediante la publicidad de ciertos datos contenidos en el currículum vitae, tales como: la trayectoria académica, profesional, laboral, así como todos aquellos que acrediten su capacidad, habilidades y pericia para ocupar el puesto público. Lo anterior, para favorecer la rendición de cuentas, pues la publicidad de lo anterior tiene como fin verificar el correcto desempeño de los sujetos obligados.</w:t>
      </w:r>
    </w:p>
    <w:p w14:paraId="17A363E7" w14:textId="77777777" w:rsidR="00A60646" w:rsidRDefault="007151D3">
      <w:pPr>
        <w:spacing w:before="240" w:after="240" w:line="360" w:lineRule="auto"/>
        <w:ind w:right="-234"/>
        <w:jc w:val="both"/>
        <w:rPr>
          <w:rFonts w:ascii="Palatino Linotype" w:eastAsia="Palatino Linotype" w:hAnsi="Palatino Linotype" w:cs="Palatino Linotype"/>
        </w:rPr>
      </w:pPr>
      <w:r>
        <w:rPr>
          <w:rFonts w:ascii="Palatino Linotype" w:eastAsia="Palatino Linotype" w:hAnsi="Palatino Linotype" w:cs="Palatino Linotype"/>
        </w:rPr>
        <w:t xml:space="preserve">Conforme a ello, se considera que con la información proporcionada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 este punto de la solicitud de información se satisface  la pretensión del ahora </w:t>
      </w:r>
      <w:r>
        <w:rPr>
          <w:rFonts w:ascii="Palatino Linotype" w:eastAsia="Palatino Linotype" w:hAnsi="Palatino Linotype" w:cs="Palatino Linotype"/>
          <w:b/>
        </w:rPr>
        <w:t xml:space="preserve">RECURRENTE. </w:t>
      </w:r>
    </w:p>
    <w:p w14:paraId="723C4FEC" w14:textId="77777777" w:rsidR="00A60646" w:rsidRDefault="007151D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Finalmente, sobre el motivo de inconformidad del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en donde señaló dar vista a la Contraloría, al respecto </w:t>
      </w:r>
      <w:r>
        <w:rPr>
          <w:rFonts w:ascii="Palatino Linotype" w:eastAsia="Palatino Linotype" w:hAnsi="Palatino Linotype" w:cs="Palatino Linotype"/>
        </w:rPr>
        <w:t>es preciso hacer de su conocimiento que el recurso de revisión no es la vía para instaurar procedimientos de responsabilidad administrativa, no obstante, se dejan a salvo sus derechos para que en caso de considerarlo oportuno a sus intereses, ejerza dicha acción ante las instancias correspondientes.</w:t>
      </w:r>
    </w:p>
    <w:p w14:paraId="0ED2FF5F" w14:textId="77777777" w:rsidR="00A60646" w:rsidRDefault="007151D3">
      <w:pPr>
        <w:spacing w:before="360" w:after="360" w:line="360" w:lineRule="auto"/>
        <w:jc w:val="both"/>
        <w:rPr>
          <w:rFonts w:ascii="Palatino Linotype" w:eastAsia="Palatino Linotype" w:hAnsi="Palatino Linotype" w:cs="Palatino Linotype"/>
          <w:highlight w:val="yellow"/>
        </w:rPr>
      </w:pPr>
      <w:r>
        <w:rPr>
          <w:rFonts w:ascii="Palatino Linotype" w:eastAsia="Palatino Linotype" w:hAnsi="Palatino Linotype" w:cs="Palatino Linotype"/>
        </w:rPr>
        <w:lastRenderedPageBreak/>
        <w:t xml:space="preserve">En consecuencia, este Organismo Garante determina que las razones o motivos de inconformidad vertidos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el recurso de revisión en estudio, resultan fundadas y procedentes por lo que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la respuesta del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y se ordena que entregue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vía </w:t>
      </w:r>
      <w:r>
        <w:rPr>
          <w:rFonts w:ascii="Palatino Linotype" w:eastAsia="Palatino Linotype" w:hAnsi="Palatino Linotype" w:cs="Palatino Linotype"/>
          <w:b/>
        </w:rPr>
        <w:t>SAIMEX</w:t>
      </w:r>
      <w:r>
        <w:rPr>
          <w:rFonts w:ascii="Palatino Linotype" w:eastAsia="Palatino Linotype" w:hAnsi="Palatino Linotype" w:cs="Palatino Linotype"/>
        </w:rPr>
        <w:t>, el Acuerdo debidamente fundado y motivado.</w:t>
      </w:r>
    </w:p>
    <w:p w14:paraId="4F9B874C" w14:textId="77777777" w:rsidR="00A60646" w:rsidRDefault="007151D3">
      <w:pPr>
        <w:tabs>
          <w:tab w:val="left" w:pos="709"/>
        </w:tabs>
        <w:spacing w:before="36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1CA259C2" w14:textId="77777777" w:rsidR="00A60646" w:rsidRDefault="007151D3">
      <w:pPr>
        <w:numPr>
          <w:ilvl w:val="0"/>
          <w:numId w:val="5"/>
        </w:numPr>
        <w:spacing w:before="360" w:after="36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14:paraId="1B5A3794" w14:textId="77777777" w:rsidR="00A60646" w:rsidRDefault="007151D3">
      <w:pPr>
        <w:spacing w:before="360" w:after="36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fundados los motivos de inconformidad hechos valer por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01039/INFOEM/IP/RR/2022</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rPr>
        <w:t xml:space="preserve">por lo que, en términos del Considerando Cuarto de la presente resolución,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la respuesta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del </w:t>
      </w:r>
      <w:r>
        <w:rPr>
          <w:rFonts w:ascii="Palatino Linotype" w:eastAsia="Palatino Linotype" w:hAnsi="Palatino Linotype" w:cs="Palatino Linotype"/>
          <w:b/>
        </w:rPr>
        <w:t>SUJETO OBLIGADO.</w:t>
      </w:r>
    </w:p>
    <w:p w14:paraId="6F12E2E8" w14:textId="77777777" w:rsidR="00A60646" w:rsidRDefault="007151D3">
      <w:pPr>
        <w:spacing w:before="36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Ordena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términos del Considerando </w:t>
      </w:r>
      <w:r>
        <w:rPr>
          <w:rFonts w:ascii="Palatino Linotype" w:eastAsia="Palatino Linotype" w:hAnsi="Palatino Linotype" w:cs="Palatino Linotype"/>
          <w:b/>
        </w:rPr>
        <w:t>Cuarto</w:t>
      </w:r>
      <w:r>
        <w:rPr>
          <w:rFonts w:ascii="Palatino Linotype" w:eastAsia="Palatino Linotype" w:hAnsi="Palatino Linotype" w:cs="Palatino Linotype"/>
        </w:rPr>
        <w:t xml:space="preserve"> de esta resolución, haga entrega </w:t>
      </w:r>
      <w:r>
        <w:rPr>
          <w:rFonts w:ascii="Palatino Linotype" w:eastAsia="Palatino Linotype" w:hAnsi="Palatino Linotype" w:cs="Palatino Linotype"/>
          <w:b/>
        </w:rPr>
        <w:t>SAIMEX</w:t>
      </w:r>
      <w:r>
        <w:rPr>
          <w:rFonts w:ascii="Palatino Linotype" w:eastAsia="Palatino Linotype" w:hAnsi="Palatino Linotype" w:cs="Palatino Linotype"/>
        </w:rPr>
        <w:t xml:space="preserve">, de: </w:t>
      </w:r>
    </w:p>
    <w:p w14:paraId="4297DCAF" w14:textId="77777777" w:rsidR="00A60646" w:rsidRDefault="007151D3">
      <w:pPr>
        <w:numPr>
          <w:ilvl w:val="0"/>
          <w:numId w:val="3"/>
        </w:numPr>
        <w:spacing w:line="360" w:lineRule="auto"/>
        <w:ind w:right="49"/>
        <w:jc w:val="both"/>
        <w:rPr>
          <w:rFonts w:ascii="Palatino Linotype" w:eastAsia="Palatino Linotype" w:hAnsi="Palatino Linotype" w:cs="Palatino Linotype"/>
        </w:rPr>
      </w:pPr>
      <w:bookmarkStart w:id="5" w:name="_heading=h.1fob9te" w:colFirst="0" w:colLast="0"/>
      <w:bookmarkEnd w:id="5"/>
      <w:r>
        <w:rPr>
          <w:rFonts w:ascii="Palatino Linotype" w:eastAsia="Palatino Linotype" w:hAnsi="Palatino Linotype" w:cs="Palatino Linotype"/>
        </w:rPr>
        <w:lastRenderedPageBreak/>
        <w:t xml:space="preserve">Acuerdo del Comité de Transparencia de conformidad con lo dispuesto en la Ley de Transparencia y Acceso a la Información Pública del Estado de México y Municipios, en el que funde y motive adecuadamente la reserva de información relativa a los cuatro juicios promovidos por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se encuentran en trámite.</w:t>
      </w:r>
    </w:p>
    <w:p w14:paraId="56FA0FE5" w14:textId="77777777" w:rsidR="00A60646" w:rsidRDefault="00A60646">
      <w:pPr>
        <w:spacing w:line="360" w:lineRule="auto"/>
        <w:ind w:left="720" w:right="49"/>
        <w:jc w:val="both"/>
        <w:rPr>
          <w:rFonts w:ascii="Palatino Linotype" w:eastAsia="Palatino Linotype" w:hAnsi="Palatino Linotype" w:cs="Palatino Linotype"/>
        </w:rPr>
      </w:pPr>
    </w:p>
    <w:p w14:paraId="5240BABA" w14:textId="77777777" w:rsidR="00A60646" w:rsidRDefault="007151D3">
      <w:pPr>
        <w:spacing w:before="360" w:after="36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TERCERO. Notifíquese, vía SAIMEX </w:t>
      </w:r>
      <w:r>
        <w:rPr>
          <w:rFonts w:ascii="Palatino Linotype" w:eastAsia="Palatino Linotype" w:hAnsi="Palatino Linotype" w:cs="Palatino Linotype"/>
        </w:rPr>
        <w:t>al Responsable de la Unidad de Transparencia del Sujeto Obligado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Pr>
          <w:rFonts w:ascii="Palatino Linotype" w:eastAsia="Palatino Linotype" w:hAnsi="Palatino Linotype" w:cs="Palatino Linotype"/>
          <w:b/>
        </w:rPr>
        <w:t>.</w:t>
      </w:r>
    </w:p>
    <w:p w14:paraId="1848590D" w14:textId="77777777" w:rsidR="00A60646" w:rsidRDefault="007151D3">
      <w:pPr>
        <w:spacing w:before="36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A8CF548" w14:textId="77777777" w:rsidR="00A60646" w:rsidRDefault="007151D3">
      <w:pPr>
        <w:spacing w:before="36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QUINTO</w:t>
      </w:r>
      <w:r>
        <w:rPr>
          <w:rFonts w:ascii="Palatino Linotype" w:eastAsia="Palatino Linotype" w:hAnsi="Palatino Linotype" w:cs="Palatino Linotype"/>
          <w:b/>
          <w:sz w:val="28"/>
          <w:szCs w:val="28"/>
        </w:rPr>
        <w:t>.</w:t>
      </w:r>
      <w:r>
        <w:rPr>
          <w:rFonts w:ascii="Palatino Linotype" w:eastAsia="Palatino Linotype" w:hAnsi="Palatino Linotype" w:cs="Palatino Linotype"/>
          <w:b/>
        </w:rPr>
        <w:t xml:space="preserve">  Notifíquese </w:t>
      </w:r>
      <w:r>
        <w:rPr>
          <w:rFonts w:ascii="Palatino Linotype" w:eastAsia="Palatino Linotype" w:hAnsi="Palatino Linotype" w:cs="Palatino Linotype"/>
        </w:rPr>
        <w:t xml:space="preserve">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w:t>
      </w:r>
      <w:r>
        <w:rPr>
          <w:rFonts w:ascii="Palatino Linotype" w:eastAsia="Palatino Linotype" w:hAnsi="Palatino Linotype" w:cs="Palatino Linotype"/>
          <w:b/>
        </w:rPr>
        <w:t>vía</w:t>
      </w:r>
      <w:r>
        <w:rPr>
          <w:rFonts w:ascii="Palatino Linotype" w:eastAsia="Palatino Linotype" w:hAnsi="Palatino Linotype" w:cs="Palatino Linotype"/>
        </w:rPr>
        <w:t xml:space="preserve"> </w:t>
      </w:r>
      <w:r>
        <w:rPr>
          <w:rFonts w:ascii="Palatino Linotype" w:eastAsia="Palatino Linotype" w:hAnsi="Palatino Linotype" w:cs="Palatino Linotype"/>
          <w:b/>
        </w:rPr>
        <w:t>SAIMEX</w:t>
      </w:r>
      <w:r>
        <w:rPr>
          <w:rFonts w:ascii="Palatino Linotype" w:eastAsia="Palatino Linotype" w:hAnsi="Palatino Linotype" w:cs="Palatino Linotype"/>
        </w:rPr>
        <w:t>, así como, que de conformidad con lo establecido en el artículo 196 de la Ley de Transparencia y Acceso a la Información Pública del Estado de México y Municipios, y en lo dispuesto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 o bien, vía juicio de amparo en los términos de las Leyes aplicables.</w:t>
      </w:r>
    </w:p>
    <w:p w14:paraId="7CAA8F6A" w14:textId="77777777" w:rsidR="00A60646" w:rsidRDefault="007151D3">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E77B80">
        <w:rPr>
          <w:rFonts w:ascii="Palatino Linotype" w:eastAsia="Palatino Linotype" w:hAnsi="Palatino Linotype" w:cs="Palatino Linotype"/>
        </w:rPr>
        <w:t xml:space="preserve"> EMITIENDO VOTO PARTICULAR</w:t>
      </w:r>
      <w:r>
        <w:rPr>
          <w:rFonts w:ascii="Palatino Linotype" w:eastAsia="Palatino Linotype" w:hAnsi="Palatino Linotype" w:cs="Palatino Linotype"/>
        </w:rPr>
        <w:t xml:space="preserve"> Y GUADALUPE RAMÍREZ PEÑA; EN LA DÉCIMA OCTAVA SESIÓN ORDINARIA CELEBRADA EL DIECIOCHO DE MAYO DE DOS MIL VEINTIDÓS, ANTE EL SECRETARIO TÉCNICO DEL PLENO ALEXIS TAPIA RAMÍREZ.</w:t>
      </w:r>
    </w:p>
    <w:p w14:paraId="364CC18E" w14:textId="77777777" w:rsidR="00A60646" w:rsidRDefault="00A60646">
      <w:pPr>
        <w:rPr>
          <w:rFonts w:ascii="Palatino Linotype" w:eastAsia="Palatino Linotype" w:hAnsi="Palatino Linotype" w:cs="Palatino Linotype"/>
        </w:rPr>
      </w:pPr>
    </w:p>
    <w:p w14:paraId="39AA3BBA" w14:textId="77777777" w:rsidR="00A60646" w:rsidRDefault="00A60646">
      <w:pPr>
        <w:spacing w:line="360" w:lineRule="auto"/>
        <w:jc w:val="both"/>
        <w:rPr>
          <w:rFonts w:ascii="Palatino Linotype" w:eastAsia="Palatino Linotype" w:hAnsi="Palatino Linotype" w:cs="Palatino Linotype"/>
        </w:rPr>
      </w:pPr>
    </w:p>
    <w:p w14:paraId="52C231ED" w14:textId="77777777" w:rsidR="00A60646" w:rsidRDefault="00A60646">
      <w:pPr>
        <w:spacing w:line="360" w:lineRule="auto"/>
        <w:jc w:val="both"/>
        <w:rPr>
          <w:rFonts w:ascii="Palatino Linotype" w:eastAsia="Palatino Linotype" w:hAnsi="Palatino Linotype" w:cs="Palatino Linotype"/>
        </w:rPr>
      </w:pPr>
    </w:p>
    <w:p w14:paraId="7F022563" w14:textId="77777777" w:rsidR="00A60646" w:rsidRDefault="00A60646">
      <w:pPr>
        <w:spacing w:line="360" w:lineRule="auto"/>
        <w:jc w:val="both"/>
        <w:rPr>
          <w:rFonts w:ascii="Palatino Linotype" w:eastAsia="Palatino Linotype" w:hAnsi="Palatino Linotype" w:cs="Palatino Linotype"/>
        </w:rPr>
      </w:pPr>
    </w:p>
    <w:p w14:paraId="1061546F" w14:textId="77777777" w:rsidR="00A60646" w:rsidRDefault="00A60646">
      <w:pPr>
        <w:spacing w:line="360" w:lineRule="auto"/>
        <w:jc w:val="both"/>
        <w:rPr>
          <w:rFonts w:ascii="Palatino Linotype" w:eastAsia="Palatino Linotype" w:hAnsi="Palatino Linotype" w:cs="Palatino Linotype"/>
        </w:rPr>
      </w:pPr>
    </w:p>
    <w:p w14:paraId="00F0D768" w14:textId="77777777" w:rsidR="00A60646" w:rsidRDefault="00A60646">
      <w:pPr>
        <w:spacing w:line="360" w:lineRule="auto"/>
        <w:jc w:val="both"/>
        <w:rPr>
          <w:rFonts w:ascii="Palatino Linotype" w:eastAsia="Palatino Linotype" w:hAnsi="Palatino Linotype" w:cs="Palatino Linotype"/>
        </w:rPr>
      </w:pPr>
    </w:p>
    <w:p w14:paraId="32846349" w14:textId="77777777" w:rsidR="00A60646" w:rsidRDefault="00A60646">
      <w:pPr>
        <w:spacing w:line="360" w:lineRule="auto"/>
        <w:jc w:val="both"/>
        <w:rPr>
          <w:rFonts w:ascii="Palatino Linotype" w:eastAsia="Palatino Linotype" w:hAnsi="Palatino Linotype" w:cs="Palatino Linotype"/>
        </w:rPr>
      </w:pPr>
    </w:p>
    <w:p w14:paraId="1BE1AB55" w14:textId="77777777" w:rsidR="00A60646" w:rsidRDefault="00A60646">
      <w:pPr>
        <w:spacing w:line="360" w:lineRule="auto"/>
        <w:jc w:val="both"/>
        <w:rPr>
          <w:rFonts w:ascii="Palatino Linotype" w:eastAsia="Palatino Linotype" w:hAnsi="Palatino Linotype" w:cs="Palatino Linotype"/>
        </w:rPr>
      </w:pPr>
    </w:p>
    <w:p w14:paraId="3B76A99E" w14:textId="77777777" w:rsidR="00A60646" w:rsidRDefault="00A60646">
      <w:pPr>
        <w:spacing w:line="360" w:lineRule="auto"/>
        <w:jc w:val="both"/>
        <w:rPr>
          <w:rFonts w:ascii="Palatino Linotype" w:eastAsia="Palatino Linotype" w:hAnsi="Palatino Linotype" w:cs="Palatino Linotype"/>
        </w:rPr>
      </w:pPr>
    </w:p>
    <w:p w14:paraId="5255EA67" w14:textId="77777777" w:rsidR="00A60646" w:rsidRDefault="00A60646">
      <w:pPr>
        <w:spacing w:line="360" w:lineRule="auto"/>
        <w:jc w:val="both"/>
        <w:rPr>
          <w:rFonts w:ascii="Palatino Linotype" w:eastAsia="Palatino Linotype" w:hAnsi="Palatino Linotype" w:cs="Palatino Linotype"/>
        </w:rPr>
      </w:pPr>
    </w:p>
    <w:p w14:paraId="450E450A" w14:textId="77777777" w:rsidR="00A60646" w:rsidRDefault="00A60646">
      <w:pPr>
        <w:spacing w:line="360" w:lineRule="auto"/>
        <w:jc w:val="both"/>
        <w:rPr>
          <w:rFonts w:ascii="Palatino Linotype" w:eastAsia="Palatino Linotype" w:hAnsi="Palatino Linotype" w:cs="Palatino Linotype"/>
        </w:rPr>
      </w:pPr>
    </w:p>
    <w:p w14:paraId="4F7B5F62" w14:textId="77777777" w:rsidR="00A60646" w:rsidRDefault="00A60646">
      <w:pPr>
        <w:spacing w:line="360" w:lineRule="auto"/>
        <w:jc w:val="both"/>
        <w:rPr>
          <w:rFonts w:ascii="Palatino Linotype" w:eastAsia="Palatino Linotype" w:hAnsi="Palatino Linotype" w:cs="Palatino Linotype"/>
        </w:rPr>
      </w:pPr>
    </w:p>
    <w:p w14:paraId="4B0708C5" w14:textId="77777777" w:rsidR="00A60646" w:rsidRDefault="00A60646">
      <w:pPr>
        <w:spacing w:line="360" w:lineRule="auto"/>
        <w:jc w:val="both"/>
        <w:rPr>
          <w:rFonts w:ascii="Palatino Linotype" w:eastAsia="Palatino Linotype" w:hAnsi="Palatino Linotype" w:cs="Palatino Linotype"/>
        </w:rPr>
      </w:pPr>
    </w:p>
    <w:p w14:paraId="67E8430F" w14:textId="77777777" w:rsidR="00A60646" w:rsidRDefault="00A60646">
      <w:pPr>
        <w:spacing w:line="360" w:lineRule="auto"/>
        <w:jc w:val="both"/>
        <w:rPr>
          <w:rFonts w:ascii="Palatino Linotype" w:eastAsia="Palatino Linotype" w:hAnsi="Palatino Linotype" w:cs="Palatino Linotype"/>
        </w:rPr>
      </w:pPr>
    </w:p>
    <w:p w14:paraId="546179F4" w14:textId="77777777" w:rsidR="00A60646" w:rsidRDefault="00A60646">
      <w:pPr>
        <w:spacing w:line="360" w:lineRule="auto"/>
        <w:jc w:val="both"/>
        <w:rPr>
          <w:rFonts w:ascii="Palatino Linotype" w:eastAsia="Palatino Linotype" w:hAnsi="Palatino Linotype" w:cs="Palatino Linotype"/>
        </w:rPr>
      </w:pPr>
    </w:p>
    <w:p w14:paraId="3A9067DF" w14:textId="77777777" w:rsidR="00A60646" w:rsidRDefault="00A60646">
      <w:pPr>
        <w:spacing w:line="360" w:lineRule="auto"/>
        <w:jc w:val="both"/>
        <w:rPr>
          <w:rFonts w:ascii="Palatino Linotype" w:eastAsia="Palatino Linotype" w:hAnsi="Palatino Linotype" w:cs="Palatino Linotype"/>
        </w:rPr>
      </w:pPr>
    </w:p>
    <w:p w14:paraId="50EDB4DF" w14:textId="77777777" w:rsidR="00A60646" w:rsidRDefault="00A60646">
      <w:pPr>
        <w:spacing w:line="360" w:lineRule="auto"/>
        <w:jc w:val="both"/>
        <w:rPr>
          <w:rFonts w:ascii="Palatino Linotype" w:eastAsia="Palatino Linotype" w:hAnsi="Palatino Linotype" w:cs="Palatino Linotype"/>
        </w:rPr>
      </w:pPr>
    </w:p>
    <w:p w14:paraId="4A40A734" w14:textId="77777777" w:rsidR="00A60646" w:rsidRDefault="00A60646">
      <w:pPr>
        <w:spacing w:line="360" w:lineRule="auto"/>
        <w:jc w:val="both"/>
        <w:rPr>
          <w:rFonts w:ascii="Palatino Linotype" w:eastAsia="Palatino Linotype" w:hAnsi="Palatino Linotype" w:cs="Palatino Linotype"/>
        </w:rPr>
      </w:pPr>
    </w:p>
    <w:p w14:paraId="2D5B47B7" w14:textId="77777777" w:rsidR="00A60646" w:rsidRDefault="00A60646">
      <w:pPr>
        <w:spacing w:line="360" w:lineRule="auto"/>
        <w:jc w:val="both"/>
        <w:rPr>
          <w:rFonts w:ascii="Palatino Linotype" w:eastAsia="Palatino Linotype" w:hAnsi="Palatino Linotype" w:cs="Palatino Linotype"/>
        </w:rPr>
      </w:pPr>
    </w:p>
    <w:p w14:paraId="21DAF872" w14:textId="77777777" w:rsidR="00A60646" w:rsidRDefault="00A60646">
      <w:pPr>
        <w:spacing w:line="360" w:lineRule="auto"/>
        <w:jc w:val="both"/>
        <w:rPr>
          <w:rFonts w:ascii="Palatino Linotype" w:eastAsia="Palatino Linotype" w:hAnsi="Palatino Linotype" w:cs="Palatino Linotype"/>
        </w:rPr>
      </w:pPr>
    </w:p>
    <w:p w14:paraId="6879F365" w14:textId="77777777" w:rsidR="00A60646" w:rsidRDefault="00A60646">
      <w:pPr>
        <w:spacing w:line="360" w:lineRule="auto"/>
        <w:jc w:val="both"/>
        <w:rPr>
          <w:rFonts w:ascii="Palatino Linotype" w:eastAsia="Palatino Linotype" w:hAnsi="Palatino Linotype" w:cs="Palatino Linotype"/>
        </w:rPr>
      </w:pPr>
    </w:p>
    <w:p w14:paraId="297B5C8F" w14:textId="77777777" w:rsidR="00A60646" w:rsidRDefault="00A60646">
      <w:pPr>
        <w:spacing w:line="360" w:lineRule="auto"/>
        <w:jc w:val="both"/>
        <w:rPr>
          <w:rFonts w:ascii="Palatino Linotype" w:eastAsia="Palatino Linotype" w:hAnsi="Palatino Linotype" w:cs="Palatino Linotype"/>
        </w:rPr>
      </w:pPr>
    </w:p>
    <w:sectPr w:rsidR="00A60646">
      <w:headerReference w:type="default" r:id="rId15"/>
      <w:footerReference w:type="default" r:id="rId16"/>
      <w:headerReference w:type="first" r:id="rId17"/>
      <w:footerReference w:type="first" r:id="rId18"/>
      <w:pgSz w:w="12240" w:h="15840"/>
      <w:pgMar w:top="1985" w:right="1701" w:bottom="1701" w:left="1701" w:header="974"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752FE5" w14:textId="77777777" w:rsidR="00D57C13" w:rsidRDefault="00D57C13">
      <w:r>
        <w:separator/>
      </w:r>
    </w:p>
  </w:endnote>
  <w:endnote w:type="continuationSeparator" w:id="0">
    <w:p w14:paraId="2C75317E" w14:textId="77777777" w:rsidR="00D57C13" w:rsidRDefault="00D57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B35B6" w14:textId="77777777" w:rsidR="00A60646" w:rsidRDefault="007151D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56359">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56359">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14:paraId="73D841EF" w14:textId="77777777" w:rsidR="00A60646" w:rsidRDefault="00A6064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70FB2" w14:textId="77777777" w:rsidR="00A60646" w:rsidRDefault="007151D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56359">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56359">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14:paraId="2332080B" w14:textId="77777777" w:rsidR="00A60646" w:rsidRDefault="00A6064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61E12C" w14:textId="77777777" w:rsidR="00D57C13" w:rsidRDefault="00D57C13">
      <w:r>
        <w:separator/>
      </w:r>
    </w:p>
  </w:footnote>
  <w:footnote w:type="continuationSeparator" w:id="0">
    <w:p w14:paraId="4B6F838D" w14:textId="77777777" w:rsidR="00D57C13" w:rsidRDefault="00D57C13">
      <w:r>
        <w:continuationSeparator/>
      </w:r>
    </w:p>
  </w:footnote>
  <w:footnote w:id="1">
    <w:p w14:paraId="74697F11" w14:textId="77777777" w:rsidR="00A60646" w:rsidRDefault="007151D3">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0E3CAB56" w14:textId="77777777" w:rsidR="00A60646" w:rsidRDefault="007151D3">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5B7E2" w14:textId="77777777" w:rsidR="00A60646" w:rsidRDefault="007151D3">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423BAA75" wp14:editId="06071D9A">
          <wp:simplePos x="0" y="0"/>
          <wp:positionH relativeFrom="column">
            <wp:posOffset>-1080134</wp:posOffset>
          </wp:positionH>
          <wp:positionV relativeFrom="paragraph">
            <wp:posOffset>-384162</wp:posOffset>
          </wp:positionV>
          <wp:extent cx="7809865" cy="10165715"/>
          <wp:effectExtent l="0" t="0" r="0" b="0"/>
          <wp:wrapNone/>
          <wp:docPr id="5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e"/>
      <w:tblW w:w="5953" w:type="dxa"/>
      <w:tblInd w:w="3261" w:type="dxa"/>
      <w:tblLayout w:type="fixed"/>
      <w:tblLook w:val="0400" w:firstRow="0" w:lastRow="0" w:firstColumn="0" w:lastColumn="0" w:noHBand="0" w:noVBand="1"/>
    </w:tblPr>
    <w:tblGrid>
      <w:gridCol w:w="2489"/>
      <w:gridCol w:w="3464"/>
    </w:tblGrid>
    <w:tr w:rsidR="00A60646" w14:paraId="5A9799CF" w14:textId="77777777">
      <w:tc>
        <w:tcPr>
          <w:tcW w:w="2489" w:type="dxa"/>
          <w:shd w:val="clear" w:color="auto" w:fill="auto"/>
        </w:tcPr>
        <w:p w14:paraId="7F9C3808" w14:textId="77777777" w:rsidR="00A60646" w:rsidRDefault="007151D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71E906E" w14:textId="77777777" w:rsidR="00A60646" w:rsidRDefault="007151D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01039/INFOEM/IP/RR/2022</w:t>
          </w:r>
        </w:p>
      </w:tc>
    </w:tr>
    <w:tr w:rsidR="00A60646" w14:paraId="48F08029" w14:textId="77777777">
      <w:trPr>
        <w:trHeight w:val="228"/>
      </w:trPr>
      <w:tc>
        <w:tcPr>
          <w:tcW w:w="2489" w:type="dxa"/>
          <w:shd w:val="clear" w:color="auto" w:fill="auto"/>
          <w:vAlign w:val="center"/>
        </w:tcPr>
        <w:p w14:paraId="04F48FD7" w14:textId="77777777" w:rsidR="00A60646" w:rsidRDefault="007151D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353EE553" w14:textId="349D4427" w:rsidR="00A60646" w:rsidRDefault="007151D3">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Organismo Público Descentralizado para la Prestación de </w:t>
          </w:r>
          <w:r w:rsidR="0036077C">
            <w:rPr>
              <w:rFonts w:ascii="Palatino Linotype" w:eastAsia="Palatino Linotype" w:hAnsi="Palatino Linotype" w:cs="Palatino Linotype"/>
              <w:b/>
              <w:sz w:val="22"/>
              <w:szCs w:val="22"/>
            </w:rPr>
            <w:t>l</w:t>
          </w:r>
          <w:r>
            <w:rPr>
              <w:rFonts w:ascii="Palatino Linotype" w:eastAsia="Palatino Linotype" w:hAnsi="Palatino Linotype" w:cs="Palatino Linotype"/>
              <w:b/>
              <w:sz w:val="22"/>
              <w:szCs w:val="22"/>
            </w:rPr>
            <w:t>os Servicios de Agua Potable Alcantarillado y Saneamiento de Atizapán de Zaragoza por sus siglas S.A.P.A.S.A.</w:t>
          </w:r>
        </w:p>
      </w:tc>
    </w:tr>
    <w:tr w:rsidR="00A60646" w14:paraId="4DE1B08D" w14:textId="77777777">
      <w:tc>
        <w:tcPr>
          <w:tcW w:w="2489" w:type="dxa"/>
          <w:shd w:val="clear" w:color="auto" w:fill="auto"/>
          <w:vAlign w:val="center"/>
        </w:tcPr>
        <w:p w14:paraId="4D718B05" w14:textId="77777777" w:rsidR="00A60646" w:rsidRDefault="007151D3">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17EF2EC3" w14:textId="77777777" w:rsidR="00A60646" w:rsidRDefault="007151D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63EF686" w14:textId="77777777" w:rsidR="00A60646" w:rsidRDefault="007151D3">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94F80" w14:textId="77777777" w:rsidR="00A60646" w:rsidRDefault="007151D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5A076147" wp14:editId="682BD3CE">
          <wp:simplePos x="0" y="0"/>
          <wp:positionH relativeFrom="column">
            <wp:posOffset>-1089023</wp:posOffset>
          </wp:positionH>
          <wp:positionV relativeFrom="paragraph">
            <wp:posOffset>88228</wp:posOffset>
          </wp:positionV>
          <wp:extent cx="7809500" cy="11469407"/>
          <wp:effectExtent l="0" t="0" r="0" b="0"/>
          <wp:wrapNone/>
          <wp:docPr id="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500" cy="11469407"/>
                  </a:xfrm>
                  <a:prstGeom prst="rect">
                    <a:avLst/>
                  </a:prstGeom>
                  <a:ln/>
                </pic:spPr>
              </pic:pic>
            </a:graphicData>
          </a:graphic>
        </wp:anchor>
      </w:drawing>
    </w:r>
  </w:p>
  <w:tbl>
    <w:tblPr>
      <w:tblStyle w:val="ad"/>
      <w:tblW w:w="5670" w:type="dxa"/>
      <w:tblInd w:w="3261" w:type="dxa"/>
      <w:tblLayout w:type="fixed"/>
      <w:tblLook w:val="0400" w:firstRow="0" w:lastRow="0" w:firstColumn="0" w:lastColumn="0" w:noHBand="0" w:noVBand="1"/>
    </w:tblPr>
    <w:tblGrid>
      <w:gridCol w:w="2551"/>
      <w:gridCol w:w="3119"/>
    </w:tblGrid>
    <w:tr w:rsidR="00A60646" w14:paraId="0A07708F" w14:textId="77777777">
      <w:tc>
        <w:tcPr>
          <w:tcW w:w="2551" w:type="dxa"/>
          <w:shd w:val="clear" w:color="auto" w:fill="auto"/>
          <w:vAlign w:val="center"/>
        </w:tcPr>
        <w:p w14:paraId="35ABD471" w14:textId="77777777" w:rsidR="00A60646" w:rsidRDefault="007151D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1C01BEF5" w14:textId="77777777" w:rsidR="00A60646" w:rsidRDefault="007151D3">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01039/INFOEM/IP/RR/2022</w:t>
          </w:r>
        </w:p>
      </w:tc>
    </w:tr>
    <w:tr w:rsidR="00A60646" w14:paraId="54DFD634" w14:textId="77777777">
      <w:trPr>
        <w:trHeight w:val="130"/>
      </w:trPr>
      <w:tc>
        <w:tcPr>
          <w:tcW w:w="2551" w:type="dxa"/>
          <w:shd w:val="clear" w:color="auto" w:fill="auto"/>
          <w:vAlign w:val="center"/>
        </w:tcPr>
        <w:p w14:paraId="5A75D03A" w14:textId="77777777" w:rsidR="00A60646" w:rsidRDefault="007151D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74C21656" w14:textId="7AB5F71D" w:rsidR="00A60646" w:rsidRDefault="0015635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 XXXXXX </w:t>
          </w:r>
          <w:proofErr w:type="spellStart"/>
          <w:r>
            <w:rPr>
              <w:rFonts w:ascii="Palatino Linotype" w:eastAsia="Palatino Linotype" w:hAnsi="Palatino Linotype" w:cs="Palatino Linotype"/>
              <w:b/>
              <w:sz w:val="22"/>
              <w:szCs w:val="22"/>
            </w:rPr>
            <w:t>XXXXXX</w:t>
          </w:r>
          <w:proofErr w:type="spellEnd"/>
        </w:p>
      </w:tc>
    </w:tr>
    <w:tr w:rsidR="00A60646" w14:paraId="0F331E4E" w14:textId="77777777">
      <w:trPr>
        <w:trHeight w:val="228"/>
      </w:trPr>
      <w:tc>
        <w:tcPr>
          <w:tcW w:w="2551" w:type="dxa"/>
          <w:shd w:val="clear" w:color="auto" w:fill="auto"/>
          <w:vAlign w:val="center"/>
        </w:tcPr>
        <w:p w14:paraId="2A297790" w14:textId="77777777" w:rsidR="00A60646" w:rsidRDefault="007151D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13DC8DA8" w14:textId="77777777" w:rsidR="00A60646" w:rsidRDefault="007151D3">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Público Descentralizado para la Prestación de los Servicios de Agua Potable Alcantarillado y Saneamiento de Atizapán de Zaragoza por sus siglas S.A.P.A.S.A.</w:t>
          </w:r>
        </w:p>
      </w:tc>
    </w:tr>
    <w:tr w:rsidR="00A60646" w14:paraId="7F54581D" w14:textId="77777777">
      <w:tc>
        <w:tcPr>
          <w:tcW w:w="2551" w:type="dxa"/>
          <w:shd w:val="clear" w:color="auto" w:fill="auto"/>
          <w:vAlign w:val="center"/>
        </w:tcPr>
        <w:p w14:paraId="371E599F" w14:textId="77777777" w:rsidR="00A60646" w:rsidRDefault="007151D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226106F3" w14:textId="77777777" w:rsidR="00A60646" w:rsidRDefault="007151D3">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1C54772" w14:textId="77777777" w:rsidR="00A60646" w:rsidRDefault="00A60646">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6F3C68"/>
    <w:multiLevelType w:val="multilevel"/>
    <w:tmpl w:val="200EF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097E07"/>
    <w:multiLevelType w:val="multilevel"/>
    <w:tmpl w:val="5B4CF734"/>
    <w:lvl w:ilvl="0">
      <w:start w:val="1"/>
      <w:numFmt w:val="decimal"/>
      <w:pStyle w:val="Listaconvietas3"/>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2C8E034F"/>
    <w:multiLevelType w:val="multilevel"/>
    <w:tmpl w:val="14C40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5E71DC4"/>
    <w:multiLevelType w:val="multilevel"/>
    <w:tmpl w:val="52584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BEA32B3"/>
    <w:multiLevelType w:val="multilevel"/>
    <w:tmpl w:val="725CB824"/>
    <w:lvl w:ilvl="0">
      <w:start w:val="1"/>
      <w:numFmt w:val="upperRoman"/>
      <w:lvlText w:val="%1."/>
      <w:lvlJc w:val="left"/>
      <w:pPr>
        <w:ind w:left="1713" w:hanging="719"/>
      </w:pPr>
      <w:rPr>
        <w:b/>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5" w15:restartNumberingAfterBreak="0">
    <w:nsid w:val="468F1F92"/>
    <w:multiLevelType w:val="multilevel"/>
    <w:tmpl w:val="AE824468"/>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3941046"/>
    <w:multiLevelType w:val="multilevel"/>
    <w:tmpl w:val="E9D2AA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004193D"/>
    <w:multiLevelType w:val="multilevel"/>
    <w:tmpl w:val="CFFA68F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738177C9"/>
    <w:multiLevelType w:val="multilevel"/>
    <w:tmpl w:val="63F0428A"/>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 w:numId="4">
    <w:abstractNumId w:val="7"/>
  </w:num>
  <w:num w:numId="5">
    <w:abstractNumId w:val="5"/>
  </w:num>
  <w:num w:numId="6">
    <w:abstractNumId w:val="6"/>
  </w:num>
  <w:num w:numId="7">
    <w:abstractNumId w:val="4"/>
  </w:num>
  <w:num w:numId="8">
    <w:abstractNumId w:val="8"/>
  </w:num>
  <w:num w:numId="9">
    <w:abstractNumId w:val="3"/>
    <w:lvlOverride w:ilvl="0">
      <w:lvl w:ilvl="0">
        <w:numFmt w:val="upperRoman"/>
        <w:lvlText w:val="%1."/>
        <w:lvlJc w:val="righ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646"/>
    <w:rsid w:val="00065556"/>
    <w:rsid w:val="00156359"/>
    <w:rsid w:val="002B4C09"/>
    <w:rsid w:val="0036077C"/>
    <w:rsid w:val="0043227A"/>
    <w:rsid w:val="007151D3"/>
    <w:rsid w:val="007B37F9"/>
    <w:rsid w:val="00816A64"/>
    <w:rsid w:val="0088079B"/>
    <w:rsid w:val="008C2CAE"/>
    <w:rsid w:val="008F2AE0"/>
    <w:rsid w:val="009C1B4D"/>
    <w:rsid w:val="009F1BB5"/>
    <w:rsid w:val="00A60646"/>
    <w:rsid w:val="00B90850"/>
    <w:rsid w:val="00C00219"/>
    <w:rsid w:val="00D57C13"/>
    <w:rsid w:val="00E06DC6"/>
    <w:rsid w:val="00E77B80"/>
    <w:rsid w:val="00EB057F"/>
    <w:rsid w:val="00EC60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0EF6F"/>
  <w15:docId w15:val="{EBC96DAA-9F04-4058-9C4F-43BC372A8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6A3A"/>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paragraph" w:customStyle="1" w:styleId="Citas">
    <w:name w:val="Citas"/>
    <w:basedOn w:val="Normal"/>
    <w:qFormat/>
    <w:rsid w:val="00933F6B"/>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972EC7"/>
    <w:rPr>
      <w:color w:val="605E5C"/>
      <w:shd w:val="clear" w:color="auto" w:fill="E1DFDD"/>
    </w:r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5105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9xIbuS72zBMunblliV7v+yFPwg==">AMUW2mU2+TKCxxmTa4sM8GTqYNUsntvMsWE8SITgMYhnUc/MC4p+pX3y4dCVj/hWCqiTM08mPyaMwquIPPsMQIofv45BZmgbg03Ah4/qo4ctocdlV3zdR7lcU/xuJ0aSaezXYda5md6cw5AHw9tvnqFdCRVB/h3kdPJZBUBlefpVd+sronr+pOw=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51</Pages>
  <Words>10015</Words>
  <Characters>55087</Characters>
  <Application>Microsoft Office Word</Application>
  <DocSecurity>0</DocSecurity>
  <Lines>459</Lines>
  <Paragraphs>129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64973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Cuenta Microsoft</cp:lastModifiedBy>
  <cp:revision>7</cp:revision>
  <dcterms:created xsi:type="dcterms:W3CDTF">2022-05-17T17:37:00Z</dcterms:created>
  <dcterms:modified xsi:type="dcterms:W3CDTF">2022-06-06T16:57:00Z</dcterms:modified>
</cp:coreProperties>
</file>