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1C2A92" w14:textId="77777777" w:rsidR="00934E7C" w:rsidRPr="00C53469" w:rsidRDefault="00EA0165" w:rsidP="00934E7C">
      <w:pPr>
        <w:spacing w:line="360" w:lineRule="auto"/>
        <w:jc w:val="both"/>
        <w:rPr>
          <w:rFonts w:ascii="Palatino Linotype" w:eastAsiaTheme="minorEastAsia" w:hAnsi="Palatino Linotype"/>
          <w:lang w:val="es-ES_tradnl"/>
        </w:rPr>
      </w:pPr>
      <w:r w:rsidRPr="00C53469">
        <w:rPr>
          <w:rFonts w:ascii="Palatino Linotype" w:eastAsiaTheme="minorEastAsia" w:hAnsi="Palatino Linotype" w:cstheme="minorBidi"/>
          <w:color w:val="000000" w:themeColor="text1"/>
          <w:lang w:val="es-ES_tradnl"/>
        </w:rPr>
        <w:t>Resolución del Pleno del Instituto de Transparencia, Acceso a la Información Pública y Protección de Datos Personales del Estado de México y Municipios, con domicilio e</w:t>
      </w:r>
      <w:r w:rsidR="009B3353" w:rsidRPr="00C53469">
        <w:rPr>
          <w:rFonts w:ascii="Palatino Linotype" w:eastAsiaTheme="minorEastAsia" w:hAnsi="Palatino Linotype" w:cstheme="minorBidi"/>
          <w:color w:val="000000" w:themeColor="text1"/>
          <w:lang w:val="es-ES_tradnl"/>
        </w:rPr>
        <w:t xml:space="preserve">n Metepec, Estado </w:t>
      </w:r>
      <w:r w:rsidR="00B05DE3" w:rsidRPr="00C53469">
        <w:rPr>
          <w:rFonts w:ascii="Palatino Linotype" w:eastAsiaTheme="minorEastAsia" w:hAnsi="Palatino Linotype" w:cstheme="minorBidi"/>
          <w:color w:val="000000" w:themeColor="text1"/>
          <w:lang w:val="es-ES_tradnl"/>
        </w:rPr>
        <w:t xml:space="preserve">de México; </w:t>
      </w:r>
      <w:r w:rsidR="00934E7C" w:rsidRPr="00C53469">
        <w:rPr>
          <w:rFonts w:ascii="Palatino Linotype" w:eastAsiaTheme="minorEastAsia" w:hAnsi="Palatino Linotype"/>
          <w:lang w:val="es-ES_tradnl"/>
        </w:rPr>
        <w:t>de fecha dieciséis (16) de noviembre  de dos mil veintidós.</w:t>
      </w:r>
    </w:p>
    <w:p w14:paraId="252DC364" w14:textId="3BB84AD9" w:rsidR="00B05DE3" w:rsidRPr="00C53469" w:rsidRDefault="007C4587" w:rsidP="00C373ED">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C53469">
        <w:rPr>
          <w:rFonts w:ascii="Palatino Linotype" w:eastAsiaTheme="minorEastAsia" w:hAnsi="Palatino Linotype" w:cstheme="minorBidi"/>
          <w:b/>
          <w:color w:val="000000" w:themeColor="text1"/>
          <w:lang w:val="es-ES_tradnl"/>
        </w:rPr>
        <w:t>VISTO</w:t>
      </w:r>
      <w:r w:rsidRPr="00C53469">
        <w:rPr>
          <w:rFonts w:ascii="Palatino Linotype" w:eastAsiaTheme="minorEastAsia" w:hAnsi="Palatino Linotype" w:cstheme="minorBidi"/>
          <w:color w:val="000000" w:themeColor="text1"/>
          <w:lang w:val="es-ES_tradnl"/>
        </w:rPr>
        <w:t xml:space="preserve"> el expediente electrónico formado con motivo del recurso de revisión </w:t>
      </w:r>
      <w:r w:rsidR="00B05DE3" w:rsidRPr="00C53469">
        <w:rPr>
          <w:rFonts w:ascii="Palatino Linotype" w:eastAsiaTheme="minorEastAsia" w:hAnsi="Palatino Linotype" w:cstheme="minorBidi"/>
          <w:b/>
          <w:bCs/>
          <w:color w:val="000000" w:themeColor="text1"/>
        </w:rPr>
        <w:t xml:space="preserve">15663/INFOEM/IP/RR/2022, </w:t>
      </w:r>
      <w:r w:rsidR="00B05DE3" w:rsidRPr="00C53469">
        <w:rPr>
          <w:rFonts w:ascii="Palatino Linotype" w:eastAsiaTheme="minorEastAsia" w:hAnsi="Palatino Linotype" w:cstheme="minorBidi"/>
          <w:color w:val="000000" w:themeColor="text1"/>
          <w:lang w:val="es-ES_tradnl"/>
        </w:rPr>
        <w:t xml:space="preserve">promovido por un usuario del Sistema de Acceso a la Información Mexiquense </w:t>
      </w:r>
      <w:r w:rsidR="00B05DE3" w:rsidRPr="00C53469">
        <w:rPr>
          <w:rFonts w:ascii="Palatino Linotype" w:eastAsiaTheme="minorEastAsia" w:hAnsi="Palatino Linotype" w:cstheme="minorBidi"/>
          <w:b/>
          <w:color w:val="000000" w:themeColor="text1"/>
          <w:lang w:val="es-ES_tradnl"/>
        </w:rPr>
        <w:t xml:space="preserve">(SAIMEX), </w:t>
      </w:r>
      <w:r w:rsidR="00B05DE3" w:rsidRPr="00C53469">
        <w:rPr>
          <w:rFonts w:ascii="Palatino Linotype" w:eastAsiaTheme="minorEastAsia" w:hAnsi="Palatino Linotype" w:cstheme="minorBidi"/>
          <w:color w:val="000000" w:themeColor="text1"/>
          <w:lang w:val="es-ES_tradnl"/>
        </w:rPr>
        <w:t xml:space="preserve">quien no proporcionó ningún nombre o seudónimo para poder ser identificado, por lo que en lo sucesivo será identificado en su calidad de </w:t>
      </w:r>
      <w:r w:rsidR="00B05DE3" w:rsidRPr="00C53469">
        <w:rPr>
          <w:rFonts w:ascii="Palatino Linotype" w:eastAsiaTheme="minorEastAsia" w:hAnsi="Palatino Linotype" w:cstheme="minorBidi"/>
          <w:b/>
          <w:color w:val="000000" w:themeColor="text1"/>
          <w:lang w:val="es-ES_tradnl"/>
        </w:rPr>
        <w:t>RECURRENTE</w:t>
      </w:r>
      <w:r w:rsidR="00B05DE3" w:rsidRPr="00C53469">
        <w:rPr>
          <w:rFonts w:ascii="Palatino Linotype" w:eastAsiaTheme="minorEastAsia" w:hAnsi="Palatino Linotype" w:cstheme="minorBidi"/>
          <w:color w:val="000000" w:themeColor="text1"/>
          <w:lang w:val="es-ES_tradnl"/>
        </w:rPr>
        <w:t>, en</w:t>
      </w:r>
      <w:r w:rsidR="00D56C5F" w:rsidRPr="00C53469">
        <w:rPr>
          <w:rFonts w:ascii="Palatino Linotype" w:eastAsiaTheme="minorEastAsia" w:hAnsi="Palatino Linotype" w:cstheme="minorBidi"/>
          <w:color w:val="000000" w:themeColor="text1"/>
          <w:lang w:val="es-ES_tradnl"/>
        </w:rPr>
        <w:t xml:space="preserve"> contra de la respuesta del</w:t>
      </w:r>
      <w:r w:rsidR="00D56C5F" w:rsidRPr="00C53469">
        <w:rPr>
          <w:rFonts w:ascii="Palatino Linotype" w:eastAsiaTheme="minorEastAsia" w:hAnsi="Palatino Linotype" w:cstheme="minorBidi"/>
          <w:b/>
          <w:color w:val="000000" w:themeColor="text1"/>
          <w:lang w:val="es-ES_tradnl"/>
        </w:rPr>
        <w:t xml:space="preserve"> Ayuntamiento de Coacalco de Berriozábal</w:t>
      </w:r>
      <w:r w:rsidR="00D56C5F" w:rsidRPr="00C53469">
        <w:rPr>
          <w:rFonts w:ascii="Palatino Linotype" w:eastAsiaTheme="minorEastAsia" w:hAnsi="Palatino Linotype" w:cstheme="minorBidi"/>
          <w:color w:val="000000" w:themeColor="text1"/>
          <w:lang w:val="es-ES_tradnl"/>
        </w:rPr>
        <w:t xml:space="preserve"> </w:t>
      </w:r>
      <w:r w:rsidR="00B05DE3" w:rsidRPr="00C53469">
        <w:rPr>
          <w:rFonts w:ascii="Palatino Linotype" w:eastAsiaTheme="minorEastAsia" w:hAnsi="Palatino Linotype" w:cstheme="minorBidi"/>
          <w:color w:val="000000" w:themeColor="text1"/>
          <w:lang w:val="es-ES_tradnl"/>
        </w:rPr>
        <w:t>en lo</w:t>
      </w:r>
      <w:r w:rsidR="00B05DE3" w:rsidRPr="00C53469">
        <w:rPr>
          <w:rFonts w:ascii="Palatino Linotype" w:eastAsiaTheme="minorEastAsia" w:hAnsi="Palatino Linotype" w:cstheme="minorBidi"/>
          <w:b/>
          <w:color w:val="000000" w:themeColor="text1"/>
          <w:lang w:val="es-ES_tradnl"/>
        </w:rPr>
        <w:t xml:space="preserve"> </w:t>
      </w:r>
      <w:r w:rsidR="00B05DE3" w:rsidRPr="00C53469">
        <w:rPr>
          <w:rFonts w:ascii="Palatino Linotype" w:eastAsiaTheme="minorEastAsia" w:hAnsi="Palatino Linotype" w:cstheme="minorBidi"/>
          <w:color w:val="000000" w:themeColor="text1"/>
          <w:lang w:val="es-ES_tradnl"/>
        </w:rPr>
        <w:t>sucesivo el</w:t>
      </w:r>
      <w:r w:rsidR="00B05DE3" w:rsidRPr="00C53469">
        <w:rPr>
          <w:rFonts w:ascii="Palatino Linotype" w:eastAsiaTheme="minorEastAsia" w:hAnsi="Palatino Linotype" w:cstheme="minorBidi"/>
          <w:b/>
          <w:color w:val="000000" w:themeColor="text1"/>
          <w:lang w:val="es-ES_tradnl"/>
        </w:rPr>
        <w:t xml:space="preserve"> SUJETO OBLIGADO, </w:t>
      </w:r>
      <w:r w:rsidR="00B05DE3" w:rsidRPr="00C53469">
        <w:rPr>
          <w:rFonts w:ascii="Palatino Linotype" w:eastAsiaTheme="minorEastAsia" w:hAnsi="Palatino Linotype" w:cstheme="minorBidi"/>
          <w:color w:val="000000" w:themeColor="text1"/>
          <w:lang w:val="es-ES_tradnl"/>
        </w:rPr>
        <w:t xml:space="preserve">se procede a dictar </w:t>
      </w:r>
      <w:proofErr w:type="gramStart"/>
      <w:r w:rsidR="00B05DE3" w:rsidRPr="00C53469">
        <w:rPr>
          <w:rFonts w:ascii="Palatino Linotype" w:eastAsiaTheme="minorEastAsia" w:hAnsi="Palatino Linotype" w:cstheme="minorBidi"/>
          <w:color w:val="000000" w:themeColor="text1"/>
          <w:lang w:val="es-ES_tradnl"/>
        </w:rPr>
        <w:t>la</w:t>
      </w:r>
      <w:proofErr w:type="gramEnd"/>
      <w:r w:rsidR="00B05DE3" w:rsidRPr="00C53469">
        <w:rPr>
          <w:rFonts w:ascii="Palatino Linotype" w:eastAsiaTheme="minorEastAsia" w:hAnsi="Palatino Linotype" w:cstheme="minorBidi"/>
          <w:color w:val="000000" w:themeColor="text1"/>
          <w:lang w:val="es-ES_tradnl"/>
        </w:rPr>
        <w:t xml:space="preserve"> presente resolución, con base en los siguientes:</w:t>
      </w:r>
    </w:p>
    <w:p w14:paraId="64D30E95" w14:textId="2F57A823" w:rsidR="00F216D7" w:rsidRPr="00C53469" w:rsidRDefault="00EA0165" w:rsidP="00C373ED">
      <w:pPr>
        <w:pStyle w:val="Ttulo1"/>
        <w:spacing w:line="360" w:lineRule="auto"/>
        <w:jc w:val="center"/>
        <w:rPr>
          <w:rFonts w:ascii="Palatino Linotype" w:hAnsi="Palatino Linotype"/>
          <w:b/>
          <w:color w:val="000000" w:themeColor="text1"/>
          <w:sz w:val="24"/>
          <w:szCs w:val="24"/>
          <w:lang w:val="es-MX" w:eastAsia="en-US"/>
        </w:rPr>
      </w:pPr>
      <w:bookmarkStart w:id="0" w:name="_Toc461555884"/>
      <w:bookmarkStart w:id="1" w:name="_Toc466371847"/>
      <w:bookmarkStart w:id="2" w:name="_Toc68804757"/>
      <w:bookmarkStart w:id="3" w:name="_Toc89350000"/>
      <w:r w:rsidRPr="00C53469">
        <w:rPr>
          <w:rFonts w:ascii="Palatino Linotype" w:hAnsi="Palatino Linotype"/>
          <w:b/>
          <w:color w:val="000000" w:themeColor="text1"/>
          <w:sz w:val="24"/>
          <w:szCs w:val="24"/>
          <w:lang w:val="es-MX" w:eastAsia="en-US"/>
        </w:rPr>
        <w:t>ANTECEDENTES</w:t>
      </w:r>
      <w:bookmarkEnd w:id="0"/>
      <w:bookmarkEnd w:id="1"/>
      <w:bookmarkEnd w:id="2"/>
      <w:bookmarkEnd w:id="3"/>
    </w:p>
    <w:p w14:paraId="218046B5" w14:textId="64788988" w:rsidR="00707416" w:rsidRPr="00C53469" w:rsidRDefault="00EA0165" w:rsidP="00D56C5F">
      <w:pPr>
        <w:pStyle w:val="Prrafodelista"/>
        <w:numPr>
          <w:ilvl w:val="0"/>
          <w:numId w:val="2"/>
        </w:numPr>
        <w:tabs>
          <w:tab w:val="left" w:pos="426"/>
        </w:tabs>
        <w:spacing w:before="240" w:after="240" w:line="360" w:lineRule="auto"/>
        <w:ind w:left="0" w:firstLine="0"/>
        <w:contextualSpacing/>
        <w:jc w:val="both"/>
        <w:rPr>
          <w:rFonts w:ascii="Palatino Linotype" w:eastAsia="Calibri" w:hAnsi="Palatino Linotype" w:cs="Arial"/>
          <w:color w:val="000000" w:themeColor="text1"/>
        </w:rPr>
      </w:pPr>
      <w:r w:rsidRPr="00C53469">
        <w:rPr>
          <w:rFonts w:ascii="Palatino Linotype" w:eastAsia="Calibri" w:hAnsi="Palatino Linotype" w:cs="Arial"/>
          <w:color w:val="000000" w:themeColor="text1"/>
        </w:rPr>
        <w:t>El</w:t>
      </w:r>
      <w:r w:rsidR="00D56C5F" w:rsidRPr="00C53469">
        <w:rPr>
          <w:rFonts w:ascii="Palatino Linotype" w:eastAsia="Calibri" w:hAnsi="Palatino Linotype" w:cs="Arial"/>
          <w:color w:val="000000" w:themeColor="text1"/>
        </w:rPr>
        <w:t xml:space="preserve"> veintidós</w:t>
      </w:r>
      <w:r w:rsidR="00416E00" w:rsidRPr="00C53469">
        <w:rPr>
          <w:rFonts w:ascii="Palatino Linotype" w:eastAsia="Calibri" w:hAnsi="Palatino Linotype" w:cs="Arial"/>
          <w:color w:val="000000" w:themeColor="text1"/>
        </w:rPr>
        <w:t xml:space="preserve"> </w:t>
      </w:r>
      <w:r w:rsidRPr="00C53469">
        <w:rPr>
          <w:rFonts w:ascii="Palatino Linotype" w:eastAsia="Calibri" w:hAnsi="Palatino Linotype" w:cs="Arial"/>
          <w:color w:val="000000" w:themeColor="text1"/>
        </w:rPr>
        <w:t>(</w:t>
      </w:r>
      <w:r w:rsidR="00D56C5F" w:rsidRPr="00C53469">
        <w:rPr>
          <w:rFonts w:ascii="Palatino Linotype" w:eastAsia="Calibri" w:hAnsi="Palatino Linotype" w:cs="Arial"/>
          <w:color w:val="000000" w:themeColor="text1"/>
        </w:rPr>
        <w:t>22</w:t>
      </w:r>
      <w:r w:rsidRPr="00C53469">
        <w:rPr>
          <w:rFonts w:ascii="Palatino Linotype" w:eastAsia="Calibri" w:hAnsi="Palatino Linotype" w:cs="Arial"/>
          <w:color w:val="000000" w:themeColor="text1"/>
        </w:rPr>
        <w:t>) de</w:t>
      </w:r>
      <w:r w:rsidR="00D56C5F" w:rsidRPr="00C53469">
        <w:rPr>
          <w:rFonts w:ascii="Palatino Linotype" w:eastAsia="Calibri" w:hAnsi="Palatino Linotype" w:cs="Arial"/>
          <w:color w:val="000000" w:themeColor="text1"/>
        </w:rPr>
        <w:t xml:space="preserve"> septiembre </w:t>
      </w:r>
      <w:r w:rsidRPr="00C53469">
        <w:rPr>
          <w:rFonts w:ascii="Palatino Linotype" w:eastAsia="Calibri" w:hAnsi="Palatino Linotype" w:cs="Arial"/>
          <w:color w:val="000000" w:themeColor="text1"/>
        </w:rPr>
        <w:t xml:space="preserve">de dos mil </w:t>
      </w:r>
      <w:r w:rsidR="00C7224E" w:rsidRPr="00C53469">
        <w:rPr>
          <w:rFonts w:ascii="Palatino Linotype" w:eastAsia="Calibri" w:hAnsi="Palatino Linotype" w:cs="Arial"/>
          <w:color w:val="000000" w:themeColor="text1"/>
        </w:rPr>
        <w:t>veintidós</w:t>
      </w:r>
      <w:r w:rsidRPr="00C53469">
        <w:rPr>
          <w:rFonts w:ascii="Palatino Linotype" w:eastAsia="Calibri" w:hAnsi="Palatino Linotype" w:cs="Arial"/>
          <w:color w:val="000000" w:themeColor="text1"/>
        </w:rPr>
        <w:t xml:space="preserve">, </w:t>
      </w:r>
      <w:r w:rsidRPr="00C53469">
        <w:rPr>
          <w:rFonts w:ascii="Palatino Linotype" w:eastAsiaTheme="minorEastAsia" w:hAnsi="Palatino Linotype" w:cstheme="minorBidi"/>
          <w:color w:val="000000" w:themeColor="text1"/>
          <w:lang w:val="es-ES_tradnl"/>
        </w:rPr>
        <w:t>el particular presentó</w:t>
      </w:r>
      <w:r w:rsidRPr="00C53469">
        <w:rPr>
          <w:rFonts w:ascii="Palatino Linotype" w:eastAsiaTheme="minorEastAsia" w:hAnsi="Palatino Linotype" w:cstheme="minorBidi"/>
          <w:b/>
          <w:color w:val="000000" w:themeColor="text1"/>
          <w:lang w:val="es-ES_tradnl"/>
        </w:rPr>
        <w:t xml:space="preserve"> </w:t>
      </w:r>
      <w:r w:rsidR="00936BED" w:rsidRPr="00C53469">
        <w:rPr>
          <w:rFonts w:ascii="Palatino Linotype" w:eastAsiaTheme="minorEastAsia" w:hAnsi="Palatino Linotype" w:cstheme="minorBidi"/>
          <w:bCs/>
          <w:color w:val="000000" w:themeColor="text1"/>
          <w:lang w:val="es-ES_tradnl"/>
        </w:rPr>
        <w:t>a través de</w:t>
      </w:r>
      <w:r w:rsidR="00923BD9" w:rsidRPr="00C53469">
        <w:rPr>
          <w:rFonts w:ascii="Palatino Linotype" w:eastAsiaTheme="minorEastAsia" w:hAnsi="Palatino Linotype" w:cstheme="minorBidi"/>
          <w:bCs/>
          <w:color w:val="000000" w:themeColor="text1"/>
          <w:lang w:val="es-ES_tradnl"/>
        </w:rPr>
        <w:t>l</w:t>
      </w:r>
      <w:r w:rsidR="00923BD9" w:rsidRPr="00C53469">
        <w:rPr>
          <w:rFonts w:ascii="Palatino Linotype" w:eastAsia="Calibri" w:hAnsi="Palatino Linotype" w:cs="Arial"/>
          <w:color w:val="000000" w:themeColor="text1"/>
        </w:rPr>
        <w:t xml:space="preserve"> </w:t>
      </w:r>
      <w:r w:rsidR="00923BD9" w:rsidRPr="00C53469">
        <w:rPr>
          <w:rFonts w:ascii="Palatino Linotype" w:eastAsiaTheme="minorEastAsia" w:hAnsi="Palatino Linotype" w:cstheme="minorBidi"/>
          <w:bCs/>
          <w:color w:val="000000" w:themeColor="text1"/>
        </w:rPr>
        <w:t xml:space="preserve">Sistema de Acceso a la Información Mexiquense </w:t>
      </w:r>
      <w:r w:rsidR="00923BD9" w:rsidRPr="00C53469">
        <w:rPr>
          <w:rFonts w:ascii="Palatino Linotype" w:eastAsiaTheme="minorEastAsia" w:hAnsi="Palatino Linotype" w:cstheme="minorBidi"/>
          <w:b/>
          <w:bCs/>
          <w:color w:val="000000" w:themeColor="text1"/>
        </w:rPr>
        <w:t>(SAIMEX)</w:t>
      </w:r>
      <w:r w:rsidRPr="00C53469">
        <w:rPr>
          <w:rFonts w:ascii="Palatino Linotype" w:eastAsia="Calibri" w:hAnsi="Palatino Linotype" w:cs="Arial"/>
          <w:b/>
          <w:color w:val="000000" w:themeColor="text1"/>
        </w:rPr>
        <w:t xml:space="preserve">, </w:t>
      </w:r>
      <w:r w:rsidRPr="00C53469">
        <w:rPr>
          <w:rFonts w:ascii="Palatino Linotype" w:eastAsia="Calibri" w:hAnsi="Palatino Linotype" w:cs="Arial"/>
          <w:color w:val="000000" w:themeColor="text1"/>
        </w:rPr>
        <w:t>la solicitud de información pública registrada con el número</w:t>
      </w:r>
      <w:r w:rsidR="00D56C5F" w:rsidRPr="00C53469">
        <w:rPr>
          <w:rFonts w:ascii="Palatino Linotype" w:eastAsia="Calibri" w:hAnsi="Palatino Linotype" w:cs="Arial"/>
          <w:color w:val="000000" w:themeColor="text1"/>
        </w:rPr>
        <w:t xml:space="preserve"> </w:t>
      </w:r>
      <w:r w:rsidR="00D56C5F" w:rsidRPr="00C53469">
        <w:rPr>
          <w:rFonts w:ascii="Palatino Linotype" w:eastAsia="Calibri" w:hAnsi="Palatino Linotype" w:cs="Arial"/>
          <w:b/>
          <w:bCs/>
          <w:color w:val="000000" w:themeColor="text1"/>
        </w:rPr>
        <w:t>00347/COACALCO/IP/2022</w:t>
      </w:r>
      <w:r w:rsidRPr="00C53469">
        <w:rPr>
          <w:rFonts w:ascii="Palatino Linotype" w:eastAsiaTheme="minorEastAsia" w:hAnsi="Palatino Linotype" w:cstheme="minorBidi"/>
          <w:b/>
          <w:bCs/>
          <w:color w:val="000000" w:themeColor="text1"/>
          <w:lang w:val="es-ES_tradnl"/>
        </w:rPr>
        <w:t>,</w:t>
      </w:r>
      <w:r w:rsidRPr="00C53469">
        <w:rPr>
          <w:rFonts w:ascii="Palatino Linotype" w:eastAsia="Calibri" w:hAnsi="Palatino Linotype" w:cs="Arial"/>
          <w:color w:val="000000" w:themeColor="text1"/>
        </w:rPr>
        <w:t xml:space="preserve"> mediante la cual requirió:</w:t>
      </w:r>
    </w:p>
    <w:p w14:paraId="119BF7E0" w14:textId="45AC0D15" w:rsidR="00EA0165" w:rsidRPr="00C53469" w:rsidRDefault="00EA0165" w:rsidP="00C373ED">
      <w:pPr>
        <w:spacing w:line="360" w:lineRule="auto"/>
        <w:ind w:left="567" w:right="567"/>
        <w:contextualSpacing/>
        <w:jc w:val="both"/>
        <w:rPr>
          <w:rFonts w:ascii="Palatino Linotype" w:eastAsiaTheme="minorEastAsia" w:hAnsi="Palatino Linotype" w:cstheme="minorBidi"/>
          <w:color w:val="000000" w:themeColor="text1"/>
          <w:lang w:val="es-ES_tradnl"/>
        </w:rPr>
      </w:pPr>
      <w:r w:rsidRPr="00C53469">
        <w:rPr>
          <w:rFonts w:ascii="Palatino Linotype" w:eastAsiaTheme="minorEastAsia" w:hAnsi="Palatino Linotype" w:cstheme="minorBidi"/>
          <w:i/>
          <w:color w:val="000000" w:themeColor="text1"/>
          <w:lang w:val="es-ES_tradnl"/>
        </w:rPr>
        <w:t>“</w:t>
      </w:r>
      <w:r w:rsidR="00D56C5F" w:rsidRPr="00C53469">
        <w:rPr>
          <w:rFonts w:ascii="Palatino Linotype" w:eastAsiaTheme="minorEastAsia" w:hAnsi="Palatino Linotype" w:cstheme="minorBidi"/>
          <w:i/>
          <w:color w:val="000000" w:themeColor="text1"/>
          <w:lang w:val="es-ES_tradnl"/>
        </w:rPr>
        <w:t>Copia de los cortes de caja firmados por la Síndico municipal de los meses junio, julio y agosto de 2022</w:t>
      </w:r>
      <w:r w:rsidRPr="00C53469">
        <w:rPr>
          <w:rFonts w:ascii="Palatino Linotype" w:eastAsiaTheme="minorEastAsia" w:hAnsi="Palatino Linotype" w:cstheme="minorBidi"/>
          <w:i/>
          <w:color w:val="000000" w:themeColor="text1"/>
          <w:lang w:val="es-ES_tradnl"/>
        </w:rPr>
        <w:t xml:space="preserve">.” </w:t>
      </w:r>
      <w:r w:rsidRPr="00C53469">
        <w:rPr>
          <w:rFonts w:ascii="Palatino Linotype" w:eastAsiaTheme="minorEastAsia" w:hAnsi="Palatino Linotype" w:cstheme="minorBidi"/>
          <w:color w:val="000000" w:themeColor="text1"/>
          <w:lang w:val="es-ES_tradnl"/>
        </w:rPr>
        <w:t>(Sic).</w:t>
      </w:r>
    </w:p>
    <w:p w14:paraId="1046CCE1" w14:textId="304A6F03" w:rsidR="00A415DB" w:rsidRPr="00C53469" w:rsidRDefault="00A415DB" w:rsidP="00C373ED">
      <w:pPr>
        <w:pStyle w:val="Prrafodelista"/>
        <w:spacing w:line="360" w:lineRule="auto"/>
        <w:ind w:left="0" w:right="567"/>
        <w:contextualSpacing/>
        <w:rPr>
          <w:rFonts w:ascii="Palatino Linotype" w:eastAsiaTheme="minorEastAsia" w:hAnsi="Palatino Linotype" w:cstheme="minorBidi"/>
          <w:i/>
          <w:color w:val="000000" w:themeColor="text1"/>
          <w:lang w:val="es-ES_tradnl"/>
        </w:rPr>
      </w:pPr>
    </w:p>
    <w:p w14:paraId="1A590C3B" w14:textId="052AF586" w:rsidR="007C4587" w:rsidRPr="00C53469" w:rsidRDefault="00923BD9" w:rsidP="00C373ED">
      <w:pPr>
        <w:pStyle w:val="Prrafodelista"/>
        <w:numPr>
          <w:ilvl w:val="0"/>
          <w:numId w:val="2"/>
        </w:numPr>
        <w:tabs>
          <w:tab w:val="left" w:pos="284"/>
          <w:tab w:val="left" w:pos="567"/>
        </w:tabs>
        <w:spacing w:before="100" w:beforeAutospacing="1" w:after="100" w:afterAutospacing="1" w:line="360" w:lineRule="auto"/>
        <w:ind w:left="0" w:firstLine="0"/>
        <w:contextualSpacing/>
        <w:jc w:val="both"/>
        <w:rPr>
          <w:rFonts w:ascii="Palatino Linotype" w:hAnsi="Palatino Linotype" w:cs="Arial"/>
          <w:color w:val="000000" w:themeColor="text1"/>
        </w:rPr>
      </w:pPr>
      <w:r w:rsidRPr="00C53469">
        <w:rPr>
          <w:rFonts w:ascii="Palatino Linotype" w:hAnsi="Palatino Linotype" w:cs="Arial"/>
        </w:rPr>
        <w:t>Se hace constar que se señaló como modalidad de entrega de la información</w:t>
      </w:r>
      <w:r w:rsidRPr="00C53469">
        <w:rPr>
          <w:rFonts w:ascii="Palatino Linotype" w:hAnsi="Palatino Linotype" w:cs="Arial"/>
          <w:b/>
        </w:rPr>
        <w:t>:</w:t>
      </w:r>
      <w:r w:rsidRPr="00C53469">
        <w:rPr>
          <w:rFonts w:ascii="Palatino Linotype" w:hAnsi="Palatino Linotype" w:cs="Arial"/>
        </w:rPr>
        <w:t xml:space="preserve"> </w:t>
      </w:r>
      <w:r w:rsidRPr="00C53469">
        <w:rPr>
          <w:rFonts w:ascii="Palatino Linotype" w:hAnsi="Palatino Linotype" w:cs="Arial"/>
          <w:b/>
        </w:rPr>
        <w:t>A través del SAIMEX.</w:t>
      </w:r>
    </w:p>
    <w:p w14:paraId="42B48BB8" w14:textId="38A3C5D6" w:rsidR="004C338B" w:rsidRPr="00C53469" w:rsidRDefault="001A0598" w:rsidP="00C373ED">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C53469">
        <w:rPr>
          <w:rFonts w:ascii="Palatino Linotype" w:eastAsiaTheme="minorEastAsia" w:hAnsi="Palatino Linotype" w:cstheme="minorBidi"/>
          <w:color w:val="000000" w:themeColor="text1"/>
          <w:lang w:val="es-ES_tradnl"/>
        </w:rPr>
        <w:lastRenderedPageBreak/>
        <w:t xml:space="preserve">El </w:t>
      </w:r>
      <w:r w:rsidR="00D56C5F" w:rsidRPr="00C53469">
        <w:rPr>
          <w:rFonts w:ascii="Palatino Linotype" w:eastAsiaTheme="minorEastAsia" w:hAnsi="Palatino Linotype" w:cstheme="minorBidi"/>
          <w:color w:val="000000" w:themeColor="text1"/>
          <w:lang w:val="es-ES_tradnl"/>
        </w:rPr>
        <w:t>doce (12</w:t>
      </w:r>
      <w:r w:rsidR="00BA3CDE" w:rsidRPr="00C53469">
        <w:rPr>
          <w:rFonts w:ascii="Palatino Linotype" w:eastAsiaTheme="minorEastAsia" w:hAnsi="Palatino Linotype" w:cstheme="minorBidi"/>
          <w:color w:val="000000" w:themeColor="text1"/>
          <w:lang w:val="es-ES_tradnl"/>
        </w:rPr>
        <w:t>) de</w:t>
      </w:r>
      <w:r w:rsidR="00D56C5F" w:rsidRPr="00C53469">
        <w:rPr>
          <w:rFonts w:ascii="Palatino Linotype" w:eastAsiaTheme="minorEastAsia" w:hAnsi="Palatino Linotype" w:cstheme="minorBidi"/>
          <w:color w:val="000000" w:themeColor="text1"/>
          <w:lang w:val="es-ES_tradnl"/>
        </w:rPr>
        <w:t xml:space="preserve"> octubre</w:t>
      </w:r>
      <w:r w:rsidR="007C4587" w:rsidRPr="00C53469">
        <w:rPr>
          <w:rFonts w:ascii="Palatino Linotype" w:eastAsiaTheme="minorEastAsia" w:hAnsi="Palatino Linotype" w:cstheme="minorBidi"/>
          <w:color w:val="000000" w:themeColor="text1"/>
          <w:lang w:val="es-ES_tradnl"/>
        </w:rPr>
        <w:t xml:space="preserve"> de dos mil veintidós</w:t>
      </w:r>
      <w:r w:rsidR="00EA0165" w:rsidRPr="00C53469">
        <w:rPr>
          <w:rFonts w:ascii="Palatino Linotype" w:eastAsiaTheme="minorEastAsia" w:hAnsi="Palatino Linotype" w:cstheme="minorBidi"/>
          <w:color w:val="000000" w:themeColor="text1"/>
          <w:lang w:val="es-ES_tradnl"/>
        </w:rPr>
        <w:t xml:space="preserve">, el </w:t>
      </w:r>
      <w:r w:rsidR="00EA0165" w:rsidRPr="00C53469">
        <w:rPr>
          <w:rFonts w:ascii="Palatino Linotype" w:eastAsiaTheme="minorEastAsia" w:hAnsi="Palatino Linotype" w:cstheme="minorBidi"/>
          <w:b/>
          <w:color w:val="000000" w:themeColor="text1"/>
          <w:lang w:val="es-ES_tradnl"/>
        </w:rPr>
        <w:t>SUJETO OBLIGADO</w:t>
      </w:r>
      <w:r w:rsidR="00EA0165" w:rsidRPr="00C53469">
        <w:rPr>
          <w:rFonts w:ascii="Palatino Linotype" w:eastAsiaTheme="minorEastAsia" w:hAnsi="Palatino Linotype" w:cstheme="minorBidi"/>
          <w:color w:val="000000" w:themeColor="text1"/>
          <w:lang w:val="es-ES_tradnl"/>
        </w:rPr>
        <w:t xml:space="preserve"> dio respuesta a la solicitud de información en los siguientes términos</w:t>
      </w:r>
    </w:p>
    <w:p w14:paraId="453AD7BD" w14:textId="57BAACFD" w:rsidR="007C4587" w:rsidRPr="00C53469" w:rsidRDefault="007C4587" w:rsidP="00C373ED">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5A399B82" w14:textId="514708CC" w:rsidR="00D56C5F" w:rsidRPr="00C53469" w:rsidRDefault="00EA0165" w:rsidP="00D56C5F">
      <w:pPr>
        <w:pStyle w:val="Prrafodelista"/>
        <w:tabs>
          <w:tab w:val="left" w:pos="426"/>
        </w:tabs>
        <w:spacing w:before="240" w:after="240" w:line="360" w:lineRule="auto"/>
        <w:ind w:right="474"/>
        <w:contextualSpacing/>
        <w:jc w:val="right"/>
        <w:rPr>
          <w:rFonts w:ascii="Palatino Linotype" w:eastAsiaTheme="minorEastAsia" w:hAnsi="Palatino Linotype" w:cstheme="minorBidi"/>
          <w:i/>
          <w:noProof/>
          <w:color w:val="000000" w:themeColor="text1"/>
          <w:lang w:val="es-MX" w:eastAsia="es-MX"/>
        </w:rPr>
      </w:pPr>
      <w:r w:rsidRPr="00C53469">
        <w:rPr>
          <w:rFonts w:ascii="Palatino Linotype" w:eastAsiaTheme="minorEastAsia" w:hAnsi="Palatino Linotype" w:cstheme="minorBidi"/>
          <w:i/>
          <w:noProof/>
          <w:color w:val="000000" w:themeColor="text1"/>
          <w:lang w:val="es-MX" w:eastAsia="es-MX"/>
        </w:rPr>
        <w:t>“</w:t>
      </w:r>
      <w:r w:rsidR="00D56C5F" w:rsidRPr="00C53469">
        <w:rPr>
          <w:rFonts w:ascii="Palatino Linotype" w:eastAsiaTheme="minorEastAsia" w:hAnsi="Palatino Linotype" w:cstheme="minorBidi"/>
          <w:i/>
          <w:noProof/>
          <w:color w:val="000000" w:themeColor="text1"/>
          <w:lang w:val="es-MX" w:eastAsia="es-MX"/>
        </w:rPr>
        <w:t>Coacalco de Berriozábal, México a 12 de Octubre de 2022</w:t>
      </w:r>
    </w:p>
    <w:p w14:paraId="6F0FB872" w14:textId="77777777" w:rsidR="00D56C5F" w:rsidRPr="00C53469" w:rsidRDefault="00D56C5F" w:rsidP="00D56C5F">
      <w:pPr>
        <w:pStyle w:val="Prrafodelista"/>
        <w:tabs>
          <w:tab w:val="left" w:pos="426"/>
        </w:tabs>
        <w:spacing w:before="240" w:after="240" w:line="360" w:lineRule="auto"/>
        <w:ind w:right="474"/>
        <w:contextualSpacing/>
        <w:jc w:val="right"/>
        <w:rPr>
          <w:rFonts w:ascii="Palatino Linotype" w:eastAsiaTheme="minorEastAsia" w:hAnsi="Palatino Linotype" w:cstheme="minorBidi"/>
          <w:i/>
          <w:noProof/>
          <w:color w:val="000000" w:themeColor="text1"/>
          <w:lang w:val="es-MX" w:eastAsia="es-MX"/>
        </w:rPr>
      </w:pPr>
      <w:r w:rsidRPr="00C53469">
        <w:rPr>
          <w:rFonts w:ascii="Palatino Linotype" w:eastAsiaTheme="minorEastAsia" w:hAnsi="Palatino Linotype" w:cstheme="minorBidi"/>
          <w:i/>
          <w:noProof/>
          <w:color w:val="000000" w:themeColor="text1"/>
          <w:lang w:val="es-MX" w:eastAsia="es-MX"/>
        </w:rPr>
        <w:t>Nombre del solicitante: C. Solicitante</w:t>
      </w:r>
    </w:p>
    <w:p w14:paraId="4923CEAC" w14:textId="2ED43A57" w:rsidR="00D56C5F" w:rsidRPr="00C53469" w:rsidRDefault="00D56C5F" w:rsidP="00D56C5F">
      <w:pPr>
        <w:pStyle w:val="Prrafodelista"/>
        <w:tabs>
          <w:tab w:val="left" w:pos="426"/>
        </w:tabs>
        <w:spacing w:before="240" w:after="240" w:line="360" w:lineRule="auto"/>
        <w:ind w:right="474"/>
        <w:contextualSpacing/>
        <w:jc w:val="right"/>
        <w:rPr>
          <w:rFonts w:ascii="Palatino Linotype" w:eastAsiaTheme="minorEastAsia" w:hAnsi="Palatino Linotype" w:cstheme="minorBidi"/>
          <w:i/>
          <w:noProof/>
          <w:color w:val="000000" w:themeColor="text1"/>
          <w:lang w:val="es-MX" w:eastAsia="es-MX"/>
        </w:rPr>
      </w:pPr>
      <w:r w:rsidRPr="00C53469">
        <w:rPr>
          <w:rFonts w:ascii="Palatino Linotype" w:eastAsiaTheme="minorEastAsia" w:hAnsi="Palatino Linotype" w:cstheme="minorBidi"/>
          <w:i/>
          <w:noProof/>
          <w:color w:val="000000" w:themeColor="text1"/>
          <w:lang w:val="es-MX" w:eastAsia="es-MX"/>
        </w:rPr>
        <w:t>Folio de la solicitud: 00347/COACALCO/IP/2022</w:t>
      </w:r>
    </w:p>
    <w:p w14:paraId="1ECEF692" w14:textId="77777777" w:rsidR="00D56C5F" w:rsidRPr="00C53469" w:rsidRDefault="00D56C5F" w:rsidP="00D56C5F">
      <w:pPr>
        <w:pStyle w:val="Prrafodelista"/>
        <w:tabs>
          <w:tab w:val="left" w:pos="426"/>
        </w:tabs>
        <w:spacing w:before="240" w:after="240" w:line="360" w:lineRule="auto"/>
        <w:ind w:right="474"/>
        <w:contextualSpacing/>
        <w:jc w:val="right"/>
        <w:rPr>
          <w:rFonts w:ascii="Palatino Linotype" w:eastAsiaTheme="minorEastAsia" w:hAnsi="Palatino Linotype" w:cstheme="minorBidi"/>
          <w:i/>
          <w:noProof/>
          <w:color w:val="000000" w:themeColor="text1"/>
          <w:lang w:val="es-MX" w:eastAsia="es-MX"/>
        </w:rPr>
      </w:pPr>
    </w:p>
    <w:p w14:paraId="7DBC6DA1" w14:textId="77777777" w:rsidR="00D56C5F" w:rsidRPr="00C53469" w:rsidRDefault="00D56C5F" w:rsidP="00D56C5F">
      <w:pPr>
        <w:pStyle w:val="Prrafodelista"/>
        <w:tabs>
          <w:tab w:val="left" w:pos="426"/>
        </w:tabs>
        <w:spacing w:before="240" w:after="240" w:line="360" w:lineRule="auto"/>
        <w:ind w:right="474"/>
        <w:contextualSpacing/>
        <w:jc w:val="both"/>
        <w:rPr>
          <w:rFonts w:ascii="Palatino Linotype" w:eastAsiaTheme="minorEastAsia" w:hAnsi="Palatino Linotype" w:cstheme="minorBidi"/>
          <w:i/>
          <w:noProof/>
          <w:color w:val="000000" w:themeColor="text1"/>
          <w:lang w:val="es-MX" w:eastAsia="es-MX"/>
        </w:rPr>
      </w:pPr>
      <w:r w:rsidRPr="00C53469">
        <w:rPr>
          <w:rFonts w:ascii="Palatino Linotype" w:eastAsiaTheme="minorEastAsia" w:hAnsi="Palatino Linotype" w:cstheme="minorBidi"/>
          <w:i/>
          <w:noProof/>
          <w:color w:val="000000" w:themeColor="text1"/>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0C6AED4" w14:textId="0FD6A8ED" w:rsidR="00D56C5F" w:rsidRPr="00C53469" w:rsidRDefault="00D56C5F" w:rsidP="00D56C5F">
      <w:pPr>
        <w:pStyle w:val="Prrafodelista"/>
        <w:tabs>
          <w:tab w:val="left" w:pos="426"/>
        </w:tabs>
        <w:spacing w:before="240" w:after="240" w:line="360" w:lineRule="auto"/>
        <w:ind w:right="474"/>
        <w:contextualSpacing/>
        <w:jc w:val="both"/>
        <w:rPr>
          <w:rFonts w:ascii="Palatino Linotype" w:eastAsiaTheme="minorEastAsia" w:hAnsi="Palatino Linotype" w:cstheme="minorBidi"/>
          <w:i/>
          <w:noProof/>
          <w:color w:val="000000" w:themeColor="text1"/>
          <w:lang w:val="es-MX" w:eastAsia="es-MX"/>
        </w:rPr>
      </w:pPr>
      <w:r w:rsidRPr="00C53469">
        <w:rPr>
          <w:rFonts w:ascii="Palatino Linotype" w:eastAsiaTheme="minorEastAsia" w:hAnsi="Palatino Linotype" w:cstheme="minorBidi"/>
          <w:i/>
          <w:noProof/>
          <w:color w:val="000000" w:themeColor="text1"/>
          <w:lang w:val="es-MX" w:eastAsia="es-MX"/>
        </w:rPr>
        <w:t>Con fundamento en el artículo 53 Fracción II y 163 de la Ley de Transparencia y Acceso a la Información Pública del Estado de México y Municipios, se da respuesta a la presente solicitud con el oficio que emite la Tesorería Municipal del cual se anexa copia, así como la respuesta integradora por parte de la Unidad de Transparencia cumpliendo en tiempo y forma con lo solicitado.</w:t>
      </w:r>
    </w:p>
    <w:p w14:paraId="391B4D49" w14:textId="77777777" w:rsidR="00D56C5F" w:rsidRPr="00C53469" w:rsidRDefault="00D56C5F" w:rsidP="00D56C5F">
      <w:pPr>
        <w:pStyle w:val="Prrafodelista"/>
        <w:tabs>
          <w:tab w:val="left" w:pos="426"/>
        </w:tabs>
        <w:spacing w:before="240" w:after="240" w:line="360" w:lineRule="auto"/>
        <w:ind w:right="474"/>
        <w:contextualSpacing/>
        <w:jc w:val="right"/>
        <w:rPr>
          <w:rFonts w:ascii="Palatino Linotype" w:eastAsiaTheme="minorEastAsia" w:hAnsi="Palatino Linotype" w:cstheme="minorBidi"/>
          <w:i/>
          <w:noProof/>
          <w:color w:val="000000" w:themeColor="text1"/>
          <w:lang w:val="es-MX" w:eastAsia="es-MX"/>
        </w:rPr>
      </w:pPr>
    </w:p>
    <w:p w14:paraId="212DBFE0" w14:textId="77777777" w:rsidR="00D56C5F" w:rsidRPr="00C53469" w:rsidRDefault="00D56C5F" w:rsidP="00D56C5F">
      <w:pPr>
        <w:pStyle w:val="Prrafodelista"/>
        <w:tabs>
          <w:tab w:val="left" w:pos="426"/>
        </w:tabs>
        <w:spacing w:before="240" w:after="240" w:line="360" w:lineRule="auto"/>
        <w:ind w:right="474"/>
        <w:contextualSpacing/>
        <w:rPr>
          <w:rFonts w:ascii="Palatino Linotype" w:eastAsiaTheme="minorEastAsia" w:hAnsi="Palatino Linotype" w:cstheme="minorBidi"/>
          <w:i/>
          <w:noProof/>
          <w:color w:val="000000" w:themeColor="text1"/>
          <w:lang w:val="es-MX" w:eastAsia="es-MX"/>
        </w:rPr>
      </w:pPr>
      <w:r w:rsidRPr="00C53469">
        <w:rPr>
          <w:rFonts w:ascii="Palatino Linotype" w:eastAsiaTheme="minorEastAsia" w:hAnsi="Palatino Linotype" w:cstheme="minorBidi"/>
          <w:i/>
          <w:noProof/>
          <w:color w:val="000000" w:themeColor="text1"/>
          <w:lang w:val="es-MX" w:eastAsia="es-MX"/>
        </w:rPr>
        <w:t>ATENTAMENTE</w:t>
      </w:r>
    </w:p>
    <w:p w14:paraId="69C26E0F" w14:textId="627D39E2" w:rsidR="009A56C8" w:rsidRPr="00C53469" w:rsidRDefault="00D56C5F" w:rsidP="00D56C5F">
      <w:pPr>
        <w:pStyle w:val="Prrafodelista"/>
        <w:tabs>
          <w:tab w:val="left" w:pos="426"/>
        </w:tabs>
        <w:spacing w:before="240" w:after="240" w:line="360" w:lineRule="auto"/>
        <w:ind w:right="474"/>
        <w:contextualSpacing/>
        <w:rPr>
          <w:rFonts w:ascii="Palatino Linotype" w:eastAsiaTheme="minorEastAsia" w:hAnsi="Palatino Linotype" w:cstheme="minorBidi"/>
          <w:i/>
          <w:noProof/>
          <w:color w:val="000000" w:themeColor="text1"/>
          <w:lang w:val="es-MX" w:eastAsia="es-MX"/>
        </w:rPr>
      </w:pPr>
      <w:r w:rsidRPr="00C53469">
        <w:rPr>
          <w:rFonts w:ascii="Palatino Linotype" w:eastAsiaTheme="minorEastAsia" w:hAnsi="Palatino Linotype" w:cstheme="minorBidi"/>
          <w:i/>
          <w:noProof/>
          <w:color w:val="000000" w:themeColor="text1"/>
          <w:lang w:val="es-MX" w:eastAsia="es-MX"/>
        </w:rPr>
        <w:t>LIC. CESAR AUGUSTO MAGDALENO GUERRERO</w:t>
      </w:r>
      <w:r w:rsidR="001A0598" w:rsidRPr="00C53469">
        <w:rPr>
          <w:rFonts w:ascii="Palatino Linotype" w:eastAsiaTheme="minorEastAsia" w:hAnsi="Palatino Linotype" w:cstheme="minorBidi"/>
          <w:i/>
          <w:noProof/>
          <w:color w:val="000000" w:themeColor="text1"/>
          <w:lang w:val="es-MX" w:eastAsia="es-MX"/>
        </w:rPr>
        <w:t>.” (Sic)</w:t>
      </w:r>
    </w:p>
    <w:p w14:paraId="206D32F7" w14:textId="77777777" w:rsidR="009A56C8" w:rsidRPr="00C53469" w:rsidRDefault="009A56C8" w:rsidP="00C373ED">
      <w:pPr>
        <w:pStyle w:val="Prrafodelista"/>
        <w:tabs>
          <w:tab w:val="left" w:pos="426"/>
        </w:tabs>
        <w:spacing w:before="240" w:after="240" w:line="360" w:lineRule="auto"/>
        <w:ind w:right="474"/>
        <w:contextualSpacing/>
        <w:rPr>
          <w:rFonts w:ascii="Palatino Linotype" w:eastAsiaTheme="minorEastAsia" w:hAnsi="Palatino Linotype" w:cstheme="minorBidi"/>
          <w:i/>
          <w:noProof/>
          <w:color w:val="000000" w:themeColor="text1"/>
          <w:lang w:val="es-MX" w:eastAsia="es-MX"/>
        </w:rPr>
      </w:pPr>
    </w:p>
    <w:p w14:paraId="31A84CDE" w14:textId="176815AC" w:rsidR="009D4EE2" w:rsidRPr="00C53469" w:rsidRDefault="009D4EE2" w:rsidP="009D4EE2">
      <w:pPr>
        <w:pStyle w:val="Prrafodelista"/>
        <w:numPr>
          <w:ilvl w:val="0"/>
          <w:numId w:val="2"/>
        </w:numPr>
        <w:tabs>
          <w:tab w:val="left" w:pos="180"/>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C53469">
        <w:rPr>
          <w:rFonts w:ascii="Palatino Linotype" w:eastAsiaTheme="minorEastAsia" w:hAnsi="Palatino Linotype" w:cstheme="minorBidi"/>
          <w:color w:val="000000" w:themeColor="text1"/>
          <w:lang w:val="es-MX"/>
        </w:rPr>
        <w:t xml:space="preserve"> </w:t>
      </w:r>
      <w:r w:rsidRPr="00C53469">
        <w:rPr>
          <w:rFonts w:ascii="Palatino Linotype" w:eastAsiaTheme="minorEastAsia" w:hAnsi="Palatino Linotype" w:cstheme="minorBidi"/>
          <w:color w:val="000000" w:themeColor="text1"/>
          <w:lang w:val="es-ES_tradnl"/>
        </w:rPr>
        <w:t xml:space="preserve">Asimismo, el </w:t>
      </w:r>
      <w:r w:rsidRPr="00C53469">
        <w:rPr>
          <w:rFonts w:ascii="Palatino Linotype" w:eastAsiaTheme="minorEastAsia" w:hAnsi="Palatino Linotype" w:cstheme="minorBidi"/>
          <w:b/>
          <w:bCs/>
          <w:color w:val="000000" w:themeColor="text1"/>
          <w:lang w:val="es-ES_tradnl"/>
        </w:rPr>
        <w:t>SUJETO OBLIGADO</w:t>
      </w:r>
      <w:r w:rsidRPr="00C53469">
        <w:rPr>
          <w:rFonts w:ascii="Palatino Linotype" w:eastAsiaTheme="minorEastAsia" w:hAnsi="Palatino Linotype" w:cstheme="minorBidi"/>
          <w:color w:val="000000" w:themeColor="text1"/>
          <w:lang w:val="es-ES_tradnl"/>
        </w:rPr>
        <w:t xml:space="preserve"> adjuntó a su respuesta el archivo electrónico que se describen a continuación:</w:t>
      </w:r>
    </w:p>
    <w:p w14:paraId="2099AB81" w14:textId="77777777" w:rsidR="009D4EE2" w:rsidRPr="00C53469" w:rsidRDefault="009D4EE2" w:rsidP="009D4EE2">
      <w:pPr>
        <w:tabs>
          <w:tab w:val="left" w:pos="284"/>
          <w:tab w:val="left" w:pos="426"/>
        </w:tabs>
        <w:spacing w:line="360" w:lineRule="auto"/>
        <w:contextualSpacing/>
        <w:jc w:val="both"/>
        <w:rPr>
          <w:rFonts w:ascii="Palatino Linotype" w:eastAsiaTheme="minorEastAsia" w:hAnsi="Palatino Linotype" w:cstheme="minorBidi"/>
          <w:color w:val="000000" w:themeColor="text1"/>
          <w:lang w:val="es-ES_tradnl"/>
        </w:rPr>
      </w:pPr>
    </w:p>
    <w:p w14:paraId="425538F3" w14:textId="489FF8CC" w:rsidR="009D4EE2" w:rsidRPr="00C53469" w:rsidRDefault="009D4EE2" w:rsidP="006C6D2C">
      <w:pPr>
        <w:numPr>
          <w:ilvl w:val="0"/>
          <w:numId w:val="5"/>
        </w:numPr>
        <w:tabs>
          <w:tab w:val="left" w:pos="284"/>
          <w:tab w:val="left" w:pos="426"/>
          <w:tab w:val="left" w:pos="993"/>
          <w:tab w:val="left" w:pos="1134"/>
        </w:tabs>
        <w:spacing w:line="360" w:lineRule="auto"/>
        <w:ind w:right="616"/>
        <w:contextualSpacing/>
        <w:jc w:val="both"/>
        <w:rPr>
          <w:rFonts w:ascii="Palatino Linotype" w:eastAsiaTheme="minorEastAsia" w:hAnsi="Palatino Linotype" w:cstheme="minorBidi"/>
          <w:color w:val="000000" w:themeColor="text1"/>
          <w:lang w:val="es-ES_tradnl"/>
        </w:rPr>
      </w:pPr>
      <w:r w:rsidRPr="00C53469">
        <w:rPr>
          <w:b/>
        </w:rPr>
        <w:lastRenderedPageBreak/>
        <w:t>CONTESTACION TESORERIA 00347_2022.pdf</w:t>
      </w:r>
      <w:r w:rsidRPr="00C53469">
        <w:t xml:space="preserve"> </w:t>
      </w:r>
      <w:hyperlink r:id="rId8" w:tgtFrame="_blank" w:history="1"/>
      <w:r w:rsidRPr="00C53469">
        <w:rPr>
          <w:rFonts w:ascii="Palatino Linotype" w:eastAsiaTheme="minorEastAsia" w:hAnsi="Palatino Linotype" w:cstheme="minorBidi"/>
          <w:b/>
          <w:color w:val="000000" w:themeColor="text1"/>
          <w:lang w:val="es-ES_tradnl"/>
        </w:rPr>
        <w:t>:</w:t>
      </w:r>
      <w:r w:rsidRPr="00C53469">
        <w:rPr>
          <w:rFonts w:ascii="Palatino Linotype" w:eastAsiaTheme="minorEastAsia" w:hAnsi="Palatino Linotype" w:cstheme="minorBidi"/>
          <w:color w:val="000000" w:themeColor="text1"/>
          <w:lang w:val="es-ES_tradnl"/>
        </w:rPr>
        <w:t xml:space="preserve"> Documento electrónico que en </w:t>
      </w:r>
      <w:r w:rsidR="001C1963" w:rsidRPr="00C53469">
        <w:rPr>
          <w:rFonts w:ascii="Palatino Linotype" w:eastAsiaTheme="minorEastAsia" w:hAnsi="Palatino Linotype" w:cstheme="minorBidi"/>
          <w:color w:val="000000" w:themeColor="text1"/>
          <w:lang w:val="es-ES_tradnl"/>
        </w:rPr>
        <w:t>una (01</w:t>
      </w:r>
      <w:r w:rsidRPr="00C53469">
        <w:rPr>
          <w:rFonts w:ascii="Palatino Linotype" w:eastAsiaTheme="minorEastAsia" w:hAnsi="Palatino Linotype" w:cstheme="minorBidi"/>
          <w:color w:val="000000" w:themeColor="text1"/>
          <w:lang w:val="es-ES_tradnl"/>
        </w:rPr>
        <w:t>) hoja contiene</w:t>
      </w:r>
      <w:r w:rsidR="001C1963" w:rsidRPr="00C53469">
        <w:rPr>
          <w:rFonts w:ascii="Palatino Linotype" w:eastAsiaTheme="minorEastAsia" w:hAnsi="Palatino Linotype" w:cstheme="minorBidi"/>
          <w:color w:val="000000" w:themeColor="text1"/>
          <w:lang w:val="es-ES_tradnl"/>
        </w:rPr>
        <w:t xml:space="preserve"> el oficio PM/UT/CAMG/1132/2022 dirigido al Titular de la Unidad de </w:t>
      </w:r>
      <w:proofErr w:type="gramStart"/>
      <w:r w:rsidR="001C1963" w:rsidRPr="00C53469">
        <w:rPr>
          <w:rFonts w:ascii="Palatino Linotype" w:eastAsiaTheme="minorEastAsia" w:hAnsi="Palatino Linotype" w:cstheme="minorBidi"/>
          <w:color w:val="000000" w:themeColor="text1"/>
          <w:lang w:val="es-ES_tradnl"/>
        </w:rPr>
        <w:t>Transparencia  y</w:t>
      </w:r>
      <w:proofErr w:type="gramEnd"/>
      <w:r w:rsidR="001C1963" w:rsidRPr="00C53469">
        <w:rPr>
          <w:rFonts w:ascii="Palatino Linotype" w:eastAsiaTheme="minorEastAsia" w:hAnsi="Palatino Linotype" w:cstheme="minorBidi"/>
          <w:color w:val="000000" w:themeColor="text1"/>
          <w:lang w:val="es-ES_tradnl"/>
        </w:rPr>
        <w:t xml:space="preserve"> suscrito por la Coordinadora de la Tesorería Municipal mediante el cual se refiere que se pone a disposición la información relativa a los cortes de caja de los meses de junio, julio y agosto 2022. </w:t>
      </w:r>
    </w:p>
    <w:p w14:paraId="3C188F0A" w14:textId="77777777" w:rsidR="001C1963" w:rsidRPr="00C53469" w:rsidRDefault="001C1963" w:rsidP="001C1963">
      <w:pPr>
        <w:tabs>
          <w:tab w:val="left" w:pos="284"/>
          <w:tab w:val="left" w:pos="426"/>
          <w:tab w:val="left" w:pos="993"/>
          <w:tab w:val="left" w:pos="1134"/>
        </w:tabs>
        <w:spacing w:line="360" w:lineRule="auto"/>
        <w:ind w:left="720" w:right="616"/>
        <w:contextualSpacing/>
        <w:jc w:val="both"/>
        <w:rPr>
          <w:rFonts w:ascii="Palatino Linotype" w:eastAsiaTheme="minorEastAsia" w:hAnsi="Palatino Linotype" w:cstheme="minorBidi"/>
          <w:color w:val="000000" w:themeColor="text1"/>
          <w:lang w:val="es-ES_tradnl"/>
        </w:rPr>
      </w:pPr>
    </w:p>
    <w:p w14:paraId="030A0D33" w14:textId="77777777" w:rsidR="001C1963" w:rsidRPr="00C53469" w:rsidRDefault="001C1963" w:rsidP="006C6D2C">
      <w:pPr>
        <w:numPr>
          <w:ilvl w:val="0"/>
          <w:numId w:val="5"/>
        </w:numPr>
        <w:tabs>
          <w:tab w:val="left" w:pos="284"/>
          <w:tab w:val="left" w:pos="426"/>
          <w:tab w:val="left" w:pos="993"/>
          <w:tab w:val="left" w:pos="1134"/>
        </w:tabs>
        <w:spacing w:line="360" w:lineRule="auto"/>
        <w:ind w:right="616"/>
        <w:contextualSpacing/>
        <w:jc w:val="both"/>
        <w:rPr>
          <w:rFonts w:ascii="Palatino Linotype" w:eastAsiaTheme="minorEastAsia" w:hAnsi="Palatino Linotype" w:cstheme="minorBidi"/>
          <w:b/>
          <w:color w:val="000000" w:themeColor="text1"/>
          <w:lang w:val="es-ES_tradnl"/>
        </w:rPr>
      </w:pPr>
      <w:r w:rsidRPr="00C53469">
        <w:rPr>
          <w:rFonts w:ascii="Palatino Linotype" w:eastAsiaTheme="minorEastAsia" w:hAnsi="Palatino Linotype" w:cstheme="minorBidi"/>
          <w:b/>
          <w:color w:val="000000" w:themeColor="text1"/>
          <w:lang w:val="es-ES_tradnl"/>
        </w:rPr>
        <w:t xml:space="preserve">RESPUESTA AL SOLICITANTE 00347_2022.pdf: </w:t>
      </w:r>
      <w:r w:rsidRPr="00C53469">
        <w:rPr>
          <w:rFonts w:ascii="Palatino Linotype" w:eastAsiaTheme="minorEastAsia" w:hAnsi="Palatino Linotype" w:cstheme="minorBidi"/>
          <w:color w:val="000000" w:themeColor="text1"/>
          <w:lang w:val="es-ES_tradnl"/>
        </w:rPr>
        <w:t xml:space="preserve">Documento electrónico que en una (01) hoja contiene el oficio PM/UT/CAMG/1195/2022 dirigido al solicitante y suscrito por el Titular de la Unidad de Transparencia mediante el cual se refiere que se pone a disposición la información otorgada por el servidor público habilitado. </w:t>
      </w:r>
    </w:p>
    <w:p w14:paraId="5F2C3B9E" w14:textId="77777777" w:rsidR="001C1963" w:rsidRPr="00C53469" w:rsidRDefault="001C1963" w:rsidP="001C1963">
      <w:pPr>
        <w:pStyle w:val="Prrafodelista"/>
        <w:rPr>
          <w:rFonts w:ascii="Palatino Linotype" w:eastAsiaTheme="minorEastAsia" w:hAnsi="Palatino Linotype" w:cstheme="minorBidi"/>
          <w:b/>
          <w:color w:val="000000" w:themeColor="text1"/>
          <w:lang w:val="es-ES_tradnl"/>
        </w:rPr>
      </w:pPr>
    </w:p>
    <w:p w14:paraId="43017D1F" w14:textId="4A00AF89" w:rsidR="001C1963" w:rsidRPr="00C53469" w:rsidRDefault="001C1963" w:rsidP="006C6D2C">
      <w:pPr>
        <w:numPr>
          <w:ilvl w:val="0"/>
          <w:numId w:val="5"/>
        </w:numPr>
        <w:tabs>
          <w:tab w:val="left" w:pos="284"/>
          <w:tab w:val="left" w:pos="426"/>
          <w:tab w:val="left" w:pos="993"/>
          <w:tab w:val="left" w:pos="1134"/>
        </w:tabs>
        <w:spacing w:line="360" w:lineRule="auto"/>
        <w:ind w:right="616"/>
        <w:contextualSpacing/>
        <w:jc w:val="both"/>
        <w:rPr>
          <w:rFonts w:ascii="Palatino Linotype" w:eastAsiaTheme="minorEastAsia" w:hAnsi="Palatino Linotype" w:cstheme="minorBidi"/>
          <w:b/>
          <w:color w:val="000000" w:themeColor="text1"/>
          <w:lang w:val="es-ES_tradnl"/>
        </w:rPr>
      </w:pPr>
      <w:r w:rsidRPr="00C53469">
        <w:rPr>
          <w:rFonts w:ascii="Palatino Linotype" w:eastAsiaTheme="minorEastAsia" w:hAnsi="Palatino Linotype" w:cstheme="minorBidi"/>
          <w:b/>
          <w:color w:val="000000" w:themeColor="text1"/>
          <w:lang w:val="es-ES_tradnl"/>
        </w:rPr>
        <w:t xml:space="preserve"> Julio.pdf, Agosto.pdf y Junio.pdf: </w:t>
      </w:r>
      <w:r w:rsidRPr="00C53469">
        <w:rPr>
          <w:rFonts w:ascii="Palatino Linotype" w:eastAsiaTheme="minorEastAsia" w:hAnsi="Palatino Linotype" w:cstheme="minorBidi"/>
          <w:color w:val="000000" w:themeColor="text1"/>
          <w:lang w:val="es-ES_tradnl"/>
        </w:rPr>
        <w:t>Documentos electrónicos</w:t>
      </w:r>
      <w:r w:rsidR="00B66812" w:rsidRPr="00C53469">
        <w:rPr>
          <w:rFonts w:ascii="Palatino Linotype" w:eastAsiaTheme="minorEastAsia" w:hAnsi="Palatino Linotype" w:cstheme="minorBidi"/>
          <w:color w:val="000000" w:themeColor="text1"/>
          <w:lang w:val="es-ES_tradnl"/>
        </w:rPr>
        <w:t xml:space="preserve"> que en corresponden a los cortes de caja de los meses de junio, julio y agosto, suscritos por Coordinador de Caja General, el Síndico Municipal y la jefa de Departamento de Cajas y Oficinas Foráneas.  </w:t>
      </w:r>
    </w:p>
    <w:p w14:paraId="13F3FD7A" w14:textId="027126C2" w:rsidR="009D4EE2" w:rsidRPr="00C53469" w:rsidRDefault="009D4EE2" w:rsidP="00B66812">
      <w:pPr>
        <w:tabs>
          <w:tab w:val="left" w:pos="284"/>
          <w:tab w:val="left" w:pos="426"/>
          <w:tab w:val="left" w:pos="993"/>
          <w:tab w:val="left" w:pos="1134"/>
        </w:tabs>
        <w:spacing w:line="360" w:lineRule="auto"/>
        <w:ind w:right="616"/>
        <w:contextualSpacing/>
        <w:jc w:val="both"/>
        <w:rPr>
          <w:rFonts w:ascii="Palatino Linotype" w:eastAsiaTheme="minorEastAsia" w:hAnsi="Palatino Linotype" w:cstheme="minorBidi"/>
          <w:color w:val="000000" w:themeColor="text1"/>
          <w:lang w:val="es-ES_tradnl"/>
        </w:rPr>
      </w:pPr>
    </w:p>
    <w:p w14:paraId="124FDCA2" w14:textId="3C352D42" w:rsidR="009D4EE2" w:rsidRPr="00C53469" w:rsidRDefault="009D4EE2" w:rsidP="00B66812">
      <w:pPr>
        <w:numPr>
          <w:ilvl w:val="0"/>
          <w:numId w:val="2"/>
        </w:numPr>
        <w:tabs>
          <w:tab w:val="left" w:pos="284"/>
        </w:tabs>
        <w:spacing w:line="360" w:lineRule="auto"/>
        <w:ind w:left="0" w:firstLine="0"/>
        <w:contextualSpacing/>
        <w:jc w:val="both"/>
        <w:rPr>
          <w:rFonts w:ascii="Palatino Linotype" w:eastAsiaTheme="minorEastAsia" w:hAnsi="Palatino Linotype" w:cstheme="minorBidi"/>
          <w:b/>
          <w:i/>
          <w:lang w:val="es-ES_tradnl"/>
        </w:rPr>
      </w:pPr>
      <w:r w:rsidRPr="00C53469">
        <w:rPr>
          <w:rFonts w:ascii="Palatino Linotype" w:hAnsi="Palatino Linotype" w:cs="Arial"/>
          <w:lang w:val="es-ES_tradnl"/>
        </w:rPr>
        <w:t>Derivado de la respuesta otorgada, el</w:t>
      </w:r>
      <w:r w:rsidRPr="00C53469">
        <w:rPr>
          <w:rFonts w:ascii="Palatino Linotype" w:hAnsi="Palatino Linotype" w:cs="Arial"/>
        </w:rPr>
        <w:t xml:space="preserve"> </w:t>
      </w:r>
      <w:r w:rsidR="00B66812" w:rsidRPr="00C53469">
        <w:rPr>
          <w:rFonts w:ascii="Palatino Linotype" w:hAnsi="Palatino Linotype" w:cs="Arial"/>
        </w:rPr>
        <w:t>dieciocho (18</w:t>
      </w:r>
      <w:r w:rsidRPr="00C53469">
        <w:rPr>
          <w:rFonts w:ascii="Palatino Linotype" w:hAnsi="Palatino Linotype" w:cs="Arial"/>
        </w:rPr>
        <w:t xml:space="preserve">) de octubre de dos mil veintidós, el particular interpuso el recurso de revisión con número </w:t>
      </w:r>
      <w:r w:rsidR="00B66812" w:rsidRPr="00C53469">
        <w:rPr>
          <w:rFonts w:ascii="Palatino Linotype" w:eastAsiaTheme="minorEastAsia" w:hAnsi="Palatino Linotype" w:cstheme="minorBidi"/>
          <w:b/>
        </w:rPr>
        <w:t>15663/INFOEM/IP/RR/2022</w:t>
      </w:r>
      <w:r w:rsidR="00B66812" w:rsidRPr="00C53469">
        <w:rPr>
          <w:rFonts w:ascii="Palatino Linotype" w:eastAsiaTheme="minorEastAsia" w:hAnsi="Palatino Linotype" w:cstheme="minorBidi"/>
          <w:b/>
          <w:i/>
          <w:lang w:val="es-ES_tradnl"/>
        </w:rPr>
        <w:t xml:space="preserve"> </w:t>
      </w:r>
      <w:r w:rsidRPr="00C53469">
        <w:rPr>
          <w:rFonts w:ascii="Palatino Linotype" w:hAnsi="Palatino Linotype" w:cs="Arial"/>
        </w:rPr>
        <w:t>indicado al rubro y señalando como:</w:t>
      </w:r>
    </w:p>
    <w:p w14:paraId="1CCFE5E1" w14:textId="77777777" w:rsidR="009D4EE2" w:rsidRPr="00C53469" w:rsidRDefault="009D4EE2" w:rsidP="009D4EE2">
      <w:pPr>
        <w:spacing w:line="360" w:lineRule="auto"/>
        <w:ind w:left="708"/>
        <w:rPr>
          <w:rFonts w:ascii="Palatino Linotype" w:hAnsi="Palatino Linotype" w:cs="Arial"/>
          <w:b/>
        </w:rPr>
      </w:pPr>
    </w:p>
    <w:p w14:paraId="6EB2B6F6" w14:textId="2E8EA03F" w:rsidR="009D4EE2" w:rsidRPr="00C53469" w:rsidRDefault="009D4EE2" w:rsidP="006C6D2C">
      <w:pPr>
        <w:numPr>
          <w:ilvl w:val="0"/>
          <w:numId w:val="8"/>
        </w:numPr>
        <w:tabs>
          <w:tab w:val="left" w:pos="284"/>
        </w:tabs>
        <w:spacing w:line="360" w:lineRule="auto"/>
        <w:ind w:right="738"/>
        <w:contextualSpacing/>
        <w:jc w:val="both"/>
        <w:rPr>
          <w:rFonts w:ascii="Palatino Linotype" w:eastAsiaTheme="minorEastAsia" w:hAnsi="Palatino Linotype" w:cstheme="minorBidi"/>
          <w:i/>
          <w:lang w:val="es-ES_tradnl"/>
        </w:rPr>
      </w:pPr>
      <w:r w:rsidRPr="00C53469">
        <w:rPr>
          <w:rFonts w:ascii="Palatino Linotype" w:hAnsi="Palatino Linotype" w:cs="Arial"/>
          <w:b/>
        </w:rPr>
        <w:lastRenderedPageBreak/>
        <w:t>Acto impugnado:</w:t>
      </w:r>
      <w:r w:rsidRPr="00C53469">
        <w:rPr>
          <w:rFonts w:ascii="Palatino Linotype" w:hAnsi="Palatino Linotype" w:cs="Arial"/>
        </w:rPr>
        <w:t xml:space="preserve"> </w:t>
      </w:r>
      <w:r w:rsidRPr="00C53469">
        <w:rPr>
          <w:rFonts w:ascii="Palatino Linotype" w:hAnsi="Palatino Linotype" w:cs="Arial"/>
          <w:i/>
        </w:rPr>
        <w:t>“</w:t>
      </w:r>
      <w:r w:rsidR="00B66812" w:rsidRPr="00C53469">
        <w:rPr>
          <w:rFonts w:ascii="Palatino Linotype" w:hAnsi="Palatino Linotype" w:cs="Arial"/>
          <w:i/>
        </w:rPr>
        <w:t>Se le olvidó anexar los contratos, que casualidad, tenga su amable recurso de revisión</w:t>
      </w:r>
      <w:r w:rsidRPr="00C53469">
        <w:rPr>
          <w:rFonts w:ascii="Palatino Linotype" w:hAnsi="Palatino Linotype" w:cs="Arial"/>
          <w:i/>
        </w:rPr>
        <w:t>” (Sic).</w:t>
      </w:r>
    </w:p>
    <w:p w14:paraId="5921ED7B" w14:textId="77777777" w:rsidR="009D4EE2" w:rsidRPr="00C53469" w:rsidRDefault="009D4EE2" w:rsidP="009D4EE2">
      <w:pPr>
        <w:tabs>
          <w:tab w:val="left" w:pos="426"/>
          <w:tab w:val="left" w:pos="993"/>
        </w:tabs>
        <w:spacing w:line="360" w:lineRule="auto"/>
        <w:ind w:left="567" w:right="738"/>
        <w:contextualSpacing/>
        <w:jc w:val="both"/>
        <w:rPr>
          <w:rFonts w:ascii="Palatino Linotype" w:hAnsi="Palatino Linotype" w:cs="Arial"/>
        </w:rPr>
      </w:pPr>
    </w:p>
    <w:p w14:paraId="05A07A1A" w14:textId="76705AE8" w:rsidR="009D4EE2" w:rsidRPr="00C53469" w:rsidRDefault="009D4EE2" w:rsidP="006C6D2C">
      <w:pPr>
        <w:numPr>
          <w:ilvl w:val="0"/>
          <w:numId w:val="8"/>
        </w:numPr>
        <w:tabs>
          <w:tab w:val="left" w:pos="426"/>
          <w:tab w:val="left" w:pos="993"/>
        </w:tabs>
        <w:spacing w:line="360" w:lineRule="auto"/>
        <w:ind w:right="738"/>
        <w:contextualSpacing/>
        <w:jc w:val="both"/>
        <w:rPr>
          <w:rFonts w:ascii="Palatino Linotype" w:hAnsi="Palatino Linotype" w:cs="Arial"/>
        </w:rPr>
      </w:pPr>
      <w:r w:rsidRPr="00C53469">
        <w:rPr>
          <w:rFonts w:ascii="Palatino Linotype" w:hAnsi="Palatino Linotype" w:cs="Arial"/>
          <w:b/>
        </w:rPr>
        <w:t>Razones o motivos de inconformidad:</w:t>
      </w:r>
      <w:r w:rsidRPr="00C53469">
        <w:rPr>
          <w:rFonts w:ascii="Palatino Linotype" w:hAnsi="Palatino Linotype" w:cs="Arial"/>
        </w:rPr>
        <w:t xml:space="preserve"> </w:t>
      </w:r>
      <w:r w:rsidRPr="00C53469">
        <w:rPr>
          <w:rFonts w:ascii="Palatino Linotype" w:hAnsi="Palatino Linotype" w:cs="Arial"/>
          <w:i/>
        </w:rPr>
        <w:t>“</w:t>
      </w:r>
      <w:r w:rsidR="00B66812" w:rsidRPr="00C53469">
        <w:rPr>
          <w:rFonts w:ascii="Palatino Linotype" w:hAnsi="Palatino Linotype" w:cs="Arial"/>
          <w:i/>
        </w:rPr>
        <w:t>Se le olvido anexar los contratos, que extraño si son una administración que no oculta nada, seguro se les olvido, tengan su amable recurso de revisión.</w:t>
      </w:r>
      <w:r w:rsidRPr="00C53469">
        <w:rPr>
          <w:rFonts w:ascii="Palatino Linotype" w:hAnsi="Palatino Linotype" w:cs="Arial"/>
          <w:i/>
        </w:rPr>
        <w:t>.” (Sic).</w:t>
      </w:r>
    </w:p>
    <w:p w14:paraId="552C6645" w14:textId="262B718F" w:rsidR="001B234C" w:rsidRPr="00C53469" w:rsidRDefault="001B234C" w:rsidP="00C373ED">
      <w:pPr>
        <w:tabs>
          <w:tab w:val="left" w:pos="0"/>
        </w:tabs>
        <w:spacing w:line="360" w:lineRule="auto"/>
        <w:ind w:right="616"/>
        <w:contextualSpacing/>
        <w:jc w:val="both"/>
        <w:rPr>
          <w:rFonts w:ascii="Palatino Linotype" w:hAnsi="Palatino Linotype" w:cs="Arial"/>
          <w:color w:val="000000" w:themeColor="text1"/>
        </w:rPr>
      </w:pPr>
    </w:p>
    <w:p w14:paraId="7B42BA50" w14:textId="38D65371" w:rsidR="00EA0165" w:rsidRPr="00C53469" w:rsidRDefault="00EA0165" w:rsidP="00C373ED">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C53469">
        <w:rPr>
          <w:rFonts w:ascii="Palatino Linotype" w:hAnsi="Palatino Linotype" w:cs="Arial"/>
          <w:color w:val="000000" w:themeColor="text1"/>
        </w:rPr>
        <w:t xml:space="preserve">Se registró el recurso de revisión bajo el número de expediente </w:t>
      </w:r>
      <w:r w:rsidRPr="00C53469">
        <w:rPr>
          <w:rFonts w:ascii="Palatino Linotype" w:eastAsiaTheme="minorEastAsia" w:hAnsi="Palatino Linotype" w:cs="Arial"/>
          <w:bCs/>
          <w:color w:val="000000" w:themeColor="text1"/>
          <w:lang w:val="es-ES_tradnl"/>
        </w:rPr>
        <w:t xml:space="preserve">al rubro indicado, asimismo, con fundamento en lo dispuesto por el </w:t>
      </w:r>
      <w:r w:rsidRPr="00C53469">
        <w:rPr>
          <w:rFonts w:ascii="Palatino Linotype" w:eastAsia="Calibri" w:hAnsi="Palatino Linotype" w:cs="Arial"/>
          <w:color w:val="000000" w:themeColor="text1"/>
        </w:rPr>
        <w:t xml:space="preserve">artículo 185 fracción I de la </w:t>
      </w:r>
      <w:r w:rsidRPr="00C53469">
        <w:rPr>
          <w:rFonts w:ascii="Palatino Linotype" w:eastAsia="Calibri" w:hAnsi="Palatino Linotype" w:cs="Arial"/>
          <w:b/>
          <w:color w:val="000000" w:themeColor="text1"/>
        </w:rPr>
        <w:t xml:space="preserve">Ley de Transparencia y Acceso a la Información Pública del Estado de México y Municipios </w:t>
      </w:r>
      <w:r w:rsidR="005E6282" w:rsidRPr="00C53469">
        <w:rPr>
          <w:rFonts w:ascii="Palatino Linotype" w:hAnsi="Palatino Linotype" w:cs="Arial"/>
          <w:color w:val="000000" w:themeColor="text1"/>
        </w:rPr>
        <w:t>se turnó a</w:t>
      </w:r>
      <w:r w:rsidR="00351568" w:rsidRPr="00C53469">
        <w:rPr>
          <w:rFonts w:ascii="Palatino Linotype" w:hAnsi="Palatino Linotype" w:cs="Arial"/>
          <w:color w:val="000000" w:themeColor="text1"/>
        </w:rPr>
        <w:t xml:space="preserve"> la </w:t>
      </w:r>
      <w:r w:rsidR="00E3149E" w:rsidRPr="00C53469">
        <w:rPr>
          <w:rFonts w:ascii="Palatino Linotype" w:hAnsi="Palatino Linotype" w:cs="Arial"/>
          <w:b/>
          <w:color w:val="000000" w:themeColor="text1"/>
        </w:rPr>
        <w:t>C</w:t>
      </w:r>
      <w:r w:rsidR="00351568" w:rsidRPr="00C53469">
        <w:rPr>
          <w:rFonts w:ascii="Palatino Linotype" w:hAnsi="Palatino Linotype" w:cs="Arial"/>
          <w:b/>
          <w:color w:val="000000" w:themeColor="text1"/>
        </w:rPr>
        <w:t>omisionada María del Rosario Mejía Ayala</w:t>
      </w:r>
      <w:r w:rsidRPr="00C53469">
        <w:rPr>
          <w:rFonts w:ascii="Palatino Linotype" w:hAnsi="Palatino Linotype" w:cs="Arial"/>
          <w:b/>
          <w:color w:val="000000" w:themeColor="text1"/>
        </w:rPr>
        <w:t xml:space="preserve">, </w:t>
      </w:r>
      <w:r w:rsidRPr="00C53469">
        <w:rPr>
          <w:rFonts w:ascii="Palatino Linotype" w:hAnsi="Palatino Linotype" w:cs="Arial"/>
          <w:color w:val="000000" w:themeColor="text1"/>
        </w:rPr>
        <w:t xml:space="preserve">con el objeto de </w:t>
      </w:r>
      <w:r w:rsidRPr="00C53469">
        <w:rPr>
          <w:rFonts w:ascii="Palatino Linotype" w:hAnsi="Palatino Linotype" w:cs="Arial"/>
          <w:color w:val="000000" w:themeColor="text1"/>
          <w:lang w:val="es-MX"/>
        </w:rPr>
        <w:t>su análisis.</w:t>
      </w:r>
    </w:p>
    <w:p w14:paraId="49F28BD1" w14:textId="77777777" w:rsidR="00EA0165" w:rsidRPr="00C53469" w:rsidRDefault="00EA0165" w:rsidP="00C373ED">
      <w:pPr>
        <w:tabs>
          <w:tab w:val="left" w:pos="426"/>
        </w:tabs>
        <w:spacing w:line="360" w:lineRule="auto"/>
        <w:contextualSpacing/>
        <w:jc w:val="both"/>
        <w:rPr>
          <w:rFonts w:ascii="Palatino Linotype" w:eastAsia="Calibri" w:hAnsi="Palatino Linotype" w:cs="Arial"/>
          <w:color w:val="000000" w:themeColor="text1"/>
        </w:rPr>
      </w:pPr>
    </w:p>
    <w:p w14:paraId="78EABB65" w14:textId="335913CE" w:rsidR="00EA0165" w:rsidRPr="00C53469" w:rsidRDefault="00351568" w:rsidP="00C373ED">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C53469">
        <w:rPr>
          <w:rFonts w:ascii="Palatino Linotype" w:hAnsi="Palatino Linotype" w:cs="Arial"/>
          <w:color w:val="000000" w:themeColor="text1"/>
        </w:rPr>
        <w:t xml:space="preserve">La </w:t>
      </w:r>
      <w:r w:rsidRPr="00C53469">
        <w:rPr>
          <w:rFonts w:ascii="Palatino Linotype" w:hAnsi="Palatino Linotype" w:cs="Arial"/>
          <w:b/>
          <w:color w:val="000000" w:themeColor="text1"/>
        </w:rPr>
        <w:t>Comisionada María del Rosario Mejía Ayala</w:t>
      </w:r>
      <w:r w:rsidR="00EA0165" w:rsidRPr="00C53469">
        <w:rPr>
          <w:rFonts w:ascii="Palatino Linotype" w:eastAsia="Calibri" w:hAnsi="Palatino Linotype" w:cs="Arial"/>
          <w:color w:val="000000" w:themeColor="text1"/>
        </w:rPr>
        <w:t>, con fundamento en lo dispuesto por el artículo 185 fracción II de la ley de la materia, a través del acuerdo de admisión de</w:t>
      </w:r>
      <w:r w:rsidR="00B66812" w:rsidRPr="00C53469">
        <w:rPr>
          <w:rFonts w:ascii="Palatino Linotype" w:eastAsia="Calibri" w:hAnsi="Palatino Linotype" w:cs="Arial"/>
          <w:color w:val="000000" w:themeColor="text1"/>
        </w:rPr>
        <w:t xml:space="preserve"> veintiséis</w:t>
      </w:r>
      <w:r w:rsidR="008426D8" w:rsidRPr="00C53469">
        <w:rPr>
          <w:rFonts w:ascii="Palatino Linotype" w:eastAsia="Calibri" w:hAnsi="Palatino Linotype" w:cs="Arial"/>
          <w:color w:val="000000" w:themeColor="text1"/>
        </w:rPr>
        <w:t xml:space="preserve"> </w:t>
      </w:r>
      <w:r w:rsidR="00EA0165" w:rsidRPr="00C53469">
        <w:rPr>
          <w:rFonts w:ascii="Palatino Linotype" w:eastAsia="Calibri" w:hAnsi="Palatino Linotype" w:cs="Arial"/>
          <w:color w:val="000000" w:themeColor="text1"/>
        </w:rPr>
        <w:t>(</w:t>
      </w:r>
      <w:r w:rsidR="00B66812" w:rsidRPr="00C53469">
        <w:rPr>
          <w:rFonts w:ascii="Palatino Linotype" w:eastAsia="Calibri" w:hAnsi="Palatino Linotype" w:cs="Arial"/>
          <w:color w:val="000000" w:themeColor="text1"/>
        </w:rPr>
        <w:t>26</w:t>
      </w:r>
      <w:r w:rsidR="00EA0165" w:rsidRPr="00C53469">
        <w:rPr>
          <w:rFonts w:ascii="Palatino Linotype" w:eastAsia="Calibri" w:hAnsi="Palatino Linotype" w:cs="Arial"/>
          <w:color w:val="000000" w:themeColor="text1"/>
        </w:rPr>
        <w:t>) de</w:t>
      </w:r>
      <w:r w:rsidR="00B66812" w:rsidRPr="00C53469">
        <w:rPr>
          <w:rFonts w:ascii="Palatino Linotype" w:eastAsia="Calibri" w:hAnsi="Palatino Linotype" w:cs="Arial"/>
          <w:color w:val="000000" w:themeColor="text1"/>
        </w:rPr>
        <w:t xml:space="preserve"> octubre</w:t>
      </w:r>
      <w:r w:rsidR="009815B6" w:rsidRPr="00C53469">
        <w:rPr>
          <w:rFonts w:ascii="Palatino Linotype" w:eastAsia="Calibri" w:hAnsi="Palatino Linotype" w:cs="Arial"/>
          <w:color w:val="000000" w:themeColor="text1"/>
        </w:rPr>
        <w:t xml:space="preserve"> d</w:t>
      </w:r>
      <w:r w:rsidR="008179A6" w:rsidRPr="00C53469">
        <w:rPr>
          <w:rFonts w:ascii="Palatino Linotype" w:eastAsia="Calibri" w:hAnsi="Palatino Linotype" w:cs="Arial"/>
          <w:color w:val="000000" w:themeColor="text1"/>
        </w:rPr>
        <w:t>e dos mil veintidós</w:t>
      </w:r>
      <w:r w:rsidR="00EA0165" w:rsidRPr="00C53469">
        <w:rPr>
          <w:rFonts w:ascii="Palatino Linotype" w:eastAsia="Calibri" w:hAnsi="Palatino Linotype" w:cs="Arial"/>
          <w:color w:val="000000" w:themeColor="text1"/>
        </w:rPr>
        <w:t xml:space="preserve">, puso a disposición de las partes el expediente electrónico </w:t>
      </w:r>
      <w:r w:rsidR="00EA0165" w:rsidRPr="00C53469">
        <w:rPr>
          <w:rFonts w:ascii="Palatino Linotype" w:eastAsia="Calibri" w:hAnsi="Palatino Linotype" w:cs="Arial"/>
          <w:color w:val="000000" w:themeColor="text1"/>
          <w:lang w:val="es-ES_tradnl"/>
        </w:rPr>
        <w:t xml:space="preserve">vía </w:t>
      </w:r>
      <w:r w:rsidR="00EA0165" w:rsidRPr="00C53469">
        <w:rPr>
          <w:rFonts w:ascii="Palatino Linotype" w:eastAsia="Calibri" w:hAnsi="Palatino Linotype" w:cs="Arial"/>
          <w:color w:val="000000" w:themeColor="text1"/>
        </w:rPr>
        <w:t xml:space="preserve">Sistema de Acceso a la Información Mexiquense a efecto de que en un plazo máximo de siete días manifestaran lo que a su derecho convinieran, ofrecieran pruebas y alegatos según corresponda a los casos concretos, de esta forma para que el </w:t>
      </w:r>
      <w:r w:rsidR="00EA0165" w:rsidRPr="00C53469">
        <w:rPr>
          <w:rFonts w:ascii="Palatino Linotype" w:eastAsia="Calibri" w:hAnsi="Palatino Linotype" w:cs="Arial"/>
          <w:b/>
          <w:color w:val="000000" w:themeColor="text1"/>
        </w:rPr>
        <w:t>SUJETO OBLIGADO</w:t>
      </w:r>
      <w:r w:rsidR="00EA0165" w:rsidRPr="00C53469">
        <w:rPr>
          <w:rFonts w:ascii="Palatino Linotype" w:eastAsia="Calibri" w:hAnsi="Palatino Linotype" w:cs="Arial"/>
          <w:color w:val="000000" w:themeColor="text1"/>
        </w:rPr>
        <w:t xml:space="preserve"> presentara el</w:t>
      </w:r>
      <w:r w:rsidR="00266490" w:rsidRPr="00C53469">
        <w:rPr>
          <w:rFonts w:ascii="Palatino Linotype" w:eastAsia="Calibri" w:hAnsi="Palatino Linotype" w:cs="Arial"/>
          <w:color w:val="000000" w:themeColor="text1"/>
        </w:rPr>
        <w:t xml:space="preserve"> </w:t>
      </w:r>
      <w:r w:rsidR="00AE5B00" w:rsidRPr="00C53469">
        <w:rPr>
          <w:rFonts w:ascii="Palatino Linotype" w:eastAsia="Calibri" w:hAnsi="Palatino Linotype" w:cs="Arial"/>
          <w:color w:val="000000" w:themeColor="text1"/>
        </w:rPr>
        <w:t>informe justificado procedente.</w:t>
      </w:r>
    </w:p>
    <w:p w14:paraId="6158350B" w14:textId="77777777" w:rsidR="00AE5B00" w:rsidRPr="00C53469" w:rsidRDefault="00AE5B00" w:rsidP="00C373ED">
      <w:pPr>
        <w:pStyle w:val="Prrafodelista"/>
        <w:spacing w:line="360" w:lineRule="auto"/>
        <w:rPr>
          <w:rFonts w:ascii="Palatino Linotype" w:eastAsia="Calibri" w:hAnsi="Palatino Linotype" w:cs="Arial"/>
          <w:color w:val="000000" w:themeColor="text1"/>
        </w:rPr>
      </w:pPr>
    </w:p>
    <w:p w14:paraId="08FE1376" w14:textId="1FCDF78F" w:rsidR="0057690A" w:rsidRPr="00C53469" w:rsidRDefault="00AE5B00" w:rsidP="00C373ED">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C53469">
        <w:rPr>
          <w:rFonts w:ascii="Palatino Linotype" w:eastAsia="Calibri" w:hAnsi="Palatino Linotype" w:cs="Arial"/>
          <w:color w:val="000000" w:themeColor="text1"/>
        </w:rPr>
        <w:t xml:space="preserve">En fecha </w:t>
      </w:r>
      <w:bookmarkStart w:id="4" w:name="_Toc461555889"/>
      <w:bookmarkStart w:id="5" w:name="_Toc466371858"/>
      <w:r w:rsidR="00B66812" w:rsidRPr="00C53469">
        <w:rPr>
          <w:rFonts w:ascii="Palatino Linotype" w:eastAsiaTheme="minorEastAsia" w:hAnsi="Palatino Linotype" w:cstheme="minorBidi"/>
          <w:color w:val="000000" w:themeColor="text1"/>
          <w:lang w:val="es-ES_tradnl"/>
        </w:rPr>
        <w:t>fecha uno (01) de noviembre</w:t>
      </w:r>
      <w:r w:rsidRPr="00C53469">
        <w:rPr>
          <w:rFonts w:ascii="Palatino Linotype" w:eastAsiaTheme="minorEastAsia" w:hAnsi="Palatino Linotype" w:cstheme="minorBidi"/>
          <w:color w:val="000000" w:themeColor="text1"/>
          <w:lang w:val="es-ES_tradnl"/>
        </w:rPr>
        <w:t xml:space="preserve"> de dos mil veintidós el </w:t>
      </w:r>
      <w:r w:rsidRPr="00C53469">
        <w:rPr>
          <w:rFonts w:ascii="Palatino Linotype" w:eastAsiaTheme="minorEastAsia" w:hAnsi="Palatino Linotype" w:cstheme="minorBidi"/>
          <w:b/>
          <w:color w:val="000000" w:themeColor="text1"/>
          <w:lang w:val="es-ES_tradnl"/>
        </w:rPr>
        <w:t>SUJETO OBLIGADO</w:t>
      </w:r>
      <w:r w:rsidR="00B66812" w:rsidRPr="00C53469">
        <w:rPr>
          <w:rFonts w:ascii="Palatino Linotype" w:eastAsiaTheme="minorEastAsia" w:hAnsi="Palatino Linotype" w:cstheme="minorBidi"/>
          <w:color w:val="000000" w:themeColor="text1"/>
          <w:lang w:val="es-ES_tradnl"/>
        </w:rPr>
        <w:t xml:space="preserve"> realizó entrega un documento</w:t>
      </w:r>
      <w:r w:rsidRPr="00C53469">
        <w:rPr>
          <w:rFonts w:ascii="Palatino Linotype" w:eastAsiaTheme="minorEastAsia" w:hAnsi="Palatino Linotype" w:cstheme="minorBidi"/>
          <w:color w:val="000000" w:themeColor="text1"/>
          <w:lang w:val="es-ES_tradnl"/>
        </w:rPr>
        <w:t xml:space="preserve"> en calidad de informe justificado, </w:t>
      </w:r>
      <w:r w:rsidRPr="00C53469">
        <w:rPr>
          <w:rFonts w:ascii="Palatino Linotype" w:eastAsiaTheme="minorEastAsia" w:hAnsi="Palatino Linotype" w:cstheme="minorBidi"/>
          <w:color w:val="000000" w:themeColor="text1"/>
          <w:lang w:val="es-ES_tradnl"/>
        </w:rPr>
        <w:lastRenderedPageBreak/>
        <w:t xml:space="preserve">mismos que se hicieron de conocimiento del Recurrente </w:t>
      </w:r>
      <w:r w:rsidR="00BC59F6" w:rsidRPr="00C53469">
        <w:rPr>
          <w:rFonts w:ascii="Palatino Linotype" w:eastAsiaTheme="minorEastAsia" w:hAnsi="Palatino Linotype" w:cstheme="minorBidi"/>
          <w:color w:val="000000" w:themeColor="text1"/>
          <w:lang w:val="es-ES_tradnl"/>
        </w:rPr>
        <w:t>medi</w:t>
      </w:r>
      <w:r w:rsidR="00235766" w:rsidRPr="00C53469">
        <w:rPr>
          <w:rFonts w:ascii="Palatino Linotype" w:eastAsiaTheme="minorEastAsia" w:hAnsi="Palatino Linotype" w:cstheme="minorBidi"/>
          <w:color w:val="000000" w:themeColor="text1"/>
          <w:lang w:val="es-ES_tradnl"/>
        </w:rPr>
        <w:t>ante acuerdo</w:t>
      </w:r>
      <w:r w:rsidR="003E036E" w:rsidRPr="00C53469">
        <w:rPr>
          <w:rFonts w:ascii="Palatino Linotype" w:eastAsiaTheme="minorEastAsia" w:hAnsi="Palatino Linotype" w:cstheme="minorBidi"/>
          <w:color w:val="000000" w:themeColor="text1"/>
          <w:lang w:val="es-ES_tradnl"/>
        </w:rPr>
        <w:t xml:space="preserve"> de fecha tres (03</w:t>
      </w:r>
      <w:r w:rsidRPr="00C53469">
        <w:rPr>
          <w:rFonts w:ascii="Palatino Linotype" w:eastAsiaTheme="minorEastAsia" w:hAnsi="Palatino Linotype" w:cstheme="minorBidi"/>
          <w:color w:val="000000" w:themeColor="text1"/>
          <w:lang w:val="es-ES_tradnl"/>
        </w:rPr>
        <w:t>) de</w:t>
      </w:r>
      <w:r w:rsidR="00235766" w:rsidRPr="00C53469">
        <w:rPr>
          <w:rFonts w:ascii="Palatino Linotype" w:eastAsiaTheme="minorEastAsia" w:hAnsi="Palatino Linotype" w:cstheme="minorBidi"/>
          <w:color w:val="000000" w:themeColor="text1"/>
          <w:lang w:val="es-ES_tradnl"/>
        </w:rPr>
        <w:t xml:space="preserve"> noviembre </w:t>
      </w:r>
      <w:r w:rsidRPr="00C53469">
        <w:rPr>
          <w:rFonts w:ascii="Palatino Linotype" w:eastAsiaTheme="minorEastAsia" w:hAnsi="Palatino Linotype" w:cstheme="minorBidi"/>
          <w:color w:val="000000" w:themeColor="text1"/>
          <w:lang w:val="es-ES_tradnl"/>
        </w:rPr>
        <w:t>de dos mil veintidós, no obstante, y afecto de que no exista opacidad en la determinación</w:t>
      </w:r>
      <w:r w:rsidRPr="00C53469">
        <w:rPr>
          <w:rFonts w:ascii="Palatino Linotype" w:eastAsia="Calibri" w:hAnsi="Palatino Linotype" w:cs="Arial"/>
          <w:color w:val="000000" w:themeColor="text1"/>
        </w:rPr>
        <w:t xml:space="preserve"> </w:t>
      </w:r>
      <w:r w:rsidRPr="00C53469">
        <w:rPr>
          <w:rFonts w:ascii="Palatino Linotype" w:eastAsiaTheme="minorEastAsia" w:hAnsi="Palatino Linotype" w:cstheme="minorBidi"/>
          <w:color w:val="000000" w:themeColor="text1"/>
          <w:lang w:val="es-ES_tradnl"/>
        </w:rPr>
        <w:t>se describe a continuación</w:t>
      </w:r>
      <w:r w:rsidRPr="00C53469">
        <w:rPr>
          <w:rFonts w:ascii="Palatino Linotype" w:eastAsiaTheme="minorEastAsia" w:hAnsi="Palatino Linotype" w:cstheme="minorBidi"/>
          <w:b/>
          <w:color w:val="000000" w:themeColor="text1"/>
          <w:lang w:val="es-ES_tradnl"/>
        </w:rPr>
        <w:t>:</w:t>
      </w:r>
    </w:p>
    <w:p w14:paraId="34D88E83" w14:textId="77777777" w:rsidR="00BC59F6" w:rsidRPr="00C53469" w:rsidRDefault="00BC59F6" w:rsidP="00C373ED">
      <w:pPr>
        <w:pStyle w:val="Prrafodelista"/>
        <w:spacing w:line="360" w:lineRule="auto"/>
        <w:rPr>
          <w:rFonts w:ascii="Palatino Linotype" w:eastAsia="Calibri" w:hAnsi="Palatino Linotype" w:cs="Arial"/>
          <w:color w:val="000000" w:themeColor="text1"/>
        </w:rPr>
      </w:pPr>
    </w:p>
    <w:p w14:paraId="48CCB4E7" w14:textId="08968275" w:rsidR="009A56C8" w:rsidRPr="00C53469" w:rsidRDefault="00235766" w:rsidP="00235766">
      <w:pPr>
        <w:pStyle w:val="Prrafodelista"/>
        <w:numPr>
          <w:ilvl w:val="0"/>
          <w:numId w:val="1"/>
        </w:numPr>
        <w:tabs>
          <w:tab w:val="left" w:pos="720"/>
        </w:tabs>
        <w:spacing w:line="360" w:lineRule="auto"/>
        <w:ind w:left="720" w:right="918" w:firstLine="0"/>
        <w:contextualSpacing/>
        <w:jc w:val="both"/>
        <w:rPr>
          <w:rFonts w:ascii="Palatino Linotype" w:eastAsia="Calibri" w:hAnsi="Palatino Linotype" w:cs="Arial"/>
          <w:b/>
          <w:color w:val="000000" w:themeColor="text1"/>
        </w:rPr>
      </w:pPr>
      <w:r w:rsidRPr="00C53469">
        <w:rPr>
          <w:rFonts w:ascii="Palatino Linotype" w:eastAsia="Calibri" w:hAnsi="Palatino Linotype" w:cs="Arial"/>
          <w:b/>
          <w:color w:val="000000" w:themeColor="text1"/>
        </w:rPr>
        <w:t xml:space="preserve">Recurso De </w:t>
      </w:r>
      <w:proofErr w:type="spellStart"/>
      <w:r w:rsidRPr="00C53469">
        <w:rPr>
          <w:rFonts w:ascii="Palatino Linotype" w:eastAsia="Calibri" w:hAnsi="Palatino Linotype" w:cs="Arial"/>
          <w:b/>
          <w:color w:val="000000" w:themeColor="text1"/>
        </w:rPr>
        <w:t>Revision</w:t>
      </w:r>
      <w:proofErr w:type="spellEnd"/>
      <w:r w:rsidRPr="00C53469">
        <w:rPr>
          <w:rFonts w:ascii="Palatino Linotype" w:eastAsia="Calibri" w:hAnsi="Palatino Linotype" w:cs="Arial"/>
          <w:b/>
          <w:color w:val="000000" w:themeColor="text1"/>
        </w:rPr>
        <w:t xml:space="preserve"> 347.pdf</w:t>
      </w:r>
      <w:r w:rsidR="00BC59F6" w:rsidRPr="00C53469">
        <w:rPr>
          <w:rFonts w:ascii="Palatino Linotype" w:eastAsia="Calibri" w:hAnsi="Palatino Linotype" w:cs="Arial"/>
          <w:b/>
          <w:color w:val="000000" w:themeColor="text1"/>
        </w:rPr>
        <w:t xml:space="preserve">: </w:t>
      </w:r>
      <w:r w:rsidR="00BC59F6" w:rsidRPr="00C53469">
        <w:rPr>
          <w:rFonts w:ascii="Palatino Linotype" w:eastAsia="Calibri" w:hAnsi="Palatino Linotype" w:cs="Arial"/>
          <w:color w:val="000000" w:themeColor="text1"/>
        </w:rPr>
        <w:t>D</w:t>
      </w:r>
      <w:r w:rsidR="00503942" w:rsidRPr="00C53469">
        <w:rPr>
          <w:rFonts w:ascii="Palatino Linotype" w:eastAsia="Calibri" w:hAnsi="Palatino Linotype" w:cs="Arial"/>
          <w:color w:val="000000" w:themeColor="text1"/>
        </w:rPr>
        <w:t xml:space="preserve">ocumento electrónico que en tres (03) hojas </w:t>
      </w:r>
      <w:r w:rsidR="00BC59F6" w:rsidRPr="00C53469">
        <w:rPr>
          <w:rFonts w:ascii="Palatino Linotype" w:eastAsia="Calibri" w:hAnsi="Palatino Linotype" w:cs="Arial"/>
          <w:color w:val="000000" w:themeColor="text1"/>
        </w:rPr>
        <w:t xml:space="preserve">contiene </w:t>
      </w:r>
      <w:r w:rsidR="00503942" w:rsidRPr="00C53469">
        <w:rPr>
          <w:rFonts w:ascii="Palatino Linotype" w:eastAsia="Calibri" w:hAnsi="Palatino Linotype" w:cs="Arial"/>
          <w:color w:val="000000" w:themeColor="text1"/>
        </w:rPr>
        <w:t xml:space="preserve">el informe justificado emitido por el Titular de la Unidad de Transparencia mediante el cual se confirma medularmente la respuesta inicial y se refiere que no existe congruencia entre los motivos de inconformidad y lo solicitado.  </w:t>
      </w:r>
      <w:r w:rsidR="009A56C8" w:rsidRPr="00C53469">
        <w:rPr>
          <w:rFonts w:ascii="Palatino Linotype" w:eastAsia="Calibri" w:hAnsi="Palatino Linotype" w:cs="Arial"/>
          <w:color w:val="000000" w:themeColor="text1"/>
        </w:rPr>
        <w:t xml:space="preserve"> </w:t>
      </w:r>
    </w:p>
    <w:p w14:paraId="18640AA2" w14:textId="3F3498C9" w:rsidR="00BC59F6" w:rsidRPr="00C53469" w:rsidRDefault="00BC59F6" w:rsidP="00C373ED">
      <w:pPr>
        <w:pStyle w:val="Prrafodelista"/>
        <w:tabs>
          <w:tab w:val="left" w:pos="426"/>
        </w:tabs>
        <w:spacing w:line="360" w:lineRule="auto"/>
        <w:ind w:left="0"/>
        <w:contextualSpacing/>
        <w:jc w:val="both"/>
        <w:rPr>
          <w:rFonts w:ascii="Palatino Linotype" w:eastAsiaTheme="minorEastAsia" w:hAnsi="Palatino Linotype" w:cstheme="minorBidi"/>
          <w:color w:val="000000" w:themeColor="text1"/>
          <w:lang w:val="es-ES_tradnl"/>
        </w:rPr>
      </w:pPr>
    </w:p>
    <w:p w14:paraId="5903D609" w14:textId="77777777" w:rsidR="00AE5B00" w:rsidRPr="00C53469" w:rsidRDefault="00AE5B00" w:rsidP="00C373ED">
      <w:pPr>
        <w:pStyle w:val="Prrafodelista"/>
        <w:tabs>
          <w:tab w:val="left" w:pos="426"/>
        </w:tabs>
        <w:spacing w:line="360" w:lineRule="auto"/>
        <w:ind w:left="0"/>
        <w:contextualSpacing/>
        <w:jc w:val="both"/>
        <w:rPr>
          <w:rFonts w:ascii="Palatino Linotype" w:eastAsiaTheme="minorEastAsia" w:hAnsi="Palatino Linotype" w:cstheme="minorBidi"/>
          <w:b/>
          <w:color w:val="000000" w:themeColor="text1"/>
          <w:lang w:val="es-ES_tradnl"/>
        </w:rPr>
      </w:pPr>
    </w:p>
    <w:p w14:paraId="7A6ED569" w14:textId="4804564E" w:rsidR="0057690A" w:rsidRPr="00C53469" w:rsidRDefault="0057690A" w:rsidP="006C6D2C">
      <w:pPr>
        <w:pStyle w:val="Prrafodelista"/>
        <w:numPr>
          <w:ilvl w:val="0"/>
          <w:numId w:val="3"/>
        </w:numPr>
        <w:tabs>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bookmarkStart w:id="6" w:name="_Toc68804758"/>
      <w:r w:rsidRPr="00C53469">
        <w:rPr>
          <w:rFonts w:ascii="Palatino Linotype" w:eastAsiaTheme="minorEastAsia" w:hAnsi="Palatino Linotype" w:cstheme="minorBidi"/>
          <w:color w:val="000000" w:themeColor="text1"/>
          <w:lang w:val="es-ES_tradnl"/>
        </w:rPr>
        <w:t>Así las cosas, la</w:t>
      </w:r>
      <w:r w:rsidRPr="00C53469">
        <w:rPr>
          <w:rFonts w:ascii="Palatino Linotype" w:eastAsiaTheme="minorEastAsia" w:hAnsi="Palatino Linotype" w:cstheme="minorBidi"/>
          <w:b/>
          <w:color w:val="000000" w:themeColor="text1"/>
          <w:lang w:val="es-ES_tradnl"/>
        </w:rPr>
        <w:t xml:space="preserve"> Comisionada María del Rosario Mejía Ayala</w:t>
      </w:r>
      <w:r w:rsidRPr="00C53469">
        <w:rPr>
          <w:rFonts w:ascii="Palatino Linotype" w:eastAsiaTheme="minorEastAsia" w:hAnsi="Palatino Linotype" w:cstheme="minorBidi"/>
          <w:color w:val="000000" w:themeColor="text1"/>
          <w:lang w:val="es-ES_tradnl"/>
        </w:rPr>
        <w:t xml:space="preserve"> decretó el cierre de instrucción mediante</w:t>
      </w:r>
      <w:r w:rsidR="006C035E" w:rsidRPr="00C53469">
        <w:rPr>
          <w:rFonts w:ascii="Palatino Linotype" w:eastAsiaTheme="minorEastAsia" w:hAnsi="Palatino Linotype" w:cstheme="minorBidi"/>
          <w:color w:val="000000" w:themeColor="text1"/>
          <w:lang w:val="es-ES_tradnl"/>
        </w:rPr>
        <w:t xml:space="preserve"> </w:t>
      </w:r>
      <w:r w:rsidR="003E036E" w:rsidRPr="00C53469">
        <w:rPr>
          <w:rFonts w:ascii="Palatino Linotype" w:eastAsiaTheme="minorEastAsia" w:hAnsi="Palatino Linotype" w:cstheme="minorBidi"/>
          <w:color w:val="000000" w:themeColor="text1"/>
          <w:lang w:val="es-ES_tradnl"/>
        </w:rPr>
        <w:t>acuerdo de fecha diez (10</w:t>
      </w:r>
      <w:r w:rsidRPr="00C53469">
        <w:rPr>
          <w:rFonts w:ascii="Palatino Linotype" w:eastAsiaTheme="minorEastAsia" w:hAnsi="Palatino Linotype" w:cstheme="minorBidi"/>
          <w:color w:val="000000" w:themeColor="text1"/>
          <w:lang w:val="es-ES_tradnl"/>
        </w:rPr>
        <w:t>) de</w:t>
      </w:r>
      <w:r w:rsidR="009A56C8" w:rsidRPr="00C53469">
        <w:rPr>
          <w:rFonts w:ascii="Palatino Linotype" w:eastAsiaTheme="minorEastAsia" w:hAnsi="Palatino Linotype" w:cstheme="minorBidi"/>
          <w:color w:val="000000" w:themeColor="text1"/>
          <w:lang w:val="es-ES_tradnl"/>
        </w:rPr>
        <w:t xml:space="preserve"> noviembre </w:t>
      </w:r>
      <w:r w:rsidR="008179A6" w:rsidRPr="00C53469">
        <w:rPr>
          <w:rFonts w:ascii="Palatino Linotype" w:eastAsiaTheme="minorEastAsia" w:hAnsi="Palatino Linotype" w:cstheme="minorBidi"/>
          <w:color w:val="000000" w:themeColor="text1"/>
          <w:lang w:val="es-ES_tradnl"/>
        </w:rPr>
        <w:t xml:space="preserve">de dos mil veintidós. </w:t>
      </w:r>
    </w:p>
    <w:p w14:paraId="1A06EC63" w14:textId="77777777" w:rsidR="0028674A" w:rsidRPr="00C53469" w:rsidRDefault="0028674A" w:rsidP="00C373ED">
      <w:pPr>
        <w:spacing w:line="360" w:lineRule="auto"/>
        <w:rPr>
          <w:rFonts w:ascii="Palatino Linotype" w:hAnsi="Palatino Linotype"/>
          <w:lang w:val="es-MX" w:eastAsia="en-US"/>
        </w:rPr>
      </w:pPr>
    </w:p>
    <w:p w14:paraId="0D7AA06B" w14:textId="7A39DB0D" w:rsidR="00EA0165" w:rsidRPr="00C53469" w:rsidRDefault="00EA0165" w:rsidP="00C373ED">
      <w:pPr>
        <w:pStyle w:val="Ttulo1"/>
        <w:spacing w:line="360" w:lineRule="auto"/>
        <w:jc w:val="center"/>
        <w:rPr>
          <w:rFonts w:ascii="Palatino Linotype" w:hAnsi="Palatino Linotype"/>
          <w:b/>
          <w:color w:val="000000" w:themeColor="text1"/>
          <w:sz w:val="24"/>
          <w:szCs w:val="24"/>
          <w:lang w:val="es-MX" w:eastAsia="en-US"/>
        </w:rPr>
      </w:pPr>
      <w:bookmarkStart w:id="7" w:name="_Toc89350001"/>
      <w:r w:rsidRPr="00C53469">
        <w:rPr>
          <w:rFonts w:ascii="Palatino Linotype" w:hAnsi="Palatino Linotype"/>
          <w:b/>
          <w:color w:val="000000" w:themeColor="text1"/>
          <w:sz w:val="24"/>
          <w:szCs w:val="24"/>
          <w:lang w:val="es-MX" w:eastAsia="en-US"/>
        </w:rPr>
        <w:t>CONSIDERANDO</w:t>
      </w:r>
      <w:bookmarkEnd w:id="4"/>
      <w:bookmarkEnd w:id="5"/>
      <w:bookmarkEnd w:id="6"/>
      <w:bookmarkEnd w:id="7"/>
    </w:p>
    <w:p w14:paraId="3468D0CF" w14:textId="475BACAF" w:rsidR="00EA0165" w:rsidRPr="00C53469" w:rsidRDefault="00EA0165" w:rsidP="00C373ED">
      <w:pPr>
        <w:pStyle w:val="Ttulo1"/>
        <w:spacing w:line="360" w:lineRule="auto"/>
        <w:rPr>
          <w:rFonts w:ascii="Palatino Linotype" w:hAnsi="Palatino Linotype"/>
          <w:b/>
          <w:color w:val="000000" w:themeColor="text1"/>
          <w:sz w:val="24"/>
          <w:szCs w:val="24"/>
          <w:lang w:val="es-MX" w:eastAsia="en-US"/>
        </w:rPr>
      </w:pPr>
      <w:bookmarkStart w:id="8" w:name="_Toc461555890"/>
      <w:bookmarkStart w:id="9" w:name="_Toc466371859"/>
      <w:bookmarkStart w:id="10" w:name="_Toc68804759"/>
      <w:bookmarkStart w:id="11" w:name="_Toc89350002"/>
      <w:r w:rsidRPr="00C53469">
        <w:rPr>
          <w:rFonts w:ascii="Palatino Linotype" w:hAnsi="Palatino Linotype"/>
          <w:b/>
          <w:color w:val="000000" w:themeColor="text1"/>
          <w:sz w:val="24"/>
          <w:szCs w:val="24"/>
          <w:lang w:val="es-MX" w:eastAsia="en-US"/>
        </w:rPr>
        <w:t>PRIMERO. De la competencia</w:t>
      </w:r>
      <w:bookmarkEnd w:id="8"/>
      <w:bookmarkEnd w:id="9"/>
      <w:bookmarkEnd w:id="10"/>
      <w:r w:rsidR="00537427" w:rsidRPr="00C53469">
        <w:rPr>
          <w:rFonts w:ascii="Palatino Linotype" w:hAnsi="Palatino Linotype"/>
          <w:b/>
          <w:color w:val="000000" w:themeColor="text1"/>
          <w:sz w:val="24"/>
          <w:szCs w:val="24"/>
          <w:lang w:val="es-MX" w:eastAsia="en-US"/>
        </w:rPr>
        <w:t>.</w:t>
      </w:r>
      <w:bookmarkEnd w:id="11"/>
    </w:p>
    <w:p w14:paraId="341F67EC" w14:textId="77777777" w:rsidR="00EA0165" w:rsidRPr="00C53469" w:rsidRDefault="00EA0165" w:rsidP="00C373ED">
      <w:pPr>
        <w:spacing w:line="360" w:lineRule="auto"/>
        <w:rPr>
          <w:rFonts w:ascii="Palatino Linotype" w:eastAsiaTheme="minorEastAsia" w:hAnsi="Palatino Linotype" w:cstheme="minorBidi"/>
          <w:color w:val="000000" w:themeColor="text1"/>
          <w:lang w:val="es-MX" w:eastAsia="en-US"/>
        </w:rPr>
      </w:pPr>
    </w:p>
    <w:p w14:paraId="15D1D21E" w14:textId="4667732A" w:rsidR="00EA0165" w:rsidRPr="00C53469" w:rsidRDefault="00EA0165" w:rsidP="006C6D2C">
      <w:pPr>
        <w:pStyle w:val="Prrafodelista"/>
        <w:numPr>
          <w:ilvl w:val="0"/>
          <w:numId w:val="3"/>
        </w:numPr>
        <w:tabs>
          <w:tab w:val="left" w:pos="0"/>
        </w:tabs>
        <w:spacing w:after="160" w:line="360" w:lineRule="auto"/>
        <w:ind w:left="0" w:hanging="11"/>
        <w:contextualSpacing/>
        <w:jc w:val="both"/>
        <w:rPr>
          <w:rFonts w:ascii="Palatino Linotype" w:eastAsia="MS Mincho" w:hAnsi="Palatino Linotype"/>
          <w:lang w:val="es-ES_tradnl"/>
        </w:rPr>
      </w:pPr>
      <w:r w:rsidRPr="00C53469">
        <w:rPr>
          <w:rFonts w:ascii="Palatino Linotype" w:eastAsia="Calibri"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C53469">
        <w:rPr>
          <w:rFonts w:ascii="Palatino Linotype" w:eastAsia="Calibri" w:hAnsi="Palatino Linotype"/>
          <w:b/>
        </w:rPr>
        <w:t>Constitución Política de los Estados Unidos Mexicanos</w:t>
      </w:r>
      <w:r w:rsidRPr="00C53469">
        <w:rPr>
          <w:rFonts w:ascii="Palatino Linotype" w:eastAsia="Calibri" w:hAnsi="Palatino Linotype"/>
        </w:rPr>
        <w:t xml:space="preserve">; </w:t>
      </w:r>
      <w:r w:rsidRPr="00C53469">
        <w:rPr>
          <w:rFonts w:ascii="Palatino Linotype" w:eastAsia="Calibri" w:hAnsi="Palatino Linotype" w:cs="Arial"/>
          <w:bCs/>
          <w:color w:val="222222"/>
          <w:shd w:val="clear" w:color="auto" w:fill="FFFFFF"/>
          <w:lang w:eastAsia="en-US"/>
        </w:rPr>
        <w:t>5, párrafo</w:t>
      </w:r>
      <w:r w:rsidR="00543BF9" w:rsidRPr="00C53469">
        <w:rPr>
          <w:rFonts w:ascii="Palatino Linotype" w:eastAsia="Calibri" w:hAnsi="Palatino Linotype"/>
          <w:lang w:val="es-MX" w:eastAsia="en-US"/>
        </w:rPr>
        <w:t xml:space="preserve"> trigésimo, trigésimo primero y trigésimo segundo, fracciones I, II, III, IV y V</w:t>
      </w:r>
      <w:r w:rsidR="00543BF9" w:rsidRPr="00C53469">
        <w:rPr>
          <w:rFonts w:ascii="Palatino Linotype" w:eastAsia="MS Mincho" w:hAnsi="Palatino Linotype"/>
          <w:lang w:val="es-ES_tradnl"/>
        </w:rPr>
        <w:t xml:space="preserve"> </w:t>
      </w:r>
      <w:r w:rsidRPr="00C53469">
        <w:rPr>
          <w:rFonts w:ascii="Palatino Linotype" w:eastAsia="Calibri" w:hAnsi="Palatino Linotype"/>
        </w:rPr>
        <w:t xml:space="preserve">de la </w:t>
      </w:r>
      <w:r w:rsidRPr="00C53469">
        <w:rPr>
          <w:rFonts w:ascii="Palatino Linotype" w:eastAsia="Calibri" w:hAnsi="Palatino Linotype"/>
          <w:b/>
        </w:rPr>
        <w:lastRenderedPageBreak/>
        <w:t>Constitución Política del Estado Libre y Soberano de México</w:t>
      </w:r>
      <w:r w:rsidRPr="00C53469">
        <w:rPr>
          <w:rFonts w:ascii="Palatino Linotype" w:eastAsia="Calibri" w:hAnsi="Palatino Linotype"/>
        </w:rPr>
        <w:t xml:space="preserve">; artículos 1, 2 fracción II, 13, 29, 36 fracciones I y II, 176, 178, 179, 181 párrafo tercero y 185 </w:t>
      </w:r>
      <w:r w:rsidRPr="00C53469">
        <w:rPr>
          <w:rFonts w:ascii="Palatino Linotype" w:eastAsia="Calibri" w:hAnsi="Palatino Linotype" w:cs="Arial"/>
        </w:rPr>
        <w:t xml:space="preserve">de la </w:t>
      </w:r>
      <w:r w:rsidRPr="00C53469">
        <w:rPr>
          <w:rFonts w:ascii="Palatino Linotype" w:eastAsia="Calibri" w:hAnsi="Palatino Linotype" w:cs="Arial"/>
          <w:b/>
        </w:rPr>
        <w:t>Ley de Transparencia y Acceso a la Información Pública del Estado de México y Municipios</w:t>
      </w:r>
      <w:r w:rsidRPr="00C53469">
        <w:rPr>
          <w:rFonts w:ascii="Palatino Linotype" w:eastAsia="Calibri" w:hAnsi="Palatino Linotype" w:cs="Arial"/>
        </w:rPr>
        <w:t xml:space="preserve">; </w:t>
      </w:r>
      <w:r w:rsidRPr="00C53469">
        <w:rPr>
          <w:rFonts w:ascii="Palatino Linotype" w:eastAsia="Calibri" w:hAnsi="Palatino Linotype" w:cs="Arial"/>
          <w:b/>
        </w:rPr>
        <w:t>7, 9 fracciones I y XXIV, y 11</w:t>
      </w:r>
      <w:r w:rsidRPr="00C53469">
        <w:rPr>
          <w:rFonts w:ascii="Palatino Linotype" w:eastAsia="Calibri" w:hAnsi="Palatino Linotype" w:cs="Arial"/>
        </w:rPr>
        <w:t xml:space="preserve"> del </w:t>
      </w:r>
      <w:r w:rsidRPr="00C53469">
        <w:rPr>
          <w:rFonts w:ascii="Palatino Linotype" w:eastAsia="Calibri" w:hAnsi="Palatino Linotype" w:cs="Arial"/>
          <w:b/>
        </w:rPr>
        <w:t>Reglamento Interior del Instituto de Transparencia, Acceso a la Información Pública y Protección de Datos Personales del Estado de México y Municipios</w:t>
      </w:r>
      <w:r w:rsidR="009A1E3F" w:rsidRPr="00C53469">
        <w:rPr>
          <w:rFonts w:ascii="Palatino Linotype" w:eastAsia="Calibri" w:hAnsi="Palatino Linotype" w:cs="Arial"/>
          <w:b/>
        </w:rPr>
        <w:t>.</w:t>
      </w:r>
    </w:p>
    <w:p w14:paraId="343B0FCF" w14:textId="413622B7" w:rsidR="00EA0165" w:rsidRPr="00C53469" w:rsidRDefault="00EA0165" w:rsidP="00C373ED">
      <w:pPr>
        <w:pStyle w:val="Ttulo1"/>
        <w:spacing w:line="360" w:lineRule="auto"/>
        <w:rPr>
          <w:rFonts w:ascii="Palatino Linotype" w:hAnsi="Palatino Linotype"/>
          <w:b/>
          <w:color w:val="000000" w:themeColor="text1"/>
          <w:sz w:val="24"/>
          <w:szCs w:val="24"/>
          <w:lang w:val="es-MX" w:eastAsia="en-US"/>
        </w:rPr>
      </w:pPr>
      <w:bookmarkStart w:id="12" w:name="_Toc461555891"/>
      <w:bookmarkStart w:id="13" w:name="_Toc466371860"/>
      <w:bookmarkStart w:id="14" w:name="_Toc68804760"/>
      <w:bookmarkStart w:id="15" w:name="_Toc89350003"/>
      <w:r w:rsidRPr="00C53469">
        <w:rPr>
          <w:rFonts w:ascii="Palatino Linotype" w:hAnsi="Palatino Linotype"/>
          <w:b/>
          <w:color w:val="000000" w:themeColor="text1"/>
          <w:sz w:val="24"/>
          <w:szCs w:val="24"/>
          <w:lang w:val="es-MX" w:eastAsia="en-US"/>
        </w:rPr>
        <w:t>SEGUNDO. De la oportunidad y procedencia.</w:t>
      </w:r>
      <w:bookmarkEnd w:id="12"/>
      <w:bookmarkEnd w:id="13"/>
      <w:bookmarkEnd w:id="14"/>
      <w:bookmarkEnd w:id="15"/>
    </w:p>
    <w:p w14:paraId="5A952E6E" w14:textId="3BC859EF" w:rsidR="009815B6" w:rsidRPr="00C53469" w:rsidRDefault="007C4587" w:rsidP="006C6D2C">
      <w:pPr>
        <w:pStyle w:val="Ttulo1"/>
        <w:numPr>
          <w:ilvl w:val="0"/>
          <w:numId w:val="7"/>
        </w:numPr>
        <w:suppressAutoHyphens/>
        <w:spacing w:line="360" w:lineRule="auto"/>
        <w:ind w:left="0" w:firstLine="0"/>
        <w:rPr>
          <w:rFonts w:ascii="Palatino Linotype" w:hAnsi="Palatino Linotype"/>
          <w:sz w:val="24"/>
          <w:szCs w:val="24"/>
        </w:rPr>
      </w:pPr>
      <w:bookmarkStart w:id="16" w:name="_Toc113462271"/>
      <w:r w:rsidRPr="00C53469">
        <w:rPr>
          <w:rFonts w:ascii="Palatino Linotype" w:hAnsi="Palatino Linotype"/>
          <w:b/>
          <w:color w:val="000000" w:themeColor="text1"/>
          <w:sz w:val="24"/>
          <w:szCs w:val="24"/>
        </w:rPr>
        <w:t>De la interposición del recurso</w:t>
      </w:r>
      <w:r w:rsidRPr="00C53469">
        <w:rPr>
          <w:rFonts w:ascii="Palatino Linotype" w:hAnsi="Palatino Linotype"/>
          <w:sz w:val="24"/>
          <w:szCs w:val="24"/>
        </w:rPr>
        <w:t>.</w:t>
      </w:r>
      <w:bookmarkEnd w:id="16"/>
      <w:r w:rsidRPr="00C53469">
        <w:rPr>
          <w:rFonts w:ascii="Palatino Linotype" w:hAnsi="Palatino Linotype"/>
          <w:sz w:val="24"/>
          <w:szCs w:val="24"/>
        </w:rPr>
        <w:t xml:space="preserve"> </w:t>
      </w:r>
    </w:p>
    <w:p w14:paraId="102F00F1" w14:textId="77777777" w:rsidR="009815B6" w:rsidRPr="00C53469" w:rsidRDefault="009815B6" w:rsidP="00C373ED">
      <w:pPr>
        <w:spacing w:line="360" w:lineRule="auto"/>
        <w:rPr>
          <w:rFonts w:ascii="Palatino Linotype" w:hAnsi="Palatino Linotype"/>
        </w:rPr>
      </w:pPr>
    </w:p>
    <w:p w14:paraId="3522B5D0" w14:textId="1FF83541" w:rsidR="007C4587" w:rsidRPr="00C53469" w:rsidRDefault="009815B6" w:rsidP="006C6D2C">
      <w:pPr>
        <w:pStyle w:val="Prrafodelista"/>
        <w:numPr>
          <w:ilvl w:val="0"/>
          <w:numId w:val="3"/>
        </w:numPr>
        <w:spacing w:line="360" w:lineRule="auto"/>
        <w:ind w:left="0" w:firstLine="0"/>
        <w:jc w:val="both"/>
        <w:rPr>
          <w:rFonts w:ascii="Palatino Linotype" w:hAnsi="Palatino Linotype"/>
          <w:lang w:eastAsia="en-US"/>
        </w:rPr>
      </w:pPr>
      <w:r w:rsidRPr="00C53469">
        <w:rPr>
          <w:rFonts w:ascii="Palatino Linotype" w:hAnsi="Palatino Linotype"/>
          <w:lang w:eastAsia="en-US"/>
        </w:rPr>
        <w:t xml:space="preserve">El medio de impugnación fue presentado a través del </w:t>
      </w:r>
      <w:r w:rsidRPr="00C53469">
        <w:rPr>
          <w:rFonts w:ascii="Palatino Linotype" w:hAnsi="Palatino Linotype"/>
          <w:b/>
          <w:lang w:eastAsia="en-US"/>
        </w:rPr>
        <w:t>SAIMEX</w:t>
      </w:r>
      <w:r w:rsidRPr="00C53469">
        <w:rPr>
          <w:rFonts w:ascii="Palatino Linotype" w:hAnsi="Palatino Linotype"/>
          <w:lang w:eastAsia="en-US"/>
        </w:rPr>
        <w:t xml:space="preserve">, en el formato previamente aprobado para tal efecto y dentro del plazo legal de quince días hábiles otorgados; para el caso en particular es de señalar que si el </w:t>
      </w:r>
      <w:r w:rsidRPr="00C53469">
        <w:rPr>
          <w:rFonts w:ascii="Palatino Linotype" w:hAnsi="Palatino Linotype"/>
          <w:b/>
          <w:lang w:eastAsia="en-US"/>
        </w:rPr>
        <w:t>SUJETO OBLIGADO</w:t>
      </w:r>
      <w:r w:rsidR="00675D2C" w:rsidRPr="00C53469">
        <w:rPr>
          <w:rFonts w:ascii="Palatino Linotype" w:hAnsi="Palatino Linotype"/>
          <w:lang w:eastAsia="en-US"/>
        </w:rPr>
        <w:t xml:space="preserve"> entregó respuesta e</w:t>
      </w:r>
      <w:r w:rsidR="00FD13AC" w:rsidRPr="00C53469">
        <w:rPr>
          <w:rFonts w:ascii="Palatino Linotype" w:hAnsi="Palatino Linotype"/>
          <w:lang w:eastAsia="en-US"/>
        </w:rPr>
        <w:t>l día doce (12</w:t>
      </w:r>
      <w:r w:rsidRPr="00C53469">
        <w:rPr>
          <w:rFonts w:ascii="Palatino Linotype" w:hAnsi="Palatino Linotype"/>
          <w:lang w:eastAsia="en-US"/>
        </w:rPr>
        <w:t>) de</w:t>
      </w:r>
      <w:r w:rsidR="00FD13AC" w:rsidRPr="00C53469">
        <w:rPr>
          <w:rFonts w:ascii="Palatino Linotype" w:hAnsi="Palatino Linotype"/>
          <w:lang w:eastAsia="en-US"/>
        </w:rPr>
        <w:t xml:space="preserve"> octubre </w:t>
      </w:r>
      <w:r w:rsidRPr="00C53469">
        <w:rPr>
          <w:rFonts w:ascii="Palatino Linotype" w:hAnsi="Palatino Linotype"/>
          <w:lang w:eastAsia="en-US"/>
        </w:rPr>
        <w:t>de dos mil veintidós, el plazo para interponer el recurso d</w:t>
      </w:r>
      <w:r w:rsidR="00442787" w:rsidRPr="00C53469">
        <w:rPr>
          <w:rFonts w:ascii="Palatino Linotype" w:hAnsi="Palatino Linotype"/>
          <w:lang w:eastAsia="en-US"/>
        </w:rPr>
        <w:t>e re</w:t>
      </w:r>
      <w:r w:rsidR="00FD13AC" w:rsidRPr="00C53469">
        <w:rPr>
          <w:rFonts w:ascii="Palatino Linotype" w:hAnsi="Palatino Linotype"/>
          <w:lang w:eastAsia="en-US"/>
        </w:rPr>
        <w:t xml:space="preserve">visión trascurrió del trece (13)  al octubre </w:t>
      </w:r>
      <w:r w:rsidRPr="00C53469">
        <w:rPr>
          <w:rFonts w:ascii="Palatino Linotype" w:hAnsi="Palatino Linotype"/>
          <w:lang w:eastAsia="en-US"/>
        </w:rPr>
        <w:t xml:space="preserve"> al </w:t>
      </w:r>
      <w:r w:rsidR="00FD13AC" w:rsidRPr="00C53469">
        <w:rPr>
          <w:rFonts w:ascii="Palatino Linotype" w:hAnsi="Palatino Linotype"/>
          <w:lang w:eastAsia="en-US"/>
        </w:rPr>
        <w:t>cuatro (04</w:t>
      </w:r>
      <w:r w:rsidRPr="00C53469">
        <w:rPr>
          <w:rFonts w:ascii="Palatino Linotype" w:hAnsi="Palatino Linotype"/>
          <w:lang w:eastAsia="en-US"/>
        </w:rPr>
        <w:t>) de</w:t>
      </w:r>
      <w:r w:rsidR="00FD13AC" w:rsidRPr="00C53469">
        <w:rPr>
          <w:rFonts w:ascii="Palatino Linotype" w:hAnsi="Palatino Linotype"/>
          <w:lang w:eastAsia="en-US"/>
        </w:rPr>
        <w:t xml:space="preserve"> noviembre</w:t>
      </w:r>
      <w:r w:rsidR="00675D2C" w:rsidRPr="00C53469">
        <w:rPr>
          <w:rFonts w:ascii="Palatino Linotype" w:hAnsi="Palatino Linotype"/>
          <w:lang w:eastAsia="en-US"/>
        </w:rPr>
        <w:t xml:space="preserve"> </w:t>
      </w:r>
      <w:r w:rsidRPr="00C53469">
        <w:rPr>
          <w:rFonts w:ascii="Palatino Linotype" w:hAnsi="Palatino Linotype"/>
          <w:lang w:eastAsia="en-US"/>
        </w:rPr>
        <w:t xml:space="preserve">de dos mil veintidós, por lo que si el particular interpuso recurso de </w:t>
      </w:r>
      <w:r w:rsidR="00FD13AC" w:rsidRPr="00C53469">
        <w:rPr>
          <w:rFonts w:ascii="Palatino Linotype" w:hAnsi="Palatino Linotype"/>
          <w:lang w:eastAsia="en-US"/>
        </w:rPr>
        <w:t>revisión el dieciocho (18</w:t>
      </w:r>
      <w:r w:rsidRPr="00C53469">
        <w:rPr>
          <w:rFonts w:ascii="Palatino Linotype" w:hAnsi="Palatino Linotype"/>
          <w:lang w:eastAsia="en-US"/>
        </w:rPr>
        <w:t>) de</w:t>
      </w:r>
      <w:r w:rsidR="00FD13AC" w:rsidRPr="00C53469">
        <w:rPr>
          <w:rFonts w:ascii="Palatino Linotype" w:hAnsi="Palatino Linotype"/>
          <w:lang w:eastAsia="en-US"/>
        </w:rPr>
        <w:t xml:space="preserve"> octubre </w:t>
      </w:r>
      <w:r w:rsidRPr="00C53469">
        <w:rPr>
          <w:rFonts w:ascii="Palatino Linotype" w:hAnsi="Palatino Linotype"/>
          <w:lang w:eastAsia="en-US"/>
        </w:rPr>
        <w:t>se encuentra dentro del periodo establecido por la Ley.</w:t>
      </w:r>
    </w:p>
    <w:p w14:paraId="3992BCDF" w14:textId="66B5AFC1" w:rsidR="00B05DE3" w:rsidRPr="00C53469" w:rsidRDefault="00B05DE3" w:rsidP="00B05DE3">
      <w:pPr>
        <w:spacing w:line="360" w:lineRule="auto"/>
        <w:jc w:val="both"/>
        <w:rPr>
          <w:rFonts w:ascii="Palatino Linotype" w:hAnsi="Palatino Linotype"/>
          <w:lang w:eastAsia="en-US"/>
        </w:rPr>
      </w:pPr>
    </w:p>
    <w:p w14:paraId="6D3C236E" w14:textId="77777777" w:rsidR="00B05DE3" w:rsidRPr="00C53469" w:rsidRDefault="00B05DE3" w:rsidP="00B05DE3">
      <w:pPr>
        <w:keepNext/>
        <w:keepLines/>
        <w:spacing w:before="240" w:line="360" w:lineRule="auto"/>
        <w:jc w:val="both"/>
        <w:outlineLvl w:val="0"/>
        <w:rPr>
          <w:rFonts w:ascii="Palatino Linotype" w:eastAsiaTheme="majorEastAsia" w:hAnsi="Palatino Linotype" w:cstheme="majorBidi"/>
          <w:b/>
        </w:rPr>
      </w:pPr>
      <w:bookmarkStart w:id="17" w:name="_Toc89170794"/>
      <w:bookmarkStart w:id="18" w:name="_Toc89335547"/>
      <w:bookmarkStart w:id="19" w:name="_Toc89964362"/>
      <w:bookmarkStart w:id="20" w:name="_Toc98350361"/>
      <w:bookmarkStart w:id="21" w:name="_Toc99564200"/>
      <w:bookmarkStart w:id="22" w:name="_Toc99564863"/>
      <w:bookmarkStart w:id="23" w:name="_Toc100062588"/>
      <w:r w:rsidRPr="00C53469">
        <w:rPr>
          <w:rFonts w:ascii="Palatino Linotype" w:eastAsiaTheme="majorEastAsia" w:hAnsi="Palatino Linotype" w:cstheme="majorBidi"/>
          <w:b/>
        </w:rPr>
        <w:t>II. Del nombre como requisito innecesario para la tramitación del recurso.</w:t>
      </w:r>
      <w:bookmarkEnd w:id="17"/>
      <w:bookmarkEnd w:id="18"/>
      <w:bookmarkEnd w:id="19"/>
      <w:bookmarkEnd w:id="20"/>
      <w:bookmarkEnd w:id="21"/>
      <w:bookmarkEnd w:id="22"/>
      <w:bookmarkEnd w:id="23"/>
      <w:r w:rsidRPr="00C53469">
        <w:rPr>
          <w:rFonts w:ascii="Palatino Linotype" w:eastAsiaTheme="majorEastAsia" w:hAnsi="Palatino Linotype" w:cstheme="majorBidi"/>
          <w:b/>
        </w:rPr>
        <w:t xml:space="preserve"> </w:t>
      </w:r>
    </w:p>
    <w:p w14:paraId="37282AC6" w14:textId="77777777" w:rsidR="00B05DE3" w:rsidRPr="00C53469" w:rsidRDefault="00B05DE3" w:rsidP="00B05DE3">
      <w:pPr>
        <w:tabs>
          <w:tab w:val="left" w:pos="426"/>
        </w:tabs>
        <w:spacing w:line="360" w:lineRule="auto"/>
        <w:ind w:right="49"/>
        <w:contextualSpacing/>
        <w:jc w:val="both"/>
        <w:rPr>
          <w:rFonts w:ascii="Palatino Linotype" w:hAnsi="Palatino Linotype" w:cs="Arial"/>
          <w:b/>
        </w:rPr>
      </w:pPr>
    </w:p>
    <w:p w14:paraId="1AFDB27E" w14:textId="77777777" w:rsidR="00B05DE3" w:rsidRPr="00C53469" w:rsidRDefault="00B05DE3" w:rsidP="006C6D2C">
      <w:pPr>
        <w:numPr>
          <w:ilvl w:val="0"/>
          <w:numId w:val="3"/>
        </w:numPr>
        <w:tabs>
          <w:tab w:val="left" w:pos="426"/>
        </w:tabs>
        <w:spacing w:after="160" w:line="360" w:lineRule="auto"/>
        <w:ind w:left="0" w:right="49" w:firstLine="0"/>
        <w:contextualSpacing/>
        <w:jc w:val="both"/>
        <w:rPr>
          <w:rFonts w:ascii="Palatino Linotype" w:hAnsi="Palatino Linotype" w:cs="Arial"/>
          <w:b/>
          <w:lang w:val="es-ES_tradnl"/>
        </w:rPr>
      </w:pPr>
      <w:r w:rsidRPr="00C53469">
        <w:rPr>
          <w:rFonts w:ascii="Palatino Linotype" w:hAnsi="Palatino Linotype" w:cs="Arial"/>
          <w:bCs/>
          <w:lang w:val="es-ES_tradnl"/>
        </w:rPr>
        <w:t xml:space="preserve">Por </w:t>
      </w:r>
      <w:r w:rsidRPr="00C53469">
        <w:rPr>
          <w:rFonts w:ascii="Palatino Linotype" w:hAnsi="Palatino Linotype" w:cs="Arial"/>
          <w:bCs/>
        </w:rPr>
        <w:t xml:space="preserve">otro lado, de la revisión al  expediente electrónico contenido en el sistema </w:t>
      </w:r>
      <w:r w:rsidRPr="00C53469">
        <w:rPr>
          <w:rFonts w:ascii="Palatino Linotype" w:hAnsi="Palatino Linotype" w:cs="Arial"/>
          <w:b/>
          <w:bCs/>
        </w:rPr>
        <w:t>SAIMEX,</w:t>
      </w:r>
      <w:r w:rsidRPr="00C53469">
        <w:rPr>
          <w:rFonts w:ascii="Palatino Linotype" w:hAnsi="Palatino Linotype" w:cs="Arial"/>
          <w:bCs/>
        </w:rPr>
        <w:t xml:space="preserve"> se desprende que la parte solicitante, en ejercicio de su derecho de acceso </w:t>
      </w:r>
      <w:r w:rsidRPr="00C53469">
        <w:rPr>
          <w:rFonts w:ascii="Palatino Linotype" w:hAnsi="Palatino Linotype" w:cs="Arial"/>
          <w:bCs/>
        </w:rPr>
        <w:lastRenderedPageBreak/>
        <w:t xml:space="preserve">a la información pública en los expedientes acumulados que se revisan, tanto en la solicitud de información como en el recurso de revisión, </w:t>
      </w:r>
      <w:r w:rsidRPr="00C53469">
        <w:rPr>
          <w:rFonts w:ascii="Palatino Linotype" w:hAnsi="Palatino Linotype" w:cs="Arial"/>
          <w:b/>
          <w:bCs/>
        </w:rPr>
        <w:t>no señaló su nombre completo, ni se tiene certeza sobre su identidad</w:t>
      </w:r>
      <w:r w:rsidRPr="00C53469">
        <w:rPr>
          <w:rFonts w:ascii="Palatino Linotype" w:hAnsi="Palatino Linotype" w:cs="Arial"/>
          <w:bCs/>
        </w:rPr>
        <w:t>; sin embargo, es importante señalar que 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11B546F8" w14:textId="77777777" w:rsidR="00B05DE3" w:rsidRPr="00C53469" w:rsidRDefault="00B05DE3" w:rsidP="00B05DE3">
      <w:pPr>
        <w:tabs>
          <w:tab w:val="left" w:pos="426"/>
        </w:tabs>
        <w:spacing w:after="160" w:line="360" w:lineRule="auto"/>
        <w:ind w:right="49"/>
        <w:contextualSpacing/>
        <w:jc w:val="both"/>
        <w:rPr>
          <w:rFonts w:ascii="Palatino Linotype" w:hAnsi="Palatino Linotype" w:cs="Arial"/>
          <w:b/>
          <w:lang w:val="es-ES_tradnl"/>
        </w:rPr>
      </w:pPr>
    </w:p>
    <w:p w14:paraId="72705E99" w14:textId="77777777" w:rsidR="00B05DE3" w:rsidRPr="00C53469" w:rsidRDefault="00B05DE3" w:rsidP="006C6D2C">
      <w:pPr>
        <w:numPr>
          <w:ilvl w:val="0"/>
          <w:numId w:val="3"/>
        </w:numPr>
        <w:tabs>
          <w:tab w:val="left" w:pos="426"/>
        </w:tabs>
        <w:spacing w:after="160" w:line="360" w:lineRule="auto"/>
        <w:ind w:left="0" w:right="49" w:firstLine="0"/>
        <w:contextualSpacing/>
        <w:jc w:val="both"/>
        <w:rPr>
          <w:rFonts w:ascii="Palatino Linotype" w:hAnsi="Palatino Linotype" w:cs="Arial"/>
          <w:b/>
          <w:lang w:val="es-ES_tradnl"/>
        </w:rPr>
      </w:pPr>
      <w:r w:rsidRPr="00C53469">
        <w:rPr>
          <w:rFonts w:ascii="Palatino Linotype" w:hAnsi="Palatino Linotype" w:cs="Arial"/>
          <w:bCs/>
        </w:rPr>
        <w:t xml:space="preserve">Esto es así, ya que de conformidad con los artículos 6, apartado A, fracciones III y IV de la </w:t>
      </w:r>
      <w:r w:rsidRPr="00C53469">
        <w:rPr>
          <w:rFonts w:ascii="Palatino Linotype" w:hAnsi="Palatino Linotype" w:cs="Arial"/>
          <w:b/>
          <w:bCs/>
        </w:rPr>
        <w:t>Constitución Política de los Estados Unidos Mexicanos</w:t>
      </w:r>
      <w:r w:rsidRPr="00C53469">
        <w:rPr>
          <w:rFonts w:ascii="Palatino Linotype" w:hAnsi="Palatino Linotype" w:cs="Arial"/>
          <w:bCs/>
        </w:rPr>
        <w:t xml:space="preserve">; 5, párrafos trigésimo, trigésimo primero y trigésimo segundo, fracciones III, IV y V, de la </w:t>
      </w:r>
      <w:r w:rsidRPr="00C53469">
        <w:rPr>
          <w:rFonts w:ascii="Palatino Linotype" w:hAnsi="Palatino Linotype" w:cs="Arial"/>
          <w:b/>
          <w:bCs/>
        </w:rPr>
        <w:t>Constitución Política del Estado Libre y Soberano de México</w:t>
      </w:r>
      <w:r w:rsidRPr="00C53469">
        <w:rPr>
          <w:rFonts w:ascii="Palatino Linotype" w:hAnsi="Palatino Linotype" w:cs="Arial"/>
          <w:bC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5BEA10DC" w14:textId="77777777" w:rsidR="00B05DE3" w:rsidRPr="00C53469" w:rsidRDefault="00B05DE3" w:rsidP="00B05DE3">
      <w:pPr>
        <w:spacing w:line="360" w:lineRule="auto"/>
        <w:jc w:val="both"/>
        <w:rPr>
          <w:rFonts w:ascii="Palatino Linotype" w:hAnsi="Palatino Linotype" w:cs="Arial"/>
          <w:bCs/>
        </w:rPr>
      </w:pPr>
    </w:p>
    <w:p w14:paraId="3D95BCBC" w14:textId="77777777" w:rsidR="00B05DE3" w:rsidRPr="00C53469" w:rsidRDefault="00B05DE3" w:rsidP="006C6D2C">
      <w:pPr>
        <w:numPr>
          <w:ilvl w:val="0"/>
          <w:numId w:val="3"/>
        </w:numPr>
        <w:tabs>
          <w:tab w:val="left" w:pos="426"/>
        </w:tabs>
        <w:spacing w:after="160" w:line="360" w:lineRule="auto"/>
        <w:ind w:left="0" w:right="49" w:firstLine="0"/>
        <w:contextualSpacing/>
        <w:jc w:val="both"/>
        <w:rPr>
          <w:rFonts w:ascii="Palatino Linotype" w:hAnsi="Palatino Linotype" w:cs="Arial"/>
          <w:b/>
          <w:lang w:val="es-ES_tradnl"/>
        </w:rPr>
      </w:pPr>
      <w:r w:rsidRPr="00C53469">
        <w:rPr>
          <w:rFonts w:ascii="Palatino Linotype" w:hAnsi="Palatino Linotype" w:cs="Arial"/>
          <w:bCs/>
        </w:rPr>
        <w:t xml:space="preserve">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w:t>
      </w:r>
      <w:r w:rsidRPr="00C53469">
        <w:rPr>
          <w:rFonts w:ascii="Palatino Linotype" w:hAnsi="Palatino Linotype" w:cs="Arial"/>
          <w:bCs/>
        </w:rPr>
        <w:lastRenderedPageBreak/>
        <w:t>permite la posibilidad de que inclusive, la solicitud de acceso a la información pueda ser anónima o no contener un nombre que identifique al Solicitante o que permita tener certeza sobre su identidad.</w:t>
      </w:r>
    </w:p>
    <w:p w14:paraId="347658F5" w14:textId="77777777" w:rsidR="00B05DE3" w:rsidRPr="00C53469" w:rsidRDefault="00B05DE3" w:rsidP="00B05DE3">
      <w:pPr>
        <w:tabs>
          <w:tab w:val="left" w:pos="426"/>
        </w:tabs>
        <w:spacing w:line="360" w:lineRule="auto"/>
        <w:ind w:right="49"/>
        <w:contextualSpacing/>
        <w:jc w:val="both"/>
        <w:rPr>
          <w:rFonts w:ascii="Palatino Linotype" w:hAnsi="Palatino Linotype" w:cs="Arial"/>
          <w:b/>
        </w:rPr>
      </w:pPr>
    </w:p>
    <w:p w14:paraId="3B3F6E9E" w14:textId="77777777" w:rsidR="00B05DE3" w:rsidRPr="00C53469" w:rsidRDefault="00B05DE3" w:rsidP="006C6D2C">
      <w:pPr>
        <w:numPr>
          <w:ilvl w:val="0"/>
          <w:numId w:val="3"/>
        </w:numPr>
        <w:tabs>
          <w:tab w:val="left" w:pos="426"/>
        </w:tabs>
        <w:spacing w:after="160" w:line="360" w:lineRule="auto"/>
        <w:ind w:left="0" w:right="49" w:firstLine="0"/>
        <w:contextualSpacing/>
        <w:jc w:val="both"/>
        <w:rPr>
          <w:rFonts w:ascii="Palatino Linotype" w:hAnsi="Palatino Linotype" w:cs="Arial"/>
          <w:b/>
        </w:rPr>
      </w:pPr>
      <w:r w:rsidRPr="00C53469">
        <w:rPr>
          <w:rFonts w:ascii="Palatino Linotype" w:hAnsi="Palatino Linotype" w:cs="Arial"/>
          <w:bCs/>
        </w:rPr>
        <w:t>Asimismo, como lo establece la Convención Americana, en su artículo 13, el derecho de acceso a la información es un derecho humano universal y, en consecuencia, toda persona tiene derecho a solicitar acceso a la información.</w:t>
      </w:r>
    </w:p>
    <w:p w14:paraId="0B838568" w14:textId="77777777" w:rsidR="00B05DE3" w:rsidRPr="00C53469" w:rsidRDefault="00B05DE3" w:rsidP="00B05DE3">
      <w:pPr>
        <w:tabs>
          <w:tab w:val="left" w:pos="426"/>
        </w:tabs>
        <w:spacing w:line="360" w:lineRule="auto"/>
        <w:ind w:right="49"/>
        <w:contextualSpacing/>
        <w:jc w:val="both"/>
        <w:rPr>
          <w:rFonts w:ascii="Palatino Linotype" w:hAnsi="Palatino Linotype" w:cs="Arial"/>
          <w:b/>
        </w:rPr>
      </w:pPr>
    </w:p>
    <w:p w14:paraId="4FA1B0BC" w14:textId="77777777" w:rsidR="00B05DE3" w:rsidRPr="00C53469" w:rsidRDefault="00B05DE3" w:rsidP="006C6D2C">
      <w:pPr>
        <w:numPr>
          <w:ilvl w:val="0"/>
          <w:numId w:val="3"/>
        </w:numPr>
        <w:tabs>
          <w:tab w:val="left" w:pos="426"/>
        </w:tabs>
        <w:spacing w:after="160" w:line="360" w:lineRule="auto"/>
        <w:ind w:left="0" w:right="49" w:firstLine="0"/>
        <w:contextualSpacing/>
        <w:jc w:val="both"/>
        <w:rPr>
          <w:rFonts w:ascii="Palatino Linotype" w:hAnsi="Palatino Linotype" w:cs="Arial"/>
          <w:b/>
        </w:rPr>
      </w:pPr>
      <w:r w:rsidRPr="00C53469">
        <w:rPr>
          <w:rFonts w:ascii="Palatino Linotype" w:hAnsi="Palatino Linotype" w:cs="Arial"/>
          <w:bCs/>
        </w:rPr>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090600DB" w14:textId="77777777" w:rsidR="00B05DE3" w:rsidRPr="00C53469" w:rsidRDefault="00B05DE3" w:rsidP="00B05DE3">
      <w:pPr>
        <w:tabs>
          <w:tab w:val="left" w:pos="426"/>
        </w:tabs>
        <w:spacing w:line="360" w:lineRule="auto"/>
        <w:ind w:right="49"/>
        <w:contextualSpacing/>
        <w:jc w:val="both"/>
        <w:rPr>
          <w:rFonts w:ascii="Palatino Linotype" w:hAnsi="Palatino Linotype" w:cs="Arial"/>
          <w:b/>
        </w:rPr>
      </w:pPr>
    </w:p>
    <w:p w14:paraId="465B7BE5" w14:textId="77777777" w:rsidR="00B05DE3" w:rsidRPr="00C53469" w:rsidRDefault="00B05DE3" w:rsidP="006C6D2C">
      <w:pPr>
        <w:numPr>
          <w:ilvl w:val="0"/>
          <w:numId w:val="3"/>
        </w:numPr>
        <w:tabs>
          <w:tab w:val="left" w:pos="426"/>
        </w:tabs>
        <w:spacing w:after="160" w:line="360" w:lineRule="auto"/>
        <w:ind w:left="0" w:right="49" w:firstLine="0"/>
        <w:contextualSpacing/>
        <w:jc w:val="both"/>
        <w:rPr>
          <w:rFonts w:ascii="Palatino Linotype" w:hAnsi="Palatino Linotype" w:cs="Arial"/>
          <w:b/>
        </w:rPr>
      </w:pPr>
      <w:r w:rsidRPr="00C53469">
        <w:rPr>
          <w:rFonts w:ascii="Palatino Linotype" w:hAnsi="Palatino Linotype" w:cs="Arial"/>
          <w:bCs/>
        </w:rPr>
        <w:t xml:space="preserve">Por lo tanto, el nombre de la </w:t>
      </w:r>
      <w:r w:rsidRPr="00C53469">
        <w:rPr>
          <w:rFonts w:ascii="Palatino Linotype" w:hAnsi="Palatino Linotype" w:cs="Arial"/>
          <w:b/>
          <w:bCs/>
        </w:rPr>
        <w:t>SOLICITANTE</w:t>
      </w:r>
      <w:r w:rsidRPr="00C53469">
        <w:rPr>
          <w:rFonts w:ascii="Palatino Linotype" w:hAnsi="Palatino Linotype" w:cs="Arial"/>
          <w:bCs/>
        </w:rPr>
        <w:t xml:space="preserve"> y subsecuente </w:t>
      </w:r>
      <w:r w:rsidRPr="00C53469">
        <w:rPr>
          <w:rFonts w:ascii="Palatino Linotype" w:hAnsi="Palatino Linotype" w:cs="Arial"/>
          <w:b/>
          <w:bCs/>
        </w:rPr>
        <w:t>RECURRENTE</w:t>
      </w:r>
      <w:r w:rsidRPr="00C53469">
        <w:rPr>
          <w:rFonts w:ascii="Palatino Linotype" w:hAnsi="Palatino Linotype" w:cs="Arial"/>
          <w:bCs/>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 </w:t>
      </w:r>
    </w:p>
    <w:p w14:paraId="37EC9FF8" w14:textId="10C34A3C" w:rsidR="00B05DE3" w:rsidRPr="00C53469" w:rsidRDefault="00B05DE3" w:rsidP="00B05DE3">
      <w:pPr>
        <w:spacing w:line="360" w:lineRule="auto"/>
        <w:jc w:val="both"/>
        <w:rPr>
          <w:rFonts w:ascii="Palatino Linotype" w:hAnsi="Palatino Linotype"/>
          <w:lang w:eastAsia="en-US"/>
        </w:rPr>
      </w:pPr>
    </w:p>
    <w:p w14:paraId="5AC8063E" w14:textId="22EC1F6F" w:rsidR="007C4587" w:rsidRPr="00C53469" w:rsidRDefault="00442787" w:rsidP="00C373ED">
      <w:pPr>
        <w:pStyle w:val="Ttulo1"/>
        <w:spacing w:line="360" w:lineRule="auto"/>
        <w:rPr>
          <w:rFonts w:ascii="Palatino Linotype" w:hAnsi="Palatino Linotype"/>
          <w:b/>
          <w:color w:val="000000" w:themeColor="text1"/>
          <w:sz w:val="24"/>
          <w:szCs w:val="24"/>
        </w:rPr>
      </w:pPr>
      <w:bookmarkStart w:id="24" w:name="_Toc113462272"/>
      <w:r w:rsidRPr="00C53469">
        <w:rPr>
          <w:rFonts w:ascii="Palatino Linotype" w:hAnsi="Palatino Linotype"/>
          <w:b/>
          <w:color w:val="000000" w:themeColor="text1"/>
          <w:sz w:val="24"/>
          <w:szCs w:val="24"/>
        </w:rPr>
        <w:t>I</w:t>
      </w:r>
      <w:r w:rsidR="00B05DE3" w:rsidRPr="00C53469">
        <w:rPr>
          <w:rFonts w:ascii="Palatino Linotype" w:hAnsi="Palatino Linotype"/>
          <w:b/>
          <w:color w:val="000000" w:themeColor="text1"/>
          <w:sz w:val="24"/>
          <w:szCs w:val="24"/>
        </w:rPr>
        <w:t>I</w:t>
      </w:r>
      <w:r w:rsidR="007C4587" w:rsidRPr="00C53469">
        <w:rPr>
          <w:rFonts w:ascii="Palatino Linotype" w:hAnsi="Palatino Linotype"/>
          <w:b/>
          <w:color w:val="000000" w:themeColor="text1"/>
          <w:sz w:val="24"/>
          <w:szCs w:val="24"/>
        </w:rPr>
        <w:t xml:space="preserve">I. De la determinación sobre la </w:t>
      </w:r>
      <w:proofErr w:type="spellStart"/>
      <w:r w:rsidR="007C4587" w:rsidRPr="00C53469">
        <w:rPr>
          <w:rFonts w:ascii="Palatino Linotype" w:hAnsi="Palatino Linotype"/>
          <w:b/>
          <w:color w:val="000000" w:themeColor="text1"/>
          <w:sz w:val="24"/>
          <w:szCs w:val="24"/>
        </w:rPr>
        <w:t>procedibilidad</w:t>
      </w:r>
      <w:proofErr w:type="spellEnd"/>
      <w:r w:rsidR="007C4587" w:rsidRPr="00C53469">
        <w:rPr>
          <w:rFonts w:ascii="Palatino Linotype" w:hAnsi="Palatino Linotype"/>
          <w:b/>
          <w:color w:val="000000" w:themeColor="text1"/>
          <w:sz w:val="24"/>
          <w:szCs w:val="24"/>
        </w:rPr>
        <w:t xml:space="preserve"> del recurso.</w:t>
      </w:r>
      <w:bookmarkEnd w:id="24"/>
    </w:p>
    <w:p w14:paraId="46A45715" w14:textId="77777777" w:rsidR="007C4587" w:rsidRPr="00C53469" w:rsidRDefault="007C4587" w:rsidP="00C373ED">
      <w:pPr>
        <w:tabs>
          <w:tab w:val="left" w:pos="426"/>
        </w:tabs>
        <w:spacing w:line="360" w:lineRule="auto"/>
        <w:ind w:right="49"/>
        <w:contextualSpacing/>
        <w:jc w:val="both"/>
        <w:rPr>
          <w:rFonts w:ascii="Palatino Linotype" w:hAnsi="Palatino Linotype" w:cs="Arial"/>
          <w:b/>
        </w:rPr>
      </w:pPr>
    </w:p>
    <w:p w14:paraId="2CAA4C68" w14:textId="72DA321A" w:rsidR="00A2042B" w:rsidRPr="00C53469" w:rsidRDefault="007C4587" w:rsidP="006C6D2C">
      <w:pPr>
        <w:numPr>
          <w:ilvl w:val="0"/>
          <w:numId w:val="3"/>
        </w:numPr>
        <w:tabs>
          <w:tab w:val="left" w:pos="0"/>
        </w:tabs>
        <w:spacing w:after="160" w:line="360" w:lineRule="auto"/>
        <w:ind w:left="0" w:right="49" w:firstLine="0"/>
        <w:contextualSpacing/>
        <w:jc w:val="both"/>
        <w:rPr>
          <w:rFonts w:ascii="Palatino Linotype" w:hAnsi="Palatino Linotype" w:cs="Arial"/>
          <w:b/>
          <w:lang w:val="es-ES_tradnl"/>
        </w:rPr>
      </w:pPr>
      <w:r w:rsidRPr="00C53469">
        <w:rPr>
          <w:rFonts w:ascii="Palatino Linotype" w:eastAsia="Calibri" w:hAnsi="Palatino Linotype" w:cs="Arial"/>
          <w:lang w:val="es-ES_tradnl"/>
        </w:rPr>
        <w:t xml:space="preserve">Consecuencia de lo anterior, este Órgano Garante advierte que el escrito contiene las formalidades previstas por el artículo 180 último párrafo de la Ley de </w:t>
      </w:r>
      <w:r w:rsidRPr="00C53469">
        <w:rPr>
          <w:rFonts w:ascii="Palatino Linotype" w:eastAsia="Calibri" w:hAnsi="Palatino Linotype" w:cs="Arial"/>
          <w:lang w:val="es-ES_tradnl"/>
        </w:rPr>
        <w:lastRenderedPageBreak/>
        <w:t>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07B85258" w14:textId="2C76A44B" w:rsidR="00FD13D4" w:rsidRPr="00C53469" w:rsidRDefault="00992BC7" w:rsidP="00C373ED">
      <w:pPr>
        <w:pStyle w:val="Ttulo1"/>
        <w:spacing w:line="360" w:lineRule="auto"/>
        <w:rPr>
          <w:rFonts w:ascii="Palatino Linotype" w:hAnsi="Palatino Linotype"/>
          <w:i/>
          <w:sz w:val="24"/>
          <w:szCs w:val="24"/>
          <w:lang w:val="es-ES_tradnl"/>
        </w:rPr>
      </w:pPr>
      <w:bookmarkStart w:id="25" w:name="_Toc89350006"/>
      <w:r w:rsidRPr="00C53469">
        <w:rPr>
          <w:rFonts w:ascii="Palatino Linotype" w:eastAsia="MS Mincho" w:hAnsi="Palatino Linotype"/>
          <w:b/>
          <w:color w:val="000000" w:themeColor="text1"/>
          <w:sz w:val="24"/>
          <w:szCs w:val="24"/>
          <w:lang w:val="es-ES_tradnl"/>
        </w:rPr>
        <w:t>TERCERO</w:t>
      </w:r>
      <w:bookmarkStart w:id="26" w:name="_Toc68804767"/>
      <w:bookmarkStart w:id="27" w:name="_Toc89350007"/>
      <w:bookmarkStart w:id="28" w:name="_Toc459174366"/>
      <w:bookmarkStart w:id="29" w:name="_Toc459659884"/>
      <w:bookmarkStart w:id="30" w:name="_Toc461687280"/>
      <w:bookmarkStart w:id="31" w:name="_Toc462771051"/>
      <w:bookmarkStart w:id="32" w:name="_Toc464139201"/>
      <w:bookmarkEnd w:id="25"/>
      <w:r w:rsidR="00F041CF" w:rsidRPr="00C53469">
        <w:rPr>
          <w:rFonts w:ascii="Palatino Linotype" w:hAnsi="Palatino Linotype"/>
          <w:b/>
          <w:color w:val="000000" w:themeColor="text1"/>
          <w:sz w:val="24"/>
          <w:szCs w:val="24"/>
          <w:lang w:val="es-MX" w:eastAsia="en-US"/>
        </w:rPr>
        <w:t>. Estudio y r</w:t>
      </w:r>
      <w:r w:rsidR="00EA0165" w:rsidRPr="00C53469">
        <w:rPr>
          <w:rFonts w:ascii="Palatino Linotype" w:hAnsi="Palatino Linotype"/>
          <w:b/>
          <w:color w:val="000000" w:themeColor="text1"/>
          <w:sz w:val="24"/>
          <w:szCs w:val="24"/>
          <w:lang w:val="es-MX" w:eastAsia="en-US"/>
        </w:rPr>
        <w:t>esolución del asunto.</w:t>
      </w:r>
      <w:bookmarkEnd w:id="26"/>
      <w:bookmarkEnd w:id="27"/>
    </w:p>
    <w:p w14:paraId="453BB47D" w14:textId="77777777" w:rsidR="00FD13D4" w:rsidRPr="00C53469" w:rsidRDefault="00FD13D4" w:rsidP="006C6D2C">
      <w:pPr>
        <w:pStyle w:val="Prrafodelista"/>
        <w:numPr>
          <w:ilvl w:val="0"/>
          <w:numId w:val="4"/>
        </w:numPr>
        <w:tabs>
          <w:tab w:val="left" w:pos="426"/>
        </w:tabs>
        <w:spacing w:before="240" w:after="240" w:line="360" w:lineRule="auto"/>
        <w:ind w:left="0" w:right="51" w:firstLine="0"/>
        <w:contextualSpacing/>
        <w:jc w:val="both"/>
        <w:outlineLvl w:val="2"/>
        <w:rPr>
          <w:rFonts w:ascii="Palatino Linotype" w:eastAsia="MS Mincho" w:hAnsi="Palatino Linotype"/>
          <w:b/>
          <w:bCs/>
          <w:color w:val="000000" w:themeColor="text1"/>
          <w:lang w:val="es-MX"/>
        </w:rPr>
      </w:pPr>
      <w:bookmarkStart w:id="33" w:name="_Toc110433658"/>
      <w:r w:rsidRPr="00C53469">
        <w:rPr>
          <w:rFonts w:ascii="Palatino Linotype" w:eastAsia="MS Mincho" w:hAnsi="Palatino Linotype"/>
          <w:b/>
          <w:bCs/>
          <w:color w:val="000000" w:themeColor="text1"/>
          <w:lang w:val="es-MX"/>
        </w:rPr>
        <w:t>Del deber de las autoridades de promover, respetar, proteger y garantizar el derecho de acceso a la información pública.</w:t>
      </w:r>
      <w:bookmarkEnd w:id="33"/>
    </w:p>
    <w:p w14:paraId="1E87F3EE" w14:textId="77777777" w:rsidR="00FD13D4" w:rsidRPr="00C53469" w:rsidRDefault="00FD13D4" w:rsidP="00C373ED">
      <w:pPr>
        <w:pStyle w:val="Prrafodelista"/>
        <w:tabs>
          <w:tab w:val="left" w:pos="426"/>
        </w:tabs>
        <w:spacing w:before="240" w:after="240" w:line="360" w:lineRule="auto"/>
        <w:ind w:left="0" w:right="51"/>
        <w:contextualSpacing/>
        <w:jc w:val="both"/>
        <w:outlineLvl w:val="2"/>
        <w:rPr>
          <w:rFonts w:ascii="Palatino Linotype" w:eastAsia="MS Mincho" w:hAnsi="Palatino Linotype"/>
          <w:b/>
          <w:bCs/>
          <w:color w:val="000000" w:themeColor="text1"/>
          <w:lang w:val="es-MX"/>
        </w:rPr>
      </w:pPr>
    </w:p>
    <w:p w14:paraId="60A5C71A" w14:textId="77777777" w:rsidR="00FD13D4" w:rsidRPr="00C53469" w:rsidRDefault="00FD13D4" w:rsidP="006C6D2C">
      <w:pPr>
        <w:pStyle w:val="Prrafodelista"/>
        <w:numPr>
          <w:ilvl w:val="0"/>
          <w:numId w:val="3"/>
        </w:numPr>
        <w:tabs>
          <w:tab w:val="left" w:pos="426"/>
        </w:tabs>
        <w:spacing w:before="240" w:after="240" w:line="360" w:lineRule="auto"/>
        <w:ind w:left="0" w:right="51" w:firstLine="0"/>
        <w:contextualSpacing/>
        <w:jc w:val="both"/>
        <w:rPr>
          <w:rFonts w:ascii="Palatino Linotype" w:eastAsia="MS Mincho" w:hAnsi="Palatino Linotype"/>
          <w:color w:val="000000" w:themeColor="text1"/>
          <w:lang w:val="es-MX"/>
        </w:rPr>
      </w:pPr>
      <w:r w:rsidRPr="00C53469">
        <w:rPr>
          <w:rFonts w:ascii="Palatino Linotype" w:eastAsia="MS Mincho" w:hAnsi="Palatino Linotype"/>
          <w:color w:val="000000" w:themeColor="text1"/>
          <w:lang w:val="es-MX"/>
        </w:rPr>
        <w:t>Es menester precisar</w:t>
      </w:r>
      <w:r w:rsidRPr="00C53469">
        <w:rPr>
          <w:rFonts w:ascii="Palatino Linotype" w:eastAsia="MS Mincho" w:hAnsi="Palatino Linotype"/>
          <w:bCs/>
          <w:color w:val="000000" w:themeColor="text1"/>
          <w:lang w:val="es-MX"/>
        </w:rPr>
        <w:t xml:space="preserve">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C53469">
        <w:rPr>
          <w:rFonts w:ascii="Palatino Linotype" w:eastAsia="MS Mincho" w:hAnsi="Palatino Linotype"/>
          <w:b/>
          <w:bCs/>
          <w:color w:val="000000" w:themeColor="text1"/>
          <w:lang w:val="es-MX"/>
        </w:rPr>
        <w:t>SUJETO OBLIGADO</w:t>
      </w:r>
      <w:r w:rsidRPr="00C53469">
        <w:rPr>
          <w:rFonts w:ascii="Palatino Linotype" w:eastAsia="MS Mincho" w:hAnsi="Palatino Linotype"/>
          <w:bCs/>
          <w:color w:val="000000" w:themeColor="text1"/>
          <w:lang w:val="es-MX"/>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C53469">
        <w:rPr>
          <w:rFonts w:ascii="Palatino Linotype" w:eastAsia="MS Mincho" w:hAnsi="Palatino Linotype"/>
          <w:b/>
          <w:bCs/>
          <w:color w:val="000000" w:themeColor="text1"/>
          <w:lang w:val="es-MX"/>
        </w:rPr>
        <w:t>Constitución Política de los Estados Unidos Mexicanos</w:t>
      </w:r>
      <w:r w:rsidRPr="00C53469">
        <w:rPr>
          <w:rFonts w:ascii="Palatino Linotype" w:eastAsia="MS Mincho" w:hAnsi="Palatino Linotype"/>
          <w:bCs/>
          <w:color w:val="000000" w:themeColor="text1"/>
          <w:lang w:val="es-MX"/>
        </w:rPr>
        <w:t>, tienen</w:t>
      </w:r>
      <w:r w:rsidRPr="00C53469">
        <w:rPr>
          <w:rFonts w:ascii="Palatino Linotype" w:eastAsia="MS Mincho" w:hAnsi="Palatino Linotype"/>
          <w:b/>
          <w:bCs/>
          <w:color w:val="000000" w:themeColor="text1"/>
          <w:lang w:val="es-MX"/>
        </w:rPr>
        <w:t xml:space="preserve"> </w:t>
      </w:r>
      <w:r w:rsidRPr="00C53469">
        <w:rPr>
          <w:rFonts w:ascii="Palatino Linotype" w:eastAsia="MS Mincho" w:hAnsi="Palatino Linotype"/>
          <w:bCs/>
          <w:color w:val="000000" w:themeColor="text1"/>
          <w:lang w:val="es-MX"/>
        </w:rPr>
        <w:t xml:space="preserve">la obligación de “promover, </w:t>
      </w:r>
      <w:r w:rsidRPr="00C53469">
        <w:rPr>
          <w:rFonts w:ascii="Palatino Linotype" w:eastAsia="MS Mincho" w:hAnsi="Palatino Linotype"/>
          <w:b/>
          <w:bCs/>
          <w:color w:val="000000" w:themeColor="text1"/>
          <w:lang w:val="es-MX"/>
        </w:rPr>
        <w:t>respetar</w:t>
      </w:r>
      <w:r w:rsidRPr="00C53469">
        <w:rPr>
          <w:rFonts w:ascii="Palatino Linotype" w:eastAsia="MS Mincho" w:hAnsi="Palatino Linotype"/>
          <w:bCs/>
          <w:color w:val="000000" w:themeColor="text1"/>
          <w:lang w:val="es-MX"/>
        </w:rPr>
        <w:t xml:space="preserve">, proteger y </w:t>
      </w:r>
      <w:r w:rsidRPr="00C53469">
        <w:rPr>
          <w:rFonts w:ascii="Palatino Linotype" w:eastAsia="MS Mincho" w:hAnsi="Palatino Linotype"/>
          <w:b/>
          <w:bCs/>
          <w:color w:val="000000" w:themeColor="text1"/>
          <w:lang w:val="es-MX"/>
        </w:rPr>
        <w:t>garantizar</w:t>
      </w:r>
      <w:r w:rsidRPr="00C53469">
        <w:rPr>
          <w:rFonts w:ascii="Palatino Linotype" w:eastAsia="MS Mincho" w:hAnsi="Palatino Linotype"/>
          <w:bCs/>
          <w:color w:val="000000" w:themeColor="text1"/>
          <w:lang w:val="es-MX"/>
        </w:rPr>
        <w:t xml:space="preserve"> los derechos humanos”, entre los cuales se encuentra dicho derecho.</w:t>
      </w:r>
    </w:p>
    <w:p w14:paraId="52D421E3" w14:textId="77777777" w:rsidR="00FD13D4" w:rsidRPr="00C53469" w:rsidRDefault="00FD13D4" w:rsidP="00C373ED">
      <w:pPr>
        <w:tabs>
          <w:tab w:val="left" w:pos="426"/>
        </w:tabs>
        <w:spacing w:before="240" w:after="240" w:line="360" w:lineRule="auto"/>
        <w:ind w:right="51"/>
        <w:contextualSpacing/>
        <w:jc w:val="both"/>
        <w:rPr>
          <w:rFonts w:ascii="Palatino Linotype" w:eastAsia="MS Mincho" w:hAnsi="Palatino Linotype"/>
          <w:color w:val="000000" w:themeColor="text1"/>
          <w:lang w:val="es-MX"/>
        </w:rPr>
      </w:pPr>
    </w:p>
    <w:p w14:paraId="2F24DB74" w14:textId="77777777" w:rsidR="00FD13D4" w:rsidRPr="00C53469" w:rsidRDefault="00FD13D4" w:rsidP="006C6D2C">
      <w:pPr>
        <w:numPr>
          <w:ilvl w:val="0"/>
          <w:numId w:val="6"/>
        </w:numPr>
        <w:tabs>
          <w:tab w:val="left" w:pos="426"/>
        </w:tabs>
        <w:spacing w:before="240" w:after="240" w:line="360" w:lineRule="auto"/>
        <w:ind w:left="0" w:right="51" w:firstLine="0"/>
        <w:contextualSpacing/>
        <w:jc w:val="both"/>
        <w:rPr>
          <w:rFonts w:ascii="Palatino Linotype" w:eastAsia="MS Mincho" w:hAnsi="Palatino Linotype"/>
          <w:color w:val="000000" w:themeColor="text1"/>
          <w:lang w:val="es-MX"/>
        </w:rPr>
      </w:pPr>
      <w:r w:rsidRPr="00C53469">
        <w:rPr>
          <w:rFonts w:ascii="Palatino Linotype" w:eastAsia="MS Mincho" w:hAnsi="Palatino Linotype"/>
          <w:color w:val="000000" w:themeColor="text1"/>
          <w:lang w:val="es-MX"/>
        </w:rPr>
        <w:lastRenderedPageBreak/>
        <w:t>Por 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3403D0C0" w14:textId="77777777" w:rsidR="00FD13D4" w:rsidRPr="00C53469" w:rsidRDefault="00FD13D4" w:rsidP="00C373ED">
      <w:pPr>
        <w:tabs>
          <w:tab w:val="left" w:pos="426"/>
        </w:tabs>
        <w:spacing w:before="240" w:after="240" w:line="360" w:lineRule="auto"/>
        <w:ind w:right="51"/>
        <w:contextualSpacing/>
        <w:jc w:val="both"/>
        <w:rPr>
          <w:rFonts w:ascii="Palatino Linotype" w:eastAsia="MS Mincho" w:hAnsi="Palatino Linotype"/>
          <w:color w:val="000000" w:themeColor="text1"/>
          <w:lang w:val="es-MX"/>
        </w:rPr>
      </w:pPr>
    </w:p>
    <w:p w14:paraId="116C26E7" w14:textId="77777777" w:rsidR="00FD13D4" w:rsidRPr="00C53469" w:rsidRDefault="00FD13D4" w:rsidP="006C6D2C">
      <w:pPr>
        <w:numPr>
          <w:ilvl w:val="0"/>
          <w:numId w:val="6"/>
        </w:numPr>
        <w:tabs>
          <w:tab w:val="left" w:pos="426"/>
        </w:tabs>
        <w:spacing w:before="240" w:after="240" w:line="360" w:lineRule="auto"/>
        <w:ind w:left="0" w:right="51" w:firstLine="0"/>
        <w:contextualSpacing/>
        <w:jc w:val="both"/>
        <w:rPr>
          <w:rFonts w:ascii="Palatino Linotype" w:eastAsia="MS Mincho" w:hAnsi="Palatino Linotype"/>
          <w:color w:val="000000" w:themeColor="text1"/>
          <w:lang w:val="es-MX"/>
        </w:rPr>
      </w:pPr>
      <w:r w:rsidRPr="00C53469">
        <w:rPr>
          <w:rFonts w:ascii="Palatino Linotype" w:eastAsia="MS Mincho" w:hAnsi="Palatino Linotype"/>
          <w:color w:val="000000" w:themeColor="text1"/>
          <w:lang w:val="es-MX"/>
        </w:rPr>
        <w:t xml:space="preserve">Así las cosas, podemos definir el Derecho de Acceso a la Información Pública como: </w:t>
      </w:r>
      <w:r w:rsidRPr="00C53469">
        <w:rPr>
          <w:rFonts w:ascii="Palatino Linotype" w:eastAsia="MS Mincho" w:hAnsi="Palatino Linotype"/>
          <w:i/>
          <w:color w:val="000000" w:themeColor="text1"/>
          <w:lang w:val="es-MX"/>
        </w:rPr>
        <w:t>La igualdad de oportunidades para recibir, buscar e impartir información</w:t>
      </w:r>
      <w:r w:rsidRPr="00C53469">
        <w:rPr>
          <w:rFonts w:ascii="Palatino Linotype" w:eastAsia="MS Mincho" w:hAnsi="Palatino Linotype"/>
          <w:i/>
          <w:color w:val="000000" w:themeColor="text1"/>
          <w:vertAlign w:val="superscript"/>
          <w:lang w:val="es-MX"/>
        </w:rPr>
        <w:footnoteReference w:id="1"/>
      </w:r>
      <w:r w:rsidRPr="00C53469">
        <w:rPr>
          <w:rFonts w:ascii="Palatino Linotype" w:eastAsia="MS Mincho" w:hAnsi="Palatino Linotype"/>
          <w:i/>
          <w:color w:val="000000" w:themeColor="text1"/>
          <w:lang w:val="es-MX"/>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C53469">
        <w:rPr>
          <w:rFonts w:ascii="Palatino Linotype" w:eastAsia="MS Mincho" w:hAnsi="Palatino Linotype"/>
          <w:i/>
          <w:color w:val="000000" w:themeColor="text1"/>
          <w:vertAlign w:val="superscript"/>
          <w:lang w:val="es-MX"/>
        </w:rPr>
        <w:footnoteReference w:id="2"/>
      </w:r>
      <w:r w:rsidRPr="00C53469">
        <w:rPr>
          <w:rFonts w:ascii="Palatino Linotype" w:eastAsia="MS Mincho" w:hAnsi="Palatino Linotype"/>
          <w:color w:val="000000" w:themeColor="text1"/>
          <w:lang w:val="es-MX"/>
        </w:rPr>
        <w:t>que se constituye como una herramienta fundamental para ejercer</w:t>
      </w:r>
      <w:r w:rsidRPr="00C53469">
        <w:rPr>
          <w:rFonts w:ascii="Palatino Linotype" w:eastAsia="MS Mincho" w:hAnsi="Palatino Linotype"/>
          <w:i/>
          <w:color w:val="000000" w:themeColor="text1"/>
          <w:lang w:val="es-MX"/>
        </w:rPr>
        <w:t xml:space="preserve"> el control democrático de las gestiones estatales, de forma tal que puedan cuestionar, indagar y considerar si se está dando un adecuado cumplimiento a las funciones públicas,</w:t>
      </w:r>
      <w:r w:rsidRPr="00C53469">
        <w:rPr>
          <w:rFonts w:ascii="Palatino Linotype" w:eastAsia="MS Mincho" w:hAnsi="Palatino Linotype"/>
          <w:i/>
          <w:color w:val="000000" w:themeColor="text1"/>
          <w:vertAlign w:val="superscript"/>
          <w:lang w:val="es-MX"/>
        </w:rPr>
        <w:footnoteReference w:id="3"/>
      </w:r>
      <w:r w:rsidRPr="00C53469">
        <w:rPr>
          <w:rFonts w:ascii="Palatino Linotype" w:eastAsia="MS Mincho" w:hAnsi="Palatino Linotype"/>
          <w:i/>
          <w:color w:val="000000" w:themeColor="text1"/>
          <w:lang w:val="es-MX"/>
        </w:rPr>
        <w:t xml:space="preserve"> </w:t>
      </w:r>
      <w:r w:rsidRPr="00C53469">
        <w:rPr>
          <w:rFonts w:ascii="Palatino Linotype" w:eastAsia="MS Mincho" w:hAnsi="Palatino Linotype"/>
          <w:color w:val="000000" w:themeColor="text1"/>
          <w:lang w:val="es-MX"/>
        </w:rPr>
        <w:t>fomentando</w:t>
      </w:r>
      <w:r w:rsidRPr="00C53469">
        <w:rPr>
          <w:rFonts w:ascii="Palatino Linotype" w:eastAsia="MS Mincho" w:hAnsi="Palatino Linotype"/>
          <w:i/>
          <w:color w:val="000000" w:themeColor="text1"/>
          <w:lang w:val="es-MX"/>
        </w:rPr>
        <w:t xml:space="preserve"> la transparencia de las actividades estatales y </w:t>
      </w:r>
      <w:r w:rsidRPr="00C53469">
        <w:rPr>
          <w:rFonts w:ascii="Palatino Linotype" w:eastAsia="MS Mincho" w:hAnsi="Palatino Linotype"/>
          <w:color w:val="000000" w:themeColor="text1"/>
          <w:lang w:val="es-MX"/>
        </w:rPr>
        <w:t>promoviendo</w:t>
      </w:r>
      <w:r w:rsidRPr="00C53469">
        <w:rPr>
          <w:rFonts w:ascii="Palatino Linotype" w:eastAsia="MS Mincho" w:hAnsi="Palatino Linotype"/>
          <w:i/>
          <w:color w:val="000000" w:themeColor="text1"/>
          <w:lang w:val="es-MX"/>
        </w:rPr>
        <w:t xml:space="preserve"> la responsabilidad de los funcionarios sobre su gestión pública,</w:t>
      </w:r>
      <w:r w:rsidRPr="00C53469">
        <w:rPr>
          <w:rFonts w:ascii="Palatino Linotype" w:eastAsia="MS Mincho" w:hAnsi="Palatino Linotype"/>
          <w:i/>
          <w:color w:val="000000" w:themeColor="text1"/>
          <w:vertAlign w:val="superscript"/>
          <w:lang w:val="es-MX"/>
        </w:rPr>
        <w:footnoteReference w:id="4"/>
      </w:r>
      <w:r w:rsidRPr="00C53469">
        <w:rPr>
          <w:rFonts w:ascii="Palatino Linotype" w:eastAsia="MS Mincho" w:hAnsi="Palatino Linotype"/>
          <w:color w:val="000000" w:themeColor="text1"/>
          <w:lang w:val="es-MX"/>
        </w:rPr>
        <w:t>que permite</w:t>
      </w:r>
      <w:r w:rsidRPr="00C53469">
        <w:rPr>
          <w:rFonts w:ascii="Palatino Linotype" w:eastAsia="MS Mincho" w:hAnsi="Palatino Linotype"/>
          <w:i/>
          <w:color w:val="000000" w:themeColor="text1"/>
          <w:lang w:val="es-MX"/>
        </w:rPr>
        <w:t xml:space="preserve"> saber qué están haciendo los gobiernos por sus pueblos, sin lo cual la verdad languidecería y la participación en el gobierno permanecería fragmentada.</w:t>
      </w:r>
    </w:p>
    <w:p w14:paraId="7D1D1487" w14:textId="77777777" w:rsidR="00FD13D4" w:rsidRPr="00C53469" w:rsidRDefault="00FD13D4" w:rsidP="00C373ED">
      <w:pPr>
        <w:tabs>
          <w:tab w:val="left" w:pos="426"/>
        </w:tabs>
        <w:spacing w:before="240" w:after="240" w:line="360" w:lineRule="auto"/>
        <w:ind w:right="51"/>
        <w:contextualSpacing/>
        <w:jc w:val="both"/>
        <w:rPr>
          <w:rFonts w:ascii="Palatino Linotype" w:eastAsia="MS Mincho" w:hAnsi="Palatino Linotype"/>
          <w:color w:val="000000" w:themeColor="text1"/>
          <w:lang w:val="es-MX"/>
        </w:rPr>
      </w:pPr>
    </w:p>
    <w:p w14:paraId="5FA96A1D" w14:textId="77777777" w:rsidR="00FD13D4" w:rsidRPr="00C53469" w:rsidRDefault="00FD13D4" w:rsidP="006C6D2C">
      <w:pPr>
        <w:numPr>
          <w:ilvl w:val="0"/>
          <w:numId w:val="6"/>
        </w:numPr>
        <w:tabs>
          <w:tab w:val="left" w:pos="426"/>
        </w:tabs>
        <w:spacing w:before="240" w:after="240" w:line="360" w:lineRule="auto"/>
        <w:ind w:left="0" w:right="51" w:firstLine="0"/>
        <w:contextualSpacing/>
        <w:jc w:val="both"/>
        <w:rPr>
          <w:rFonts w:ascii="Palatino Linotype" w:eastAsia="MS Mincho" w:hAnsi="Palatino Linotype"/>
          <w:color w:val="000000" w:themeColor="text1"/>
          <w:lang w:val="es-MX"/>
        </w:rPr>
      </w:pPr>
      <w:r w:rsidRPr="00C53469">
        <w:rPr>
          <w:rFonts w:ascii="Palatino Linotype" w:eastAsia="MS Mincho" w:hAnsi="Palatino Linotype"/>
          <w:color w:val="000000" w:themeColor="text1"/>
          <w:lang w:val="es-MX"/>
        </w:rPr>
        <w:t xml:space="preserve">Por otro lado, la Ley de Transparencia y Acceso a la Información Pública del Estado de México y Municipios, cuyo objeto es establecer principios, bases generales </w:t>
      </w:r>
      <w:r w:rsidRPr="00C53469">
        <w:rPr>
          <w:rFonts w:ascii="Palatino Linotype" w:eastAsia="MS Mincho" w:hAnsi="Palatino Linotype"/>
          <w:color w:val="000000" w:themeColor="text1"/>
          <w:lang w:val="es-MX"/>
        </w:rPr>
        <w:lastRenderedPageBreak/>
        <w:t>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38D9F738" w14:textId="77777777" w:rsidR="002C7E93" w:rsidRPr="00C53469" w:rsidRDefault="002C7E93" w:rsidP="00C373ED">
      <w:pPr>
        <w:spacing w:line="360" w:lineRule="auto"/>
        <w:rPr>
          <w:rFonts w:ascii="Palatino Linotype" w:hAnsi="Palatino Linotype"/>
          <w:lang w:val="es-MX" w:eastAsia="en-US"/>
        </w:rPr>
      </w:pPr>
    </w:p>
    <w:p w14:paraId="4BF3BCA3" w14:textId="1007A3C9" w:rsidR="00D91C33" w:rsidRPr="00C53469" w:rsidRDefault="00D91C33" w:rsidP="006C6D2C">
      <w:pPr>
        <w:pStyle w:val="Ttulo1"/>
        <w:numPr>
          <w:ilvl w:val="0"/>
          <w:numId w:val="4"/>
        </w:numPr>
        <w:spacing w:line="360" w:lineRule="auto"/>
        <w:ind w:left="0" w:firstLine="0"/>
        <w:rPr>
          <w:rFonts w:ascii="Palatino Linotype" w:hAnsi="Palatino Linotype"/>
          <w:b/>
          <w:color w:val="auto"/>
          <w:sz w:val="24"/>
          <w:szCs w:val="24"/>
          <w:lang w:val="es-MX" w:eastAsia="en-US"/>
        </w:rPr>
      </w:pPr>
      <w:bookmarkStart w:id="34" w:name="_Toc89350008"/>
      <w:r w:rsidRPr="00C53469">
        <w:rPr>
          <w:rFonts w:ascii="Palatino Linotype" w:hAnsi="Palatino Linotype"/>
          <w:b/>
          <w:color w:val="auto"/>
          <w:sz w:val="24"/>
          <w:szCs w:val="24"/>
          <w:lang w:val="es-MX" w:eastAsia="en-US"/>
        </w:rPr>
        <w:t xml:space="preserve">De la solicitud de </w:t>
      </w:r>
      <w:r w:rsidR="0033546A" w:rsidRPr="00C53469">
        <w:rPr>
          <w:rFonts w:ascii="Palatino Linotype" w:hAnsi="Palatino Linotype"/>
          <w:b/>
          <w:color w:val="auto"/>
          <w:sz w:val="24"/>
          <w:szCs w:val="24"/>
          <w:lang w:val="es-MX" w:eastAsia="en-US"/>
        </w:rPr>
        <w:t>información</w:t>
      </w:r>
      <w:r w:rsidRPr="00C53469">
        <w:rPr>
          <w:rFonts w:ascii="Palatino Linotype" w:hAnsi="Palatino Linotype"/>
          <w:b/>
          <w:color w:val="auto"/>
          <w:sz w:val="24"/>
          <w:szCs w:val="24"/>
          <w:lang w:val="es-MX" w:eastAsia="en-US"/>
        </w:rPr>
        <w:t xml:space="preserve"> y </w:t>
      </w:r>
      <w:bookmarkEnd w:id="34"/>
      <w:r w:rsidR="00171640" w:rsidRPr="00C53469">
        <w:rPr>
          <w:rFonts w:ascii="Palatino Linotype" w:hAnsi="Palatino Linotype"/>
          <w:b/>
          <w:color w:val="auto"/>
          <w:sz w:val="24"/>
          <w:szCs w:val="24"/>
          <w:lang w:val="es-MX" w:eastAsia="en-US"/>
        </w:rPr>
        <w:t xml:space="preserve">la procedencia del sobreseimiento. </w:t>
      </w:r>
    </w:p>
    <w:p w14:paraId="49FB3C69" w14:textId="77777777" w:rsidR="00864449" w:rsidRPr="00C53469" w:rsidRDefault="00864449" w:rsidP="00C373ED">
      <w:pPr>
        <w:spacing w:line="360" w:lineRule="auto"/>
        <w:rPr>
          <w:rFonts w:ascii="Palatino Linotype" w:hAnsi="Palatino Linotype"/>
          <w:lang w:val="es-MX" w:eastAsia="en-US"/>
        </w:rPr>
      </w:pPr>
    </w:p>
    <w:p w14:paraId="113D11EC" w14:textId="77777777" w:rsidR="00D91C33" w:rsidRPr="00C53469" w:rsidRDefault="00EA0165" w:rsidP="006C6D2C">
      <w:pPr>
        <w:pStyle w:val="Prrafodelista"/>
        <w:numPr>
          <w:ilvl w:val="0"/>
          <w:numId w:val="3"/>
        </w:numPr>
        <w:spacing w:before="240" w:after="360" w:line="360" w:lineRule="auto"/>
        <w:ind w:left="0" w:firstLine="0"/>
        <w:contextualSpacing/>
        <w:jc w:val="both"/>
        <w:rPr>
          <w:rFonts w:ascii="Palatino Linotype" w:eastAsia="MS Mincho" w:hAnsi="Palatino Linotype" w:cs="Arial"/>
          <w:i/>
          <w:lang w:val="es-MX"/>
        </w:rPr>
      </w:pPr>
      <w:r w:rsidRPr="00C53469">
        <w:rPr>
          <w:rFonts w:ascii="Palatino Linotype" w:eastAsia="Cambria" w:hAnsi="Palatino Linotype" w:cs="Arial"/>
          <w:lang w:val="es-MX" w:eastAsia="en-US"/>
        </w:rPr>
        <w:t xml:space="preserve">Consecuentemente y 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w:t>
      </w:r>
      <w:r w:rsidRPr="00C53469">
        <w:rPr>
          <w:rFonts w:ascii="Palatino Linotype" w:eastAsia="Calibri" w:hAnsi="Palatino Linotype" w:cs="Arial"/>
          <w:b/>
          <w:lang w:eastAsia="en-US"/>
        </w:rPr>
        <w:t>Ley de Transparencia y Acceso a la Información Pública del Estado de México y Municipios</w:t>
      </w:r>
      <w:r w:rsidR="006C693D" w:rsidRPr="00C53469">
        <w:rPr>
          <w:rFonts w:ascii="Palatino Linotype" w:hAnsi="Palatino Linotype" w:cs="Arial"/>
          <w:lang w:eastAsia="es-MX"/>
        </w:rPr>
        <w:t>.</w:t>
      </w:r>
    </w:p>
    <w:p w14:paraId="6DCC758D" w14:textId="77777777" w:rsidR="00D91C33" w:rsidRPr="00C53469" w:rsidRDefault="00D91C33" w:rsidP="00C373ED">
      <w:pPr>
        <w:pStyle w:val="Prrafodelista"/>
        <w:spacing w:before="240" w:after="360" w:line="360" w:lineRule="auto"/>
        <w:ind w:left="0"/>
        <w:contextualSpacing/>
        <w:jc w:val="both"/>
        <w:rPr>
          <w:rFonts w:ascii="Palatino Linotype" w:eastAsia="MS Mincho" w:hAnsi="Palatino Linotype" w:cs="Arial"/>
          <w:i/>
          <w:lang w:val="es-MX"/>
        </w:rPr>
      </w:pPr>
    </w:p>
    <w:p w14:paraId="52AF335F" w14:textId="23196AC3" w:rsidR="00864449" w:rsidRPr="00C53469" w:rsidRDefault="00D91C33" w:rsidP="006C6D2C">
      <w:pPr>
        <w:pStyle w:val="Prrafodelista"/>
        <w:numPr>
          <w:ilvl w:val="0"/>
          <w:numId w:val="3"/>
        </w:numPr>
        <w:spacing w:before="240" w:after="360" w:line="360" w:lineRule="auto"/>
        <w:ind w:left="0" w:firstLine="0"/>
        <w:contextualSpacing/>
        <w:jc w:val="both"/>
        <w:rPr>
          <w:rFonts w:ascii="Palatino Linotype" w:eastAsia="Calibri" w:hAnsi="Palatino Linotype"/>
          <w:color w:val="000000"/>
        </w:rPr>
      </w:pPr>
      <w:r w:rsidRPr="00C53469">
        <w:rPr>
          <w:rFonts w:ascii="Palatino Linotype" w:eastAsia="MS Mincho" w:hAnsi="Palatino Linotype" w:cs="Arial"/>
          <w:lang w:val="es-MX"/>
        </w:rPr>
        <w:t xml:space="preserve">Así, de la lectura a la solicitud de información se observa </w:t>
      </w:r>
      <w:r w:rsidR="002C7E93" w:rsidRPr="00C53469">
        <w:rPr>
          <w:rFonts w:ascii="Palatino Linotype" w:eastAsia="MS Mincho" w:hAnsi="Palatino Linotype" w:cs="Arial"/>
          <w:lang w:val="es-MX"/>
        </w:rPr>
        <w:t>que el p</w:t>
      </w:r>
      <w:r w:rsidR="00C22CBC" w:rsidRPr="00C53469">
        <w:rPr>
          <w:rFonts w:ascii="Palatino Linotype" w:eastAsia="MS Mincho" w:hAnsi="Palatino Linotype" w:cs="Arial"/>
          <w:lang w:val="es-MX"/>
        </w:rPr>
        <w:t>articular requirió al</w:t>
      </w:r>
      <w:r w:rsidR="004E74B5" w:rsidRPr="00C53469">
        <w:rPr>
          <w:rFonts w:ascii="Palatino Linotype" w:eastAsia="MS Mincho" w:hAnsi="Palatino Linotype" w:cs="Arial"/>
          <w:lang w:val="es-MX"/>
        </w:rPr>
        <w:t xml:space="preserve"> </w:t>
      </w:r>
      <w:r w:rsidR="00FD13AC" w:rsidRPr="00C53469">
        <w:rPr>
          <w:rFonts w:ascii="Palatino Linotype" w:eastAsia="Calibri" w:hAnsi="Palatino Linotype"/>
          <w:b/>
          <w:color w:val="000000"/>
        </w:rPr>
        <w:t>Ayuntamiento de Coacalco de Berriozábal</w:t>
      </w:r>
      <w:r w:rsidR="00FD13AC" w:rsidRPr="00C53469">
        <w:rPr>
          <w:rFonts w:ascii="Palatino Linotype" w:eastAsia="Calibri" w:hAnsi="Palatino Linotype"/>
          <w:color w:val="000000"/>
        </w:rPr>
        <w:t xml:space="preserve"> </w:t>
      </w:r>
      <w:r w:rsidRPr="00C53469">
        <w:rPr>
          <w:rFonts w:ascii="Palatino Linotype" w:eastAsia="MS Mincho" w:hAnsi="Palatino Linotype" w:cs="Arial"/>
          <w:lang w:val="es-MX"/>
        </w:rPr>
        <w:t xml:space="preserve">acceder a información relacionada </w:t>
      </w:r>
      <w:r w:rsidR="00104ECA" w:rsidRPr="00C53469">
        <w:rPr>
          <w:rFonts w:ascii="Palatino Linotype" w:eastAsia="MS Mincho" w:hAnsi="Palatino Linotype" w:cs="Arial"/>
          <w:lang w:val="es-MX"/>
        </w:rPr>
        <w:t>con</w:t>
      </w:r>
      <w:r w:rsidR="00C22CBC" w:rsidRPr="00C53469">
        <w:rPr>
          <w:rFonts w:ascii="Palatino Linotype" w:eastAsia="MS Mincho" w:hAnsi="Palatino Linotype" w:cs="Arial"/>
          <w:lang w:val="es-MX"/>
        </w:rPr>
        <w:t xml:space="preserve"> </w:t>
      </w:r>
      <w:r w:rsidR="00BA44C6" w:rsidRPr="00C53469">
        <w:rPr>
          <w:rFonts w:ascii="Palatino Linotype" w:eastAsia="MS Mincho" w:hAnsi="Palatino Linotype" w:cs="Arial"/>
          <w:lang w:val="es-MX"/>
        </w:rPr>
        <w:t>los trabajos</w:t>
      </w:r>
      <w:r w:rsidR="006C035E" w:rsidRPr="00C53469">
        <w:rPr>
          <w:rFonts w:ascii="Palatino Linotype" w:eastAsia="MS Mincho" w:hAnsi="Palatino Linotype" w:cs="Arial"/>
          <w:lang w:val="es-MX"/>
        </w:rPr>
        <w:t xml:space="preserve"> de mantenimiento a vialidades</w:t>
      </w:r>
      <w:r w:rsidR="00691811" w:rsidRPr="00C53469">
        <w:rPr>
          <w:rFonts w:ascii="Palatino Linotype" w:eastAsia="Calibri" w:hAnsi="Palatino Linotype"/>
          <w:color w:val="000000"/>
        </w:rPr>
        <w:t xml:space="preserve">, </w:t>
      </w:r>
      <w:r w:rsidR="001C189E" w:rsidRPr="00C53469">
        <w:rPr>
          <w:rFonts w:ascii="Palatino Linotype" w:eastAsia="Calibri" w:hAnsi="Palatino Linotype"/>
          <w:color w:val="000000"/>
        </w:rPr>
        <w:t>como a continuación</w:t>
      </w:r>
      <w:r w:rsidR="0073558A" w:rsidRPr="00C53469">
        <w:rPr>
          <w:rFonts w:ascii="Palatino Linotype" w:eastAsia="Calibri" w:hAnsi="Palatino Linotype"/>
          <w:color w:val="000000"/>
        </w:rPr>
        <w:t xml:space="preserve"> se observa</w:t>
      </w:r>
      <w:r w:rsidR="001C189E" w:rsidRPr="00C53469">
        <w:rPr>
          <w:rFonts w:ascii="Palatino Linotype" w:eastAsia="Calibri" w:hAnsi="Palatino Linotype"/>
          <w:color w:val="000000"/>
        </w:rPr>
        <w:t>:</w:t>
      </w:r>
    </w:p>
    <w:tbl>
      <w:tblPr>
        <w:tblStyle w:val="Tablaconcuadrcula2111"/>
        <w:tblpPr w:leftFromText="141" w:rightFromText="141" w:vertAnchor="text" w:tblpY="1"/>
        <w:tblOverlap w:val="never"/>
        <w:tblW w:w="9356" w:type="dxa"/>
        <w:tblLayout w:type="fixed"/>
        <w:tblLook w:val="04A0" w:firstRow="1" w:lastRow="0" w:firstColumn="1" w:lastColumn="0" w:noHBand="0" w:noVBand="1"/>
      </w:tblPr>
      <w:tblGrid>
        <w:gridCol w:w="709"/>
        <w:gridCol w:w="1843"/>
        <w:gridCol w:w="2552"/>
        <w:gridCol w:w="2693"/>
        <w:gridCol w:w="1559"/>
      </w:tblGrid>
      <w:tr w:rsidR="00691811" w:rsidRPr="00C53469" w14:paraId="22D276C6" w14:textId="77777777" w:rsidTr="00954DA7">
        <w:trPr>
          <w:trHeight w:val="581"/>
        </w:trPr>
        <w:tc>
          <w:tcPr>
            <w:tcW w:w="9356" w:type="dxa"/>
            <w:gridSpan w:val="5"/>
          </w:tcPr>
          <w:p w14:paraId="50D064F0" w14:textId="77777777" w:rsidR="00691811" w:rsidRPr="00C53469" w:rsidRDefault="00691811" w:rsidP="00C373ED">
            <w:pPr>
              <w:spacing w:line="360" w:lineRule="auto"/>
              <w:jc w:val="center"/>
              <w:rPr>
                <w:rFonts w:ascii="Palatino Linotype" w:eastAsia="Calibri" w:hAnsi="Palatino Linotype"/>
                <w:b/>
                <w:bCs/>
                <w:sz w:val="24"/>
                <w:szCs w:val="24"/>
                <w:lang w:val="es-MX"/>
              </w:rPr>
            </w:pPr>
          </w:p>
          <w:p w14:paraId="3A51DDD3" w14:textId="77777777" w:rsidR="009E5D5B" w:rsidRPr="00C53469" w:rsidRDefault="00691811" w:rsidP="00FD13AC">
            <w:pPr>
              <w:spacing w:line="360" w:lineRule="auto"/>
              <w:jc w:val="center"/>
              <w:rPr>
                <w:rFonts w:ascii="Verdana" w:hAnsi="Verdana"/>
                <w:b/>
                <w:bCs/>
                <w:color w:val="FF0000"/>
                <w:sz w:val="24"/>
                <w:szCs w:val="24"/>
                <w:lang w:eastAsia="es-ES"/>
              </w:rPr>
            </w:pPr>
            <w:r w:rsidRPr="00C53469">
              <w:rPr>
                <w:rFonts w:ascii="Palatino Linotype" w:eastAsia="Calibri" w:hAnsi="Palatino Linotype"/>
                <w:b/>
                <w:bCs/>
                <w:sz w:val="24"/>
                <w:szCs w:val="24"/>
                <w:lang w:val="es-MX"/>
              </w:rPr>
              <w:t xml:space="preserve">Solicitud: </w:t>
            </w:r>
            <w:r w:rsidR="002C7E93" w:rsidRPr="00C53469">
              <w:rPr>
                <w:rFonts w:ascii="Palatino Linotype" w:hAnsi="Palatino Linotype"/>
                <w:b/>
                <w:bCs/>
                <w:color w:val="FF0000"/>
                <w:sz w:val="24"/>
                <w:szCs w:val="24"/>
                <w:lang w:eastAsia="es-ES"/>
              </w:rPr>
              <w:t xml:space="preserve"> </w:t>
            </w:r>
            <w:r w:rsidR="004E74B5" w:rsidRPr="00C53469">
              <w:rPr>
                <w:rFonts w:ascii="Palatino Linotype" w:hAnsi="Palatino Linotype"/>
                <w:sz w:val="24"/>
                <w:szCs w:val="24"/>
              </w:rPr>
              <w:t xml:space="preserve"> </w:t>
            </w:r>
            <w:r w:rsidR="00FD13AC" w:rsidRPr="00C53469">
              <w:rPr>
                <w:rFonts w:ascii="Verdana" w:hAnsi="Verdana"/>
                <w:b/>
                <w:bCs/>
                <w:color w:val="FF0000"/>
                <w:sz w:val="24"/>
                <w:szCs w:val="24"/>
                <w:lang w:eastAsia="es-ES"/>
              </w:rPr>
              <w:t xml:space="preserve"> </w:t>
            </w:r>
          </w:p>
          <w:p w14:paraId="65BD1B70" w14:textId="00BBA913" w:rsidR="002C7E93" w:rsidRPr="00C53469" w:rsidRDefault="00FD13AC" w:rsidP="00FD13AC">
            <w:pPr>
              <w:spacing w:line="360" w:lineRule="auto"/>
              <w:jc w:val="center"/>
              <w:rPr>
                <w:rFonts w:ascii="Palatino Linotype" w:eastAsia="Calibri" w:hAnsi="Palatino Linotype"/>
                <w:b/>
                <w:bCs/>
                <w:sz w:val="24"/>
                <w:szCs w:val="24"/>
                <w:lang w:val="es-MX"/>
              </w:rPr>
            </w:pPr>
            <w:r w:rsidRPr="00C53469">
              <w:rPr>
                <w:rFonts w:ascii="Palatino Linotype" w:hAnsi="Palatino Linotype"/>
                <w:b/>
                <w:bCs/>
                <w:sz w:val="24"/>
                <w:szCs w:val="24"/>
              </w:rPr>
              <w:t>00347/COACALCO/IP/2022</w:t>
            </w:r>
          </w:p>
        </w:tc>
      </w:tr>
      <w:tr w:rsidR="00691811" w:rsidRPr="00C53469" w14:paraId="52F9038F" w14:textId="77777777" w:rsidTr="00954DA7">
        <w:trPr>
          <w:trHeight w:val="582"/>
        </w:trPr>
        <w:tc>
          <w:tcPr>
            <w:tcW w:w="709" w:type="dxa"/>
            <w:shd w:val="clear" w:color="auto" w:fill="DBDBDB"/>
          </w:tcPr>
          <w:p w14:paraId="7F2350A9" w14:textId="77777777" w:rsidR="00691811" w:rsidRPr="00C53469" w:rsidRDefault="00691811" w:rsidP="00C373ED">
            <w:pPr>
              <w:spacing w:line="360" w:lineRule="auto"/>
              <w:rPr>
                <w:rFonts w:ascii="Palatino Linotype" w:eastAsia="Calibri" w:hAnsi="Palatino Linotype"/>
                <w:sz w:val="24"/>
                <w:szCs w:val="24"/>
                <w:lang w:val="es-MX"/>
              </w:rPr>
            </w:pPr>
          </w:p>
          <w:p w14:paraId="08DA4F38" w14:textId="77777777" w:rsidR="00691811" w:rsidRPr="00C53469" w:rsidRDefault="00691811" w:rsidP="00C373ED">
            <w:pPr>
              <w:spacing w:line="360" w:lineRule="auto"/>
              <w:jc w:val="center"/>
              <w:rPr>
                <w:rFonts w:ascii="Palatino Linotype" w:eastAsia="Calibri" w:hAnsi="Palatino Linotype"/>
                <w:sz w:val="24"/>
                <w:szCs w:val="24"/>
                <w:lang w:val="es-MX"/>
              </w:rPr>
            </w:pPr>
            <w:r w:rsidRPr="00C53469">
              <w:rPr>
                <w:rFonts w:ascii="Palatino Linotype" w:eastAsia="Calibri" w:hAnsi="Palatino Linotype"/>
                <w:sz w:val="24"/>
                <w:szCs w:val="24"/>
                <w:lang w:val="es-MX"/>
              </w:rPr>
              <w:t>No.</w:t>
            </w:r>
          </w:p>
        </w:tc>
        <w:tc>
          <w:tcPr>
            <w:tcW w:w="1843" w:type="dxa"/>
            <w:shd w:val="clear" w:color="auto" w:fill="DBDBDB"/>
          </w:tcPr>
          <w:p w14:paraId="3A1DD982" w14:textId="77777777" w:rsidR="00691811" w:rsidRPr="00C53469" w:rsidRDefault="00691811" w:rsidP="00C373ED">
            <w:pPr>
              <w:spacing w:line="360" w:lineRule="auto"/>
              <w:jc w:val="center"/>
              <w:rPr>
                <w:rFonts w:ascii="Palatino Linotype" w:eastAsia="Calibri" w:hAnsi="Palatino Linotype"/>
                <w:sz w:val="24"/>
                <w:szCs w:val="24"/>
                <w:lang w:val="es-MX"/>
              </w:rPr>
            </w:pPr>
          </w:p>
          <w:p w14:paraId="262E129D" w14:textId="77777777" w:rsidR="00691811" w:rsidRPr="00C53469" w:rsidRDefault="00691811" w:rsidP="00C373ED">
            <w:pPr>
              <w:spacing w:line="360" w:lineRule="auto"/>
              <w:jc w:val="center"/>
              <w:rPr>
                <w:rFonts w:ascii="Palatino Linotype" w:eastAsia="Calibri" w:hAnsi="Palatino Linotype"/>
                <w:sz w:val="24"/>
                <w:szCs w:val="24"/>
                <w:lang w:val="es-MX"/>
              </w:rPr>
            </w:pPr>
            <w:r w:rsidRPr="00C53469">
              <w:rPr>
                <w:rFonts w:ascii="Palatino Linotype" w:eastAsia="Calibri" w:hAnsi="Palatino Linotype"/>
                <w:sz w:val="24"/>
                <w:szCs w:val="24"/>
                <w:lang w:val="es-MX"/>
              </w:rPr>
              <w:t>Información Requerida:</w:t>
            </w:r>
          </w:p>
        </w:tc>
        <w:tc>
          <w:tcPr>
            <w:tcW w:w="2552" w:type="dxa"/>
            <w:shd w:val="clear" w:color="auto" w:fill="DBDBDB"/>
          </w:tcPr>
          <w:p w14:paraId="508CE853" w14:textId="77777777" w:rsidR="00691811" w:rsidRPr="00C53469" w:rsidRDefault="00691811" w:rsidP="00C373ED">
            <w:pPr>
              <w:spacing w:line="360" w:lineRule="auto"/>
              <w:jc w:val="center"/>
              <w:rPr>
                <w:rFonts w:ascii="Palatino Linotype" w:eastAsia="Calibri" w:hAnsi="Palatino Linotype"/>
                <w:sz w:val="24"/>
                <w:szCs w:val="24"/>
                <w:lang w:val="es-MX"/>
              </w:rPr>
            </w:pPr>
          </w:p>
          <w:p w14:paraId="48B9A972" w14:textId="77777777" w:rsidR="00691811" w:rsidRPr="00C53469" w:rsidRDefault="00691811" w:rsidP="00C373ED">
            <w:pPr>
              <w:spacing w:line="360" w:lineRule="auto"/>
              <w:jc w:val="center"/>
              <w:rPr>
                <w:rFonts w:ascii="Palatino Linotype" w:eastAsia="Calibri" w:hAnsi="Palatino Linotype"/>
                <w:sz w:val="24"/>
                <w:szCs w:val="24"/>
                <w:lang w:val="es-MX"/>
              </w:rPr>
            </w:pPr>
            <w:r w:rsidRPr="00C53469">
              <w:rPr>
                <w:rFonts w:ascii="Palatino Linotype" w:eastAsia="Calibri" w:hAnsi="Palatino Linotype"/>
                <w:sz w:val="24"/>
                <w:szCs w:val="24"/>
                <w:lang w:val="es-MX"/>
              </w:rPr>
              <w:t>Información entregada en respuesta:</w:t>
            </w:r>
          </w:p>
        </w:tc>
        <w:tc>
          <w:tcPr>
            <w:tcW w:w="2693" w:type="dxa"/>
            <w:shd w:val="clear" w:color="auto" w:fill="DBDBDB"/>
          </w:tcPr>
          <w:p w14:paraId="23EDC9E5" w14:textId="77777777" w:rsidR="00A06807" w:rsidRPr="00C53469" w:rsidRDefault="00A06807" w:rsidP="00C373ED">
            <w:pPr>
              <w:spacing w:line="360" w:lineRule="auto"/>
              <w:jc w:val="center"/>
              <w:rPr>
                <w:rFonts w:ascii="Palatino Linotype" w:eastAsia="Calibri" w:hAnsi="Palatino Linotype"/>
                <w:sz w:val="24"/>
                <w:szCs w:val="24"/>
                <w:lang w:val="es-MX"/>
              </w:rPr>
            </w:pPr>
          </w:p>
          <w:p w14:paraId="15A64678" w14:textId="77777777" w:rsidR="00691811" w:rsidRPr="00C53469" w:rsidRDefault="00691811" w:rsidP="00C373ED">
            <w:pPr>
              <w:spacing w:line="360" w:lineRule="auto"/>
              <w:jc w:val="center"/>
              <w:rPr>
                <w:rFonts w:ascii="Palatino Linotype" w:eastAsia="Calibri" w:hAnsi="Palatino Linotype"/>
                <w:sz w:val="24"/>
                <w:szCs w:val="24"/>
                <w:lang w:val="es-MX"/>
              </w:rPr>
            </w:pPr>
            <w:r w:rsidRPr="00C53469">
              <w:rPr>
                <w:rFonts w:ascii="Palatino Linotype" w:eastAsia="Calibri" w:hAnsi="Palatino Linotype"/>
                <w:sz w:val="24"/>
                <w:szCs w:val="24"/>
                <w:lang w:val="es-MX"/>
              </w:rPr>
              <w:t>Información entregada en calidad de Informe Justificado:</w:t>
            </w:r>
          </w:p>
        </w:tc>
        <w:tc>
          <w:tcPr>
            <w:tcW w:w="1559" w:type="dxa"/>
            <w:shd w:val="clear" w:color="auto" w:fill="DBDBDB"/>
          </w:tcPr>
          <w:p w14:paraId="26EA2B15" w14:textId="77777777" w:rsidR="00691811" w:rsidRPr="00C53469" w:rsidRDefault="00691811" w:rsidP="00C373ED">
            <w:pPr>
              <w:spacing w:line="360" w:lineRule="auto"/>
              <w:jc w:val="center"/>
              <w:rPr>
                <w:rFonts w:ascii="Palatino Linotype" w:eastAsia="Calibri" w:hAnsi="Palatino Linotype"/>
                <w:sz w:val="24"/>
                <w:szCs w:val="24"/>
                <w:lang w:val="es-MX"/>
              </w:rPr>
            </w:pPr>
          </w:p>
          <w:p w14:paraId="00839508" w14:textId="77777777" w:rsidR="00691811" w:rsidRPr="00C53469" w:rsidRDefault="00691811" w:rsidP="00C373ED">
            <w:pPr>
              <w:spacing w:line="360" w:lineRule="auto"/>
              <w:jc w:val="center"/>
              <w:rPr>
                <w:rFonts w:ascii="Palatino Linotype" w:eastAsia="Calibri" w:hAnsi="Palatino Linotype"/>
                <w:sz w:val="24"/>
                <w:szCs w:val="24"/>
                <w:lang w:val="es-MX"/>
              </w:rPr>
            </w:pPr>
            <w:r w:rsidRPr="00C53469">
              <w:rPr>
                <w:rFonts w:ascii="Palatino Linotype" w:eastAsia="Calibri" w:hAnsi="Palatino Linotype"/>
                <w:sz w:val="24"/>
                <w:szCs w:val="24"/>
                <w:lang w:val="es-MX"/>
              </w:rPr>
              <w:t>¿Satisface la solicitud?</w:t>
            </w:r>
          </w:p>
        </w:tc>
      </w:tr>
      <w:tr w:rsidR="001C189E" w:rsidRPr="00C53469" w14:paraId="70D1952E" w14:textId="77777777" w:rsidTr="00954DA7">
        <w:trPr>
          <w:trHeight w:val="582"/>
        </w:trPr>
        <w:tc>
          <w:tcPr>
            <w:tcW w:w="709" w:type="dxa"/>
            <w:shd w:val="clear" w:color="auto" w:fill="auto"/>
          </w:tcPr>
          <w:p w14:paraId="1A8F66E2" w14:textId="2AAE4F25" w:rsidR="001C189E" w:rsidRPr="00C53469" w:rsidRDefault="001C189E" w:rsidP="00C373ED">
            <w:pPr>
              <w:spacing w:line="360" w:lineRule="auto"/>
              <w:rPr>
                <w:rFonts w:ascii="Palatino Linotype" w:eastAsia="Calibri" w:hAnsi="Palatino Linotype"/>
                <w:sz w:val="24"/>
                <w:szCs w:val="24"/>
                <w:lang w:val="es-MX"/>
              </w:rPr>
            </w:pPr>
            <w:r w:rsidRPr="00C53469">
              <w:rPr>
                <w:rFonts w:ascii="Palatino Linotype" w:eastAsia="Calibri" w:hAnsi="Palatino Linotype"/>
                <w:sz w:val="24"/>
                <w:szCs w:val="24"/>
                <w:lang w:val="es-MX"/>
              </w:rPr>
              <w:t>1</w:t>
            </w:r>
          </w:p>
        </w:tc>
        <w:tc>
          <w:tcPr>
            <w:tcW w:w="1843" w:type="dxa"/>
            <w:shd w:val="clear" w:color="auto" w:fill="auto"/>
          </w:tcPr>
          <w:p w14:paraId="0A6AB05D" w14:textId="55F073D3" w:rsidR="001C189E" w:rsidRPr="00C53469" w:rsidRDefault="001C189E" w:rsidP="00FD13AC">
            <w:pPr>
              <w:spacing w:line="360" w:lineRule="auto"/>
              <w:jc w:val="both"/>
              <w:rPr>
                <w:rFonts w:ascii="Palatino Linotype" w:eastAsia="Calibri" w:hAnsi="Palatino Linotype"/>
                <w:i/>
                <w:sz w:val="24"/>
                <w:szCs w:val="24"/>
                <w:lang w:val="es-MX"/>
              </w:rPr>
            </w:pPr>
            <w:r w:rsidRPr="00C53469">
              <w:rPr>
                <w:rFonts w:ascii="Palatino Linotype" w:eastAsia="Calibri" w:hAnsi="Palatino Linotype"/>
                <w:i/>
                <w:sz w:val="24"/>
                <w:szCs w:val="24"/>
                <w:lang w:val="es-MX"/>
              </w:rPr>
              <w:t>“</w:t>
            </w:r>
            <w:r w:rsidR="00FD13AC" w:rsidRPr="00C53469">
              <w:t xml:space="preserve"> </w:t>
            </w:r>
            <w:r w:rsidR="00FD13AC" w:rsidRPr="00C53469">
              <w:rPr>
                <w:rFonts w:ascii="Palatino Linotype" w:eastAsia="Calibri" w:hAnsi="Palatino Linotype"/>
                <w:i/>
                <w:sz w:val="24"/>
                <w:szCs w:val="24"/>
                <w:lang w:val="es-MX"/>
              </w:rPr>
              <w:t>Copia de los cortes de caja firmados por la Síndico municipal de los meses junio, julio y agosto de 2022</w:t>
            </w:r>
            <w:r w:rsidRPr="00C53469">
              <w:rPr>
                <w:rFonts w:ascii="Palatino Linotype" w:eastAsia="Calibri" w:hAnsi="Palatino Linotype"/>
                <w:i/>
                <w:sz w:val="24"/>
                <w:szCs w:val="24"/>
                <w:lang w:val="es-MX"/>
              </w:rPr>
              <w:t xml:space="preserve"> …”</w:t>
            </w:r>
          </w:p>
        </w:tc>
        <w:tc>
          <w:tcPr>
            <w:tcW w:w="2552" w:type="dxa"/>
            <w:shd w:val="clear" w:color="auto" w:fill="auto"/>
          </w:tcPr>
          <w:p w14:paraId="7969EDD6" w14:textId="77777777" w:rsidR="00FD13AC" w:rsidRPr="00C53469" w:rsidRDefault="00FD13AC" w:rsidP="00FD13AC">
            <w:pPr>
              <w:tabs>
                <w:tab w:val="left" w:pos="284"/>
                <w:tab w:val="left" w:pos="426"/>
                <w:tab w:val="left" w:pos="993"/>
                <w:tab w:val="left" w:pos="1134"/>
              </w:tabs>
              <w:spacing w:line="360" w:lineRule="auto"/>
              <w:ind w:right="49"/>
              <w:contextualSpacing/>
              <w:jc w:val="both"/>
              <w:rPr>
                <w:rFonts w:ascii="Palatino Linotype" w:eastAsiaTheme="minorEastAsia" w:hAnsi="Palatino Linotype" w:cstheme="minorBidi"/>
                <w:color w:val="000000" w:themeColor="text1"/>
                <w:lang w:val="es-ES_tradnl"/>
              </w:rPr>
            </w:pPr>
            <w:r w:rsidRPr="00C53469">
              <w:rPr>
                <w:b/>
              </w:rPr>
              <w:t>CONTESTACION TESORERIA 00347_2022.pdf</w:t>
            </w:r>
            <w:r w:rsidRPr="00C53469">
              <w:t xml:space="preserve"> </w:t>
            </w:r>
            <w:hyperlink r:id="rId9" w:tgtFrame="_blank" w:history="1"/>
            <w:r w:rsidRPr="00C53469">
              <w:rPr>
                <w:rFonts w:ascii="Palatino Linotype" w:eastAsiaTheme="minorEastAsia" w:hAnsi="Palatino Linotype" w:cstheme="minorBidi"/>
                <w:b/>
                <w:color w:val="000000" w:themeColor="text1"/>
                <w:lang w:val="es-ES_tradnl"/>
              </w:rPr>
              <w:t>:</w:t>
            </w:r>
            <w:r w:rsidRPr="00C53469">
              <w:rPr>
                <w:rFonts w:ascii="Palatino Linotype" w:eastAsiaTheme="minorEastAsia" w:hAnsi="Palatino Linotype" w:cstheme="minorBidi"/>
                <w:color w:val="000000" w:themeColor="text1"/>
                <w:lang w:val="es-ES_tradnl"/>
              </w:rPr>
              <w:t xml:space="preserve"> Documento electrónico que en una (01) hoja contiene el oficio PM/UT/CAMG/1132/2022 dirigido al Titular de la Unidad de </w:t>
            </w:r>
            <w:proofErr w:type="gramStart"/>
            <w:r w:rsidRPr="00C53469">
              <w:rPr>
                <w:rFonts w:ascii="Palatino Linotype" w:eastAsiaTheme="minorEastAsia" w:hAnsi="Palatino Linotype" w:cstheme="minorBidi"/>
                <w:color w:val="000000" w:themeColor="text1"/>
                <w:lang w:val="es-ES_tradnl"/>
              </w:rPr>
              <w:t>Transparencia  y</w:t>
            </w:r>
            <w:proofErr w:type="gramEnd"/>
            <w:r w:rsidRPr="00C53469">
              <w:rPr>
                <w:rFonts w:ascii="Palatino Linotype" w:eastAsiaTheme="minorEastAsia" w:hAnsi="Palatino Linotype" w:cstheme="minorBidi"/>
                <w:color w:val="000000" w:themeColor="text1"/>
                <w:lang w:val="es-ES_tradnl"/>
              </w:rPr>
              <w:t xml:space="preserve"> suscrito por la Coordinadora de la Tesorería Municipal mediante el cual se refiere que se pone a disposición la información relativa a los cortes de caja de los </w:t>
            </w:r>
            <w:r w:rsidRPr="00C53469">
              <w:rPr>
                <w:rFonts w:ascii="Palatino Linotype" w:eastAsiaTheme="minorEastAsia" w:hAnsi="Palatino Linotype" w:cstheme="minorBidi"/>
                <w:color w:val="000000" w:themeColor="text1"/>
                <w:lang w:val="es-ES_tradnl"/>
              </w:rPr>
              <w:lastRenderedPageBreak/>
              <w:t xml:space="preserve">meses de junio, julio y agosto 2022. </w:t>
            </w:r>
          </w:p>
          <w:p w14:paraId="6FD63608" w14:textId="77777777" w:rsidR="00FD13AC" w:rsidRPr="00C53469" w:rsidRDefault="00FD13AC" w:rsidP="00FD13AC">
            <w:pPr>
              <w:tabs>
                <w:tab w:val="left" w:pos="284"/>
                <w:tab w:val="left" w:pos="426"/>
                <w:tab w:val="left" w:pos="993"/>
                <w:tab w:val="left" w:pos="1134"/>
              </w:tabs>
              <w:spacing w:line="360" w:lineRule="auto"/>
              <w:ind w:left="720" w:right="616"/>
              <w:contextualSpacing/>
              <w:jc w:val="both"/>
              <w:rPr>
                <w:rFonts w:ascii="Palatino Linotype" w:eastAsiaTheme="minorEastAsia" w:hAnsi="Palatino Linotype" w:cstheme="minorBidi"/>
                <w:color w:val="000000" w:themeColor="text1"/>
                <w:lang w:val="es-ES_tradnl"/>
              </w:rPr>
            </w:pPr>
          </w:p>
          <w:p w14:paraId="07E3C486" w14:textId="77777777" w:rsidR="00FD13AC" w:rsidRPr="00C53469" w:rsidRDefault="00FD13AC" w:rsidP="00B4028D">
            <w:pPr>
              <w:tabs>
                <w:tab w:val="left" w:pos="284"/>
                <w:tab w:val="left" w:pos="426"/>
                <w:tab w:val="left" w:pos="993"/>
                <w:tab w:val="left" w:pos="1134"/>
              </w:tabs>
              <w:spacing w:line="360" w:lineRule="auto"/>
              <w:ind w:right="616"/>
              <w:contextualSpacing/>
              <w:jc w:val="both"/>
              <w:rPr>
                <w:rFonts w:ascii="Palatino Linotype" w:eastAsiaTheme="minorEastAsia" w:hAnsi="Palatino Linotype" w:cstheme="minorBidi"/>
                <w:b/>
                <w:color w:val="000000" w:themeColor="text1"/>
                <w:lang w:val="es-ES_tradnl"/>
              </w:rPr>
            </w:pPr>
            <w:r w:rsidRPr="00C53469">
              <w:rPr>
                <w:rFonts w:ascii="Palatino Linotype" w:eastAsiaTheme="minorEastAsia" w:hAnsi="Palatino Linotype" w:cstheme="minorBidi"/>
                <w:b/>
                <w:color w:val="000000" w:themeColor="text1"/>
                <w:lang w:val="es-ES_tradnl"/>
              </w:rPr>
              <w:t xml:space="preserve">RESPUESTA AL SOLICITANTE 00347_2022.pdf: </w:t>
            </w:r>
            <w:r w:rsidRPr="00C53469">
              <w:rPr>
                <w:rFonts w:ascii="Palatino Linotype" w:eastAsiaTheme="minorEastAsia" w:hAnsi="Palatino Linotype" w:cstheme="minorBidi"/>
                <w:color w:val="000000" w:themeColor="text1"/>
                <w:lang w:val="es-ES_tradnl"/>
              </w:rPr>
              <w:t xml:space="preserve">Documento electrónico que en una (01) hoja contiene el oficio PM/UT/CAMG/1195/2022 dirigido al solicitante y suscrito por el Titular de la Unidad de Transparencia mediante el cual se refiere que se pone a disposición la información otorgada por el servidor público habilitado. </w:t>
            </w:r>
          </w:p>
          <w:p w14:paraId="47F706A5" w14:textId="77777777" w:rsidR="00FD13AC" w:rsidRPr="00C53469" w:rsidRDefault="00FD13AC" w:rsidP="00FD13AC">
            <w:pPr>
              <w:pStyle w:val="Prrafodelista"/>
              <w:rPr>
                <w:rFonts w:ascii="Palatino Linotype" w:eastAsiaTheme="minorEastAsia" w:hAnsi="Palatino Linotype" w:cstheme="minorBidi"/>
                <w:b/>
                <w:color w:val="000000" w:themeColor="text1"/>
                <w:lang w:val="es-ES_tradnl"/>
              </w:rPr>
            </w:pPr>
          </w:p>
          <w:p w14:paraId="6AC6CA18" w14:textId="32645382" w:rsidR="00FD13AC" w:rsidRPr="00C53469" w:rsidRDefault="00FD13AC" w:rsidP="00B4028D">
            <w:pPr>
              <w:tabs>
                <w:tab w:val="left" w:pos="284"/>
                <w:tab w:val="left" w:pos="426"/>
                <w:tab w:val="left" w:pos="993"/>
                <w:tab w:val="left" w:pos="1134"/>
              </w:tabs>
              <w:spacing w:line="360" w:lineRule="auto"/>
              <w:ind w:right="616"/>
              <w:contextualSpacing/>
              <w:jc w:val="both"/>
              <w:rPr>
                <w:rFonts w:ascii="Palatino Linotype" w:eastAsiaTheme="minorEastAsia" w:hAnsi="Palatino Linotype" w:cstheme="minorBidi"/>
                <w:b/>
                <w:color w:val="000000" w:themeColor="text1"/>
                <w:lang w:val="es-ES_tradnl"/>
              </w:rPr>
            </w:pPr>
            <w:r w:rsidRPr="00C53469">
              <w:rPr>
                <w:rFonts w:ascii="Palatino Linotype" w:eastAsiaTheme="minorEastAsia" w:hAnsi="Palatino Linotype" w:cstheme="minorBidi"/>
                <w:b/>
                <w:color w:val="000000" w:themeColor="text1"/>
                <w:lang w:val="es-ES_tradnl"/>
              </w:rPr>
              <w:lastRenderedPageBreak/>
              <w:t xml:space="preserve">Julio.pdf, Agosto.pdf y Junio.pdf: </w:t>
            </w:r>
            <w:r w:rsidRPr="00C53469">
              <w:rPr>
                <w:rFonts w:ascii="Palatino Linotype" w:eastAsiaTheme="minorEastAsia" w:hAnsi="Palatino Linotype" w:cstheme="minorBidi"/>
                <w:color w:val="000000" w:themeColor="text1"/>
                <w:lang w:val="es-ES_tradnl"/>
              </w:rPr>
              <w:t xml:space="preserve">Documentos electrónicos que en corresponden a los cortes de caja de los meses de junio, julio y agosto, suscritos por Coordinador de Caja General, el Síndico Municipal y la jefa de Departamento de Cajas y Oficinas Foráneas.  </w:t>
            </w:r>
          </w:p>
          <w:p w14:paraId="39FCA578" w14:textId="4A6FE0AC" w:rsidR="001C189E" w:rsidRPr="00C53469" w:rsidRDefault="001C189E" w:rsidP="00FD13AC">
            <w:pPr>
              <w:spacing w:line="360" w:lineRule="auto"/>
              <w:jc w:val="both"/>
              <w:rPr>
                <w:rFonts w:ascii="Palatino Linotype" w:eastAsia="Calibri" w:hAnsi="Palatino Linotype"/>
                <w:sz w:val="24"/>
                <w:szCs w:val="24"/>
                <w:lang w:val="es-MX"/>
              </w:rPr>
            </w:pPr>
          </w:p>
        </w:tc>
        <w:tc>
          <w:tcPr>
            <w:tcW w:w="2693" w:type="dxa"/>
            <w:shd w:val="clear" w:color="auto" w:fill="auto"/>
          </w:tcPr>
          <w:p w14:paraId="14703F16" w14:textId="64206E25" w:rsidR="00B4028D" w:rsidRPr="00C53469" w:rsidRDefault="00B4028D" w:rsidP="00B4028D">
            <w:pPr>
              <w:tabs>
                <w:tab w:val="left" w:pos="720"/>
              </w:tabs>
              <w:spacing w:line="360" w:lineRule="auto"/>
              <w:ind w:right="918"/>
              <w:contextualSpacing/>
              <w:jc w:val="both"/>
              <w:rPr>
                <w:rFonts w:ascii="Palatino Linotype" w:eastAsia="Calibri" w:hAnsi="Palatino Linotype" w:cs="Arial"/>
                <w:b/>
                <w:color w:val="000000" w:themeColor="text1"/>
              </w:rPr>
            </w:pPr>
            <w:r w:rsidRPr="00C53469">
              <w:rPr>
                <w:rFonts w:ascii="Palatino Linotype" w:eastAsia="Calibri" w:hAnsi="Palatino Linotype" w:cs="Arial"/>
                <w:b/>
                <w:color w:val="000000" w:themeColor="text1"/>
              </w:rPr>
              <w:lastRenderedPageBreak/>
              <w:t xml:space="preserve">Recurso De </w:t>
            </w:r>
            <w:r w:rsidR="00091649" w:rsidRPr="00C53469">
              <w:rPr>
                <w:rFonts w:ascii="Palatino Linotype" w:eastAsia="Calibri" w:hAnsi="Palatino Linotype" w:cs="Arial"/>
                <w:b/>
                <w:color w:val="000000" w:themeColor="text1"/>
              </w:rPr>
              <w:t>Revisión</w:t>
            </w:r>
            <w:r w:rsidRPr="00C53469">
              <w:rPr>
                <w:rFonts w:ascii="Palatino Linotype" w:eastAsia="Calibri" w:hAnsi="Palatino Linotype" w:cs="Arial"/>
                <w:b/>
                <w:color w:val="000000" w:themeColor="text1"/>
              </w:rPr>
              <w:t xml:space="preserve"> 347.pdf: </w:t>
            </w:r>
            <w:r w:rsidRPr="00C53469">
              <w:rPr>
                <w:rFonts w:ascii="Palatino Linotype" w:eastAsia="Calibri" w:hAnsi="Palatino Linotype" w:cs="Arial"/>
                <w:color w:val="000000" w:themeColor="text1"/>
              </w:rPr>
              <w:t xml:space="preserve">Documento electrónico que en tres (03) hojas contiene el informe justificado emitido por el Titular de la Unidad de Transparencia mediante el cual se confirma medularmente la respuesta </w:t>
            </w:r>
            <w:r w:rsidRPr="00C53469">
              <w:rPr>
                <w:rFonts w:ascii="Palatino Linotype" w:eastAsia="Calibri" w:hAnsi="Palatino Linotype" w:cs="Arial"/>
                <w:color w:val="000000" w:themeColor="text1"/>
              </w:rPr>
              <w:lastRenderedPageBreak/>
              <w:t xml:space="preserve">inicial y se refiere que no existe congruencia entre los motivos de inconformidad y lo solicitado.   </w:t>
            </w:r>
          </w:p>
          <w:p w14:paraId="2C64C396" w14:textId="103F8CB6" w:rsidR="00954DA7" w:rsidRPr="00C53469" w:rsidRDefault="00954DA7" w:rsidP="00B4028D">
            <w:pPr>
              <w:spacing w:line="360" w:lineRule="auto"/>
              <w:jc w:val="both"/>
              <w:rPr>
                <w:rFonts w:ascii="Palatino Linotype" w:eastAsia="Calibri" w:hAnsi="Palatino Linotype"/>
                <w:sz w:val="24"/>
                <w:szCs w:val="24"/>
                <w:lang w:val="es-MX"/>
              </w:rPr>
            </w:pPr>
          </w:p>
        </w:tc>
        <w:tc>
          <w:tcPr>
            <w:tcW w:w="1559" w:type="dxa"/>
            <w:shd w:val="clear" w:color="auto" w:fill="auto"/>
          </w:tcPr>
          <w:p w14:paraId="0059C306" w14:textId="77777777" w:rsidR="001C189E" w:rsidRPr="00C53469" w:rsidRDefault="001C189E" w:rsidP="00C373ED">
            <w:pPr>
              <w:spacing w:line="360" w:lineRule="auto"/>
              <w:jc w:val="center"/>
              <w:rPr>
                <w:rFonts w:ascii="Palatino Linotype" w:eastAsia="Calibri" w:hAnsi="Palatino Linotype"/>
                <w:sz w:val="24"/>
                <w:szCs w:val="24"/>
                <w:lang w:val="es-MX"/>
              </w:rPr>
            </w:pPr>
          </w:p>
          <w:p w14:paraId="5DFC36A7" w14:textId="77777777" w:rsidR="00B4028D" w:rsidRPr="00C53469" w:rsidRDefault="00B4028D" w:rsidP="00B4028D">
            <w:pPr>
              <w:spacing w:line="360" w:lineRule="auto"/>
              <w:jc w:val="center"/>
              <w:rPr>
                <w:rFonts w:ascii="Palatino Linotype" w:eastAsia="Calibri" w:hAnsi="Palatino Linotype"/>
                <w:b/>
                <w:sz w:val="24"/>
                <w:szCs w:val="24"/>
                <w:lang w:val="es-MX"/>
              </w:rPr>
            </w:pPr>
            <w:r w:rsidRPr="00C53469">
              <w:rPr>
                <w:rFonts w:ascii="Palatino Linotype" w:eastAsia="Calibri" w:hAnsi="Palatino Linotype"/>
                <w:b/>
                <w:sz w:val="24"/>
                <w:szCs w:val="24"/>
                <w:lang w:val="es-MX"/>
              </w:rPr>
              <w:t xml:space="preserve">Sí </w:t>
            </w:r>
          </w:p>
          <w:p w14:paraId="30B026E9" w14:textId="1064BA19" w:rsidR="001C189E" w:rsidRPr="00C53469" w:rsidRDefault="00B4028D" w:rsidP="00B4028D">
            <w:pPr>
              <w:spacing w:line="360" w:lineRule="auto"/>
              <w:jc w:val="center"/>
              <w:rPr>
                <w:rFonts w:ascii="Palatino Linotype" w:eastAsia="Calibri" w:hAnsi="Palatino Linotype"/>
                <w:b/>
                <w:sz w:val="24"/>
                <w:szCs w:val="24"/>
                <w:lang w:val="es-MX"/>
              </w:rPr>
            </w:pPr>
            <w:r w:rsidRPr="00C53469">
              <w:rPr>
                <w:rFonts w:ascii="Palatino Linotype" w:eastAsia="Calibri" w:hAnsi="Palatino Linotype"/>
                <w:b/>
                <w:szCs w:val="24"/>
                <w:lang w:val="es-MX"/>
              </w:rPr>
              <w:t>(Actos Consentidos)</w:t>
            </w:r>
            <w:r w:rsidR="00133A74" w:rsidRPr="00C53469">
              <w:rPr>
                <w:rFonts w:ascii="Palatino Linotype" w:eastAsia="Calibri" w:hAnsi="Palatino Linotype"/>
                <w:b/>
                <w:szCs w:val="24"/>
                <w:lang w:val="es-MX"/>
              </w:rPr>
              <w:t xml:space="preserve"> </w:t>
            </w:r>
          </w:p>
        </w:tc>
      </w:tr>
    </w:tbl>
    <w:p w14:paraId="7BE7DB67" w14:textId="77777777" w:rsidR="00B4028D" w:rsidRPr="00C53469" w:rsidRDefault="00B4028D" w:rsidP="00B4028D">
      <w:pPr>
        <w:tabs>
          <w:tab w:val="left" w:pos="0"/>
          <w:tab w:val="left" w:pos="426"/>
        </w:tabs>
        <w:spacing w:before="240" w:after="240" w:line="360" w:lineRule="auto"/>
        <w:ind w:right="49"/>
        <w:contextualSpacing/>
        <w:jc w:val="both"/>
        <w:rPr>
          <w:rFonts w:ascii="Palatino Linotype" w:eastAsia="MS Mincho" w:hAnsi="Palatino Linotype" w:cs="Arial"/>
          <w:lang w:val="es-MX"/>
        </w:rPr>
      </w:pPr>
      <w:bookmarkStart w:id="35" w:name="_Toc84264165"/>
    </w:p>
    <w:p w14:paraId="612458D0" w14:textId="45EEF989" w:rsidR="00117030" w:rsidRPr="00C53469" w:rsidRDefault="00C548CF" w:rsidP="006C6D2C">
      <w:pPr>
        <w:numPr>
          <w:ilvl w:val="0"/>
          <w:numId w:val="3"/>
        </w:numPr>
        <w:tabs>
          <w:tab w:val="left" w:pos="0"/>
          <w:tab w:val="left" w:pos="426"/>
        </w:tabs>
        <w:spacing w:before="240" w:after="240" w:line="360" w:lineRule="auto"/>
        <w:ind w:left="0" w:right="49" w:firstLine="0"/>
        <w:contextualSpacing/>
        <w:jc w:val="both"/>
        <w:rPr>
          <w:rFonts w:ascii="Palatino Linotype" w:eastAsia="MS Mincho" w:hAnsi="Palatino Linotype" w:cs="Arial"/>
          <w:lang w:val="es-MX"/>
        </w:rPr>
      </w:pPr>
      <w:r w:rsidRPr="00C53469">
        <w:rPr>
          <w:rFonts w:ascii="Palatino Linotype" w:eastAsia="MS Mincho" w:hAnsi="Palatino Linotype" w:cs="Arial"/>
          <w:color w:val="000000"/>
          <w:lang w:val="es-ES_tradnl"/>
        </w:rPr>
        <w:t>Así las cosas, este Instituto de Transparencia, de conformidad con los principios de eficacia y profesionalismo</w:t>
      </w:r>
      <w:r w:rsidRPr="00C53469">
        <w:rPr>
          <w:rStyle w:val="Refdenotaalpie"/>
          <w:rFonts w:ascii="Palatino Linotype" w:eastAsia="MS Mincho" w:hAnsi="Palatino Linotype" w:cs="Arial"/>
          <w:color w:val="000000"/>
          <w:lang w:val="es-ES_tradnl"/>
        </w:rPr>
        <w:footnoteReference w:id="5"/>
      </w:r>
      <w:r w:rsidRPr="00C53469">
        <w:rPr>
          <w:rFonts w:ascii="Palatino Linotype" w:eastAsia="MS Mincho" w:hAnsi="Palatino Linotype" w:cs="Arial"/>
          <w:color w:val="000000"/>
          <w:lang w:val="es-ES_tradnl"/>
        </w:rPr>
        <w:t xml:space="preserve">, procederá a verificar la información remitida por el </w:t>
      </w:r>
      <w:r w:rsidRPr="00C53469">
        <w:rPr>
          <w:rFonts w:ascii="Palatino Linotype" w:eastAsia="MS Mincho" w:hAnsi="Palatino Linotype" w:cs="Arial"/>
          <w:b/>
          <w:color w:val="000000"/>
          <w:lang w:val="es-ES_tradnl"/>
        </w:rPr>
        <w:lastRenderedPageBreak/>
        <w:t>SUJETO OBLIGADO y</w:t>
      </w:r>
      <w:r w:rsidRPr="00C53469">
        <w:rPr>
          <w:rFonts w:ascii="Palatino Linotype" w:eastAsia="MS Mincho" w:hAnsi="Palatino Linotype" w:cs="Arial"/>
          <w:color w:val="000000"/>
          <w:lang w:val="es-ES_tradnl"/>
        </w:rPr>
        <w:t xml:space="preserve"> las manifestaciones realizadas por el </w:t>
      </w:r>
      <w:r w:rsidRPr="00C53469">
        <w:rPr>
          <w:rFonts w:ascii="Palatino Linotype" w:eastAsia="MS Mincho" w:hAnsi="Palatino Linotype" w:cs="Arial"/>
          <w:b/>
          <w:color w:val="000000"/>
          <w:lang w:val="es-ES_tradnl"/>
        </w:rPr>
        <w:t xml:space="preserve">SOLICTANTE </w:t>
      </w:r>
      <w:r w:rsidRPr="00C53469">
        <w:rPr>
          <w:rFonts w:ascii="Palatino Linotype" w:eastAsia="MS Mincho" w:hAnsi="Palatino Linotype" w:cs="Arial"/>
          <w:color w:val="000000"/>
          <w:lang w:val="es-ES_tradnl"/>
        </w:rPr>
        <w:t xml:space="preserve">a efecto de determinar </w:t>
      </w:r>
      <w:bookmarkEnd w:id="35"/>
      <w:r w:rsidR="002E2669" w:rsidRPr="00C53469">
        <w:rPr>
          <w:rFonts w:ascii="Palatino Linotype" w:eastAsia="MS Mincho" w:hAnsi="Palatino Linotype" w:cs="Arial"/>
          <w:color w:val="000000"/>
          <w:lang w:val="es-ES_tradnl"/>
        </w:rPr>
        <w:t xml:space="preserve">si la información remitida se encuentra apegada a lo que establece la Ley en materia de transparencia. </w:t>
      </w:r>
    </w:p>
    <w:p w14:paraId="214416C5" w14:textId="2373E743" w:rsidR="00674B40" w:rsidRPr="00C53469" w:rsidRDefault="00674B40" w:rsidP="00C373ED">
      <w:pPr>
        <w:spacing w:line="360" w:lineRule="auto"/>
        <w:rPr>
          <w:rFonts w:ascii="Palatino Linotype" w:hAnsi="Palatino Linotype"/>
          <w:lang w:val="es-MX" w:eastAsia="en-US"/>
        </w:rPr>
      </w:pPr>
    </w:p>
    <w:p w14:paraId="02D8E014" w14:textId="1142F438" w:rsidR="00932556" w:rsidRPr="00C53469" w:rsidRDefault="009E5D5B" w:rsidP="006C6D2C">
      <w:pPr>
        <w:pStyle w:val="Prrafodelista"/>
        <w:numPr>
          <w:ilvl w:val="0"/>
          <w:numId w:val="3"/>
        </w:numPr>
        <w:spacing w:after="160" w:line="360" w:lineRule="auto"/>
        <w:ind w:left="0" w:firstLine="0"/>
        <w:contextualSpacing/>
        <w:jc w:val="both"/>
        <w:rPr>
          <w:rFonts w:ascii="Palatino Linotype" w:eastAsia="MS Mincho" w:hAnsi="Palatino Linotype" w:cs="Arial"/>
          <w:i/>
          <w:lang w:val="es-MX"/>
        </w:rPr>
      </w:pPr>
      <w:r w:rsidRPr="00C53469">
        <w:rPr>
          <w:rFonts w:ascii="Palatino Linotype" w:eastAsia="MS Mincho" w:hAnsi="Palatino Linotype" w:cs="Arial"/>
          <w:lang w:val="es-MX"/>
        </w:rPr>
        <w:t>Así las cosas</w:t>
      </w:r>
      <w:r w:rsidR="00932556" w:rsidRPr="00C53469">
        <w:rPr>
          <w:rFonts w:ascii="Palatino Linotype" w:eastAsia="MS Mincho" w:hAnsi="Palatino Linotype" w:cs="Arial"/>
          <w:lang w:val="es-MX"/>
        </w:rPr>
        <w:t xml:space="preserve">, el </w:t>
      </w:r>
      <w:r w:rsidR="00932556" w:rsidRPr="00C53469">
        <w:rPr>
          <w:rFonts w:ascii="Palatino Linotype" w:eastAsia="MS Mincho" w:hAnsi="Palatino Linotype" w:cs="Arial"/>
          <w:b/>
          <w:lang w:val="es-MX"/>
        </w:rPr>
        <w:t xml:space="preserve">SUJETO OBLIGADO, </w:t>
      </w:r>
      <w:r w:rsidR="00932556" w:rsidRPr="00C53469">
        <w:rPr>
          <w:rFonts w:ascii="Palatino Linotype" w:eastAsia="MS Mincho" w:hAnsi="Palatino Linotype" w:cs="Arial"/>
          <w:lang w:val="es-MX"/>
        </w:rPr>
        <w:t xml:space="preserve">realizó entrega diversas documentales denominadas </w:t>
      </w:r>
      <w:r w:rsidR="00E7088B" w:rsidRPr="00C53469">
        <w:rPr>
          <w:rFonts w:ascii="Palatino Linotype" w:eastAsia="MS Mincho" w:hAnsi="Palatino Linotype" w:cs="Arial"/>
          <w:lang w:val="es-MX"/>
        </w:rPr>
        <w:t>“Consolidado de Cortes de Caja”</w:t>
      </w:r>
      <w:r w:rsidR="00932556" w:rsidRPr="00C53469">
        <w:rPr>
          <w:rFonts w:ascii="Palatino Linotype" w:eastAsia="MS Mincho" w:hAnsi="Palatino Linotype" w:cs="Arial"/>
          <w:lang w:val="es-MX"/>
        </w:rPr>
        <w:t>, no obstante,</w:t>
      </w:r>
      <w:r w:rsidR="00E7088B" w:rsidRPr="00C53469">
        <w:rPr>
          <w:rFonts w:ascii="Palatino Linotype" w:eastAsia="MS Mincho" w:hAnsi="Palatino Linotype" w:cs="Arial"/>
          <w:lang w:val="es-MX"/>
        </w:rPr>
        <w:t xml:space="preserve"> e </w:t>
      </w:r>
      <w:r w:rsidR="00932556" w:rsidRPr="00C53469">
        <w:rPr>
          <w:rFonts w:ascii="Palatino Linotype" w:eastAsia="MS Mincho" w:hAnsi="Palatino Linotype" w:cs="Arial"/>
          <w:i/>
          <w:lang w:val="es-MX"/>
        </w:rPr>
        <w:t>i</w:t>
      </w:r>
      <w:proofErr w:type="spellStart"/>
      <w:r w:rsidR="00932556" w:rsidRPr="00C53469">
        <w:rPr>
          <w:rFonts w:ascii="Palatino Linotype" w:eastAsiaTheme="minorEastAsia" w:hAnsi="Palatino Linotype" w:cs="Arial"/>
          <w:lang w:val="es-ES_tradnl"/>
        </w:rPr>
        <w:t>nconforme</w:t>
      </w:r>
      <w:proofErr w:type="spellEnd"/>
      <w:r w:rsidR="00932556" w:rsidRPr="00C53469">
        <w:rPr>
          <w:rFonts w:ascii="Palatino Linotype" w:eastAsiaTheme="minorEastAsia" w:hAnsi="Palatino Linotype" w:cs="Arial"/>
          <w:lang w:val="es-ES_tradnl"/>
        </w:rPr>
        <w:t xml:space="preserve"> con la respuesta el particular presentó el Recurso de Revisión de mérito, en el que señaló como inconformidad “</w:t>
      </w:r>
      <w:r w:rsidR="00E7088B" w:rsidRPr="00C53469">
        <w:rPr>
          <w:rFonts w:ascii="Palatino Linotype" w:eastAsia="MS Mincho" w:hAnsi="Palatino Linotype" w:cs="Arial"/>
          <w:i/>
          <w:lang w:val="es-MX"/>
        </w:rPr>
        <w:t>Se le olvidó anexar los contratos, que casualidad, tenga su amable recurso de revisión</w:t>
      </w:r>
      <w:r w:rsidR="00932556" w:rsidRPr="00C53469">
        <w:rPr>
          <w:rFonts w:ascii="Palatino Linotype" w:eastAsia="MS Mincho" w:hAnsi="Palatino Linotype" w:cs="Arial"/>
          <w:i/>
          <w:lang w:val="es-MX"/>
        </w:rPr>
        <w:t>” (Sic</w:t>
      </w:r>
      <w:proofErr w:type="gramStart"/>
      <w:r w:rsidR="00932556" w:rsidRPr="00C53469">
        <w:rPr>
          <w:rFonts w:ascii="Palatino Linotype" w:eastAsia="MS Mincho" w:hAnsi="Palatino Linotype" w:cs="Arial"/>
          <w:i/>
          <w:lang w:val="es-MX"/>
        </w:rPr>
        <w:t xml:space="preserve">) </w:t>
      </w:r>
      <w:r w:rsidR="00932556" w:rsidRPr="00C53469">
        <w:rPr>
          <w:rFonts w:ascii="Palatino Linotype" w:eastAsiaTheme="minorEastAsia" w:hAnsi="Palatino Linotype" w:cs="Arial"/>
          <w:lang w:val="es-ES_tradnl"/>
        </w:rPr>
        <w:t>,</w:t>
      </w:r>
      <w:proofErr w:type="gramEnd"/>
      <w:r w:rsidR="00932556" w:rsidRPr="00C53469">
        <w:rPr>
          <w:rFonts w:ascii="Palatino Linotype" w:eastAsiaTheme="minorEastAsia" w:hAnsi="Palatino Linotype" w:cs="Arial"/>
          <w:lang w:val="es-ES_tradnl"/>
        </w:rPr>
        <w:t xml:space="preserve"> en ese sentido, es necesario señalar que el resto de la información remitida </w:t>
      </w:r>
      <w:r w:rsidR="00932556" w:rsidRPr="00C53469">
        <w:rPr>
          <w:rFonts w:ascii="Palatino Linotype" w:eastAsiaTheme="minorEastAsia" w:hAnsi="Palatino Linotype" w:cs="Arial"/>
          <w:lang w:val="es-MX"/>
        </w:rPr>
        <w:t xml:space="preserve">debe entenderse como consentida por el </w:t>
      </w:r>
      <w:r w:rsidR="00932556" w:rsidRPr="00C53469">
        <w:rPr>
          <w:rFonts w:ascii="Palatino Linotype" w:eastAsiaTheme="minorEastAsia" w:hAnsi="Palatino Linotype" w:cs="Arial"/>
          <w:b/>
          <w:bCs/>
          <w:lang w:val="es-MX"/>
        </w:rPr>
        <w:t>RECURRENTE</w:t>
      </w:r>
      <w:r w:rsidR="00932556" w:rsidRPr="00C53469">
        <w:rPr>
          <w:rFonts w:ascii="Palatino Linotype" w:eastAsiaTheme="minorEastAsia" w:hAnsi="Palatino Linotype" w:cs="Arial"/>
          <w:lang w:val="es-MX"/>
        </w:rPr>
        <w:t>.</w:t>
      </w:r>
    </w:p>
    <w:p w14:paraId="55190554" w14:textId="77777777" w:rsidR="00932556" w:rsidRPr="00C53469" w:rsidRDefault="00932556" w:rsidP="00932556">
      <w:pPr>
        <w:spacing w:after="160" w:line="360" w:lineRule="auto"/>
        <w:contextualSpacing/>
        <w:jc w:val="both"/>
        <w:rPr>
          <w:rFonts w:ascii="Palatino Linotype" w:eastAsia="MS Mincho" w:hAnsi="Palatino Linotype" w:cs="Arial"/>
          <w:i/>
          <w:lang w:val="es-MX"/>
        </w:rPr>
      </w:pPr>
    </w:p>
    <w:p w14:paraId="3BEE4BD9" w14:textId="603ACD66" w:rsidR="00932556" w:rsidRPr="00C53469" w:rsidRDefault="00932556" w:rsidP="006C6D2C">
      <w:pPr>
        <w:numPr>
          <w:ilvl w:val="0"/>
          <w:numId w:val="3"/>
        </w:numPr>
        <w:spacing w:after="160" w:line="360" w:lineRule="auto"/>
        <w:ind w:left="0" w:firstLine="0"/>
        <w:contextualSpacing/>
        <w:jc w:val="both"/>
        <w:rPr>
          <w:rFonts w:ascii="Palatino Linotype" w:eastAsia="MS Mincho" w:hAnsi="Palatino Linotype" w:cs="Arial"/>
          <w:i/>
          <w:lang w:val="es-MX"/>
        </w:rPr>
      </w:pPr>
      <w:r w:rsidRPr="00C53469">
        <w:rPr>
          <w:rFonts w:ascii="Palatino Linotype" w:hAnsi="Palatino Linotype" w:cs="Arial"/>
          <w:lang w:val="es-MX"/>
        </w:rPr>
        <w:t>Ello es así, debido a que cuando el solicitante no expresa razón o motivo de inconformidad en contra de todos los rubros de la respuesta que pudieran ser un agravio a su derecho</w:t>
      </w:r>
      <w:r w:rsidR="00E7088B" w:rsidRPr="00C53469">
        <w:rPr>
          <w:rFonts w:ascii="Palatino Linotype" w:hAnsi="Palatino Linotype" w:cs="Arial"/>
          <w:lang w:val="es-MX"/>
        </w:rPr>
        <w:t>, como lo pudieran ser los referidos cortes de caja</w:t>
      </w:r>
      <w:r w:rsidRPr="00C53469">
        <w:rPr>
          <w:rFonts w:ascii="Palatino Linotype" w:hAnsi="Palatino Linotype" w:cs="Arial"/>
          <w:lang w:val="es-MX"/>
        </w:rPr>
        <w:t xml:space="preserve">, </w:t>
      </w:r>
      <w:r w:rsidR="00E7088B" w:rsidRPr="00C53469">
        <w:rPr>
          <w:rFonts w:ascii="Palatino Linotype" w:hAnsi="Palatino Linotype" w:cs="Arial"/>
          <w:lang w:val="es-MX"/>
        </w:rPr>
        <w:t xml:space="preserve">por lo que </w:t>
      </w:r>
      <w:r w:rsidRPr="00C53469">
        <w:rPr>
          <w:rFonts w:ascii="Palatino Linotype" w:hAnsi="Palatino Linotype" w:cs="Arial"/>
          <w:lang w:val="es-MX"/>
        </w:rPr>
        <w:t>los mismos deben estimarse atendidos. Sirve de apoyo a lo anterior, por analogía, la Tesis Jurisprudencial Número 3ª./J.7/91, publicada en el Semanario Judicial de la Federación y su Gaceta bajo el número de registro 174,177, que establece lo siguiente:</w:t>
      </w:r>
    </w:p>
    <w:p w14:paraId="3FE096A1" w14:textId="77777777" w:rsidR="00932556" w:rsidRPr="00C53469" w:rsidRDefault="00932556" w:rsidP="00932556">
      <w:pPr>
        <w:tabs>
          <w:tab w:val="left" w:pos="426"/>
        </w:tabs>
        <w:spacing w:before="240" w:line="360" w:lineRule="auto"/>
        <w:ind w:right="51"/>
        <w:contextualSpacing/>
        <w:jc w:val="both"/>
        <w:rPr>
          <w:rFonts w:ascii="Palatino Linotype" w:eastAsiaTheme="minorEastAsia" w:hAnsi="Palatino Linotype" w:cstheme="minorBidi"/>
          <w:color w:val="000000" w:themeColor="text1"/>
          <w:lang w:val="es-MX"/>
        </w:rPr>
      </w:pPr>
    </w:p>
    <w:p w14:paraId="25FF6D51" w14:textId="77777777" w:rsidR="00932556" w:rsidRPr="00C53469" w:rsidRDefault="00932556" w:rsidP="00932556">
      <w:pPr>
        <w:spacing w:line="360" w:lineRule="auto"/>
        <w:ind w:left="567" w:right="567"/>
        <w:jc w:val="both"/>
        <w:rPr>
          <w:rFonts w:ascii="Palatino Linotype" w:eastAsiaTheme="minorEastAsia" w:hAnsi="Palatino Linotype" w:cs="Arial"/>
          <w:i/>
          <w:lang w:val="es-MX" w:eastAsia="es-MX"/>
        </w:rPr>
      </w:pPr>
      <w:r w:rsidRPr="00C53469">
        <w:rPr>
          <w:rFonts w:ascii="Palatino Linotype" w:eastAsiaTheme="minorEastAsia" w:hAnsi="Palatino Linotype" w:cs="Arial"/>
          <w:b/>
          <w:i/>
          <w:lang w:val="es-MX" w:eastAsia="es-MX"/>
        </w:rPr>
        <w:t>REVISIÓN EN AMPARO. LOS RESOLUTIVOS NO COMBATIDOS DEBEN DECLARARSE FIRMES</w:t>
      </w:r>
      <w:r w:rsidRPr="00C53469">
        <w:rPr>
          <w:rFonts w:ascii="Palatino Linotype" w:eastAsiaTheme="minorEastAsia" w:hAnsi="Palatino Linotype" w:cs="Arial"/>
          <w:i/>
          <w:lang w:val="es-MX" w:eastAsia="es-MX"/>
        </w:rPr>
        <w:t xml:space="preserve">. “Cuando algún resolutivo de la sentencia impugnada afecta a la recurrente, y ésta no expresa agravio en contra de las </w:t>
      </w:r>
      <w:r w:rsidRPr="00C53469">
        <w:rPr>
          <w:rFonts w:ascii="Palatino Linotype" w:eastAsiaTheme="minorEastAsia" w:hAnsi="Palatino Linotype" w:cs="Arial"/>
          <w:i/>
          <w:lang w:val="es-MX" w:eastAsia="es-MX"/>
        </w:rPr>
        <w:lastRenderedPageBreak/>
        <w:t>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53117333" w14:textId="77777777" w:rsidR="00932556" w:rsidRPr="00C53469" w:rsidRDefault="00932556" w:rsidP="00932556">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5F7D3CE6" w14:textId="77777777" w:rsidR="00932556" w:rsidRPr="00C53469" w:rsidRDefault="00932556" w:rsidP="006C6D2C">
      <w:pPr>
        <w:numPr>
          <w:ilvl w:val="0"/>
          <w:numId w:val="3"/>
        </w:numPr>
        <w:tabs>
          <w:tab w:val="left" w:pos="0"/>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C53469">
        <w:rPr>
          <w:rFonts w:ascii="Palatino Linotype" w:eastAsiaTheme="minorEastAsia" w:hAnsi="Palatino Linotype" w:cstheme="minorBidi"/>
          <w:color w:val="000000" w:themeColor="text1"/>
          <w:lang w:val="es-MX"/>
        </w:rPr>
        <w:t xml:space="preserve">Luego entonces, </w:t>
      </w:r>
      <w:r w:rsidRPr="00C53469">
        <w:rPr>
          <w:rFonts w:ascii="Palatino Linotype" w:hAnsi="Palatino Linotype" w:cs="Arial"/>
          <w:lang w:val="es-MX"/>
        </w:rPr>
        <w:t xml:space="preserve">la parte de la solicitud sobre la que no se expresó inconformidad, debe declararse consentida por el hoy </w:t>
      </w:r>
      <w:r w:rsidRPr="00C53469">
        <w:rPr>
          <w:rFonts w:ascii="Palatino Linotype" w:hAnsi="Palatino Linotype" w:cs="Arial"/>
          <w:b/>
          <w:lang w:val="es-MX"/>
        </w:rPr>
        <w:t>RECURRENTE</w:t>
      </w:r>
      <w:r w:rsidRPr="00C53469">
        <w:rPr>
          <w:rFonts w:ascii="Palatino Linotype" w:hAnsi="Palatino Linotype" w:cs="Arial"/>
          <w:lang w:val="es-MX"/>
        </w:rPr>
        <w:t>, ya que no pueden producirse efectos jurídicos tendentes a revocar, confirmar o modificar la parte de la respuesta con relación a la parte de la solicitud que no fue motivo de disenso ya que se infiere un consentimiento del particular ante la falta de impugnación eficaz. Sirve de sustento a lo anterior, por analogía, la tesis jurisprudencial número VI.3o.C. J/60, publicada en el Semanario Judicial de la Federación y su Gaceta bajo el número de registro 176,608 que a la letra dice:</w:t>
      </w:r>
    </w:p>
    <w:p w14:paraId="6296276F" w14:textId="77777777" w:rsidR="00932556" w:rsidRPr="00C53469" w:rsidRDefault="00932556" w:rsidP="00932556">
      <w:pPr>
        <w:tabs>
          <w:tab w:val="left" w:pos="426"/>
        </w:tabs>
        <w:spacing w:before="240" w:line="360" w:lineRule="auto"/>
        <w:ind w:right="51"/>
        <w:contextualSpacing/>
        <w:jc w:val="both"/>
        <w:rPr>
          <w:rFonts w:ascii="Palatino Linotype" w:eastAsiaTheme="minorEastAsia" w:hAnsi="Palatino Linotype" w:cstheme="minorBidi"/>
          <w:color w:val="000000" w:themeColor="text1"/>
          <w:lang w:val="es-MX"/>
        </w:rPr>
      </w:pPr>
    </w:p>
    <w:p w14:paraId="3573AC09" w14:textId="77777777" w:rsidR="00932556" w:rsidRPr="00C53469" w:rsidRDefault="00932556" w:rsidP="00932556">
      <w:pPr>
        <w:spacing w:line="360" w:lineRule="auto"/>
        <w:ind w:left="567" w:right="567"/>
        <w:jc w:val="both"/>
        <w:rPr>
          <w:rFonts w:ascii="Palatino Linotype" w:eastAsiaTheme="minorEastAsia" w:hAnsi="Palatino Linotype" w:cs="Arial"/>
          <w:i/>
          <w:lang w:val="es-MX" w:eastAsia="es-MX"/>
        </w:rPr>
      </w:pPr>
      <w:r w:rsidRPr="00C53469">
        <w:rPr>
          <w:rFonts w:ascii="Palatino Linotype" w:eastAsiaTheme="minorEastAsia" w:hAnsi="Palatino Linotype" w:cs="Arial"/>
          <w:b/>
          <w:i/>
          <w:lang w:val="es-MX" w:eastAsia="es-MX"/>
        </w:rPr>
        <w:t>ACTOS CONSENTIDOS. SON LOS QUE NO SE IMPUGNAN MEDIANTE EL RECURSO IDÓNEO</w:t>
      </w:r>
      <w:r w:rsidRPr="00C53469">
        <w:rPr>
          <w:rFonts w:ascii="Palatino Linotype" w:eastAsiaTheme="minorEastAsia" w:hAnsi="Palatino Linotype" w:cs="Arial"/>
          <w:i/>
          <w:lang w:val="es-MX" w:eastAsia="es-MX"/>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7B2926AB" w14:textId="7108BEDF" w:rsidR="00932556" w:rsidRPr="00C53469" w:rsidRDefault="00932556" w:rsidP="00C373ED">
      <w:pPr>
        <w:spacing w:line="360" w:lineRule="auto"/>
        <w:rPr>
          <w:rFonts w:ascii="Palatino Linotype" w:hAnsi="Palatino Linotype"/>
          <w:lang w:val="es-MX" w:eastAsia="en-US"/>
        </w:rPr>
      </w:pPr>
    </w:p>
    <w:p w14:paraId="17A1AAAA" w14:textId="560F511A" w:rsidR="007D4EB8" w:rsidRPr="00C53469" w:rsidRDefault="00E7088B" w:rsidP="007D4EB8">
      <w:pPr>
        <w:numPr>
          <w:ilvl w:val="0"/>
          <w:numId w:val="6"/>
        </w:numPr>
        <w:spacing w:before="240" w:after="360" w:line="360" w:lineRule="auto"/>
        <w:ind w:left="0" w:firstLine="0"/>
        <w:contextualSpacing/>
        <w:jc w:val="both"/>
        <w:rPr>
          <w:rFonts w:ascii="Palatino Linotype" w:eastAsia="MS Mincho" w:hAnsi="Palatino Linotype" w:cs="Arial"/>
          <w:lang w:val="es-ES_tradnl"/>
        </w:rPr>
      </w:pPr>
      <w:r w:rsidRPr="00C53469">
        <w:rPr>
          <w:rFonts w:ascii="Palatino Linotype" w:eastAsia="Cambria" w:hAnsi="Palatino Linotype" w:cs="Arial"/>
          <w:lang w:val="es-MX" w:eastAsia="en-US"/>
        </w:rPr>
        <w:lastRenderedPageBreak/>
        <w:t>Precisado lo anterior</w:t>
      </w:r>
      <w:r w:rsidR="00C308E5" w:rsidRPr="00C53469">
        <w:rPr>
          <w:rFonts w:ascii="Palatino Linotype" w:eastAsia="MS Mincho" w:hAnsi="Palatino Linotype" w:cs="Arial"/>
          <w:lang w:val="es-ES_tradnl"/>
        </w:rPr>
        <w:t>,</w:t>
      </w:r>
      <w:r w:rsidR="00D355A0" w:rsidRPr="00C53469">
        <w:rPr>
          <w:rFonts w:ascii="Palatino Linotype" w:eastAsia="MS Mincho" w:hAnsi="Palatino Linotype" w:cs="Arial"/>
          <w:lang w:val="es-ES_tradnl"/>
        </w:rPr>
        <w:t xml:space="preserve"> </w:t>
      </w:r>
      <w:r w:rsidR="007D4EB8" w:rsidRPr="00C53469">
        <w:rPr>
          <w:rFonts w:ascii="Palatino Linotype" w:eastAsia="MS Mincho" w:hAnsi="Palatino Linotype" w:cs="Arial"/>
          <w:lang w:val="es-ES_tradnl"/>
        </w:rPr>
        <w:t xml:space="preserve">y si bien el recurso revisión tiene como finalidad reparar cualquier posible afectación al derecho de acceso a la información pública en términos del Título Octavo de la Ley de Transparencia, Acceso a la Información Pública del Estado de México y Municipios, y determinar la confirmación; revocación o modificación; </w:t>
      </w:r>
      <w:proofErr w:type="spellStart"/>
      <w:r w:rsidR="007D4EB8" w:rsidRPr="00C53469">
        <w:rPr>
          <w:rFonts w:ascii="Palatino Linotype" w:eastAsia="MS Mincho" w:hAnsi="Palatino Linotype" w:cs="Arial"/>
          <w:lang w:val="es-ES_tradnl"/>
        </w:rPr>
        <w:t>desechamiento</w:t>
      </w:r>
      <w:proofErr w:type="spellEnd"/>
      <w:r w:rsidR="007D4EB8" w:rsidRPr="00C53469">
        <w:rPr>
          <w:rFonts w:ascii="Palatino Linotype" w:eastAsia="MS Mincho" w:hAnsi="Palatino Linotype" w:cs="Arial"/>
          <w:lang w:val="es-ES_tradnl"/>
        </w:rPr>
        <w:t xml:space="preserve"> o sobreseimiento; y, en su caso, ordenar la entrega de la información respecto a la respuesta emitida por el </w:t>
      </w:r>
      <w:r w:rsidR="007D4EB8" w:rsidRPr="00C53469">
        <w:rPr>
          <w:rFonts w:ascii="Palatino Linotype" w:eastAsia="MS Mincho" w:hAnsi="Palatino Linotype" w:cs="Arial"/>
          <w:b/>
          <w:lang w:val="es-ES_tradnl"/>
        </w:rPr>
        <w:t>SUJETO OBLIGADO</w:t>
      </w:r>
      <w:r w:rsidR="007D4EB8" w:rsidRPr="00C53469">
        <w:rPr>
          <w:rFonts w:ascii="Palatino Linotype" w:eastAsia="MS Mincho" w:hAnsi="Palatino Linotype" w:cs="Arial"/>
          <w:lang w:val="es-ES_tradnl"/>
        </w:rPr>
        <w:t xml:space="preserve">, lo cierto, es que este Órgano Garante advierte que </w:t>
      </w:r>
      <w:r w:rsidR="007D4EB8" w:rsidRPr="00C53469">
        <w:rPr>
          <w:rFonts w:ascii="Palatino Linotype" w:hAnsi="Palatino Linotype"/>
          <w:color w:val="000000" w:themeColor="text1"/>
        </w:rPr>
        <w:t xml:space="preserve">se actualiza la causal de sobreseimiento prevista en la fracción IV del artículo 192 </w:t>
      </w:r>
      <w:r w:rsidR="007D4EB8" w:rsidRPr="00C53469">
        <w:rPr>
          <w:rFonts w:ascii="Palatino Linotype" w:hAnsi="Palatino Linotype" w:cs="Arial"/>
          <w:lang w:val="es-ES_tradnl"/>
        </w:rPr>
        <w:t xml:space="preserve">de la </w:t>
      </w:r>
      <w:r w:rsidR="007D4EB8" w:rsidRPr="00C53469">
        <w:rPr>
          <w:rFonts w:ascii="Palatino Linotype" w:hAnsi="Palatino Linotype"/>
        </w:rPr>
        <w:t>Ley de Transparencia y Acceso a la Información Pública del Estado de México y Municipios en relación con el artículo 191 fracción III, como se expone a continuación:</w:t>
      </w:r>
    </w:p>
    <w:p w14:paraId="2EFF159E" w14:textId="77777777" w:rsidR="007D4EB8" w:rsidRPr="00C53469" w:rsidRDefault="007D4EB8" w:rsidP="00C373ED">
      <w:pPr>
        <w:pStyle w:val="Prrafodelista"/>
        <w:spacing w:line="360" w:lineRule="auto"/>
        <w:rPr>
          <w:rFonts w:ascii="Palatino Linotype" w:eastAsia="MS Mincho" w:hAnsi="Palatino Linotype" w:cs="Arial"/>
          <w:lang w:val="es-ES_tradnl"/>
        </w:rPr>
      </w:pPr>
    </w:p>
    <w:p w14:paraId="7EC96140" w14:textId="330D2F42" w:rsidR="00D355A0" w:rsidRPr="00C53469" w:rsidRDefault="00D355A0" w:rsidP="00C373ED">
      <w:pPr>
        <w:tabs>
          <w:tab w:val="left" w:pos="284"/>
          <w:tab w:val="left" w:pos="426"/>
          <w:tab w:val="left" w:pos="720"/>
        </w:tabs>
        <w:spacing w:before="240" w:after="240" w:line="360" w:lineRule="auto"/>
        <w:ind w:left="720" w:right="1008"/>
        <w:contextualSpacing/>
        <w:jc w:val="both"/>
        <w:rPr>
          <w:rFonts w:ascii="Palatino Linotype" w:eastAsia="MS Mincho" w:hAnsi="Palatino Linotype" w:cs="Arial"/>
          <w:i/>
        </w:rPr>
      </w:pPr>
      <w:r w:rsidRPr="00C53469">
        <w:rPr>
          <w:rFonts w:ascii="Palatino Linotype" w:eastAsia="MS Mincho" w:hAnsi="Palatino Linotype" w:cs="Arial"/>
          <w:b/>
          <w:i/>
        </w:rPr>
        <w:t>“Artículo 191</w:t>
      </w:r>
      <w:r w:rsidRPr="00C53469">
        <w:rPr>
          <w:rFonts w:ascii="Palatino Linotype" w:eastAsia="MS Mincho" w:hAnsi="Palatino Linotype" w:cs="Arial"/>
          <w:i/>
        </w:rPr>
        <w:t>. El recurso será desechado por improcedente cuando:</w:t>
      </w:r>
    </w:p>
    <w:p w14:paraId="10CA7109" w14:textId="541BE9E2" w:rsidR="00D355A0" w:rsidRPr="00C53469" w:rsidRDefault="00D355A0" w:rsidP="00073D0F">
      <w:pPr>
        <w:tabs>
          <w:tab w:val="left" w:pos="284"/>
          <w:tab w:val="left" w:pos="426"/>
          <w:tab w:val="left" w:pos="720"/>
        </w:tabs>
        <w:spacing w:before="240" w:after="240" w:line="360" w:lineRule="auto"/>
        <w:ind w:left="720" w:right="1008"/>
        <w:contextualSpacing/>
        <w:jc w:val="both"/>
        <w:rPr>
          <w:rFonts w:ascii="Palatino Linotype" w:eastAsia="MS Mincho" w:hAnsi="Palatino Linotype" w:cs="Arial"/>
          <w:i/>
        </w:rPr>
      </w:pPr>
      <w:r w:rsidRPr="00C53469">
        <w:rPr>
          <w:rFonts w:ascii="Palatino Linotype" w:eastAsia="MS Mincho" w:hAnsi="Palatino Linotype" w:cs="Arial"/>
          <w:i/>
        </w:rPr>
        <w:t>(…)</w:t>
      </w:r>
    </w:p>
    <w:p w14:paraId="5C06F5CC" w14:textId="0A69E9BB" w:rsidR="00D25979" w:rsidRPr="00C53469" w:rsidRDefault="007D4EB8" w:rsidP="00C373ED">
      <w:pPr>
        <w:tabs>
          <w:tab w:val="left" w:pos="284"/>
          <w:tab w:val="left" w:pos="426"/>
          <w:tab w:val="left" w:pos="720"/>
        </w:tabs>
        <w:spacing w:before="240" w:after="240" w:line="360" w:lineRule="auto"/>
        <w:ind w:left="720" w:right="1008"/>
        <w:contextualSpacing/>
        <w:jc w:val="both"/>
        <w:rPr>
          <w:rFonts w:ascii="Palatino Linotype" w:eastAsia="MS Mincho" w:hAnsi="Palatino Linotype" w:cs="Arial"/>
          <w:i/>
        </w:rPr>
      </w:pPr>
      <w:r w:rsidRPr="00C53469">
        <w:rPr>
          <w:rFonts w:ascii="Palatino Linotype" w:eastAsia="MS Mincho" w:hAnsi="Palatino Linotype" w:cs="Arial"/>
          <w:i/>
        </w:rPr>
        <w:t>III. No actualice alguno de los supuestos previstos en la presente Ley;</w:t>
      </w:r>
    </w:p>
    <w:p w14:paraId="21BAB3C0" w14:textId="24513FBD" w:rsidR="00D355A0" w:rsidRPr="00C53469" w:rsidRDefault="00D25979" w:rsidP="00C373ED">
      <w:pPr>
        <w:tabs>
          <w:tab w:val="left" w:pos="284"/>
          <w:tab w:val="left" w:pos="426"/>
          <w:tab w:val="left" w:pos="720"/>
        </w:tabs>
        <w:spacing w:before="240" w:after="240" w:line="360" w:lineRule="auto"/>
        <w:ind w:left="720" w:right="1008"/>
        <w:contextualSpacing/>
        <w:jc w:val="both"/>
        <w:rPr>
          <w:rFonts w:ascii="Palatino Linotype" w:eastAsia="MS Mincho" w:hAnsi="Palatino Linotype" w:cs="Arial"/>
          <w:i/>
          <w:lang w:val="es-ES_tradnl"/>
        </w:rPr>
      </w:pPr>
      <w:r w:rsidRPr="00C53469">
        <w:rPr>
          <w:rFonts w:ascii="Palatino Linotype" w:eastAsia="MS Mincho" w:hAnsi="Palatino Linotype" w:cs="Arial"/>
          <w:i/>
          <w:lang w:val="es-ES_tradnl"/>
        </w:rPr>
        <w:t xml:space="preserve"> </w:t>
      </w:r>
      <w:r w:rsidR="00D355A0" w:rsidRPr="00C53469">
        <w:rPr>
          <w:rFonts w:ascii="Palatino Linotype" w:eastAsia="MS Mincho" w:hAnsi="Palatino Linotype" w:cs="Arial"/>
          <w:i/>
          <w:lang w:val="es-ES_tradnl"/>
        </w:rPr>
        <w:t>(…)</w:t>
      </w:r>
    </w:p>
    <w:p w14:paraId="02C83A32" w14:textId="77777777" w:rsidR="00D355A0" w:rsidRPr="00C53469" w:rsidRDefault="00D355A0" w:rsidP="00C373ED">
      <w:pPr>
        <w:tabs>
          <w:tab w:val="left" w:pos="720"/>
        </w:tabs>
        <w:spacing w:line="360" w:lineRule="auto"/>
        <w:ind w:left="720" w:right="1008"/>
        <w:jc w:val="both"/>
        <w:rPr>
          <w:rFonts w:ascii="Palatino Linotype" w:hAnsi="Palatino Linotype"/>
          <w:i/>
          <w:color w:val="000000" w:themeColor="text1"/>
        </w:rPr>
      </w:pPr>
    </w:p>
    <w:p w14:paraId="566D48A9" w14:textId="77777777" w:rsidR="00D355A0" w:rsidRPr="00C53469" w:rsidRDefault="00D355A0" w:rsidP="00C373ED">
      <w:pPr>
        <w:tabs>
          <w:tab w:val="left" w:pos="720"/>
        </w:tabs>
        <w:spacing w:line="360" w:lineRule="auto"/>
        <w:ind w:left="720" w:right="1008"/>
        <w:jc w:val="both"/>
        <w:rPr>
          <w:rFonts w:ascii="Palatino Linotype" w:hAnsi="Palatino Linotype" w:cs="Arial"/>
          <w:i/>
        </w:rPr>
      </w:pPr>
      <w:r w:rsidRPr="00C53469">
        <w:rPr>
          <w:rFonts w:ascii="Palatino Linotype" w:hAnsi="Palatino Linotype" w:cs="Arial"/>
          <w:i/>
        </w:rPr>
        <w:t>“</w:t>
      </w:r>
      <w:r w:rsidRPr="00C53469">
        <w:rPr>
          <w:rFonts w:ascii="Palatino Linotype" w:hAnsi="Palatino Linotype" w:cs="Arial"/>
          <w:b/>
          <w:i/>
        </w:rPr>
        <w:t>Artículo 192</w:t>
      </w:r>
      <w:r w:rsidRPr="00C53469">
        <w:rPr>
          <w:rFonts w:ascii="Palatino Linotype" w:hAnsi="Palatino Linotype" w:cs="Arial"/>
          <w:i/>
        </w:rPr>
        <w:t>. El recurso será sobreseído, en todo o en parte, cuando una vez admitido, se actualicen alguno de los siguientes supuestos:</w:t>
      </w:r>
    </w:p>
    <w:p w14:paraId="16531469" w14:textId="3416D0D8" w:rsidR="007D4EB8" w:rsidRPr="00C53469" w:rsidRDefault="00D355A0" w:rsidP="007D4EB8">
      <w:pPr>
        <w:tabs>
          <w:tab w:val="left" w:pos="720"/>
        </w:tabs>
        <w:spacing w:line="360" w:lineRule="auto"/>
        <w:ind w:left="720" w:right="1008"/>
        <w:jc w:val="both"/>
        <w:rPr>
          <w:rFonts w:ascii="Palatino Linotype" w:hAnsi="Palatino Linotype" w:cs="Arial"/>
          <w:i/>
        </w:rPr>
      </w:pPr>
      <w:r w:rsidRPr="00C53469">
        <w:rPr>
          <w:rFonts w:ascii="Palatino Linotype" w:hAnsi="Palatino Linotype" w:cs="Arial"/>
          <w:i/>
        </w:rPr>
        <w:t>(…)</w:t>
      </w:r>
    </w:p>
    <w:p w14:paraId="6A56B174" w14:textId="6868A8C2" w:rsidR="007D4EB8" w:rsidRPr="00C53469" w:rsidRDefault="007D4EB8" w:rsidP="007D4EB8">
      <w:pPr>
        <w:tabs>
          <w:tab w:val="left" w:pos="720"/>
        </w:tabs>
        <w:spacing w:line="360" w:lineRule="auto"/>
        <w:ind w:left="720" w:right="1008"/>
        <w:jc w:val="both"/>
        <w:rPr>
          <w:rFonts w:ascii="Palatino Linotype" w:hAnsi="Palatino Linotype" w:cs="Arial"/>
          <w:i/>
        </w:rPr>
      </w:pPr>
      <w:r w:rsidRPr="00C53469">
        <w:rPr>
          <w:rFonts w:ascii="Palatino Linotype" w:hAnsi="Palatino Linotype" w:cs="Arial"/>
          <w:i/>
        </w:rPr>
        <w:t>IV. Admitido el recurso de revisión, aparezca alguna causal de improcedencia en los términos de la presente Ley; y</w:t>
      </w:r>
    </w:p>
    <w:p w14:paraId="33BF23B0" w14:textId="2397EC5B" w:rsidR="00D355A0" w:rsidRPr="00C53469" w:rsidRDefault="00D355A0" w:rsidP="007D4EB8">
      <w:pPr>
        <w:tabs>
          <w:tab w:val="left" w:pos="720"/>
        </w:tabs>
        <w:spacing w:line="360" w:lineRule="auto"/>
        <w:ind w:left="720" w:right="1008"/>
        <w:jc w:val="both"/>
        <w:rPr>
          <w:rFonts w:ascii="Palatino Linotype" w:hAnsi="Palatino Linotype" w:cs="Arial"/>
          <w:i/>
        </w:rPr>
      </w:pPr>
      <w:r w:rsidRPr="00C53469">
        <w:rPr>
          <w:rFonts w:ascii="Palatino Linotype" w:hAnsi="Palatino Linotype" w:cs="Arial"/>
          <w:b/>
          <w:i/>
        </w:rPr>
        <w:t>(…)”</w:t>
      </w:r>
    </w:p>
    <w:p w14:paraId="46C8DDBF" w14:textId="77777777" w:rsidR="00D355A0" w:rsidRPr="00C53469" w:rsidRDefault="00D355A0" w:rsidP="00C373ED">
      <w:pPr>
        <w:spacing w:line="360" w:lineRule="auto"/>
        <w:ind w:left="851" w:right="1134"/>
        <w:jc w:val="both"/>
        <w:rPr>
          <w:rFonts w:ascii="Palatino Linotype" w:hAnsi="Palatino Linotype" w:cs="Arial"/>
          <w:i/>
        </w:rPr>
      </w:pPr>
    </w:p>
    <w:p w14:paraId="7386D07B" w14:textId="0CF94195" w:rsidR="007D4EB8" w:rsidRPr="00C53469" w:rsidRDefault="007D4EB8" w:rsidP="007D4EB8">
      <w:pPr>
        <w:pStyle w:val="Prrafodelista"/>
        <w:numPr>
          <w:ilvl w:val="0"/>
          <w:numId w:val="6"/>
        </w:numPr>
        <w:spacing w:line="360" w:lineRule="auto"/>
        <w:ind w:left="0" w:firstLine="0"/>
        <w:jc w:val="both"/>
        <w:rPr>
          <w:rFonts w:ascii="Palatino Linotype" w:eastAsia="Arial Unicode MS" w:hAnsi="Palatino Linotype" w:cs="Arial"/>
          <w:lang w:val="es-MX"/>
        </w:rPr>
      </w:pPr>
      <w:r w:rsidRPr="00C53469">
        <w:rPr>
          <w:rFonts w:ascii="Palatino Linotype" w:eastAsia="Arial Unicode MS" w:hAnsi="Palatino Linotype" w:cs="Arial"/>
        </w:rPr>
        <w:lastRenderedPageBreak/>
        <w:t>Así, es importante destacar que los motivos de inconformidad son tendientes no actualizan alguna causal de procedencia enlistada en el artículo 179</w:t>
      </w:r>
      <w:r w:rsidRPr="00C53469">
        <w:rPr>
          <w:rStyle w:val="Refdenotaalpie"/>
          <w:rFonts w:ascii="Palatino Linotype" w:eastAsia="Arial Unicode MS" w:hAnsi="Palatino Linotype" w:cs="Arial"/>
        </w:rPr>
        <w:footnoteReference w:id="6"/>
      </w:r>
      <w:r w:rsidRPr="00C53469">
        <w:rPr>
          <w:rFonts w:ascii="Palatino Linotype" w:eastAsia="Arial Unicode MS" w:hAnsi="Palatino Linotype" w:cs="Arial"/>
        </w:rPr>
        <w:t xml:space="preserve"> de la Ley de Transparencia Estatal, como a continuación se observa:</w:t>
      </w:r>
    </w:p>
    <w:p w14:paraId="05393A5B" w14:textId="05D95E05" w:rsidR="007D4EB8" w:rsidRPr="00C53469" w:rsidRDefault="007D4EB8" w:rsidP="007D4EB8">
      <w:pPr>
        <w:pStyle w:val="Prrafodelista"/>
        <w:spacing w:line="360" w:lineRule="auto"/>
        <w:ind w:left="0"/>
        <w:jc w:val="both"/>
        <w:rPr>
          <w:rFonts w:ascii="Palatino Linotype" w:eastAsia="Arial Unicode MS" w:hAnsi="Palatino Linotype" w:cs="Arial"/>
        </w:rPr>
      </w:pPr>
    </w:p>
    <w:p w14:paraId="7EF896E4" w14:textId="6F0D4A3C" w:rsidR="007D4EB8" w:rsidRPr="00C53469" w:rsidRDefault="007D4EB8" w:rsidP="007D4EB8">
      <w:pPr>
        <w:pStyle w:val="Prrafodelista"/>
        <w:spacing w:line="360" w:lineRule="auto"/>
        <w:ind w:left="720" w:right="1008"/>
        <w:jc w:val="both"/>
        <w:rPr>
          <w:rFonts w:ascii="Palatino Linotype" w:eastAsia="Arial Unicode MS" w:hAnsi="Palatino Linotype" w:cs="Arial"/>
          <w:i/>
          <w:lang w:val="es-MX"/>
        </w:rPr>
      </w:pPr>
      <w:r w:rsidRPr="00C53469">
        <w:rPr>
          <w:rFonts w:ascii="Palatino Linotype" w:eastAsia="Arial Unicode MS" w:hAnsi="Palatino Linotype" w:cs="Arial"/>
          <w:i/>
          <w:lang w:val="es-MX"/>
        </w:rPr>
        <w:t>“Se le olvido anexar los contratos, que extraño si son una administración que no oculta nada, seguro se les olvido, tengan su amable recurso de revisión.” (Sic)</w:t>
      </w:r>
    </w:p>
    <w:p w14:paraId="75EC0F70" w14:textId="7C377841" w:rsidR="009D6F19" w:rsidRPr="00C53469" w:rsidRDefault="009D6F19" w:rsidP="00237F82">
      <w:pPr>
        <w:pStyle w:val="Prrafodelista"/>
        <w:spacing w:line="360" w:lineRule="auto"/>
        <w:ind w:left="0"/>
        <w:jc w:val="both"/>
        <w:rPr>
          <w:rFonts w:ascii="Palatino Linotype" w:eastAsia="Arial Unicode MS" w:hAnsi="Palatino Linotype" w:cs="Arial"/>
        </w:rPr>
      </w:pPr>
    </w:p>
    <w:p w14:paraId="770D45EE" w14:textId="5614396F" w:rsidR="009D6F19" w:rsidRPr="00C53469" w:rsidRDefault="009D6F19" w:rsidP="00237F82">
      <w:pPr>
        <w:pStyle w:val="Prrafodelista"/>
        <w:spacing w:line="360" w:lineRule="auto"/>
        <w:ind w:left="0"/>
        <w:jc w:val="both"/>
        <w:rPr>
          <w:rFonts w:ascii="Palatino Linotype" w:eastAsia="Arial Unicode MS" w:hAnsi="Palatino Linotype" w:cs="Arial"/>
        </w:rPr>
      </w:pPr>
    </w:p>
    <w:p w14:paraId="2F6DE9FC" w14:textId="613786E5" w:rsidR="007D4EB8" w:rsidRPr="00C53469" w:rsidRDefault="007D4EB8" w:rsidP="007D4EB8">
      <w:pPr>
        <w:numPr>
          <w:ilvl w:val="0"/>
          <w:numId w:val="3"/>
        </w:numPr>
        <w:spacing w:line="360" w:lineRule="auto"/>
        <w:ind w:left="0" w:firstLine="0"/>
        <w:jc w:val="both"/>
        <w:rPr>
          <w:rFonts w:ascii="Palatino Linotype" w:eastAsia="Arial Unicode MS" w:hAnsi="Palatino Linotype" w:cs="Arial"/>
          <w:lang w:val="es-MX"/>
        </w:rPr>
      </w:pPr>
      <w:r w:rsidRPr="00C53469">
        <w:rPr>
          <w:rFonts w:ascii="Palatino Linotype" w:eastAsia="Arial Unicode MS" w:hAnsi="Palatino Linotype" w:cs="Arial"/>
          <w:lang w:val="es-MX"/>
        </w:rPr>
        <w:t xml:space="preserve">De lo anterior, podemos advertir que el motivo de inconformidad es inoperante, en atención a que, en materia de Acceso a la Información Pública, los motivos de la inconformidad deben versar sobre la respuesta de información </w:t>
      </w:r>
      <w:r w:rsidRPr="00C53469">
        <w:rPr>
          <w:rFonts w:ascii="Palatino Linotype" w:eastAsia="Arial Unicode MS" w:hAnsi="Palatino Linotype" w:cs="Arial"/>
          <w:lang w:val="es-MX"/>
        </w:rPr>
        <w:lastRenderedPageBreak/>
        <w:t>proporcionada por los Sujetos Obligados o la negativa de entrega de la misma, derivada de la solicitud de información pública. De este modo, en los motivos de inconformidad los recurrentes deben manifestar en forma general y llana la causa de pedir.</w:t>
      </w:r>
    </w:p>
    <w:p w14:paraId="2A3EDD61" w14:textId="77777777" w:rsidR="007D4EB8" w:rsidRPr="00C53469" w:rsidRDefault="007D4EB8" w:rsidP="007D4EB8">
      <w:pPr>
        <w:spacing w:line="360" w:lineRule="auto"/>
        <w:jc w:val="both"/>
        <w:rPr>
          <w:rFonts w:ascii="Palatino Linotype" w:eastAsia="Arial Unicode MS" w:hAnsi="Palatino Linotype" w:cs="Arial"/>
          <w:lang w:val="es-MX"/>
        </w:rPr>
      </w:pPr>
    </w:p>
    <w:p w14:paraId="299EFA6A" w14:textId="77777777" w:rsidR="003333B6" w:rsidRPr="00C53469" w:rsidRDefault="007D4EB8" w:rsidP="003333B6">
      <w:pPr>
        <w:numPr>
          <w:ilvl w:val="0"/>
          <w:numId w:val="3"/>
        </w:numPr>
        <w:spacing w:line="360" w:lineRule="auto"/>
        <w:ind w:left="0" w:firstLine="0"/>
        <w:jc w:val="both"/>
        <w:rPr>
          <w:rFonts w:ascii="Palatino Linotype" w:eastAsia="Arial Unicode MS" w:hAnsi="Palatino Linotype" w:cs="Arial"/>
          <w:lang w:val="es-MX"/>
        </w:rPr>
      </w:pPr>
      <w:r w:rsidRPr="00C53469">
        <w:rPr>
          <w:rFonts w:ascii="Palatino Linotype" w:eastAsia="Arial Unicode MS" w:hAnsi="Palatino Linotype" w:cs="Arial"/>
          <w:lang w:val="es-MX"/>
        </w:rPr>
        <w:t>Es decir, para que este Órgano Garante se avoque al análisis del fondo del asunto planteado, no se requiere que se empleen tecnicismos o que se sustenten en la ley sino que basta con que se expresen en términos comprensibles y en lenguaje común la inconformidad para que este Pleno extraiga la causa de pedir propuesta, incluso las manifestaciones del recurrente pueden constar en cualquier parte del formato diseñado para tal fin o en cualquier parte del escrito libre que se presente y no necesariamente en el apartado de “RAZONES O MOTIVOS DE LA INCONFORMIDAD”, con las únicas condiciones de que lo manifestado tengan relación con el acto de autoridad y, que como lo es en el presente asunto, no se impugne la veracidad de la información otorgada.</w:t>
      </w:r>
    </w:p>
    <w:p w14:paraId="133AD8D7" w14:textId="77777777" w:rsidR="003333B6" w:rsidRPr="00C53469" w:rsidRDefault="003333B6" w:rsidP="003333B6">
      <w:pPr>
        <w:pStyle w:val="Prrafodelista"/>
        <w:rPr>
          <w:rFonts w:ascii="Palatino Linotype" w:hAnsi="Palatino Linotype" w:cs="Arial"/>
          <w:lang w:val="es-MX"/>
        </w:rPr>
      </w:pPr>
    </w:p>
    <w:p w14:paraId="774070FD" w14:textId="77777777" w:rsidR="003333B6" w:rsidRPr="00C53469" w:rsidRDefault="007D4EB8" w:rsidP="003333B6">
      <w:pPr>
        <w:numPr>
          <w:ilvl w:val="0"/>
          <w:numId w:val="3"/>
        </w:numPr>
        <w:spacing w:line="360" w:lineRule="auto"/>
        <w:ind w:left="0" w:firstLine="0"/>
        <w:jc w:val="both"/>
        <w:rPr>
          <w:rFonts w:ascii="Palatino Linotype" w:eastAsia="Arial Unicode MS" w:hAnsi="Palatino Linotype" w:cs="Arial"/>
          <w:lang w:val="es-MX"/>
        </w:rPr>
      </w:pPr>
      <w:r w:rsidRPr="00C53469">
        <w:rPr>
          <w:rFonts w:ascii="Palatino Linotype" w:hAnsi="Palatino Linotype" w:cs="Arial"/>
          <w:lang w:val="es-MX"/>
        </w:rPr>
        <w:t xml:space="preserve">Luego entonces, para que este Pleno pueda válidamente resolver sobre la modificación o revocación del acto impugnado se requiere que en el Recurso de Revisión combata la respuesta otorgada  en los términos del artículo 179 de la Ley de Transparencia Estatal, ya que este </w:t>
      </w:r>
      <w:proofErr w:type="spellStart"/>
      <w:r w:rsidRPr="00C53469">
        <w:rPr>
          <w:rFonts w:ascii="Palatino Linotype" w:hAnsi="Palatino Linotype" w:cs="Arial"/>
          <w:lang w:val="es-MX"/>
        </w:rPr>
        <w:t>resolutor</w:t>
      </w:r>
      <w:proofErr w:type="spellEnd"/>
      <w:r w:rsidRPr="00C53469">
        <w:rPr>
          <w:rFonts w:ascii="Palatino Linotype" w:hAnsi="Palatino Linotype" w:cs="Arial"/>
          <w:lang w:val="es-MX"/>
        </w:rPr>
        <w:t xml:space="preserve"> no cuenta con facultades legales para determinar la veracidad de una respuesta, por lo que los motivos de inconformidad son requisitos esenciales como presupuestos procesales para la procedencia del citado recurso; sin la existencia de estos presupuestos el recurso que al respecto se presentare deberá declararse improcedente y desecharse en consecuencia.</w:t>
      </w:r>
    </w:p>
    <w:p w14:paraId="1B02DF6E" w14:textId="77777777" w:rsidR="003333B6" w:rsidRPr="00C53469" w:rsidRDefault="003333B6" w:rsidP="003333B6">
      <w:pPr>
        <w:pStyle w:val="Prrafodelista"/>
        <w:rPr>
          <w:rFonts w:ascii="Palatino Linotype" w:eastAsia="Arial Unicode MS" w:hAnsi="Palatino Linotype" w:cs="Arial"/>
          <w:lang w:val="es-MX"/>
        </w:rPr>
      </w:pPr>
    </w:p>
    <w:p w14:paraId="5982B3B8" w14:textId="77777777" w:rsidR="003333B6" w:rsidRPr="00C53469" w:rsidRDefault="007D4EB8" w:rsidP="003333B6">
      <w:pPr>
        <w:numPr>
          <w:ilvl w:val="0"/>
          <w:numId w:val="3"/>
        </w:numPr>
        <w:spacing w:line="360" w:lineRule="auto"/>
        <w:ind w:left="0" w:firstLine="0"/>
        <w:jc w:val="both"/>
        <w:rPr>
          <w:rFonts w:ascii="Palatino Linotype" w:eastAsia="Arial Unicode MS" w:hAnsi="Palatino Linotype" w:cs="Arial"/>
          <w:lang w:val="es-MX"/>
        </w:rPr>
      </w:pPr>
      <w:r w:rsidRPr="00C53469">
        <w:rPr>
          <w:rFonts w:ascii="Palatino Linotype" w:eastAsia="Arial Unicode MS" w:hAnsi="Palatino Linotype" w:cs="Arial"/>
          <w:lang w:val="es-MX"/>
        </w:rPr>
        <w:t>Así pues, es conveniente destacar que la legislación adjetiva establece medios de impugnación o recurso a través de los cuales los particulares o las personas que se consideran afectados en la emisión de un acto de autoridad, tiene la posibilidad de impugnar aquél, con el objeto de que la misma autoridad que emitió el acto, o bien, un órgano superior, realice un nuevo análisis del caso a efecto de determinar la legalidad o ilegalidad del acto que se combate.</w:t>
      </w:r>
    </w:p>
    <w:p w14:paraId="62D79814" w14:textId="77777777" w:rsidR="003333B6" w:rsidRPr="00C53469" w:rsidRDefault="003333B6" w:rsidP="003333B6">
      <w:pPr>
        <w:pStyle w:val="Prrafodelista"/>
        <w:rPr>
          <w:rFonts w:ascii="Palatino Linotype" w:eastAsia="Arial Unicode MS" w:hAnsi="Palatino Linotype" w:cs="Arial"/>
          <w:lang w:val="es-MX"/>
        </w:rPr>
      </w:pPr>
    </w:p>
    <w:p w14:paraId="7E28AFCC" w14:textId="77777777" w:rsidR="003333B6" w:rsidRPr="00C53469" w:rsidRDefault="007D4EB8" w:rsidP="003333B6">
      <w:pPr>
        <w:numPr>
          <w:ilvl w:val="0"/>
          <w:numId w:val="3"/>
        </w:numPr>
        <w:spacing w:line="360" w:lineRule="auto"/>
        <w:ind w:left="0" w:firstLine="0"/>
        <w:jc w:val="both"/>
        <w:rPr>
          <w:rFonts w:ascii="Palatino Linotype" w:eastAsia="Arial Unicode MS" w:hAnsi="Palatino Linotype" w:cs="Arial"/>
          <w:lang w:val="es-MX"/>
        </w:rPr>
      </w:pPr>
      <w:r w:rsidRPr="00C53469">
        <w:rPr>
          <w:rFonts w:ascii="Palatino Linotype" w:eastAsia="Arial Unicode MS" w:hAnsi="Palatino Linotype" w:cs="Arial"/>
          <w:lang w:val="es-MX"/>
        </w:rPr>
        <w:t>También es necesario precisar que los medios de impugnación constituyen recursos legales a través de los cuales se corrigen los errores cometidos tanto en el curso del procedimiento, como en el dictado de la resolución.</w:t>
      </w:r>
    </w:p>
    <w:p w14:paraId="71296C30" w14:textId="77777777" w:rsidR="003333B6" w:rsidRPr="00C53469" w:rsidRDefault="003333B6" w:rsidP="003333B6">
      <w:pPr>
        <w:pStyle w:val="Prrafodelista"/>
        <w:rPr>
          <w:rFonts w:ascii="Palatino Linotype" w:eastAsia="Arial Unicode MS" w:hAnsi="Palatino Linotype" w:cs="Arial"/>
          <w:lang w:val="es-MX"/>
        </w:rPr>
      </w:pPr>
    </w:p>
    <w:p w14:paraId="2938F7D4" w14:textId="77777777" w:rsidR="003333B6" w:rsidRPr="00C53469" w:rsidRDefault="007D4EB8" w:rsidP="003333B6">
      <w:pPr>
        <w:numPr>
          <w:ilvl w:val="0"/>
          <w:numId w:val="3"/>
        </w:numPr>
        <w:spacing w:line="360" w:lineRule="auto"/>
        <w:ind w:left="0" w:firstLine="0"/>
        <w:jc w:val="both"/>
        <w:rPr>
          <w:rFonts w:ascii="Palatino Linotype" w:eastAsia="Arial Unicode MS" w:hAnsi="Palatino Linotype" w:cs="Arial"/>
          <w:lang w:val="es-MX"/>
        </w:rPr>
      </w:pPr>
      <w:r w:rsidRPr="00C53469">
        <w:rPr>
          <w:rFonts w:ascii="Palatino Linotype" w:eastAsia="Arial Unicode MS" w:hAnsi="Palatino Linotype" w:cs="Arial"/>
          <w:lang w:val="es-MX"/>
        </w:rPr>
        <w:t xml:space="preserve">Conforme a los argumentos expuestos, se afirma que la finalidad de un recurso o medio de impugnación consiste en que ya sea la misma autoridad que emite el acto, un superior o distinta autoridad, estudie la legalidad de la resolución que se impugna con el objeto confirmar, revocar o modificar éste; por ende, para lograr este objetivo es indispensable que </w:t>
      </w:r>
      <w:r w:rsidRPr="00C53469">
        <w:rPr>
          <w:rFonts w:ascii="Palatino Linotype" w:eastAsia="Arial Unicode MS" w:hAnsi="Palatino Linotype" w:cs="Arial"/>
          <w:b/>
          <w:lang w:val="es-MX"/>
        </w:rPr>
        <w:t>EL RECURRENTE</w:t>
      </w:r>
      <w:r w:rsidRPr="00C53469">
        <w:rPr>
          <w:rFonts w:ascii="Palatino Linotype" w:eastAsia="Arial Unicode MS" w:hAnsi="Palatino Linotype" w:cs="Arial"/>
          <w:lang w:val="es-MX"/>
        </w:rPr>
        <w:t>, señale la causa, motivo o circunstancia por la que considera que el acto que impugna le causa perjuicio o lesión a sus intereses.</w:t>
      </w:r>
    </w:p>
    <w:p w14:paraId="7D54BCBE" w14:textId="77777777" w:rsidR="003333B6" w:rsidRPr="00C53469" w:rsidRDefault="003333B6" w:rsidP="003333B6">
      <w:pPr>
        <w:pStyle w:val="Prrafodelista"/>
        <w:rPr>
          <w:rFonts w:ascii="Palatino Linotype" w:eastAsia="Arial Unicode MS" w:hAnsi="Palatino Linotype" w:cs="Arial"/>
          <w:lang w:val="es-MX"/>
        </w:rPr>
      </w:pPr>
    </w:p>
    <w:p w14:paraId="467337D2" w14:textId="77777777" w:rsidR="003333B6" w:rsidRPr="00C53469" w:rsidRDefault="007D4EB8" w:rsidP="003333B6">
      <w:pPr>
        <w:numPr>
          <w:ilvl w:val="0"/>
          <w:numId w:val="3"/>
        </w:numPr>
        <w:spacing w:line="360" w:lineRule="auto"/>
        <w:ind w:left="0" w:firstLine="0"/>
        <w:jc w:val="both"/>
        <w:rPr>
          <w:rFonts w:ascii="Palatino Linotype" w:eastAsia="Arial Unicode MS" w:hAnsi="Palatino Linotype" w:cs="Arial"/>
          <w:lang w:val="es-MX"/>
        </w:rPr>
      </w:pPr>
      <w:r w:rsidRPr="00C53469">
        <w:rPr>
          <w:rFonts w:ascii="Palatino Linotype" w:eastAsia="Arial Unicode MS" w:hAnsi="Palatino Linotype" w:cs="Arial"/>
          <w:lang w:val="es-MX"/>
        </w:rPr>
        <w:t xml:space="preserve">En este contexto, se concluye que la materia de los conceptos de inconformidad de un recurso, es precisamente la lesión o afectación que afirma </w:t>
      </w:r>
      <w:r w:rsidRPr="00C53469">
        <w:rPr>
          <w:rFonts w:ascii="Palatino Linotype" w:eastAsia="Arial Unicode MS" w:hAnsi="Palatino Linotype" w:cs="Arial"/>
          <w:b/>
          <w:lang w:val="es-MX"/>
        </w:rPr>
        <w:t xml:space="preserve">EL RECURRENTE </w:t>
      </w:r>
      <w:r w:rsidRPr="00C53469">
        <w:rPr>
          <w:rFonts w:ascii="Palatino Linotype" w:eastAsia="Arial Unicode MS" w:hAnsi="Palatino Linotype" w:cs="Arial"/>
          <w:lang w:val="es-MX"/>
        </w:rPr>
        <w:t xml:space="preserve">le causa el acto que impugna; pero, esa lesión o perjuicio se ha de relacionar y derivar necesariamente con las condiciones objetivas de la respuesta otorgada, en otras palabras, al presentar un Recurso de Revisión </w:t>
      </w:r>
      <w:r w:rsidRPr="00C53469">
        <w:rPr>
          <w:rFonts w:ascii="Palatino Linotype" w:eastAsia="Arial Unicode MS" w:hAnsi="Palatino Linotype" w:cs="Arial"/>
          <w:b/>
          <w:lang w:val="es-MX"/>
        </w:rPr>
        <w:t>EL RECURRENTE</w:t>
      </w:r>
      <w:r w:rsidRPr="00C53469">
        <w:rPr>
          <w:rFonts w:ascii="Palatino Linotype" w:eastAsia="Arial Unicode MS" w:hAnsi="Palatino Linotype" w:cs="Arial"/>
          <w:lang w:val="es-MX"/>
        </w:rPr>
        <w:t xml:space="preserve"> </w:t>
      </w:r>
      <w:r w:rsidRPr="00C53469">
        <w:rPr>
          <w:rFonts w:ascii="Palatino Linotype" w:eastAsia="Arial Unicode MS" w:hAnsi="Palatino Linotype" w:cs="Arial"/>
          <w:lang w:val="es-MX"/>
        </w:rPr>
        <w:lastRenderedPageBreak/>
        <w:t>tiene la obligación de señalar además del acto impugnado, el concepto o motivos</w:t>
      </w:r>
      <w:r w:rsidR="003333B6" w:rsidRPr="00C53469">
        <w:rPr>
          <w:rFonts w:ascii="Palatino Linotype" w:eastAsia="Arial Unicode MS" w:hAnsi="Palatino Linotype" w:cs="Arial"/>
          <w:lang w:val="es-MX"/>
        </w:rPr>
        <w:t xml:space="preserve">  de inconformidad procedentes, determinados por el diverso artículo 179 de la Ley Estatal de Transparencia. </w:t>
      </w:r>
    </w:p>
    <w:p w14:paraId="22AD237A" w14:textId="77777777" w:rsidR="003333B6" w:rsidRPr="00C53469" w:rsidRDefault="003333B6" w:rsidP="003333B6">
      <w:pPr>
        <w:pStyle w:val="Prrafodelista"/>
        <w:rPr>
          <w:rFonts w:ascii="Palatino Linotype" w:eastAsia="Arial Unicode MS" w:hAnsi="Palatino Linotype" w:cs="Arial"/>
          <w:lang w:val="es-MX"/>
        </w:rPr>
      </w:pPr>
    </w:p>
    <w:p w14:paraId="1E68A884" w14:textId="77777777" w:rsidR="003333B6" w:rsidRPr="00C53469" w:rsidRDefault="007D4EB8" w:rsidP="003333B6">
      <w:pPr>
        <w:numPr>
          <w:ilvl w:val="0"/>
          <w:numId w:val="3"/>
        </w:numPr>
        <w:spacing w:line="360" w:lineRule="auto"/>
        <w:ind w:left="0" w:firstLine="0"/>
        <w:jc w:val="both"/>
        <w:rPr>
          <w:rFonts w:ascii="Palatino Linotype" w:eastAsia="Arial Unicode MS" w:hAnsi="Palatino Linotype" w:cs="Arial"/>
          <w:lang w:val="es-MX"/>
        </w:rPr>
      </w:pPr>
      <w:r w:rsidRPr="00C53469">
        <w:rPr>
          <w:rFonts w:ascii="Palatino Linotype" w:eastAsia="Arial Unicode MS" w:hAnsi="Palatino Linotype" w:cs="Arial"/>
          <w:lang w:val="es-MX"/>
        </w:rPr>
        <w:t xml:space="preserve">Así mismo, es importante destacar que el Recurso de Revisión tiene como objetivo dirimir la Litis que presenta un asunto, lo que implica que el límite de un recurso es el estudio efectuado de los motivos de inconformidad que deben necesariamente tener relación directa y mediante con la materia del acto combatido, lo que implica que, el acto que se impugna obligatoriamente deben derivar de la solicitud de información pública, en relación con la respuesta entregada por </w:t>
      </w:r>
      <w:r w:rsidRPr="00C53469">
        <w:rPr>
          <w:rFonts w:ascii="Palatino Linotype" w:eastAsia="Arial Unicode MS" w:hAnsi="Palatino Linotype" w:cs="Arial"/>
          <w:b/>
          <w:color w:val="000000"/>
          <w:lang w:val="es-MX"/>
        </w:rPr>
        <w:t>EL SUJETO OBLIGADO</w:t>
      </w:r>
      <w:r w:rsidRPr="00C53469">
        <w:rPr>
          <w:rFonts w:ascii="Palatino Linotype" w:eastAsia="Arial Unicode MS" w:hAnsi="Palatino Linotype" w:cs="Arial"/>
          <w:lang w:val="es-MX"/>
        </w:rPr>
        <w:t>, toda vez que el Órgano Revisor carece de facultades para analizar de oficio la veracidad de la respuesta.</w:t>
      </w:r>
    </w:p>
    <w:p w14:paraId="0EB7AA43" w14:textId="77777777" w:rsidR="003333B6" w:rsidRPr="00C53469" w:rsidRDefault="003333B6" w:rsidP="003333B6">
      <w:pPr>
        <w:pStyle w:val="Prrafodelista"/>
        <w:rPr>
          <w:rFonts w:ascii="Palatino Linotype" w:hAnsi="Palatino Linotype" w:cs="Arial"/>
          <w:color w:val="000000"/>
          <w:lang w:val="es-MX"/>
        </w:rPr>
      </w:pPr>
    </w:p>
    <w:p w14:paraId="3DA710E9" w14:textId="7C784F8E" w:rsidR="007D4EB8" w:rsidRPr="00C53469" w:rsidRDefault="007D4EB8" w:rsidP="003333B6">
      <w:pPr>
        <w:numPr>
          <w:ilvl w:val="0"/>
          <w:numId w:val="3"/>
        </w:numPr>
        <w:spacing w:line="360" w:lineRule="auto"/>
        <w:ind w:left="0" w:firstLine="0"/>
        <w:jc w:val="both"/>
        <w:rPr>
          <w:rFonts w:ascii="Palatino Linotype" w:eastAsia="Arial Unicode MS" w:hAnsi="Palatino Linotype" w:cs="Arial"/>
          <w:lang w:val="es-MX"/>
        </w:rPr>
      </w:pPr>
      <w:r w:rsidRPr="00C53469">
        <w:rPr>
          <w:rFonts w:ascii="Palatino Linotype" w:hAnsi="Palatino Linotype" w:cs="Arial"/>
          <w:color w:val="000000"/>
          <w:lang w:val="es-MX"/>
        </w:rPr>
        <w:t xml:space="preserve">Así, es posible determinar que son improcedentes e inoperantes los motivos de inconformidad aducidos por </w:t>
      </w:r>
      <w:r w:rsidRPr="00C53469">
        <w:rPr>
          <w:rFonts w:ascii="Palatino Linotype" w:hAnsi="Palatino Linotype" w:cs="Arial"/>
          <w:b/>
          <w:color w:val="000000"/>
          <w:lang w:val="es-MX"/>
        </w:rPr>
        <w:t>EL</w:t>
      </w:r>
      <w:r w:rsidRPr="00C53469">
        <w:rPr>
          <w:rFonts w:ascii="Palatino Linotype" w:hAnsi="Palatino Linotype" w:cs="Arial"/>
          <w:color w:val="000000"/>
          <w:lang w:val="es-MX"/>
        </w:rPr>
        <w:t xml:space="preserve"> </w:t>
      </w:r>
      <w:r w:rsidRPr="00C53469">
        <w:rPr>
          <w:rFonts w:ascii="Palatino Linotype" w:hAnsi="Palatino Linotype" w:cs="Arial"/>
          <w:b/>
          <w:color w:val="000000"/>
          <w:lang w:val="es-MX"/>
        </w:rPr>
        <w:t>RECURRENTE</w:t>
      </w:r>
      <w:r w:rsidRPr="00C53469">
        <w:rPr>
          <w:rFonts w:ascii="Palatino Linotype" w:hAnsi="Palatino Linotype" w:cs="Arial"/>
          <w:color w:val="000000"/>
          <w:lang w:val="es-MX"/>
        </w:rPr>
        <w:t xml:space="preserve">, toda vez que no tienen por objeto combatir el contenido de la determinación del </w:t>
      </w:r>
      <w:r w:rsidRPr="00C53469">
        <w:rPr>
          <w:rFonts w:ascii="Palatino Linotype" w:hAnsi="Palatino Linotype" w:cs="Arial"/>
          <w:b/>
          <w:color w:val="000000"/>
          <w:lang w:val="es-MX"/>
        </w:rPr>
        <w:t>SUJETO OBLIGADO</w:t>
      </w:r>
      <w:r w:rsidRPr="00C53469">
        <w:rPr>
          <w:rFonts w:ascii="Palatino Linotype" w:hAnsi="Palatino Linotype" w:cs="Arial"/>
          <w:color w:val="000000"/>
          <w:lang w:val="es-MX"/>
        </w:rPr>
        <w:t xml:space="preserve">; por tal motivo son inoperantes. </w:t>
      </w:r>
    </w:p>
    <w:p w14:paraId="6A8F60BB" w14:textId="77777777" w:rsidR="007D4EB8" w:rsidRPr="00C53469" w:rsidRDefault="007D4EB8" w:rsidP="007D4EB8">
      <w:pPr>
        <w:keepNext/>
        <w:keepLines/>
        <w:spacing w:before="240"/>
        <w:outlineLvl w:val="0"/>
        <w:rPr>
          <w:rFonts w:ascii="Palatino Linotype" w:eastAsiaTheme="majorEastAsia" w:hAnsi="Palatino Linotype" w:cstheme="majorBidi"/>
          <w:b/>
          <w:color w:val="000000" w:themeColor="text1"/>
          <w:lang w:val="es-MX"/>
        </w:rPr>
      </w:pPr>
      <w:r w:rsidRPr="00C53469">
        <w:rPr>
          <w:rFonts w:ascii="Palatino Linotype" w:eastAsiaTheme="majorEastAsia" w:hAnsi="Palatino Linotype" w:cstheme="majorBidi"/>
          <w:b/>
          <w:color w:val="000000" w:themeColor="text1"/>
          <w:lang w:val="es-MX"/>
        </w:rPr>
        <w:t xml:space="preserve">CUARTO. Decisión. </w:t>
      </w:r>
    </w:p>
    <w:p w14:paraId="197EE3F7" w14:textId="77777777" w:rsidR="007D4EB8" w:rsidRPr="00C53469" w:rsidRDefault="007D4EB8" w:rsidP="007D4EB8">
      <w:pPr>
        <w:rPr>
          <w:lang w:val="es-MX"/>
        </w:rPr>
      </w:pPr>
    </w:p>
    <w:p w14:paraId="33FC4223" w14:textId="7D947CFB" w:rsidR="007D4EB8" w:rsidRPr="00C53469" w:rsidRDefault="007D4EB8" w:rsidP="003333B6">
      <w:pPr>
        <w:numPr>
          <w:ilvl w:val="0"/>
          <w:numId w:val="3"/>
        </w:numPr>
        <w:tabs>
          <w:tab w:val="left" w:pos="0"/>
        </w:tabs>
        <w:spacing w:before="240" w:after="240" w:line="360" w:lineRule="auto"/>
        <w:ind w:left="0" w:right="51" w:firstLine="0"/>
        <w:contextualSpacing/>
        <w:jc w:val="both"/>
        <w:rPr>
          <w:rFonts w:ascii="Palatino Linotype" w:eastAsiaTheme="minorEastAsia" w:hAnsi="Palatino Linotype" w:cstheme="minorBidi"/>
          <w:b/>
          <w:color w:val="000000" w:themeColor="text1"/>
          <w:lang w:val="es-MX"/>
        </w:rPr>
      </w:pPr>
      <w:r w:rsidRPr="00C53469">
        <w:rPr>
          <w:rFonts w:ascii="Palatino Linotype" w:eastAsiaTheme="minorEastAsia" w:hAnsi="Palatino Linotype" w:cstheme="minorBidi"/>
          <w:color w:val="000000" w:themeColor="text1"/>
          <w:lang w:val="es-MX"/>
        </w:rPr>
        <w:t xml:space="preserve">Así y luego de analizar las actuaciones realizadas por las partes en el expediente radicado en el Sistema de Acceso a la Información Mexiquense </w:t>
      </w:r>
      <w:r w:rsidRPr="00C53469">
        <w:rPr>
          <w:rFonts w:ascii="Palatino Linotype" w:eastAsiaTheme="minorEastAsia" w:hAnsi="Palatino Linotype" w:cstheme="minorBidi"/>
          <w:b/>
          <w:color w:val="000000" w:themeColor="text1"/>
          <w:lang w:val="es-MX"/>
        </w:rPr>
        <w:t>(SAIMEX</w:t>
      </w:r>
      <w:r w:rsidRPr="00C53469">
        <w:rPr>
          <w:rFonts w:ascii="Palatino Linotype" w:eastAsiaTheme="minorEastAsia" w:hAnsi="Palatino Linotype" w:cstheme="minorBidi"/>
          <w:color w:val="000000" w:themeColor="text1"/>
          <w:lang w:val="es-MX"/>
        </w:rPr>
        <w:t xml:space="preserve">), bajo el número </w:t>
      </w:r>
      <w:r w:rsidR="003333B6" w:rsidRPr="00C53469">
        <w:rPr>
          <w:rFonts w:ascii="Palatino Linotype" w:eastAsiaTheme="minorEastAsia" w:hAnsi="Palatino Linotype" w:cstheme="minorBidi"/>
          <w:b/>
          <w:bCs/>
          <w:color w:val="000000" w:themeColor="text1"/>
        </w:rPr>
        <w:t>15663/INFOEM/IP/RR/2022</w:t>
      </w:r>
      <w:r w:rsidR="003333B6" w:rsidRPr="00C53469">
        <w:rPr>
          <w:rFonts w:ascii="Palatino Linotype" w:eastAsiaTheme="minorEastAsia" w:hAnsi="Palatino Linotype" w:cstheme="minorBidi"/>
          <w:b/>
          <w:color w:val="000000" w:themeColor="text1"/>
          <w:lang w:val="es-MX"/>
        </w:rPr>
        <w:t xml:space="preserve"> </w:t>
      </w:r>
      <w:r w:rsidR="003333B6" w:rsidRPr="00C53469">
        <w:rPr>
          <w:rFonts w:ascii="Palatino Linotype" w:eastAsia="MS Mincho" w:hAnsi="Palatino Linotype" w:cstheme="majorBidi"/>
        </w:rPr>
        <w:t>con fundamento en la fracción III</w:t>
      </w:r>
      <w:r w:rsidRPr="00C53469">
        <w:rPr>
          <w:rFonts w:ascii="Palatino Linotype" w:eastAsia="MS Mincho" w:hAnsi="Palatino Linotype" w:cstheme="majorBidi"/>
        </w:rPr>
        <w:t xml:space="preserve"> del artículo 191 en relación con la fracción IV del artículo 192,</w:t>
      </w:r>
      <w:r w:rsidRPr="00C53469">
        <w:rPr>
          <w:rFonts w:ascii="Palatino Linotype" w:eastAsia="MS Mincho" w:hAnsi="Palatino Linotype" w:cstheme="majorBidi"/>
          <w:b/>
        </w:rPr>
        <w:t xml:space="preserve"> </w:t>
      </w:r>
      <w:r w:rsidRPr="00C53469">
        <w:rPr>
          <w:rFonts w:ascii="Palatino Linotype" w:eastAsia="MS Mincho" w:hAnsi="Palatino Linotype" w:cstheme="majorBidi"/>
        </w:rPr>
        <w:t xml:space="preserve">de la Ley de Transparencia y Acceso a la Información Pública del Estado de México y </w:t>
      </w:r>
      <w:r w:rsidRPr="00C53469">
        <w:rPr>
          <w:rFonts w:ascii="Palatino Linotype" w:eastAsia="MS Mincho" w:hAnsi="Palatino Linotype" w:cstheme="majorBidi"/>
        </w:rPr>
        <w:lastRenderedPageBreak/>
        <w:t xml:space="preserve">Municipios, se </w:t>
      </w:r>
      <w:r w:rsidRPr="00C53469">
        <w:rPr>
          <w:rFonts w:ascii="Palatino Linotype" w:eastAsia="MS Mincho" w:hAnsi="Palatino Linotype" w:cstheme="majorBidi"/>
          <w:b/>
        </w:rPr>
        <w:t xml:space="preserve">SOBRESEE </w:t>
      </w:r>
      <w:r w:rsidRPr="00C53469">
        <w:rPr>
          <w:rFonts w:ascii="Palatino Linotype" w:eastAsia="MS Mincho" w:hAnsi="Palatino Linotype" w:cstheme="majorBidi"/>
        </w:rPr>
        <w:t>el recurso de revisión, que ha sido materia del presente fallo</w:t>
      </w:r>
      <w:r w:rsidRPr="00C53469">
        <w:rPr>
          <w:rFonts w:ascii="Palatino Linotype" w:eastAsia="MS Mincho" w:hAnsi="Palatino Linotype" w:cstheme="majorBidi"/>
          <w:b/>
        </w:rPr>
        <w:t>, por</w:t>
      </w:r>
      <w:r w:rsidR="003333B6" w:rsidRPr="00C53469">
        <w:rPr>
          <w:rFonts w:ascii="Palatino Linotype" w:eastAsia="MS Mincho" w:hAnsi="Palatino Linotype" w:cstheme="majorBidi"/>
          <w:b/>
        </w:rPr>
        <w:t xml:space="preserve"> no la inoperancia de los agravios planteados</w:t>
      </w:r>
      <w:r w:rsidRPr="00C53469">
        <w:rPr>
          <w:rFonts w:ascii="Palatino Linotype" w:eastAsia="MS Mincho" w:hAnsi="Palatino Linotype" w:cstheme="majorBidi"/>
          <w:b/>
        </w:rPr>
        <w:t>.</w:t>
      </w:r>
    </w:p>
    <w:p w14:paraId="170CE447" w14:textId="77777777" w:rsidR="003333B6" w:rsidRPr="00C53469" w:rsidRDefault="003333B6" w:rsidP="003333B6">
      <w:pPr>
        <w:tabs>
          <w:tab w:val="left" w:pos="0"/>
        </w:tabs>
        <w:spacing w:before="240" w:after="240" w:line="360" w:lineRule="auto"/>
        <w:ind w:right="51"/>
        <w:contextualSpacing/>
        <w:jc w:val="both"/>
        <w:rPr>
          <w:rFonts w:ascii="Palatino Linotype" w:eastAsiaTheme="minorEastAsia" w:hAnsi="Palatino Linotype" w:cstheme="minorBidi"/>
          <w:b/>
          <w:color w:val="000000" w:themeColor="text1"/>
          <w:lang w:val="es-MX"/>
        </w:rPr>
      </w:pPr>
    </w:p>
    <w:p w14:paraId="6F821686" w14:textId="77777777" w:rsidR="007D4EB8" w:rsidRPr="00C53469" w:rsidRDefault="007D4EB8" w:rsidP="003333B6">
      <w:pPr>
        <w:numPr>
          <w:ilvl w:val="0"/>
          <w:numId w:val="3"/>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C53469">
        <w:rPr>
          <w:rFonts w:ascii="Palatino Linotype" w:eastAsiaTheme="minorEastAsia" w:hAnsi="Palatino Linotype" w:cstheme="minorBidi"/>
          <w:color w:val="000000" w:themeColor="text1"/>
        </w:rPr>
        <w:t xml:space="preserve">Por </w:t>
      </w:r>
      <w:r w:rsidRPr="00C53469">
        <w:rPr>
          <w:rFonts w:ascii="Palatino Linotype" w:eastAsiaTheme="minorEastAsia" w:hAnsi="Palatino Linotype" w:cstheme="minorBidi"/>
          <w:color w:val="000000" w:themeColor="text1"/>
          <w:lang w:val="es-MX"/>
        </w:rPr>
        <w:t xml:space="preserve">lo anteriormente expuesto y fundado, este </w:t>
      </w:r>
      <w:r w:rsidRPr="00C53469">
        <w:rPr>
          <w:rFonts w:ascii="Palatino Linotype" w:eastAsiaTheme="minorEastAsia" w:hAnsi="Palatino Linotype" w:cstheme="minorBidi"/>
          <w:b/>
          <w:color w:val="000000" w:themeColor="text1"/>
          <w:lang w:val="es-MX"/>
        </w:rPr>
        <w:t>ÓRGANO GARANTE</w:t>
      </w:r>
      <w:r w:rsidRPr="00C53469">
        <w:rPr>
          <w:rFonts w:ascii="Palatino Linotype" w:eastAsiaTheme="minorEastAsia" w:hAnsi="Palatino Linotype" w:cstheme="minorBidi"/>
          <w:color w:val="000000" w:themeColor="text1"/>
          <w:lang w:val="es-MX"/>
        </w:rPr>
        <w:t xml:space="preserve"> emite los</w:t>
      </w:r>
    </w:p>
    <w:p w14:paraId="6CA6FC67" w14:textId="77777777" w:rsidR="007D4EB8" w:rsidRPr="00C53469" w:rsidRDefault="007D4EB8" w:rsidP="003333B6">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roofErr w:type="gramStart"/>
      <w:r w:rsidRPr="00C53469">
        <w:rPr>
          <w:rFonts w:ascii="Palatino Linotype" w:eastAsiaTheme="minorEastAsia" w:hAnsi="Palatino Linotype" w:cstheme="minorBidi"/>
          <w:color w:val="000000" w:themeColor="text1"/>
          <w:lang w:val="es-MX"/>
        </w:rPr>
        <w:t>siguientes</w:t>
      </w:r>
      <w:proofErr w:type="gramEnd"/>
      <w:r w:rsidRPr="00C53469">
        <w:rPr>
          <w:rFonts w:ascii="Palatino Linotype" w:eastAsiaTheme="minorEastAsia" w:hAnsi="Palatino Linotype" w:cstheme="minorBidi"/>
          <w:color w:val="000000" w:themeColor="text1"/>
          <w:lang w:val="es-MX"/>
        </w:rPr>
        <w:t xml:space="preserve">: </w:t>
      </w:r>
    </w:p>
    <w:p w14:paraId="5D2DE0A5" w14:textId="77777777" w:rsidR="007D4EB8" w:rsidRPr="00C53469" w:rsidRDefault="007D4EB8" w:rsidP="007D4EB8">
      <w:pPr>
        <w:keepNext/>
        <w:keepLines/>
        <w:spacing w:before="240" w:line="360" w:lineRule="auto"/>
        <w:jc w:val="center"/>
        <w:outlineLvl w:val="0"/>
        <w:rPr>
          <w:rFonts w:ascii="Palatino Linotype" w:eastAsiaTheme="majorEastAsia" w:hAnsi="Palatino Linotype" w:cstheme="majorBidi"/>
          <w:b/>
          <w:color w:val="000000" w:themeColor="text1"/>
          <w:lang w:val="es-MX" w:eastAsia="en-US"/>
        </w:rPr>
      </w:pPr>
      <w:bookmarkStart w:id="36" w:name="_Toc495427547"/>
      <w:bookmarkStart w:id="37" w:name="_Toc497905366"/>
      <w:bookmarkStart w:id="38" w:name="_Toc86945047"/>
      <w:r w:rsidRPr="00C53469">
        <w:rPr>
          <w:rFonts w:ascii="Palatino Linotype" w:eastAsiaTheme="majorEastAsia" w:hAnsi="Palatino Linotype" w:cstheme="majorBidi"/>
          <w:b/>
          <w:color w:val="000000" w:themeColor="text1"/>
          <w:lang w:val="es-MX" w:eastAsia="en-US"/>
        </w:rPr>
        <w:t>R E S O L U T I V O S</w:t>
      </w:r>
      <w:bookmarkEnd w:id="36"/>
      <w:bookmarkEnd w:id="37"/>
      <w:bookmarkEnd w:id="38"/>
    </w:p>
    <w:p w14:paraId="44100311" w14:textId="77777777" w:rsidR="007D4EB8" w:rsidRPr="00C53469" w:rsidRDefault="007D4EB8" w:rsidP="007D4EB8">
      <w:pPr>
        <w:spacing w:line="360" w:lineRule="auto"/>
        <w:jc w:val="both"/>
        <w:rPr>
          <w:rFonts w:ascii="Palatino Linotype" w:eastAsiaTheme="minorEastAsia" w:hAnsi="Palatino Linotype" w:cstheme="minorBidi"/>
          <w:b/>
          <w:lang w:val="es-ES_tradnl"/>
        </w:rPr>
      </w:pPr>
    </w:p>
    <w:p w14:paraId="355276F2" w14:textId="2C034A84" w:rsidR="007D4EB8" w:rsidRPr="00C53469" w:rsidRDefault="007D4EB8" w:rsidP="007D4EB8">
      <w:pPr>
        <w:spacing w:line="360" w:lineRule="auto"/>
        <w:jc w:val="both"/>
        <w:rPr>
          <w:rFonts w:ascii="Palatino Linotype" w:eastAsiaTheme="minorEastAsia" w:hAnsi="Palatino Linotype" w:cstheme="minorBidi"/>
          <w:lang w:val="es-MX"/>
        </w:rPr>
      </w:pPr>
      <w:r w:rsidRPr="00C53469">
        <w:rPr>
          <w:rFonts w:ascii="Palatino Linotype" w:eastAsiaTheme="minorEastAsia" w:hAnsi="Palatino Linotype" w:cstheme="minorBidi"/>
          <w:b/>
          <w:lang w:val="es-ES_tradnl"/>
        </w:rPr>
        <w:t xml:space="preserve">PRIMERO. </w:t>
      </w:r>
      <w:r w:rsidRPr="00C53469">
        <w:rPr>
          <w:rFonts w:ascii="Palatino Linotype" w:eastAsiaTheme="minorEastAsia" w:hAnsi="Palatino Linotype" w:cstheme="minorBidi"/>
          <w:lang w:val="es-MX"/>
        </w:rPr>
        <w:t xml:space="preserve">Se </w:t>
      </w:r>
      <w:r w:rsidRPr="00C53469">
        <w:rPr>
          <w:rFonts w:ascii="Palatino Linotype" w:eastAsiaTheme="minorEastAsia" w:hAnsi="Palatino Linotype" w:cstheme="minorBidi"/>
          <w:b/>
          <w:lang w:val="es-MX"/>
        </w:rPr>
        <w:t>SOBRESEE</w:t>
      </w:r>
      <w:r w:rsidRPr="00C53469">
        <w:rPr>
          <w:rFonts w:ascii="Palatino Linotype" w:eastAsiaTheme="minorEastAsia" w:hAnsi="Palatino Linotype" w:cstheme="minorBidi"/>
          <w:lang w:val="es-MX"/>
        </w:rPr>
        <w:t xml:space="preserve"> el recurso de revisión número</w:t>
      </w:r>
      <w:r w:rsidR="003333B6" w:rsidRPr="00C53469">
        <w:rPr>
          <w:rFonts w:ascii="Palatino Linotype" w:eastAsiaTheme="minorEastAsia" w:hAnsi="Palatino Linotype" w:cstheme="minorBidi"/>
          <w:lang w:val="es-MX"/>
        </w:rPr>
        <w:t xml:space="preserve"> </w:t>
      </w:r>
      <w:r w:rsidR="003333B6" w:rsidRPr="00C53469">
        <w:rPr>
          <w:rFonts w:ascii="Palatino Linotype" w:eastAsiaTheme="minorEastAsia" w:hAnsi="Palatino Linotype" w:cstheme="minorBidi"/>
          <w:b/>
          <w:bCs/>
        </w:rPr>
        <w:t>15663/INFOEM/IP/RR/2022</w:t>
      </w:r>
      <w:r w:rsidRPr="00C53469">
        <w:rPr>
          <w:rFonts w:ascii="Palatino Linotype" w:eastAsiaTheme="minorEastAsia" w:hAnsi="Palatino Linotype" w:cstheme="minorBidi"/>
          <w:lang w:val="es-MX"/>
        </w:rPr>
        <w:t>, de</w:t>
      </w:r>
      <w:r w:rsidRPr="00C53469">
        <w:rPr>
          <w:rFonts w:ascii="Palatino Linotype" w:eastAsiaTheme="minorEastAsia" w:hAnsi="Palatino Linotype" w:cstheme="minorBidi"/>
          <w:b/>
          <w:lang w:val="es-MX"/>
        </w:rPr>
        <w:t xml:space="preserve"> </w:t>
      </w:r>
      <w:r w:rsidRPr="00C53469">
        <w:rPr>
          <w:rFonts w:ascii="Palatino Linotype" w:eastAsiaTheme="minorEastAsia" w:hAnsi="Palatino Linotype" w:cstheme="minorBidi"/>
          <w:lang w:val="es-MX"/>
        </w:rPr>
        <w:t>conformidad con</w:t>
      </w:r>
      <w:r w:rsidRPr="00C53469">
        <w:rPr>
          <w:rFonts w:ascii="Palatino Linotype" w:eastAsiaTheme="minorEastAsia" w:hAnsi="Palatino Linotype" w:cstheme="minorBidi"/>
          <w:b/>
          <w:lang w:val="es-MX"/>
        </w:rPr>
        <w:t xml:space="preserve"> </w:t>
      </w:r>
      <w:r w:rsidRPr="00C53469">
        <w:rPr>
          <w:rFonts w:ascii="Palatino Linotype" w:eastAsiaTheme="minorEastAsia" w:hAnsi="Palatino Linotype" w:cstheme="minorBidi"/>
          <w:lang w:val="es-MX"/>
        </w:rPr>
        <w:t>al artículo</w:t>
      </w:r>
      <w:r w:rsidR="003333B6" w:rsidRPr="00C53469">
        <w:rPr>
          <w:rFonts w:ascii="Palatino Linotype" w:eastAsiaTheme="minorEastAsia" w:hAnsi="Palatino Linotype" w:cstheme="minorBidi"/>
          <w:lang w:val="es-MX"/>
        </w:rPr>
        <w:t xml:space="preserve"> 191 fracción III</w:t>
      </w:r>
      <w:r w:rsidRPr="00C53469">
        <w:rPr>
          <w:rFonts w:ascii="Palatino Linotype" w:eastAsiaTheme="minorEastAsia" w:hAnsi="Palatino Linotype" w:cstheme="minorBidi"/>
          <w:lang w:val="es-MX"/>
        </w:rPr>
        <w:t xml:space="preserve"> en relación con el artículo 192 fracción IV de la Ley de Transparencia y Acceso a la Información Pública del Estado de México y Municipios, en términos del </w:t>
      </w:r>
      <w:r w:rsidRPr="00C53469">
        <w:rPr>
          <w:rFonts w:ascii="Palatino Linotype" w:eastAsiaTheme="minorEastAsia" w:hAnsi="Palatino Linotype" w:cstheme="minorBidi"/>
          <w:b/>
          <w:lang w:val="es-MX"/>
        </w:rPr>
        <w:t>Considerando TERCERO</w:t>
      </w:r>
      <w:r w:rsidRPr="00C53469">
        <w:rPr>
          <w:rFonts w:ascii="Palatino Linotype" w:eastAsiaTheme="minorEastAsia" w:hAnsi="Palatino Linotype" w:cstheme="minorBidi"/>
          <w:lang w:val="es-MX"/>
        </w:rPr>
        <w:t xml:space="preserve"> de la presente resolución.</w:t>
      </w:r>
    </w:p>
    <w:p w14:paraId="37A9FE9A" w14:textId="77777777" w:rsidR="007D4EB8" w:rsidRPr="00C53469" w:rsidRDefault="007D4EB8" w:rsidP="007D4EB8">
      <w:pPr>
        <w:spacing w:line="360" w:lineRule="auto"/>
        <w:jc w:val="both"/>
        <w:rPr>
          <w:rFonts w:ascii="Palatino Linotype" w:eastAsiaTheme="minorEastAsia" w:hAnsi="Palatino Linotype" w:cstheme="minorBidi"/>
          <w:lang w:val="es-ES_tradnl"/>
        </w:rPr>
      </w:pPr>
    </w:p>
    <w:p w14:paraId="0F9927E0" w14:textId="77777777" w:rsidR="007D4EB8" w:rsidRPr="00C53469" w:rsidRDefault="007D4EB8" w:rsidP="007D4EB8">
      <w:pPr>
        <w:spacing w:line="360" w:lineRule="auto"/>
        <w:jc w:val="both"/>
        <w:rPr>
          <w:rFonts w:ascii="Palatino Linotype" w:eastAsia="Calibri" w:hAnsi="Palatino Linotype" w:cs="Arial"/>
          <w:b/>
          <w:bCs/>
        </w:rPr>
      </w:pPr>
      <w:r w:rsidRPr="00C53469">
        <w:rPr>
          <w:rFonts w:ascii="Palatino Linotype" w:eastAsia="Calibri" w:hAnsi="Palatino Linotype" w:cs="Arial"/>
          <w:b/>
          <w:bCs/>
        </w:rPr>
        <w:t xml:space="preserve">SEGUNDO. Notifíquese </w:t>
      </w:r>
      <w:r w:rsidRPr="00C53469">
        <w:rPr>
          <w:rFonts w:ascii="Palatino Linotype" w:eastAsia="Calibri" w:hAnsi="Palatino Linotype" w:cs="Arial"/>
          <w:bCs/>
        </w:rPr>
        <w:t xml:space="preserve">a través del Sistema de Acceso a la Información Mexiquense </w:t>
      </w:r>
      <w:r w:rsidRPr="00C53469">
        <w:rPr>
          <w:rFonts w:ascii="Palatino Linotype" w:eastAsia="Calibri" w:hAnsi="Palatino Linotype" w:cs="Arial"/>
          <w:b/>
          <w:bCs/>
        </w:rPr>
        <w:t xml:space="preserve">(SAIMEX) </w:t>
      </w:r>
      <w:r w:rsidRPr="00C53469">
        <w:rPr>
          <w:rFonts w:ascii="Palatino Linotype" w:eastAsia="Calibri" w:hAnsi="Palatino Linotype" w:cs="Arial"/>
          <w:bCs/>
        </w:rPr>
        <w:t>la presente resolución a la Titular de la Unidad de Transparencia del</w:t>
      </w:r>
      <w:r w:rsidRPr="00C53469">
        <w:rPr>
          <w:rFonts w:ascii="Palatino Linotype" w:eastAsia="Calibri" w:hAnsi="Palatino Linotype" w:cs="Arial"/>
          <w:b/>
          <w:bCs/>
        </w:rPr>
        <w:t xml:space="preserve"> SUJETO OBLIGADO. </w:t>
      </w:r>
    </w:p>
    <w:p w14:paraId="019B6C42" w14:textId="77777777" w:rsidR="007D4EB8" w:rsidRPr="00C53469" w:rsidRDefault="007D4EB8" w:rsidP="007D4EB8">
      <w:pPr>
        <w:spacing w:line="360" w:lineRule="auto"/>
        <w:jc w:val="both"/>
        <w:rPr>
          <w:rFonts w:ascii="Palatino Linotype" w:eastAsia="Calibri" w:hAnsi="Palatino Linotype" w:cs="Arial"/>
          <w:b/>
          <w:bCs/>
        </w:rPr>
      </w:pPr>
    </w:p>
    <w:p w14:paraId="4294D613" w14:textId="77777777" w:rsidR="007D4EB8" w:rsidRPr="00C53469" w:rsidRDefault="007D4EB8" w:rsidP="007D4EB8">
      <w:pPr>
        <w:spacing w:line="360" w:lineRule="auto"/>
        <w:jc w:val="both"/>
        <w:rPr>
          <w:rFonts w:ascii="Palatino Linotype" w:hAnsi="Palatino Linotype"/>
          <w:color w:val="222222"/>
          <w:lang w:eastAsia="es-MX"/>
        </w:rPr>
      </w:pPr>
      <w:r w:rsidRPr="00C53469">
        <w:rPr>
          <w:rFonts w:ascii="Palatino Linotype" w:hAnsi="Palatino Linotype" w:cs="Arial"/>
          <w:b/>
          <w:lang w:val="es-ES_tradnl"/>
        </w:rPr>
        <w:t xml:space="preserve">TERCERO. </w:t>
      </w:r>
      <w:r w:rsidRPr="00C53469">
        <w:rPr>
          <w:rFonts w:ascii="Palatino Linotype" w:hAnsi="Palatino Linotype"/>
          <w:b/>
          <w:bCs/>
          <w:color w:val="222222"/>
        </w:rPr>
        <w:t xml:space="preserve">Notifíquese </w:t>
      </w:r>
      <w:r w:rsidRPr="00C53469">
        <w:rPr>
          <w:rFonts w:ascii="Palatino Linotype" w:hAnsi="Palatino Linotype"/>
          <w:bCs/>
          <w:color w:val="222222"/>
        </w:rPr>
        <w:t xml:space="preserve">al </w:t>
      </w:r>
      <w:r w:rsidRPr="00C53469">
        <w:rPr>
          <w:rFonts w:ascii="Palatino Linotype" w:eastAsiaTheme="minorEastAsia" w:hAnsi="Palatino Linotype" w:cstheme="minorBidi"/>
          <w:b/>
          <w:lang w:val="es-ES_tradnl"/>
        </w:rPr>
        <w:t xml:space="preserve">RECURRENTE </w:t>
      </w:r>
      <w:r w:rsidRPr="00C53469">
        <w:rPr>
          <w:rFonts w:ascii="Palatino Linotype" w:eastAsia="Calibri" w:hAnsi="Palatino Linotype" w:cs="Arial"/>
          <w:bCs/>
        </w:rPr>
        <w:t xml:space="preserve">a través del Sistema de Acceso a la Información Mexiquense </w:t>
      </w:r>
      <w:r w:rsidRPr="00C53469">
        <w:rPr>
          <w:rFonts w:ascii="Palatino Linotype" w:eastAsia="Calibri" w:hAnsi="Palatino Linotype" w:cs="Arial"/>
          <w:b/>
          <w:bCs/>
        </w:rPr>
        <w:t xml:space="preserve">(SAIMEX) </w:t>
      </w:r>
      <w:r w:rsidRPr="00C53469">
        <w:rPr>
          <w:rFonts w:ascii="Palatino Linotype" w:hAnsi="Palatino Linotype"/>
          <w:color w:val="222222"/>
          <w:lang w:eastAsia="es-MX"/>
        </w:rPr>
        <w:t>la presente resolución.</w:t>
      </w:r>
    </w:p>
    <w:p w14:paraId="62E57649" w14:textId="77777777" w:rsidR="007D4EB8" w:rsidRPr="00C53469" w:rsidRDefault="007D4EB8" w:rsidP="007D4EB8">
      <w:pPr>
        <w:spacing w:line="360" w:lineRule="auto"/>
        <w:jc w:val="both"/>
        <w:rPr>
          <w:rFonts w:ascii="Palatino Linotype" w:hAnsi="Palatino Linotype"/>
          <w:color w:val="222222"/>
          <w:lang w:eastAsia="es-MX"/>
        </w:rPr>
      </w:pPr>
    </w:p>
    <w:p w14:paraId="3503754B" w14:textId="7E491BB5" w:rsidR="003333B6" w:rsidRPr="00C53469" w:rsidRDefault="007D4EB8" w:rsidP="007D4EB8">
      <w:pPr>
        <w:spacing w:line="360" w:lineRule="auto"/>
        <w:contextualSpacing/>
        <w:jc w:val="both"/>
        <w:rPr>
          <w:rFonts w:ascii="Palatino Linotype" w:eastAsia="MS Mincho" w:hAnsi="Palatino Linotype"/>
        </w:rPr>
      </w:pPr>
      <w:r w:rsidRPr="00C53469">
        <w:rPr>
          <w:rFonts w:ascii="Palatino Linotype" w:eastAsia="MS Mincho" w:hAnsi="Palatino Linotype"/>
          <w:b/>
          <w:lang w:val="es-MX"/>
        </w:rPr>
        <w:t>CUARTO.</w:t>
      </w:r>
      <w:r w:rsidRPr="00C53469">
        <w:rPr>
          <w:rFonts w:ascii="Palatino Linotype" w:eastAsia="MS Mincho" w:hAnsi="Palatino Linotype"/>
          <w:lang w:val="es-MX"/>
        </w:rPr>
        <w:t xml:space="preserve"> </w:t>
      </w:r>
      <w:r w:rsidRPr="00C53469">
        <w:rPr>
          <w:rFonts w:ascii="Palatino Linotype" w:eastAsia="MS Mincho" w:hAnsi="Palatino Linotype"/>
        </w:rPr>
        <w:t xml:space="preserve">Se hace del conocimiento del </w:t>
      </w:r>
      <w:r w:rsidRPr="00C53469">
        <w:rPr>
          <w:rFonts w:ascii="Palatino Linotype" w:eastAsiaTheme="minorEastAsia" w:hAnsi="Palatino Linotype" w:cstheme="minorBidi"/>
          <w:b/>
          <w:lang w:val="es-ES_tradnl"/>
        </w:rPr>
        <w:t xml:space="preserve">RECURRENTE </w:t>
      </w:r>
      <w:r w:rsidRPr="00C53469">
        <w:rPr>
          <w:rFonts w:ascii="Palatino Linotype" w:eastAsia="MS Mincho" w:hAnsi="Palatino Linotype"/>
        </w:rPr>
        <w:t xml:space="preserve">que, de conformidad con lo establecido en el artículo 196 de la Ley de Transparencia y Acceso a la Información Pública del Estado de México y Municipios, en caso de que considere que la </w:t>
      </w:r>
      <w:r w:rsidRPr="00C53469">
        <w:rPr>
          <w:rFonts w:ascii="Palatino Linotype" w:eastAsia="MS Mincho" w:hAnsi="Palatino Linotype"/>
        </w:rPr>
        <w:lastRenderedPageBreak/>
        <w:t xml:space="preserve">resolución le cause algún perjuicio podrá impugnarla </w:t>
      </w:r>
      <w:r w:rsidRPr="00C53469">
        <w:rPr>
          <w:rFonts w:ascii="Palatino Linotype" w:eastAsia="MS Mincho" w:hAnsi="Palatino Linotype"/>
          <w:bCs/>
        </w:rPr>
        <w:t xml:space="preserve">vía juicio de amparo </w:t>
      </w:r>
      <w:r w:rsidRPr="00C53469">
        <w:rPr>
          <w:rFonts w:ascii="Palatino Linotype" w:eastAsia="MS Mincho" w:hAnsi="Palatino Linotype"/>
        </w:rPr>
        <w:t>en los términos de las leyes aplicables.</w:t>
      </w:r>
    </w:p>
    <w:p w14:paraId="55B8F673" w14:textId="77777777" w:rsidR="003333B6" w:rsidRPr="00C53469" w:rsidRDefault="003333B6" w:rsidP="007D4EB8">
      <w:pPr>
        <w:spacing w:line="360" w:lineRule="auto"/>
        <w:contextualSpacing/>
        <w:jc w:val="both"/>
        <w:rPr>
          <w:rFonts w:ascii="Palatino Linotype" w:eastAsia="MS Mincho" w:hAnsi="Palatino Linotype"/>
        </w:rPr>
      </w:pPr>
    </w:p>
    <w:p w14:paraId="73608E20" w14:textId="77777777" w:rsidR="00091649" w:rsidRDefault="00091649" w:rsidP="00091649">
      <w:pPr>
        <w:spacing w:before="240" w:after="240" w:line="360" w:lineRule="auto"/>
        <w:jc w:val="both"/>
        <w:rPr>
          <w:rFonts w:ascii="Palatino Linotype" w:hAnsi="Palatino Linotype"/>
        </w:rPr>
      </w:pPr>
      <w:r w:rsidRPr="00C53469">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PRIMERA SESIÓN ORDINARIA CELEBRADA EL DIECISÉIS (16) DE NOVIEMBRE DE DOS MIL VEINTIDÓS, ANTE EL SECRETARIO TÉCNICO DEL PLENO ALEXIS TAPIA RAMÍREZ.</w:t>
      </w:r>
      <w:bookmarkStart w:id="39" w:name="_GoBack"/>
      <w:bookmarkEnd w:id="39"/>
      <w:r w:rsidRPr="00624AAD">
        <w:rPr>
          <w:rFonts w:ascii="Palatino Linotype" w:hAnsi="Palatino Linotype"/>
        </w:rPr>
        <w:t xml:space="preserve"> </w:t>
      </w:r>
    </w:p>
    <w:p w14:paraId="160AC02E" w14:textId="77777777" w:rsidR="007D4EB8" w:rsidRPr="007D4EB8" w:rsidRDefault="007D4EB8" w:rsidP="007D4EB8">
      <w:pPr>
        <w:spacing w:line="360" w:lineRule="auto"/>
        <w:jc w:val="both"/>
        <w:rPr>
          <w:rFonts w:ascii="Palatino Linotype" w:hAnsi="Palatino Linotype"/>
          <w:b/>
          <w:lang w:eastAsia="es-MX"/>
        </w:rPr>
      </w:pPr>
    </w:p>
    <w:p w14:paraId="60EC2B18" w14:textId="7B77C9E3" w:rsidR="009D6F19" w:rsidRPr="007D4EB8" w:rsidRDefault="009D6F19" w:rsidP="00237F82">
      <w:pPr>
        <w:pStyle w:val="Prrafodelista"/>
        <w:spacing w:line="360" w:lineRule="auto"/>
        <w:ind w:left="0"/>
        <w:jc w:val="both"/>
        <w:rPr>
          <w:rFonts w:ascii="Palatino Linotype" w:eastAsia="Arial Unicode MS" w:hAnsi="Palatino Linotype" w:cs="Arial"/>
          <w:lang w:val="es-ES_tradnl"/>
        </w:rPr>
      </w:pPr>
    </w:p>
    <w:p w14:paraId="3D89156E" w14:textId="659AEAAF" w:rsidR="009D6F19" w:rsidRDefault="009D6F19" w:rsidP="00237F82">
      <w:pPr>
        <w:pStyle w:val="Prrafodelista"/>
        <w:spacing w:line="360" w:lineRule="auto"/>
        <w:ind w:left="0"/>
        <w:jc w:val="both"/>
        <w:rPr>
          <w:rFonts w:ascii="Palatino Linotype" w:eastAsia="Arial Unicode MS" w:hAnsi="Palatino Linotype" w:cs="Arial"/>
        </w:rPr>
      </w:pPr>
    </w:p>
    <w:p w14:paraId="335FE5A4" w14:textId="77777777" w:rsidR="009871A5" w:rsidRPr="00C373ED" w:rsidRDefault="009871A5" w:rsidP="00C373ED">
      <w:pPr>
        <w:spacing w:before="240" w:after="240" w:line="360" w:lineRule="auto"/>
        <w:ind w:firstLine="1"/>
        <w:jc w:val="both"/>
        <w:rPr>
          <w:rFonts w:ascii="Palatino Linotype" w:hAnsi="Palatino Linotype"/>
          <w:lang w:val="es-ES_tradnl"/>
        </w:rPr>
      </w:pPr>
    </w:p>
    <w:p w14:paraId="39228E00" w14:textId="77777777" w:rsidR="00E73052" w:rsidRPr="00C373ED" w:rsidRDefault="00E73052" w:rsidP="00C373ED">
      <w:pPr>
        <w:pStyle w:val="Prrafodelista"/>
        <w:tabs>
          <w:tab w:val="left" w:pos="0"/>
        </w:tabs>
        <w:spacing w:line="360" w:lineRule="auto"/>
        <w:ind w:left="0" w:right="49"/>
        <w:jc w:val="both"/>
        <w:rPr>
          <w:rFonts w:ascii="Palatino Linotype" w:eastAsia="Palatino Linotype" w:hAnsi="Palatino Linotype" w:cs="Palatino Linotype"/>
          <w:i/>
          <w:lang w:val="es-ES_tradnl" w:eastAsia="es-MX"/>
        </w:rPr>
      </w:pPr>
    </w:p>
    <w:p w14:paraId="7B7439FD" w14:textId="77777777" w:rsidR="00674B40" w:rsidRPr="00C373ED" w:rsidRDefault="00674B40" w:rsidP="00C373ED">
      <w:pPr>
        <w:tabs>
          <w:tab w:val="left" w:pos="0"/>
          <w:tab w:val="left" w:pos="426"/>
        </w:tabs>
        <w:spacing w:before="240" w:after="240" w:line="360" w:lineRule="auto"/>
        <w:ind w:right="49"/>
        <w:contextualSpacing/>
        <w:jc w:val="both"/>
        <w:rPr>
          <w:rFonts w:ascii="Palatino Linotype" w:eastAsia="MS Mincho" w:hAnsi="Palatino Linotype" w:cs="Arial"/>
          <w:lang w:val="es-MX"/>
        </w:rPr>
      </w:pPr>
    </w:p>
    <w:bookmarkEnd w:id="28"/>
    <w:bookmarkEnd w:id="29"/>
    <w:bookmarkEnd w:id="30"/>
    <w:bookmarkEnd w:id="31"/>
    <w:bookmarkEnd w:id="32"/>
    <w:p w14:paraId="037D684A" w14:textId="77777777" w:rsidR="002F3CC1" w:rsidRPr="00C373ED" w:rsidRDefault="002F3CC1" w:rsidP="00C373ED">
      <w:pPr>
        <w:tabs>
          <w:tab w:val="left" w:pos="0"/>
          <w:tab w:val="left" w:pos="426"/>
        </w:tabs>
        <w:spacing w:before="240" w:after="240" w:line="360" w:lineRule="auto"/>
        <w:ind w:right="49"/>
        <w:contextualSpacing/>
        <w:jc w:val="both"/>
        <w:rPr>
          <w:rFonts w:ascii="Palatino Linotype" w:eastAsia="MS Mincho" w:hAnsi="Palatino Linotype" w:cs="Arial"/>
          <w:lang w:val="es-MX"/>
        </w:rPr>
      </w:pPr>
    </w:p>
    <w:sectPr w:rsidR="002F3CC1" w:rsidRPr="00C373ED" w:rsidSect="009F07F4">
      <w:headerReference w:type="default" r:id="rId10"/>
      <w:footerReference w:type="default" r:id="rId11"/>
      <w:headerReference w:type="first" r:id="rId12"/>
      <w:footerReference w:type="first" r:id="rId13"/>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F63E34" w14:textId="77777777" w:rsidR="00E62CA7" w:rsidRDefault="00E62CA7" w:rsidP="00C80F8C">
      <w:r>
        <w:separator/>
      </w:r>
    </w:p>
  </w:endnote>
  <w:endnote w:type="continuationSeparator" w:id="0">
    <w:p w14:paraId="563FC390" w14:textId="77777777" w:rsidR="00E62CA7" w:rsidRDefault="00E62CA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3BE62C06" w:rsidR="00FD7847" w:rsidRPr="00817AAB" w:rsidRDefault="00FD7847"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C53469">
      <w:rPr>
        <w:rFonts w:ascii="Palatino Linotype" w:hAnsi="Palatino Linotype" w:cs="Arial"/>
        <w:b/>
        <w:bCs/>
        <w:noProof/>
      </w:rPr>
      <w:t>21</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C53469">
      <w:rPr>
        <w:rFonts w:ascii="Palatino Linotype" w:hAnsi="Palatino Linotype" w:cs="Arial"/>
        <w:b/>
        <w:bCs/>
        <w:noProof/>
      </w:rPr>
      <w:t>23</w:t>
    </w:r>
    <w:r w:rsidRPr="00817AAB">
      <w:rPr>
        <w:rFonts w:ascii="Palatino Linotype" w:hAnsi="Palatino Linotype" w:cs="Arial"/>
        <w:b/>
        <w:bCs/>
      </w:rPr>
      <w:fldChar w:fldCharType="end"/>
    </w:r>
  </w:p>
  <w:p w14:paraId="1192A578" w14:textId="77777777" w:rsidR="00FD7847" w:rsidRDefault="00FD7847" w:rsidP="00935A0D">
    <w:pPr>
      <w:pStyle w:val="Piedepgina"/>
      <w:rPr>
        <w:rFonts w:ascii="Times New Roman" w:hAnsi="Times New Roman" w:cs="Times New Roman"/>
      </w:rPr>
    </w:pPr>
  </w:p>
  <w:p w14:paraId="14A770F8" w14:textId="77777777" w:rsidR="00FD7847" w:rsidRDefault="00FD7847"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21FAB9D6" w:rsidR="00FD7847" w:rsidRDefault="00FD7847"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C53469">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C53469">
      <w:rPr>
        <w:rFonts w:ascii="Arial" w:hAnsi="Arial" w:cs="Arial"/>
        <w:b/>
        <w:bCs/>
        <w:noProof/>
        <w:sz w:val="20"/>
        <w:szCs w:val="20"/>
      </w:rPr>
      <w:t>23</w:t>
    </w:r>
    <w:r>
      <w:rPr>
        <w:rFonts w:ascii="Arial" w:hAnsi="Arial" w:cs="Arial"/>
        <w:b/>
        <w:bCs/>
        <w:sz w:val="20"/>
        <w:szCs w:val="20"/>
      </w:rPr>
      <w:fldChar w:fldCharType="end"/>
    </w:r>
  </w:p>
  <w:p w14:paraId="5D98ABD5" w14:textId="77777777" w:rsidR="00FD7847" w:rsidRDefault="00FD784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805BD1" w14:textId="77777777" w:rsidR="00E62CA7" w:rsidRDefault="00E62CA7" w:rsidP="00C80F8C">
      <w:r>
        <w:separator/>
      </w:r>
    </w:p>
  </w:footnote>
  <w:footnote w:type="continuationSeparator" w:id="0">
    <w:p w14:paraId="55435ABA" w14:textId="77777777" w:rsidR="00E62CA7" w:rsidRDefault="00E62CA7" w:rsidP="00C80F8C">
      <w:r>
        <w:continuationSeparator/>
      </w:r>
    </w:p>
  </w:footnote>
  <w:footnote w:id="1">
    <w:p w14:paraId="0158CA1C" w14:textId="77777777" w:rsidR="00FD13D4" w:rsidRDefault="00FD13D4" w:rsidP="00FD13D4">
      <w:pPr>
        <w:pStyle w:val="Textonotapie"/>
        <w:rPr>
          <w:rFonts w:ascii="Palatino Linotype" w:eastAsia="Cambria" w:hAnsi="Palatino Linotype" w:cs="Times New Roman"/>
          <w:sz w:val="18"/>
        </w:rPr>
      </w:pPr>
      <w:r>
        <w:rPr>
          <w:rStyle w:val="Refdenotaalpie"/>
          <w:rFonts w:ascii="Palatino Linotype" w:hAnsi="Palatino Linotype"/>
        </w:rPr>
        <w:footnoteRef/>
      </w:r>
      <w:r>
        <w:rPr>
          <w:rFonts w:ascii="Palatino Linotype" w:hAnsi="Palatino Linotype"/>
          <w:sz w:val="18"/>
        </w:rPr>
        <w:t xml:space="preserve"> Convención Americana sobre Derechos Humanos. Artículo 13.</w:t>
      </w:r>
    </w:p>
  </w:footnote>
  <w:footnote w:id="2">
    <w:p w14:paraId="464E330B" w14:textId="77777777" w:rsidR="00FD13D4" w:rsidRDefault="00FD13D4" w:rsidP="00FD13D4">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Constitución Política de los Estados Unidos Mexicanos. Artículo sexto, sección A, fracción I.</w:t>
      </w:r>
    </w:p>
  </w:footnote>
  <w:footnote w:id="3">
    <w:p w14:paraId="4109008B" w14:textId="77777777" w:rsidR="00FD13D4" w:rsidRDefault="00FD13D4" w:rsidP="00FD13D4">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Corte Interamericana de Derechos Humanos. Caso Claude Reyes y otros vs. Chile. Sentencia de 19 de septiembre de 2006. Serie C. No. 151. Párr. 86.</w:t>
      </w:r>
    </w:p>
  </w:footnote>
  <w:footnote w:id="4">
    <w:p w14:paraId="1166A7BF" w14:textId="77777777" w:rsidR="00FD13D4" w:rsidRDefault="00FD13D4" w:rsidP="00FD13D4">
      <w:pPr>
        <w:pStyle w:val="Textonotapie"/>
        <w:rPr>
          <w:rFonts w:ascii="Cambria" w:hAnsi="Cambria"/>
        </w:rPr>
      </w:pPr>
      <w:r>
        <w:rPr>
          <w:rStyle w:val="Refdenotaalpie"/>
          <w:rFonts w:ascii="Palatino Linotype" w:hAnsi="Palatino Linotype"/>
        </w:rPr>
        <w:footnoteRef/>
      </w:r>
      <w:r>
        <w:rPr>
          <w:rFonts w:ascii="Palatino Linotype" w:hAnsi="Palatino Linotype"/>
          <w:sz w:val="18"/>
        </w:rPr>
        <w:t xml:space="preserve"> Ibídem. </w:t>
      </w:r>
      <w:proofErr w:type="spellStart"/>
      <w:r>
        <w:rPr>
          <w:rFonts w:ascii="Palatino Linotype" w:hAnsi="Palatino Linotype"/>
          <w:sz w:val="18"/>
        </w:rPr>
        <w:t>Parr</w:t>
      </w:r>
      <w:proofErr w:type="spellEnd"/>
      <w:r>
        <w:rPr>
          <w:rFonts w:ascii="Palatino Linotype" w:hAnsi="Palatino Linotype"/>
          <w:sz w:val="18"/>
        </w:rPr>
        <w:t>. 87.</w:t>
      </w:r>
    </w:p>
  </w:footnote>
  <w:footnote w:id="5">
    <w:p w14:paraId="6E57EC4F" w14:textId="77777777" w:rsidR="00FD7847" w:rsidRPr="00F5102E" w:rsidRDefault="00FD7847" w:rsidP="00C548CF">
      <w:pPr>
        <w:pStyle w:val="Textonotapie"/>
        <w:jc w:val="both"/>
        <w:rPr>
          <w:rFonts w:ascii="Palatino Linotype" w:hAnsi="Palatino Linotype"/>
        </w:rPr>
      </w:pPr>
      <w:r w:rsidRPr="00F5102E">
        <w:rPr>
          <w:rStyle w:val="Refdenotaalpie"/>
          <w:rFonts w:ascii="Palatino Linotype" w:hAnsi="Palatino Linotype"/>
        </w:rPr>
        <w:footnoteRef/>
      </w:r>
      <w:r w:rsidRPr="00F5102E">
        <w:rPr>
          <w:rFonts w:ascii="Palatino Linotype" w:hAnsi="Palatino Linotype"/>
        </w:rPr>
        <w:t xml:space="preserve"> </w:t>
      </w:r>
      <w:r w:rsidRPr="00F5102E">
        <w:rPr>
          <w:rFonts w:ascii="Palatino Linotype" w:hAnsi="Palatino Linotype"/>
          <w:b/>
        </w:rPr>
        <w:t>Artículo 9.</w:t>
      </w:r>
      <w:r w:rsidRPr="00F5102E">
        <w:rPr>
          <w:rFonts w:ascii="Palatino Linotype" w:hAnsi="Palatino Linotype"/>
        </w:rPr>
        <w:t xml:space="preserve"> El Instituto deberá regir su funcionamiento de acuerdo a los siguientes principios:</w:t>
      </w:r>
    </w:p>
    <w:p w14:paraId="3E119021" w14:textId="77777777" w:rsidR="00FD7847" w:rsidRPr="00F5102E" w:rsidRDefault="00FD7847" w:rsidP="00C548CF">
      <w:pPr>
        <w:pStyle w:val="Textonotapie"/>
        <w:jc w:val="both"/>
        <w:rPr>
          <w:rFonts w:ascii="Palatino Linotype" w:hAnsi="Palatino Linotype"/>
        </w:rPr>
      </w:pPr>
      <w:r w:rsidRPr="00F5102E">
        <w:rPr>
          <w:rFonts w:ascii="Palatino Linotype" w:hAnsi="Palatino Linotype"/>
        </w:rPr>
        <w:t>(…)</w:t>
      </w:r>
    </w:p>
    <w:p w14:paraId="42D31E86" w14:textId="77777777" w:rsidR="00FD7847" w:rsidRPr="00F5102E" w:rsidRDefault="00FD7847" w:rsidP="00C548CF">
      <w:pPr>
        <w:pStyle w:val="Textonotapie"/>
        <w:jc w:val="both"/>
        <w:rPr>
          <w:rFonts w:ascii="Palatino Linotype" w:hAnsi="Palatino Linotype"/>
          <w:lang w:val="es-ES"/>
        </w:rPr>
      </w:pPr>
      <w:r w:rsidRPr="00F5102E">
        <w:rPr>
          <w:rFonts w:ascii="Palatino Linotype" w:hAnsi="Palatino Linotype"/>
          <w:b/>
          <w:lang w:val="es-ES"/>
        </w:rPr>
        <w:t>II. Eficacia:</w:t>
      </w:r>
      <w:r w:rsidRPr="00F5102E">
        <w:rPr>
          <w:rFonts w:ascii="Palatino Linotype" w:hAnsi="Palatino Linotype"/>
          <w:lang w:val="es-ES"/>
        </w:rPr>
        <w:t xml:space="preserve"> Obligación del Instituto para tutelar, de manera efectiva, el derecho de acceso a la información</w:t>
      </w:r>
    </w:p>
    <w:p w14:paraId="3846E108" w14:textId="77777777" w:rsidR="00FD7847" w:rsidRPr="00F5102E" w:rsidRDefault="00FD7847" w:rsidP="00C548CF">
      <w:pPr>
        <w:pStyle w:val="Textonotapie"/>
        <w:jc w:val="both"/>
        <w:rPr>
          <w:rFonts w:ascii="Palatino Linotype" w:hAnsi="Palatino Linotype"/>
          <w:lang w:val="es-ES"/>
        </w:rPr>
      </w:pPr>
      <w:r w:rsidRPr="00F5102E">
        <w:rPr>
          <w:rFonts w:ascii="Palatino Linotype" w:hAnsi="Palatino Linotype"/>
          <w:lang w:val="es-ES"/>
        </w:rPr>
        <w:t>(…)</w:t>
      </w:r>
    </w:p>
    <w:p w14:paraId="1233CE65" w14:textId="77777777" w:rsidR="00FD7847" w:rsidRDefault="00FD7847" w:rsidP="00C548CF">
      <w:pPr>
        <w:pStyle w:val="Textonotapie"/>
        <w:jc w:val="both"/>
      </w:pPr>
      <w:r w:rsidRPr="00F5102E">
        <w:rPr>
          <w:rFonts w:ascii="Palatino Linotype" w:hAnsi="Palatino Linotype"/>
          <w:b/>
          <w:lang w:val="es-ES"/>
        </w:rPr>
        <w:t>IX. Profesionalismo:</w:t>
      </w:r>
      <w:r w:rsidRPr="00F5102E">
        <w:rPr>
          <w:rFonts w:ascii="Palatino Linotype" w:hAnsi="Palatino Linotype"/>
          <w:lang w:val="es-ES"/>
        </w:rPr>
        <w:t xml:space="preserve"> Los servidores públicos que laboren en el Instituto deberán sujetar su actuación a conocimientos técnicos, teóricos y metodológicos que garanticen un desempeño eficiente y eficaz en el ejercicio de la función pública que tienen encomendada; y</w:t>
      </w:r>
    </w:p>
  </w:footnote>
  <w:footnote w:id="6">
    <w:p w14:paraId="76E883B9" w14:textId="77777777" w:rsidR="007D4EB8" w:rsidRDefault="007D4EB8" w:rsidP="007D4EB8">
      <w:pPr>
        <w:pStyle w:val="Textonotapie"/>
      </w:pPr>
      <w:r>
        <w:rPr>
          <w:rStyle w:val="Refdenotaalpie"/>
        </w:rPr>
        <w:footnoteRef/>
      </w:r>
      <w:r>
        <w:t xml:space="preserve"> Artículo 179. El recurso de revisión es un medio de protección que la Ley otorga a los particulares,</w:t>
      </w:r>
    </w:p>
    <w:p w14:paraId="51123FED" w14:textId="77777777" w:rsidR="007D4EB8" w:rsidRDefault="007D4EB8" w:rsidP="007D4EB8">
      <w:pPr>
        <w:pStyle w:val="Textonotapie"/>
      </w:pPr>
      <w:r>
        <w:t>para hacer valer su derecho de acceso a la información pública, y procederá en contra de las siguientes</w:t>
      </w:r>
    </w:p>
    <w:p w14:paraId="442B3A58" w14:textId="77777777" w:rsidR="007D4EB8" w:rsidRDefault="007D4EB8" w:rsidP="007D4EB8">
      <w:pPr>
        <w:pStyle w:val="Textonotapie"/>
      </w:pPr>
      <w:r>
        <w:t>causas:</w:t>
      </w:r>
    </w:p>
    <w:p w14:paraId="496A143D" w14:textId="77777777" w:rsidR="007D4EB8" w:rsidRDefault="007D4EB8" w:rsidP="007D4EB8">
      <w:pPr>
        <w:pStyle w:val="Textonotapie"/>
      </w:pPr>
      <w:r>
        <w:t>I. La negativa a la información solicitada;</w:t>
      </w:r>
    </w:p>
    <w:p w14:paraId="059752F0" w14:textId="77777777" w:rsidR="007D4EB8" w:rsidRDefault="007D4EB8" w:rsidP="007D4EB8">
      <w:pPr>
        <w:pStyle w:val="Textonotapie"/>
      </w:pPr>
      <w:r>
        <w:t>II. La clasificación de la información;</w:t>
      </w:r>
    </w:p>
    <w:p w14:paraId="19556E72" w14:textId="77777777" w:rsidR="007D4EB8" w:rsidRDefault="007D4EB8" w:rsidP="007D4EB8">
      <w:pPr>
        <w:pStyle w:val="Textonotapie"/>
      </w:pPr>
      <w:r>
        <w:t>III. La declaración de inexistencia de la información;</w:t>
      </w:r>
    </w:p>
    <w:p w14:paraId="7D7ADA29" w14:textId="77777777" w:rsidR="007D4EB8" w:rsidRDefault="007D4EB8" w:rsidP="007D4EB8">
      <w:pPr>
        <w:pStyle w:val="Textonotapie"/>
      </w:pPr>
      <w:r>
        <w:t>IV. La declaración de incompetencia por el sujeto obligado;</w:t>
      </w:r>
    </w:p>
    <w:p w14:paraId="6D10536C" w14:textId="77777777" w:rsidR="007D4EB8" w:rsidRDefault="007D4EB8" w:rsidP="007D4EB8">
      <w:pPr>
        <w:pStyle w:val="Textonotapie"/>
      </w:pPr>
      <w:r>
        <w:t>V. La entrega de información incompleta;</w:t>
      </w:r>
    </w:p>
    <w:p w14:paraId="265D523E" w14:textId="77777777" w:rsidR="007D4EB8" w:rsidRDefault="007D4EB8" w:rsidP="007D4EB8">
      <w:pPr>
        <w:pStyle w:val="Textonotapie"/>
      </w:pPr>
      <w:r>
        <w:t>VI. La entrega de información que no corresponda con lo solicitado;</w:t>
      </w:r>
    </w:p>
    <w:p w14:paraId="6528DFAD" w14:textId="77777777" w:rsidR="007D4EB8" w:rsidRDefault="007D4EB8" w:rsidP="007D4EB8">
      <w:pPr>
        <w:pStyle w:val="Textonotapie"/>
      </w:pPr>
      <w:r>
        <w:t>VII. La falta de respuesta a una solicitud de acceso a la información;</w:t>
      </w:r>
    </w:p>
    <w:p w14:paraId="6C19D0CD" w14:textId="77777777" w:rsidR="007D4EB8" w:rsidRDefault="007D4EB8" w:rsidP="007D4EB8">
      <w:pPr>
        <w:pStyle w:val="Textonotapie"/>
      </w:pPr>
      <w:r>
        <w:t>VIII. La notificación, entrega o puesta a disposición de información en una modalidad o formato distinto</w:t>
      </w:r>
    </w:p>
    <w:p w14:paraId="356C4A53" w14:textId="77777777" w:rsidR="007D4EB8" w:rsidRDefault="007D4EB8" w:rsidP="007D4EB8">
      <w:pPr>
        <w:pStyle w:val="Textonotapie"/>
      </w:pPr>
      <w:r>
        <w:t>al solicitado;</w:t>
      </w:r>
    </w:p>
    <w:p w14:paraId="166C23C1" w14:textId="77777777" w:rsidR="007D4EB8" w:rsidRDefault="007D4EB8" w:rsidP="007D4EB8">
      <w:pPr>
        <w:pStyle w:val="Textonotapie"/>
      </w:pPr>
      <w:r>
        <w:t>IX. La entrega o puesta a disposición de información en un formato incomprensible y/o no accesible</w:t>
      </w:r>
    </w:p>
    <w:p w14:paraId="4DA44F2C" w14:textId="77777777" w:rsidR="007D4EB8" w:rsidRDefault="007D4EB8" w:rsidP="007D4EB8">
      <w:pPr>
        <w:pStyle w:val="Textonotapie"/>
      </w:pPr>
      <w:r>
        <w:t>para el solicitante;</w:t>
      </w:r>
    </w:p>
    <w:p w14:paraId="337E1D55" w14:textId="77777777" w:rsidR="007D4EB8" w:rsidRDefault="007D4EB8" w:rsidP="007D4EB8">
      <w:pPr>
        <w:pStyle w:val="Textonotapie"/>
      </w:pPr>
      <w:r>
        <w:t>X. Los costos o tiempos de entrega de la información;</w:t>
      </w:r>
    </w:p>
    <w:p w14:paraId="08381143" w14:textId="77777777" w:rsidR="007D4EB8" w:rsidRDefault="007D4EB8" w:rsidP="007D4EB8">
      <w:pPr>
        <w:pStyle w:val="Textonotapie"/>
      </w:pPr>
      <w:r>
        <w:t>XI. La falta de trámite a una solicitud;</w:t>
      </w:r>
    </w:p>
    <w:p w14:paraId="69FAE079" w14:textId="77777777" w:rsidR="007D4EB8" w:rsidRDefault="007D4EB8" w:rsidP="007D4EB8">
      <w:pPr>
        <w:pStyle w:val="Textonotapie"/>
      </w:pPr>
      <w:r>
        <w:t>XII. La negativa a permitir la consulta directa de la información;</w:t>
      </w:r>
    </w:p>
    <w:p w14:paraId="58827772" w14:textId="77777777" w:rsidR="007D4EB8" w:rsidRDefault="007D4EB8" w:rsidP="007D4EB8">
      <w:pPr>
        <w:pStyle w:val="Textonotapie"/>
      </w:pPr>
      <w:r>
        <w:t>XIII. La falta, deficiencia o insuficiencia de la fundamentación y/o motivación en la respuesta; y</w:t>
      </w:r>
    </w:p>
    <w:p w14:paraId="202D2310" w14:textId="77777777" w:rsidR="007D4EB8" w:rsidRDefault="007D4EB8" w:rsidP="007D4EB8">
      <w:pPr>
        <w:pStyle w:val="Textonotapie"/>
      </w:pPr>
      <w:r>
        <w:t>XIV. La orientación a un trámite específico.</w:t>
      </w:r>
    </w:p>
    <w:p w14:paraId="7EA6DDB2" w14:textId="77777777" w:rsidR="007D4EB8" w:rsidRDefault="007D4EB8" w:rsidP="007D4EB8">
      <w:pPr>
        <w:pStyle w:val="Textonotapie"/>
      </w:pPr>
      <w:r>
        <w:t>La respuesta que den los sujetos obligados derivada de la resolución a un recurso de revisión que</w:t>
      </w:r>
    </w:p>
    <w:p w14:paraId="62940167" w14:textId="77777777" w:rsidR="007D4EB8" w:rsidRDefault="007D4EB8" w:rsidP="007D4EB8">
      <w:pPr>
        <w:pStyle w:val="Textonotapie"/>
      </w:pPr>
      <w:r>
        <w:t>proceda por las causales señaladas en las fracciones IV, VII, IX, X, XI y XII es susceptible de ser</w:t>
      </w:r>
    </w:p>
    <w:p w14:paraId="515598B1" w14:textId="6306C37A" w:rsidR="007D4EB8" w:rsidRDefault="007D4EB8" w:rsidP="007D4EB8">
      <w:pPr>
        <w:pStyle w:val="Textonotapie"/>
      </w:pPr>
      <w:r>
        <w:t>impugnada de nueva cuenta, mediante recurso de revisión, ante el Instituto.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47" w:type="dxa"/>
      <w:tblInd w:w="2964" w:type="dxa"/>
      <w:tblLayout w:type="fixed"/>
      <w:tblLook w:val="04A0" w:firstRow="1" w:lastRow="0" w:firstColumn="1" w:lastColumn="0" w:noHBand="0" w:noVBand="1"/>
    </w:tblPr>
    <w:tblGrid>
      <w:gridCol w:w="2701"/>
      <w:gridCol w:w="3746"/>
    </w:tblGrid>
    <w:tr w:rsidR="00FD7847" w14:paraId="6B4E3B81" w14:textId="77777777" w:rsidTr="00B4299A">
      <w:tc>
        <w:tcPr>
          <w:tcW w:w="2701" w:type="dxa"/>
          <w:vAlign w:val="center"/>
          <w:hideMark/>
        </w:tcPr>
        <w:p w14:paraId="0ABBC6C0" w14:textId="1226DAAF" w:rsidR="00FD7847" w:rsidRPr="00B4299A" w:rsidRDefault="00FD7847" w:rsidP="009D4854">
          <w:pPr>
            <w:rPr>
              <w:rFonts w:ascii="Palatino Linotype" w:hAnsi="Palatino Linotype"/>
              <w:b/>
              <w:szCs w:val="22"/>
              <w:lang w:val="es-ES_tradnl"/>
            </w:rPr>
          </w:pPr>
          <w:r w:rsidRPr="00B4299A">
            <w:rPr>
              <w:rFonts w:ascii="Palatino Linotype" w:hAnsi="Palatino Linotype"/>
              <w:b/>
              <w:szCs w:val="22"/>
              <w:lang w:val="es-ES_tradnl"/>
            </w:rPr>
            <w:t>Recurso de Revisión:</w:t>
          </w:r>
        </w:p>
      </w:tc>
      <w:tc>
        <w:tcPr>
          <w:tcW w:w="3746" w:type="dxa"/>
          <w:vAlign w:val="center"/>
          <w:hideMark/>
        </w:tcPr>
        <w:p w14:paraId="60C471CA" w14:textId="1FB7BCAF" w:rsidR="00FD7847" w:rsidRPr="00B4299A" w:rsidRDefault="009E5D5B" w:rsidP="009E5D5B">
          <w:pPr>
            <w:rPr>
              <w:rFonts w:ascii="Palatino Linotype" w:hAnsi="Palatino Linotype"/>
              <w:b/>
              <w:szCs w:val="22"/>
              <w:lang w:val="es-ES_tradnl"/>
            </w:rPr>
          </w:pPr>
          <w:r w:rsidRPr="009E5D5B">
            <w:rPr>
              <w:rFonts w:ascii="Palatino Linotype" w:hAnsi="Palatino Linotype"/>
              <w:b/>
              <w:bCs/>
              <w:szCs w:val="22"/>
            </w:rPr>
            <w:t>15663/INFOEM/IP/RR/2022</w:t>
          </w:r>
        </w:p>
      </w:tc>
    </w:tr>
    <w:tr w:rsidR="00FD7847" w14:paraId="31CB780F" w14:textId="77777777" w:rsidTr="00B4299A">
      <w:trPr>
        <w:trHeight w:val="228"/>
      </w:trPr>
      <w:tc>
        <w:tcPr>
          <w:tcW w:w="2701" w:type="dxa"/>
          <w:vAlign w:val="center"/>
          <w:hideMark/>
        </w:tcPr>
        <w:p w14:paraId="4F49CB4A" w14:textId="6966D32E" w:rsidR="00FD7847" w:rsidRPr="00B4299A" w:rsidRDefault="00FD7847" w:rsidP="009D4854">
          <w:pPr>
            <w:rPr>
              <w:rFonts w:ascii="Palatino Linotype" w:hAnsi="Palatino Linotype"/>
              <w:b/>
              <w:szCs w:val="22"/>
              <w:lang w:val="es-ES_tradnl"/>
            </w:rPr>
          </w:pPr>
          <w:r w:rsidRPr="00B4299A">
            <w:rPr>
              <w:rFonts w:ascii="Palatino Linotype" w:hAnsi="Palatino Linotype"/>
              <w:b/>
              <w:szCs w:val="22"/>
              <w:lang w:val="es-ES_tradnl"/>
            </w:rPr>
            <w:t>Sujeto Obligado:</w:t>
          </w:r>
        </w:p>
      </w:tc>
      <w:tc>
        <w:tcPr>
          <w:tcW w:w="3746" w:type="dxa"/>
          <w:vAlign w:val="center"/>
          <w:hideMark/>
        </w:tcPr>
        <w:p w14:paraId="5D08B318" w14:textId="73FDC49A" w:rsidR="00FD7847" w:rsidRPr="00B4299A" w:rsidRDefault="009E5D5B" w:rsidP="009E5D5B">
          <w:pPr>
            <w:jc w:val="both"/>
            <w:rPr>
              <w:rFonts w:ascii="Palatino Linotype" w:hAnsi="Palatino Linotype"/>
              <w:b/>
              <w:szCs w:val="22"/>
              <w:lang w:val="es-ES_tradnl"/>
            </w:rPr>
          </w:pPr>
          <w:r w:rsidRPr="009E5D5B">
            <w:rPr>
              <w:rFonts w:ascii="Palatino Linotype" w:hAnsi="Palatino Linotype"/>
              <w:b/>
              <w:szCs w:val="22"/>
              <w:lang w:val="es-ES_tradnl"/>
            </w:rPr>
            <w:t>Ayuntamiento de Coacalco de Berriozábal</w:t>
          </w:r>
        </w:p>
      </w:tc>
    </w:tr>
    <w:tr w:rsidR="00FD7847" w14:paraId="69050F56" w14:textId="77777777" w:rsidTr="00B4299A">
      <w:tc>
        <w:tcPr>
          <w:tcW w:w="2701" w:type="dxa"/>
          <w:vAlign w:val="center"/>
          <w:hideMark/>
        </w:tcPr>
        <w:p w14:paraId="65C9B735" w14:textId="75C78F81" w:rsidR="00FD7847" w:rsidRPr="00B4299A" w:rsidRDefault="00FD7847" w:rsidP="009D4854">
          <w:pPr>
            <w:rPr>
              <w:rFonts w:ascii="Palatino Linotype" w:hAnsi="Palatino Linotype"/>
              <w:b/>
              <w:szCs w:val="22"/>
              <w:lang w:val="es-ES_tradnl"/>
            </w:rPr>
          </w:pPr>
          <w:r>
            <w:rPr>
              <w:rFonts w:ascii="Palatino Linotype" w:hAnsi="Palatino Linotype"/>
              <w:b/>
              <w:szCs w:val="22"/>
              <w:lang w:val="es-ES_tradnl"/>
            </w:rPr>
            <w:t>Comisionada</w:t>
          </w:r>
          <w:r w:rsidRPr="00B4299A">
            <w:rPr>
              <w:rFonts w:ascii="Palatino Linotype" w:hAnsi="Palatino Linotype"/>
              <w:b/>
              <w:szCs w:val="22"/>
              <w:lang w:val="es-ES_tradnl"/>
            </w:rPr>
            <w:t xml:space="preserve"> ponente:</w:t>
          </w:r>
        </w:p>
      </w:tc>
      <w:tc>
        <w:tcPr>
          <w:tcW w:w="3746" w:type="dxa"/>
          <w:vAlign w:val="center"/>
          <w:hideMark/>
        </w:tcPr>
        <w:p w14:paraId="06864B57" w14:textId="38CF125F" w:rsidR="00FD7847" w:rsidRPr="00B4299A" w:rsidRDefault="00FD7847" w:rsidP="00EA0165">
          <w:pPr>
            <w:ind w:right="-533"/>
            <w:rPr>
              <w:rFonts w:ascii="Palatino Linotype" w:hAnsi="Palatino Linotype"/>
              <w:b/>
              <w:szCs w:val="22"/>
              <w:lang w:val="es-ES_tradnl"/>
            </w:rPr>
          </w:pPr>
          <w:r w:rsidRPr="00B4299A">
            <w:rPr>
              <w:rFonts w:ascii="Palatino Linotype" w:hAnsi="Palatino Linotype"/>
              <w:b/>
              <w:szCs w:val="22"/>
            </w:rPr>
            <w:t xml:space="preserve">María del Rosario Mejía Ayala  </w:t>
          </w:r>
        </w:p>
      </w:tc>
    </w:tr>
  </w:tbl>
  <w:p w14:paraId="0F9141D0" w14:textId="66EA01E2" w:rsidR="00FD7847" w:rsidRDefault="00FD7847"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F9EF6C9" wp14:editId="25FCCE1E">
          <wp:simplePos x="0" y="0"/>
          <wp:positionH relativeFrom="page">
            <wp:align>left</wp:align>
          </wp:positionH>
          <wp:positionV relativeFrom="paragraph">
            <wp:posOffset>-1275080</wp:posOffset>
          </wp:positionV>
          <wp:extent cx="7635875" cy="9943465"/>
          <wp:effectExtent l="0" t="0" r="3175" b="635"/>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FD7847" w:rsidRDefault="00FD7847"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86D2B05" w:rsidR="00FD7847" w:rsidRDefault="00FD7847" w:rsidP="00C47D1B">
    <w:pPr>
      <w:pStyle w:val="Encabezado"/>
      <w:jc w:val="both"/>
    </w:pPr>
    <w:r>
      <w:rPr>
        <w:noProof/>
        <w:lang w:val="es-MX" w:eastAsia="es-MX"/>
      </w:rPr>
      <w:drawing>
        <wp:anchor distT="0" distB="0" distL="114300" distR="114300" simplePos="0" relativeHeight="251659264" behindDoc="1" locked="0" layoutInCell="1" allowOverlap="1" wp14:anchorId="0F18532F" wp14:editId="69F31619">
          <wp:simplePos x="0" y="0"/>
          <wp:positionH relativeFrom="page">
            <wp:align>right</wp:align>
          </wp:positionH>
          <wp:positionV relativeFrom="paragraph">
            <wp:posOffset>-86360</wp:posOffset>
          </wp:positionV>
          <wp:extent cx="7635875" cy="9943465"/>
          <wp:effectExtent l="0" t="0" r="3175" b="635"/>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669" w:type="dxa"/>
      <w:tblInd w:w="3256" w:type="dxa"/>
      <w:tblLayout w:type="fixed"/>
      <w:tblLook w:val="04A0" w:firstRow="1" w:lastRow="0" w:firstColumn="1" w:lastColumn="0" w:noHBand="0" w:noVBand="1"/>
    </w:tblPr>
    <w:tblGrid>
      <w:gridCol w:w="2693"/>
      <w:gridCol w:w="3976"/>
    </w:tblGrid>
    <w:tr w:rsidR="00FD7847" w14:paraId="477E149B" w14:textId="77777777" w:rsidTr="00CB57FD">
      <w:trPr>
        <w:trHeight w:val="277"/>
      </w:trPr>
      <w:tc>
        <w:tcPr>
          <w:tcW w:w="2693" w:type="dxa"/>
          <w:vAlign w:val="center"/>
          <w:hideMark/>
        </w:tcPr>
        <w:p w14:paraId="5C0586E4" w14:textId="77777777" w:rsidR="00FD7847" w:rsidRPr="009B3353" w:rsidRDefault="00FD7847" w:rsidP="00C47D1B">
          <w:pPr>
            <w:rPr>
              <w:rFonts w:ascii="Palatino Linotype" w:hAnsi="Palatino Linotype"/>
              <w:b/>
              <w:szCs w:val="22"/>
              <w:lang w:val="es-ES_tradnl"/>
            </w:rPr>
          </w:pPr>
          <w:r w:rsidRPr="009B3353">
            <w:rPr>
              <w:rFonts w:ascii="Palatino Linotype" w:hAnsi="Palatino Linotype"/>
              <w:b/>
              <w:szCs w:val="22"/>
              <w:lang w:val="es-ES_tradnl"/>
            </w:rPr>
            <w:t>Recurso de Revisión:</w:t>
          </w:r>
        </w:p>
      </w:tc>
      <w:tc>
        <w:tcPr>
          <w:tcW w:w="3976" w:type="dxa"/>
          <w:vAlign w:val="center"/>
          <w:hideMark/>
        </w:tcPr>
        <w:p w14:paraId="5B14C95E" w14:textId="1099B75C" w:rsidR="00FD7847" w:rsidRPr="0072522F" w:rsidRDefault="00B05DE3" w:rsidP="00B05DE3">
          <w:pPr>
            <w:rPr>
              <w:rFonts w:ascii="Palatino Linotype" w:hAnsi="Palatino Linotype"/>
              <w:b/>
              <w:bCs/>
              <w:szCs w:val="22"/>
            </w:rPr>
          </w:pPr>
          <w:r w:rsidRPr="00B05DE3">
            <w:rPr>
              <w:rFonts w:ascii="Palatino Linotype" w:hAnsi="Palatino Linotype"/>
              <w:b/>
              <w:bCs/>
              <w:szCs w:val="22"/>
            </w:rPr>
            <w:t>15663/INFOEM/IP/RR/2022</w:t>
          </w:r>
        </w:p>
      </w:tc>
    </w:tr>
    <w:tr w:rsidR="00FD7847" w14:paraId="5B5BE21C" w14:textId="77777777" w:rsidTr="00CB57FD">
      <w:tc>
        <w:tcPr>
          <w:tcW w:w="2693" w:type="dxa"/>
          <w:vAlign w:val="center"/>
          <w:hideMark/>
        </w:tcPr>
        <w:p w14:paraId="4AE96902" w14:textId="4E063913" w:rsidR="00FD7847" w:rsidRPr="009B3353" w:rsidRDefault="00FD7847" w:rsidP="00C47D1B">
          <w:pPr>
            <w:rPr>
              <w:rFonts w:ascii="Palatino Linotype" w:hAnsi="Palatino Linotype"/>
              <w:b/>
              <w:szCs w:val="22"/>
              <w:lang w:val="es-ES_tradnl"/>
            </w:rPr>
          </w:pPr>
          <w:r w:rsidRPr="009B3353">
            <w:rPr>
              <w:rFonts w:ascii="Palatino Linotype" w:hAnsi="Palatino Linotype"/>
              <w:b/>
              <w:szCs w:val="22"/>
              <w:lang w:val="es-ES_tradnl"/>
            </w:rPr>
            <w:t>Recurrente:</w:t>
          </w:r>
        </w:p>
      </w:tc>
      <w:tc>
        <w:tcPr>
          <w:tcW w:w="3976" w:type="dxa"/>
          <w:vAlign w:val="center"/>
          <w:hideMark/>
        </w:tcPr>
        <w:p w14:paraId="776E3E60" w14:textId="5CF7E062" w:rsidR="00B05DE3" w:rsidRPr="009B3353" w:rsidRDefault="00B05DE3" w:rsidP="00B05DE3">
          <w:pPr>
            <w:rPr>
              <w:rFonts w:ascii="Palatino Linotype" w:hAnsi="Palatino Linotype"/>
              <w:b/>
              <w:szCs w:val="22"/>
              <w:lang w:val="es-ES_tradnl"/>
            </w:rPr>
          </w:pPr>
          <w:r>
            <w:rPr>
              <w:rFonts w:ascii="Palatino Linotype" w:hAnsi="Palatino Linotype"/>
              <w:b/>
              <w:szCs w:val="22"/>
              <w:lang w:val="es-ES_tradnl"/>
            </w:rPr>
            <w:t>Sin Especificar</w:t>
          </w:r>
        </w:p>
      </w:tc>
    </w:tr>
    <w:tr w:rsidR="00FD7847" w14:paraId="22601A11" w14:textId="77777777" w:rsidTr="008C5548">
      <w:trPr>
        <w:trHeight w:val="252"/>
      </w:trPr>
      <w:tc>
        <w:tcPr>
          <w:tcW w:w="2693" w:type="dxa"/>
          <w:vAlign w:val="center"/>
          <w:hideMark/>
        </w:tcPr>
        <w:p w14:paraId="6EFE221D" w14:textId="49C5F800" w:rsidR="00FD7847" w:rsidRPr="009B3353" w:rsidRDefault="00FD7847" w:rsidP="00C47D1B">
          <w:pPr>
            <w:rPr>
              <w:rFonts w:ascii="Palatino Linotype" w:hAnsi="Palatino Linotype"/>
              <w:b/>
              <w:szCs w:val="22"/>
              <w:lang w:val="es-ES_tradnl"/>
            </w:rPr>
          </w:pPr>
          <w:r w:rsidRPr="009B3353">
            <w:rPr>
              <w:rFonts w:ascii="Palatino Linotype" w:hAnsi="Palatino Linotype"/>
              <w:b/>
              <w:szCs w:val="22"/>
              <w:lang w:val="es-ES_tradnl"/>
            </w:rPr>
            <w:t>Sujeto Obligado:</w:t>
          </w:r>
        </w:p>
      </w:tc>
      <w:tc>
        <w:tcPr>
          <w:tcW w:w="3976" w:type="dxa"/>
          <w:vAlign w:val="center"/>
          <w:hideMark/>
        </w:tcPr>
        <w:p w14:paraId="266F997D" w14:textId="3A532CB4" w:rsidR="00FD7847" w:rsidRPr="009B3353" w:rsidRDefault="00B05DE3" w:rsidP="003D473A">
          <w:pPr>
            <w:jc w:val="both"/>
            <w:rPr>
              <w:rFonts w:ascii="Palatino Linotype" w:eastAsia="Calibri" w:hAnsi="Palatino Linotype"/>
              <w:b/>
              <w:szCs w:val="22"/>
              <w:lang w:val="es-MX" w:eastAsia="en-US"/>
            </w:rPr>
          </w:pPr>
          <w:r w:rsidRPr="00B05DE3">
            <w:rPr>
              <w:rFonts w:ascii="Palatino Linotype" w:eastAsia="Calibri" w:hAnsi="Palatino Linotype"/>
              <w:b/>
              <w:szCs w:val="22"/>
              <w:lang w:val="es-MX" w:eastAsia="en-US"/>
            </w:rPr>
            <w:t>Ayuntamiento de Coacalco de Berriozábal</w:t>
          </w:r>
        </w:p>
      </w:tc>
    </w:tr>
    <w:tr w:rsidR="00FD7847" w14:paraId="2D6C630E" w14:textId="77777777" w:rsidTr="00CB57FD">
      <w:tc>
        <w:tcPr>
          <w:tcW w:w="2693" w:type="dxa"/>
          <w:vAlign w:val="center"/>
          <w:hideMark/>
        </w:tcPr>
        <w:p w14:paraId="5BD4C6DB" w14:textId="7CF21504" w:rsidR="00FD7847" w:rsidRPr="009B3353" w:rsidRDefault="00FD7847" w:rsidP="00C47D1B">
          <w:pPr>
            <w:rPr>
              <w:rFonts w:ascii="Palatino Linotype" w:hAnsi="Palatino Linotype"/>
              <w:b/>
              <w:szCs w:val="22"/>
              <w:lang w:val="es-ES_tradnl"/>
            </w:rPr>
          </w:pPr>
          <w:r>
            <w:rPr>
              <w:rFonts w:ascii="Palatino Linotype" w:hAnsi="Palatino Linotype"/>
              <w:b/>
              <w:szCs w:val="22"/>
              <w:lang w:val="es-ES_tradnl"/>
            </w:rPr>
            <w:t>Comisionada P</w:t>
          </w:r>
          <w:r w:rsidRPr="009B3353">
            <w:rPr>
              <w:rFonts w:ascii="Palatino Linotype" w:hAnsi="Palatino Linotype"/>
              <w:b/>
              <w:szCs w:val="22"/>
              <w:lang w:val="es-ES_tradnl"/>
            </w:rPr>
            <w:t>onente:</w:t>
          </w:r>
        </w:p>
      </w:tc>
      <w:tc>
        <w:tcPr>
          <w:tcW w:w="3976" w:type="dxa"/>
          <w:vAlign w:val="center"/>
          <w:hideMark/>
        </w:tcPr>
        <w:p w14:paraId="0CDDA0BE" w14:textId="7A79F24D" w:rsidR="00FD7847" w:rsidRPr="009B3353" w:rsidRDefault="00FD7847" w:rsidP="00C47D1B">
          <w:pPr>
            <w:ind w:right="-533"/>
            <w:rPr>
              <w:rFonts w:ascii="Palatino Linotype" w:hAnsi="Palatino Linotype"/>
              <w:b/>
              <w:szCs w:val="22"/>
              <w:lang w:val="es-ES_tradnl"/>
            </w:rPr>
          </w:pPr>
          <w:r>
            <w:rPr>
              <w:rFonts w:ascii="Palatino Linotype" w:hAnsi="Palatino Linotype"/>
              <w:b/>
              <w:szCs w:val="22"/>
            </w:rPr>
            <w:t>María del Rosario Mejía Ayala</w:t>
          </w:r>
        </w:p>
      </w:tc>
    </w:tr>
  </w:tbl>
  <w:p w14:paraId="59DE3767" w14:textId="6FD10F8D" w:rsidR="00FD7847" w:rsidRDefault="00FD7847"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636ED"/>
    <w:multiLevelType w:val="hybridMultilevel"/>
    <w:tmpl w:val="68FACC66"/>
    <w:lvl w:ilvl="0" w:tplc="3A646C4A">
      <w:start w:val="9"/>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B5A11A6"/>
    <w:multiLevelType w:val="hybridMultilevel"/>
    <w:tmpl w:val="6406B59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 w15:restartNumberingAfterBreak="0">
    <w:nsid w:val="1DC722D3"/>
    <w:multiLevelType w:val="hybridMultilevel"/>
    <w:tmpl w:val="21E6C992"/>
    <w:lvl w:ilvl="0" w:tplc="A52C2E2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8364FF8"/>
    <w:multiLevelType w:val="hybridMultilevel"/>
    <w:tmpl w:val="4D9CF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D927D1D"/>
    <w:multiLevelType w:val="hybridMultilevel"/>
    <w:tmpl w:val="68FACC66"/>
    <w:lvl w:ilvl="0" w:tplc="3A646C4A">
      <w:start w:val="9"/>
      <w:numFmt w:val="decimal"/>
      <w:lvlText w:val="%1."/>
      <w:lvlJc w:val="left"/>
      <w:pPr>
        <w:ind w:left="387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4402D0B"/>
    <w:multiLevelType w:val="multilevel"/>
    <w:tmpl w:val="CB4CB2A2"/>
    <w:lvl w:ilvl="0">
      <w:start w:val="23"/>
      <w:numFmt w:val="decimal"/>
      <w:lvlText w:val="%1."/>
      <w:lvlJc w:val="left"/>
      <w:pPr>
        <w:ind w:left="36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4DEA3D04"/>
    <w:multiLevelType w:val="hybridMultilevel"/>
    <w:tmpl w:val="C7C2E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FA117A"/>
    <w:multiLevelType w:val="hybridMultilevel"/>
    <w:tmpl w:val="7CB25A2E"/>
    <w:lvl w:ilvl="0" w:tplc="AB8A7F92">
      <w:start w:val="1"/>
      <w:numFmt w:val="upperRoman"/>
      <w:lvlText w:val="%1."/>
      <w:lvlJc w:val="left"/>
      <w:pPr>
        <w:ind w:left="1080" w:hanging="72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3204EE"/>
    <w:multiLevelType w:val="hybridMultilevel"/>
    <w:tmpl w:val="E476079C"/>
    <w:lvl w:ilvl="0" w:tplc="AAE0F64C">
      <w:start w:val="1"/>
      <w:numFmt w:val="decimal"/>
      <w:lvlText w:val="%1."/>
      <w:lvlJc w:val="left"/>
      <w:pPr>
        <w:ind w:left="351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85475B5"/>
    <w:multiLevelType w:val="hybridMultilevel"/>
    <w:tmpl w:val="DD2C9D30"/>
    <w:lvl w:ilvl="0" w:tplc="B452440C">
      <w:start w:val="1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4"/>
  </w:num>
  <w:num w:numId="4">
    <w:abstractNumId w:val="2"/>
  </w:num>
  <w:num w:numId="5">
    <w:abstractNumId w:val="3"/>
  </w:num>
  <w:num w:numId="6">
    <w:abstractNumId w:val="4"/>
  </w:num>
  <w:num w:numId="7">
    <w:abstractNumId w:val="7"/>
  </w:num>
  <w:num w:numId="8">
    <w:abstractNumId w:val="6"/>
  </w:num>
  <w:num w:numId="9">
    <w:abstractNumId w:val="9"/>
  </w:num>
  <w:num w:numId="10">
    <w:abstractNumId w:val="5"/>
  </w:num>
  <w:num w:numId="11">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es-AR"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35AE"/>
    <w:rsid w:val="000045A8"/>
    <w:rsid w:val="000059CF"/>
    <w:rsid w:val="000061F4"/>
    <w:rsid w:val="0000625E"/>
    <w:rsid w:val="000064FC"/>
    <w:rsid w:val="0000746A"/>
    <w:rsid w:val="000115F7"/>
    <w:rsid w:val="00012A5F"/>
    <w:rsid w:val="00012D1B"/>
    <w:rsid w:val="00012DD5"/>
    <w:rsid w:val="000134A7"/>
    <w:rsid w:val="000147FB"/>
    <w:rsid w:val="00014A65"/>
    <w:rsid w:val="000151A7"/>
    <w:rsid w:val="000151E0"/>
    <w:rsid w:val="000155EF"/>
    <w:rsid w:val="000163E2"/>
    <w:rsid w:val="00017BE1"/>
    <w:rsid w:val="000200EF"/>
    <w:rsid w:val="00020869"/>
    <w:rsid w:val="00020A18"/>
    <w:rsid w:val="00021E8D"/>
    <w:rsid w:val="000239D7"/>
    <w:rsid w:val="00023C79"/>
    <w:rsid w:val="00024227"/>
    <w:rsid w:val="0002434A"/>
    <w:rsid w:val="00024AE6"/>
    <w:rsid w:val="00024BA6"/>
    <w:rsid w:val="000252E9"/>
    <w:rsid w:val="00025532"/>
    <w:rsid w:val="000260E9"/>
    <w:rsid w:val="0002611C"/>
    <w:rsid w:val="00026705"/>
    <w:rsid w:val="00026D94"/>
    <w:rsid w:val="00026F9C"/>
    <w:rsid w:val="00027E08"/>
    <w:rsid w:val="0003080E"/>
    <w:rsid w:val="00030E35"/>
    <w:rsid w:val="000313AF"/>
    <w:rsid w:val="000314E8"/>
    <w:rsid w:val="00033629"/>
    <w:rsid w:val="0003385D"/>
    <w:rsid w:val="00034D7D"/>
    <w:rsid w:val="00035413"/>
    <w:rsid w:val="000354B7"/>
    <w:rsid w:val="000359D8"/>
    <w:rsid w:val="00035B1B"/>
    <w:rsid w:val="00035F2E"/>
    <w:rsid w:val="00036575"/>
    <w:rsid w:val="00036B8A"/>
    <w:rsid w:val="00040383"/>
    <w:rsid w:val="000403FB"/>
    <w:rsid w:val="00041464"/>
    <w:rsid w:val="00041731"/>
    <w:rsid w:val="00041BCD"/>
    <w:rsid w:val="000423C7"/>
    <w:rsid w:val="0004471E"/>
    <w:rsid w:val="00045165"/>
    <w:rsid w:val="00045FD8"/>
    <w:rsid w:val="00047F41"/>
    <w:rsid w:val="00051773"/>
    <w:rsid w:val="0005205E"/>
    <w:rsid w:val="000535B0"/>
    <w:rsid w:val="00053D74"/>
    <w:rsid w:val="00054EFE"/>
    <w:rsid w:val="00055938"/>
    <w:rsid w:val="00055F7A"/>
    <w:rsid w:val="00057073"/>
    <w:rsid w:val="00060CD1"/>
    <w:rsid w:val="0006184D"/>
    <w:rsid w:val="000646E3"/>
    <w:rsid w:val="000646F9"/>
    <w:rsid w:val="00066610"/>
    <w:rsid w:val="000667E0"/>
    <w:rsid w:val="00070A81"/>
    <w:rsid w:val="00071462"/>
    <w:rsid w:val="00071A99"/>
    <w:rsid w:val="00072BEF"/>
    <w:rsid w:val="00072D06"/>
    <w:rsid w:val="00073D0F"/>
    <w:rsid w:val="00074010"/>
    <w:rsid w:val="000752EF"/>
    <w:rsid w:val="00075D7A"/>
    <w:rsid w:val="00076CAF"/>
    <w:rsid w:val="0007730D"/>
    <w:rsid w:val="00077347"/>
    <w:rsid w:val="00077788"/>
    <w:rsid w:val="00077C21"/>
    <w:rsid w:val="00080FA4"/>
    <w:rsid w:val="0008195D"/>
    <w:rsid w:val="000824DB"/>
    <w:rsid w:val="00083058"/>
    <w:rsid w:val="0008337E"/>
    <w:rsid w:val="00084105"/>
    <w:rsid w:val="00085359"/>
    <w:rsid w:val="0008542A"/>
    <w:rsid w:val="00085C91"/>
    <w:rsid w:val="00086E2B"/>
    <w:rsid w:val="00086EAA"/>
    <w:rsid w:val="00087498"/>
    <w:rsid w:val="00087514"/>
    <w:rsid w:val="00090DE6"/>
    <w:rsid w:val="00090EBA"/>
    <w:rsid w:val="00091649"/>
    <w:rsid w:val="00091682"/>
    <w:rsid w:val="00092E92"/>
    <w:rsid w:val="0009456A"/>
    <w:rsid w:val="00094E67"/>
    <w:rsid w:val="0009719D"/>
    <w:rsid w:val="00097C05"/>
    <w:rsid w:val="00097EF0"/>
    <w:rsid w:val="000A05A2"/>
    <w:rsid w:val="000A0D0B"/>
    <w:rsid w:val="000A1C9A"/>
    <w:rsid w:val="000A1E1F"/>
    <w:rsid w:val="000A261A"/>
    <w:rsid w:val="000A351A"/>
    <w:rsid w:val="000A3A51"/>
    <w:rsid w:val="000A4EC4"/>
    <w:rsid w:val="000A515A"/>
    <w:rsid w:val="000A577A"/>
    <w:rsid w:val="000A5B28"/>
    <w:rsid w:val="000A6205"/>
    <w:rsid w:val="000A63B9"/>
    <w:rsid w:val="000A6651"/>
    <w:rsid w:val="000A7C0E"/>
    <w:rsid w:val="000B07E5"/>
    <w:rsid w:val="000B0BF3"/>
    <w:rsid w:val="000B1236"/>
    <w:rsid w:val="000B1437"/>
    <w:rsid w:val="000B1693"/>
    <w:rsid w:val="000B2B61"/>
    <w:rsid w:val="000B2CE3"/>
    <w:rsid w:val="000B2FE2"/>
    <w:rsid w:val="000B3FFD"/>
    <w:rsid w:val="000B4571"/>
    <w:rsid w:val="000B495A"/>
    <w:rsid w:val="000B4D7A"/>
    <w:rsid w:val="000B4E3D"/>
    <w:rsid w:val="000B5351"/>
    <w:rsid w:val="000B57CE"/>
    <w:rsid w:val="000B69A8"/>
    <w:rsid w:val="000B6C96"/>
    <w:rsid w:val="000B7101"/>
    <w:rsid w:val="000B7318"/>
    <w:rsid w:val="000B7332"/>
    <w:rsid w:val="000B77BE"/>
    <w:rsid w:val="000B7B5A"/>
    <w:rsid w:val="000C1184"/>
    <w:rsid w:val="000C11BE"/>
    <w:rsid w:val="000C16AF"/>
    <w:rsid w:val="000C1B34"/>
    <w:rsid w:val="000C1CF8"/>
    <w:rsid w:val="000C3D4F"/>
    <w:rsid w:val="000C4453"/>
    <w:rsid w:val="000C485E"/>
    <w:rsid w:val="000C54A3"/>
    <w:rsid w:val="000C5528"/>
    <w:rsid w:val="000C59F1"/>
    <w:rsid w:val="000C6204"/>
    <w:rsid w:val="000C72EB"/>
    <w:rsid w:val="000C7714"/>
    <w:rsid w:val="000C77C6"/>
    <w:rsid w:val="000C7C04"/>
    <w:rsid w:val="000D0395"/>
    <w:rsid w:val="000D07EC"/>
    <w:rsid w:val="000D29F9"/>
    <w:rsid w:val="000D4710"/>
    <w:rsid w:val="000D4D96"/>
    <w:rsid w:val="000D6B27"/>
    <w:rsid w:val="000D7676"/>
    <w:rsid w:val="000D7CBE"/>
    <w:rsid w:val="000D7F38"/>
    <w:rsid w:val="000D7F6F"/>
    <w:rsid w:val="000E08B8"/>
    <w:rsid w:val="000E1259"/>
    <w:rsid w:val="000E1C85"/>
    <w:rsid w:val="000E1CA1"/>
    <w:rsid w:val="000E31A8"/>
    <w:rsid w:val="000E44E3"/>
    <w:rsid w:val="000E462D"/>
    <w:rsid w:val="000E48C2"/>
    <w:rsid w:val="000E5560"/>
    <w:rsid w:val="000E59A1"/>
    <w:rsid w:val="000E5D65"/>
    <w:rsid w:val="000E693E"/>
    <w:rsid w:val="000F0443"/>
    <w:rsid w:val="000F1BBF"/>
    <w:rsid w:val="000F219C"/>
    <w:rsid w:val="000F2EB3"/>
    <w:rsid w:val="000F4598"/>
    <w:rsid w:val="000F71B5"/>
    <w:rsid w:val="000F7FE2"/>
    <w:rsid w:val="001002A8"/>
    <w:rsid w:val="0010152C"/>
    <w:rsid w:val="00101832"/>
    <w:rsid w:val="00103E4C"/>
    <w:rsid w:val="0010451F"/>
    <w:rsid w:val="00104E08"/>
    <w:rsid w:val="00104ECA"/>
    <w:rsid w:val="00106146"/>
    <w:rsid w:val="00106B32"/>
    <w:rsid w:val="00107249"/>
    <w:rsid w:val="001073CC"/>
    <w:rsid w:val="00107584"/>
    <w:rsid w:val="00107A49"/>
    <w:rsid w:val="00107BBC"/>
    <w:rsid w:val="00107FC5"/>
    <w:rsid w:val="00110202"/>
    <w:rsid w:val="0011033C"/>
    <w:rsid w:val="00110507"/>
    <w:rsid w:val="001110FC"/>
    <w:rsid w:val="00111A41"/>
    <w:rsid w:val="00111D7F"/>
    <w:rsid w:val="00112892"/>
    <w:rsid w:val="00112B9F"/>
    <w:rsid w:val="00114D4B"/>
    <w:rsid w:val="00114DDF"/>
    <w:rsid w:val="00115AAD"/>
    <w:rsid w:val="00116064"/>
    <w:rsid w:val="001167AE"/>
    <w:rsid w:val="00117030"/>
    <w:rsid w:val="0012062D"/>
    <w:rsid w:val="00120D7C"/>
    <w:rsid w:val="001210A4"/>
    <w:rsid w:val="001219E7"/>
    <w:rsid w:val="001227CA"/>
    <w:rsid w:val="00124762"/>
    <w:rsid w:val="00124D16"/>
    <w:rsid w:val="00126994"/>
    <w:rsid w:val="00126F04"/>
    <w:rsid w:val="00127CCA"/>
    <w:rsid w:val="00130642"/>
    <w:rsid w:val="001306E4"/>
    <w:rsid w:val="00130AA5"/>
    <w:rsid w:val="00130BA7"/>
    <w:rsid w:val="00133A74"/>
    <w:rsid w:val="00135D98"/>
    <w:rsid w:val="00136083"/>
    <w:rsid w:val="001362C2"/>
    <w:rsid w:val="00137C1F"/>
    <w:rsid w:val="00141F78"/>
    <w:rsid w:val="00143012"/>
    <w:rsid w:val="00143967"/>
    <w:rsid w:val="001445AB"/>
    <w:rsid w:val="0014506E"/>
    <w:rsid w:val="00147E1D"/>
    <w:rsid w:val="00150789"/>
    <w:rsid w:val="00150C0D"/>
    <w:rsid w:val="00151A0D"/>
    <w:rsid w:val="00151D19"/>
    <w:rsid w:val="00152866"/>
    <w:rsid w:val="00152C91"/>
    <w:rsid w:val="0015311F"/>
    <w:rsid w:val="0015332B"/>
    <w:rsid w:val="001539B3"/>
    <w:rsid w:val="00153F8E"/>
    <w:rsid w:val="001543BC"/>
    <w:rsid w:val="0015502B"/>
    <w:rsid w:val="0015554A"/>
    <w:rsid w:val="0015575F"/>
    <w:rsid w:val="00155832"/>
    <w:rsid w:val="00155BCB"/>
    <w:rsid w:val="00160E43"/>
    <w:rsid w:val="00161160"/>
    <w:rsid w:val="00161B66"/>
    <w:rsid w:val="00161FC4"/>
    <w:rsid w:val="00162CA1"/>
    <w:rsid w:val="00163902"/>
    <w:rsid w:val="00163B98"/>
    <w:rsid w:val="001643F3"/>
    <w:rsid w:val="00164952"/>
    <w:rsid w:val="00164BD1"/>
    <w:rsid w:val="00165138"/>
    <w:rsid w:val="00166139"/>
    <w:rsid w:val="001667F0"/>
    <w:rsid w:val="00167F89"/>
    <w:rsid w:val="00167F8F"/>
    <w:rsid w:val="001701C4"/>
    <w:rsid w:val="001705A5"/>
    <w:rsid w:val="00170979"/>
    <w:rsid w:val="00170D88"/>
    <w:rsid w:val="00170E0A"/>
    <w:rsid w:val="00170E97"/>
    <w:rsid w:val="00171640"/>
    <w:rsid w:val="00171D47"/>
    <w:rsid w:val="00171F21"/>
    <w:rsid w:val="00172089"/>
    <w:rsid w:val="001723BF"/>
    <w:rsid w:val="00173627"/>
    <w:rsid w:val="00174E15"/>
    <w:rsid w:val="0017530C"/>
    <w:rsid w:val="0017555E"/>
    <w:rsid w:val="00175650"/>
    <w:rsid w:val="00175974"/>
    <w:rsid w:val="00175A2B"/>
    <w:rsid w:val="00176F55"/>
    <w:rsid w:val="00177A27"/>
    <w:rsid w:val="00177B7E"/>
    <w:rsid w:val="00181594"/>
    <w:rsid w:val="00181791"/>
    <w:rsid w:val="00182E55"/>
    <w:rsid w:val="00183275"/>
    <w:rsid w:val="00184BC3"/>
    <w:rsid w:val="00184FBA"/>
    <w:rsid w:val="0018512D"/>
    <w:rsid w:val="001852E0"/>
    <w:rsid w:val="0018689B"/>
    <w:rsid w:val="00186B63"/>
    <w:rsid w:val="00186C88"/>
    <w:rsid w:val="001871B2"/>
    <w:rsid w:val="00190A74"/>
    <w:rsid w:val="001911CC"/>
    <w:rsid w:val="00191ACE"/>
    <w:rsid w:val="00193909"/>
    <w:rsid w:val="00196141"/>
    <w:rsid w:val="00196EF5"/>
    <w:rsid w:val="00197DA4"/>
    <w:rsid w:val="001A0542"/>
    <w:rsid w:val="001A0598"/>
    <w:rsid w:val="001A05BA"/>
    <w:rsid w:val="001A0F86"/>
    <w:rsid w:val="001A1125"/>
    <w:rsid w:val="001A1810"/>
    <w:rsid w:val="001A2131"/>
    <w:rsid w:val="001A25D5"/>
    <w:rsid w:val="001A2A37"/>
    <w:rsid w:val="001A2FF3"/>
    <w:rsid w:val="001A373A"/>
    <w:rsid w:val="001A466C"/>
    <w:rsid w:val="001A4E38"/>
    <w:rsid w:val="001A4F68"/>
    <w:rsid w:val="001A78F5"/>
    <w:rsid w:val="001A7913"/>
    <w:rsid w:val="001B0C32"/>
    <w:rsid w:val="001B234C"/>
    <w:rsid w:val="001B2379"/>
    <w:rsid w:val="001B3256"/>
    <w:rsid w:val="001B3C02"/>
    <w:rsid w:val="001B5099"/>
    <w:rsid w:val="001B6BDC"/>
    <w:rsid w:val="001B6E23"/>
    <w:rsid w:val="001C085B"/>
    <w:rsid w:val="001C0C3F"/>
    <w:rsid w:val="001C0F4E"/>
    <w:rsid w:val="001C189E"/>
    <w:rsid w:val="001C1963"/>
    <w:rsid w:val="001C19C4"/>
    <w:rsid w:val="001C1CAE"/>
    <w:rsid w:val="001C1DC2"/>
    <w:rsid w:val="001C304B"/>
    <w:rsid w:val="001C51A0"/>
    <w:rsid w:val="001C54E5"/>
    <w:rsid w:val="001C592C"/>
    <w:rsid w:val="001C5CD3"/>
    <w:rsid w:val="001D0631"/>
    <w:rsid w:val="001D064E"/>
    <w:rsid w:val="001D19AB"/>
    <w:rsid w:val="001D2EB5"/>
    <w:rsid w:val="001D54C7"/>
    <w:rsid w:val="001D6064"/>
    <w:rsid w:val="001D60A4"/>
    <w:rsid w:val="001D63C6"/>
    <w:rsid w:val="001D6A83"/>
    <w:rsid w:val="001E0ACB"/>
    <w:rsid w:val="001E1C02"/>
    <w:rsid w:val="001E39C4"/>
    <w:rsid w:val="001E3CA0"/>
    <w:rsid w:val="001E5309"/>
    <w:rsid w:val="001E54C9"/>
    <w:rsid w:val="001E64BE"/>
    <w:rsid w:val="001E766B"/>
    <w:rsid w:val="001F05C9"/>
    <w:rsid w:val="001F07FA"/>
    <w:rsid w:val="001F174A"/>
    <w:rsid w:val="001F1B46"/>
    <w:rsid w:val="001F1F7D"/>
    <w:rsid w:val="001F20AB"/>
    <w:rsid w:val="001F21C4"/>
    <w:rsid w:val="001F2CA8"/>
    <w:rsid w:val="001F41FB"/>
    <w:rsid w:val="001F465A"/>
    <w:rsid w:val="001F4E10"/>
    <w:rsid w:val="001F501F"/>
    <w:rsid w:val="001F6D50"/>
    <w:rsid w:val="0020054B"/>
    <w:rsid w:val="00201E21"/>
    <w:rsid w:val="00203E4E"/>
    <w:rsid w:val="00204C2A"/>
    <w:rsid w:val="00205361"/>
    <w:rsid w:val="00205ADF"/>
    <w:rsid w:val="002066DF"/>
    <w:rsid w:val="002070E6"/>
    <w:rsid w:val="00212FE4"/>
    <w:rsid w:val="00213228"/>
    <w:rsid w:val="0021442C"/>
    <w:rsid w:val="002155B0"/>
    <w:rsid w:val="002158CB"/>
    <w:rsid w:val="00215922"/>
    <w:rsid w:val="00220958"/>
    <w:rsid w:val="00221545"/>
    <w:rsid w:val="00221D2C"/>
    <w:rsid w:val="0022285B"/>
    <w:rsid w:val="00222F65"/>
    <w:rsid w:val="00223869"/>
    <w:rsid w:val="00223D0B"/>
    <w:rsid w:val="0022416C"/>
    <w:rsid w:val="00224DEB"/>
    <w:rsid w:val="00225FCB"/>
    <w:rsid w:val="002271AA"/>
    <w:rsid w:val="002278E9"/>
    <w:rsid w:val="00227FDF"/>
    <w:rsid w:val="00231269"/>
    <w:rsid w:val="0023264F"/>
    <w:rsid w:val="00233285"/>
    <w:rsid w:val="00233748"/>
    <w:rsid w:val="0023380E"/>
    <w:rsid w:val="002339A2"/>
    <w:rsid w:val="00233F88"/>
    <w:rsid w:val="002347E0"/>
    <w:rsid w:val="00234DEF"/>
    <w:rsid w:val="00235766"/>
    <w:rsid w:val="00235FB4"/>
    <w:rsid w:val="00236540"/>
    <w:rsid w:val="00236E44"/>
    <w:rsid w:val="00237482"/>
    <w:rsid w:val="00237F82"/>
    <w:rsid w:val="002423FE"/>
    <w:rsid w:val="00242C4A"/>
    <w:rsid w:val="0024380A"/>
    <w:rsid w:val="0024404E"/>
    <w:rsid w:val="002440EB"/>
    <w:rsid w:val="002441D0"/>
    <w:rsid w:val="00244265"/>
    <w:rsid w:val="00244EEF"/>
    <w:rsid w:val="002464E7"/>
    <w:rsid w:val="002500C8"/>
    <w:rsid w:val="00251066"/>
    <w:rsid w:val="00251C63"/>
    <w:rsid w:val="002529ED"/>
    <w:rsid w:val="0025386B"/>
    <w:rsid w:val="00253F03"/>
    <w:rsid w:val="002556CA"/>
    <w:rsid w:val="00255E4E"/>
    <w:rsid w:val="00256193"/>
    <w:rsid w:val="00256BFD"/>
    <w:rsid w:val="00257AA8"/>
    <w:rsid w:val="0026164E"/>
    <w:rsid w:val="00261D17"/>
    <w:rsid w:val="0026271B"/>
    <w:rsid w:val="002629E7"/>
    <w:rsid w:val="00265366"/>
    <w:rsid w:val="002657BB"/>
    <w:rsid w:val="00266490"/>
    <w:rsid w:val="0026683E"/>
    <w:rsid w:val="00266A60"/>
    <w:rsid w:val="002677C1"/>
    <w:rsid w:val="00267A6D"/>
    <w:rsid w:val="00270883"/>
    <w:rsid w:val="00271446"/>
    <w:rsid w:val="00271FC2"/>
    <w:rsid w:val="00273204"/>
    <w:rsid w:val="00275423"/>
    <w:rsid w:val="00275AD6"/>
    <w:rsid w:val="00276D8F"/>
    <w:rsid w:val="00276F2E"/>
    <w:rsid w:val="0027702B"/>
    <w:rsid w:val="00277F70"/>
    <w:rsid w:val="00280484"/>
    <w:rsid w:val="00280FF5"/>
    <w:rsid w:val="002817BA"/>
    <w:rsid w:val="00281EF2"/>
    <w:rsid w:val="00282135"/>
    <w:rsid w:val="00283308"/>
    <w:rsid w:val="00284224"/>
    <w:rsid w:val="002856CF"/>
    <w:rsid w:val="002856DC"/>
    <w:rsid w:val="0028632C"/>
    <w:rsid w:val="002864D4"/>
    <w:rsid w:val="0028674A"/>
    <w:rsid w:val="00286C23"/>
    <w:rsid w:val="00286DC8"/>
    <w:rsid w:val="002903D5"/>
    <w:rsid w:val="00290C42"/>
    <w:rsid w:val="00291435"/>
    <w:rsid w:val="00291A1A"/>
    <w:rsid w:val="00292786"/>
    <w:rsid w:val="002937C6"/>
    <w:rsid w:val="00293DE5"/>
    <w:rsid w:val="00293E07"/>
    <w:rsid w:val="002941E9"/>
    <w:rsid w:val="00295078"/>
    <w:rsid w:val="00295960"/>
    <w:rsid w:val="00295C72"/>
    <w:rsid w:val="00295D44"/>
    <w:rsid w:val="00295DE7"/>
    <w:rsid w:val="0029609C"/>
    <w:rsid w:val="0029670A"/>
    <w:rsid w:val="0029745A"/>
    <w:rsid w:val="00297AB0"/>
    <w:rsid w:val="002A0448"/>
    <w:rsid w:val="002A28FE"/>
    <w:rsid w:val="002A3A7A"/>
    <w:rsid w:val="002A43B0"/>
    <w:rsid w:val="002A5EA5"/>
    <w:rsid w:val="002A6A41"/>
    <w:rsid w:val="002A6CC7"/>
    <w:rsid w:val="002B0A1D"/>
    <w:rsid w:val="002B0EF8"/>
    <w:rsid w:val="002B1708"/>
    <w:rsid w:val="002B1960"/>
    <w:rsid w:val="002B2467"/>
    <w:rsid w:val="002B27E7"/>
    <w:rsid w:val="002B2B24"/>
    <w:rsid w:val="002B393B"/>
    <w:rsid w:val="002B3A2C"/>
    <w:rsid w:val="002B3E09"/>
    <w:rsid w:val="002B45EF"/>
    <w:rsid w:val="002B45F2"/>
    <w:rsid w:val="002B4950"/>
    <w:rsid w:val="002B62AF"/>
    <w:rsid w:val="002B7622"/>
    <w:rsid w:val="002B7BCC"/>
    <w:rsid w:val="002B7C06"/>
    <w:rsid w:val="002C053B"/>
    <w:rsid w:val="002C0C63"/>
    <w:rsid w:val="002C0F55"/>
    <w:rsid w:val="002C0F5C"/>
    <w:rsid w:val="002C2743"/>
    <w:rsid w:val="002C4011"/>
    <w:rsid w:val="002C4537"/>
    <w:rsid w:val="002C4BC2"/>
    <w:rsid w:val="002C4CA2"/>
    <w:rsid w:val="002C4EBB"/>
    <w:rsid w:val="002C4F45"/>
    <w:rsid w:val="002C6154"/>
    <w:rsid w:val="002C6432"/>
    <w:rsid w:val="002C75F2"/>
    <w:rsid w:val="002C77E4"/>
    <w:rsid w:val="002C7992"/>
    <w:rsid w:val="002C7E93"/>
    <w:rsid w:val="002D02DC"/>
    <w:rsid w:val="002D07B6"/>
    <w:rsid w:val="002D0878"/>
    <w:rsid w:val="002D21B3"/>
    <w:rsid w:val="002D2486"/>
    <w:rsid w:val="002D46BF"/>
    <w:rsid w:val="002D4C95"/>
    <w:rsid w:val="002D508B"/>
    <w:rsid w:val="002D678A"/>
    <w:rsid w:val="002D6AD2"/>
    <w:rsid w:val="002E03BC"/>
    <w:rsid w:val="002E1D63"/>
    <w:rsid w:val="002E2669"/>
    <w:rsid w:val="002E4EC0"/>
    <w:rsid w:val="002E5744"/>
    <w:rsid w:val="002E578A"/>
    <w:rsid w:val="002E6172"/>
    <w:rsid w:val="002E6B74"/>
    <w:rsid w:val="002E76D5"/>
    <w:rsid w:val="002F1C4D"/>
    <w:rsid w:val="002F2653"/>
    <w:rsid w:val="002F2FB4"/>
    <w:rsid w:val="002F345E"/>
    <w:rsid w:val="002F3910"/>
    <w:rsid w:val="002F3A84"/>
    <w:rsid w:val="002F3CC1"/>
    <w:rsid w:val="002F411A"/>
    <w:rsid w:val="002F4644"/>
    <w:rsid w:val="002F54A4"/>
    <w:rsid w:val="002F5A90"/>
    <w:rsid w:val="002F6977"/>
    <w:rsid w:val="002F700E"/>
    <w:rsid w:val="002F750C"/>
    <w:rsid w:val="002F772C"/>
    <w:rsid w:val="002F78E8"/>
    <w:rsid w:val="003002F7"/>
    <w:rsid w:val="00302787"/>
    <w:rsid w:val="00302C06"/>
    <w:rsid w:val="00302FBC"/>
    <w:rsid w:val="00303364"/>
    <w:rsid w:val="00303BC7"/>
    <w:rsid w:val="00303BDC"/>
    <w:rsid w:val="00304058"/>
    <w:rsid w:val="00305480"/>
    <w:rsid w:val="00306589"/>
    <w:rsid w:val="00306B09"/>
    <w:rsid w:val="00306D3D"/>
    <w:rsid w:val="0030711C"/>
    <w:rsid w:val="00307186"/>
    <w:rsid w:val="00307275"/>
    <w:rsid w:val="0031046F"/>
    <w:rsid w:val="0031090D"/>
    <w:rsid w:val="003129F4"/>
    <w:rsid w:val="0031395E"/>
    <w:rsid w:val="00313AFB"/>
    <w:rsid w:val="00314023"/>
    <w:rsid w:val="00314587"/>
    <w:rsid w:val="003156AE"/>
    <w:rsid w:val="00315780"/>
    <w:rsid w:val="00315891"/>
    <w:rsid w:val="00316240"/>
    <w:rsid w:val="0031687C"/>
    <w:rsid w:val="00320B63"/>
    <w:rsid w:val="0032180D"/>
    <w:rsid w:val="00321D72"/>
    <w:rsid w:val="00321DF2"/>
    <w:rsid w:val="003227E4"/>
    <w:rsid w:val="00322AE2"/>
    <w:rsid w:val="003231A8"/>
    <w:rsid w:val="00323623"/>
    <w:rsid w:val="00323995"/>
    <w:rsid w:val="00323CFF"/>
    <w:rsid w:val="00325874"/>
    <w:rsid w:val="00326AE6"/>
    <w:rsid w:val="00326DF2"/>
    <w:rsid w:val="00327357"/>
    <w:rsid w:val="0033030C"/>
    <w:rsid w:val="00331CD2"/>
    <w:rsid w:val="003324DF"/>
    <w:rsid w:val="003333B6"/>
    <w:rsid w:val="00333422"/>
    <w:rsid w:val="003339C3"/>
    <w:rsid w:val="00333C7C"/>
    <w:rsid w:val="003349F4"/>
    <w:rsid w:val="00335047"/>
    <w:rsid w:val="0033544E"/>
    <w:rsid w:val="0033546A"/>
    <w:rsid w:val="003374EB"/>
    <w:rsid w:val="003404F0"/>
    <w:rsid w:val="00340732"/>
    <w:rsid w:val="0034094E"/>
    <w:rsid w:val="00340B86"/>
    <w:rsid w:val="0034164E"/>
    <w:rsid w:val="00342AE7"/>
    <w:rsid w:val="00343629"/>
    <w:rsid w:val="00343A82"/>
    <w:rsid w:val="00345D3E"/>
    <w:rsid w:val="00346090"/>
    <w:rsid w:val="00347274"/>
    <w:rsid w:val="0034736C"/>
    <w:rsid w:val="00347F1F"/>
    <w:rsid w:val="00351568"/>
    <w:rsid w:val="00351CB7"/>
    <w:rsid w:val="003523DE"/>
    <w:rsid w:val="00352703"/>
    <w:rsid w:val="00352CCE"/>
    <w:rsid w:val="00352FCD"/>
    <w:rsid w:val="003537DE"/>
    <w:rsid w:val="00353940"/>
    <w:rsid w:val="003541CA"/>
    <w:rsid w:val="003543B2"/>
    <w:rsid w:val="003555AA"/>
    <w:rsid w:val="003557C1"/>
    <w:rsid w:val="00355B75"/>
    <w:rsid w:val="00356202"/>
    <w:rsid w:val="0035716F"/>
    <w:rsid w:val="003579BC"/>
    <w:rsid w:val="0036077C"/>
    <w:rsid w:val="0036086E"/>
    <w:rsid w:val="00360A55"/>
    <w:rsid w:val="00361B13"/>
    <w:rsid w:val="0036269D"/>
    <w:rsid w:val="00363278"/>
    <w:rsid w:val="003633DD"/>
    <w:rsid w:val="00363ED0"/>
    <w:rsid w:val="003655C3"/>
    <w:rsid w:val="003669E8"/>
    <w:rsid w:val="00366C6B"/>
    <w:rsid w:val="00367026"/>
    <w:rsid w:val="003676B6"/>
    <w:rsid w:val="00367BBB"/>
    <w:rsid w:val="00367CE5"/>
    <w:rsid w:val="0037225D"/>
    <w:rsid w:val="003729E8"/>
    <w:rsid w:val="00373299"/>
    <w:rsid w:val="00373579"/>
    <w:rsid w:val="00374C7D"/>
    <w:rsid w:val="00374F4D"/>
    <w:rsid w:val="003756E8"/>
    <w:rsid w:val="00375BB0"/>
    <w:rsid w:val="00376142"/>
    <w:rsid w:val="0037663F"/>
    <w:rsid w:val="003771DD"/>
    <w:rsid w:val="00377B34"/>
    <w:rsid w:val="00382014"/>
    <w:rsid w:val="00384CD8"/>
    <w:rsid w:val="00387128"/>
    <w:rsid w:val="0038741C"/>
    <w:rsid w:val="00392B93"/>
    <w:rsid w:val="00392E2B"/>
    <w:rsid w:val="00397B04"/>
    <w:rsid w:val="003A0C73"/>
    <w:rsid w:val="003A11DD"/>
    <w:rsid w:val="003A19EE"/>
    <w:rsid w:val="003A2B96"/>
    <w:rsid w:val="003A2E5E"/>
    <w:rsid w:val="003A31D3"/>
    <w:rsid w:val="003A3683"/>
    <w:rsid w:val="003A4ABA"/>
    <w:rsid w:val="003A5891"/>
    <w:rsid w:val="003A5A6E"/>
    <w:rsid w:val="003A5E0F"/>
    <w:rsid w:val="003A6186"/>
    <w:rsid w:val="003A6354"/>
    <w:rsid w:val="003A6534"/>
    <w:rsid w:val="003A78A7"/>
    <w:rsid w:val="003A7A6D"/>
    <w:rsid w:val="003A7E31"/>
    <w:rsid w:val="003A7F01"/>
    <w:rsid w:val="003B5CA9"/>
    <w:rsid w:val="003B62A2"/>
    <w:rsid w:val="003B6A7C"/>
    <w:rsid w:val="003B72E9"/>
    <w:rsid w:val="003B7A17"/>
    <w:rsid w:val="003C375A"/>
    <w:rsid w:val="003C4A72"/>
    <w:rsid w:val="003C4A79"/>
    <w:rsid w:val="003C4C4B"/>
    <w:rsid w:val="003C5222"/>
    <w:rsid w:val="003C5460"/>
    <w:rsid w:val="003C55F5"/>
    <w:rsid w:val="003C5A54"/>
    <w:rsid w:val="003C5B34"/>
    <w:rsid w:val="003C5BCA"/>
    <w:rsid w:val="003C689A"/>
    <w:rsid w:val="003C741C"/>
    <w:rsid w:val="003D0889"/>
    <w:rsid w:val="003D1883"/>
    <w:rsid w:val="003D18A4"/>
    <w:rsid w:val="003D1A39"/>
    <w:rsid w:val="003D1DF9"/>
    <w:rsid w:val="003D1E19"/>
    <w:rsid w:val="003D1ED1"/>
    <w:rsid w:val="003D25A4"/>
    <w:rsid w:val="003D30A5"/>
    <w:rsid w:val="003D473A"/>
    <w:rsid w:val="003D489B"/>
    <w:rsid w:val="003D48A3"/>
    <w:rsid w:val="003D5101"/>
    <w:rsid w:val="003D61B0"/>
    <w:rsid w:val="003E036E"/>
    <w:rsid w:val="003E0A67"/>
    <w:rsid w:val="003E0BFB"/>
    <w:rsid w:val="003E132A"/>
    <w:rsid w:val="003E1576"/>
    <w:rsid w:val="003E1BBE"/>
    <w:rsid w:val="003E3B65"/>
    <w:rsid w:val="003E5DB7"/>
    <w:rsid w:val="003E5F18"/>
    <w:rsid w:val="003E6A2E"/>
    <w:rsid w:val="003E6D0E"/>
    <w:rsid w:val="003F09F0"/>
    <w:rsid w:val="003F0CD4"/>
    <w:rsid w:val="003F2BA9"/>
    <w:rsid w:val="003F3041"/>
    <w:rsid w:val="003F3A6C"/>
    <w:rsid w:val="003F52C2"/>
    <w:rsid w:val="003F58C3"/>
    <w:rsid w:val="003F5CBA"/>
    <w:rsid w:val="003F61FF"/>
    <w:rsid w:val="003F6A1E"/>
    <w:rsid w:val="003F733C"/>
    <w:rsid w:val="003F7346"/>
    <w:rsid w:val="0040233B"/>
    <w:rsid w:val="00402A30"/>
    <w:rsid w:val="004030E3"/>
    <w:rsid w:val="00403FAA"/>
    <w:rsid w:val="00404666"/>
    <w:rsid w:val="004053FB"/>
    <w:rsid w:val="004058AB"/>
    <w:rsid w:val="0040596D"/>
    <w:rsid w:val="00405A99"/>
    <w:rsid w:val="00410650"/>
    <w:rsid w:val="004106C1"/>
    <w:rsid w:val="004126F7"/>
    <w:rsid w:val="00413FC2"/>
    <w:rsid w:val="004140B9"/>
    <w:rsid w:val="00414AE6"/>
    <w:rsid w:val="00414EE8"/>
    <w:rsid w:val="00416CFB"/>
    <w:rsid w:val="00416E00"/>
    <w:rsid w:val="00417006"/>
    <w:rsid w:val="00417703"/>
    <w:rsid w:val="0042006D"/>
    <w:rsid w:val="0042021B"/>
    <w:rsid w:val="00422DF8"/>
    <w:rsid w:val="00422FA0"/>
    <w:rsid w:val="0042327C"/>
    <w:rsid w:val="004235DA"/>
    <w:rsid w:val="00423786"/>
    <w:rsid w:val="00423D1D"/>
    <w:rsid w:val="00423FC1"/>
    <w:rsid w:val="00424241"/>
    <w:rsid w:val="00425620"/>
    <w:rsid w:val="00425AD4"/>
    <w:rsid w:val="004315B7"/>
    <w:rsid w:val="00431E02"/>
    <w:rsid w:val="0043317E"/>
    <w:rsid w:val="00433345"/>
    <w:rsid w:val="00433382"/>
    <w:rsid w:val="0043373A"/>
    <w:rsid w:val="0043397D"/>
    <w:rsid w:val="00434033"/>
    <w:rsid w:val="00434264"/>
    <w:rsid w:val="0043442A"/>
    <w:rsid w:val="00434D26"/>
    <w:rsid w:val="00435FB9"/>
    <w:rsid w:val="00436503"/>
    <w:rsid w:val="0043669C"/>
    <w:rsid w:val="0043670A"/>
    <w:rsid w:val="0043700B"/>
    <w:rsid w:val="00437337"/>
    <w:rsid w:val="00437D10"/>
    <w:rsid w:val="00440454"/>
    <w:rsid w:val="00440BFF"/>
    <w:rsid w:val="00441BF3"/>
    <w:rsid w:val="00442787"/>
    <w:rsid w:val="004436A9"/>
    <w:rsid w:val="004436ED"/>
    <w:rsid w:val="00443FE0"/>
    <w:rsid w:val="004440AC"/>
    <w:rsid w:val="004443A2"/>
    <w:rsid w:val="00444919"/>
    <w:rsid w:val="00445454"/>
    <w:rsid w:val="0044547C"/>
    <w:rsid w:val="00446BB3"/>
    <w:rsid w:val="00446C36"/>
    <w:rsid w:val="004471D2"/>
    <w:rsid w:val="00450182"/>
    <w:rsid w:val="00450869"/>
    <w:rsid w:val="00450C33"/>
    <w:rsid w:val="00450F57"/>
    <w:rsid w:val="00451E4C"/>
    <w:rsid w:val="00451F5B"/>
    <w:rsid w:val="00452122"/>
    <w:rsid w:val="00452992"/>
    <w:rsid w:val="00452AF2"/>
    <w:rsid w:val="00453028"/>
    <w:rsid w:val="00453918"/>
    <w:rsid w:val="004553D4"/>
    <w:rsid w:val="00455768"/>
    <w:rsid w:val="00456E2C"/>
    <w:rsid w:val="00456F5D"/>
    <w:rsid w:val="00457077"/>
    <w:rsid w:val="00457FC7"/>
    <w:rsid w:val="00461796"/>
    <w:rsid w:val="00461A0A"/>
    <w:rsid w:val="00461B3D"/>
    <w:rsid w:val="00462197"/>
    <w:rsid w:val="00462417"/>
    <w:rsid w:val="004645F5"/>
    <w:rsid w:val="00464624"/>
    <w:rsid w:val="00464C89"/>
    <w:rsid w:val="00464EB1"/>
    <w:rsid w:val="0046570E"/>
    <w:rsid w:val="00465E62"/>
    <w:rsid w:val="00467700"/>
    <w:rsid w:val="004677F9"/>
    <w:rsid w:val="00467874"/>
    <w:rsid w:val="00467C85"/>
    <w:rsid w:val="004716B0"/>
    <w:rsid w:val="004716C4"/>
    <w:rsid w:val="00471FCD"/>
    <w:rsid w:val="004723A9"/>
    <w:rsid w:val="0047240A"/>
    <w:rsid w:val="00472460"/>
    <w:rsid w:val="004738AC"/>
    <w:rsid w:val="004754E1"/>
    <w:rsid w:val="004763B5"/>
    <w:rsid w:val="00476A24"/>
    <w:rsid w:val="0047775E"/>
    <w:rsid w:val="00481ABD"/>
    <w:rsid w:val="00482683"/>
    <w:rsid w:val="00482731"/>
    <w:rsid w:val="0048286C"/>
    <w:rsid w:val="00483A0F"/>
    <w:rsid w:val="00484625"/>
    <w:rsid w:val="0048589D"/>
    <w:rsid w:val="00487218"/>
    <w:rsid w:val="004879E2"/>
    <w:rsid w:val="00487F15"/>
    <w:rsid w:val="0049105B"/>
    <w:rsid w:val="004912A0"/>
    <w:rsid w:val="0049206E"/>
    <w:rsid w:val="004928DE"/>
    <w:rsid w:val="004936CD"/>
    <w:rsid w:val="00493E2F"/>
    <w:rsid w:val="00494CB5"/>
    <w:rsid w:val="004954D8"/>
    <w:rsid w:val="0049576C"/>
    <w:rsid w:val="00495836"/>
    <w:rsid w:val="004967E8"/>
    <w:rsid w:val="004A0812"/>
    <w:rsid w:val="004A0EA8"/>
    <w:rsid w:val="004A14D9"/>
    <w:rsid w:val="004A21F6"/>
    <w:rsid w:val="004A2680"/>
    <w:rsid w:val="004A4608"/>
    <w:rsid w:val="004A4B61"/>
    <w:rsid w:val="004A5E2D"/>
    <w:rsid w:val="004A6E0B"/>
    <w:rsid w:val="004A6EFE"/>
    <w:rsid w:val="004A70A0"/>
    <w:rsid w:val="004A755A"/>
    <w:rsid w:val="004A79C5"/>
    <w:rsid w:val="004B1858"/>
    <w:rsid w:val="004B1A4B"/>
    <w:rsid w:val="004B2540"/>
    <w:rsid w:val="004B3D11"/>
    <w:rsid w:val="004B455B"/>
    <w:rsid w:val="004B4987"/>
    <w:rsid w:val="004B4A83"/>
    <w:rsid w:val="004B4DC3"/>
    <w:rsid w:val="004B58C3"/>
    <w:rsid w:val="004B675F"/>
    <w:rsid w:val="004B72C5"/>
    <w:rsid w:val="004B7A1B"/>
    <w:rsid w:val="004C08BF"/>
    <w:rsid w:val="004C223B"/>
    <w:rsid w:val="004C338B"/>
    <w:rsid w:val="004C3804"/>
    <w:rsid w:val="004C3F96"/>
    <w:rsid w:val="004C41D8"/>
    <w:rsid w:val="004C45A2"/>
    <w:rsid w:val="004C56DE"/>
    <w:rsid w:val="004C60E6"/>
    <w:rsid w:val="004C6611"/>
    <w:rsid w:val="004C6CFE"/>
    <w:rsid w:val="004C7629"/>
    <w:rsid w:val="004C7701"/>
    <w:rsid w:val="004D088F"/>
    <w:rsid w:val="004D0A26"/>
    <w:rsid w:val="004D0EE4"/>
    <w:rsid w:val="004D30E1"/>
    <w:rsid w:val="004D35FC"/>
    <w:rsid w:val="004D482C"/>
    <w:rsid w:val="004D5AC0"/>
    <w:rsid w:val="004D5FEF"/>
    <w:rsid w:val="004D680A"/>
    <w:rsid w:val="004D7463"/>
    <w:rsid w:val="004D764F"/>
    <w:rsid w:val="004D7D33"/>
    <w:rsid w:val="004E1EBF"/>
    <w:rsid w:val="004E27AD"/>
    <w:rsid w:val="004E2D51"/>
    <w:rsid w:val="004E37B6"/>
    <w:rsid w:val="004E3AFD"/>
    <w:rsid w:val="004E44D0"/>
    <w:rsid w:val="004E4987"/>
    <w:rsid w:val="004E52D1"/>
    <w:rsid w:val="004E585B"/>
    <w:rsid w:val="004E632C"/>
    <w:rsid w:val="004E74B5"/>
    <w:rsid w:val="004F0A75"/>
    <w:rsid w:val="004F1841"/>
    <w:rsid w:val="004F227C"/>
    <w:rsid w:val="004F2CC0"/>
    <w:rsid w:val="004F3B64"/>
    <w:rsid w:val="004F5243"/>
    <w:rsid w:val="004F64AD"/>
    <w:rsid w:val="004F759E"/>
    <w:rsid w:val="004F7AC2"/>
    <w:rsid w:val="00501721"/>
    <w:rsid w:val="00503053"/>
    <w:rsid w:val="00503942"/>
    <w:rsid w:val="00503E5E"/>
    <w:rsid w:val="005042BC"/>
    <w:rsid w:val="00504892"/>
    <w:rsid w:val="0050583D"/>
    <w:rsid w:val="00505B26"/>
    <w:rsid w:val="0050606E"/>
    <w:rsid w:val="00506258"/>
    <w:rsid w:val="00507449"/>
    <w:rsid w:val="005079B9"/>
    <w:rsid w:val="00510866"/>
    <w:rsid w:val="00511092"/>
    <w:rsid w:val="00511602"/>
    <w:rsid w:val="005119CD"/>
    <w:rsid w:val="00513EAE"/>
    <w:rsid w:val="00514166"/>
    <w:rsid w:val="005164B6"/>
    <w:rsid w:val="00516E6A"/>
    <w:rsid w:val="005171DE"/>
    <w:rsid w:val="005206C8"/>
    <w:rsid w:val="005218EA"/>
    <w:rsid w:val="00521EE1"/>
    <w:rsid w:val="00523390"/>
    <w:rsid w:val="00523435"/>
    <w:rsid w:val="0052414D"/>
    <w:rsid w:val="00525A5B"/>
    <w:rsid w:val="0052638D"/>
    <w:rsid w:val="0053002A"/>
    <w:rsid w:val="0053153A"/>
    <w:rsid w:val="00531ABD"/>
    <w:rsid w:val="00535560"/>
    <w:rsid w:val="005356D8"/>
    <w:rsid w:val="00537427"/>
    <w:rsid w:val="005379E3"/>
    <w:rsid w:val="00540362"/>
    <w:rsid w:val="00541397"/>
    <w:rsid w:val="005413A9"/>
    <w:rsid w:val="00541882"/>
    <w:rsid w:val="00541C7E"/>
    <w:rsid w:val="00542386"/>
    <w:rsid w:val="00542D8A"/>
    <w:rsid w:val="00543427"/>
    <w:rsid w:val="00543BF9"/>
    <w:rsid w:val="00544117"/>
    <w:rsid w:val="00544E0A"/>
    <w:rsid w:val="00550CA5"/>
    <w:rsid w:val="00551BA4"/>
    <w:rsid w:val="00552D59"/>
    <w:rsid w:val="00553835"/>
    <w:rsid w:val="00555349"/>
    <w:rsid w:val="005553D7"/>
    <w:rsid w:val="00555595"/>
    <w:rsid w:val="005556E4"/>
    <w:rsid w:val="0055597D"/>
    <w:rsid w:val="00556E99"/>
    <w:rsid w:val="00557314"/>
    <w:rsid w:val="005603D9"/>
    <w:rsid w:val="0056136A"/>
    <w:rsid w:val="00561A82"/>
    <w:rsid w:val="00561B6E"/>
    <w:rsid w:val="005624EC"/>
    <w:rsid w:val="00562ACE"/>
    <w:rsid w:val="0056316F"/>
    <w:rsid w:val="00564711"/>
    <w:rsid w:val="00565483"/>
    <w:rsid w:val="0056588E"/>
    <w:rsid w:val="00567EF2"/>
    <w:rsid w:val="00571391"/>
    <w:rsid w:val="005714AD"/>
    <w:rsid w:val="005726F4"/>
    <w:rsid w:val="00572DA9"/>
    <w:rsid w:val="00573949"/>
    <w:rsid w:val="00573ECF"/>
    <w:rsid w:val="00574A4F"/>
    <w:rsid w:val="00576107"/>
    <w:rsid w:val="0057690A"/>
    <w:rsid w:val="00576A50"/>
    <w:rsid w:val="00577287"/>
    <w:rsid w:val="00577553"/>
    <w:rsid w:val="005777E0"/>
    <w:rsid w:val="00581562"/>
    <w:rsid w:val="0058269D"/>
    <w:rsid w:val="00583795"/>
    <w:rsid w:val="0058439D"/>
    <w:rsid w:val="00585149"/>
    <w:rsid w:val="00585C24"/>
    <w:rsid w:val="00585F8F"/>
    <w:rsid w:val="00586C7B"/>
    <w:rsid w:val="0058743A"/>
    <w:rsid w:val="005875A9"/>
    <w:rsid w:val="00590D33"/>
    <w:rsid w:val="005921E5"/>
    <w:rsid w:val="00592755"/>
    <w:rsid w:val="00593401"/>
    <w:rsid w:val="00593DB7"/>
    <w:rsid w:val="00594366"/>
    <w:rsid w:val="00594BC5"/>
    <w:rsid w:val="005954A5"/>
    <w:rsid w:val="005954E9"/>
    <w:rsid w:val="005A0040"/>
    <w:rsid w:val="005A119B"/>
    <w:rsid w:val="005A1564"/>
    <w:rsid w:val="005A232E"/>
    <w:rsid w:val="005A2689"/>
    <w:rsid w:val="005A3328"/>
    <w:rsid w:val="005A52D3"/>
    <w:rsid w:val="005A6845"/>
    <w:rsid w:val="005A7138"/>
    <w:rsid w:val="005A7C3F"/>
    <w:rsid w:val="005B00B6"/>
    <w:rsid w:val="005B087C"/>
    <w:rsid w:val="005B112F"/>
    <w:rsid w:val="005B1FED"/>
    <w:rsid w:val="005B2F33"/>
    <w:rsid w:val="005B3671"/>
    <w:rsid w:val="005B3B62"/>
    <w:rsid w:val="005B3D93"/>
    <w:rsid w:val="005B6938"/>
    <w:rsid w:val="005B6F32"/>
    <w:rsid w:val="005B7350"/>
    <w:rsid w:val="005C222C"/>
    <w:rsid w:val="005C299A"/>
    <w:rsid w:val="005C2D60"/>
    <w:rsid w:val="005C3943"/>
    <w:rsid w:val="005C3D2C"/>
    <w:rsid w:val="005C54D9"/>
    <w:rsid w:val="005C5799"/>
    <w:rsid w:val="005C5929"/>
    <w:rsid w:val="005C637B"/>
    <w:rsid w:val="005C6B17"/>
    <w:rsid w:val="005D19E4"/>
    <w:rsid w:val="005D1DF5"/>
    <w:rsid w:val="005D45A0"/>
    <w:rsid w:val="005D5A52"/>
    <w:rsid w:val="005D6415"/>
    <w:rsid w:val="005D6831"/>
    <w:rsid w:val="005D7248"/>
    <w:rsid w:val="005D7B7C"/>
    <w:rsid w:val="005E0300"/>
    <w:rsid w:val="005E0424"/>
    <w:rsid w:val="005E05C7"/>
    <w:rsid w:val="005E1009"/>
    <w:rsid w:val="005E15A3"/>
    <w:rsid w:val="005E35A0"/>
    <w:rsid w:val="005E3C0B"/>
    <w:rsid w:val="005E3CD0"/>
    <w:rsid w:val="005E4975"/>
    <w:rsid w:val="005E4A3D"/>
    <w:rsid w:val="005E4F05"/>
    <w:rsid w:val="005E5502"/>
    <w:rsid w:val="005E5859"/>
    <w:rsid w:val="005E5DC1"/>
    <w:rsid w:val="005E5FD3"/>
    <w:rsid w:val="005E6282"/>
    <w:rsid w:val="005E67EC"/>
    <w:rsid w:val="005F15E7"/>
    <w:rsid w:val="005F178D"/>
    <w:rsid w:val="005F1FCF"/>
    <w:rsid w:val="005F2060"/>
    <w:rsid w:val="005F2E9B"/>
    <w:rsid w:val="005F3858"/>
    <w:rsid w:val="005F4281"/>
    <w:rsid w:val="005F4C5D"/>
    <w:rsid w:val="005F4DCE"/>
    <w:rsid w:val="005F557E"/>
    <w:rsid w:val="005F5725"/>
    <w:rsid w:val="005F666A"/>
    <w:rsid w:val="005F684F"/>
    <w:rsid w:val="005F7AD4"/>
    <w:rsid w:val="00600000"/>
    <w:rsid w:val="0060026F"/>
    <w:rsid w:val="00600733"/>
    <w:rsid w:val="006010BF"/>
    <w:rsid w:val="00601222"/>
    <w:rsid w:val="0060127F"/>
    <w:rsid w:val="00601296"/>
    <w:rsid w:val="00601A09"/>
    <w:rsid w:val="00601B42"/>
    <w:rsid w:val="006031FE"/>
    <w:rsid w:val="00603E10"/>
    <w:rsid w:val="006047FC"/>
    <w:rsid w:val="006048D2"/>
    <w:rsid w:val="00605233"/>
    <w:rsid w:val="006056EF"/>
    <w:rsid w:val="00605A1F"/>
    <w:rsid w:val="00607550"/>
    <w:rsid w:val="00607726"/>
    <w:rsid w:val="006077EB"/>
    <w:rsid w:val="006079C9"/>
    <w:rsid w:val="006100A1"/>
    <w:rsid w:val="006104BE"/>
    <w:rsid w:val="0061110A"/>
    <w:rsid w:val="006112E3"/>
    <w:rsid w:val="00611F9E"/>
    <w:rsid w:val="00613D29"/>
    <w:rsid w:val="0061488D"/>
    <w:rsid w:val="0061663A"/>
    <w:rsid w:val="00620D8A"/>
    <w:rsid w:val="0062111F"/>
    <w:rsid w:val="00621380"/>
    <w:rsid w:val="00621BE7"/>
    <w:rsid w:val="00621D3A"/>
    <w:rsid w:val="00622C25"/>
    <w:rsid w:val="00622EDC"/>
    <w:rsid w:val="00623DDC"/>
    <w:rsid w:val="00623EA3"/>
    <w:rsid w:val="00624BDB"/>
    <w:rsid w:val="00625AFD"/>
    <w:rsid w:val="00625E1B"/>
    <w:rsid w:val="006274A1"/>
    <w:rsid w:val="00627B5D"/>
    <w:rsid w:val="006302FD"/>
    <w:rsid w:val="00631490"/>
    <w:rsid w:val="00631C13"/>
    <w:rsid w:val="00631E44"/>
    <w:rsid w:val="00632401"/>
    <w:rsid w:val="006325BF"/>
    <w:rsid w:val="00632AF8"/>
    <w:rsid w:val="00633134"/>
    <w:rsid w:val="0063373B"/>
    <w:rsid w:val="00633AB7"/>
    <w:rsid w:val="00634485"/>
    <w:rsid w:val="006345A0"/>
    <w:rsid w:val="00634EDF"/>
    <w:rsid w:val="006354DC"/>
    <w:rsid w:val="00635EAF"/>
    <w:rsid w:val="00636313"/>
    <w:rsid w:val="00637407"/>
    <w:rsid w:val="00637C16"/>
    <w:rsid w:val="00637FDB"/>
    <w:rsid w:val="00640D71"/>
    <w:rsid w:val="00640FB3"/>
    <w:rsid w:val="00641493"/>
    <w:rsid w:val="00641BB7"/>
    <w:rsid w:val="00643D6C"/>
    <w:rsid w:val="006443ED"/>
    <w:rsid w:val="006445D2"/>
    <w:rsid w:val="00645887"/>
    <w:rsid w:val="0064661F"/>
    <w:rsid w:val="00647094"/>
    <w:rsid w:val="006505D9"/>
    <w:rsid w:val="00650880"/>
    <w:rsid w:val="00650D78"/>
    <w:rsid w:val="006518D3"/>
    <w:rsid w:val="00653030"/>
    <w:rsid w:val="0065578F"/>
    <w:rsid w:val="00655A5C"/>
    <w:rsid w:val="00655B83"/>
    <w:rsid w:val="00655F33"/>
    <w:rsid w:val="00656AB0"/>
    <w:rsid w:val="00656C59"/>
    <w:rsid w:val="006578C2"/>
    <w:rsid w:val="00661AC2"/>
    <w:rsid w:val="00661B36"/>
    <w:rsid w:val="00663207"/>
    <w:rsid w:val="00663F26"/>
    <w:rsid w:val="006648D5"/>
    <w:rsid w:val="00666655"/>
    <w:rsid w:val="00666C54"/>
    <w:rsid w:val="00667C8B"/>
    <w:rsid w:val="00667D3E"/>
    <w:rsid w:val="00671E8F"/>
    <w:rsid w:val="00672C9C"/>
    <w:rsid w:val="006742F8"/>
    <w:rsid w:val="006747B5"/>
    <w:rsid w:val="00674B40"/>
    <w:rsid w:val="00675974"/>
    <w:rsid w:val="00675D2C"/>
    <w:rsid w:val="00676566"/>
    <w:rsid w:val="00676DE4"/>
    <w:rsid w:val="00680270"/>
    <w:rsid w:val="006803E8"/>
    <w:rsid w:val="006804B2"/>
    <w:rsid w:val="006808AD"/>
    <w:rsid w:val="00681481"/>
    <w:rsid w:val="006817A0"/>
    <w:rsid w:val="00682656"/>
    <w:rsid w:val="00683617"/>
    <w:rsid w:val="00683EAC"/>
    <w:rsid w:val="00684313"/>
    <w:rsid w:val="006843DA"/>
    <w:rsid w:val="00684EF6"/>
    <w:rsid w:val="00686279"/>
    <w:rsid w:val="00686534"/>
    <w:rsid w:val="00686A8A"/>
    <w:rsid w:val="006870C8"/>
    <w:rsid w:val="006871B3"/>
    <w:rsid w:val="006878A4"/>
    <w:rsid w:val="00690415"/>
    <w:rsid w:val="00691811"/>
    <w:rsid w:val="0069305F"/>
    <w:rsid w:val="006937F3"/>
    <w:rsid w:val="00694CB5"/>
    <w:rsid w:val="006954F2"/>
    <w:rsid w:val="006957B8"/>
    <w:rsid w:val="00697E9E"/>
    <w:rsid w:val="006A03CD"/>
    <w:rsid w:val="006A06FE"/>
    <w:rsid w:val="006A3BCF"/>
    <w:rsid w:val="006A42D4"/>
    <w:rsid w:val="006A48CE"/>
    <w:rsid w:val="006A4E98"/>
    <w:rsid w:val="006A505E"/>
    <w:rsid w:val="006A737B"/>
    <w:rsid w:val="006A77F3"/>
    <w:rsid w:val="006A7829"/>
    <w:rsid w:val="006A7D53"/>
    <w:rsid w:val="006B1BF1"/>
    <w:rsid w:val="006B2A9B"/>
    <w:rsid w:val="006B2BA6"/>
    <w:rsid w:val="006B3762"/>
    <w:rsid w:val="006B3E26"/>
    <w:rsid w:val="006B432D"/>
    <w:rsid w:val="006B4844"/>
    <w:rsid w:val="006B497B"/>
    <w:rsid w:val="006B4A50"/>
    <w:rsid w:val="006B4B65"/>
    <w:rsid w:val="006B537E"/>
    <w:rsid w:val="006B6FB9"/>
    <w:rsid w:val="006B7AA1"/>
    <w:rsid w:val="006C035E"/>
    <w:rsid w:val="006C1330"/>
    <w:rsid w:val="006C1711"/>
    <w:rsid w:val="006C24A5"/>
    <w:rsid w:val="006C24CD"/>
    <w:rsid w:val="006C3292"/>
    <w:rsid w:val="006C5263"/>
    <w:rsid w:val="006C5282"/>
    <w:rsid w:val="006C60B5"/>
    <w:rsid w:val="006C693D"/>
    <w:rsid w:val="006C6967"/>
    <w:rsid w:val="006C6D2C"/>
    <w:rsid w:val="006C7D68"/>
    <w:rsid w:val="006D07EA"/>
    <w:rsid w:val="006D09AA"/>
    <w:rsid w:val="006D153C"/>
    <w:rsid w:val="006D16CB"/>
    <w:rsid w:val="006D1A5E"/>
    <w:rsid w:val="006D25FC"/>
    <w:rsid w:val="006D396A"/>
    <w:rsid w:val="006D3F2C"/>
    <w:rsid w:val="006D4834"/>
    <w:rsid w:val="006D64F9"/>
    <w:rsid w:val="006D6E15"/>
    <w:rsid w:val="006D7A2C"/>
    <w:rsid w:val="006E011A"/>
    <w:rsid w:val="006E13E8"/>
    <w:rsid w:val="006E1421"/>
    <w:rsid w:val="006E210B"/>
    <w:rsid w:val="006E2585"/>
    <w:rsid w:val="006E2EDE"/>
    <w:rsid w:val="006E307D"/>
    <w:rsid w:val="006E34B6"/>
    <w:rsid w:val="006E3ED4"/>
    <w:rsid w:val="006E5B3F"/>
    <w:rsid w:val="006E5FB5"/>
    <w:rsid w:val="006E60D7"/>
    <w:rsid w:val="006E6278"/>
    <w:rsid w:val="006E6389"/>
    <w:rsid w:val="006E65F1"/>
    <w:rsid w:val="006E662E"/>
    <w:rsid w:val="006E682E"/>
    <w:rsid w:val="006E69AA"/>
    <w:rsid w:val="006E6EAC"/>
    <w:rsid w:val="006F1806"/>
    <w:rsid w:val="006F180C"/>
    <w:rsid w:val="006F1C74"/>
    <w:rsid w:val="006F1E16"/>
    <w:rsid w:val="006F29C3"/>
    <w:rsid w:val="006F2C9D"/>
    <w:rsid w:val="006F30F8"/>
    <w:rsid w:val="006F3131"/>
    <w:rsid w:val="006F3144"/>
    <w:rsid w:val="006F363E"/>
    <w:rsid w:val="006F3CA9"/>
    <w:rsid w:val="006F48B0"/>
    <w:rsid w:val="006F5B9E"/>
    <w:rsid w:val="006F6E1B"/>
    <w:rsid w:val="006F733F"/>
    <w:rsid w:val="00700C41"/>
    <w:rsid w:val="00700D26"/>
    <w:rsid w:val="007020A1"/>
    <w:rsid w:val="00702B26"/>
    <w:rsid w:val="00702CB3"/>
    <w:rsid w:val="00703E92"/>
    <w:rsid w:val="0070581D"/>
    <w:rsid w:val="007061DF"/>
    <w:rsid w:val="00707416"/>
    <w:rsid w:val="00707E75"/>
    <w:rsid w:val="007112A9"/>
    <w:rsid w:val="00711B09"/>
    <w:rsid w:val="00711C22"/>
    <w:rsid w:val="00711D4D"/>
    <w:rsid w:val="00711E97"/>
    <w:rsid w:val="00712137"/>
    <w:rsid w:val="00712516"/>
    <w:rsid w:val="00713A6B"/>
    <w:rsid w:val="0071427E"/>
    <w:rsid w:val="0071646D"/>
    <w:rsid w:val="00716CE1"/>
    <w:rsid w:val="0071764B"/>
    <w:rsid w:val="00722238"/>
    <w:rsid w:val="0072522F"/>
    <w:rsid w:val="0072562F"/>
    <w:rsid w:val="00725913"/>
    <w:rsid w:val="0072655F"/>
    <w:rsid w:val="00726DD1"/>
    <w:rsid w:val="00726FA5"/>
    <w:rsid w:val="00727FAC"/>
    <w:rsid w:val="007300F7"/>
    <w:rsid w:val="00730313"/>
    <w:rsid w:val="00730BC4"/>
    <w:rsid w:val="00731D9B"/>
    <w:rsid w:val="00731DAB"/>
    <w:rsid w:val="00731F23"/>
    <w:rsid w:val="00732AE5"/>
    <w:rsid w:val="0073352D"/>
    <w:rsid w:val="00733CB7"/>
    <w:rsid w:val="00734371"/>
    <w:rsid w:val="007347B0"/>
    <w:rsid w:val="00734A8B"/>
    <w:rsid w:val="00735210"/>
    <w:rsid w:val="0073558A"/>
    <w:rsid w:val="00735B0D"/>
    <w:rsid w:val="00735DCB"/>
    <w:rsid w:val="00736C06"/>
    <w:rsid w:val="007401BB"/>
    <w:rsid w:val="00740BCB"/>
    <w:rsid w:val="00740E5C"/>
    <w:rsid w:val="0074195B"/>
    <w:rsid w:val="00741FEA"/>
    <w:rsid w:val="0074244D"/>
    <w:rsid w:val="00744033"/>
    <w:rsid w:val="007446D8"/>
    <w:rsid w:val="00744736"/>
    <w:rsid w:val="00745E5B"/>
    <w:rsid w:val="00747AD7"/>
    <w:rsid w:val="00747F78"/>
    <w:rsid w:val="00750F05"/>
    <w:rsid w:val="00751311"/>
    <w:rsid w:val="00751330"/>
    <w:rsid w:val="00751627"/>
    <w:rsid w:val="00751E19"/>
    <w:rsid w:val="0075239A"/>
    <w:rsid w:val="00754866"/>
    <w:rsid w:val="00755299"/>
    <w:rsid w:val="00755944"/>
    <w:rsid w:val="00756E1F"/>
    <w:rsid w:val="00757444"/>
    <w:rsid w:val="00757C25"/>
    <w:rsid w:val="00757D2A"/>
    <w:rsid w:val="00757F23"/>
    <w:rsid w:val="00761460"/>
    <w:rsid w:val="007624E7"/>
    <w:rsid w:val="00764B6A"/>
    <w:rsid w:val="00766B6B"/>
    <w:rsid w:val="00766D4A"/>
    <w:rsid w:val="00766D7A"/>
    <w:rsid w:val="00767857"/>
    <w:rsid w:val="00767912"/>
    <w:rsid w:val="00770E29"/>
    <w:rsid w:val="0077107A"/>
    <w:rsid w:val="007710A6"/>
    <w:rsid w:val="007714A8"/>
    <w:rsid w:val="00771B98"/>
    <w:rsid w:val="00771F5E"/>
    <w:rsid w:val="0077203A"/>
    <w:rsid w:val="0077266E"/>
    <w:rsid w:val="00773156"/>
    <w:rsid w:val="00773601"/>
    <w:rsid w:val="007738EC"/>
    <w:rsid w:val="00773EA1"/>
    <w:rsid w:val="007753ED"/>
    <w:rsid w:val="00775414"/>
    <w:rsid w:val="00775CB2"/>
    <w:rsid w:val="0077600B"/>
    <w:rsid w:val="0077689F"/>
    <w:rsid w:val="00777E67"/>
    <w:rsid w:val="0078030F"/>
    <w:rsid w:val="00780906"/>
    <w:rsid w:val="00780D17"/>
    <w:rsid w:val="00782370"/>
    <w:rsid w:val="00782DD9"/>
    <w:rsid w:val="007830E3"/>
    <w:rsid w:val="0078775D"/>
    <w:rsid w:val="00787DB5"/>
    <w:rsid w:val="0079039F"/>
    <w:rsid w:val="0079298A"/>
    <w:rsid w:val="00793368"/>
    <w:rsid w:val="0079361A"/>
    <w:rsid w:val="00793A7B"/>
    <w:rsid w:val="00794261"/>
    <w:rsid w:val="00794305"/>
    <w:rsid w:val="00794323"/>
    <w:rsid w:val="007966AC"/>
    <w:rsid w:val="007A02EB"/>
    <w:rsid w:val="007A0327"/>
    <w:rsid w:val="007A1080"/>
    <w:rsid w:val="007A1177"/>
    <w:rsid w:val="007A11F1"/>
    <w:rsid w:val="007A1A5F"/>
    <w:rsid w:val="007A2132"/>
    <w:rsid w:val="007A29CA"/>
    <w:rsid w:val="007A32BE"/>
    <w:rsid w:val="007A33E2"/>
    <w:rsid w:val="007A35F6"/>
    <w:rsid w:val="007A49CE"/>
    <w:rsid w:val="007A4E83"/>
    <w:rsid w:val="007A583C"/>
    <w:rsid w:val="007A5F1A"/>
    <w:rsid w:val="007A7693"/>
    <w:rsid w:val="007B0F8A"/>
    <w:rsid w:val="007B15EA"/>
    <w:rsid w:val="007B33CC"/>
    <w:rsid w:val="007B5B76"/>
    <w:rsid w:val="007B6CA0"/>
    <w:rsid w:val="007B70B3"/>
    <w:rsid w:val="007B7166"/>
    <w:rsid w:val="007B755C"/>
    <w:rsid w:val="007C025F"/>
    <w:rsid w:val="007C09AA"/>
    <w:rsid w:val="007C0AFD"/>
    <w:rsid w:val="007C20AF"/>
    <w:rsid w:val="007C37F3"/>
    <w:rsid w:val="007C3D29"/>
    <w:rsid w:val="007C3E67"/>
    <w:rsid w:val="007C4587"/>
    <w:rsid w:val="007C46DC"/>
    <w:rsid w:val="007C4965"/>
    <w:rsid w:val="007C52B5"/>
    <w:rsid w:val="007C6783"/>
    <w:rsid w:val="007C68C7"/>
    <w:rsid w:val="007C6937"/>
    <w:rsid w:val="007C6CAB"/>
    <w:rsid w:val="007C78A6"/>
    <w:rsid w:val="007C7C3E"/>
    <w:rsid w:val="007C7E5A"/>
    <w:rsid w:val="007D0C6E"/>
    <w:rsid w:val="007D0DD5"/>
    <w:rsid w:val="007D112D"/>
    <w:rsid w:val="007D1598"/>
    <w:rsid w:val="007D1AB2"/>
    <w:rsid w:val="007D210F"/>
    <w:rsid w:val="007D336B"/>
    <w:rsid w:val="007D4EB8"/>
    <w:rsid w:val="007D5575"/>
    <w:rsid w:val="007D5B23"/>
    <w:rsid w:val="007D71E1"/>
    <w:rsid w:val="007D7334"/>
    <w:rsid w:val="007D7BC8"/>
    <w:rsid w:val="007E07A7"/>
    <w:rsid w:val="007E16B7"/>
    <w:rsid w:val="007E24F8"/>
    <w:rsid w:val="007E2D8C"/>
    <w:rsid w:val="007E3963"/>
    <w:rsid w:val="007E5467"/>
    <w:rsid w:val="007E5CB2"/>
    <w:rsid w:val="007E64E0"/>
    <w:rsid w:val="007E6A21"/>
    <w:rsid w:val="007E75D0"/>
    <w:rsid w:val="007F0999"/>
    <w:rsid w:val="007F18A3"/>
    <w:rsid w:val="007F18DF"/>
    <w:rsid w:val="007F2DB5"/>
    <w:rsid w:val="007F36DE"/>
    <w:rsid w:val="007F4FC6"/>
    <w:rsid w:val="007F528B"/>
    <w:rsid w:val="007F53E3"/>
    <w:rsid w:val="007F5901"/>
    <w:rsid w:val="007F5936"/>
    <w:rsid w:val="007F5E7A"/>
    <w:rsid w:val="007F60E9"/>
    <w:rsid w:val="007F61DA"/>
    <w:rsid w:val="007F62D5"/>
    <w:rsid w:val="007F6BF7"/>
    <w:rsid w:val="007F7203"/>
    <w:rsid w:val="007F7CB2"/>
    <w:rsid w:val="00800061"/>
    <w:rsid w:val="00800475"/>
    <w:rsid w:val="00800DDC"/>
    <w:rsid w:val="0080152B"/>
    <w:rsid w:val="00801983"/>
    <w:rsid w:val="00801D34"/>
    <w:rsid w:val="008026F6"/>
    <w:rsid w:val="00803C85"/>
    <w:rsid w:val="00804137"/>
    <w:rsid w:val="00805A48"/>
    <w:rsid w:val="008063E2"/>
    <w:rsid w:val="00806829"/>
    <w:rsid w:val="00806A83"/>
    <w:rsid w:val="00807739"/>
    <w:rsid w:val="0080791A"/>
    <w:rsid w:val="008100C2"/>
    <w:rsid w:val="00810A48"/>
    <w:rsid w:val="00811637"/>
    <w:rsid w:val="008139B9"/>
    <w:rsid w:val="00814930"/>
    <w:rsid w:val="00815752"/>
    <w:rsid w:val="00815799"/>
    <w:rsid w:val="008179A6"/>
    <w:rsid w:val="00817AAB"/>
    <w:rsid w:val="008207CA"/>
    <w:rsid w:val="008223A5"/>
    <w:rsid w:val="008228A2"/>
    <w:rsid w:val="008235DE"/>
    <w:rsid w:val="008246C9"/>
    <w:rsid w:val="00824873"/>
    <w:rsid w:val="008254D3"/>
    <w:rsid w:val="00825CA4"/>
    <w:rsid w:val="00826018"/>
    <w:rsid w:val="0082641D"/>
    <w:rsid w:val="008266BC"/>
    <w:rsid w:val="00832DF8"/>
    <w:rsid w:val="008331EF"/>
    <w:rsid w:val="00833271"/>
    <w:rsid w:val="0083379F"/>
    <w:rsid w:val="0083402A"/>
    <w:rsid w:val="00834C20"/>
    <w:rsid w:val="00835546"/>
    <w:rsid w:val="00835741"/>
    <w:rsid w:val="00836326"/>
    <w:rsid w:val="008367D9"/>
    <w:rsid w:val="00836AD8"/>
    <w:rsid w:val="00836EA1"/>
    <w:rsid w:val="00837520"/>
    <w:rsid w:val="00840982"/>
    <w:rsid w:val="00841B13"/>
    <w:rsid w:val="00842023"/>
    <w:rsid w:val="00842100"/>
    <w:rsid w:val="008422A0"/>
    <w:rsid w:val="008426D8"/>
    <w:rsid w:val="0084270E"/>
    <w:rsid w:val="00842C37"/>
    <w:rsid w:val="008437F2"/>
    <w:rsid w:val="00843AB9"/>
    <w:rsid w:val="00843C46"/>
    <w:rsid w:val="008442E6"/>
    <w:rsid w:val="00845A90"/>
    <w:rsid w:val="00846339"/>
    <w:rsid w:val="00846E76"/>
    <w:rsid w:val="0085032B"/>
    <w:rsid w:val="00850422"/>
    <w:rsid w:val="00850491"/>
    <w:rsid w:val="00851F8C"/>
    <w:rsid w:val="008531B2"/>
    <w:rsid w:val="0085526B"/>
    <w:rsid w:val="00856585"/>
    <w:rsid w:val="00856E3C"/>
    <w:rsid w:val="00856F7A"/>
    <w:rsid w:val="00857279"/>
    <w:rsid w:val="0085736B"/>
    <w:rsid w:val="0085795F"/>
    <w:rsid w:val="00857B52"/>
    <w:rsid w:val="00860265"/>
    <w:rsid w:val="00861B32"/>
    <w:rsid w:val="00861DD8"/>
    <w:rsid w:val="00864449"/>
    <w:rsid w:val="00864816"/>
    <w:rsid w:val="008665F8"/>
    <w:rsid w:val="00867111"/>
    <w:rsid w:val="00867C9A"/>
    <w:rsid w:val="008701A1"/>
    <w:rsid w:val="008712EF"/>
    <w:rsid w:val="0087173E"/>
    <w:rsid w:val="008718F3"/>
    <w:rsid w:val="0087246B"/>
    <w:rsid w:val="00872487"/>
    <w:rsid w:val="00872D3B"/>
    <w:rsid w:val="00873B3E"/>
    <w:rsid w:val="00874685"/>
    <w:rsid w:val="00874DC9"/>
    <w:rsid w:val="0087561C"/>
    <w:rsid w:val="00876615"/>
    <w:rsid w:val="00876F20"/>
    <w:rsid w:val="00876F23"/>
    <w:rsid w:val="00877094"/>
    <w:rsid w:val="0088137B"/>
    <w:rsid w:val="008813ED"/>
    <w:rsid w:val="00882131"/>
    <w:rsid w:val="0088217A"/>
    <w:rsid w:val="008846F1"/>
    <w:rsid w:val="00884E7E"/>
    <w:rsid w:val="0088510A"/>
    <w:rsid w:val="0088524F"/>
    <w:rsid w:val="00885CAF"/>
    <w:rsid w:val="00885CB3"/>
    <w:rsid w:val="008860BB"/>
    <w:rsid w:val="00886BFC"/>
    <w:rsid w:val="00887493"/>
    <w:rsid w:val="008900BC"/>
    <w:rsid w:val="0089164B"/>
    <w:rsid w:val="00891989"/>
    <w:rsid w:val="00891BF9"/>
    <w:rsid w:val="0089236D"/>
    <w:rsid w:val="00892AF9"/>
    <w:rsid w:val="00892AFC"/>
    <w:rsid w:val="00892BC4"/>
    <w:rsid w:val="00893CC5"/>
    <w:rsid w:val="00893DB2"/>
    <w:rsid w:val="0089436A"/>
    <w:rsid w:val="00894491"/>
    <w:rsid w:val="0089482C"/>
    <w:rsid w:val="00895379"/>
    <w:rsid w:val="008956BD"/>
    <w:rsid w:val="00895C62"/>
    <w:rsid w:val="00896BF1"/>
    <w:rsid w:val="008A0C05"/>
    <w:rsid w:val="008A0CFD"/>
    <w:rsid w:val="008A1F9B"/>
    <w:rsid w:val="008A2018"/>
    <w:rsid w:val="008A37D4"/>
    <w:rsid w:val="008A42B0"/>
    <w:rsid w:val="008A4982"/>
    <w:rsid w:val="008A6085"/>
    <w:rsid w:val="008A663F"/>
    <w:rsid w:val="008A734C"/>
    <w:rsid w:val="008A7C97"/>
    <w:rsid w:val="008A7EBE"/>
    <w:rsid w:val="008B0803"/>
    <w:rsid w:val="008B1154"/>
    <w:rsid w:val="008B1273"/>
    <w:rsid w:val="008B18BC"/>
    <w:rsid w:val="008B1D10"/>
    <w:rsid w:val="008B2258"/>
    <w:rsid w:val="008B2BCD"/>
    <w:rsid w:val="008B36C5"/>
    <w:rsid w:val="008B542E"/>
    <w:rsid w:val="008B590E"/>
    <w:rsid w:val="008B5BE2"/>
    <w:rsid w:val="008B5C38"/>
    <w:rsid w:val="008B6E93"/>
    <w:rsid w:val="008B7691"/>
    <w:rsid w:val="008C04B3"/>
    <w:rsid w:val="008C0694"/>
    <w:rsid w:val="008C06D5"/>
    <w:rsid w:val="008C1208"/>
    <w:rsid w:val="008C3158"/>
    <w:rsid w:val="008C3963"/>
    <w:rsid w:val="008C4415"/>
    <w:rsid w:val="008C4CFE"/>
    <w:rsid w:val="008C5548"/>
    <w:rsid w:val="008D033C"/>
    <w:rsid w:val="008D0725"/>
    <w:rsid w:val="008D0B33"/>
    <w:rsid w:val="008D0B48"/>
    <w:rsid w:val="008D0D25"/>
    <w:rsid w:val="008D1526"/>
    <w:rsid w:val="008D2273"/>
    <w:rsid w:val="008D38EE"/>
    <w:rsid w:val="008D4B2A"/>
    <w:rsid w:val="008D70C5"/>
    <w:rsid w:val="008D75E7"/>
    <w:rsid w:val="008E0791"/>
    <w:rsid w:val="008E094D"/>
    <w:rsid w:val="008E0D06"/>
    <w:rsid w:val="008E152A"/>
    <w:rsid w:val="008E176A"/>
    <w:rsid w:val="008E1A76"/>
    <w:rsid w:val="008E2822"/>
    <w:rsid w:val="008E2982"/>
    <w:rsid w:val="008E3357"/>
    <w:rsid w:val="008E4713"/>
    <w:rsid w:val="008E4F15"/>
    <w:rsid w:val="008E537E"/>
    <w:rsid w:val="008E5BC1"/>
    <w:rsid w:val="008E72F5"/>
    <w:rsid w:val="008E7698"/>
    <w:rsid w:val="008E7709"/>
    <w:rsid w:val="008E7D11"/>
    <w:rsid w:val="008E7D60"/>
    <w:rsid w:val="008F07D2"/>
    <w:rsid w:val="008F0A0A"/>
    <w:rsid w:val="008F0F17"/>
    <w:rsid w:val="008F1049"/>
    <w:rsid w:val="008F10DA"/>
    <w:rsid w:val="008F148D"/>
    <w:rsid w:val="008F1ADF"/>
    <w:rsid w:val="008F355E"/>
    <w:rsid w:val="008F3F44"/>
    <w:rsid w:val="008F4C62"/>
    <w:rsid w:val="008F5E3B"/>
    <w:rsid w:val="008F6B38"/>
    <w:rsid w:val="008F72A6"/>
    <w:rsid w:val="008F7CEB"/>
    <w:rsid w:val="008F7D25"/>
    <w:rsid w:val="00900226"/>
    <w:rsid w:val="00900C8D"/>
    <w:rsid w:val="009012C6"/>
    <w:rsid w:val="009015DD"/>
    <w:rsid w:val="009028DF"/>
    <w:rsid w:val="00902A1D"/>
    <w:rsid w:val="00903064"/>
    <w:rsid w:val="00903387"/>
    <w:rsid w:val="0090362D"/>
    <w:rsid w:val="00903ED1"/>
    <w:rsid w:val="009052E1"/>
    <w:rsid w:val="00905508"/>
    <w:rsid w:val="0090585F"/>
    <w:rsid w:val="00905A0D"/>
    <w:rsid w:val="0090665D"/>
    <w:rsid w:val="00911559"/>
    <w:rsid w:val="00912A8A"/>
    <w:rsid w:val="00913103"/>
    <w:rsid w:val="0091329D"/>
    <w:rsid w:val="00914FCF"/>
    <w:rsid w:val="00914FDF"/>
    <w:rsid w:val="0091599A"/>
    <w:rsid w:val="00916B08"/>
    <w:rsid w:val="00917B8D"/>
    <w:rsid w:val="00917EB1"/>
    <w:rsid w:val="00921109"/>
    <w:rsid w:val="00921436"/>
    <w:rsid w:val="009224C5"/>
    <w:rsid w:val="009233BF"/>
    <w:rsid w:val="00923433"/>
    <w:rsid w:val="00923458"/>
    <w:rsid w:val="00923961"/>
    <w:rsid w:val="009239BB"/>
    <w:rsid w:val="00923BD9"/>
    <w:rsid w:val="0092433B"/>
    <w:rsid w:val="00925CD5"/>
    <w:rsid w:val="00926B57"/>
    <w:rsid w:val="009305F2"/>
    <w:rsid w:val="00930B7D"/>
    <w:rsid w:val="00930F79"/>
    <w:rsid w:val="0093143C"/>
    <w:rsid w:val="00931559"/>
    <w:rsid w:val="00931A26"/>
    <w:rsid w:val="00931EE5"/>
    <w:rsid w:val="00931EF0"/>
    <w:rsid w:val="00932556"/>
    <w:rsid w:val="00932CFF"/>
    <w:rsid w:val="00932F08"/>
    <w:rsid w:val="00932FB2"/>
    <w:rsid w:val="009346F9"/>
    <w:rsid w:val="00934A24"/>
    <w:rsid w:val="00934E7C"/>
    <w:rsid w:val="009354B9"/>
    <w:rsid w:val="00935A0D"/>
    <w:rsid w:val="00936419"/>
    <w:rsid w:val="00936BED"/>
    <w:rsid w:val="00936E01"/>
    <w:rsid w:val="00937737"/>
    <w:rsid w:val="00940803"/>
    <w:rsid w:val="00940FFE"/>
    <w:rsid w:val="009411A0"/>
    <w:rsid w:val="00942B6C"/>
    <w:rsid w:val="00943B74"/>
    <w:rsid w:val="0094486F"/>
    <w:rsid w:val="00944A83"/>
    <w:rsid w:val="00944CA2"/>
    <w:rsid w:val="009458C7"/>
    <w:rsid w:val="00946115"/>
    <w:rsid w:val="0094714C"/>
    <w:rsid w:val="009472B3"/>
    <w:rsid w:val="00947905"/>
    <w:rsid w:val="00947F35"/>
    <w:rsid w:val="009500DD"/>
    <w:rsid w:val="00951598"/>
    <w:rsid w:val="00952919"/>
    <w:rsid w:val="00953A15"/>
    <w:rsid w:val="009542AC"/>
    <w:rsid w:val="00954A59"/>
    <w:rsid w:val="00954DA7"/>
    <w:rsid w:val="00955ADE"/>
    <w:rsid w:val="009573BD"/>
    <w:rsid w:val="0095790B"/>
    <w:rsid w:val="00960649"/>
    <w:rsid w:val="0096079C"/>
    <w:rsid w:val="0096089C"/>
    <w:rsid w:val="0096146C"/>
    <w:rsid w:val="00962E4E"/>
    <w:rsid w:val="00964C60"/>
    <w:rsid w:val="00964E79"/>
    <w:rsid w:val="00964F37"/>
    <w:rsid w:val="0096576D"/>
    <w:rsid w:val="00966926"/>
    <w:rsid w:val="00966C2B"/>
    <w:rsid w:val="00966FEC"/>
    <w:rsid w:val="00967C2E"/>
    <w:rsid w:val="00971134"/>
    <w:rsid w:val="00971434"/>
    <w:rsid w:val="009737A5"/>
    <w:rsid w:val="00974437"/>
    <w:rsid w:val="00974C3A"/>
    <w:rsid w:val="009752BA"/>
    <w:rsid w:val="00975A2A"/>
    <w:rsid w:val="00975D23"/>
    <w:rsid w:val="00975EB9"/>
    <w:rsid w:val="009763B8"/>
    <w:rsid w:val="00976A12"/>
    <w:rsid w:val="00976B16"/>
    <w:rsid w:val="00977454"/>
    <w:rsid w:val="009815B6"/>
    <w:rsid w:val="009816F9"/>
    <w:rsid w:val="00981F51"/>
    <w:rsid w:val="0098269C"/>
    <w:rsid w:val="009837CB"/>
    <w:rsid w:val="00985089"/>
    <w:rsid w:val="00985240"/>
    <w:rsid w:val="009858EF"/>
    <w:rsid w:val="00985D90"/>
    <w:rsid w:val="00986B3C"/>
    <w:rsid w:val="009871A5"/>
    <w:rsid w:val="009872E2"/>
    <w:rsid w:val="0099065F"/>
    <w:rsid w:val="0099075B"/>
    <w:rsid w:val="00990860"/>
    <w:rsid w:val="00990E7A"/>
    <w:rsid w:val="0099195F"/>
    <w:rsid w:val="00991EC7"/>
    <w:rsid w:val="00992009"/>
    <w:rsid w:val="009925EC"/>
    <w:rsid w:val="00992BC7"/>
    <w:rsid w:val="00993AD0"/>
    <w:rsid w:val="00994602"/>
    <w:rsid w:val="00995953"/>
    <w:rsid w:val="009969DF"/>
    <w:rsid w:val="009A00BC"/>
    <w:rsid w:val="009A07EA"/>
    <w:rsid w:val="009A0F6D"/>
    <w:rsid w:val="009A13F2"/>
    <w:rsid w:val="009A1902"/>
    <w:rsid w:val="009A1A3F"/>
    <w:rsid w:val="009A1E3F"/>
    <w:rsid w:val="009A34EE"/>
    <w:rsid w:val="009A3ADA"/>
    <w:rsid w:val="009A4BD3"/>
    <w:rsid w:val="009A52D1"/>
    <w:rsid w:val="009A56C8"/>
    <w:rsid w:val="009A6863"/>
    <w:rsid w:val="009A6A8A"/>
    <w:rsid w:val="009A78A9"/>
    <w:rsid w:val="009A78F0"/>
    <w:rsid w:val="009A7C52"/>
    <w:rsid w:val="009B08DD"/>
    <w:rsid w:val="009B299F"/>
    <w:rsid w:val="009B29BB"/>
    <w:rsid w:val="009B3353"/>
    <w:rsid w:val="009B3BD2"/>
    <w:rsid w:val="009B40B2"/>
    <w:rsid w:val="009B498E"/>
    <w:rsid w:val="009B5319"/>
    <w:rsid w:val="009B55C4"/>
    <w:rsid w:val="009B5F4C"/>
    <w:rsid w:val="009B6C33"/>
    <w:rsid w:val="009B6C5A"/>
    <w:rsid w:val="009B6EF8"/>
    <w:rsid w:val="009B7B7A"/>
    <w:rsid w:val="009C3731"/>
    <w:rsid w:val="009C4F62"/>
    <w:rsid w:val="009C4FE0"/>
    <w:rsid w:val="009C5252"/>
    <w:rsid w:val="009C5D0E"/>
    <w:rsid w:val="009C6175"/>
    <w:rsid w:val="009C61F1"/>
    <w:rsid w:val="009C64B7"/>
    <w:rsid w:val="009C6A35"/>
    <w:rsid w:val="009D00FC"/>
    <w:rsid w:val="009D0123"/>
    <w:rsid w:val="009D023A"/>
    <w:rsid w:val="009D1C6B"/>
    <w:rsid w:val="009D21FF"/>
    <w:rsid w:val="009D2860"/>
    <w:rsid w:val="009D3D61"/>
    <w:rsid w:val="009D4854"/>
    <w:rsid w:val="009D4EE2"/>
    <w:rsid w:val="009D502B"/>
    <w:rsid w:val="009D5847"/>
    <w:rsid w:val="009D605C"/>
    <w:rsid w:val="009D674D"/>
    <w:rsid w:val="009D6900"/>
    <w:rsid w:val="009D6F19"/>
    <w:rsid w:val="009D7015"/>
    <w:rsid w:val="009D7497"/>
    <w:rsid w:val="009E03BE"/>
    <w:rsid w:val="009E0480"/>
    <w:rsid w:val="009E0526"/>
    <w:rsid w:val="009E108B"/>
    <w:rsid w:val="009E11BB"/>
    <w:rsid w:val="009E1E5F"/>
    <w:rsid w:val="009E2222"/>
    <w:rsid w:val="009E2235"/>
    <w:rsid w:val="009E240F"/>
    <w:rsid w:val="009E25E5"/>
    <w:rsid w:val="009E2747"/>
    <w:rsid w:val="009E2EEE"/>
    <w:rsid w:val="009E30D5"/>
    <w:rsid w:val="009E32EE"/>
    <w:rsid w:val="009E4D74"/>
    <w:rsid w:val="009E5076"/>
    <w:rsid w:val="009E5D5B"/>
    <w:rsid w:val="009E68BB"/>
    <w:rsid w:val="009E7036"/>
    <w:rsid w:val="009E7593"/>
    <w:rsid w:val="009F07F4"/>
    <w:rsid w:val="009F11E8"/>
    <w:rsid w:val="009F19E6"/>
    <w:rsid w:val="009F1F2E"/>
    <w:rsid w:val="009F1F62"/>
    <w:rsid w:val="009F3947"/>
    <w:rsid w:val="009F4D23"/>
    <w:rsid w:val="009F5C19"/>
    <w:rsid w:val="009F69BA"/>
    <w:rsid w:val="009F6E82"/>
    <w:rsid w:val="009F704F"/>
    <w:rsid w:val="00A00110"/>
    <w:rsid w:val="00A00BC6"/>
    <w:rsid w:val="00A014EE"/>
    <w:rsid w:val="00A01821"/>
    <w:rsid w:val="00A0225D"/>
    <w:rsid w:val="00A037CB"/>
    <w:rsid w:val="00A0469A"/>
    <w:rsid w:val="00A04B89"/>
    <w:rsid w:val="00A04EB0"/>
    <w:rsid w:val="00A05063"/>
    <w:rsid w:val="00A06807"/>
    <w:rsid w:val="00A075F7"/>
    <w:rsid w:val="00A076B7"/>
    <w:rsid w:val="00A11324"/>
    <w:rsid w:val="00A13008"/>
    <w:rsid w:val="00A138DC"/>
    <w:rsid w:val="00A14237"/>
    <w:rsid w:val="00A1430D"/>
    <w:rsid w:val="00A14429"/>
    <w:rsid w:val="00A15125"/>
    <w:rsid w:val="00A15FFD"/>
    <w:rsid w:val="00A16207"/>
    <w:rsid w:val="00A17823"/>
    <w:rsid w:val="00A17875"/>
    <w:rsid w:val="00A17D0D"/>
    <w:rsid w:val="00A2042B"/>
    <w:rsid w:val="00A20C97"/>
    <w:rsid w:val="00A20F7B"/>
    <w:rsid w:val="00A22365"/>
    <w:rsid w:val="00A2300C"/>
    <w:rsid w:val="00A2340B"/>
    <w:rsid w:val="00A234AD"/>
    <w:rsid w:val="00A25070"/>
    <w:rsid w:val="00A25AF8"/>
    <w:rsid w:val="00A27150"/>
    <w:rsid w:val="00A272BC"/>
    <w:rsid w:val="00A27728"/>
    <w:rsid w:val="00A31EDE"/>
    <w:rsid w:val="00A31F2A"/>
    <w:rsid w:val="00A32A88"/>
    <w:rsid w:val="00A32DE9"/>
    <w:rsid w:val="00A3314E"/>
    <w:rsid w:val="00A344AD"/>
    <w:rsid w:val="00A35622"/>
    <w:rsid w:val="00A36ED5"/>
    <w:rsid w:val="00A376FD"/>
    <w:rsid w:val="00A40C74"/>
    <w:rsid w:val="00A41054"/>
    <w:rsid w:val="00A415DB"/>
    <w:rsid w:val="00A4197A"/>
    <w:rsid w:val="00A41E44"/>
    <w:rsid w:val="00A42D27"/>
    <w:rsid w:val="00A43472"/>
    <w:rsid w:val="00A43B64"/>
    <w:rsid w:val="00A4679F"/>
    <w:rsid w:val="00A47246"/>
    <w:rsid w:val="00A47C9E"/>
    <w:rsid w:val="00A50C74"/>
    <w:rsid w:val="00A51357"/>
    <w:rsid w:val="00A51D2C"/>
    <w:rsid w:val="00A52C18"/>
    <w:rsid w:val="00A536A0"/>
    <w:rsid w:val="00A53CB1"/>
    <w:rsid w:val="00A5404F"/>
    <w:rsid w:val="00A55D42"/>
    <w:rsid w:val="00A55E21"/>
    <w:rsid w:val="00A57AFC"/>
    <w:rsid w:val="00A6004F"/>
    <w:rsid w:val="00A6220A"/>
    <w:rsid w:val="00A64A07"/>
    <w:rsid w:val="00A650DC"/>
    <w:rsid w:val="00A654F7"/>
    <w:rsid w:val="00A66299"/>
    <w:rsid w:val="00A67754"/>
    <w:rsid w:val="00A67ED9"/>
    <w:rsid w:val="00A7115B"/>
    <w:rsid w:val="00A717E4"/>
    <w:rsid w:val="00A744CF"/>
    <w:rsid w:val="00A757D4"/>
    <w:rsid w:val="00A7641B"/>
    <w:rsid w:val="00A767EF"/>
    <w:rsid w:val="00A76FB1"/>
    <w:rsid w:val="00A77111"/>
    <w:rsid w:val="00A77853"/>
    <w:rsid w:val="00A81037"/>
    <w:rsid w:val="00A81140"/>
    <w:rsid w:val="00A81C19"/>
    <w:rsid w:val="00A82448"/>
    <w:rsid w:val="00A8620C"/>
    <w:rsid w:val="00A8711C"/>
    <w:rsid w:val="00A900E2"/>
    <w:rsid w:val="00A90703"/>
    <w:rsid w:val="00A917E6"/>
    <w:rsid w:val="00A92027"/>
    <w:rsid w:val="00A933EF"/>
    <w:rsid w:val="00A93B3D"/>
    <w:rsid w:val="00A94713"/>
    <w:rsid w:val="00A949F0"/>
    <w:rsid w:val="00A95947"/>
    <w:rsid w:val="00A96BC3"/>
    <w:rsid w:val="00A96EE6"/>
    <w:rsid w:val="00A96FD2"/>
    <w:rsid w:val="00A97959"/>
    <w:rsid w:val="00A97EAD"/>
    <w:rsid w:val="00AA09B3"/>
    <w:rsid w:val="00AA1733"/>
    <w:rsid w:val="00AA19A7"/>
    <w:rsid w:val="00AA2C2B"/>
    <w:rsid w:val="00AA37FC"/>
    <w:rsid w:val="00AA44B0"/>
    <w:rsid w:val="00AA4B65"/>
    <w:rsid w:val="00AA57EF"/>
    <w:rsid w:val="00AA5F5D"/>
    <w:rsid w:val="00AB1362"/>
    <w:rsid w:val="00AB34DB"/>
    <w:rsid w:val="00AB3F5E"/>
    <w:rsid w:val="00AB4396"/>
    <w:rsid w:val="00AB6036"/>
    <w:rsid w:val="00AB61CC"/>
    <w:rsid w:val="00AB66F0"/>
    <w:rsid w:val="00AB7491"/>
    <w:rsid w:val="00AB7DB9"/>
    <w:rsid w:val="00AC161D"/>
    <w:rsid w:val="00AC17F2"/>
    <w:rsid w:val="00AC20D8"/>
    <w:rsid w:val="00AC2D4B"/>
    <w:rsid w:val="00AC3EA4"/>
    <w:rsid w:val="00AC3EC5"/>
    <w:rsid w:val="00AC46E5"/>
    <w:rsid w:val="00AC5B93"/>
    <w:rsid w:val="00AC6E31"/>
    <w:rsid w:val="00AC6FA3"/>
    <w:rsid w:val="00AC74AC"/>
    <w:rsid w:val="00AC7ABC"/>
    <w:rsid w:val="00AD1C3D"/>
    <w:rsid w:val="00AD1D3D"/>
    <w:rsid w:val="00AD2277"/>
    <w:rsid w:val="00AD5C04"/>
    <w:rsid w:val="00AE013D"/>
    <w:rsid w:val="00AE125E"/>
    <w:rsid w:val="00AE1D9E"/>
    <w:rsid w:val="00AE27DE"/>
    <w:rsid w:val="00AE34E5"/>
    <w:rsid w:val="00AE4286"/>
    <w:rsid w:val="00AE45EA"/>
    <w:rsid w:val="00AE5719"/>
    <w:rsid w:val="00AE5953"/>
    <w:rsid w:val="00AE5B00"/>
    <w:rsid w:val="00AE5B7C"/>
    <w:rsid w:val="00AE6B73"/>
    <w:rsid w:val="00AE6EC3"/>
    <w:rsid w:val="00AE73E2"/>
    <w:rsid w:val="00AF02C2"/>
    <w:rsid w:val="00AF0927"/>
    <w:rsid w:val="00AF16F8"/>
    <w:rsid w:val="00AF1B2B"/>
    <w:rsid w:val="00AF200E"/>
    <w:rsid w:val="00AF203D"/>
    <w:rsid w:val="00AF299E"/>
    <w:rsid w:val="00AF2AD6"/>
    <w:rsid w:val="00AF2ADD"/>
    <w:rsid w:val="00AF3B9F"/>
    <w:rsid w:val="00AF4BD7"/>
    <w:rsid w:val="00AF55A6"/>
    <w:rsid w:val="00AF621D"/>
    <w:rsid w:val="00AF65A0"/>
    <w:rsid w:val="00B0049C"/>
    <w:rsid w:val="00B0060F"/>
    <w:rsid w:val="00B010DB"/>
    <w:rsid w:val="00B0148A"/>
    <w:rsid w:val="00B01E0D"/>
    <w:rsid w:val="00B03459"/>
    <w:rsid w:val="00B03CE2"/>
    <w:rsid w:val="00B04842"/>
    <w:rsid w:val="00B05DE3"/>
    <w:rsid w:val="00B05E33"/>
    <w:rsid w:val="00B06BA1"/>
    <w:rsid w:val="00B10802"/>
    <w:rsid w:val="00B11E6A"/>
    <w:rsid w:val="00B125CC"/>
    <w:rsid w:val="00B13EF8"/>
    <w:rsid w:val="00B13F95"/>
    <w:rsid w:val="00B14987"/>
    <w:rsid w:val="00B1522A"/>
    <w:rsid w:val="00B153AD"/>
    <w:rsid w:val="00B158C6"/>
    <w:rsid w:val="00B15C4F"/>
    <w:rsid w:val="00B169F5"/>
    <w:rsid w:val="00B16FF2"/>
    <w:rsid w:val="00B172A1"/>
    <w:rsid w:val="00B17A5B"/>
    <w:rsid w:val="00B21982"/>
    <w:rsid w:val="00B21F2B"/>
    <w:rsid w:val="00B2362A"/>
    <w:rsid w:val="00B25866"/>
    <w:rsid w:val="00B25A6F"/>
    <w:rsid w:val="00B25BC6"/>
    <w:rsid w:val="00B270F3"/>
    <w:rsid w:val="00B27D4C"/>
    <w:rsid w:val="00B30948"/>
    <w:rsid w:val="00B316E2"/>
    <w:rsid w:val="00B322FC"/>
    <w:rsid w:val="00B33A9A"/>
    <w:rsid w:val="00B33C2F"/>
    <w:rsid w:val="00B34D6D"/>
    <w:rsid w:val="00B35432"/>
    <w:rsid w:val="00B373AD"/>
    <w:rsid w:val="00B37507"/>
    <w:rsid w:val="00B4028D"/>
    <w:rsid w:val="00B41343"/>
    <w:rsid w:val="00B4134E"/>
    <w:rsid w:val="00B4137E"/>
    <w:rsid w:val="00B41BE7"/>
    <w:rsid w:val="00B42775"/>
    <w:rsid w:val="00B4299A"/>
    <w:rsid w:val="00B42B2D"/>
    <w:rsid w:val="00B441CE"/>
    <w:rsid w:val="00B44DA3"/>
    <w:rsid w:val="00B461C1"/>
    <w:rsid w:val="00B46853"/>
    <w:rsid w:val="00B5061D"/>
    <w:rsid w:val="00B5114C"/>
    <w:rsid w:val="00B518F7"/>
    <w:rsid w:val="00B51A2C"/>
    <w:rsid w:val="00B52026"/>
    <w:rsid w:val="00B5328A"/>
    <w:rsid w:val="00B5510F"/>
    <w:rsid w:val="00B566EA"/>
    <w:rsid w:val="00B57587"/>
    <w:rsid w:val="00B61DD1"/>
    <w:rsid w:val="00B623CE"/>
    <w:rsid w:val="00B62B91"/>
    <w:rsid w:val="00B62CE7"/>
    <w:rsid w:val="00B63188"/>
    <w:rsid w:val="00B64BF6"/>
    <w:rsid w:val="00B662AD"/>
    <w:rsid w:val="00B66812"/>
    <w:rsid w:val="00B67E89"/>
    <w:rsid w:val="00B70AD5"/>
    <w:rsid w:val="00B71DAA"/>
    <w:rsid w:val="00B722A7"/>
    <w:rsid w:val="00B728D6"/>
    <w:rsid w:val="00B72ACE"/>
    <w:rsid w:val="00B7332C"/>
    <w:rsid w:val="00B73BC0"/>
    <w:rsid w:val="00B75466"/>
    <w:rsid w:val="00B76233"/>
    <w:rsid w:val="00B76358"/>
    <w:rsid w:val="00B778AA"/>
    <w:rsid w:val="00B81C55"/>
    <w:rsid w:val="00B82000"/>
    <w:rsid w:val="00B82E36"/>
    <w:rsid w:val="00B84265"/>
    <w:rsid w:val="00B8497B"/>
    <w:rsid w:val="00B85D36"/>
    <w:rsid w:val="00B86A4A"/>
    <w:rsid w:val="00B86DC2"/>
    <w:rsid w:val="00B86E05"/>
    <w:rsid w:val="00B90397"/>
    <w:rsid w:val="00B90CBE"/>
    <w:rsid w:val="00B91560"/>
    <w:rsid w:val="00B91A02"/>
    <w:rsid w:val="00B91C28"/>
    <w:rsid w:val="00B91F2F"/>
    <w:rsid w:val="00B92B46"/>
    <w:rsid w:val="00B92E1C"/>
    <w:rsid w:val="00B95A00"/>
    <w:rsid w:val="00B95CDD"/>
    <w:rsid w:val="00B96729"/>
    <w:rsid w:val="00BA00A9"/>
    <w:rsid w:val="00BA0426"/>
    <w:rsid w:val="00BA1854"/>
    <w:rsid w:val="00BA1B7A"/>
    <w:rsid w:val="00BA2EE9"/>
    <w:rsid w:val="00BA363C"/>
    <w:rsid w:val="00BA3674"/>
    <w:rsid w:val="00BA36A5"/>
    <w:rsid w:val="00BA3CDE"/>
    <w:rsid w:val="00BA44C6"/>
    <w:rsid w:val="00BA4B2C"/>
    <w:rsid w:val="00BA56BB"/>
    <w:rsid w:val="00BA69F4"/>
    <w:rsid w:val="00BA7E7D"/>
    <w:rsid w:val="00BA7F80"/>
    <w:rsid w:val="00BB0CC2"/>
    <w:rsid w:val="00BB107D"/>
    <w:rsid w:val="00BB1A72"/>
    <w:rsid w:val="00BB1C5D"/>
    <w:rsid w:val="00BB2701"/>
    <w:rsid w:val="00BB2E4E"/>
    <w:rsid w:val="00BB3344"/>
    <w:rsid w:val="00BB37FC"/>
    <w:rsid w:val="00BB4B26"/>
    <w:rsid w:val="00BB50A5"/>
    <w:rsid w:val="00BB6202"/>
    <w:rsid w:val="00BB7698"/>
    <w:rsid w:val="00BB78FC"/>
    <w:rsid w:val="00BB7C68"/>
    <w:rsid w:val="00BC15AB"/>
    <w:rsid w:val="00BC1BAD"/>
    <w:rsid w:val="00BC250E"/>
    <w:rsid w:val="00BC30AA"/>
    <w:rsid w:val="00BC3FE1"/>
    <w:rsid w:val="00BC5040"/>
    <w:rsid w:val="00BC59F6"/>
    <w:rsid w:val="00BC63BC"/>
    <w:rsid w:val="00BC6602"/>
    <w:rsid w:val="00BC6982"/>
    <w:rsid w:val="00BC6991"/>
    <w:rsid w:val="00BC704A"/>
    <w:rsid w:val="00BC7267"/>
    <w:rsid w:val="00BD000E"/>
    <w:rsid w:val="00BD0947"/>
    <w:rsid w:val="00BD1191"/>
    <w:rsid w:val="00BD1625"/>
    <w:rsid w:val="00BD1943"/>
    <w:rsid w:val="00BD1BDB"/>
    <w:rsid w:val="00BD24F0"/>
    <w:rsid w:val="00BD2E7D"/>
    <w:rsid w:val="00BD3667"/>
    <w:rsid w:val="00BD3AD2"/>
    <w:rsid w:val="00BD428D"/>
    <w:rsid w:val="00BD4B1F"/>
    <w:rsid w:val="00BD5EA7"/>
    <w:rsid w:val="00BD6857"/>
    <w:rsid w:val="00BD6BED"/>
    <w:rsid w:val="00BD7483"/>
    <w:rsid w:val="00BD7A3B"/>
    <w:rsid w:val="00BE097D"/>
    <w:rsid w:val="00BE0E74"/>
    <w:rsid w:val="00BE1DBF"/>
    <w:rsid w:val="00BE226E"/>
    <w:rsid w:val="00BE3B2F"/>
    <w:rsid w:val="00BE421A"/>
    <w:rsid w:val="00BE66D6"/>
    <w:rsid w:val="00BE67A1"/>
    <w:rsid w:val="00BE732D"/>
    <w:rsid w:val="00BF0540"/>
    <w:rsid w:val="00BF0748"/>
    <w:rsid w:val="00BF0B64"/>
    <w:rsid w:val="00BF1610"/>
    <w:rsid w:val="00BF212E"/>
    <w:rsid w:val="00BF330A"/>
    <w:rsid w:val="00BF42CF"/>
    <w:rsid w:val="00BF469C"/>
    <w:rsid w:val="00BF558C"/>
    <w:rsid w:val="00BF685A"/>
    <w:rsid w:val="00BF6B39"/>
    <w:rsid w:val="00C0076A"/>
    <w:rsid w:val="00C0130F"/>
    <w:rsid w:val="00C0590E"/>
    <w:rsid w:val="00C05950"/>
    <w:rsid w:val="00C06929"/>
    <w:rsid w:val="00C06EF4"/>
    <w:rsid w:val="00C07899"/>
    <w:rsid w:val="00C07FA9"/>
    <w:rsid w:val="00C10AEE"/>
    <w:rsid w:val="00C10DD6"/>
    <w:rsid w:val="00C10DEC"/>
    <w:rsid w:val="00C1122F"/>
    <w:rsid w:val="00C11F89"/>
    <w:rsid w:val="00C120C6"/>
    <w:rsid w:val="00C12C0F"/>
    <w:rsid w:val="00C134E5"/>
    <w:rsid w:val="00C13832"/>
    <w:rsid w:val="00C1424D"/>
    <w:rsid w:val="00C143AE"/>
    <w:rsid w:val="00C16490"/>
    <w:rsid w:val="00C16ECF"/>
    <w:rsid w:val="00C17535"/>
    <w:rsid w:val="00C1778D"/>
    <w:rsid w:val="00C20E42"/>
    <w:rsid w:val="00C22635"/>
    <w:rsid w:val="00C22842"/>
    <w:rsid w:val="00C22CBC"/>
    <w:rsid w:val="00C22DAC"/>
    <w:rsid w:val="00C23048"/>
    <w:rsid w:val="00C23621"/>
    <w:rsid w:val="00C23792"/>
    <w:rsid w:val="00C24F5E"/>
    <w:rsid w:val="00C255BC"/>
    <w:rsid w:val="00C265CC"/>
    <w:rsid w:val="00C265FB"/>
    <w:rsid w:val="00C26973"/>
    <w:rsid w:val="00C273AE"/>
    <w:rsid w:val="00C27C1C"/>
    <w:rsid w:val="00C27C61"/>
    <w:rsid w:val="00C308E5"/>
    <w:rsid w:val="00C3109F"/>
    <w:rsid w:val="00C32280"/>
    <w:rsid w:val="00C330CA"/>
    <w:rsid w:val="00C34196"/>
    <w:rsid w:val="00C3479E"/>
    <w:rsid w:val="00C34A6D"/>
    <w:rsid w:val="00C3500A"/>
    <w:rsid w:val="00C373ED"/>
    <w:rsid w:val="00C400E5"/>
    <w:rsid w:val="00C4201F"/>
    <w:rsid w:val="00C420DF"/>
    <w:rsid w:val="00C4284F"/>
    <w:rsid w:val="00C42ACD"/>
    <w:rsid w:val="00C4317A"/>
    <w:rsid w:val="00C45222"/>
    <w:rsid w:val="00C4591F"/>
    <w:rsid w:val="00C459AC"/>
    <w:rsid w:val="00C4622D"/>
    <w:rsid w:val="00C46263"/>
    <w:rsid w:val="00C46981"/>
    <w:rsid w:val="00C470AF"/>
    <w:rsid w:val="00C472F7"/>
    <w:rsid w:val="00C47D1B"/>
    <w:rsid w:val="00C503FF"/>
    <w:rsid w:val="00C505E8"/>
    <w:rsid w:val="00C51140"/>
    <w:rsid w:val="00C51346"/>
    <w:rsid w:val="00C515D8"/>
    <w:rsid w:val="00C51B23"/>
    <w:rsid w:val="00C51E4F"/>
    <w:rsid w:val="00C53469"/>
    <w:rsid w:val="00C53782"/>
    <w:rsid w:val="00C53985"/>
    <w:rsid w:val="00C53E72"/>
    <w:rsid w:val="00C546A6"/>
    <w:rsid w:val="00C54701"/>
    <w:rsid w:val="00C548CF"/>
    <w:rsid w:val="00C54BE5"/>
    <w:rsid w:val="00C56625"/>
    <w:rsid w:val="00C56912"/>
    <w:rsid w:val="00C56A45"/>
    <w:rsid w:val="00C57553"/>
    <w:rsid w:val="00C57670"/>
    <w:rsid w:val="00C579F0"/>
    <w:rsid w:val="00C6012D"/>
    <w:rsid w:val="00C61018"/>
    <w:rsid w:val="00C61355"/>
    <w:rsid w:val="00C61471"/>
    <w:rsid w:val="00C63269"/>
    <w:rsid w:val="00C636D0"/>
    <w:rsid w:val="00C66549"/>
    <w:rsid w:val="00C66C9E"/>
    <w:rsid w:val="00C66CFB"/>
    <w:rsid w:val="00C673D1"/>
    <w:rsid w:val="00C71059"/>
    <w:rsid w:val="00C716E5"/>
    <w:rsid w:val="00C7186E"/>
    <w:rsid w:val="00C71A66"/>
    <w:rsid w:val="00C71FD4"/>
    <w:rsid w:val="00C7224E"/>
    <w:rsid w:val="00C731DC"/>
    <w:rsid w:val="00C7372B"/>
    <w:rsid w:val="00C73907"/>
    <w:rsid w:val="00C748A4"/>
    <w:rsid w:val="00C74C5A"/>
    <w:rsid w:val="00C76800"/>
    <w:rsid w:val="00C77272"/>
    <w:rsid w:val="00C77CD0"/>
    <w:rsid w:val="00C77FCC"/>
    <w:rsid w:val="00C80153"/>
    <w:rsid w:val="00C8083C"/>
    <w:rsid w:val="00C80F64"/>
    <w:rsid w:val="00C80F8C"/>
    <w:rsid w:val="00C8162E"/>
    <w:rsid w:val="00C81D68"/>
    <w:rsid w:val="00C828BE"/>
    <w:rsid w:val="00C82C57"/>
    <w:rsid w:val="00C8343C"/>
    <w:rsid w:val="00C83B36"/>
    <w:rsid w:val="00C84585"/>
    <w:rsid w:val="00C8497C"/>
    <w:rsid w:val="00C84A04"/>
    <w:rsid w:val="00C866A8"/>
    <w:rsid w:val="00C87926"/>
    <w:rsid w:val="00C90A72"/>
    <w:rsid w:val="00C91A3F"/>
    <w:rsid w:val="00C92091"/>
    <w:rsid w:val="00C925AE"/>
    <w:rsid w:val="00C92FA3"/>
    <w:rsid w:val="00C9414E"/>
    <w:rsid w:val="00C94EA7"/>
    <w:rsid w:val="00C95E47"/>
    <w:rsid w:val="00C963A0"/>
    <w:rsid w:val="00C9699D"/>
    <w:rsid w:val="00C9775A"/>
    <w:rsid w:val="00C97E22"/>
    <w:rsid w:val="00CA07FF"/>
    <w:rsid w:val="00CA0F7D"/>
    <w:rsid w:val="00CA30DF"/>
    <w:rsid w:val="00CA456C"/>
    <w:rsid w:val="00CA460D"/>
    <w:rsid w:val="00CA666E"/>
    <w:rsid w:val="00CA66DF"/>
    <w:rsid w:val="00CA7476"/>
    <w:rsid w:val="00CA7C1E"/>
    <w:rsid w:val="00CA7FE3"/>
    <w:rsid w:val="00CB0565"/>
    <w:rsid w:val="00CB1D5A"/>
    <w:rsid w:val="00CB24B2"/>
    <w:rsid w:val="00CB2A57"/>
    <w:rsid w:val="00CB57FD"/>
    <w:rsid w:val="00CB63FB"/>
    <w:rsid w:val="00CB6D69"/>
    <w:rsid w:val="00CB6E8B"/>
    <w:rsid w:val="00CB703A"/>
    <w:rsid w:val="00CB7E67"/>
    <w:rsid w:val="00CC0C5D"/>
    <w:rsid w:val="00CC0EE1"/>
    <w:rsid w:val="00CC18AB"/>
    <w:rsid w:val="00CC215F"/>
    <w:rsid w:val="00CC22DD"/>
    <w:rsid w:val="00CC2BF2"/>
    <w:rsid w:val="00CC30A8"/>
    <w:rsid w:val="00CC3C9F"/>
    <w:rsid w:val="00CC4A8B"/>
    <w:rsid w:val="00CC5E23"/>
    <w:rsid w:val="00CC6BFC"/>
    <w:rsid w:val="00CC77E3"/>
    <w:rsid w:val="00CD04A8"/>
    <w:rsid w:val="00CD0985"/>
    <w:rsid w:val="00CD2AE3"/>
    <w:rsid w:val="00CD4A97"/>
    <w:rsid w:val="00CD4D23"/>
    <w:rsid w:val="00CD50FB"/>
    <w:rsid w:val="00CD55AE"/>
    <w:rsid w:val="00CD57CA"/>
    <w:rsid w:val="00CD6519"/>
    <w:rsid w:val="00CD684F"/>
    <w:rsid w:val="00CD707C"/>
    <w:rsid w:val="00CD737C"/>
    <w:rsid w:val="00CD7BC3"/>
    <w:rsid w:val="00CD7C46"/>
    <w:rsid w:val="00CD7DA9"/>
    <w:rsid w:val="00CD7E25"/>
    <w:rsid w:val="00CE05D4"/>
    <w:rsid w:val="00CE0EE6"/>
    <w:rsid w:val="00CE1592"/>
    <w:rsid w:val="00CE234D"/>
    <w:rsid w:val="00CE40D0"/>
    <w:rsid w:val="00CE4301"/>
    <w:rsid w:val="00CE468E"/>
    <w:rsid w:val="00CE46FC"/>
    <w:rsid w:val="00CE481E"/>
    <w:rsid w:val="00CE4AA8"/>
    <w:rsid w:val="00CE515F"/>
    <w:rsid w:val="00CE657B"/>
    <w:rsid w:val="00CF2E44"/>
    <w:rsid w:val="00CF3292"/>
    <w:rsid w:val="00CF3A3D"/>
    <w:rsid w:val="00CF58CF"/>
    <w:rsid w:val="00CF67F8"/>
    <w:rsid w:val="00CF6971"/>
    <w:rsid w:val="00CF6B0F"/>
    <w:rsid w:val="00CF78DB"/>
    <w:rsid w:val="00CF7D1F"/>
    <w:rsid w:val="00D01CEF"/>
    <w:rsid w:val="00D01EDC"/>
    <w:rsid w:val="00D0248E"/>
    <w:rsid w:val="00D027E3"/>
    <w:rsid w:val="00D035FA"/>
    <w:rsid w:val="00D03E56"/>
    <w:rsid w:val="00D049A0"/>
    <w:rsid w:val="00D07F0D"/>
    <w:rsid w:val="00D11533"/>
    <w:rsid w:val="00D11F5B"/>
    <w:rsid w:val="00D12E08"/>
    <w:rsid w:val="00D14D6E"/>
    <w:rsid w:val="00D15398"/>
    <w:rsid w:val="00D1585E"/>
    <w:rsid w:val="00D15EDB"/>
    <w:rsid w:val="00D16EAC"/>
    <w:rsid w:val="00D17381"/>
    <w:rsid w:val="00D17DCA"/>
    <w:rsid w:val="00D21482"/>
    <w:rsid w:val="00D217A4"/>
    <w:rsid w:val="00D236C3"/>
    <w:rsid w:val="00D24764"/>
    <w:rsid w:val="00D24A5F"/>
    <w:rsid w:val="00D25979"/>
    <w:rsid w:val="00D25ADE"/>
    <w:rsid w:val="00D269B7"/>
    <w:rsid w:val="00D2728D"/>
    <w:rsid w:val="00D27298"/>
    <w:rsid w:val="00D278A7"/>
    <w:rsid w:val="00D30441"/>
    <w:rsid w:val="00D31B06"/>
    <w:rsid w:val="00D31BFC"/>
    <w:rsid w:val="00D31F2E"/>
    <w:rsid w:val="00D32B38"/>
    <w:rsid w:val="00D33B5C"/>
    <w:rsid w:val="00D355A0"/>
    <w:rsid w:val="00D35C16"/>
    <w:rsid w:val="00D36C80"/>
    <w:rsid w:val="00D371C6"/>
    <w:rsid w:val="00D372B2"/>
    <w:rsid w:val="00D407D5"/>
    <w:rsid w:val="00D4136B"/>
    <w:rsid w:val="00D41D70"/>
    <w:rsid w:val="00D42123"/>
    <w:rsid w:val="00D42175"/>
    <w:rsid w:val="00D42497"/>
    <w:rsid w:val="00D443AF"/>
    <w:rsid w:val="00D47351"/>
    <w:rsid w:val="00D473CC"/>
    <w:rsid w:val="00D47643"/>
    <w:rsid w:val="00D47A9E"/>
    <w:rsid w:val="00D50580"/>
    <w:rsid w:val="00D50CDF"/>
    <w:rsid w:val="00D518E8"/>
    <w:rsid w:val="00D5257F"/>
    <w:rsid w:val="00D5288E"/>
    <w:rsid w:val="00D53645"/>
    <w:rsid w:val="00D53E41"/>
    <w:rsid w:val="00D547F7"/>
    <w:rsid w:val="00D553E6"/>
    <w:rsid w:val="00D562E7"/>
    <w:rsid w:val="00D5652D"/>
    <w:rsid w:val="00D56C5F"/>
    <w:rsid w:val="00D5723A"/>
    <w:rsid w:val="00D61B15"/>
    <w:rsid w:val="00D62E55"/>
    <w:rsid w:val="00D63904"/>
    <w:rsid w:val="00D64514"/>
    <w:rsid w:val="00D649B8"/>
    <w:rsid w:val="00D64A87"/>
    <w:rsid w:val="00D65DA3"/>
    <w:rsid w:val="00D666F3"/>
    <w:rsid w:val="00D66740"/>
    <w:rsid w:val="00D66BAE"/>
    <w:rsid w:val="00D66BD4"/>
    <w:rsid w:val="00D66FEB"/>
    <w:rsid w:val="00D7015C"/>
    <w:rsid w:val="00D70B6F"/>
    <w:rsid w:val="00D71102"/>
    <w:rsid w:val="00D71585"/>
    <w:rsid w:val="00D72B26"/>
    <w:rsid w:val="00D7492A"/>
    <w:rsid w:val="00D75214"/>
    <w:rsid w:val="00D756D5"/>
    <w:rsid w:val="00D75922"/>
    <w:rsid w:val="00D77B71"/>
    <w:rsid w:val="00D804E1"/>
    <w:rsid w:val="00D83994"/>
    <w:rsid w:val="00D83CE5"/>
    <w:rsid w:val="00D8465C"/>
    <w:rsid w:val="00D849AA"/>
    <w:rsid w:val="00D85008"/>
    <w:rsid w:val="00D87A49"/>
    <w:rsid w:val="00D90475"/>
    <w:rsid w:val="00D90BBF"/>
    <w:rsid w:val="00D9148A"/>
    <w:rsid w:val="00D914D1"/>
    <w:rsid w:val="00D91C33"/>
    <w:rsid w:val="00D91FB9"/>
    <w:rsid w:val="00D922F3"/>
    <w:rsid w:val="00D92D94"/>
    <w:rsid w:val="00D943C5"/>
    <w:rsid w:val="00D94DEE"/>
    <w:rsid w:val="00D950A6"/>
    <w:rsid w:val="00D950EC"/>
    <w:rsid w:val="00D956AA"/>
    <w:rsid w:val="00D95EF8"/>
    <w:rsid w:val="00D971F3"/>
    <w:rsid w:val="00DA0B14"/>
    <w:rsid w:val="00DA0B77"/>
    <w:rsid w:val="00DA1064"/>
    <w:rsid w:val="00DA120B"/>
    <w:rsid w:val="00DA13FD"/>
    <w:rsid w:val="00DA1851"/>
    <w:rsid w:val="00DA205C"/>
    <w:rsid w:val="00DA2450"/>
    <w:rsid w:val="00DA299A"/>
    <w:rsid w:val="00DA31C0"/>
    <w:rsid w:val="00DA3B8C"/>
    <w:rsid w:val="00DA3DBD"/>
    <w:rsid w:val="00DA4C11"/>
    <w:rsid w:val="00DA5781"/>
    <w:rsid w:val="00DA63C9"/>
    <w:rsid w:val="00DA6B83"/>
    <w:rsid w:val="00DA6E68"/>
    <w:rsid w:val="00DB143B"/>
    <w:rsid w:val="00DB19E6"/>
    <w:rsid w:val="00DB25BC"/>
    <w:rsid w:val="00DB2606"/>
    <w:rsid w:val="00DB26C3"/>
    <w:rsid w:val="00DB5812"/>
    <w:rsid w:val="00DB5868"/>
    <w:rsid w:val="00DB7C2A"/>
    <w:rsid w:val="00DC057B"/>
    <w:rsid w:val="00DC0595"/>
    <w:rsid w:val="00DC10E2"/>
    <w:rsid w:val="00DC215D"/>
    <w:rsid w:val="00DC241A"/>
    <w:rsid w:val="00DC2975"/>
    <w:rsid w:val="00DC3E83"/>
    <w:rsid w:val="00DC4A66"/>
    <w:rsid w:val="00DC5B57"/>
    <w:rsid w:val="00DC60C7"/>
    <w:rsid w:val="00DC6415"/>
    <w:rsid w:val="00DC673C"/>
    <w:rsid w:val="00DC6829"/>
    <w:rsid w:val="00DC7022"/>
    <w:rsid w:val="00DC752F"/>
    <w:rsid w:val="00DC7C00"/>
    <w:rsid w:val="00DD0174"/>
    <w:rsid w:val="00DD0B9B"/>
    <w:rsid w:val="00DD0DA2"/>
    <w:rsid w:val="00DD0FEA"/>
    <w:rsid w:val="00DD1B85"/>
    <w:rsid w:val="00DD238A"/>
    <w:rsid w:val="00DD2460"/>
    <w:rsid w:val="00DD24BD"/>
    <w:rsid w:val="00DD295D"/>
    <w:rsid w:val="00DD324F"/>
    <w:rsid w:val="00DD36E9"/>
    <w:rsid w:val="00DD4235"/>
    <w:rsid w:val="00DD43B7"/>
    <w:rsid w:val="00DD4779"/>
    <w:rsid w:val="00DD4EA2"/>
    <w:rsid w:val="00DD625F"/>
    <w:rsid w:val="00DD65CC"/>
    <w:rsid w:val="00DD6C50"/>
    <w:rsid w:val="00DD747F"/>
    <w:rsid w:val="00DE015D"/>
    <w:rsid w:val="00DE03DC"/>
    <w:rsid w:val="00DE0BC1"/>
    <w:rsid w:val="00DE1D18"/>
    <w:rsid w:val="00DE23D2"/>
    <w:rsid w:val="00DE37CF"/>
    <w:rsid w:val="00DE3D5F"/>
    <w:rsid w:val="00DE3FBD"/>
    <w:rsid w:val="00DE4508"/>
    <w:rsid w:val="00DE5725"/>
    <w:rsid w:val="00DE66BA"/>
    <w:rsid w:val="00DE71E4"/>
    <w:rsid w:val="00DE74D7"/>
    <w:rsid w:val="00DE7834"/>
    <w:rsid w:val="00DE7F9A"/>
    <w:rsid w:val="00DF0690"/>
    <w:rsid w:val="00DF0AB0"/>
    <w:rsid w:val="00DF0B40"/>
    <w:rsid w:val="00DF0B8A"/>
    <w:rsid w:val="00DF0C2C"/>
    <w:rsid w:val="00DF0D44"/>
    <w:rsid w:val="00DF10AC"/>
    <w:rsid w:val="00DF10C0"/>
    <w:rsid w:val="00DF1223"/>
    <w:rsid w:val="00DF134A"/>
    <w:rsid w:val="00DF13C0"/>
    <w:rsid w:val="00DF1658"/>
    <w:rsid w:val="00DF20A4"/>
    <w:rsid w:val="00DF20D1"/>
    <w:rsid w:val="00DF29FB"/>
    <w:rsid w:val="00DF3014"/>
    <w:rsid w:val="00DF3CE0"/>
    <w:rsid w:val="00DF578F"/>
    <w:rsid w:val="00E00BFD"/>
    <w:rsid w:val="00E01862"/>
    <w:rsid w:val="00E0197E"/>
    <w:rsid w:val="00E020A1"/>
    <w:rsid w:val="00E023C9"/>
    <w:rsid w:val="00E02A38"/>
    <w:rsid w:val="00E02B90"/>
    <w:rsid w:val="00E02C5A"/>
    <w:rsid w:val="00E03758"/>
    <w:rsid w:val="00E04B3C"/>
    <w:rsid w:val="00E05C70"/>
    <w:rsid w:val="00E05C8E"/>
    <w:rsid w:val="00E05DED"/>
    <w:rsid w:val="00E06941"/>
    <w:rsid w:val="00E06C29"/>
    <w:rsid w:val="00E07911"/>
    <w:rsid w:val="00E10D95"/>
    <w:rsid w:val="00E1303E"/>
    <w:rsid w:val="00E136DD"/>
    <w:rsid w:val="00E13E29"/>
    <w:rsid w:val="00E143B4"/>
    <w:rsid w:val="00E16244"/>
    <w:rsid w:val="00E162C7"/>
    <w:rsid w:val="00E16369"/>
    <w:rsid w:val="00E16AC1"/>
    <w:rsid w:val="00E2007F"/>
    <w:rsid w:val="00E20329"/>
    <w:rsid w:val="00E207FE"/>
    <w:rsid w:val="00E209C5"/>
    <w:rsid w:val="00E20B6F"/>
    <w:rsid w:val="00E21052"/>
    <w:rsid w:val="00E21313"/>
    <w:rsid w:val="00E2306B"/>
    <w:rsid w:val="00E24F10"/>
    <w:rsid w:val="00E2538E"/>
    <w:rsid w:val="00E25941"/>
    <w:rsid w:val="00E26579"/>
    <w:rsid w:val="00E30119"/>
    <w:rsid w:val="00E3149E"/>
    <w:rsid w:val="00E31C69"/>
    <w:rsid w:val="00E31DB5"/>
    <w:rsid w:val="00E31FC0"/>
    <w:rsid w:val="00E324A7"/>
    <w:rsid w:val="00E32EF4"/>
    <w:rsid w:val="00E332BA"/>
    <w:rsid w:val="00E33369"/>
    <w:rsid w:val="00E3370D"/>
    <w:rsid w:val="00E34890"/>
    <w:rsid w:val="00E35635"/>
    <w:rsid w:val="00E36E31"/>
    <w:rsid w:val="00E36F5E"/>
    <w:rsid w:val="00E372AC"/>
    <w:rsid w:val="00E40160"/>
    <w:rsid w:val="00E4041D"/>
    <w:rsid w:val="00E41A85"/>
    <w:rsid w:val="00E423B1"/>
    <w:rsid w:val="00E42620"/>
    <w:rsid w:val="00E42F9F"/>
    <w:rsid w:val="00E430A9"/>
    <w:rsid w:val="00E43B4A"/>
    <w:rsid w:val="00E45F6B"/>
    <w:rsid w:val="00E468BA"/>
    <w:rsid w:val="00E46FEC"/>
    <w:rsid w:val="00E47425"/>
    <w:rsid w:val="00E50233"/>
    <w:rsid w:val="00E51950"/>
    <w:rsid w:val="00E52878"/>
    <w:rsid w:val="00E5288E"/>
    <w:rsid w:val="00E52A5F"/>
    <w:rsid w:val="00E53A19"/>
    <w:rsid w:val="00E5452C"/>
    <w:rsid w:val="00E54E16"/>
    <w:rsid w:val="00E54F16"/>
    <w:rsid w:val="00E5532F"/>
    <w:rsid w:val="00E55E95"/>
    <w:rsid w:val="00E56BC5"/>
    <w:rsid w:val="00E56D08"/>
    <w:rsid w:val="00E56D19"/>
    <w:rsid w:val="00E57C06"/>
    <w:rsid w:val="00E619AC"/>
    <w:rsid w:val="00E61E9D"/>
    <w:rsid w:val="00E625A0"/>
    <w:rsid w:val="00E62CA7"/>
    <w:rsid w:val="00E62DB9"/>
    <w:rsid w:val="00E62DC6"/>
    <w:rsid w:val="00E640ED"/>
    <w:rsid w:val="00E64143"/>
    <w:rsid w:val="00E64976"/>
    <w:rsid w:val="00E6514E"/>
    <w:rsid w:val="00E65A1F"/>
    <w:rsid w:val="00E65C80"/>
    <w:rsid w:val="00E66AC9"/>
    <w:rsid w:val="00E66CA0"/>
    <w:rsid w:val="00E7088B"/>
    <w:rsid w:val="00E70E38"/>
    <w:rsid w:val="00E70F66"/>
    <w:rsid w:val="00E71476"/>
    <w:rsid w:val="00E71D6A"/>
    <w:rsid w:val="00E73052"/>
    <w:rsid w:val="00E733A6"/>
    <w:rsid w:val="00E7373D"/>
    <w:rsid w:val="00E742B9"/>
    <w:rsid w:val="00E747D5"/>
    <w:rsid w:val="00E74EB3"/>
    <w:rsid w:val="00E75D14"/>
    <w:rsid w:val="00E8003A"/>
    <w:rsid w:val="00E805C5"/>
    <w:rsid w:val="00E8080E"/>
    <w:rsid w:val="00E81221"/>
    <w:rsid w:val="00E8169E"/>
    <w:rsid w:val="00E81DB5"/>
    <w:rsid w:val="00E82030"/>
    <w:rsid w:val="00E82A53"/>
    <w:rsid w:val="00E8397B"/>
    <w:rsid w:val="00E83AF0"/>
    <w:rsid w:val="00E85072"/>
    <w:rsid w:val="00E85228"/>
    <w:rsid w:val="00E856D8"/>
    <w:rsid w:val="00E85BA8"/>
    <w:rsid w:val="00E86277"/>
    <w:rsid w:val="00E86E4F"/>
    <w:rsid w:val="00E86EA4"/>
    <w:rsid w:val="00E87ACA"/>
    <w:rsid w:val="00E905A0"/>
    <w:rsid w:val="00E906D5"/>
    <w:rsid w:val="00E92E98"/>
    <w:rsid w:val="00E94560"/>
    <w:rsid w:val="00E94E45"/>
    <w:rsid w:val="00E954B7"/>
    <w:rsid w:val="00E9550C"/>
    <w:rsid w:val="00E95D22"/>
    <w:rsid w:val="00E96435"/>
    <w:rsid w:val="00E97A91"/>
    <w:rsid w:val="00EA0165"/>
    <w:rsid w:val="00EA3987"/>
    <w:rsid w:val="00EA4173"/>
    <w:rsid w:val="00EA4CD3"/>
    <w:rsid w:val="00EA56D6"/>
    <w:rsid w:val="00EA5FD5"/>
    <w:rsid w:val="00EA6925"/>
    <w:rsid w:val="00EA6D71"/>
    <w:rsid w:val="00EA713A"/>
    <w:rsid w:val="00EA7E6B"/>
    <w:rsid w:val="00EB1551"/>
    <w:rsid w:val="00EB1938"/>
    <w:rsid w:val="00EB1965"/>
    <w:rsid w:val="00EB1A69"/>
    <w:rsid w:val="00EB23EF"/>
    <w:rsid w:val="00EB29D3"/>
    <w:rsid w:val="00EB32A5"/>
    <w:rsid w:val="00EB39EF"/>
    <w:rsid w:val="00EB3E96"/>
    <w:rsid w:val="00EB4AF6"/>
    <w:rsid w:val="00EB4B80"/>
    <w:rsid w:val="00EB57EC"/>
    <w:rsid w:val="00EB5BD5"/>
    <w:rsid w:val="00EB648C"/>
    <w:rsid w:val="00EC0103"/>
    <w:rsid w:val="00EC088B"/>
    <w:rsid w:val="00EC35B4"/>
    <w:rsid w:val="00EC3643"/>
    <w:rsid w:val="00EC5949"/>
    <w:rsid w:val="00EC6134"/>
    <w:rsid w:val="00EC692E"/>
    <w:rsid w:val="00EC75E9"/>
    <w:rsid w:val="00ED05A8"/>
    <w:rsid w:val="00ED12AE"/>
    <w:rsid w:val="00ED2605"/>
    <w:rsid w:val="00ED3020"/>
    <w:rsid w:val="00ED34BE"/>
    <w:rsid w:val="00ED4629"/>
    <w:rsid w:val="00ED4E84"/>
    <w:rsid w:val="00ED6699"/>
    <w:rsid w:val="00ED6A67"/>
    <w:rsid w:val="00ED7CAF"/>
    <w:rsid w:val="00ED7D9E"/>
    <w:rsid w:val="00ED7FAB"/>
    <w:rsid w:val="00EE03B1"/>
    <w:rsid w:val="00EE16E2"/>
    <w:rsid w:val="00EE2C63"/>
    <w:rsid w:val="00EE3DDA"/>
    <w:rsid w:val="00EE4D23"/>
    <w:rsid w:val="00EE5B01"/>
    <w:rsid w:val="00EE5DF3"/>
    <w:rsid w:val="00EE6B49"/>
    <w:rsid w:val="00EF00D9"/>
    <w:rsid w:val="00EF079E"/>
    <w:rsid w:val="00EF07E6"/>
    <w:rsid w:val="00EF0E89"/>
    <w:rsid w:val="00EF35FA"/>
    <w:rsid w:val="00EF3FA7"/>
    <w:rsid w:val="00EF4435"/>
    <w:rsid w:val="00EF507D"/>
    <w:rsid w:val="00EF6D71"/>
    <w:rsid w:val="00F00AB6"/>
    <w:rsid w:val="00F00CD5"/>
    <w:rsid w:val="00F00D29"/>
    <w:rsid w:val="00F00FF2"/>
    <w:rsid w:val="00F01081"/>
    <w:rsid w:val="00F01B3C"/>
    <w:rsid w:val="00F01C7E"/>
    <w:rsid w:val="00F02049"/>
    <w:rsid w:val="00F0338A"/>
    <w:rsid w:val="00F0358A"/>
    <w:rsid w:val="00F0373D"/>
    <w:rsid w:val="00F03747"/>
    <w:rsid w:val="00F03AFC"/>
    <w:rsid w:val="00F041CF"/>
    <w:rsid w:val="00F04F66"/>
    <w:rsid w:val="00F05283"/>
    <w:rsid w:val="00F05DBF"/>
    <w:rsid w:val="00F05E09"/>
    <w:rsid w:val="00F06568"/>
    <w:rsid w:val="00F069F1"/>
    <w:rsid w:val="00F103C7"/>
    <w:rsid w:val="00F11950"/>
    <w:rsid w:val="00F11AAF"/>
    <w:rsid w:val="00F12A0E"/>
    <w:rsid w:val="00F134AC"/>
    <w:rsid w:val="00F13EA4"/>
    <w:rsid w:val="00F16720"/>
    <w:rsid w:val="00F172EE"/>
    <w:rsid w:val="00F179D8"/>
    <w:rsid w:val="00F17D6C"/>
    <w:rsid w:val="00F20045"/>
    <w:rsid w:val="00F20655"/>
    <w:rsid w:val="00F2098F"/>
    <w:rsid w:val="00F216D7"/>
    <w:rsid w:val="00F21EBC"/>
    <w:rsid w:val="00F22397"/>
    <w:rsid w:val="00F23DD7"/>
    <w:rsid w:val="00F240EA"/>
    <w:rsid w:val="00F2496F"/>
    <w:rsid w:val="00F252AC"/>
    <w:rsid w:val="00F25D1F"/>
    <w:rsid w:val="00F25EC1"/>
    <w:rsid w:val="00F26185"/>
    <w:rsid w:val="00F26DC3"/>
    <w:rsid w:val="00F300EF"/>
    <w:rsid w:val="00F301C6"/>
    <w:rsid w:val="00F30A35"/>
    <w:rsid w:val="00F30F7B"/>
    <w:rsid w:val="00F322EA"/>
    <w:rsid w:val="00F32BCB"/>
    <w:rsid w:val="00F3329C"/>
    <w:rsid w:val="00F35F1D"/>
    <w:rsid w:val="00F36631"/>
    <w:rsid w:val="00F3676C"/>
    <w:rsid w:val="00F37C44"/>
    <w:rsid w:val="00F37F40"/>
    <w:rsid w:val="00F403FD"/>
    <w:rsid w:val="00F41380"/>
    <w:rsid w:val="00F414B3"/>
    <w:rsid w:val="00F4347B"/>
    <w:rsid w:val="00F43FEC"/>
    <w:rsid w:val="00F45839"/>
    <w:rsid w:val="00F4715B"/>
    <w:rsid w:val="00F47385"/>
    <w:rsid w:val="00F47EF8"/>
    <w:rsid w:val="00F500DB"/>
    <w:rsid w:val="00F5164C"/>
    <w:rsid w:val="00F533A1"/>
    <w:rsid w:val="00F552FA"/>
    <w:rsid w:val="00F555BE"/>
    <w:rsid w:val="00F55890"/>
    <w:rsid w:val="00F567A8"/>
    <w:rsid w:val="00F574F8"/>
    <w:rsid w:val="00F576E4"/>
    <w:rsid w:val="00F600F2"/>
    <w:rsid w:val="00F6065B"/>
    <w:rsid w:val="00F62E09"/>
    <w:rsid w:val="00F63C1F"/>
    <w:rsid w:val="00F6662F"/>
    <w:rsid w:val="00F70118"/>
    <w:rsid w:val="00F702B4"/>
    <w:rsid w:val="00F706F1"/>
    <w:rsid w:val="00F70E4A"/>
    <w:rsid w:val="00F743AF"/>
    <w:rsid w:val="00F75810"/>
    <w:rsid w:val="00F76A55"/>
    <w:rsid w:val="00F77FF2"/>
    <w:rsid w:val="00F80496"/>
    <w:rsid w:val="00F80729"/>
    <w:rsid w:val="00F80996"/>
    <w:rsid w:val="00F81DCD"/>
    <w:rsid w:val="00F82380"/>
    <w:rsid w:val="00F82FD4"/>
    <w:rsid w:val="00F84BAA"/>
    <w:rsid w:val="00F84D35"/>
    <w:rsid w:val="00F85D73"/>
    <w:rsid w:val="00F86921"/>
    <w:rsid w:val="00F8725D"/>
    <w:rsid w:val="00F87384"/>
    <w:rsid w:val="00F87F8D"/>
    <w:rsid w:val="00F904F7"/>
    <w:rsid w:val="00F907B2"/>
    <w:rsid w:val="00F90BD9"/>
    <w:rsid w:val="00F90DE0"/>
    <w:rsid w:val="00F91EB7"/>
    <w:rsid w:val="00F92058"/>
    <w:rsid w:val="00F923A7"/>
    <w:rsid w:val="00F944D7"/>
    <w:rsid w:val="00F97F78"/>
    <w:rsid w:val="00FA17C7"/>
    <w:rsid w:val="00FA2526"/>
    <w:rsid w:val="00FA43A4"/>
    <w:rsid w:val="00FA499D"/>
    <w:rsid w:val="00FA5129"/>
    <w:rsid w:val="00FA62D8"/>
    <w:rsid w:val="00FA7275"/>
    <w:rsid w:val="00FA7B5A"/>
    <w:rsid w:val="00FA7FCA"/>
    <w:rsid w:val="00FA7FF8"/>
    <w:rsid w:val="00FB1D01"/>
    <w:rsid w:val="00FB1D39"/>
    <w:rsid w:val="00FB3A38"/>
    <w:rsid w:val="00FB48D6"/>
    <w:rsid w:val="00FB52E0"/>
    <w:rsid w:val="00FB53E4"/>
    <w:rsid w:val="00FB59B6"/>
    <w:rsid w:val="00FB75C0"/>
    <w:rsid w:val="00FB7943"/>
    <w:rsid w:val="00FC12AD"/>
    <w:rsid w:val="00FC17E0"/>
    <w:rsid w:val="00FC21B4"/>
    <w:rsid w:val="00FC3122"/>
    <w:rsid w:val="00FC3695"/>
    <w:rsid w:val="00FC43ED"/>
    <w:rsid w:val="00FC5F9B"/>
    <w:rsid w:val="00FC687B"/>
    <w:rsid w:val="00FC698F"/>
    <w:rsid w:val="00FC6B59"/>
    <w:rsid w:val="00FC7BA9"/>
    <w:rsid w:val="00FD0471"/>
    <w:rsid w:val="00FD0A75"/>
    <w:rsid w:val="00FD13AC"/>
    <w:rsid w:val="00FD13D4"/>
    <w:rsid w:val="00FD15F2"/>
    <w:rsid w:val="00FD168C"/>
    <w:rsid w:val="00FD1A19"/>
    <w:rsid w:val="00FD1A93"/>
    <w:rsid w:val="00FD1DE6"/>
    <w:rsid w:val="00FD2092"/>
    <w:rsid w:val="00FD2A22"/>
    <w:rsid w:val="00FD344E"/>
    <w:rsid w:val="00FD34DD"/>
    <w:rsid w:val="00FD45A6"/>
    <w:rsid w:val="00FD66EF"/>
    <w:rsid w:val="00FD6ADE"/>
    <w:rsid w:val="00FD6EAB"/>
    <w:rsid w:val="00FD7847"/>
    <w:rsid w:val="00FD7CD2"/>
    <w:rsid w:val="00FE021A"/>
    <w:rsid w:val="00FE0911"/>
    <w:rsid w:val="00FE1A2F"/>
    <w:rsid w:val="00FE1A69"/>
    <w:rsid w:val="00FE1B57"/>
    <w:rsid w:val="00FE1F79"/>
    <w:rsid w:val="00FE2DB0"/>
    <w:rsid w:val="00FE43BA"/>
    <w:rsid w:val="00FE5006"/>
    <w:rsid w:val="00FE517E"/>
    <w:rsid w:val="00FE5219"/>
    <w:rsid w:val="00FE5747"/>
    <w:rsid w:val="00FE612F"/>
    <w:rsid w:val="00FE6C02"/>
    <w:rsid w:val="00FE71F9"/>
    <w:rsid w:val="00FE7FBB"/>
    <w:rsid w:val="00FF0383"/>
    <w:rsid w:val="00FF0FB1"/>
    <w:rsid w:val="00FF4376"/>
    <w:rsid w:val="00FF49E6"/>
    <w:rsid w:val="00FF5669"/>
    <w:rsid w:val="00FF5688"/>
    <w:rsid w:val="00FF607A"/>
    <w:rsid w:val="00FF64F7"/>
    <w:rsid w:val="00FF744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7533085E-3301-4B53-A19F-373254E1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D4854"/>
    <w:pPr>
      <w:ind w:left="708"/>
    </w:pPr>
  </w:style>
  <w:style w:type="table" w:styleId="Tablaconcuadrcula">
    <w:name w:val="Table Grid"/>
    <w:basedOn w:val="Tablanormal"/>
    <w:uiPriority w:val="59"/>
    <w:rsid w:val="00AB3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EA016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autoRedefine/>
    <w:uiPriority w:val="39"/>
    <w:unhideWhenUsed/>
    <w:rsid w:val="0046570E"/>
    <w:pPr>
      <w:tabs>
        <w:tab w:val="left" w:pos="426"/>
        <w:tab w:val="right" w:leader="dot" w:pos="8828"/>
      </w:tabs>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46570E"/>
    <w:pPr>
      <w:tabs>
        <w:tab w:val="left" w:pos="426"/>
        <w:tab w:val="right" w:leader="dot" w:pos="8828"/>
      </w:tabs>
      <w:spacing w:after="100"/>
    </w:pPr>
  </w:style>
  <w:style w:type="table" w:customStyle="1" w:styleId="Tablaconcuadrcula7">
    <w:name w:val="Tabla con cuadrícula7"/>
    <w:basedOn w:val="Tablanormal"/>
    <w:next w:val="Tablaconcuadrcula"/>
    <w:uiPriority w:val="39"/>
    <w:rsid w:val="00F8692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semiHidden/>
    <w:unhideWhenUsed/>
    <w:qFormat/>
    <w:rsid w:val="007C4587"/>
    <w:pPr>
      <w:outlineLvl w:val="9"/>
    </w:pPr>
  </w:style>
  <w:style w:type="character" w:styleId="Refdecomentario">
    <w:name w:val="annotation reference"/>
    <w:basedOn w:val="Fuentedeprrafopredeter"/>
    <w:uiPriority w:val="99"/>
    <w:semiHidden/>
    <w:unhideWhenUsed/>
    <w:rsid w:val="00675D2C"/>
    <w:rPr>
      <w:sz w:val="16"/>
      <w:szCs w:val="16"/>
    </w:rPr>
  </w:style>
  <w:style w:type="paragraph" w:styleId="Textocomentario">
    <w:name w:val="annotation text"/>
    <w:basedOn w:val="Normal"/>
    <w:link w:val="TextocomentarioCar"/>
    <w:uiPriority w:val="99"/>
    <w:semiHidden/>
    <w:unhideWhenUsed/>
    <w:rsid w:val="00675D2C"/>
    <w:rPr>
      <w:sz w:val="20"/>
      <w:szCs w:val="20"/>
    </w:rPr>
  </w:style>
  <w:style w:type="character" w:customStyle="1" w:styleId="TextocomentarioCar">
    <w:name w:val="Texto comentario Car"/>
    <w:basedOn w:val="Fuentedeprrafopredeter"/>
    <w:link w:val="Textocomentario"/>
    <w:uiPriority w:val="99"/>
    <w:semiHidden/>
    <w:rsid w:val="00675D2C"/>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75D2C"/>
    <w:rPr>
      <w:b/>
      <w:bCs/>
    </w:rPr>
  </w:style>
  <w:style w:type="character" w:customStyle="1" w:styleId="AsuntodelcomentarioCar">
    <w:name w:val="Asunto del comentario Car"/>
    <w:basedOn w:val="TextocomentarioCar"/>
    <w:link w:val="Asuntodelcomentario"/>
    <w:uiPriority w:val="99"/>
    <w:semiHidden/>
    <w:rsid w:val="00675D2C"/>
    <w:rPr>
      <w:rFonts w:ascii="Times New Roman" w:eastAsia="Times New Roman" w:hAnsi="Times New Roman" w:cs="Times New Roman"/>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20923337">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61750085">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22705243">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395475714">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72538330">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00340666">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66217907">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903293002">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980304119">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090662348">
      <w:bodyDiv w:val="1"/>
      <w:marLeft w:val="0"/>
      <w:marRight w:val="0"/>
      <w:marTop w:val="0"/>
      <w:marBottom w:val="0"/>
      <w:divBdr>
        <w:top w:val="none" w:sz="0" w:space="0" w:color="auto"/>
        <w:left w:val="none" w:sz="0" w:space="0" w:color="auto"/>
        <w:bottom w:val="none" w:sz="0" w:space="0" w:color="auto"/>
        <w:right w:val="none" w:sz="0" w:space="0" w:color="auto"/>
      </w:divBdr>
    </w:div>
    <w:div w:id="1108551058">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3215921">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20173248">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57204874">
      <w:bodyDiv w:val="1"/>
      <w:marLeft w:val="0"/>
      <w:marRight w:val="0"/>
      <w:marTop w:val="0"/>
      <w:marBottom w:val="0"/>
      <w:divBdr>
        <w:top w:val="none" w:sz="0" w:space="0" w:color="auto"/>
        <w:left w:val="none" w:sz="0" w:space="0" w:color="auto"/>
        <w:bottom w:val="none" w:sz="0" w:space="0" w:color="auto"/>
        <w:right w:val="none" w:sz="0" w:space="0" w:color="auto"/>
      </w:divBdr>
      <w:divsChild>
        <w:div w:id="1678078576">
          <w:marLeft w:val="0"/>
          <w:marRight w:val="0"/>
          <w:marTop w:val="0"/>
          <w:marBottom w:val="0"/>
          <w:divBdr>
            <w:top w:val="none" w:sz="0" w:space="0" w:color="auto"/>
            <w:left w:val="none" w:sz="0" w:space="0" w:color="auto"/>
            <w:bottom w:val="none" w:sz="0" w:space="0" w:color="auto"/>
            <w:right w:val="none" w:sz="0" w:space="0" w:color="auto"/>
          </w:divBdr>
        </w:div>
      </w:divsChild>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599175686">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42176155">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44078131">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12305041">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60977789">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193286.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aimex.org.mx/saimex/solicitud/downloadAttach/1193286.pag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811DBB-9568-4AB5-97A4-547C0CE94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4265</Words>
  <Characters>23462</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DELL</cp:lastModifiedBy>
  <cp:revision>11</cp:revision>
  <cp:lastPrinted>2021-11-25T20:29:00Z</cp:lastPrinted>
  <dcterms:created xsi:type="dcterms:W3CDTF">2022-11-15T23:12:00Z</dcterms:created>
  <dcterms:modified xsi:type="dcterms:W3CDTF">2022-11-28T04:20:00Z</dcterms:modified>
</cp:coreProperties>
</file>