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BA1" w:rsidRDefault="00171401">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veinticuatro de marzo del dos mil veintidós.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00519/INFOEM/IP/RR/2022</w:t>
      </w:r>
      <w:r>
        <w:rPr>
          <w:rFonts w:ascii="Palatino Linotype" w:eastAsia="Palatino Linotype" w:hAnsi="Palatino Linotype" w:cs="Palatino Linotype"/>
        </w:rPr>
        <w:t xml:space="preserve">, interpuesto por </w:t>
      </w:r>
      <w:r w:rsidR="0097521E">
        <w:rPr>
          <w:rFonts w:ascii="Palatino Linotype" w:eastAsia="Palatino Linotype" w:hAnsi="Palatino Linotype" w:cs="Palatino Linotype"/>
          <w:b/>
        </w:rPr>
        <w:t>XXXXX XXXXX XXXXXX</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00325/IXTAPALU/IP/2021,</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Ixtapaluca</w:t>
      </w:r>
      <w:r>
        <w:rPr>
          <w:rFonts w:ascii="Palatino Linotype" w:eastAsia="Palatino Linotype" w:hAnsi="Palatino Linotype" w:cs="Palatino Linotype"/>
        </w:rPr>
        <w:t xml:space="preserve">, en lo sucesivo el </w:t>
      </w:r>
      <w:r w:rsidRPr="00A77487">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rsidR="00112BA1" w:rsidRDefault="00171401">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bookmarkStart w:id="1" w:name="_GoBack"/>
      <w:bookmarkEnd w:id="1"/>
      <w:r>
        <w:rPr>
          <w:rFonts w:ascii="Palatino Linotype" w:eastAsia="Palatino Linotype" w:hAnsi="Palatino Linotype" w:cs="Palatino Linotype"/>
          <w:b/>
          <w:color w:val="000000"/>
        </w:rPr>
        <w:t>A N T E C E D E N T E 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seis de diciembre del dos mil veintiuno,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formuló solicitud de acceso a información pública al </w:t>
      </w:r>
      <w:r w:rsidR="00A77487" w:rsidRPr="00A77487">
        <w:rPr>
          <w:rFonts w:ascii="Palatino Linotype" w:eastAsia="Palatino Linotype" w:hAnsi="Palatino Linotype" w:cs="Palatino Linotype"/>
          <w:b/>
        </w:rPr>
        <w:t>SUJETO OBLIGADO</w:t>
      </w:r>
      <w:r w:rsidR="00A77487">
        <w:rPr>
          <w:rFonts w:ascii="Palatino Linotype" w:eastAsia="Palatino Linotype" w:hAnsi="Palatino Linotype" w:cs="Palatino Linotype"/>
        </w:rPr>
        <w:t xml:space="preserve">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112BA1" w:rsidRDefault="00171401">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“Sí, la Dirección o Subdirección de Ecología, del Ayuntamiento de Ixtapalula, Estado de México, proporcione la totalidad de los permisos de poda, derribo, trasplante, restitución de árboles colindante o al exterior del predio o del inmueble ubicado en Av. Cuauhtémoc 48, San Juan Tlapizahuac, CP 56576, Ixtapaluca, Estado de México, y en la dirección Boulevard Cuauhtémoc, No. 5419, Colonia Tlapizahuac Centro, Ixtapaluca, Estado de México, correspondiente de enero a diciembre de 2019, en específico a las morales Farmacias del Ahorro y / o Comercializadora Farmacéuticas de Chiapas, SAPI de CV ”y Promolocales SA de CV”” (Sic)</w:t>
      </w:r>
    </w:p>
    <w:p w:rsidR="00112BA1" w:rsidRDefault="00112BA1">
      <w:pPr>
        <w:ind w:right="1043"/>
        <w:jc w:val="both"/>
        <w:rPr>
          <w:rFonts w:ascii="Palatino Linotype" w:eastAsia="Palatino Linotype" w:hAnsi="Palatino Linotype" w:cs="Palatino Linotype"/>
          <w:i/>
        </w:rPr>
      </w:pP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112BA1" w:rsidRDefault="001714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el hoy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Interposición del recurso de revisión. </w:t>
      </w:r>
      <w:r>
        <w:rPr>
          <w:rFonts w:ascii="Palatino Linotype" w:eastAsia="Palatino Linotype" w:hAnsi="Palatino Linotype" w:cs="Palatino Linotype"/>
        </w:rPr>
        <w:t xml:space="preserve">Inconforme el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interpuso recurso de revisión a través del SAIMEX en fecha dos de febrero del año dos mil veintidós, expresando lo siguiente:</w:t>
      </w:r>
    </w:p>
    <w:p w:rsidR="00112BA1" w:rsidRDefault="00171401">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112BA1" w:rsidRDefault="00171401">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“Falta de respuesta de la solicitud” (Sic)</w:t>
      </w:r>
    </w:p>
    <w:p w:rsidR="00112BA1" w:rsidRDefault="0017140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112BA1" w:rsidRDefault="00171401">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“El requerimiento de información no fue atendido en los tiempos establecidos, en virtud que desde el 6 de diciembre de 2021 se solicito y hasta la fecha no sea dado respuesta al Ayuntamiento de Ixtapaluca con número de folio de la solicitud es 00325/IXTAPALU/IP/2021.” (Sic)</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Turno. </w:t>
      </w:r>
      <w:r>
        <w:rPr>
          <w:rFonts w:ascii="Palatino Linotype" w:eastAsia="Palatino Linotype" w:hAnsi="Palatino Linotype" w:cs="Palatino Linotype"/>
        </w:rPr>
        <w:t xml:space="preserve">De conformidad con el artículo 185 Fracción I </w:t>
      </w:r>
      <w:r>
        <w:rPr>
          <w:rFonts w:ascii="Palatino Linotype" w:eastAsia="Palatino Linotype" w:hAnsi="Palatino Linotype" w:cs="Palatino Linotype"/>
          <w:highlight w:val="white"/>
        </w:rPr>
        <w:t>de la Ley Transparencia y Acceso a la Información Pública</w:t>
      </w:r>
      <w:r>
        <w:rPr>
          <w:rFonts w:ascii="Palatino Linotype" w:eastAsia="Palatino Linotype" w:hAnsi="Palatino Linotype" w:cs="Palatino Linotype"/>
        </w:rPr>
        <w:t>, el recurso de revisión número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3"/>
          <w:szCs w:val="23"/>
        </w:rPr>
        <w:t xml:space="preserve">00519/INFOEM/IP/RR/2022 </w:t>
      </w:r>
      <w:r>
        <w:rPr>
          <w:rFonts w:ascii="Palatino Linotype" w:eastAsia="Palatino Linotype" w:hAnsi="Palatino Linotype" w:cs="Palatino Linotype"/>
        </w:rPr>
        <w:t xml:space="preserve">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Admisión. </w:t>
      </w:r>
      <w:r>
        <w:rPr>
          <w:rFonts w:ascii="Palatino Linotype" w:eastAsia="Palatino Linotype" w:hAnsi="Palatino Linotype" w:cs="Palatino Linotype"/>
        </w:rPr>
        <w:t>En fecha ocho de febrero del año dos mil veintidós, en términos de lo dispuesto en el artículo 185 fracciones I, II y IV de la Ley de Transparencia y Acceso a la Información Pública del Estado de México y Municipios, se admitió a trámite el recurso de revisión al rubro indicado.</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8.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omitió realizar manifestaciones.</w:t>
      </w:r>
    </w:p>
    <w:p w:rsidR="00112BA1" w:rsidRDefault="00171401">
      <w:pPr>
        <w:spacing w:before="240" w:after="240" w:line="360" w:lineRule="auto"/>
        <w:jc w:val="both"/>
        <w:rPr>
          <w:rFonts w:ascii="Palatino Linotype" w:eastAsia="Palatino Linotype" w:hAnsi="Palatino Linotype" w:cs="Palatino Linotype"/>
        </w:rPr>
      </w:pPr>
      <w:r>
        <w:rPr>
          <w:noProof/>
          <w:lang w:val="es-MX" w:eastAsia="es-MX"/>
        </w:rPr>
        <w:drawing>
          <wp:inline distT="0" distB="0" distL="0" distR="0">
            <wp:extent cx="5568950" cy="132715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9235" t="35003" r="18874" b="39045"/>
                    <a:stretch>
                      <a:fillRect/>
                    </a:stretch>
                  </pic:blipFill>
                  <pic:spPr>
                    <a:xfrm>
                      <a:off x="0" y="0"/>
                      <a:ext cx="5568950" cy="1327150"/>
                    </a:xfrm>
                    <a:prstGeom prst="rect">
                      <a:avLst/>
                    </a:prstGeom>
                    <a:ln/>
                  </pic:spPr>
                </pic:pic>
              </a:graphicData>
            </a:graphic>
          </wp:inline>
        </w:drawing>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En fecha tres de marzo 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rsidR="00112BA1" w:rsidRDefault="00171401">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112BA1" w:rsidRDefault="00171401">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w:t>
      </w:r>
      <w:r>
        <w:rPr>
          <w:rFonts w:ascii="Palatino Linotype" w:eastAsia="Palatino Linotype" w:hAnsi="Palatino Linotype" w:cs="Palatino Linotype"/>
          <w:highlight w:val="white"/>
        </w:rPr>
        <w:lastRenderedPageBreak/>
        <w:t xml:space="preserve">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rsidR="00112BA1" w:rsidRDefault="00112BA1">
      <w:pPr>
        <w:ind w:left="851" w:right="851"/>
        <w:jc w:val="both"/>
        <w:rPr>
          <w:rFonts w:ascii="Palatino Linotype" w:eastAsia="Palatino Linotype" w:hAnsi="Palatino Linotype" w:cs="Palatino Linotype"/>
          <w:i/>
        </w:rPr>
      </w:pP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w:t>
      </w:r>
      <w:r>
        <w:rPr>
          <w:rFonts w:ascii="Palatino Linotype" w:eastAsia="Palatino Linotype" w:hAnsi="Palatino Linotype" w:cs="Palatino Linotype"/>
          <w:i/>
          <w:sz w:val="22"/>
          <w:szCs w:val="22"/>
        </w:rPr>
        <w:lastRenderedPageBreak/>
        <w:t>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112BA1" w:rsidRDefault="00112BA1">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rsidR="00112BA1" w:rsidRDefault="00171401">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112BA1" w:rsidRDefault="00171401">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Ahora bien, resulta procedente la interposición del recurso de revisión, según lo aducido por la RECURRENTE, en términos del artículo 179, fracción VII del ordenamiento legal de la materia, que a la letra dice:</w:t>
      </w:r>
    </w:p>
    <w:p w:rsidR="00112BA1" w:rsidRDefault="00171401">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rsidR="00112BA1" w:rsidRDefault="00171401">
      <w:pPr>
        <w:numPr>
          <w:ilvl w:val="0"/>
          <w:numId w:val="3"/>
        </w:numPr>
        <w:spacing w:before="240" w:after="240"/>
        <w:ind w:right="1041" w:hanging="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falta de respuesta a una solicitud de acceso a la información…(Sic)</w:t>
      </w:r>
    </w:p>
    <w:p w:rsidR="00112BA1" w:rsidRDefault="00171401">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Órgano Garante procede del análisis de los agravios hechos valer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ésta, el derecho de acceso a la información previsto en la Constitución Política de los Estados Unidos Mexicanos y en la Constitución Política del Estado Libre y Soberano de México. </w:t>
      </w:r>
    </w:p>
    <w:p w:rsidR="00112BA1" w:rsidRDefault="00112BA1">
      <w:pPr>
        <w:spacing w:line="360" w:lineRule="auto"/>
        <w:jc w:val="both"/>
        <w:rPr>
          <w:rFonts w:ascii="Palatino Linotype" w:eastAsia="Palatino Linotype" w:hAnsi="Palatino Linotype" w:cs="Palatino Linotype"/>
          <w:b/>
        </w:rPr>
      </w:pPr>
    </w:p>
    <w:p w:rsidR="004B5BEF" w:rsidRPr="004B5BEF" w:rsidRDefault="00171401" w:rsidP="004B5BE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del asunto. </w:t>
      </w:r>
      <w:r w:rsidR="004B5BEF" w:rsidRPr="004B5BEF">
        <w:rPr>
          <w:rFonts w:ascii="Palatino Linotype" w:eastAsia="Palatino Linotype" w:hAnsi="Palatino Linotype" w:cs="Palatino Linotype"/>
        </w:rPr>
        <w:t>Una vez determinada la vía sobre la que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versará el presente recurso, y previa revisión del expediente del recurso de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 xml:space="preserve">revisión materia de la presente resolución, se advierte que el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dio respuesta a la solicitud de información planteada por 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b/>
        </w:rPr>
        <w:t>RECURRENTE</w:t>
      </w:r>
      <w:r w:rsidR="004B5BEF" w:rsidRPr="004B5BEF">
        <w:rPr>
          <w:rFonts w:ascii="Palatino Linotype" w:eastAsia="Palatino Linotype" w:hAnsi="Palatino Linotype" w:cs="Palatino Linotype"/>
        </w:rPr>
        <w:t>, lo que se traduce como la configuración de la Negativa Ficta,</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situación que demuestra la existencia del acto impugnado y procedencia del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motivo de inconformidad, que en términos generales consistente en que 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emitió respuesta a la solicitud, dentro del plazo legal previsto para ello.</w:t>
      </w:r>
    </w:p>
    <w:p w:rsidR="00112BA1" w:rsidRDefault="004B5BEF" w:rsidP="004B5BEF">
      <w:pPr>
        <w:spacing w:after="240" w:line="360" w:lineRule="auto"/>
        <w:jc w:val="both"/>
        <w:rPr>
          <w:rFonts w:ascii="Palatino Linotype" w:eastAsia="Palatino Linotype" w:hAnsi="Palatino Linotype" w:cs="Palatino Linotype"/>
        </w:rPr>
      </w:pPr>
      <w:r w:rsidRPr="004B5BEF">
        <w:rPr>
          <w:rFonts w:ascii="Palatino Linotype" w:eastAsia="Palatino Linotype" w:hAnsi="Palatino Linotype" w:cs="Palatino Linotype"/>
        </w:rPr>
        <w:t>Previo a exponer los argumentos que justifiquen la afirmación que antecede, es</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necesario precisar que, del análisis realizado a la s</w:t>
      </w:r>
      <w:r>
        <w:rPr>
          <w:rFonts w:ascii="Palatino Linotype" w:eastAsia="Palatino Linotype" w:hAnsi="Palatino Linotype" w:cs="Palatino Linotype"/>
        </w:rPr>
        <w:t xml:space="preserve">olicitud formulada por la parte </w:t>
      </w:r>
      <w:r w:rsidRPr="004B5BEF">
        <w:rPr>
          <w:rFonts w:ascii="Palatino Linotype" w:eastAsia="Palatino Linotype" w:hAnsi="Palatino Linotype" w:cs="Palatino Linotype"/>
        </w:rPr>
        <w:t xml:space="preserve">RECURRENTE, se advierte que requirió al </w:t>
      </w:r>
      <w:r w:rsidRPr="004B5BEF">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w:t>
      </w:r>
      <w:r w:rsidRPr="004B5BEF">
        <w:rPr>
          <w:rFonts w:ascii="Palatino Linotype" w:eastAsia="Palatino Linotype" w:hAnsi="Palatino Linotype" w:cs="Palatino Linotype"/>
        </w:rPr>
        <w:t>lo siguiente:</w:t>
      </w:r>
    </w:p>
    <w:p w:rsidR="00112BA1" w:rsidRDefault="00171401">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Sí, la Dirección o Subdirección de Ecología, del Ayuntamiento de Ixtapalula, Estado de México, proporcione la totalidad de los permisos de poda, derribo, trasplante, restitución de árboles colindante o al exterior del predio o del inmueble ubicado en Av. Cuauhtémoc 48, San Juan Tlapizahuac, CP 56576, Ixtapaluca, Estado de México, y en la dirección Boulevard Cuauhtémoc, No. 5419, Colonia Tlapizahuac Centro, Ixtapaluca, Estado de México, correspondiente de enero a diciembre de 2019, en específico a las morales Farmacias del Ahorro y / o Comercializadora Farmacéuticas de Chiapas, SAPI de CV ”y Promolocales SA de CV”</w:t>
      </w:r>
    </w:p>
    <w:p w:rsidR="00112BA1" w:rsidRDefault="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w:t>
      </w:r>
      <w:r w:rsidR="00171401">
        <w:rPr>
          <w:rFonts w:ascii="Palatino Linotype" w:eastAsia="Palatino Linotype" w:hAnsi="Palatino Linotype" w:cs="Palatino Linotype"/>
        </w:rPr>
        <w:t xml:space="preserve">, se procede al análisis del presente recurso, así como al contenido íntegro de las actuaciones que obran en el expediente electrónico, para así </w:t>
      </w:r>
      <w:r w:rsidR="00171401">
        <w:rPr>
          <w:rFonts w:ascii="Palatino Linotype" w:eastAsia="Palatino Linotype" w:hAnsi="Palatino Linotype" w:cs="Palatino Linotype"/>
        </w:rPr>
        <w:lastRenderedPageBreak/>
        <w:t>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12BA1" w:rsidRDefault="0017140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12BA1" w:rsidRDefault="00112BA1">
      <w:pPr>
        <w:tabs>
          <w:tab w:val="left" w:pos="709"/>
        </w:tabs>
        <w:ind w:left="851" w:right="850"/>
        <w:jc w:val="both"/>
        <w:rPr>
          <w:rFonts w:ascii="Palatino Linotype" w:eastAsia="Palatino Linotype" w:hAnsi="Palatino Linotype" w:cs="Palatino Linotype"/>
        </w:rPr>
      </w:pP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112BA1" w:rsidRDefault="00171401">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112BA1" w:rsidRDefault="00112BA1">
      <w:pPr>
        <w:ind w:left="851" w:right="851"/>
        <w:jc w:val="both"/>
        <w:rPr>
          <w:rFonts w:ascii="Palatino Linotype" w:eastAsia="Palatino Linotype" w:hAnsi="Palatino Linotype" w:cs="Palatino Linotype"/>
          <w:i/>
          <w:sz w:val="22"/>
          <w:szCs w:val="22"/>
        </w:rPr>
      </w:pP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112BA1" w:rsidRDefault="00171401">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112BA1" w:rsidRDefault="00112BA1">
      <w:pPr>
        <w:ind w:left="851" w:right="902"/>
        <w:jc w:val="both"/>
        <w:rPr>
          <w:rFonts w:ascii="Palatino Linotype" w:eastAsia="Palatino Linotype" w:hAnsi="Palatino Linotype" w:cs="Palatino Linotype"/>
          <w:sz w:val="22"/>
          <w:szCs w:val="22"/>
        </w:rPr>
      </w:pP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w:t>
      </w:r>
      <w:r>
        <w:rPr>
          <w:rFonts w:ascii="Palatino Linotype" w:eastAsia="Palatino Linotype" w:hAnsi="Palatino Linotype" w:cs="Palatino Linotype"/>
        </w:rPr>
        <w:lastRenderedPageBreak/>
        <w:t>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Pr>
          <w:rFonts w:ascii="Palatino Linotype" w:eastAsia="Palatino Linotype" w:hAnsi="Palatino Linotype" w:cs="Palatino Linotype"/>
        </w:rPr>
        <w:lastRenderedPageBreak/>
        <w:t>Transparencia. Situación que en la especie no aconteció. Sirve de sustento a lo anterior el precepto legal en cita: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4B5BEF" w:rsidRDefault="004B5BEF" w:rsidP="004B5BEF">
      <w:pPr>
        <w:spacing w:before="280" w:after="280" w:line="360" w:lineRule="auto"/>
        <w:ind w:right="51"/>
        <w:jc w:val="both"/>
        <w:rPr>
          <w:rFonts w:ascii="Palatino Linotype" w:eastAsia="Palatino Linotype" w:hAnsi="Palatino Linotype" w:cs="Palatino Linotype"/>
        </w:rPr>
      </w:pPr>
      <w:r w:rsidRPr="004B5BEF">
        <w:rPr>
          <w:rFonts w:ascii="Palatino Linotype" w:eastAsia="Palatino Linotype" w:hAnsi="Palatino Linotype" w:cs="Palatino Linotype"/>
        </w:rPr>
        <w:t>Ahora bien, en atención al sentido en que se resuelve el presente medio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impugnación, este Órgano Garante no omite seña</w:t>
      </w:r>
      <w:r>
        <w:rPr>
          <w:rFonts w:ascii="Palatino Linotype" w:eastAsia="Palatino Linotype" w:hAnsi="Palatino Linotype" w:cs="Palatino Linotype"/>
        </w:rPr>
        <w:t xml:space="preserve">lar que, el derecho de acceso a </w:t>
      </w:r>
      <w:r w:rsidRPr="004B5BEF">
        <w:rPr>
          <w:rFonts w:ascii="Palatino Linotype" w:eastAsia="Palatino Linotype" w:hAnsi="Palatino Linotype" w:cs="Palatino Linotype"/>
        </w:rPr>
        <w:t>la información puede ser restringido de manera excepcional por razones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interés público, en los términos de las causas legítimas y estrictamente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necesarias previstas por la Ley, a través de la clasificación de la información</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como confidencial o reservada para permitir el acceso, como se desprende del</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artículo 91 de la Ley de la Materia que es del tenor literal siguiente:</w:t>
      </w:r>
    </w:p>
    <w:p w:rsidR="004B5BEF" w:rsidRDefault="004B5BEF" w:rsidP="004B5BEF">
      <w:pPr>
        <w:spacing w:before="280" w:after="280" w:line="276" w:lineRule="auto"/>
        <w:ind w:left="567" w:right="758"/>
        <w:jc w:val="both"/>
        <w:rPr>
          <w:rFonts w:ascii="Palatino Linotype" w:eastAsia="Palatino Linotype" w:hAnsi="Palatino Linotype" w:cs="Palatino Linotype"/>
          <w:i/>
        </w:rPr>
      </w:pPr>
      <w:r w:rsidRPr="004B5BEF">
        <w:rPr>
          <w:rFonts w:ascii="Palatino Linotype" w:eastAsia="Palatino Linotype" w:hAnsi="Palatino Linotype" w:cs="Palatino Linotype"/>
          <w:i/>
        </w:rPr>
        <w:t>“Artículo 91. El acceso a la información pública será restringido excepcionalmente, cuando ésta sea clasificada como reservada o confidencial.”</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w:t>
      </w:r>
      <w:r>
        <w:rPr>
          <w:rFonts w:ascii="Palatino Linotype" w:eastAsia="Palatino Linotype" w:hAnsi="Palatino Linotype" w:cs="Palatino Linotype"/>
        </w:rPr>
        <w:lastRenderedPageBreak/>
        <w:t>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4B5BEF" w:rsidRDefault="004B5BEF" w:rsidP="004B5BE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4B5BEF" w:rsidRDefault="004B5BEF" w:rsidP="004B5BE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B5BEF" w:rsidRDefault="004B5BEF" w:rsidP="004B5BE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4B5BEF" w:rsidRDefault="004B5BEF" w:rsidP="004B5BEF">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4B5BEF" w:rsidRDefault="004B5BEF" w:rsidP="004B5BEF">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B5BEF" w:rsidRDefault="004B5BEF" w:rsidP="004B5BEF">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4B5BEF" w:rsidRDefault="004B5BEF" w:rsidP="004B5BEF">
      <w:pPr>
        <w:numPr>
          <w:ilvl w:val="0"/>
          <w:numId w:val="6"/>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4B5BEF" w:rsidRDefault="004B5BEF" w:rsidP="004B5BEF">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w:t>
      </w:r>
      <w:r>
        <w:rPr>
          <w:rFonts w:ascii="Palatino Linotype" w:eastAsia="Palatino Linotype" w:hAnsi="Palatino Linotype" w:cs="Palatino Linotype"/>
        </w:rPr>
        <w:lastRenderedPageBreak/>
        <w:t>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w:t>
      </w:r>
      <w:r>
        <w:rPr>
          <w:rFonts w:ascii="Palatino Linotype" w:eastAsia="Palatino Linotype" w:hAnsi="Palatino Linotype" w:cs="Palatino Linotype"/>
        </w:rPr>
        <w:lastRenderedPageBreak/>
        <w:t>creencias religiosas, filosóficas y morales, opiniones políticas y preferencia sexual, de conformidad con el artículo 4, fracción XII de la Ley de Protección de Datos Personales en Posesión de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4B5BEF" w:rsidRDefault="004B5BEF" w:rsidP="004B5BEF">
      <w:pPr>
        <w:numPr>
          <w:ilvl w:val="0"/>
          <w:numId w:val="7"/>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4B5BEF" w:rsidRDefault="004B5BEF" w:rsidP="004B5BEF">
      <w:pPr>
        <w:numPr>
          <w:ilvl w:val="0"/>
          <w:numId w:val="7"/>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4B5BEF" w:rsidRDefault="004B5BEF" w:rsidP="004B5BEF">
      <w:pPr>
        <w:numPr>
          <w:ilvl w:val="0"/>
          <w:numId w:val="7"/>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limitación se adecua al principio de proporcionalidad y representa el medio menos restrictivo disponible para evitar el perjuicio. </w:t>
      </w:r>
    </w:p>
    <w:p w:rsidR="004B5BEF" w:rsidRDefault="004B5BEF" w:rsidP="004B5BEF">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w:t>
      </w:r>
      <w:r>
        <w:rPr>
          <w:rFonts w:ascii="Palatino Linotype" w:eastAsia="Palatino Linotype" w:hAnsi="Palatino Linotype" w:cs="Palatino Linotype"/>
          <w:i/>
          <w:sz w:val="22"/>
          <w:szCs w:val="22"/>
        </w:rPr>
        <w:lastRenderedPageBreak/>
        <w:t>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4B5BEF" w:rsidRDefault="004B5BEF" w:rsidP="004B5BE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w:t>
      </w:r>
      <w:r>
        <w:rPr>
          <w:rFonts w:ascii="Palatino Linotype" w:eastAsia="Palatino Linotype" w:hAnsi="Palatino Linotype" w:cs="Palatino Linotype"/>
        </w:rPr>
        <w:lastRenderedPageBreak/>
        <w:t>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w:t>
      </w:r>
      <w:r>
        <w:rPr>
          <w:rFonts w:ascii="Palatino Linotype" w:eastAsia="Palatino Linotype" w:hAnsi="Palatino Linotype" w:cs="Palatino Linotype"/>
        </w:rPr>
        <w:lastRenderedPageBreak/>
        <w:t>Transparencia y Acceso a la Información Pública del Estado de México y Municipios, que establecen la forma en que los Sujetos Obligados deben dar curso a las Declaratorias de Inexistencia.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A77487">
        <w:rPr>
          <w:rFonts w:ascii="Palatino Linotype" w:eastAsia="Palatino Linotype" w:hAnsi="Palatino Linotype" w:cs="Palatino Linotype"/>
          <w:i/>
          <w:sz w:val="22"/>
          <w:szCs w:val="22"/>
        </w:rPr>
        <w:t>(Sic)</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w:t>
      </w:r>
      <w:r>
        <w:rPr>
          <w:rFonts w:ascii="Palatino Linotype" w:eastAsia="Palatino Linotype" w:hAnsi="Palatino Linotype" w:cs="Palatino Linotype"/>
        </w:rPr>
        <w:lastRenderedPageBreak/>
        <w:t xml:space="preserve">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4B5BEF" w:rsidRDefault="004B5BEF" w:rsidP="004B5BEF">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12BA1" w:rsidRDefault="00171401">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112BA1" w:rsidRDefault="0017140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w:t>
      </w:r>
      <w:r w:rsidR="004B5BEF">
        <w:rPr>
          <w:rFonts w:ascii="Palatino Linotype" w:eastAsia="Palatino Linotype" w:hAnsi="Palatino Linotype" w:cs="Palatino Linotype"/>
        </w:rPr>
        <w:t>de</w:t>
      </w:r>
      <w:r>
        <w:rPr>
          <w:rFonts w:ascii="Palatino Linotype" w:eastAsia="Palatino Linotype" w:hAnsi="Palatino Linotype" w:cs="Palatino Linotype"/>
        </w:rPr>
        <w:t xml:space="preserve"> la </w:t>
      </w:r>
      <w:r>
        <w:rPr>
          <w:rFonts w:ascii="Palatino Linotype" w:eastAsia="Palatino Linotype" w:hAnsi="Palatino Linotype" w:cs="Palatino Linotype"/>
          <w:b/>
        </w:rPr>
        <w:t>RECURRENTE</w:t>
      </w:r>
      <w:r>
        <w:rPr>
          <w:rFonts w:ascii="Palatino Linotype" w:eastAsia="Palatino Linotype" w:hAnsi="Palatino Linotype" w:cs="Palatino Linotype"/>
        </w:rPr>
        <w:t>, en términos del Considerando Cuarto de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 solicitud de acceso a la información pública que dio origen al recurso de revisión </w:t>
      </w:r>
      <w:r>
        <w:rPr>
          <w:rFonts w:ascii="Palatino Linotype" w:eastAsia="Palatino Linotype" w:hAnsi="Palatino Linotype" w:cs="Palatino Linotype"/>
          <w:b/>
          <w:color w:val="222222"/>
        </w:rPr>
        <w:t>00519/INFOEM/IP/RR/2022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 xml:space="preserve">en términos del Considerando Cuarto de esta resolución y emita respuesta, debiendo observar las excepciones contenidas en </w:t>
      </w:r>
      <w:r>
        <w:rPr>
          <w:rFonts w:ascii="Palatino Linotype" w:eastAsia="Palatino Linotype" w:hAnsi="Palatino Linotype" w:cs="Palatino Linotype"/>
          <w:color w:val="222222"/>
        </w:rPr>
        <w:lastRenderedPageBreak/>
        <w:t>la Ley de Transparencia y Acceso a la Información Pública del Estado de México y Municipios.</w:t>
      </w:r>
    </w:p>
    <w:p w:rsidR="00112BA1" w:rsidRDefault="00171401">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highlight w:val="white"/>
        </w:rPr>
      </w:pPr>
      <w:bookmarkStart w:id="2" w:name="_heading=h.30j0zll" w:colFirst="0" w:colLast="0"/>
      <w:bookmarkEnd w:id="2"/>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vía SAIMEX a la 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Quinto. </w:t>
      </w:r>
      <w:r>
        <w:rPr>
          <w:rFonts w:ascii="Palatino Linotype" w:eastAsia="Palatino Linotype" w:hAnsi="Palatino Linotype" w:cs="Palatino Linotype"/>
          <w:b/>
          <w:color w:val="222222"/>
        </w:rPr>
        <w:t xml:space="preserve">Notifíquese vía SAIMEX a la 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Sexto.</w:t>
      </w:r>
      <w:r>
        <w:rPr>
          <w:rFonts w:ascii="Palatino Linotype" w:eastAsia="Palatino Linotype" w:hAnsi="Palatino Linotype" w:cs="Palatino Linotype"/>
          <w:color w:val="222222"/>
        </w:rPr>
        <w:t xml:space="preserve"> 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 que, en caso de incumplimiento total o parcial de la presente </w:t>
      </w:r>
      <w:r>
        <w:rPr>
          <w:rFonts w:ascii="Palatino Linotype" w:eastAsia="Palatino Linotype" w:hAnsi="Palatino Linotype" w:cs="Palatino Linotype"/>
          <w:color w:val="222222"/>
        </w:rPr>
        <w:lastRenderedPageBreak/>
        <w:t>resolución, se actuará de conformidad con lo dispuesto en los artículos 213, 214, 215, 216 y 217 de la ley en cita.</w:t>
      </w:r>
    </w:p>
    <w:p w:rsidR="00112BA1" w:rsidRDefault="00171401">
      <w:pPr>
        <w:spacing w:before="240" w:after="240" w:line="360" w:lineRule="auto"/>
        <w:ind w:right="49"/>
        <w:jc w:val="both"/>
        <w:rPr>
          <w:rFonts w:ascii="Palatino Linotype" w:eastAsia="Palatino Linotype" w:hAnsi="Palatino Linotype" w:cs="Palatino Linotype"/>
          <w:color w:val="FF0000"/>
          <w:highlight w:val="yellow"/>
        </w:rPr>
      </w:pPr>
      <w:r>
        <w:rPr>
          <w:rFonts w:ascii="Palatino Linotype" w:eastAsia="Palatino Linotype" w:hAnsi="Palatino Linotype" w:cs="Palatino Linotype"/>
          <w:b/>
        </w:rPr>
        <w:t>Séptimo.</w:t>
      </w:r>
      <w:r>
        <w:rPr>
          <w:rFonts w:ascii="Palatino Linotype" w:eastAsia="Palatino Linotype" w:hAnsi="Palatino Linotype" w:cs="Palatino Linotype"/>
          <w:b/>
          <w:highlight w:val="white"/>
        </w:rPr>
        <w:t xml:space="preserve"> Gírese</w:t>
      </w:r>
      <w:r>
        <w:rPr>
          <w:rFonts w:ascii="Palatino Linotype" w:eastAsia="Palatino Linotype" w:hAnsi="Palatino Linotype" w:cs="Palatino Linotype"/>
          <w:highlight w:val="whit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rsidR="00112BA1" w:rsidRDefault="00171401">
      <w:pPr>
        <w:spacing w:line="360" w:lineRule="auto"/>
        <w:ind w:right="49"/>
        <w:jc w:val="both"/>
        <w:rPr>
          <w:rFonts w:ascii="Palatino Linotype" w:eastAsia="Palatino Linotype" w:hAnsi="Palatino Linotype" w:cs="Palatino Linotype"/>
        </w:rPr>
        <w:sectPr w:rsidR="00112BA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VEINTICUATRO DE MARZO DE DOS MIL VEINTIDÓS, ANTE EL SECRETARIO TÉCNICO DEL PLENO ALEXIS TAPIA RAMÍREZ.</w:t>
      </w:r>
    </w:p>
    <w:p w:rsidR="00112BA1" w:rsidRDefault="00112BA1">
      <w:pPr>
        <w:spacing w:line="360" w:lineRule="auto"/>
        <w:ind w:right="49"/>
        <w:jc w:val="both"/>
        <w:rPr>
          <w:rFonts w:ascii="Palatino Linotype" w:eastAsia="Palatino Linotype" w:hAnsi="Palatino Linotype" w:cs="Palatino Linotype"/>
        </w:rPr>
      </w:pP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p>
    <w:p w:rsidR="00112BA1" w:rsidRDefault="00112BA1"/>
    <w:p w:rsidR="00112BA1" w:rsidRDefault="00112BA1"/>
    <w:sectPr w:rsidR="00112BA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14E" w:rsidRDefault="006D514E">
      <w:r>
        <w:separator/>
      </w:r>
    </w:p>
  </w:endnote>
  <w:endnote w:type="continuationSeparator" w:id="0">
    <w:p w:rsidR="006D514E" w:rsidRDefault="006D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7521E">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7521E">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color w:val="000000"/>
      </w:rPr>
    </w:pPr>
  </w:p>
  <w:p w:rsidR="00112BA1" w:rsidRDefault="00112BA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7521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7521E">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14E" w:rsidRDefault="006D514E">
      <w:r>
        <w:separator/>
      </w:r>
    </w:p>
  </w:footnote>
  <w:footnote w:type="continuationSeparator" w:id="0">
    <w:p w:rsidR="006D514E" w:rsidRDefault="006D514E">
      <w:r>
        <w:continuationSeparator/>
      </w:r>
    </w:p>
  </w:footnote>
  <w:footnote w:id="1">
    <w:p w:rsidR="00112BA1" w:rsidRDefault="00171401">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12BA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112BA1" w:rsidRDefault="0017140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00519/INFOEM/IP/RR/2022 </w:t>
          </w:r>
        </w:p>
      </w:tc>
    </w:tr>
    <w:tr w:rsidR="00112BA1">
      <w:trPr>
        <w:trHeight w:val="228"/>
      </w:trPr>
      <w:tc>
        <w:tcPr>
          <w:tcW w:w="2552" w:type="dxa"/>
          <w:shd w:val="clear" w:color="auto" w:fill="auto"/>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112BA1" w:rsidRDefault="0017140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Ixtapaluca.</w:t>
          </w:r>
        </w:p>
      </w:tc>
    </w:tr>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7140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-689277</wp:posOffset>
          </wp:positionH>
          <wp:positionV relativeFrom="paragraph">
            <wp:posOffset>-1171015</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-675564</wp:posOffset>
          </wp:positionH>
          <wp:positionV relativeFrom="paragraph">
            <wp:posOffset>-341828</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112BA1" w:rsidRDefault="0017140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00519/INFOEM/IP/RR/2022</w:t>
          </w:r>
        </w:p>
      </w:tc>
    </w:tr>
    <w:tr w:rsidR="00112BA1">
      <w:tc>
        <w:tcPr>
          <w:tcW w:w="2551" w:type="dxa"/>
          <w:vAlign w:val="center"/>
        </w:tcPr>
        <w:p w:rsidR="00112BA1" w:rsidRDefault="0017140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112BA1" w:rsidRDefault="0097521E">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 XXXXX</w:t>
          </w:r>
          <w:r w:rsidR="00171401">
            <w:rPr>
              <w:rFonts w:ascii="Palatino Linotype" w:eastAsia="Palatino Linotype" w:hAnsi="Palatino Linotype" w:cs="Palatino Linotype"/>
              <w:b/>
              <w:sz w:val="21"/>
              <w:szCs w:val="21"/>
            </w:rPr>
            <w:t>.</w:t>
          </w:r>
        </w:p>
      </w:tc>
    </w:tr>
    <w:tr w:rsidR="00112BA1">
      <w:trPr>
        <w:trHeight w:val="228"/>
      </w:trPr>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112BA1" w:rsidRDefault="0017140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Ixtapaluca.</w:t>
          </w:r>
        </w:p>
      </w:tc>
    </w:tr>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370905"/>
    <w:multiLevelType w:val="multilevel"/>
    <w:tmpl w:val="9036D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A953B3"/>
    <w:multiLevelType w:val="multilevel"/>
    <w:tmpl w:val="654C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561BB2"/>
    <w:multiLevelType w:val="multilevel"/>
    <w:tmpl w:val="5588B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3"/>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A1"/>
    <w:rsid w:val="00112BA1"/>
    <w:rsid w:val="00143DB1"/>
    <w:rsid w:val="00171401"/>
    <w:rsid w:val="004B5BEF"/>
    <w:rsid w:val="006D514E"/>
    <w:rsid w:val="0097521E"/>
    <w:rsid w:val="00A77487"/>
    <w:rsid w:val="00AD2D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6A3FD-4DE8-4874-B493-763AE6C9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Ifs4FwyXkW1jOjSZc26dQELEg==">AMUW2mUWuj91MotMTokeBNiLWBz+E4IXonFtpK/fY2WAW5hsxSK2No/7lK5K0t3fGv804QtVt9GmGYUy7n2awQW65ucZiJNqZXs8dwSfkbg0FfAKooP1U2fIlqdAo4t1Dms4xyG/d13wxN3XuGKwNPfGk1nUwrauNw==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7275</Words>
  <Characters>40014</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Jhancarlo</cp:lastModifiedBy>
  <cp:revision>4</cp:revision>
  <dcterms:created xsi:type="dcterms:W3CDTF">2022-03-16T05:09:00Z</dcterms:created>
  <dcterms:modified xsi:type="dcterms:W3CDTF">2022-04-04T22:37:00Z</dcterms:modified>
</cp:coreProperties>
</file>