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BB165" w14:textId="63579CEE" w:rsidR="00F12093" w:rsidRPr="00B13140" w:rsidRDefault="00F12093" w:rsidP="00F12093">
      <w:pPr>
        <w:spacing w:line="360" w:lineRule="auto"/>
        <w:jc w:val="both"/>
        <w:rPr>
          <w:rFonts w:ascii="Palatino Linotype" w:eastAsia="Times New Roman" w:hAnsi="Palatino Linotype" w:cs="Arial"/>
          <w:lang w:val="es-MX"/>
        </w:rPr>
      </w:pPr>
      <w:r w:rsidRPr="00B1314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63D1F" w:rsidRPr="00B13140">
        <w:rPr>
          <w:rFonts w:ascii="Palatino Linotype" w:hAnsi="Palatino Linotype"/>
        </w:rPr>
        <w:t>tres (03) de agosto</w:t>
      </w:r>
      <w:r w:rsidRPr="00B13140">
        <w:rPr>
          <w:rFonts w:ascii="Palatino Linotype" w:eastAsia="Times New Roman" w:hAnsi="Palatino Linotype" w:cs="Arial"/>
          <w:lang w:val="es-MX"/>
        </w:rPr>
        <w:t xml:space="preserve"> de dos mil veintidós.</w:t>
      </w:r>
    </w:p>
    <w:p w14:paraId="492BB166" w14:textId="77777777" w:rsidR="00F12093" w:rsidRPr="00B13140" w:rsidRDefault="00F12093" w:rsidP="00F12093">
      <w:pPr>
        <w:spacing w:line="360" w:lineRule="auto"/>
        <w:jc w:val="both"/>
        <w:rPr>
          <w:rFonts w:ascii="Palatino Linotype" w:hAnsi="Palatino Linotype"/>
        </w:rPr>
      </w:pPr>
    </w:p>
    <w:p w14:paraId="492BB167" w14:textId="1D5E104E" w:rsidR="00F12093" w:rsidRPr="00B13140" w:rsidRDefault="00F12093" w:rsidP="00F12093">
      <w:pPr>
        <w:pStyle w:val="Encabezado"/>
        <w:spacing w:line="360" w:lineRule="auto"/>
        <w:jc w:val="both"/>
        <w:rPr>
          <w:rFonts w:ascii="Palatino Linotype" w:hAnsi="Palatino Linotype"/>
        </w:rPr>
      </w:pPr>
      <w:r w:rsidRPr="00B13140">
        <w:rPr>
          <w:rFonts w:ascii="Palatino Linotype" w:hAnsi="Palatino Linotype"/>
          <w:b/>
        </w:rPr>
        <w:t>VISTO el</w:t>
      </w:r>
      <w:r w:rsidRPr="00B13140">
        <w:rPr>
          <w:rFonts w:ascii="Palatino Linotype" w:hAnsi="Palatino Linotype"/>
        </w:rPr>
        <w:t xml:space="preserve"> expediente electrónico formado con motivo del recurso de revisión</w:t>
      </w:r>
      <w:r w:rsidRPr="00B13140">
        <w:rPr>
          <w:rFonts w:ascii="Palatino Linotype" w:hAnsi="Palatino Linotype"/>
          <w:sz w:val="28"/>
        </w:rPr>
        <w:t xml:space="preserve"> </w:t>
      </w:r>
      <w:r w:rsidR="00A6567B" w:rsidRPr="00B13140">
        <w:rPr>
          <w:rFonts w:ascii="Palatino Linotype" w:hAnsi="Palatino Linotype" w:cs="Arial"/>
          <w:b/>
          <w:bCs/>
          <w:lang w:eastAsia="es-MX"/>
        </w:rPr>
        <w:t>06963</w:t>
      </w:r>
      <w:r w:rsidR="005B7B01" w:rsidRPr="00B13140">
        <w:rPr>
          <w:rFonts w:ascii="Palatino Linotype" w:hAnsi="Palatino Linotype" w:cs="Arial"/>
          <w:b/>
          <w:bCs/>
          <w:lang w:eastAsia="es-MX"/>
        </w:rPr>
        <w:t>/INFOEM/IP/RR/2022</w:t>
      </w:r>
      <w:r w:rsidRPr="00B13140">
        <w:rPr>
          <w:rFonts w:ascii="Palatino Linotype" w:hAnsi="Palatino Linotype" w:cs="Arial"/>
          <w:b/>
          <w:bCs/>
          <w:lang w:eastAsia="es-MX"/>
        </w:rPr>
        <w:t xml:space="preserve">, </w:t>
      </w:r>
      <w:r w:rsidRPr="00B13140">
        <w:rPr>
          <w:rFonts w:ascii="Palatino Linotype" w:hAnsi="Palatino Linotype"/>
        </w:rPr>
        <w:t>promovido por</w:t>
      </w:r>
      <w:r w:rsidRPr="00B13140">
        <w:rPr>
          <w:rFonts w:ascii="Palatino Linotype" w:hAnsi="Palatino Linotype"/>
          <w:b/>
        </w:rPr>
        <w:t xml:space="preserve"> </w:t>
      </w:r>
      <w:r w:rsidR="00B13140" w:rsidRPr="00B13140">
        <w:rPr>
          <w:rFonts w:ascii="Palatino Linotype" w:eastAsia="Calibri" w:hAnsi="Palatino Linotype" w:cs="Tahoma"/>
          <w:b/>
          <w:sz w:val="22"/>
          <w:szCs w:val="22"/>
          <w:lang w:val="es-MX" w:eastAsia="en-US"/>
        </w:rPr>
        <w:t xml:space="preserve">XXXXX </w:t>
      </w:r>
      <w:proofErr w:type="spellStart"/>
      <w:r w:rsidR="00B13140" w:rsidRPr="00B13140">
        <w:rPr>
          <w:rFonts w:ascii="Palatino Linotype" w:eastAsia="Calibri" w:hAnsi="Palatino Linotype" w:cs="Tahoma"/>
          <w:b/>
          <w:sz w:val="22"/>
          <w:szCs w:val="22"/>
          <w:lang w:val="es-MX" w:eastAsia="en-US"/>
        </w:rPr>
        <w:t>XXXXX</w:t>
      </w:r>
      <w:proofErr w:type="spellEnd"/>
      <w:r w:rsidR="00B13140" w:rsidRPr="00B13140">
        <w:rPr>
          <w:rFonts w:ascii="Palatino Linotype" w:eastAsia="Calibri" w:hAnsi="Palatino Linotype" w:cs="Tahoma"/>
          <w:b/>
          <w:sz w:val="22"/>
          <w:szCs w:val="22"/>
          <w:lang w:val="es-MX" w:eastAsia="en-US"/>
        </w:rPr>
        <w:t xml:space="preserve"> XXXX</w:t>
      </w:r>
      <w:r w:rsidR="008B4DB2" w:rsidRPr="00B13140">
        <w:rPr>
          <w:rFonts w:ascii="Palatino Linotype" w:hAnsi="Palatino Linotype"/>
          <w:sz w:val="22"/>
          <w:szCs w:val="22"/>
        </w:rPr>
        <w:t>,</w:t>
      </w:r>
      <w:r w:rsidRPr="00B13140">
        <w:rPr>
          <w:rFonts w:ascii="Palatino Linotype" w:hAnsi="Palatino Linotype"/>
          <w:sz w:val="22"/>
          <w:szCs w:val="22"/>
        </w:rPr>
        <w:t xml:space="preserve"> quien</w:t>
      </w:r>
      <w:r w:rsidRPr="00B13140">
        <w:rPr>
          <w:rFonts w:ascii="Palatino Linotype" w:hAnsi="Palatino Linotype"/>
        </w:rPr>
        <w:t xml:space="preserve"> en lo sucesivo será identificado como </w:t>
      </w:r>
      <w:r w:rsidRPr="00B13140">
        <w:rPr>
          <w:rFonts w:ascii="Palatino Linotype" w:hAnsi="Palatino Linotype"/>
          <w:b/>
        </w:rPr>
        <w:t>RECURRENTE</w:t>
      </w:r>
      <w:r w:rsidRPr="00B13140">
        <w:rPr>
          <w:rFonts w:ascii="Palatino Linotype" w:hAnsi="Palatino Linotype" w:cs="Arial"/>
        </w:rPr>
        <w:t xml:space="preserve">, en contra de la respuesta del </w:t>
      </w:r>
      <w:r w:rsidR="00A6567B" w:rsidRPr="00B13140">
        <w:rPr>
          <w:rFonts w:ascii="Palatino Linotype" w:hAnsi="Palatino Linotype"/>
          <w:b/>
          <w:bCs/>
          <w:szCs w:val="22"/>
        </w:rPr>
        <w:t>Secretaría de Desarrollo Urbano y Obra</w:t>
      </w:r>
      <w:r w:rsidRPr="00B13140">
        <w:rPr>
          <w:rFonts w:ascii="Palatino Linotype" w:hAnsi="Palatino Linotype" w:cs="Arial"/>
        </w:rPr>
        <w:t>,</w:t>
      </w:r>
      <w:r w:rsidRPr="00B13140">
        <w:rPr>
          <w:rFonts w:ascii="Palatino Linotype" w:hAnsi="Palatino Linotype"/>
          <w:b/>
        </w:rPr>
        <w:t xml:space="preserve"> </w:t>
      </w:r>
      <w:r w:rsidRPr="00B13140">
        <w:rPr>
          <w:rFonts w:ascii="Palatino Linotype" w:hAnsi="Palatino Linotype"/>
        </w:rPr>
        <w:t>en lo sucesivo el</w:t>
      </w:r>
      <w:r w:rsidRPr="00B13140">
        <w:rPr>
          <w:rFonts w:ascii="Palatino Linotype" w:hAnsi="Palatino Linotype"/>
          <w:b/>
        </w:rPr>
        <w:t xml:space="preserve"> SUJETO OBLIGADO, </w:t>
      </w:r>
      <w:r w:rsidRPr="00B13140">
        <w:rPr>
          <w:rFonts w:ascii="Palatino Linotype" w:hAnsi="Palatino Linotype"/>
        </w:rPr>
        <w:t>se procede a dictar la presente resolución, con base en los siguientes:</w:t>
      </w:r>
    </w:p>
    <w:p w14:paraId="492BB168" w14:textId="77777777" w:rsidR="00F12093" w:rsidRPr="00B13140" w:rsidRDefault="00F12093" w:rsidP="00F12093">
      <w:pPr>
        <w:pStyle w:val="Encabezado"/>
        <w:spacing w:line="360" w:lineRule="auto"/>
        <w:jc w:val="both"/>
        <w:rPr>
          <w:rFonts w:ascii="Palatino Linotype" w:hAnsi="Palatino Linotype"/>
        </w:rPr>
      </w:pPr>
    </w:p>
    <w:p w14:paraId="492BB169" w14:textId="77777777" w:rsidR="00F12093" w:rsidRPr="00B13140" w:rsidRDefault="00F12093" w:rsidP="00F12093">
      <w:pPr>
        <w:pStyle w:val="Ttulo1"/>
        <w:spacing w:before="0" w:line="360" w:lineRule="auto"/>
        <w:jc w:val="center"/>
      </w:pPr>
      <w:bookmarkStart w:id="0" w:name="_Toc59195555"/>
      <w:bookmarkStart w:id="1" w:name="_Toc89360009"/>
      <w:r w:rsidRPr="00B13140">
        <w:t>ANTECEDENTES</w:t>
      </w:r>
      <w:bookmarkEnd w:id="0"/>
      <w:bookmarkEnd w:id="1"/>
    </w:p>
    <w:p w14:paraId="492BB16A" w14:textId="77777777" w:rsidR="00F12093" w:rsidRPr="00B13140" w:rsidRDefault="00F12093" w:rsidP="00F12093">
      <w:pPr>
        <w:rPr>
          <w:lang w:val="es-MX" w:eastAsia="en-US"/>
        </w:rPr>
      </w:pPr>
    </w:p>
    <w:p w14:paraId="492BB16B" w14:textId="77777777" w:rsidR="00F12093" w:rsidRPr="00B13140" w:rsidRDefault="00F12093" w:rsidP="00F12093">
      <w:pPr>
        <w:pStyle w:val="Prrafodelista"/>
        <w:numPr>
          <w:ilvl w:val="0"/>
          <w:numId w:val="1"/>
        </w:numPr>
        <w:spacing w:line="360" w:lineRule="auto"/>
        <w:ind w:left="0" w:firstLine="0"/>
        <w:jc w:val="both"/>
        <w:rPr>
          <w:rFonts w:ascii="Palatino Linotype" w:eastAsia="Times New Roman" w:hAnsi="Palatino Linotype" w:cs="Arial"/>
          <w:lang w:val="es-ES"/>
        </w:rPr>
      </w:pPr>
      <w:r w:rsidRPr="00B13140">
        <w:rPr>
          <w:rFonts w:ascii="Palatino Linotype" w:eastAsia="Calibri" w:hAnsi="Palatino Linotype" w:cs="Arial"/>
          <w:lang w:val="es-ES"/>
        </w:rPr>
        <w:t xml:space="preserve">El día </w:t>
      </w:r>
      <w:r w:rsidR="00A6567B" w:rsidRPr="00B13140">
        <w:rPr>
          <w:rFonts w:ascii="Palatino Linotype" w:eastAsia="Calibri" w:hAnsi="Palatino Linotype" w:cs="Arial"/>
          <w:lang w:val="es-ES"/>
        </w:rPr>
        <w:t>siete (07) de abril</w:t>
      </w:r>
      <w:r w:rsidR="008B4DB2" w:rsidRPr="00B13140">
        <w:rPr>
          <w:rFonts w:ascii="Palatino Linotype" w:eastAsia="Calibri" w:hAnsi="Palatino Linotype" w:cs="Arial"/>
          <w:lang w:val="es-ES"/>
        </w:rPr>
        <w:t xml:space="preserve"> </w:t>
      </w:r>
      <w:r w:rsidR="005B7B01" w:rsidRPr="00B13140">
        <w:rPr>
          <w:rFonts w:ascii="Palatino Linotype" w:eastAsia="Calibri" w:hAnsi="Palatino Linotype" w:cs="Arial"/>
          <w:lang w:val="es-ES"/>
        </w:rPr>
        <w:t xml:space="preserve"> de dos mil veintidós</w:t>
      </w:r>
      <w:r w:rsidRPr="00B13140">
        <w:rPr>
          <w:rFonts w:ascii="Palatino Linotype" w:eastAsia="Calibri" w:hAnsi="Palatino Linotype" w:cs="Arial"/>
          <w:lang w:val="es-ES"/>
        </w:rPr>
        <w:t>,</w:t>
      </w:r>
      <w:r w:rsidRPr="00B13140">
        <w:rPr>
          <w:rFonts w:ascii="Palatino Linotype" w:eastAsia="Calibri" w:hAnsi="Palatino Linotype" w:cs="Times New Roman"/>
          <w:lang w:val="es-ES"/>
        </w:rPr>
        <w:t xml:space="preserve"> </w:t>
      </w:r>
      <w:r w:rsidRPr="00B13140">
        <w:rPr>
          <w:rFonts w:ascii="Palatino Linotype" w:eastAsia="Calibri" w:hAnsi="Palatino Linotype" w:cs="Times New Roman"/>
          <w:b/>
          <w:lang w:val="es-ES"/>
        </w:rPr>
        <w:t>EL RECURRENTE</w:t>
      </w:r>
      <w:r w:rsidRPr="00B13140">
        <w:rPr>
          <w:rFonts w:ascii="Palatino Linotype" w:hAnsi="Palatino Linotype"/>
          <w:b/>
        </w:rPr>
        <w:t>,</w:t>
      </w:r>
      <w:r w:rsidRPr="00B13140">
        <w:rPr>
          <w:rFonts w:ascii="Palatino Linotype" w:eastAsia="Calibri" w:hAnsi="Palatino Linotype" w:cs="Arial"/>
          <w:lang w:val="es-ES"/>
        </w:rPr>
        <w:t xml:space="preserve"> ante el </w:t>
      </w:r>
      <w:r w:rsidRPr="00B13140">
        <w:rPr>
          <w:rFonts w:ascii="Palatino Linotype" w:eastAsia="Calibri" w:hAnsi="Palatino Linotype" w:cs="Arial"/>
          <w:b/>
          <w:lang w:val="es-ES"/>
        </w:rPr>
        <w:t>SUJETO OBLIGADO</w:t>
      </w:r>
      <w:r w:rsidRPr="00B13140">
        <w:rPr>
          <w:rFonts w:ascii="Palatino Linotype" w:eastAsia="Calibri" w:hAnsi="Palatino Linotype" w:cs="Arial"/>
        </w:rPr>
        <w:t xml:space="preserve"> a través de la Plataforma </w:t>
      </w:r>
      <w:r w:rsidRPr="00B13140">
        <w:rPr>
          <w:rFonts w:ascii="Palatino Linotype" w:eastAsia="Calibri" w:hAnsi="Palatino Linotype" w:cs="Arial"/>
          <w:lang w:val="es-ES"/>
        </w:rPr>
        <w:t>Sistema de Acceso a la Información Mexiquense (</w:t>
      </w:r>
      <w:r w:rsidRPr="00B13140">
        <w:rPr>
          <w:rFonts w:ascii="Palatino Linotype" w:eastAsia="Calibri" w:hAnsi="Palatino Linotype" w:cs="Arial"/>
          <w:b/>
          <w:lang w:val="es-ES"/>
        </w:rPr>
        <w:t>SAIMEX)</w:t>
      </w:r>
      <w:r w:rsidRPr="00B13140">
        <w:rPr>
          <w:rFonts w:ascii="Palatino Linotype" w:eastAsia="Calibri" w:hAnsi="Palatino Linotype" w:cs="Arial"/>
          <w:lang w:val="es-ES"/>
        </w:rPr>
        <w:t xml:space="preserve">, presentó la solicitud de información pública registrada con el número </w:t>
      </w:r>
      <w:r w:rsidRPr="00B13140">
        <w:rPr>
          <w:rFonts w:ascii="Palatino Linotype" w:eastAsia="Times New Roman" w:hAnsi="Palatino Linotype" w:cs="Arial"/>
          <w:b/>
          <w:bCs/>
        </w:rPr>
        <w:t> </w:t>
      </w:r>
      <w:r w:rsidR="00A6567B" w:rsidRPr="00B13140">
        <w:rPr>
          <w:rFonts w:ascii="Palatino Linotype" w:eastAsia="Times New Roman" w:hAnsi="Palatino Linotype" w:cs="Arial"/>
          <w:b/>
          <w:bCs/>
        </w:rPr>
        <w:t>00137/SEDUO/IP/2022</w:t>
      </w:r>
      <w:r w:rsidRPr="00B13140">
        <w:rPr>
          <w:rFonts w:ascii="Palatino Linotype" w:eastAsia="Times New Roman" w:hAnsi="Palatino Linotype" w:cs="Arial"/>
          <w:b/>
          <w:lang w:val="es-ES"/>
        </w:rPr>
        <w:t xml:space="preserve">, </w:t>
      </w:r>
      <w:r w:rsidRPr="00B13140">
        <w:rPr>
          <w:rFonts w:ascii="Palatino Linotype" w:eastAsia="Calibri" w:hAnsi="Palatino Linotype" w:cs="Arial"/>
          <w:lang w:val="es-ES"/>
        </w:rPr>
        <w:t>mediante la cual solicitó lo siguiente:</w:t>
      </w:r>
    </w:p>
    <w:p w14:paraId="492BB16C" w14:textId="77777777" w:rsidR="00F12093" w:rsidRPr="00B13140" w:rsidRDefault="00F12093" w:rsidP="00F12093">
      <w:pPr>
        <w:pStyle w:val="Prrafodelista"/>
        <w:spacing w:line="360" w:lineRule="auto"/>
        <w:ind w:left="0"/>
        <w:jc w:val="both"/>
        <w:rPr>
          <w:rFonts w:ascii="Palatino Linotype" w:eastAsia="Times New Roman" w:hAnsi="Palatino Linotype" w:cs="Arial"/>
          <w:lang w:val="es-ES"/>
        </w:rPr>
      </w:pPr>
    </w:p>
    <w:p w14:paraId="492BB16D" w14:textId="77777777" w:rsidR="00F12093" w:rsidRPr="00B13140" w:rsidRDefault="00F12093" w:rsidP="00F12093">
      <w:pPr>
        <w:spacing w:line="360" w:lineRule="auto"/>
        <w:ind w:left="851" w:right="567"/>
        <w:jc w:val="both"/>
        <w:rPr>
          <w:rFonts w:ascii="Palatino Linotype" w:eastAsia="Calibri" w:hAnsi="Palatino Linotype" w:cs="Arial"/>
          <w:i/>
          <w:sz w:val="22"/>
          <w:lang w:val="es-ES"/>
        </w:rPr>
      </w:pPr>
      <w:r w:rsidRPr="00B13140">
        <w:rPr>
          <w:rFonts w:ascii="Palatino Linotype" w:eastAsia="Calibri" w:hAnsi="Palatino Linotype" w:cs="Arial"/>
          <w:i/>
          <w:sz w:val="22"/>
          <w:szCs w:val="22"/>
          <w:lang w:val="es-ES"/>
        </w:rPr>
        <w:t xml:space="preserve"> “</w:t>
      </w:r>
      <w:r w:rsidR="00A6567B" w:rsidRPr="00B13140">
        <w:rPr>
          <w:rFonts w:ascii="Palatino Linotype" w:eastAsia="Times New Roman" w:hAnsi="Palatino Linotype" w:cs="Times New Roman"/>
          <w:i/>
          <w:sz w:val="22"/>
          <w:szCs w:val="22"/>
          <w:lang w:eastAsia="es-MX"/>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y II. I. Se me indique o proporcione información relacionada a cuales son los servicios públicos necesarios para su ocupación y contribuyan al mejoramiento del orden urbano y de la imagen urbana para la autorización de un </w:t>
      </w:r>
      <w:r w:rsidR="00A6567B" w:rsidRPr="00B13140">
        <w:rPr>
          <w:rFonts w:ascii="Palatino Linotype" w:eastAsia="Times New Roman" w:hAnsi="Palatino Linotype" w:cs="Times New Roman"/>
          <w:i/>
          <w:sz w:val="22"/>
          <w:szCs w:val="22"/>
          <w:lang w:eastAsia="es-MX"/>
        </w:rPr>
        <w:lastRenderedPageBreak/>
        <w:t>Conjunto Urbano en el Estado de México. II. Se me indique o proporcione información relacionada a cuales son los servicios públicos necesarios para su ocupación y contribuyan al mejoramiento del orden urbano y de la imagen urbana de la autorización del Conjunto Urbano Villas del Campo a la empresa Geo Edificaciones, S.A. de C.V. La anterior petición conforme lo establece el, artículo 4, 7, 9 y 15 de la Ley de Transparencia y Acceso a la Información Pública del Estado de México y Municipios.</w:t>
      </w:r>
      <w:r w:rsidRPr="00B13140">
        <w:rPr>
          <w:rFonts w:ascii="Palatino Linotype" w:eastAsia="Times New Roman" w:hAnsi="Palatino Linotype" w:cs="Times New Roman"/>
          <w:i/>
          <w:sz w:val="22"/>
          <w:szCs w:val="22"/>
          <w:lang w:eastAsia="es-MX"/>
        </w:rPr>
        <w:t>"</w:t>
      </w:r>
      <w:r w:rsidR="00B707E1" w:rsidRPr="00B13140">
        <w:rPr>
          <w:rFonts w:ascii="Palatino Linotype" w:eastAsia="Times New Roman" w:hAnsi="Palatino Linotype" w:cs="Times New Roman"/>
          <w:i/>
          <w:sz w:val="22"/>
          <w:szCs w:val="22"/>
          <w:lang w:eastAsia="es-MX"/>
        </w:rPr>
        <w:t xml:space="preserve"> </w:t>
      </w:r>
      <w:r w:rsidRPr="00B13140">
        <w:rPr>
          <w:rFonts w:ascii="Palatino Linotype" w:eastAsia="Calibri" w:hAnsi="Palatino Linotype" w:cs="Arial"/>
          <w:i/>
          <w:sz w:val="22"/>
          <w:lang w:val="es-ES"/>
        </w:rPr>
        <w:t xml:space="preserve"> (Sic)</w:t>
      </w:r>
    </w:p>
    <w:p w14:paraId="492BB16E" w14:textId="77777777" w:rsidR="00F12093" w:rsidRPr="00B13140" w:rsidRDefault="00F12093" w:rsidP="00F12093">
      <w:pPr>
        <w:spacing w:line="360" w:lineRule="auto"/>
        <w:ind w:right="567"/>
        <w:jc w:val="both"/>
        <w:rPr>
          <w:rFonts w:ascii="Palatino Linotype" w:eastAsia="Times New Roman" w:hAnsi="Palatino Linotype" w:cs="Times New Roman"/>
          <w:lang w:val="es-MX" w:eastAsia="es-MX"/>
        </w:rPr>
      </w:pPr>
    </w:p>
    <w:p w14:paraId="492BB16F" w14:textId="77777777" w:rsidR="00F12093" w:rsidRPr="00B13140" w:rsidRDefault="00F12093"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B13140">
        <w:rPr>
          <w:rFonts w:ascii="Palatino Linotype" w:eastAsia="Calibri" w:hAnsi="Palatino Linotype" w:cs="Times New Roman"/>
          <w:lang w:val="es-ES"/>
        </w:rPr>
        <w:t>Se señaló como modalidad de entrega a través del Sistema de Acceso a la Información Mexiquense (SAIMEX).</w:t>
      </w:r>
    </w:p>
    <w:p w14:paraId="492BB170" w14:textId="77777777" w:rsidR="00C803BA" w:rsidRPr="00B13140" w:rsidRDefault="00C803BA" w:rsidP="00C803BA">
      <w:pPr>
        <w:pStyle w:val="Prrafodelista"/>
        <w:spacing w:line="360" w:lineRule="auto"/>
        <w:ind w:left="0"/>
        <w:jc w:val="both"/>
        <w:rPr>
          <w:rFonts w:ascii="Palatino Linotype" w:eastAsia="Calibri" w:hAnsi="Palatino Linotype" w:cs="Times New Roman"/>
          <w:lang w:val="es-ES"/>
        </w:rPr>
      </w:pPr>
    </w:p>
    <w:p w14:paraId="492BB171" w14:textId="77777777" w:rsidR="00C803BA" w:rsidRPr="00B13140" w:rsidRDefault="00C803BA" w:rsidP="00F12093">
      <w:pPr>
        <w:pStyle w:val="Prrafodelista"/>
        <w:numPr>
          <w:ilvl w:val="0"/>
          <w:numId w:val="1"/>
        </w:numPr>
        <w:spacing w:line="360" w:lineRule="auto"/>
        <w:ind w:left="0" w:firstLine="0"/>
        <w:jc w:val="both"/>
        <w:rPr>
          <w:rFonts w:ascii="Palatino Linotype" w:eastAsia="Calibri" w:hAnsi="Palatino Linotype" w:cs="Times New Roman"/>
          <w:lang w:val="es-ES"/>
        </w:rPr>
      </w:pPr>
      <w:r w:rsidRPr="00B13140">
        <w:rPr>
          <w:rFonts w:ascii="Palatino Linotype" w:eastAsia="Calibri" w:hAnsi="Palatino Linotype" w:cs="Times New Roman"/>
          <w:lang w:val="es-ES"/>
        </w:rPr>
        <w:t xml:space="preserve">El </w:t>
      </w:r>
      <w:r w:rsidR="00A6567B" w:rsidRPr="00B13140">
        <w:rPr>
          <w:rFonts w:ascii="Palatino Linotype" w:eastAsia="Calibri" w:hAnsi="Palatino Linotype" w:cs="Times New Roman"/>
          <w:lang w:val="es-ES"/>
        </w:rPr>
        <w:t xml:space="preserve">siete (07) de abril </w:t>
      </w:r>
      <w:r w:rsidR="008B4DB2" w:rsidRPr="00B13140">
        <w:rPr>
          <w:rFonts w:ascii="Palatino Linotype" w:eastAsia="Calibri" w:hAnsi="Palatino Linotype" w:cs="Times New Roman"/>
          <w:lang w:val="es-ES"/>
        </w:rPr>
        <w:t xml:space="preserve"> </w:t>
      </w:r>
      <w:r w:rsidR="005B7B01" w:rsidRPr="00B13140">
        <w:rPr>
          <w:rFonts w:ascii="Palatino Linotype" w:eastAsia="Calibri" w:hAnsi="Palatino Linotype" w:cs="Times New Roman"/>
          <w:lang w:val="es-ES"/>
        </w:rPr>
        <w:t>de dos mil veintidós</w:t>
      </w:r>
      <w:r w:rsidRPr="00B13140">
        <w:rPr>
          <w:rFonts w:ascii="Palatino Linotype" w:eastAsia="Calibri" w:hAnsi="Palatino Linotype" w:cs="Times New Roman"/>
          <w:lang w:val="es-ES"/>
        </w:rPr>
        <w:t>, se realizó un requerimiento al servidor público habilitado.</w:t>
      </w:r>
    </w:p>
    <w:p w14:paraId="492BB172" w14:textId="77777777" w:rsidR="00F12093" w:rsidRPr="00B13140" w:rsidRDefault="00F12093" w:rsidP="00F12093">
      <w:pPr>
        <w:pStyle w:val="Prrafodelista"/>
        <w:spacing w:line="360" w:lineRule="auto"/>
        <w:ind w:left="0"/>
        <w:jc w:val="both"/>
        <w:rPr>
          <w:rFonts w:ascii="Palatino Linotype" w:eastAsia="Calibri" w:hAnsi="Palatino Linotype" w:cs="Times New Roman"/>
          <w:b/>
          <w:i/>
          <w:lang w:val="es-ES"/>
        </w:rPr>
      </w:pPr>
    </w:p>
    <w:p w14:paraId="492BB173" w14:textId="77777777" w:rsidR="00F12093" w:rsidRPr="00B13140" w:rsidRDefault="00F12093" w:rsidP="00F12093">
      <w:pPr>
        <w:pStyle w:val="Prrafodelista"/>
        <w:numPr>
          <w:ilvl w:val="0"/>
          <w:numId w:val="1"/>
        </w:numPr>
        <w:spacing w:line="360" w:lineRule="auto"/>
        <w:ind w:left="0" w:firstLine="0"/>
        <w:jc w:val="both"/>
        <w:rPr>
          <w:rFonts w:ascii="Palatino Linotype" w:eastAsia="Calibri" w:hAnsi="Palatino Linotype" w:cs="Times New Roman"/>
          <w:b/>
          <w:i/>
          <w:lang w:val="es-ES"/>
        </w:rPr>
      </w:pPr>
      <w:r w:rsidRPr="00B13140">
        <w:rPr>
          <w:rFonts w:ascii="Palatino Linotype" w:eastAsia="Calibri" w:hAnsi="Palatino Linotype" w:cs="Times New Roman"/>
          <w:lang w:val="es-ES"/>
        </w:rPr>
        <w:t xml:space="preserve">El </w:t>
      </w:r>
      <w:r w:rsidR="00A6567B" w:rsidRPr="00B13140">
        <w:rPr>
          <w:rFonts w:ascii="Palatino Linotype" w:eastAsia="Calibri" w:hAnsi="Palatino Linotype" w:cs="Times New Roman"/>
          <w:lang w:val="es-ES"/>
        </w:rPr>
        <w:t>tres (03) de mayo</w:t>
      </w:r>
      <w:r w:rsidR="008B4DB2" w:rsidRPr="00B13140">
        <w:rPr>
          <w:rFonts w:ascii="Palatino Linotype" w:eastAsia="Calibri" w:hAnsi="Palatino Linotype" w:cs="Times New Roman"/>
          <w:lang w:val="es-ES"/>
        </w:rPr>
        <w:t xml:space="preserve"> </w:t>
      </w:r>
      <w:r w:rsidR="005B7B01" w:rsidRPr="00B13140">
        <w:rPr>
          <w:rFonts w:ascii="Palatino Linotype" w:eastAsia="Calibri" w:hAnsi="Palatino Linotype" w:cs="Times New Roman"/>
          <w:lang w:val="es-ES"/>
        </w:rPr>
        <w:t xml:space="preserve"> de dos mil veintidós</w:t>
      </w:r>
      <w:r w:rsidRPr="00B13140">
        <w:rPr>
          <w:rFonts w:ascii="Palatino Linotype" w:eastAsia="Calibri" w:hAnsi="Palatino Linotype" w:cs="Times New Roman"/>
          <w:lang w:val="es-ES"/>
        </w:rPr>
        <w:t xml:space="preserve">, el </w:t>
      </w:r>
      <w:r w:rsidRPr="00B13140">
        <w:rPr>
          <w:rFonts w:ascii="Palatino Linotype" w:eastAsia="Calibri" w:hAnsi="Palatino Linotype" w:cs="Arial"/>
          <w:b/>
          <w:lang w:val="es-AR"/>
        </w:rPr>
        <w:t>SUJETO OBLIGADO</w:t>
      </w:r>
      <w:r w:rsidRPr="00B13140">
        <w:rPr>
          <w:rFonts w:ascii="Palatino Linotype" w:eastAsia="Calibri" w:hAnsi="Palatino Linotype" w:cs="Arial"/>
          <w:b/>
          <w:i/>
          <w:lang w:val="es-AR"/>
        </w:rPr>
        <w:t xml:space="preserve"> </w:t>
      </w:r>
      <w:r w:rsidRPr="00B13140">
        <w:rPr>
          <w:rFonts w:ascii="Palatino Linotype" w:eastAsia="Times New Roman" w:hAnsi="Palatino Linotype" w:cs="Arial"/>
          <w:lang w:val="es-ES"/>
        </w:rPr>
        <w:t>dio respuesta a la solicitud de información, en los siguientes términos</w:t>
      </w:r>
      <w:r w:rsidRPr="00B13140">
        <w:rPr>
          <w:rFonts w:ascii="Palatino Linotype" w:eastAsia="Calibri" w:hAnsi="Palatino Linotype" w:cs="Times New Roman"/>
          <w:bCs/>
          <w:iCs/>
          <w:lang w:val="es-ES"/>
        </w:rPr>
        <w:t>:</w:t>
      </w:r>
    </w:p>
    <w:p w14:paraId="492BB174" w14:textId="77777777" w:rsidR="00F544A6" w:rsidRPr="00B13140" w:rsidRDefault="00F544A6" w:rsidP="00F544A6">
      <w:pPr>
        <w:pStyle w:val="Prrafodelista"/>
        <w:spacing w:line="360" w:lineRule="auto"/>
        <w:ind w:left="0"/>
        <w:jc w:val="both"/>
        <w:rPr>
          <w:rFonts w:ascii="Palatino Linotype" w:eastAsia="Calibri" w:hAnsi="Palatino Linotype" w:cs="Times New Roman"/>
          <w:b/>
          <w:i/>
          <w:lang w:val="es-ES"/>
        </w:rPr>
      </w:pPr>
    </w:p>
    <w:tbl>
      <w:tblPr>
        <w:tblW w:w="6798" w:type="dxa"/>
        <w:jc w:val="center"/>
        <w:tblCellSpacing w:w="0" w:type="dxa"/>
        <w:tblCellMar>
          <w:left w:w="0" w:type="dxa"/>
          <w:right w:w="0" w:type="dxa"/>
        </w:tblCellMar>
        <w:tblLook w:val="04A0" w:firstRow="1" w:lastRow="0" w:firstColumn="1" w:lastColumn="0" w:noHBand="0" w:noVBand="1"/>
      </w:tblPr>
      <w:tblGrid>
        <w:gridCol w:w="6798"/>
      </w:tblGrid>
      <w:tr w:rsidR="00A6567B" w:rsidRPr="00B13140" w14:paraId="492BB176" w14:textId="77777777" w:rsidTr="00A6567B">
        <w:trPr>
          <w:trHeight w:val="601"/>
          <w:tblCellSpacing w:w="0" w:type="dxa"/>
          <w:jc w:val="center"/>
        </w:trPr>
        <w:tc>
          <w:tcPr>
            <w:tcW w:w="0" w:type="auto"/>
            <w:vAlign w:val="center"/>
            <w:hideMark/>
          </w:tcPr>
          <w:p w14:paraId="492BB175" w14:textId="77777777" w:rsidR="00A6567B" w:rsidRPr="00B13140" w:rsidRDefault="00A6567B" w:rsidP="00A6567B">
            <w:pPr>
              <w:jc w:val="right"/>
              <w:rPr>
                <w:rFonts w:ascii="Palatino Linotype" w:eastAsia="Times New Roman" w:hAnsi="Palatino Linotype" w:cs="Times New Roman"/>
                <w:i/>
                <w:sz w:val="22"/>
                <w:lang w:val="es-MX" w:eastAsia="es-MX"/>
              </w:rPr>
            </w:pPr>
            <w:r w:rsidRPr="00B13140">
              <w:rPr>
                <w:rFonts w:ascii="Palatino Linotype" w:eastAsia="Times New Roman" w:hAnsi="Palatino Linotype" w:cs="Times New Roman"/>
                <w:i/>
                <w:sz w:val="22"/>
                <w:szCs w:val="18"/>
                <w:lang w:val="es-MX" w:eastAsia="es-MX"/>
              </w:rPr>
              <w:t>Metepec, México a 03 de Mayo de 2022</w:t>
            </w:r>
          </w:p>
        </w:tc>
      </w:tr>
      <w:tr w:rsidR="00A6567B" w:rsidRPr="00B13140" w14:paraId="492BB178" w14:textId="77777777" w:rsidTr="00A6567B">
        <w:trPr>
          <w:trHeight w:val="601"/>
          <w:tblCellSpacing w:w="0" w:type="dxa"/>
          <w:jc w:val="center"/>
        </w:trPr>
        <w:tc>
          <w:tcPr>
            <w:tcW w:w="0" w:type="auto"/>
            <w:vAlign w:val="center"/>
            <w:hideMark/>
          </w:tcPr>
          <w:p w14:paraId="492BB177" w14:textId="77777777" w:rsidR="00A6567B" w:rsidRPr="00B13140" w:rsidRDefault="00A6567B" w:rsidP="00A6567B">
            <w:pPr>
              <w:jc w:val="right"/>
              <w:rPr>
                <w:rFonts w:ascii="Palatino Linotype" w:eastAsia="Times New Roman" w:hAnsi="Palatino Linotype" w:cs="Times New Roman"/>
                <w:i/>
                <w:sz w:val="22"/>
                <w:lang w:val="es-MX" w:eastAsia="es-MX"/>
              </w:rPr>
            </w:pPr>
            <w:r w:rsidRPr="00B13140">
              <w:rPr>
                <w:rFonts w:ascii="Palatino Linotype" w:eastAsia="Times New Roman" w:hAnsi="Palatino Linotype" w:cs="Times New Roman"/>
                <w:i/>
                <w:sz w:val="22"/>
                <w:szCs w:val="18"/>
                <w:lang w:val="es-MX" w:eastAsia="es-MX"/>
              </w:rPr>
              <w:t>Nombre del solicitante: C. Solicitante</w:t>
            </w:r>
          </w:p>
        </w:tc>
      </w:tr>
      <w:tr w:rsidR="00A6567B" w:rsidRPr="00B13140" w14:paraId="492BB17A" w14:textId="77777777" w:rsidTr="00A6567B">
        <w:trPr>
          <w:trHeight w:val="601"/>
          <w:tblCellSpacing w:w="0" w:type="dxa"/>
          <w:jc w:val="center"/>
        </w:trPr>
        <w:tc>
          <w:tcPr>
            <w:tcW w:w="0" w:type="auto"/>
            <w:vAlign w:val="center"/>
            <w:hideMark/>
          </w:tcPr>
          <w:p w14:paraId="492BB179" w14:textId="77777777" w:rsidR="00A6567B" w:rsidRPr="00B13140" w:rsidRDefault="00A6567B" w:rsidP="00A6567B">
            <w:pPr>
              <w:jc w:val="right"/>
              <w:rPr>
                <w:rFonts w:ascii="Palatino Linotype" w:eastAsia="Times New Roman" w:hAnsi="Palatino Linotype" w:cs="Times New Roman"/>
                <w:i/>
                <w:sz w:val="22"/>
                <w:lang w:val="es-MX" w:eastAsia="es-MX"/>
              </w:rPr>
            </w:pPr>
            <w:r w:rsidRPr="00B13140">
              <w:rPr>
                <w:rFonts w:ascii="Palatino Linotype" w:eastAsia="Times New Roman" w:hAnsi="Palatino Linotype" w:cs="Times New Roman"/>
                <w:i/>
                <w:sz w:val="22"/>
                <w:szCs w:val="18"/>
                <w:lang w:val="es-MX" w:eastAsia="es-MX"/>
              </w:rPr>
              <w:t>Folio de la solicitud: 00137/SEDUO/IP/2022</w:t>
            </w:r>
          </w:p>
        </w:tc>
      </w:tr>
      <w:tr w:rsidR="00A6567B" w:rsidRPr="00B13140" w14:paraId="492BB17C" w14:textId="77777777" w:rsidTr="00A6567B">
        <w:trPr>
          <w:trHeight w:val="300"/>
          <w:tblCellSpacing w:w="0" w:type="dxa"/>
          <w:jc w:val="center"/>
        </w:trPr>
        <w:tc>
          <w:tcPr>
            <w:tcW w:w="0" w:type="auto"/>
            <w:vAlign w:val="center"/>
            <w:hideMark/>
          </w:tcPr>
          <w:p w14:paraId="492BB17B" w14:textId="77777777" w:rsidR="00A6567B" w:rsidRPr="00B13140" w:rsidRDefault="00A6567B" w:rsidP="00A6567B">
            <w:pPr>
              <w:rPr>
                <w:rFonts w:ascii="Palatino Linotype" w:eastAsia="Times New Roman" w:hAnsi="Palatino Linotype" w:cs="Times New Roman"/>
                <w:i/>
                <w:sz w:val="22"/>
                <w:lang w:val="es-MX" w:eastAsia="es-MX"/>
              </w:rPr>
            </w:pPr>
            <w:r w:rsidRPr="00B13140">
              <w:rPr>
                <w:rFonts w:ascii="Palatino Linotype" w:eastAsia="Times New Roman" w:hAnsi="Palatino Linotype" w:cs="Times New Roman"/>
                <w:i/>
                <w:sz w:val="22"/>
                <w:szCs w:val="18"/>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A6567B" w:rsidRPr="00B13140" w14:paraId="492BB17E" w14:textId="77777777" w:rsidTr="00A6567B">
        <w:trPr>
          <w:trHeight w:val="751"/>
          <w:tblCellSpacing w:w="0" w:type="dxa"/>
          <w:jc w:val="center"/>
        </w:trPr>
        <w:tc>
          <w:tcPr>
            <w:tcW w:w="0" w:type="auto"/>
            <w:vAlign w:val="center"/>
            <w:hideMark/>
          </w:tcPr>
          <w:p w14:paraId="492BB17D" w14:textId="77777777" w:rsidR="00A6567B" w:rsidRPr="00B13140" w:rsidRDefault="00A6567B" w:rsidP="00A6567B">
            <w:pPr>
              <w:rPr>
                <w:rFonts w:ascii="Palatino Linotype" w:eastAsia="Times New Roman" w:hAnsi="Palatino Linotype" w:cs="Times New Roman"/>
                <w:i/>
                <w:sz w:val="22"/>
                <w:lang w:val="es-MX" w:eastAsia="es-MX"/>
              </w:rPr>
            </w:pPr>
          </w:p>
        </w:tc>
      </w:tr>
      <w:tr w:rsidR="00A6567B" w:rsidRPr="00B13140" w14:paraId="492BB180" w14:textId="77777777" w:rsidTr="00A6567B">
        <w:trPr>
          <w:trHeight w:val="300"/>
          <w:tblCellSpacing w:w="0" w:type="dxa"/>
          <w:jc w:val="center"/>
        </w:trPr>
        <w:tc>
          <w:tcPr>
            <w:tcW w:w="0" w:type="auto"/>
            <w:vAlign w:val="center"/>
            <w:hideMark/>
          </w:tcPr>
          <w:p w14:paraId="492BB17F" w14:textId="77777777" w:rsidR="00A6567B" w:rsidRPr="00B13140" w:rsidRDefault="00A6567B" w:rsidP="00A6567B">
            <w:pPr>
              <w:rPr>
                <w:rFonts w:ascii="Palatino Linotype" w:eastAsia="Times New Roman" w:hAnsi="Palatino Linotype" w:cs="Times New Roman"/>
                <w:i/>
                <w:sz w:val="22"/>
                <w:lang w:val="es-MX" w:eastAsia="es-MX"/>
              </w:rPr>
            </w:pPr>
            <w:r w:rsidRPr="00B13140">
              <w:rPr>
                <w:rFonts w:ascii="Palatino Linotype" w:eastAsia="Times New Roman" w:hAnsi="Palatino Linotype" w:cs="Times New Roman"/>
                <w:i/>
                <w:sz w:val="22"/>
                <w:szCs w:val="18"/>
                <w:lang w:val="es-MX" w:eastAsia="es-MX"/>
              </w:rPr>
              <w:lastRenderedPageBreak/>
              <w:t>Sobre el particular, sírvase encontrar en archivo adjunto copia del oficio número SEDUO-CI-0548/2022, de fecha 03 de mayo de 2022, mediante el cual se detalla lo referente a su solicitud.</w:t>
            </w:r>
          </w:p>
        </w:tc>
      </w:tr>
      <w:tr w:rsidR="00A6567B" w:rsidRPr="00B13140" w14:paraId="492BB182" w14:textId="77777777" w:rsidTr="00A6567B">
        <w:trPr>
          <w:trHeight w:val="91"/>
          <w:tblCellSpacing w:w="0" w:type="dxa"/>
          <w:jc w:val="center"/>
        </w:trPr>
        <w:tc>
          <w:tcPr>
            <w:tcW w:w="0" w:type="auto"/>
            <w:vAlign w:val="center"/>
            <w:hideMark/>
          </w:tcPr>
          <w:p w14:paraId="492BB181" w14:textId="77777777" w:rsidR="00A6567B" w:rsidRPr="00B13140" w:rsidRDefault="00A6567B" w:rsidP="00A6567B">
            <w:pPr>
              <w:jc w:val="center"/>
              <w:rPr>
                <w:rFonts w:ascii="Palatino Linotype" w:eastAsia="Times New Roman" w:hAnsi="Palatino Linotype" w:cs="Times New Roman"/>
                <w:i/>
                <w:sz w:val="22"/>
                <w:szCs w:val="20"/>
                <w:lang w:val="es-MX" w:eastAsia="es-MX"/>
              </w:rPr>
            </w:pPr>
          </w:p>
        </w:tc>
      </w:tr>
      <w:tr w:rsidR="00A6567B" w:rsidRPr="00B13140" w14:paraId="492BB184" w14:textId="77777777" w:rsidTr="00A6567B">
        <w:trPr>
          <w:trHeight w:val="300"/>
          <w:tblCellSpacing w:w="0" w:type="dxa"/>
          <w:jc w:val="center"/>
        </w:trPr>
        <w:tc>
          <w:tcPr>
            <w:tcW w:w="0" w:type="auto"/>
            <w:vAlign w:val="center"/>
            <w:hideMark/>
          </w:tcPr>
          <w:p w14:paraId="492BB183" w14:textId="77777777" w:rsidR="00A6567B" w:rsidRPr="00B13140" w:rsidRDefault="00A6567B" w:rsidP="00A6567B">
            <w:pPr>
              <w:rPr>
                <w:rFonts w:ascii="Palatino Linotype" w:eastAsia="Times New Roman" w:hAnsi="Palatino Linotype" w:cs="Times New Roman"/>
                <w:i/>
                <w:sz w:val="22"/>
                <w:szCs w:val="20"/>
                <w:lang w:val="es-MX" w:eastAsia="es-MX"/>
              </w:rPr>
            </w:pPr>
          </w:p>
        </w:tc>
      </w:tr>
      <w:tr w:rsidR="00A6567B" w:rsidRPr="00B13140" w14:paraId="492BB186" w14:textId="77777777" w:rsidTr="00A6567B">
        <w:trPr>
          <w:trHeight w:val="300"/>
          <w:tblCellSpacing w:w="0" w:type="dxa"/>
          <w:jc w:val="center"/>
        </w:trPr>
        <w:tc>
          <w:tcPr>
            <w:tcW w:w="0" w:type="auto"/>
            <w:vAlign w:val="center"/>
            <w:hideMark/>
          </w:tcPr>
          <w:p w14:paraId="492BB185" w14:textId="77777777" w:rsidR="00A6567B" w:rsidRPr="00B13140" w:rsidRDefault="00A6567B" w:rsidP="00A6567B">
            <w:pPr>
              <w:rPr>
                <w:rFonts w:ascii="Palatino Linotype" w:eastAsia="Times New Roman" w:hAnsi="Palatino Linotype" w:cs="Times New Roman"/>
                <w:i/>
                <w:sz w:val="22"/>
                <w:lang w:val="es-MX" w:eastAsia="es-MX"/>
              </w:rPr>
            </w:pPr>
            <w:r w:rsidRPr="00B13140">
              <w:rPr>
                <w:rFonts w:ascii="Palatino Linotype" w:eastAsia="Times New Roman" w:hAnsi="Palatino Linotype" w:cs="Times New Roman"/>
                <w:i/>
                <w:sz w:val="22"/>
                <w:szCs w:val="18"/>
                <w:lang w:val="es-MX" w:eastAsia="es-MX"/>
              </w:rPr>
              <w:t>ATENTAMENTE</w:t>
            </w:r>
          </w:p>
        </w:tc>
      </w:tr>
      <w:tr w:rsidR="00A6567B" w:rsidRPr="00B13140" w14:paraId="492BB188" w14:textId="77777777" w:rsidTr="00A6567B">
        <w:trPr>
          <w:trHeight w:val="450"/>
          <w:tblCellSpacing w:w="0" w:type="dxa"/>
          <w:jc w:val="center"/>
        </w:trPr>
        <w:tc>
          <w:tcPr>
            <w:tcW w:w="0" w:type="auto"/>
            <w:vAlign w:val="center"/>
            <w:hideMark/>
          </w:tcPr>
          <w:p w14:paraId="492BB187" w14:textId="77777777" w:rsidR="00A6567B" w:rsidRPr="00B13140" w:rsidRDefault="00A6567B" w:rsidP="00A6567B">
            <w:pPr>
              <w:rPr>
                <w:rFonts w:ascii="Palatino Linotype" w:eastAsia="Times New Roman" w:hAnsi="Palatino Linotype" w:cs="Times New Roman"/>
                <w:i/>
                <w:sz w:val="22"/>
                <w:lang w:val="es-MX" w:eastAsia="es-MX"/>
              </w:rPr>
            </w:pPr>
          </w:p>
        </w:tc>
      </w:tr>
      <w:tr w:rsidR="00A6567B" w:rsidRPr="00B13140" w14:paraId="492BB18A" w14:textId="77777777" w:rsidTr="00A6567B">
        <w:trPr>
          <w:trHeight w:val="300"/>
          <w:tblCellSpacing w:w="0" w:type="dxa"/>
          <w:jc w:val="center"/>
        </w:trPr>
        <w:tc>
          <w:tcPr>
            <w:tcW w:w="0" w:type="auto"/>
            <w:vAlign w:val="center"/>
            <w:hideMark/>
          </w:tcPr>
          <w:p w14:paraId="492BB189" w14:textId="77777777" w:rsidR="00A6567B" w:rsidRPr="00B13140" w:rsidRDefault="00A6567B" w:rsidP="00A6567B">
            <w:pPr>
              <w:rPr>
                <w:rFonts w:ascii="Palatino Linotype" w:eastAsia="Times New Roman" w:hAnsi="Palatino Linotype" w:cs="Times New Roman"/>
                <w:i/>
                <w:sz w:val="22"/>
                <w:lang w:val="es-MX" w:eastAsia="es-MX"/>
              </w:rPr>
            </w:pPr>
            <w:r w:rsidRPr="00B13140">
              <w:rPr>
                <w:rFonts w:ascii="Palatino Linotype" w:eastAsia="Times New Roman" w:hAnsi="Palatino Linotype" w:cs="Times New Roman"/>
                <w:i/>
                <w:sz w:val="22"/>
                <w:szCs w:val="18"/>
                <w:lang w:val="es-MX" w:eastAsia="es-MX"/>
              </w:rPr>
              <w:t xml:space="preserve">Lcda. </w:t>
            </w:r>
            <w:proofErr w:type="spellStart"/>
            <w:r w:rsidRPr="00B13140">
              <w:rPr>
                <w:rFonts w:ascii="Palatino Linotype" w:eastAsia="Times New Roman" w:hAnsi="Palatino Linotype" w:cs="Times New Roman"/>
                <w:i/>
                <w:sz w:val="22"/>
                <w:szCs w:val="18"/>
                <w:lang w:val="es-MX" w:eastAsia="es-MX"/>
              </w:rPr>
              <w:t>Nandllely</w:t>
            </w:r>
            <w:proofErr w:type="spellEnd"/>
            <w:r w:rsidRPr="00B13140">
              <w:rPr>
                <w:rFonts w:ascii="Palatino Linotype" w:eastAsia="Times New Roman" w:hAnsi="Palatino Linotype" w:cs="Times New Roman"/>
                <w:i/>
                <w:sz w:val="22"/>
                <w:szCs w:val="18"/>
                <w:lang w:val="es-MX" w:eastAsia="es-MX"/>
              </w:rPr>
              <w:t xml:space="preserve"> Karen Torres </w:t>
            </w:r>
            <w:proofErr w:type="spellStart"/>
            <w:r w:rsidRPr="00B13140">
              <w:rPr>
                <w:rFonts w:ascii="Palatino Linotype" w:eastAsia="Times New Roman" w:hAnsi="Palatino Linotype" w:cs="Times New Roman"/>
                <w:i/>
                <w:sz w:val="22"/>
                <w:szCs w:val="18"/>
                <w:lang w:val="es-MX" w:eastAsia="es-MX"/>
              </w:rPr>
              <w:t>Torres</w:t>
            </w:r>
            <w:proofErr w:type="spellEnd"/>
          </w:p>
        </w:tc>
      </w:tr>
    </w:tbl>
    <w:p w14:paraId="492BB18B" w14:textId="77777777" w:rsidR="005B7B01" w:rsidRPr="00B13140" w:rsidRDefault="005B7B01" w:rsidP="00F544A6">
      <w:pPr>
        <w:pStyle w:val="Prrafodelista"/>
        <w:spacing w:line="360" w:lineRule="auto"/>
        <w:ind w:left="0"/>
        <w:jc w:val="both"/>
        <w:rPr>
          <w:rFonts w:ascii="Palatino Linotype" w:eastAsia="Calibri" w:hAnsi="Palatino Linotype" w:cs="Times New Roman"/>
          <w:b/>
          <w:i/>
          <w:lang w:val="es-ES"/>
        </w:rPr>
      </w:pPr>
    </w:p>
    <w:p w14:paraId="492BB18C" w14:textId="77777777" w:rsidR="004860AB" w:rsidRPr="00B13140" w:rsidRDefault="00F12093" w:rsidP="00A6567B">
      <w:pPr>
        <w:pStyle w:val="Prrafodelista"/>
        <w:numPr>
          <w:ilvl w:val="0"/>
          <w:numId w:val="5"/>
        </w:numPr>
        <w:spacing w:line="360" w:lineRule="auto"/>
        <w:ind w:right="567"/>
        <w:jc w:val="both"/>
        <w:rPr>
          <w:rFonts w:ascii="Palatino Linotype" w:eastAsia="Times New Roman" w:hAnsi="Palatino Linotype" w:cs="Arial"/>
          <w:b/>
          <w:bCs/>
          <w:i/>
          <w:lang w:val="es-ES"/>
        </w:rPr>
      </w:pPr>
      <w:r w:rsidRPr="00B13140">
        <w:rPr>
          <w:rFonts w:ascii="Palatino Linotype" w:eastAsia="Times New Roman" w:hAnsi="Palatino Linotype" w:cs="Arial"/>
          <w:bCs/>
          <w:lang w:val="es-ES"/>
        </w:rPr>
        <w:t xml:space="preserve">A la respuesta se </w:t>
      </w:r>
      <w:r w:rsidR="00D77281" w:rsidRPr="00B13140">
        <w:rPr>
          <w:rFonts w:ascii="Palatino Linotype" w:eastAsia="Times New Roman" w:hAnsi="Palatino Linotype" w:cs="Arial"/>
          <w:bCs/>
          <w:lang w:val="es-ES"/>
        </w:rPr>
        <w:t xml:space="preserve">adjuntó el documento </w:t>
      </w:r>
      <w:hyperlink r:id="rId7" w:tgtFrame="_blank" w:history="1">
        <w:r w:rsidR="00A6567B" w:rsidRPr="00B13140">
          <w:rPr>
            <w:rStyle w:val="Hipervnculo"/>
            <w:rFonts w:ascii="Palatino Linotype" w:hAnsi="Palatino Linotype" w:cs="Arial"/>
            <w:b/>
            <w:bCs/>
            <w:color w:val="auto"/>
            <w:sz w:val="22"/>
            <w:szCs w:val="22"/>
          </w:rPr>
          <w:t>UT SOL 137-22.pdf</w:t>
        </w:r>
      </w:hyperlink>
      <w:r w:rsidR="00C803BA" w:rsidRPr="00B13140">
        <w:rPr>
          <w:rFonts w:ascii="Palatino Linotype" w:eastAsia="Times New Roman" w:hAnsi="Palatino Linotype" w:cs="Arial"/>
          <w:b/>
          <w:bCs/>
          <w:sz w:val="22"/>
          <w:szCs w:val="22"/>
          <w:lang w:val="es-ES"/>
        </w:rPr>
        <w:t>:</w:t>
      </w:r>
      <w:r w:rsidR="00D77281" w:rsidRPr="00B13140">
        <w:rPr>
          <w:rFonts w:ascii="Palatino Linotype" w:eastAsia="Times New Roman" w:hAnsi="Palatino Linotype" w:cs="Arial"/>
          <w:b/>
          <w:bCs/>
          <w:sz w:val="22"/>
          <w:szCs w:val="22"/>
          <w:lang w:val="es-ES"/>
        </w:rPr>
        <w:t xml:space="preserve"> </w:t>
      </w:r>
      <w:r w:rsidR="00A6567B" w:rsidRPr="00B13140">
        <w:rPr>
          <w:rFonts w:ascii="Palatino Linotype" w:eastAsia="Times New Roman" w:hAnsi="Palatino Linotype" w:cs="Arial"/>
          <w:bCs/>
          <w:sz w:val="22"/>
          <w:szCs w:val="22"/>
          <w:lang w:val="es-ES"/>
        </w:rPr>
        <w:t>oficio SEDUO-CI-0548/2022 de fecha tres de mayo de dos mil veintidós, suscrito por el Titular de la Unidad de Transparencia mediante el cual se señaló de forma medula “…</w:t>
      </w:r>
      <w:r w:rsidR="00A6567B" w:rsidRPr="00B13140">
        <w:rPr>
          <w:rFonts w:ascii="Palatino Linotype" w:eastAsia="Times New Roman" w:hAnsi="Palatino Linotype" w:cs="Arial"/>
          <w:bCs/>
          <w:i/>
          <w:sz w:val="22"/>
          <w:lang w:val="es-ES"/>
        </w:rPr>
        <w:t>Es importante referir que las facultades y funciones de esta Dirección General de Operación y Control Urbano se encuentran previstas en los artículos 10 y 11 del Reglamento interior de la Secretaria de Desarrollo Urbano y Metropolitano.</w:t>
      </w:r>
      <w:r w:rsidR="004860AB" w:rsidRPr="00B13140">
        <w:rPr>
          <w:rFonts w:ascii="Palatino Linotype" w:eastAsia="Times New Roman" w:hAnsi="Palatino Linotype" w:cs="Arial"/>
          <w:bCs/>
          <w:i/>
          <w:sz w:val="22"/>
          <w:lang w:val="es-ES"/>
        </w:rPr>
        <w:t xml:space="preserve"> Respecto del punto “..</w:t>
      </w:r>
      <w:r w:rsidR="00A6567B" w:rsidRPr="00B13140">
        <w:rPr>
          <w:rFonts w:ascii="Palatino Linotype" w:eastAsia="Times New Roman" w:hAnsi="Palatino Linotype" w:cs="Arial"/>
          <w:bCs/>
          <w:i/>
          <w:sz w:val="22"/>
          <w:lang w:val="es-ES"/>
        </w:rPr>
        <w:t xml:space="preserve">.I. Se me indique o </w:t>
      </w:r>
      <w:proofErr w:type="spellStart"/>
      <w:r w:rsidR="00A6567B" w:rsidRPr="00B13140">
        <w:rPr>
          <w:rFonts w:ascii="Palatino Linotype" w:eastAsia="Times New Roman" w:hAnsi="Palatino Linotype" w:cs="Arial"/>
          <w:bCs/>
          <w:i/>
          <w:sz w:val="22"/>
          <w:lang w:val="es-ES"/>
        </w:rPr>
        <w:t>proporcion</w:t>
      </w:r>
      <w:proofErr w:type="spellEnd"/>
      <w:r w:rsidR="00A6567B" w:rsidRPr="00B13140">
        <w:rPr>
          <w:rFonts w:ascii="Palatino Linotype" w:eastAsia="Times New Roman" w:hAnsi="Palatino Linotype" w:cs="Arial"/>
          <w:bCs/>
          <w:i/>
          <w:sz w:val="22"/>
          <w:lang w:val="es-ES"/>
        </w:rPr>
        <w:t xml:space="preserve"> infor</w:t>
      </w:r>
      <w:r w:rsidR="004860AB" w:rsidRPr="00B13140">
        <w:rPr>
          <w:rFonts w:ascii="Palatino Linotype" w:eastAsia="Times New Roman" w:hAnsi="Palatino Linotype" w:cs="Arial"/>
          <w:bCs/>
          <w:i/>
          <w:sz w:val="22"/>
          <w:lang w:val="es-ES"/>
        </w:rPr>
        <w:t xml:space="preserve">mación relacionada a cuáles son </w:t>
      </w:r>
      <w:r w:rsidR="00A6567B" w:rsidRPr="00B13140">
        <w:rPr>
          <w:rFonts w:ascii="Palatino Linotype" w:eastAsia="Times New Roman" w:hAnsi="Palatino Linotype" w:cs="Arial"/>
          <w:bCs/>
          <w:i/>
          <w:sz w:val="22"/>
          <w:lang w:val="es-ES"/>
        </w:rPr>
        <w:t>los servicios públicos necesarios para su ocupación y contri</w:t>
      </w:r>
      <w:r w:rsidR="004860AB" w:rsidRPr="00B13140">
        <w:rPr>
          <w:rFonts w:ascii="Palatino Linotype" w:eastAsia="Times New Roman" w:hAnsi="Palatino Linotype" w:cs="Arial"/>
          <w:bCs/>
          <w:i/>
          <w:sz w:val="22"/>
          <w:lang w:val="es-ES"/>
        </w:rPr>
        <w:t xml:space="preserve">buyan al mejoramiento del orden </w:t>
      </w:r>
      <w:r w:rsidR="00A6567B" w:rsidRPr="00B13140">
        <w:rPr>
          <w:rFonts w:ascii="Palatino Linotype" w:eastAsia="Times New Roman" w:hAnsi="Palatino Linotype" w:cs="Arial"/>
          <w:bCs/>
          <w:i/>
          <w:sz w:val="22"/>
          <w:lang w:val="es-ES"/>
        </w:rPr>
        <w:t xml:space="preserve">urbano y de la imagen urbana para la autorización de un </w:t>
      </w:r>
      <w:r w:rsidR="004860AB" w:rsidRPr="00B13140">
        <w:rPr>
          <w:rFonts w:ascii="Palatino Linotype" w:eastAsia="Times New Roman" w:hAnsi="Palatino Linotype" w:cs="Arial"/>
          <w:bCs/>
          <w:i/>
          <w:sz w:val="22"/>
          <w:lang w:val="es-ES"/>
        </w:rPr>
        <w:t xml:space="preserve">Conjunto Urbano en el Estado de </w:t>
      </w:r>
      <w:r w:rsidR="00A6567B" w:rsidRPr="00B13140">
        <w:rPr>
          <w:rFonts w:ascii="Palatino Linotype" w:eastAsia="Times New Roman" w:hAnsi="Palatino Linotype" w:cs="Arial"/>
          <w:bCs/>
          <w:i/>
          <w:sz w:val="22"/>
          <w:lang w:val="es-ES"/>
        </w:rPr>
        <w:t>México…</w:t>
      </w:r>
      <w:r w:rsidR="004860AB" w:rsidRPr="00B13140">
        <w:rPr>
          <w:rFonts w:ascii="Palatino Linotype" w:eastAsia="Times New Roman" w:hAnsi="Palatino Linotype" w:cs="Arial"/>
          <w:bCs/>
          <w:i/>
          <w:sz w:val="22"/>
          <w:lang w:val="es-ES"/>
        </w:rPr>
        <w:t xml:space="preserve">” </w:t>
      </w:r>
      <w:r w:rsidR="00A6567B" w:rsidRPr="00B13140">
        <w:rPr>
          <w:rFonts w:ascii="Palatino Linotype" w:eastAsia="Times New Roman" w:hAnsi="Palatino Linotype" w:cs="Arial"/>
          <w:bCs/>
          <w:i/>
          <w:sz w:val="22"/>
          <w:lang w:val="es-ES"/>
        </w:rPr>
        <w:t xml:space="preserve">Le informo que con base en el </w:t>
      </w:r>
      <w:proofErr w:type="spellStart"/>
      <w:r w:rsidR="00A6567B" w:rsidRPr="00B13140">
        <w:rPr>
          <w:rFonts w:ascii="Palatino Linotype" w:eastAsia="Times New Roman" w:hAnsi="Palatino Linotype" w:cs="Arial"/>
          <w:bCs/>
          <w:i/>
          <w:sz w:val="22"/>
          <w:lang w:val="es-ES"/>
        </w:rPr>
        <w:t>articulo</w:t>
      </w:r>
      <w:proofErr w:type="spellEnd"/>
      <w:r w:rsidR="00A6567B" w:rsidRPr="00B13140">
        <w:rPr>
          <w:rFonts w:ascii="Palatino Linotype" w:eastAsia="Times New Roman" w:hAnsi="Palatino Linotype" w:cs="Arial"/>
          <w:bCs/>
          <w:i/>
          <w:sz w:val="22"/>
          <w:lang w:val="es-ES"/>
        </w:rPr>
        <w:t xml:space="preserve"> 55 fracción VI inciso </w:t>
      </w:r>
      <w:r w:rsidR="004860AB" w:rsidRPr="00B13140">
        <w:rPr>
          <w:rFonts w:ascii="Palatino Linotype" w:eastAsia="Times New Roman" w:hAnsi="Palatino Linotype" w:cs="Arial"/>
          <w:bCs/>
          <w:i/>
          <w:sz w:val="22"/>
          <w:lang w:val="es-ES"/>
        </w:rPr>
        <w:t xml:space="preserve">H), del Reglamento del Libro Quinto </w:t>
      </w:r>
      <w:r w:rsidR="00A6567B" w:rsidRPr="00B13140">
        <w:rPr>
          <w:rFonts w:ascii="Palatino Linotype" w:eastAsia="Times New Roman" w:hAnsi="Palatino Linotype" w:cs="Arial"/>
          <w:bCs/>
          <w:i/>
          <w:sz w:val="22"/>
          <w:lang w:val="es-ES"/>
        </w:rPr>
        <w:t xml:space="preserve">del Código Administrativo del Estado de México, el titular de la </w:t>
      </w:r>
      <w:r w:rsidR="004860AB" w:rsidRPr="00B13140">
        <w:rPr>
          <w:rFonts w:ascii="Palatino Linotype" w:eastAsia="Times New Roman" w:hAnsi="Palatino Linotype" w:cs="Arial"/>
          <w:bCs/>
          <w:i/>
          <w:sz w:val="22"/>
          <w:lang w:val="es-ES"/>
        </w:rPr>
        <w:t xml:space="preserve">autorización deberá de mantener </w:t>
      </w:r>
      <w:r w:rsidR="00A6567B" w:rsidRPr="00B13140">
        <w:rPr>
          <w:rFonts w:ascii="Palatino Linotype" w:eastAsia="Times New Roman" w:hAnsi="Palatino Linotype" w:cs="Arial"/>
          <w:bCs/>
          <w:i/>
          <w:sz w:val="22"/>
          <w:lang w:val="es-ES"/>
        </w:rPr>
        <w:t xml:space="preserve">y conservar las obras de urbanización, equipamiento e infraestructura primaria, </w:t>
      </w:r>
      <w:proofErr w:type="spellStart"/>
      <w:r w:rsidR="00A6567B" w:rsidRPr="00B13140">
        <w:rPr>
          <w:rFonts w:ascii="Palatino Linotype" w:eastAsia="Times New Roman" w:hAnsi="Palatino Linotype" w:cs="Arial"/>
          <w:bCs/>
          <w:i/>
          <w:sz w:val="22"/>
          <w:lang w:val="es-ES"/>
        </w:rPr>
        <w:t>asi</w:t>
      </w:r>
      <w:proofErr w:type="spellEnd"/>
      <w:r w:rsidR="00A6567B" w:rsidRPr="00B13140">
        <w:rPr>
          <w:rFonts w:ascii="Palatino Linotype" w:eastAsia="Times New Roman" w:hAnsi="Palatino Linotype" w:cs="Arial"/>
          <w:bCs/>
          <w:i/>
          <w:sz w:val="22"/>
          <w:lang w:val="es-ES"/>
        </w:rPr>
        <w:t xml:space="preserve"> como</w:t>
      </w:r>
      <w:r w:rsidR="004860AB" w:rsidRPr="00B13140">
        <w:rPr>
          <w:rFonts w:ascii="Palatino Linotype" w:eastAsia="Times New Roman" w:hAnsi="Palatino Linotype" w:cs="Arial"/>
          <w:bCs/>
          <w:i/>
          <w:sz w:val="22"/>
          <w:lang w:val="es-ES"/>
        </w:rPr>
        <w:t xml:space="preserve"> </w:t>
      </w:r>
      <w:r w:rsidR="00A6567B" w:rsidRPr="00B13140">
        <w:rPr>
          <w:rFonts w:ascii="Palatino Linotype" w:eastAsia="Times New Roman" w:hAnsi="Palatino Linotype" w:cs="Arial"/>
          <w:bCs/>
          <w:i/>
          <w:sz w:val="22"/>
          <w:lang w:val="es-ES"/>
        </w:rPr>
        <w:t>prestar gratuitamente los servicios públicos de agua potable, drenaje, alumbrado público,</w:t>
      </w:r>
      <w:r w:rsidR="004860AB" w:rsidRPr="00B13140">
        <w:rPr>
          <w:rFonts w:ascii="Palatino Linotype" w:eastAsia="Times New Roman" w:hAnsi="Palatino Linotype" w:cs="Arial"/>
          <w:bCs/>
          <w:i/>
          <w:sz w:val="22"/>
          <w:lang w:val="es-ES"/>
        </w:rPr>
        <w:t xml:space="preserve"> </w:t>
      </w:r>
      <w:r w:rsidR="00A6567B" w:rsidRPr="00B13140">
        <w:rPr>
          <w:rFonts w:ascii="Palatino Linotype" w:eastAsia="Times New Roman" w:hAnsi="Palatino Linotype" w:cs="Arial"/>
          <w:bCs/>
          <w:i/>
          <w:sz w:val="22"/>
          <w:lang w:val="es-ES"/>
        </w:rPr>
        <w:t>vigilancia y recolección de basura del Conjunto Urbano,</w:t>
      </w:r>
      <w:r w:rsidR="004860AB" w:rsidRPr="00B13140">
        <w:rPr>
          <w:rFonts w:ascii="Palatino Linotype" w:eastAsia="Times New Roman" w:hAnsi="Palatino Linotype" w:cs="Arial"/>
          <w:bCs/>
          <w:i/>
          <w:sz w:val="22"/>
          <w:lang w:val="es-ES"/>
        </w:rPr>
        <w:t xml:space="preserve"> hasta la entrega de estas a la </w:t>
      </w:r>
      <w:r w:rsidR="00A6567B" w:rsidRPr="00B13140">
        <w:rPr>
          <w:rFonts w:ascii="Palatino Linotype" w:eastAsia="Times New Roman" w:hAnsi="Palatino Linotype" w:cs="Arial"/>
          <w:bCs/>
          <w:i/>
          <w:sz w:val="22"/>
          <w:lang w:val="es-ES"/>
        </w:rPr>
        <w:t>autoridad municipal.</w:t>
      </w:r>
      <w:r w:rsidR="004860AB" w:rsidRPr="00B13140">
        <w:rPr>
          <w:rFonts w:ascii="Palatino Linotype" w:eastAsia="Times New Roman" w:hAnsi="Palatino Linotype" w:cs="Arial"/>
          <w:bCs/>
          <w:i/>
          <w:sz w:val="22"/>
          <w:lang w:val="es-ES"/>
        </w:rPr>
        <w:t xml:space="preserve"> </w:t>
      </w:r>
    </w:p>
    <w:p w14:paraId="492BB18D" w14:textId="77777777" w:rsidR="00E54F8A" w:rsidRPr="00B13140" w:rsidRDefault="00A6567B" w:rsidP="00E54F8A">
      <w:pPr>
        <w:pStyle w:val="Prrafodelista"/>
        <w:spacing w:line="360" w:lineRule="auto"/>
        <w:ind w:right="567"/>
        <w:jc w:val="both"/>
        <w:rPr>
          <w:rFonts w:ascii="Palatino Linotype" w:eastAsia="Times New Roman" w:hAnsi="Palatino Linotype" w:cs="Arial"/>
          <w:bCs/>
          <w:i/>
          <w:sz w:val="22"/>
          <w:lang w:val="es-ES"/>
        </w:rPr>
      </w:pPr>
      <w:r w:rsidRPr="00B13140">
        <w:rPr>
          <w:rFonts w:ascii="Palatino Linotype" w:eastAsia="Times New Roman" w:hAnsi="Palatino Linotype" w:cs="Arial"/>
          <w:bCs/>
          <w:i/>
          <w:sz w:val="22"/>
          <w:lang w:val="es-ES"/>
        </w:rPr>
        <w:t>Es decir que para que los lotes de los conjuntos urbanos pue</w:t>
      </w:r>
      <w:r w:rsidR="004860AB" w:rsidRPr="00B13140">
        <w:rPr>
          <w:rFonts w:ascii="Palatino Linotype" w:eastAsia="Times New Roman" w:hAnsi="Palatino Linotype" w:cs="Arial"/>
          <w:bCs/>
          <w:i/>
          <w:sz w:val="22"/>
          <w:lang w:val="es-ES"/>
        </w:rPr>
        <w:t xml:space="preserve">dan ser ocupados, deberán estar </w:t>
      </w:r>
      <w:r w:rsidRPr="00B13140">
        <w:rPr>
          <w:rFonts w:ascii="Palatino Linotype" w:eastAsia="Times New Roman" w:hAnsi="Palatino Linotype" w:cs="Arial"/>
          <w:bCs/>
          <w:i/>
          <w:sz w:val="22"/>
          <w:lang w:val="es-ES"/>
        </w:rPr>
        <w:t xml:space="preserve">dotados de obras terminadas de urbanización y equipamiento, </w:t>
      </w:r>
      <w:r w:rsidR="004860AB" w:rsidRPr="00B13140">
        <w:rPr>
          <w:rFonts w:ascii="Palatino Linotype" w:eastAsia="Times New Roman" w:hAnsi="Palatino Linotype" w:cs="Arial"/>
          <w:bCs/>
          <w:i/>
          <w:sz w:val="22"/>
          <w:lang w:val="es-ES"/>
        </w:rPr>
        <w:t xml:space="preserve">excepto tratándose de lotes del </w:t>
      </w:r>
      <w:r w:rsidRPr="00B13140">
        <w:rPr>
          <w:rFonts w:ascii="Palatino Linotype" w:eastAsia="Times New Roman" w:hAnsi="Palatino Linotype" w:cs="Arial"/>
          <w:bCs/>
          <w:i/>
          <w:sz w:val="22"/>
          <w:lang w:val="es-ES"/>
        </w:rPr>
        <w:t>conjunto urbano habitacional progresivo que podrán ser o</w:t>
      </w:r>
      <w:r w:rsidR="004860AB" w:rsidRPr="00B13140">
        <w:rPr>
          <w:rFonts w:ascii="Palatino Linotype" w:eastAsia="Times New Roman" w:hAnsi="Palatino Linotype" w:cs="Arial"/>
          <w:bCs/>
          <w:i/>
          <w:sz w:val="22"/>
          <w:lang w:val="es-ES"/>
        </w:rPr>
        <w:t xml:space="preserve">cupados cuando estén terminadas </w:t>
      </w:r>
      <w:r w:rsidRPr="00B13140">
        <w:rPr>
          <w:rFonts w:ascii="Palatino Linotype" w:eastAsia="Times New Roman" w:hAnsi="Palatino Linotype" w:cs="Arial"/>
          <w:bCs/>
          <w:i/>
          <w:sz w:val="22"/>
          <w:lang w:val="es-ES"/>
        </w:rPr>
        <w:t xml:space="preserve">las obras de urbanización, ello de conformidad con el </w:t>
      </w:r>
      <w:proofErr w:type="spellStart"/>
      <w:r w:rsidRPr="00B13140">
        <w:rPr>
          <w:rFonts w:ascii="Palatino Linotype" w:eastAsia="Times New Roman" w:hAnsi="Palatino Linotype" w:cs="Arial"/>
          <w:bCs/>
          <w:i/>
          <w:sz w:val="22"/>
          <w:lang w:val="es-ES"/>
        </w:rPr>
        <w:t>articulo</w:t>
      </w:r>
      <w:proofErr w:type="spellEnd"/>
      <w:r w:rsidRPr="00B13140">
        <w:rPr>
          <w:rFonts w:ascii="Palatino Linotype" w:eastAsia="Times New Roman" w:hAnsi="Palatino Linotype" w:cs="Arial"/>
          <w:bCs/>
          <w:i/>
          <w:sz w:val="22"/>
          <w:lang w:val="es-ES"/>
        </w:rPr>
        <w:t xml:space="preserve"> 48 </w:t>
      </w:r>
      <w:r w:rsidR="004860AB" w:rsidRPr="00B13140">
        <w:rPr>
          <w:rFonts w:ascii="Palatino Linotype" w:eastAsia="Times New Roman" w:hAnsi="Palatino Linotype" w:cs="Arial"/>
          <w:bCs/>
          <w:i/>
          <w:sz w:val="22"/>
          <w:lang w:val="es-ES"/>
        </w:rPr>
        <w:t xml:space="preserve">fracción III del Reglamento del </w:t>
      </w:r>
      <w:r w:rsidRPr="00B13140">
        <w:rPr>
          <w:rFonts w:ascii="Palatino Linotype" w:eastAsia="Times New Roman" w:hAnsi="Palatino Linotype" w:cs="Arial"/>
          <w:bCs/>
          <w:i/>
          <w:sz w:val="22"/>
          <w:lang w:val="es-ES"/>
        </w:rPr>
        <w:t xml:space="preserve">Libro Quinto del Código Administrativo del Estado de </w:t>
      </w:r>
      <w:r w:rsidRPr="00B13140">
        <w:rPr>
          <w:rFonts w:ascii="Palatino Linotype" w:eastAsia="Times New Roman" w:hAnsi="Palatino Linotype" w:cs="Arial"/>
          <w:bCs/>
          <w:i/>
          <w:sz w:val="22"/>
          <w:lang w:val="es-ES"/>
        </w:rPr>
        <w:lastRenderedPageBreak/>
        <w:t>México, pu</w:t>
      </w:r>
      <w:r w:rsidR="004860AB" w:rsidRPr="00B13140">
        <w:rPr>
          <w:rFonts w:ascii="Palatino Linotype" w:eastAsia="Times New Roman" w:hAnsi="Palatino Linotype" w:cs="Arial"/>
          <w:bCs/>
          <w:i/>
          <w:sz w:val="22"/>
          <w:lang w:val="es-ES"/>
        </w:rPr>
        <w:t xml:space="preserve">blicado en el Periódico Oficial </w:t>
      </w:r>
      <w:r w:rsidRPr="00B13140">
        <w:rPr>
          <w:rFonts w:ascii="Palatino Linotype" w:eastAsia="Times New Roman" w:hAnsi="Palatino Linotype" w:cs="Arial"/>
          <w:bCs/>
          <w:i/>
          <w:sz w:val="22"/>
          <w:lang w:val="es-ES"/>
        </w:rPr>
        <w:t>"Gaceta del Gobierno" del Estado de México en fecha 01 de septiembre de 2020.</w:t>
      </w:r>
      <w:r w:rsidR="00E54F8A" w:rsidRPr="00B13140">
        <w:rPr>
          <w:rFonts w:ascii="Palatino Linotype" w:eastAsia="Times New Roman" w:hAnsi="Palatino Linotype" w:cs="Arial"/>
          <w:bCs/>
          <w:i/>
          <w:sz w:val="22"/>
          <w:lang w:val="es-ES"/>
        </w:rPr>
        <w:t xml:space="preserve"> </w:t>
      </w:r>
    </w:p>
    <w:p w14:paraId="492BB18E" w14:textId="77777777" w:rsidR="00E54F8A" w:rsidRPr="00B13140" w:rsidRDefault="00A6567B" w:rsidP="00E54F8A">
      <w:pPr>
        <w:pStyle w:val="Prrafodelista"/>
        <w:spacing w:line="360" w:lineRule="auto"/>
        <w:ind w:right="567"/>
        <w:jc w:val="both"/>
        <w:rPr>
          <w:rFonts w:ascii="Palatino Linotype" w:eastAsia="Times New Roman" w:hAnsi="Palatino Linotype" w:cs="Arial"/>
          <w:bCs/>
          <w:i/>
          <w:sz w:val="22"/>
          <w:lang w:val="es-ES"/>
        </w:rPr>
      </w:pPr>
      <w:r w:rsidRPr="00B13140">
        <w:rPr>
          <w:rFonts w:ascii="Palatino Linotype" w:eastAsia="Times New Roman" w:hAnsi="Palatino Linotype" w:cs="Arial"/>
          <w:bCs/>
          <w:i/>
          <w:sz w:val="22"/>
          <w:lang w:val="es-ES"/>
        </w:rPr>
        <w:t>Ahora bien respecto de la imagen urbana, la normativa aplicabl</w:t>
      </w:r>
      <w:r w:rsidR="004860AB" w:rsidRPr="00B13140">
        <w:rPr>
          <w:rFonts w:ascii="Palatino Linotype" w:eastAsia="Times New Roman" w:hAnsi="Palatino Linotype" w:cs="Arial"/>
          <w:bCs/>
          <w:i/>
          <w:sz w:val="22"/>
          <w:lang w:val="es-ES"/>
        </w:rPr>
        <w:t xml:space="preserve">e a las construcciones no es un </w:t>
      </w:r>
      <w:r w:rsidRPr="00B13140">
        <w:rPr>
          <w:rFonts w:ascii="Palatino Linotype" w:eastAsia="Times New Roman" w:hAnsi="Palatino Linotype" w:cs="Arial"/>
          <w:bCs/>
          <w:i/>
          <w:sz w:val="22"/>
          <w:lang w:val="es-ES"/>
        </w:rPr>
        <w:t>tema donde tenga inj</w:t>
      </w:r>
      <w:r w:rsidR="004860AB" w:rsidRPr="00B13140">
        <w:rPr>
          <w:rFonts w:ascii="Palatino Linotype" w:eastAsia="Times New Roman" w:hAnsi="Palatino Linotype" w:cs="Arial"/>
          <w:bCs/>
          <w:i/>
          <w:sz w:val="22"/>
          <w:lang w:val="es-ES"/>
        </w:rPr>
        <w:t xml:space="preserve">erencia esta Dirección General,  </w:t>
      </w:r>
      <w:r w:rsidRPr="00B13140">
        <w:rPr>
          <w:rFonts w:ascii="Palatino Linotype" w:eastAsia="Times New Roman" w:hAnsi="Palatino Linotype" w:cs="Arial"/>
          <w:bCs/>
          <w:i/>
          <w:sz w:val="22"/>
          <w:lang w:val="es-ES"/>
        </w:rPr>
        <w:t>de ac</w:t>
      </w:r>
      <w:r w:rsidR="004860AB" w:rsidRPr="00B13140">
        <w:rPr>
          <w:rFonts w:ascii="Palatino Linotype" w:eastAsia="Times New Roman" w:hAnsi="Palatino Linotype" w:cs="Arial"/>
          <w:bCs/>
          <w:i/>
          <w:sz w:val="22"/>
          <w:lang w:val="es-ES"/>
        </w:rPr>
        <w:t xml:space="preserve">uerdo a las atribuciones que le </w:t>
      </w:r>
      <w:r w:rsidRPr="00B13140">
        <w:rPr>
          <w:rFonts w:ascii="Palatino Linotype" w:eastAsia="Times New Roman" w:hAnsi="Palatino Linotype" w:cs="Arial"/>
          <w:bCs/>
          <w:i/>
          <w:sz w:val="22"/>
          <w:lang w:val="es-ES"/>
        </w:rPr>
        <w:t>confiere el Reglamento Interior de la Secretaria de Desarroll</w:t>
      </w:r>
      <w:r w:rsidR="004860AB" w:rsidRPr="00B13140">
        <w:rPr>
          <w:rFonts w:ascii="Palatino Linotype" w:eastAsia="Times New Roman" w:hAnsi="Palatino Linotype" w:cs="Arial"/>
          <w:bCs/>
          <w:i/>
          <w:sz w:val="22"/>
          <w:lang w:val="es-ES"/>
        </w:rPr>
        <w:t xml:space="preserve">o Urbano y Metropolitano (Ahora </w:t>
      </w:r>
      <w:r w:rsidRPr="00B13140">
        <w:rPr>
          <w:rFonts w:ascii="Palatino Linotype" w:eastAsia="Times New Roman" w:hAnsi="Palatino Linotype" w:cs="Arial"/>
          <w:bCs/>
          <w:i/>
          <w:sz w:val="22"/>
          <w:lang w:val="es-ES"/>
        </w:rPr>
        <w:t>Secretaria de Desarrollo Urbano y Obra), siendo facultad del</w:t>
      </w:r>
      <w:r w:rsidR="004860AB" w:rsidRPr="00B13140">
        <w:rPr>
          <w:rFonts w:ascii="Palatino Linotype" w:eastAsia="Times New Roman" w:hAnsi="Palatino Linotype" w:cs="Arial"/>
          <w:bCs/>
          <w:i/>
          <w:sz w:val="22"/>
          <w:lang w:val="es-ES"/>
        </w:rPr>
        <w:t xml:space="preserve"> Municipio correspondiente; tal </w:t>
      </w:r>
      <w:r w:rsidRPr="00B13140">
        <w:rPr>
          <w:rFonts w:ascii="Palatino Linotype" w:eastAsia="Times New Roman" w:hAnsi="Palatino Linotype" w:cs="Arial"/>
          <w:bCs/>
          <w:i/>
          <w:sz w:val="22"/>
          <w:lang w:val="es-ES"/>
        </w:rPr>
        <w:t xml:space="preserve">como lo establece el </w:t>
      </w:r>
      <w:proofErr w:type="spellStart"/>
      <w:r w:rsidRPr="00B13140">
        <w:rPr>
          <w:rFonts w:ascii="Palatino Linotype" w:eastAsia="Times New Roman" w:hAnsi="Palatino Linotype" w:cs="Arial"/>
          <w:bCs/>
          <w:i/>
          <w:sz w:val="22"/>
          <w:lang w:val="es-ES"/>
        </w:rPr>
        <w:t>articulo</w:t>
      </w:r>
      <w:proofErr w:type="spellEnd"/>
      <w:r w:rsidRPr="00B13140">
        <w:rPr>
          <w:rFonts w:ascii="Palatino Linotype" w:eastAsia="Times New Roman" w:hAnsi="Palatino Linotype" w:cs="Arial"/>
          <w:bCs/>
          <w:i/>
          <w:sz w:val="22"/>
          <w:lang w:val="es-ES"/>
        </w:rPr>
        <w:t xml:space="preserve"> 115 de la Constitución </w:t>
      </w:r>
      <w:proofErr w:type="spellStart"/>
      <w:r w:rsidRPr="00B13140">
        <w:rPr>
          <w:rFonts w:ascii="Palatino Linotype" w:eastAsia="Times New Roman" w:hAnsi="Palatino Linotype" w:cs="Arial"/>
          <w:bCs/>
          <w:i/>
          <w:sz w:val="22"/>
          <w:lang w:val="es-ES"/>
        </w:rPr>
        <w:t>Politica</w:t>
      </w:r>
      <w:proofErr w:type="spellEnd"/>
      <w:r w:rsidRPr="00B13140">
        <w:rPr>
          <w:rFonts w:ascii="Palatino Linotype" w:eastAsia="Times New Roman" w:hAnsi="Palatino Linotype" w:cs="Arial"/>
          <w:bCs/>
          <w:i/>
          <w:sz w:val="22"/>
          <w:lang w:val="es-ES"/>
        </w:rPr>
        <w:t xml:space="preserve"> d</w:t>
      </w:r>
      <w:r w:rsidR="004860AB" w:rsidRPr="00B13140">
        <w:rPr>
          <w:rFonts w:ascii="Palatino Linotype" w:eastAsia="Times New Roman" w:hAnsi="Palatino Linotype" w:cs="Arial"/>
          <w:bCs/>
          <w:i/>
          <w:sz w:val="22"/>
          <w:lang w:val="es-ES"/>
        </w:rPr>
        <w:t xml:space="preserve">e los Estados Unidos Mexicanos, </w:t>
      </w:r>
      <w:r w:rsidRPr="00B13140">
        <w:rPr>
          <w:rFonts w:ascii="Palatino Linotype" w:eastAsia="Times New Roman" w:hAnsi="Palatino Linotype" w:cs="Arial"/>
          <w:bCs/>
          <w:i/>
          <w:sz w:val="22"/>
          <w:lang w:val="es-ES"/>
        </w:rPr>
        <w:t xml:space="preserve">5.10 del Libro Quinto del Código Administrativo del Estado de México y 18.6 </w:t>
      </w:r>
      <w:r w:rsidR="004860AB" w:rsidRPr="00B13140">
        <w:rPr>
          <w:rFonts w:ascii="Palatino Linotype" w:eastAsia="Times New Roman" w:hAnsi="Palatino Linotype" w:cs="Arial"/>
          <w:bCs/>
          <w:i/>
          <w:sz w:val="22"/>
          <w:lang w:val="es-ES"/>
        </w:rPr>
        <w:t xml:space="preserve">del Libro Décimo </w:t>
      </w:r>
      <w:r w:rsidRPr="00B13140">
        <w:rPr>
          <w:rFonts w:ascii="Palatino Linotype" w:eastAsia="Times New Roman" w:hAnsi="Palatino Linotype" w:cs="Arial"/>
          <w:bCs/>
          <w:i/>
          <w:sz w:val="22"/>
          <w:lang w:val="es-ES"/>
        </w:rPr>
        <w:t>Octavo del Código Administrativo del Estado de México</w:t>
      </w:r>
      <w:r w:rsidR="004860AB" w:rsidRPr="00B13140">
        <w:rPr>
          <w:rFonts w:ascii="Palatino Linotype" w:eastAsia="Times New Roman" w:hAnsi="Palatino Linotype" w:cs="Arial"/>
          <w:bCs/>
          <w:i/>
          <w:sz w:val="22"/>
          <w:lang w:val="es-ES"/>
        </w:rPr>
        <w:t xml:space="preserve">. </w:t>
      </w:r>
      <w:r w:rsidR="00E54F8A" w:rsidRPr="00B13140">
        <w:rPr>
          <w:rFonts w:ascii="Palatino Linotype" w:eastAsia="Times New Roman" w:hAnsi="Palatino Linotype" w:cs="Arial"/>
          <w:bCs/>
          <w:i/>
          <w:sz w:val="22"/>
          <w:lang w:val="es-ES"/>
        </w:rPr>
        <w:t xml:space="preserve"> </w:t>
      </w:r>
    </w:p>
    <w:p w14:paraId="492BB18F" w14:textId="77777777" w:rsidR="004860AB" w:rsidRPr="00B13140" w:rsidRDefault="004860AB" w:rsidP="00E54F8A">
      <w:pPr>
        <w:pStyle w:val="Prrafodelista"/>
        <w:spacing w:line="360" w:lineRule="auto"/>
        <w:ind w:right="567"/>
        <w:jc w:val="both"/>
        <w:rPr>
          <w:rFonts w:ascii="Palatino Linotype" w:eastAsia="Times New Roman" w:hAnsi="Palatino Linotype" w:cs="Arial"/>
          <w:b/>
          <w:bCs/>
          <w:i/>
          <w:lang w:val="es-ES"/>
        </w:rPr>
      </w:pPr>
      <w:r w:rsidRPr="00B13140">
        <w:rPr>
          <w:rFonts w:ascii="Palatino Linotype" w:eastAsia="Times New Roman" w:hAnsi="Palatino Linotype" w:cs="Arial"/>
          <w:bCs/>
          <w:i/>
          <w:sz w:val="22"/>
          <w:lang w:val="es-ES"/>
        </w:rPr>
        <w:t xml:space="preserve">Finalmente, respecto del punto “...Il. Se me indique a proporcione información relacionada a cuales son los servicios públicos necesarios para su ocupación y contribuyan al mejoramiento del orden urbano y de la imagen urbana de la autorización del Conjunto Urbano Villas del Campo a la empresa Geo Edificaciones, S.A. de C.V..." me permito hacer de su conocimiento de igual manera, con base en el </w:t>
      </w:r>
      <w:proofErr w:type="spellStart"/>
      <w:r w:rsidRPr="00B13140">
        <w:rPr>
          <w:rFonts w:ascii="Palatino Linotype" w:eastAsia="Times New Roman" w:hAnsi="Palatino Linotype" w:cs="Arial"/>
          <w:bCs/>
          <w:i/>
          <w:sz w:val="22"/>
          <w:lang w:val="es-ES"/>
        </w:rPr>
        <w:t>articulo</w:t>
      </w:r>
      <w:proofErr w:type="spellEnd"/>
      <w:r w:rsidRPr="00B13140">
        <w:rPr>
          <w:rFonts w:ascii="Palatino Linotype" w:eastAsia="Times New Roman" w:hAnsi="Palatino Linotype" w:cs="Arial"/>
          <w:bCs/>
          <w:i/>
          <w:sz w:val="22"/>
          <w:lang w:val="es-ES"/>
        </w:rPr>
        <w:t xml:space="preserve"> 55 fracción VI inciso H), del Reglamento del Libro Quinto del Código Administrativo del Estado de México, el titular de la autorización deberá de mantener y conservar las obras de urbanización, equipamiento e infraestructura primaria, </w:t>
      </w:r>
      <w:proofErr w:type="spellStart"/>
      <w:r w:rsidRPr="00B13140">
        <w:rPr>
          <w:rFonts w:ascii="Palatino Linotype" w:eastAsia="Times New Roman" w:hAnsi="Palatino Linotype" w:cs="Arial"/>
          <w:bCs/>
          <w:i/>
          <w:sz w:val="22"/>
          <w:lang w:val="es-ES"/>
        </w:rPr>
        <w:t>asi</w:t>
      </w:r>
      <w:proofErr w:type="spellEnd"/>
      <w:r w:rsidRPr="00B13140">
        <w:rPr>
          <w:rFonts w:ascii="Palatino Linotype" w:eastAsia="Times New Roman" w:hAnsi="Palatino Linotype" w:cs="Arial"/>
          <w:bCs/>
          <w:i/>
          <w:sz w:val="22"/>
          <w:lang w:val="es-ES"/>
        </w:rPr>
        <w:t xml:space="preserve"> como prestar gratuitamente los servicios públicos de agua potable; drenaje, alumbrado público, vigilancia y recolección de basura del Conjunto Urbano, hasta la entrega de estas a la autoridad municipal; en este mismo sentido, respecto de la imagen urbana la normativa aplicable a las construcciones no es un tema donde tenga injerencia esta Dirección General, de acuerdo a las atribuciones que le confiere el Reglamento interior de la Secretaria de Desarrollo Urbano y Metropolitano (Ahora Secretaria de Desarrollo Urbano y Obra), siendo facultad del Municipio correspondiente, con fundamento en el </w:t>
      </w:r>
      <w:proofErr w:type="spellStart"/>
      <w:r w:rsidRPr="00B13140">
        <w:rPr>
          <w:rFonts w:ascii="Palatino Linotype" w:eastAsia="Times New Roman" w:hAnsi="Palatino Linotype" w:cs="Arial"/>
          <w:bCs/>
          <w:i/>
          <w:sz w:val="22"/>
          <w:lang w:val="es-ES"/>
        </w:rPr>
        <w:t>articulo</w:t>
      </w:r>
      <w:proofErr w:type="spellEnd"/>
      <w:r w:rsidRPr="00B13140">
        <w:rPr>
          <w:rFonts w:ascii="Palatino Linotype" w:eastAsia="Times New Roman" w:hAnsi="Palatino Linotype" w:cs="Arial"/>
          <w:bCs/>
          <w:i/>
          <w:sz w:val="22"/>
          <w:lang w:val="es-ES"/>
        </w:rPr>
        <w:t xml:space="preserve"> 48 fracción </w:t>
      </w:r>
      <w:proofErr w:type="spellStart"/>
      <w:r w:rsidRPr="00B13140">
        <w:rPr>
          <w:rFonts w:ascii="Palatino Linotype" w:eastAsia="Times New Roman" w:hAnsi="Palatino Linotype" w:cs="Arial"/>
          <w:bCs/>
          <w:i/>
          <w:sz w:val="22"/>
          <w:lang w:val="es-ES"/>
        </w:rPr>
        <w:t>IlI</w:t>
      </w:r>
      <w:proofErr w:type="spellEnd"/>
      <w:r w:rsidRPr="00B13140">
        <w:rPr>
          <w:rFonts w:ascii="Palatino Linotype" w:eastAsia="Times New Roman" w:hAnsi="Palatino Linotype" w:cs="Arial"/>
          <w:bCs/>
          <w:i/>
          <w:sz w:val="22"/>
          <w:lang w:val="es-ES"/>
        </w:rPr>
        <w:t xml:space="preserve"> del Reglamento del Libro Quinto del Código Administrativo del Estado de México, publicado en el Periódico Oficial "Gaceta del </w:t>
      </w:r>
      <w:r w:rsidRPr="00B13140">
        <w:rPr>
          <w:rFonts w:ascii="Palatino Linotype" w:eastAsia="Times New Roman" w:hAnsi="Palatino Linotype" w:cs="Arial"/>
          <w:bCs/>
          <w:i/>
          <w:sz w:val="22"/>
          <w:lang w:val="es-ES"/>
        </w:rPr>
        <w:lastRenderedPageBreak/>
        <w:t>Gobierno" del Estado de México en fecha 01 de septiembre de</w:t>
      </w:r>
      <w:r w:rsidR="00E54F8A" w:rsidRPr="00B13140">
        <w:rPr>
          <w:rFonts w:ascii="Palatino Linotype" w:eastAsia="Times New Roman" w:hAnsi="Palatino Linotype" w:cs="Arial"/>
          <w:bCs/>
          <w:i/>
          <w:sz w:val="22"/>
          <w:lang w:val="es-ES"/>
        </w:rPr>
        <w:t xml:space="preserve"> </w:t>
      </w:r>
      <w:r w:rsidRPr="00B13140">
        <w:rPr>
          <w:rFonts w:ascii="Palatino Linotype" w:eastAsia="Times New Roman" w:hAnsi="Palatino Linotype" w:cs="Arial"/>
          <w:bCs/>
          <w:i/>
          <w:sz w:val="22"/>
          <w:lang w:val="es-ES"/>
        </w:rPr>
        <w:t>2020, la ocupación de los lotes del conjunto urbano Villas del Campo, podrá efectuarse cuando estén dotados de obras terminadas de urbanización y equipamiento.”</w:t>
      </w:r>
    </w:p>
    <w:p w14:paraId="492BB190" w14:textId="77777777" w:rsidR="004860AB" w:rsidRPr="00B13140" w:rsidRDefault="004860AB" w:rsidP="004860AB">
      <w:pPr>
        <w:spacing w:line="360" w:lineRule="auto"/>
        <w:ind w:right="567"/>
        <w:jc w:val="both"/>
        <w:rPr>
          <w:rFonts w:ascii="Palatino Linotype" w:eastAsia="Times New Roman" w:hAnsi="Palatino Linotype" w:cs="Arial"/>
          <w:b/>
          <w:bCs/>
          <w:lang w:val="es-ES"/>
        </w:rPr>
      </w:pPr>
    </w:p>
    <w:p w14:paraId="492BB191" w14:textId="77777777" w:rsidR="00F12093" w:rsidRPr="00B13140"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B13140">
        <w:rPr>
          <w:rFonts w:ascii="Palatino Linotype" w:eastAsia="Calibri" w:hAnsi="Palatino Linotype" w:cs="Arial"/>
          <w:lang w:val="es-AR"/>
        </w:rPr>
        <w:t xml:space="preserve">El </w:t>
      </w:r>
      <w:r w:rsidR="00E54F8A" w:rsidRPr="00B13140">
        <w:rPr>
          <w:rFonts w:ascii="Palatino Linotype" w:eastAsia="Calibri" w:hAnsi="Palatino Linotype" w:cs="Arial"/>
          <w:lang w:val="es-AR"/>
        </w:rPr>
        <w:t xml:space="preserve">cuatro (04) de mayo </w:t>
      </w:r>
      <w:r w:rsidR="00B32D03" w:rsidRPr="00B13140">
        <w:rPr>
          <w:rFonts w:ascii="Palatino Linotype" w:eastAsia="Calibri" w:hAnsi="Palatino Linotype" w:cs="Arial"/>
          <w:lang w:val="es-AR"/>
        </w:rPr>
        <w:t xml:space="preserve"> de dos mil veintidós</w:t>
      </w:r>
      <w:r w:rsidRPr="00B13140">
        <w:rPr>
          <w:rFonts w:ascii="Palatino Linotype" w:eastAsia="Times New Roman" w:hAnsi="Palatino Linotype" w:cs="Arial"/>
          <w:lang w:val="es-ES"/>
        </w:rPr>
        <w:t xml:space="preserve">, </w:t>
      </w:r>
      <w:r w:rsidRPr="00B13140">
        <w:rPr>
          <w:rFonts w:ascii="Palatino Linotype" w:hAnsi="Palatino Linotype"/>
          <w:b/>
        </w:rPr>
        <w:t>EL RECURRENTE</w:t>
      </w:r>
      <w:r w:rsidRPr="00B13140">
        <w:rPr>
          <w:rFonts w:ascii="Palatino Linotype" w:eastAsia="Times New Roman" w:hAnsi="Palatino Linotype" w:cs="Arial"/>
          <w:lang w:val="es-ES"/>
        </w:rPr>
        <w:t xml:space="preserve"> interpuso los recursos de revisión, en contra de las respuestas y, señaló como:</w:t>
      </w:r>
      <w:bookmarkStart w:id="2" w:name="_Toc472500652"/>
      <w:bookmarkStart w:id="3" w:name="_Toc472427085"/>
      <w:bookmarkStart w:id="4" w:name="_Toc462307683"/>
    </w:p>
    <w:p w14:paraId="492BB192" w14:textId="77777777" w:rsidR="00F12093" w:rsidRPr="00B13140" w:rsidRDefault="00F12093" w:rsidP="00F12093">
      <w:pPr>
        <w:pStyle w:val="Prrafodelista"/>
        <w:spacing w:line="360" w:lineRule="auto"/>
        <w:ind w:left="567"/>
        <w:jc w:val="both"/>
        <w:rPr>
          <w:rFonts w:ascii="Palatino Linotype" w:hAnsi="Palatino Linotype" w:cs="Arial"/>
          <w:sz w:val="22"/>
          <w:szCs w:val="22"/>
        </w:rPr>
      </w:pPr>
    </w:p>
    <w:p w14:paraId="492BB193" w14:textId="77777777" w:rsidR="00F12093" w:rsidRPr="00B13140" w:rsidRDefault="00F12093" w:rsidP="00F12093">
      <w:pPr>
        <w:pStyle w:val="Prrafodelista"/>
        <w:spacing w:line="360" w:lineRule="auto"/>
        <w:ind w:left="567"/>
        <w:jc w:val="both"/>
        <w:rPr>
          <w:rFonts w:ascii="Palatino Linotype" w:eastAsia="Calibri" w:hAnsi="Palatino Linotype" w:cs="Arial"/>
          <w:szCs w:val="22"/>
          <w:lang w:val="es-ES"/>
        </w:rPr>
      </w:pPr>
      <w:r w:rsidRPr="00B13140">
        <w:rPr>
          <w:rFonts w:ascii="Palatino Linotype" w:hAnsi="Palatino Linotype"/>
          <w:b/>
        </w:rPr>
        <w:t>Acto impugnado:</w:t>
      </w:r>
      <w:r w:rsidRPr="00B13140">
        <w:rPr>
          <w:rStyle w:val="Ttulo2Car"/>
          <w:rFonts w:ascii="Palatino Linotype" w:hAnsi="Palatino Linotype"/>
          <w:b/>
          <w:i/>
          <w:lang w:val="es-ES"/>
        </w:rPr>
        <w:t xml:space="preserve"> </w:t>
      </w:r>
      <w:r w:rsidRPr="00B13140">
        <w:rPr>
          <w:rFonts w:ascii="Palatino Linotype" w:hAnsi="Palatino Linotype"/>
        </w:rPr>
        <w:t>“</w:t>
      </w:r>
      <w:r w:rsidR="00E54F8A" w:rsidRPr="00B13140">
        <w:rPr>
          <w:rFonts w:ascii="Palatino Linotype" w:hAnsi="Palatino Linotype"/>
          <w:i/>
          <w:sz w:val="22"/>
        </w:rPr>
        <w:t>00137/SEDUO/IP/2022</w:t>
      </w:r>
      <w:r w:rsidRPr="00B13140">
        <w:rPr>
          <w:rFonts w:ascii="Palatino Linotype" w:hAnsi="Palatino Linotype"/>
        </w:rPr>
        <w:t>"</w:t>
      </w:r>
      <w:r w:rsidRPr="00B13140">
        <w:rPr>
          <w:rFonts w:ascii="Palatino Linotype" w:eastAsia="Calibri" w:hAnsi="Palatino Linotype" w:cs="Arial"/>
          <w:sz w:val="20"/>
          <w:szCs w:val="22"/>
          <w:lang w:val="es-ES"/>
        </w:rPr>
        <w:t xml:space="preserve"> </w:t>
      </w:r>
      <w:r w:rsidRPr="00B13140">
        <w:rPr>
          <w:rFonts w:ascii="Palatino Linotype" w:eastAsia="Calibri" w:hAnsi="Palatino Linotype" w:cs="Arial"/>
          <w:i/>
          <w:sz w:val="22"/>
          <w:szCs w:val="22"/>
          <w:lang w:val="es-ES"/>
        </w:rPr>
        <w:t>(Sic)</w:t>
      </w:r>
    </w:p>
    <w:p w14:paraId="492BB194" w14:textId="77777777" w:rsidR="00F12093" w:rsidRPr="00B13140" w:rsidRDefault="00F12093" w:rsidP="00F12093">
      <w:pPr>
        <w:pStyle w:val="Prrafodelista"/>
        <w:spacing w:line="360" w:lineRule="auto"/>
        <w:ind w:left="567"/>
        <w:jc w:val="both"/>
        <w:rPr>
          <w:rFonts w:ascii="Palatino Linotype" w:eastAsia="Calibri" w:hAnsi="Palatino Linotype" w:cs="Arial"/>
          <w:szCs w:val="22"/>
          <w:lang w:val="es-ES"/>
        </w:rPr>
      </w:pPr>
    </w:p>
    <w:p w14:paraId="492BB195" w14:textId="77777777" w:rsidR="00F12093" w:rsidRPr="00B13140" w:rsidRDefault="00F12093" w:rsidP="00F12093">
      <w:pPr>
        <w:pStyle w:val="Prrafodelista"/>
        <w:spacing w:line="360" w:lineRule="auto"/>
        <w:ind w:left="567"/>
        <w:jc w:val="both"/>
        <w:rPr>
          <w:rFonts w:ascii="Palatino Linotype" w:hAnsi="Palatino Linotype" w:cs="Arial"/>
          <w:sz w:val="22"/>
          <w:szCs w:val="22"/>
        </w:rPr>
      </w:pPr>
      <w:r w:rsidRPr="00B13140">
        <w:rPr>
          <w:rFonts w:ascii="Palatino Linotype" w:hAnsi="Palatino Linotype"/>
          <w:b/>
        </w:rPr>
        <w:t>Razones o Motivos de inconformidad:</w:t>
      </w:r>
      <w:r w:rsidRPr="00B13140">
        <w:rPr>
          <w:rStyle w:val="Ttulo2Car"/>
          <w:rFonts w:ascii="Palatino Linotype" w:hAnsi="Palatino Linotype"/>
          <w:b/>
          <w:lang w:val="es-ES"/>
        </w:rPr>
        <w:t xml:space="preserve"> </w:t>
      </w:r>
      <w:r w:rsidRPr="00B13140">
        <w:rPr>
          <w:rFonts w:ascii="Palatino Linotype" w:hAnsi="Palatino Linotype"/>
          <w:i/>
          <w:sz w:val="22"/>
          <w:szCs w:val="22"/>
        </w:rPr>
        <w:t>“</w:t>
      </w:r>
      <w:r w:rsidR="00E54F8A" w:rsidRPr="00B13140">
        <w:rPr>
          <w:rFonts w:ascii="Palatino Linotype" w:hAnsi="Palatino Linotype"/>
          <w:i/>
          <w:color w:val="000000"/>
          <w:sz w:val="22"/>
          <w:szCs w:val="22"/>
        </w:rPr>
        <w:t>No precisa o especifica que servicios públicos son necesarios proporcionar la autoridad municipal para que un conjunto urbano sea autorizado por la Secretaría de Desarrollo Urbano y Obra del Estado de México.</w:t>
      </w:r>
      <w:r w:rsidRPr="00B13140">
        <w:rPr>
          <w:rFonts w:ascii="Palatino Linotype" w:hAnsi="Palatino Linotype"/>
          <w:i/>
          <w:sz w:val="22"/>
          <w:szCs w:val="22"/>
        </w:rPr>
        <w:t xml:space="preserve">” </w:t>
      </w:r>
      <w:r w:rsidRPr="00B13140">
        <w:rPr>
          <w:rFonts w:ascii="Palatino Linotype" w:hAnsi="Palatino Linotype" w:cs="Arial"/>
          <w:i/>
          <w:sz w:val="22"/>
          <w:szCs w:val="22"/>
        </w:rPr>
        <w:t xml:space="preserve">(Sic) </w:t>
      </w:r>
    </w:p>
    <w:p w14:paraId="492BB196" w14:textId="77777777" w:rsidR="00F12093" w:rsidRPr="00B13140" w:rsidRDefault="00F12093" w:rsidP="00F12093">
      <w:pPr>
        <w:spacing w:line="360" w:lineRule="auto"/>
        <w:ind w:left="720"/>
        <w:jc w:val="both"/>
        <w:rPr>
          <w:rFonts w:ascii="Palatino Linotype" w:eastAsia="Times New Roman" w:hAnsi="Palatino Linotype" w:cs="Arial"/>
          <w:i/>
          <w:color w:val="333333"/>
          <w:sz w:val="22"/>
          <w:szCs w:val="22"/>
          <w:lang w:val="es-ES"/>
        </w:rPr>
      </w:pPr>
    </w:p>
    <w:bookmarkEnd w:id="2"/>
    <w:bookmarkEnd w:id="3"/>
    <w:bookmarkEnd w:id="4"/>
    <w:p w14:paraId="492BB197" w14:textId="77777777" w:rsidR="00F12093" w:rsidRPr="00B13140"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B13140">
        <w:rPr>
          <w:rFonts w:ascii="Palatino Linotype" w:eastAsia="Times New Roman" w:hAnsi="Palatino Linotype" w:cs="Arial"/>
          <w:lang w:val="es-ES"/>
        </w:rPr>
        <w:t xml:space="preserve">Se registró el recurso de revisión bajo el número de expediente </w:t>
      </w:r>
      <w:r w:rsidRPr="00B13140">
        <w:rPr>
          <w:rFonts w:ascii="Palatino Linotype" w:hAnsi="Palatino Linotype" w:cs="Arial"/>
          <w:bCs/>
        </w:rPr>
        <w:t xml:space="preserve">al rubro indicado, asimismo con fundamento en lo dispuesto por el </w:t>
      </w:r>
      <w:r w:rsidRPr="00B13140">
        <w:rPr>
          <w:rFonts w:ascii="Palatino Linotype" w:eastAsia="Calibri" w:hAnsi="Palatino Linotype" w:cs="Arial"/>
          <w:lang w:val="es-ES"/>
        </w:rPr>
        <w:t xml:space="preserve">artículo 185 fracción I de la </w:t>
      </w:r>
      <w:r w:rsidRPr="00B13140">
        <w:rPr>
          <w:rFonts w:ascii="Palatino Linotype" w:eastAsia="Calibri" w:hAnsi="Palatino Linotype" w:cs="Arial"/>
          <w:b/>
          <w:lang w:val="es-ES"/>
        </w:rPr>
        <w:t xml:space="preserve">Ley de Transparencia y Acceso a la Información Pública del Estado de México y Municipios </w:t>
      </w:r>
      <w:r w:rsidRPr="00B13140">
        <w:rPr>
          <w:rFonts w:ascii="Palatino Linotype" w:eastAsia="Times New Roman" w:hAnsi="Palatino Linotype" w:cs="Arial"/>
          <w:lang w:val="es-ES"/>
        </w:rPr>
        <w:t xml:space="preserve">se turnó a la </w:t>
      </w:r>
      <w:r w:rsidRPr="00B13140">
        <w:rPr>
          <w:rFonts w:ascii="Palatino Linotype" w:eastAsia="Times New Roman" w:hAnsi="Palatino Linotype" w:cs="Arial"/>
          <w:b/>
          <w:lang w:val="es-ES"/>
        </w:rPr>
        <w:t xml:space="preserve">Comisionada </w:t>
      </w:r>
      <w:r w:rsidRPr="00B13140">
        <w:rPr>
          <w:rFonts w:ascii="Palatino Linotype" w:hAnsi="Palatino Linotype"/>
          <w:b/>
        </w:rPr>
        <w:t>María del Rosario Mejía Ayala</w:t>
      </w:r>
      <w:r w:rsidRPr="00B13140">
        <w:rPr>
          <w:rFonts w:ascii="Palatino Linotype" w:eastAsia="Times New Roman" w:hAnsi="Palatino Linotype" w:cs="Arial"/>
          <w:b/>
          <w:lang w:val="es-ES"/>
        </w:rPr>
        <w:t xml:space="preserve">, </w:t>
      </w:r>
      <w:r w:rsidRPr="00B13140">
        <w:rPr>
          <w:rFonts w:ascii="Palatino Linotype" w:eastAsia="Times New Roman" w:hAnsi="Palatino Linotype" w:cs="Arial"/>
          <w:lang w:val="es-ES"/>
        </w:rPr>
        <w:t xml:space="preserve">con el objeto de </w:t>
      </w:r>
      <w:r w:rsidRPr="00B13140">
        <w:rPr>
          <w:rFonts w:ascii="Palatino Linotype" w:eastAsia="Times New Roman" w:hAnsi="Palatino Linotype" w:cs="Arial"/>
          <w:lang w:val="es-MX"/>
        </w:rPr>
        <w:t>su análisis.</w:t>
      </w:r>
    </w:p>
    <w:p w14:paraId="492BB198" w14:textId="77777777" w:rsidR="00F12093" w:rsidRPr="00B13140" w:rsidRDefault="00F12093" w:rsidP="00F12093">
      <w:pPr>
        <w:pStyle w:val="Prrafodelista"/>
        <w:spacing w:line="360" w:lineRule="auto"/>
        <w:ind w:left="0"/>
        <w:jc w:val="both"/>
        <w:rPr>
          <w:rFonts w:ascii="Palatino Linotype" w:eastAsia="Calibri" w:hAnsi="Palatino Linotype" w:cs="Arial"/>
          <w:lang w:val="es-AR"/>
        </w:rPr>
      </w:pPr>
    </w:p>
    <w:p w14:paraId="492BB199" w14:textId="77777777" w:rsidR="007B0EC9" w:rsidRPr="00B13140"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B13140">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E54F8A" w:rsidRPr="00B13140">
        <w:rPr>
          <w:rFonts w:ascii="Palatino Linotype" w:eastAsia="Calibri" w:hAnsi="Palatino Linotype" w:cs="Arial"/>
          <w:lang w:val="es-ES"/>
        </w:rPr>
        <w:t>nueve (09) de mayo</w:t>
      </w:r>
      <w:r w:rsidR="001378B2" w:rsidRPr="00B13140">
        <w:rPr>
          <w:rFonts w:ascii="Palatino Linotype" w:eastAsia="Calibri" w:hAnsi="Palatino Linotype" w:cs="Arial"/>
          <w:lang w:val="es-ES"/>
        </w:rPr>
        <w:t xml:space="preserve"> </w:t>
      </w:r>
      <w:r w:rsidR="001C10E6" w:rsidRPr="00B13140">
        <w:rPr>
          <w:rFonts w:ascii="Palatino Linotype" w:eastAsia="Calibri" w:hAnsi="Palatino Linotype" w:cs="Arial"/>
          <w:lang w:val="es-ES"/>
        </w:rPr>
        <w:t xml:space="preserve"> de dos mil veintidós</w:t>
      </w:r>
      <w:r w:rsidRPr="00B13140">
        <w:rPr>
          <w:rFonts w:ascii="Palatino Linotype" w:eastAsia="Calibri" w:hAnsi="Palatino Linotype" w:cs="Arial"/>
          <w:lang w:val="es-ES"/>
        </w:rPr>
        <w:t xml:space="preserve">, puso a disposición de las partes el expediente electrónico </w:t>
      </w:r>
      <w:r w:rsidRPr="00B13140">
        <w:rPr>
          <w:rFonts w:ascii="Palatino Linotype" w:eastAsia="Calibri" w:hAnsi="Palatino Linotype" w:cs="Arial"/>
        </w:rPr>
        <w:t xml:space="preserve">vía </w:t>
      </w:r>
      <w:r w:rsidRPr="00B13140">
        <w:rPr>
          <w:rFonts w:ascii="Palatino Linotype" w:eastAsia="Calibri" w:hAnsi="Palatino Linotype" w:cs="Arial"/>
          <w:b/>
          <w:lang w:val="es-ES"/>
        </w:rPr>
        <w:t xml:space="preserve">SAIMEX </w:t>
      </w:r>
      <w:r w:rsidRPr="00B13140">
        <w:rPr>
          <w:rFonts w:ascii="Palatino Linotype" w:eastAsia="Calibri" w:hAnsi="Palatino Linotype" w:cs="Arial"/>
          <w:lang w:val="es-ES"/>
        </w:rPr>
        <w:t xml:space="preserve">a efecto de que en un plazo máximo de siete días manifestaran lo que a derecho convinieran, ofrecieran pruebas y alegatos según </w:t>
      </w:r>
      <w:r w:rsidRPr="00B13140">
        <w:rPr>
          <w:rFonts w:ascii="Palatino Linotype" w:eastAsia="Calibri" w:hAnsi="Palatino Linotype" w:cs="Arial"/>
          <w:lang w:val="es-ES"/>
        </w:rPr>
        <w:lastRenderedPageBreak/>
        <w:t xml:space="preserve">corresponda al caso concreto, de esta forma para que el </w:t>
      </w:r>
      <w:r w:rsidRPr="00B13140">
        <w:rPr>
          <w:rFonts w:ascii="Palatino Linotype" w:eastAsia="Calibri" w:hAnsi="Palatino Linotype" w:cs="Arial"/>
          <w:b/>
          <w:lang w:val="es-ES"/>
        </w:rPr>
        <w:t>SUJETO OBLIGADO</w:t>
      </w:r>
      <w:r w:rsidRPr="00B13140">
        <w:rPr>
          <w:rFonts w:ascii="Palatino Linotype" w:eastAsia="Calibri" w:hAnsi="Palatino Linotype" w:cs="Arial"/>
          <w:lang w:val="es-ES"/>
        </w:rPr>
        <w:t xml:space="preserve"> presentara el informe justificado procedente.</w:t>
      </w:r>
      <w:r w:rsidR="00EE68F3" w:rsidRPr="00B13140">
        <w:rPr>
          <w:rFonts w:ascii="Palatino Linotype" w:eastAsia="Calibri" w:hAnsi="Palatino Linotype" w:cs="Arial"/>
          <w:lang w:val="es-ES"/>
        </w:rPr>
        <w:t xml:space="preserve"> </w:t>
      </w:r>
    </w:p>
    <w:p w14:paraId="492BB19A" w14:textId="77777777" w:rsidR="007B0EC9" w:rsidRPr="00B13140" w:rsidRDefault="007B0EC9" w:rsidP="007B0EC9">
      <w:pPr>
        <w:pStyle w:val="Prrafodelista"/>
        <w:rPr>
          <w:rFonts w:ascii="Palatino Linotype" w:eastAsia="Calibri" w:hAnsi="Palatino Linotype" w:cs="Arial"/>
          <w:lang w:val="es-ES"/>
        </w:rPr>
      </w:pPr>
    </w:p>
    <w:p w14:paraId="492BB19B" w14:textId="77777777" w:rsidR="00F12093" w:rsidRPr="00B13140" w:rsidRDefault="007B0EC9"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B13140">
        <w:rPr>
          <w:rFonts w:ascii="Palatino Linotype" w:eastAsia="Calibri" w:hAnsi="Palatino Linotype" w:cs="Arial"/>
          <w:lang w:val="es-ES"/>
        </w:rPr>
        <w:t xml:space="preserve">Del expediente electrónico se advierte que el RECURRENTE no realizó manifestaciones, no ofreció pruebas ni alegatos que su derecho convinieran; por su parte el SUJETO OBLIGADO </w:t>
      </w:r>
      <w:r w:rsidR="001C10E6" w:rsidRPr="00B13140">
        <w:rPr>
          <w:rFonts w:ascii="Palatino Linotype" w:eastAsia="Calibri" w:hAnsi="Palatino Linotype" w:cs="Arial"/>
          <w:lang w:val="es-ES"/>
        </w:rPr>
        <w:t>remitió su</w:t>
      </w:r>
      <w:r w:rsidR="001378B2" w:rsidRPr="00B13140">
        <w:rPr>
          <w:rFonts w:ascii="Palatino Linotype" w:eastAsia="Calibri" w:hAnsi="Palatino Linotype" w:cs="Arial"/>
          <w:lang w:val="es-ES"/>
        </w:rPr>
        <w:t xml:space="preserve"> informe justificado el </w:t>
      </w:r>
      <w:r w:rsidR="00E54F8A" w:rsidRPr="00B13140">
        <w:rPr>
          <w:rFonts w:ascii="Palatino Linotype" w:eastAsia="Calibri" w:hAnsi="Palatino Linotype" w:cs="Arial"/>
          <w:lang w:val="es-ES"/>
        </w:rPr>
        <w:t xml:space="preserve">dieciocho (18) de mayo </w:t>
      </w:r>
      <w:r w:rsidR="001C10E6" w:rsidRPr="00B13140">
        <w:rPr>
          <w:rFonts w:ascii="Palatino Linotype" w:eastAsia="Calibri" w:hAnsi="Palatino Linotype" w:cs="Arial"/>
          <w:lang w:val="es-ES"/>
        </w:rPr>
        <w:t>de dos mil veintidós, mismo que se pu</w:t>
      </w:r>
      <w:r w:rsidR="00E54F8A" w:rsidRPr="00B13140">
        <w:rPr>
          <w:rFonts w:ascii="Palatino Linotype" w:eastAsia="Calibri" w:hAnsi="Palatino Linotype" w:cs="Arial"/>
          <w:lang w:val="es-ES"/>
        </w:rPr>
        <w:t xml:space="preserve">so a la vista del particular el cuatro (04) de julio </w:t>
      </w:r>
      <w:r w:rsidR="001378B2" w:rsidRPr="00B13140">
        <w:rPr>
          <w:rFonts w:ascii="Palatino Linotype" w:eastAsia="Calibri" w:hAnsi="Palatino Linotype" w:cs="Arial"/>
          <w:lang w:val="es-ES"/>
        </w:rPr>
        <w:t xml:space="preserve"> </w:t>
      </w:r>
      <w:r w:rsidR="001C10E6" w:rsidRPr="00B13140">
        <w:rPr>
          <w:rFonts w:ascii="Palatino Linotype" w:eastAsia="Calibri" w:hAnsi="Palatino Linotype" w:cs="Arial"/>
          <w:lang w:val="es-ES"/>
        </w:rPr>
        <w:t>de dos mil veintidós, y que consta de</w:t>
      </w:r>
      <w:r w:rsidR="00E54F8A" w:rsidRPr="00B13140">
        <w:rPr>
          <w:rFonts w:ascii="Palatino Linotype" w:eastAsia="Calibri" w:hAnsi="Palatino Linotype" w:cs="Arial"/>
          <w:lang w:val="es-ES"/>
        </w:rPr>
        <w:t xml:space="preserve"> </w:t>
      </w:r>
      <w:r w:rsidR="001C10E6" w:rsidRPr="00B13140">
        <w:rPr>
          <w:rFonts w:ascii="Palatino Linotype" w:eastAsia="Calibri" w:hAnsi="Palatino Linotype" w:cs="Arial"/>
          <w:lang w:val="es-ES"/>
        </w:rPr>
        <w:t>l</w:t>
      </w:r>
      <w:r w:rsidR="00E54F8A" w:rsidRPr="00B13140">
        <w:rPr>
          <w:rFonts w:ascii="Palatino Linotype" w:eastAsia="Calibri" w:hAnsi="Palatino Linotype" w:cs="Arial"/>
          <w:lang w:val="es-ES"/>
        </w:rPr>
        <w:t>os</w:t>
      </w:r>
      <w:r w:rsidR="001C10E6" w:rsidRPr="00B13140">
        <w:rPr>
          <w:rFonts w:ascii="Palatino Linotype" w:eastAsia="Calibri" w:hAnsi="Palatino Linotype" w:cs="Arial"/>
          <w:lang w:val="es-ES"/>
        </w:rPr>
        <w:t xml:space="preserve"> documento</w:t>
      </w:r>
      <w:r w:rsidR="00E54F8A" w:rsidRPr="00B13140">
        <w:rPr>
          <w:rFonts w:ascii="Palatino Linotype" w:eastAsia="Calibri" w:hAnsi="Palatino Linotype" w:cs="Arial"/>
          <w:lang w:val="es-ES"/>
        </w:rPr>
        <w:t>s</w:t>
      </w:r>
      <w:r w:rsidR="001C10E6" w:rsidRPr="00B13140">
        <w:rPr>
          <w:rFonts w:ascii="Palatino Linotype" w:eastAsia="Calibri" w:hAnsi="Palatino Linotype" w:cs="Arial"/>
          <w:lang w:val="es-ES"/>
        </w:rPr>
        <w:t xml:space="preserve"> que se describe a continuación: </w:t>
      </w:r>
    </w:p>
    <w:p w14:paraId="492BB19C" w14:textId="77777777" w:rsidR="001C10E6" w:rsidRPr="00B13140" w:rsidRDefault="001C10E6" w:rsidP="001C10E6">
      <w:pPr>
        <w:pStyle w:val="Prrafodelista"/>
        <w:spacing w:line="360" w:lineRule="auto"/>
        <w:ind w:left="0"/>
        <w:jc w:val="both"/>
        <w:rPr>
          <w:rFonts w:ascii="Palatino Linotype" w:eastAsia="Calibri" w:hAnsi="Palatino Linotype" w:cs="Arial"/>
          <w:lang w:val="es-ES"/>
        </w:rPr>
      </w:pPr>
    </w:p>
    <w:p w14:paraId="492BB19D" w14:textId="77777777" w:rsidR="009B1518" w:rsidRPr="00B13140" w:rsidRDefault="0018114F" w:rsidP="006F27C1">
      <w:pPr>
        <w:pStyle w:val="Prrafodelista"/>
        <w:numPr>
          <w:ilvl w:val="0"/>
          <w:numId w:val="5"/>
        </w:numPr>
        <w:spacing w:line="360" w:lineRule="auto"/>
        <w:jc w:val="both"/>
        <w:rPr>
          <w:rFonts w:ascii="Palatino Linotype" w:hAnsi="Palatino Linotype"/>
          <w:i/>
          <w:sz w:val="22"/>
          <w:szCs w:val="22"/>
        </w:rPr>
      </w:pPr>
      <w:hyperlink r:id="rId8" w:history="1">
        <w:r w:rsidR="00E54F8A" w:rsidRPr="00B13140">
          <w:rPr>
            <w:rStyle w:val="Hipervnculo"/>
            <w:rFonts w:ascii="Palatino Linotype" w:hAnsi="Palatino Linotype" w:cs="Arial"/>
            <w:b/>
            <w:bCs/>
            <w:color w:val="auto"/>
            <w:sz w:val="22"/>
            <w:szCs w:val="22"/>
          </w:rPr>
          <w:t>Informe Justificado RR 6963-2022.pdf</w:t>
        </w:r>
      </w:hyperlink>
      <w:r w:rsidR="001C10E6" w:rsidRPr="00B13140">
        <w:rPr>
          <w:rFonts w:ascii="Palatino Linotype" w:hAnsi="Palatino Linotype"/>
          <w:sz w:val="22"/>
          <w:szCs w:val="22"/>
        </w:rPr>
        <w:t xml:space="preserve">: </w:t>
      </w:r>
      <w:r w:rsidR="006F27C1" w:rsidRPr="00B13140">
        <w:rPr>
          <w:rFonts w:ascii="Palatino Linotype" w:hAnsi="Palatino Linotype"/>
          <w:sz w:val="22"/>
          <w:szCs w:val="22"/>
        </w:rPr>
        <w:t>oficio SEDUO-CI-0597/2022 mediante el que señaló “</w:t>
      </w:r>
      <w:r w:rsidR="006F27C1" w:rsidRPr="00B13140">
        <w:rPr>
          <w:rFonts w:ascii="Palatino Linotype" w:hAnsi="Palatino Linotype"/>
          <w:i/>
          <w:sz w:val="22"/>
          <w:szCs w:val="22"/>
        </w:rPr>
        <w:t xml:space="preserve">Aunado a lo anterior, se menciona que respecto a las razones o motivos de inconformidad expuestas por el recurrente concernientes a: *No precisa o especifica que servicios públicos son necesarios proporcionar la autoridad municipal para que un conjunto urbano sea autorizado por la Secretaria de Desarrollo Urbano y Obra del Estado de México*, se advierte que, el recurrente pretende ampliar su solicitud a través del presente recurso de revisión, dado que, en la solicitud de información pública número 00137/SEDUO/P/2022, en ningún momento requirió a este sujeto obligado que servicios públicos debe proporcionar la autoridad municipal para que un conjunto urbano sea autorizado por esta Secretaria, debiendo exponer en este momento que la autorización se expide al titular del mismo, quien deberá proporcionar servicios públicos gratuitos al Conjunto Urbano de agua potable, drenaje, alumbrado público, vigilancia y recolección de basura, hasta la entrega de estas a la autoridad municipal, es decir, posterior a la autorización del Conjunto Urbano; por lo que, dichas razones y motivos de inconformidad, corresponden a una petición adicional o plus </w:t>
      </w:r>
      <w:proofErr w:type="spellStart"/>
      <w:r w:rsidR="006F27C1" w:rsidRPr="00B13140">
        <w:rPr>
          <w:rFonts w:ascii="Palatino Linotype" w:hAnsi="Palatino Linotype"/>
          <w:i/>
          <w:sz w:val="22"/>
          <w:szCs w:val="22"/>
        </w:rPr>
        <w:t>petitio</w:t>
      </w:r>
      <w:proofErr w:type="spellEnd"/>
      <w:r w:rsidR="006F27C1" w:rsidRPr="00B13140">
        <w:rPr>
          <w:rFonts w:ascii="Palatino Linotype" w:hAnsi="Palatino Linotype"/>
          <w:i/>
          <w:sz w:val="22"/>
          <w:szCs w:val="22"/>
        </w:rPr>
        <w:t xml:space="preserve">, con relación a la referida solicitud; luego entonces, estamos ante la presencia de un nuevo requerimiento de información, ya que dicha información no </w:t>
      </w:r>
      <w:proofErr w:type="spellStart"/>
      <w:r w:rsidR="006F27C1" w:rsidRPr="00B13140">
        <w:rPr>
          <w:rFonts w:ascii="Palatino Linotype" w:hAnsi="Palatino Linotype"/>
          <w:i/>
          <w:sz w:val="22"/>
          <w:szCs w:val="22"/>
        </w:rPr>
        <w:t>habia</w:t>
      </w:r>
      <w:proofErr w:type="spellEnd"/>
      <w:r w:rsidR="006F27C1" w:rsidRPr="00B13140">
        <w:rPr>
          <w:rFonts w:ascii="Palatino Linotype" w:hAnsi="Palatino Linotype"/>
          <w:i/>
          <w:sz w:val="22"/>
          <w:szCs w:val="22"/>
        </w:rPr>
        <w:t xml:space="preserve"> sido previamente </w:t>
      </w:r>
      <w:r w:rsidR="006F27C1" w:rsidRPr="00B13140">
        <w:rPr>
          <w:rFonts w:ascii="Palatino Linotype" w:hAnsi="Palatino Linotype"/>
          <w:i/>
          <w:sz w:val="22"/>
          <w:szCs w:val="22"/>
        </w:rPr>
        <w:lastRenderedPageBreak/>
        <w:t>solicitada; circunstancia que se robustece con el oficio número 22400105000000L/002481/2022, signado por la Directora General de Operación y Control Urbano</w:t>
      </w:r>
      <w:r w:rsidR="009B1518" w:rsidRPr="00B13140">
        <w:rPr>
          <w:rFonts w:ascii="Palatino Linotype" w:hAnsi="Palatino Linotype"/>
          <w:i/>
          <w:sz w:val="22"/>
          <w:szCs w:val="22"/>
        </w:rPr>
        <w:t>.</w:t>
      </w:r>
    </w:p>
    <w:p w14:paraId="492BB19E" w14:textId="77777777" w:rsidR="006F27C1" w:rsidRPr="00B13140" w:rsidRDefault="006F27C1" w:rsidP="009B1518">
      <w:pPr>
        <w:pStyle w:val="Prrafodelista"/>
        <w:spacing w:line="360" w:lineRule="auto"/>
        <w:jc w:val="both"/>
        <w:rPr>
          <w:rFonts w:ascii="Palatino Linotype" w:hAnsi="Palatino Linotype"/>
          <w:i/>
          <w:sz w:val="22"/>
          <w:szCs w:val="22"/>
        </w:rPr>
      </w:pPr>
      <w:r w:rsidRPr="00B13140">
        <w:rPr>
          <w:rFonts w:ascii="Palatino Linotype" w:hAnsi="Palatino Linotype"/>
          <w:i/>
          <w:sz w:val="22"/>
          <w:szCs w:val="22"/>
        </w:rPr>
        <w:t xml:space="preserve">De esta forma, dichas manifestaciones al haber sido referidas a manera de razones o motivos de inconformidad. </w:t>
      </w:r>
      <w:proofErr w:type="gramStart"/>
      <w:r w:rsidRPr="00B13140">
        <w:rPr>
          <w:rFonts w:ascii="Palatino Linotype" w:hAnsi="Palatino Linotype"/>
          <w:i/>
          <w:sz w:val="22"/>
          <w:szCs w:val="22"/>
        </w:rPr>
        <w:t>resultan</w:t>
      </w:r>
      <w:proofErr w:type="gramEnd"/>
      <w:r w:rsidRPr="00B13140">
        <w:rPr>
          <w:rFonts w:ascii="Palatino Linotype" w:hAnsi="Palatino Linotype"/>
          <w:i/>
          <w:sz w:val="22"/>
          <w:szCs w:val="22"/>
        </w:rPr>
        <w:t xml:space="preserve"> inatendibles, aunado a que devienen inoperantes, debido a que son argumentos que no se plantearon originalmente en la solicitud de información pública en cuestión luego entonces, si llegarán a ser objeto de análisis por parte del </w:t>
      </w:r>
      <w:proofErr w:type="spellStart"/>
      <w:r w:rsidRPr="00B13140">
        <w:rPr>
          <w:rFonts w:ascii="Palatino Linotype" w:hAnsi="Palatino Linotype"/>
          <w:i/>
          <w:sz w:val="22"/>
          <w:szCs w:val="22"/>
        </w:rPr>
        <w:t>Organo</w:t>
      </w:r>
      <w:proofErr w:type="spellEnd"/>
      <w:r w:rsidRPr="00B13140">
        <w:rPr>
          <w:rFonts w:ascii="Palatino Linotype" w:hAnsi="Palatino Linotype"/>
          <w:i/>
          <w:sz w:val="22"/>
          <w:szCs w:val="22"/>
        </w:rPr>
        <w:t xml:space="preserve"> Garante, se precisa que se </w:t>
      </w:r>
      <w:proofErr w:type="spellStart"/>
      <w:r w:rsidRPr="00B13140">
        <w:rPr>
          <w:rFonts w:ascii="Palatino Linotype" w:hAnsi="Palatino Linotype"/>
          <w:i/>
          <w:sz w:val="22"/>
          <w:szCs w:val="22"/>
        </w:rPr>
        <w:t>dejaria</w:t>
      </w:r>
      <w:proofErr w:type="spellEnd"/>
      <w:r w:rsidRPr="00B13140">
        <w:rPr>
          <w:rFonts w:ascii="Palatino Linotype" w:hAnsi="Palatino Linotype"/>
          <w:i/>
          <w:sz w:val="22"/>
          <w:szCs w:val="22"/>
        </w:rPr>
        <w:t xml:space="preserve"> a este sujeto obligado en estado de indefensión, en razón de que no se tuvo conocimiento de las mismas hasta una etapa posterior; es decir, en la interposición del recurso de revisión que nos ocupa. </w:t>
      </w:r>
      <w:r w:rsidR="009B1518" w:rsidRPr="00B13140">
        <w:rPr>
          <w:rFonts w:ascii="Palatino Linotype" w:hAnsi="Palatino Linotype"/>
          <w:i/>
          <w:sz w:val="22"/>
          <w:szCs w:val="22"/>
        </w:rPr>
        <w:t>“</w:t>
      </w:r>
    </w:p>
    <w:p w14:paraId="492BB19F" w14:textId="77777777" w:rsidR="00E54F8A" w:rsidRPr="00B13140" w:rsidRDefault="00E54F8A" w:rsidP="00E54F8A">
      <w:pPr>
        <w:pStyle w:val="Prrafodelista"/>
        <w:spacing w:line="360" w:lineRule="auto"/>
        <w:jc w:val="both"/>
        <w:rPr>
          <w:rFonts w:ascii="Palatino Linotype" w:hAnsi="Palatino Linotype"/>
          <w:i/>
          <w:sz w:val="22"/>
          <w:szCs w:val="22"/>
        </w:rPr>
      </w:pPr>
    </w:p>
    <w:p w14:paraId="492BB1A0" w14:textId="77777777" w:rsidR="00F12093" w:rsidRPr="00B13140" w:rsidRDefault="0018114F" w:rsidP="009B1518">
      <w:pPr>
        <w:pStyle w:val="Prrafodelista"/>
        <w:numPr>
          <w:ilvl w:val="0"/>
          <w:numId w:val="5"/>
        </w:numPr>
        <w:spacing w:line="360" w:lineRule="auto"/>
        <w:jc w:val="both"/>
        <w:rPr>
          <w:rFonts w:ascii="Palatino Linotype" w:hAnsi="Palatino Linotype"/>
          <w:i/>
          <w:sz w:val="22"/>
          <w:szCs w:val="22"/>
        </w:rPr>
      </w:pPr>
      <w:hyperlink r:id="rId9" w:history="1">
        <w:r w:rsidR="00E54F8A" w:rsidRPr="00B13140">
          <w:rPr>
            <w:rStyle w:val="Hipervnculo"/>
            <w:rFonts w:ascii="Palatino Linotype" w:hAnsi="Palatino Linotype" w:cs="Arial"/>
            <w:b/>
            <w:bCs/>
            <w:color w:val="auto"/>
            <w:sz w:val="22"/>
            <w:szCs w:val="22"/>
          </w:rPr>
          <w:t>Insumos RR 6963 DGOYCU.pdf</w:t>
        </w:r>
      </w:hyperlink>
      <w:r w:rsidR="009B1518" w:rsidRPr="00B13140">
        <w:rPr>
          <w:rFonts w:ascii="Palatino Linotype" w:hAnsi="Palatino Linotype"/>
          <w:sz w:val="22"/>
          <w:szCs w:val="22"/>
        </w:rPr>
        <w:t>: oficio 22400105000000L/002481/2022, mediante el cual señaló de forma medular “</w:t>
      </w:r>
      <w:r w:rsidR="006F27C1" w:rsidRPr="00B13140">
        <w:rPr>
          <w:rFonts w:ascii="Palatino Linotype" w:hAnsi="Palatino Linotype"/>
          <w:i/>
          <w:color w:val="000000"/>
          <w:sz w:val="22"/>
          <w:szCs w:val="22"/>
        </w:rPr>
        <w:t xml:space="preserve">Aunado a ello, es preciso señalar que en la solicitud primigenia de este sujeto obligado, en ningún momento se solicitó: "No precisa o especifica que servicios públicos son necesarios proporcionar la autoridad municipal para que un conjunto urbano sea autorizado por la Secretaria de Desarrollo Urbano y Obra del Estado de México." (sic); por lo cual el acto impugnado, las razones y motivos de inconformidad expresados por el recurrente; devienen en inexactos e inoperantes, para los fines que pretende, pues al </w:t>
      </w:r>
      <w:proofErr w:type="spellStart"/>
      <w:r w:rsidR="006F27C1" w:rsidRPr="00B13140">
        <w:rPr>
          <w:rFonts w:ascii="Palatino Linotype" w:hAnsi="Palatino Linotype"/>
          <w:i/>
          <w:color w:val="000000"/>
          <w:sz w:val="22"/>
          <w:szCs w:val="22"/>
        </w:rPr>
        <w:t>dia</w:t>
      </w:r>
      <w:proofErr w:type="spellEnd"/>
      <w:r w:rsidR="006F27C1" w:rsidRPr="00B13140">
        <w:rPr>
          <w:rFonts w:ascii="Palatino Linotype" w:hAnsi="Palatino Linotype"/>
          <w:i/>
          <w:color w:val="000000"/>
          <w:sz w:val="22"/>
          <w:szCs w:val="22"/>
        </w:rPr>
        <w:t xml:space="preserve"> de hoy los mismos se Constituyen en argumentos novedosos, que no pueden ser declarados como válidos, QUE NO CONSTITUYEN LA NATURALEZA DE LA PETICIÓN ORIGINAL, ni mucho menos en su esencia por esa autoridad de acceso a la información, toda vez que se estaría dejando a la autoridad en estado de indefensión sobre la nueva Litis que pretende el recurrente le sea tomada en cuenta.</w:t>
      </w:r>
      <w:r w:rsidR="009B1518" w:rsidRPr="00B13140">
        <w:rPr>
          <w:rFonts w:ascii="Palatino Linotype" w:hAnsi="Palatino Linotype"/>
          <w:i/>
          <w:color w:val="000000"/>
          <w:sz w:val="22"/>
          <w:szCs w:val="22"/>
        </w:rPr>
        <w:t>”</w:t>
      </w:r>
    </w:p>
    <w:p w14:paraId="492BB1A1" w14:textId="77777777" w:rsidR="006F27C1" w:rsidRPr="00B13140" w:rsidRDefault="006F27C1" w:rsidP="006F27C1">
      <w:pPr>
        <w:pStyle w:val="Prrafodelista"/>
        <w:spacing w:line="360" w:lineRule="auto"/>
        <w:ind w:left="0"/>
        <w:jc w:val="both"/>
        <w:rPr>
          <w:rFonts w:ascii="Palatino Linotype" w:hAnsi="Palatino Linotype"/>
          <w:color w:val="000000"/>
          <w:szCs w:val="22"/>
        </w:rPr>
      </w:pPr>
    </w:p>
    <w:p w14:paraId="492BB1A2" w14:textId="77777777" w:rsidR="00F12093" w:rsidRPr="00B13140" w:rsidRDefault="00EF299E" w:rsidP="00F12093">
      <w:pPr>
        <w:pStyle w:val="Prrafodelista"/>
        <w:numPr>
          <w:ilvl w:val="0"/>
          <w:numId w:val="1"/>
        </w:numPr>
        <w:spacing w:line="360" w:lineRule="auto"/>
        <w:ind w:left="0" w:firstLine="0"/>
        <w:jc w:val="both"/>
        <w:rPr>
          <w:rFonts w:ascii="Palatino Linotype" w:hAnsi="Palatino Linotype" w:cs="Tahoma"/>
        </w:rPr>
      </w:pPr>
      <w:r w:rsidRPr="00B13140">
        <w:rPr>
          <w:rFonts w:ascii="Palatino Linotype" w:eastAsia="Calibri" w:hAnsi="Palatino Linotype" w:cs="Arial"/>
          <w:lang w:val="es-ES"/>
        </w:rPr>
        <w:lastRenderedPageBreak/>
        <w:t>El trece (13) de julio</w:t>
      </w:r>
      <w:r w:rsidR="001378B2" w:rsidRPr="00B13140">
        <w:rPr>
          <w:rFonts w:ascii="Palatino Linotype" w:eastAsia="Calibri" w:hAnsi="Palatino Linotype" w:cs="Arial"/>
          <w:lang w:val="es-ES"/>
        </w:rPr>
        <w:t xml:space="preserve"> </w:t>
      </w:r>
      <w:r w:rsidR="00765091" w:rsidRPr="00B13140">
        <w:rPr>
          <w:rFonts w:ascii="Palatino Linotype" w:eastAsia="Calibri" w:hAnsi="Palatino Linotype" w:cs="Arial"/>
          <w:lang w:val="es-ES"/>
        </w:rPr>
        <w:t xml:space="preserve"> de dos mil veintidós, se notificó el acuerdo mediante el cual se aprobó la ampliación de plazo para resolver el recurso de revisión por un</w:t>
      </w:r>
      <w:r w:rsidR="001378B2" w:rsidRPr="00B13140">
        <w:rPr>
          <w:rFonts w:ascii="Palatino Linotype" w:eastAsia="Calibri" w:hAnsi="Palatino Linotype" w:cs="Arial"/>
          <w:lang w:val="es-ES"/>
        </w:rPr>
        <w:t xml:space="preserve"> periodo de quince días hábiles.</w:t>
      </w:r>
    </w:p>
    <w:p w14:paraId="492BB1A3" w14:textId="77777777" w:rsidR="001378B2" w:rsidRPr="00B13140" w:rsidRDefault="001378B2" w:rsidP="001378B2">
      <w:pPr>
        <w:pStyle w:val="Prrafodelista"/>
        <w:spacing w:line="360" w:lineRule="auto"/>
        <w:ind w:left="0"/>
        <w:jc w:val="both"/>
        <w:rPr>
          <w:rFonts w:ascii="Palatino Linotype" w:hAnsi="Palatino Linotype" w:cs="Tahoma"/>
        </w:rPr>
      </w:pPr>
    </w:p>
    <w:p w14:paraId="492BB1A4" w14:textId="77777777" w:rsidR="001378B2" w:rsidRPr="00B13140" w:rsidRDefault="00EF299E" w:rsidP="001378B2">
      <w:pPr>
        <w:pStyle w:val="Prrafodelista"/>
        <w:numPr>
          <w:ilvl w:val="0"/>
          <w:numId w:val="1"/>
        </w:numPr>
        <w:spacing w:line="360" w:lineRule="auto"/>
        <w:ind w:left="0" w:firstLine="0"/>
        <w:jc w:val="both"/>
        <w:rPr>
          <w:rFonts w:ascii="Palatino Linotype" w:hAnsi="Palatino Linotype"/>
          <w:color w:val="000000"/>
          <w:szCs w:val="22"/>
        </w:rPr>
      </w:pPr>
      <w:r w:rsidRPr="00B13140">
        <w:rPr>
          <w:rFonts w:ascii="Palatino Linotype" w:hAnsi="Palatino Linotype"/>
          <w:color w:val="000000"/>
          <w:szCs w:val="22"/>
        </w:rPr>
        <w:t xml:space="preserve">El trece (13) de julio </w:t>
      </w:r>
      <w:r w:rsidR="001378B2" w:rsidRPr="00B13140">
        <w:rPr>
          <w:rFonts w:ascii="Palatino Linotype" w:hAnsi="Palatino Linotype"/>
          <w:color w:val="000000"/>
          <w:szCs w:val="22"/>
        </w:rPr>
        <w:t xml:space="preserve"> de dos mil veintidós, se notificó el acuerdo mediante el cual se dio por concluido el periodo de instrucción. </w:t>
      </w:r>
    </w:p>
    <w:p w14:paraId="56EDE49D" w14:textId="77777777" w:rsidR="00011EDF" w:rsidRPr="00B13140" w:rsidRDefault="00011EDF" w:rsidP="00011EDF">
      <w:pPr>
        <w:pStyle w:val="Prrafodelista"/>
        <w:rPr>
          <w:rFonts w:ascii="Palatino Linotype" w:hAnsi="Palatino Linotype"/>
          <w:color w:val="000000"/>
          <w:szCs w:val="22"/>
        </w:rPr>
      </w:pPr>
    </w:p>
    <w:p w14:paraId="461CFB92" w14:textId="77777777" w:rsidR="00011EDF" w:rsidRPr="00B13140" w:rsidRDefault="00011EDF" w:rsidP="00011EDF">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3140">
        <w:rPr>
          <w:rFonts w:ascii="Palatino Linotype" w:eastAsia="Calibri" w:hAnsi="Palatino Linotype" w:cs="Arial"/>
          <w:color w:val="000000" w:themeColor="text1"/>
        </w:rPr>
        <w:t xml:space="preserve">Este </w:t>
      </w:r>
      <w:r w:rsidRPr="00B13140">
        <w:rPr>
          <w:rFonts w:ascii="Palatino Linotype" w:eastAsia="Calibri" w:hAnsi="Palatino Linotype" w:cs="Arial"/>
        </w:rPr>
        <w:t>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0EBDE30" w14:textId="77777777" w:rsidR="00011EDF" w:rsidRPr="00B13140" w:rsidRDefault="00011EDF" w:rsidP="00011EDF">
      <w:pPr>
        <w:pStyle w:val="Prrafodelista"/>
        <w:tabs>
          <w:tab w:val="left" w:pos="426"/>
        </w:tabs>
        <w:spacing w:before="240" w:after="240" w:line="360" w:lineRule="auto"/>
        <w:ind w:left="0"/>
        <w:jc w:val="both"/>
        <w:rPr>
          <w:rFonts w:ascii="Palatino Linotype" w:hAnsi="Palatino Linotype"/>
        </w:rPr>
      </w:pPr>
    </w:p>
    <w:p w14:paraId="53B7C296" w14:textId="77777777" w:rsidR="00011EDF" w:rsidRPr="00B13140" w:rsidRDefault="00011EDF" w:rsidP="00011EDF">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rPr>
      </w:pPr>
      <w:r w:rsidRPr="00B13140">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BB0C497" w14:textId="77777777" w:rsidR="00011EDF" w:rsidRPr="00B13140" w:rsidRDefault="00011EDF" w:rsidP="00011EDF">
      <w:pPr>
        <w:pStyle w:val="Prrafodelista"/>
        <w:tabs>
          <w:tab w:val="left" w:pos="284"/>
          <w:tab w:val="left" w:pos="426"/>
        </w:tabs>
        <w:spacing w:before="240" w:after="240" w:line="360" w:lineRule="auto"/>
        <w:ind w:left="0" w:right="49"/>
        <w:jc w:val="both"/>
        <w:rPr>
          <w:rFonts w:ascii="Palatino Linotype" w:hAnsi="Palatino Linotype"/>
        </w:rPr>
      </w:pPr>
    </w:p>
    <w:p w14:paraId="5772B55D" w14:textId="77777777" w:rsidR="00011EDF" w:rsidRPr="00B13140" w:rsidRDefault="00011EDF" w:rsidP="00011EDF">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3140">
        <w:rPr>
          <w:rFonts w:ascii="Palatino Linotype" w:eastAsia="Calibri" w:hAnsi="Palatino Linotype" w:cs="Arial"/>
        </w:rPr>
        <w:t xml:space="preserve">Así, </w:t>
      </w:r>
      <w:r w:rsidRPr="00B13140">
        <w:rPr>
          <w:rFonts w:ascii="Palatino Linotype" w:hAnsi="Palatino Linotype"/>
        </w:rPr>
        <w:t xml:space="preserve">en términos de lo que establecen los artículos 8.1 y 25 de la Convención Americana sobre Derechos Humanos, los recursos deben ser sencillos y resolverse </w:t>
      </w:r>
      <w:r w:rsidRPr="00B13140">
        <w:rPr>
          <w:rFonts w:ascii="Palatino Linotype" w:hAnsi="Palatino Linotype"/>
        </w:rPr>
        <w:lastRenderedPageBreak/>
        <w:t>en el menor tiempo posible, tomando en consideración la dilación total del procedimiento; esto es, en un plazo razonable.</w:t>
      </w:r>
    </w:p>
    <w:p w14:paraId="66A488D3" w14:textId="77777777" w:rsidR="00011EDF" w:rsidRPr="00B13140" w:rsidRDefault="00011EDF" w:rsidP="00011EDF">
      <w:pPr>
        <w:pStyle w:val="Prrafodelista"/>
        <w:tabs>
          <w:tab w:val="left" w:pos="426"/>
        </w:tabs>
        <w:spacing w:before="240" w:after="240" w:line="360" w:lineRule="auto"/>
        <w:ind w:left="0"/>
        <w:jc w:val="both"/>
        <w:rPr>
          <w:rFonts w:ascii="Palatino Linotype" w:hAnsi="Palatino Linotype"/>
        </w:rPr>
      </w:pPr>
    </w:p>
    <w:p w14:paraId="5121F0E6" w14:textId="77777777" w:rsidR="00011EDF" w:rsidRPr="00B13140" w:rsidRDefault="00011EDF" w:rsidP="00011EDF">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3140">
        <w:rPr>
          <w:rFonts w:ascii="Palatino Linotype" w:eastAsia="Calibri" w:hAnsi="Palatino Linotype" w:cs="Arial"/>
        </w:rPr>
        <w:t xml:space="preserve">En </w:t>
      </w:r>
      <w:r w:rsidRPr="00B13140">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239720" w14:textId="77777777" w:rsidR="00011EDF" w:rsidRPr="00B13140" w:rsidRDefault="00011EDF" w:rsidP="00011EDF">
      <w:pPr>
        <w:pStyle w:val="Prrafodelista"/>
        <w:tabs>
          <w:tab w:val="left" w:pos="426"/>
        </w:tabs>
        <w:spacing w:before="240" w:after="240" w:line="360" w:lineRule="auto"/>
        <w:ind w:left="0"/>
        <w:jc w:val="both"/>
        <w:rPr>
          <w:rFonts w:ascii="Palatino Linotype" w:hAnsi="Palatino Linotype"/>
        </w:rPr>
      </w:pPr>
    </w:p>
    <w:p w14:paraId="56696BDC" w14:textId="77777777" w:rsidR="00011EDF" w:rsidRPr="00B13140" w:rsidRDefault="00011EDF" w:rsidP="00011EDF">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13140">
        <w:rPr>
          <w:rFonts w:ascii="Palatino Linotype" w:eastAsia="Calibri" w:hAnsi="Palatino Linotype" w:cs="Arial"/>
        </w:rPr>
        <w:t xml:space="preserve">Por </w:t>
      </w:r>
      <w:r w:rsidRPr="00B13140">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255BAA78" w14:textId="77777777" w:rsidR="00011EDF" w:rsidRPr="00B13140" w:rsidRDefault="00011EDF" w:rsidP="00011EDF">
      <w:pPr>
        <w:pStyle w:val="Prrafodelista"/>
        <w:numPr>
          <w:ilvl w:val="1"/>
          <w:numId w:val="43"/>
        </w:numPr>
        <w:tabs>
          <w:tab w:val="left" w:pos="426"/>
        </w:tabs>
        <w:spacing w:line="360" w:lineRule="auto"/>
        <w:ind w:left="1134"/>
        <w:jc w:val="both"/>
        <w:rPr>
          <w:rFonts w:ascii="Palatino Linotype" w:eastAsia="Calibri" w:hAnsi="Palatino Linotype" w:cs="Arial"/>
        </w:rPr>
      </w:pPr>
      <w:r w:rsidRPr="00B13140">
        <w:rPr>
          <w:rFonts w:ascii="Palatino Linotype" w:eastAsia="Calibri" w:hAnsi="Palatino Linotype" w:cs="Arial"/>
          <w:b/>
          <w:bCs/>
        </w:rPr>
        <w:t>Complejidad del Asunto:</w:t>
      </w:r>
      <w:r w:rsidRPr="00B13140">
        <w:rPr>
          <w:rFonts w:ascii="Palatino Linotype" w:eastAsia="Calibri" w:hAnsi="Palatino Linotype" w:cs="Arial"/>
        </w:rPr>
        <w:t xml:space="preserve"> La complejidad de la prueba, la pluralidad de sujetos procesales, el tiempo transcurrido, las características y contexto del recurso.</w:t>
      </w:r>
    </w:p>
    <w:p w14:paraId="48A78560" w14:textId="77777777" w:rsidR="00011EDF" w:rsidRPr="00B13140" w:rsidRDefault="00011EDF" w:rsidP="00011EDF">
      <w:pPr>
        <w:pStyle w:val="Prrafodelista"/>
        <w:numPr>
          <w:ilvl w:val="1"/>
          <w:numId w:val="43"/>
        </w:numPr>
        <w:tabs>
          <w:tab w:val="left" w:pos="426"/>
        </w:tabs>
        <w:spacing w:line="360" w:lineRule="auto"/>
        <w:ind w:left="1134"/>
        <w:jc w:val="both"/>
        <w:rPr>
          <w:rFonts w:ascii="Palatino Linotype" w:eastAsia="Calibri" w:hAnsi="Palatino Linotype" w:cs="Arial"/>
        </w:rPr>
      </w:pPr>
      <w:r w:rsidRPr="00B13140">
        <w:rPr>
          <w:rFonts w:ascii="Palatino Linotype" w:eastAsia="Calibri" w:hAnsi="Palatino Linotype" w:cs="Arial"/>
          <w:b/>
          <w:bCs/>
        </w:rPr>
        <w:t>Actividad Procesal del interesado:</w:t>
      </w:r>
      <w:r w:rsidRPr="00B13140">
        <w:rPr>
          <w:rFonts w:ascii="Palatino Linotype" w:eastAsia="Calibri" w:hAnsi="Palatino Linotype" w:cs="Arial"/>
        </w:rPr>
        <w:t xml:space="preserve"> Acciones u omisiones del interesado.</w:t>
      </w:r>
    </w:p>
    <w:p w14:paraId="5DB48E29" w14:textId="77777777" w:rsidR="00011EDF" w:rsidRPr="00B13140" w:rsidRDefault="00011EDF" w:rsidP="00011EDF">
      <w:pPr>
        <w:pStyle w:val="Prrafodelista"/>
        <w:numPr>
          <w:ilvl w:val="1"/>
          <w:numId w:val="43"/>
        </w:numPr>
        <w:tabs>
          <w:tab w:val="left" w:pos="426"/>
        </w:tabs>
        <w:spacing w:line="360" w:lineRule="auto"/>
        <w:ind w:left="1134"/>
        <w:jc w:val="both"/>
        <w:rPr>
          <w:rFonts w:ascii="Palatino Linotype" w:eastAsia="Calibri" w:hAnsi="Palatino Linotype" w:cs="Arial"/>
        </w:rPr>
      </w:pPr>
      <w:r w:rsidRPr="00B13140">
        <w:rPr>
          <w:rFonts w:ascii="Palatino Linotype" w:eastAsia="Calibri" w:hAnsi="Palatino Linotype" w:cs="Arial"/>
          <w:b/>
          <w:bCs/>
        </w:rPr>
        <w:t>Conducta de la Autoridad:</w:t>
      </w:r>
      <w:r w:rsidRPr="00B13140">
        <w:rPr>
          <w:rFonts w:ascii="Palatino Linotype" w:eastAsia="Calibri" w:hAnsi="Palatino Linotype" w:cs="Arial"/>
        </w:rPr>
        <w:t xml:space="preserve"> Las Acciones u omisiones realizadas en el procedimiento. Así como si la autoridad actuó con la debida diligencia.</w:t>
      </w:r>
    </w:p>
    <w:p w14:paraId="72BEB660" w14:textId="77777777" w:rsidR="00011EDF" w:rsidRPr="00B13140" w:rsidRDefault="00011EDF" w:rsidP="00011EDF">
      <w:pPr>
        <w:pStyle w:val="Prrafodelista"/>
        <w:numPr>
          <w:ilvl w:val="1"/>
          <w:numId w:val="43"/>
        </w:numPr>
        <w:tabs>
          <w:tab w:val="left" w:pos="426"/>
        </w:tabs>
        <w:spacing w:line="360" w:lineRule="auto"/>
        <w:ind w:left="1134"/>
        <w:jc w:val="both"/>
        <w:rPr>
          <w:rFonts w:ascii="Palatino Linotype" w:hAnsi="Palatino Linotype"/>
          <w:color w:val="000000" w:themeColor="text1"/>
        </w:rPr>
      </w:pPr>
      <w:r w:rsidRPr="00B13140">
        <w:rPr>
          <w:rFonts w:ascii="Palatino Linotype" w:eastAsia="Calibri" w:hAnsi="Palatino Linotype" w:cs="Arial"/>
          <w:b/>
          <w:bCs/>
        </w:rPr>
        <w:t xml:space="preserve">La afectación generada en la situación jurídica de la persona involucrada en el proceso: </w:t>
      </w:r>
      <w:r w:rsidRPr="00B13140">
        <w:rPr>
          <w:rFonts w:ascii="Palatino Linotype" w:eastAsia="Calibri" w:hAnsi="Palatino Linotype" w:cs="Arial"/>
        </w:rPr>
        <w:t>Violación a sus derechos humanos.</w:t>
      </w:r>
    </w:p>
    <w:p w14:paraId="196767E7" w14:textId="77777777" w:rsidR="00011EDF" w:rsidRPr="00B13140" w:rsidRDefault="00011EDF" w:rsidP="00011EDF">
      <w:pPr>
        <w:pStyle w:val="Prrafodelista"/>
        <w:tabs>
          <w:tab w:val="left" w:pos="426"/>
        </w:tabs>
        <w:spacing w:line="360" w:lineRule="auto"/>
        <w:ind w:left="0"/>
        <w:jc w:val="both"/>
        <w:rPr>
          <w:rFonts w:ascii="Palatino Linotype" w:hAnsi="Palatino Linotype"/>
          <w:color w:val="000000" w:themeColor="text1"/>
        </w:rPr>
      </w:pPr>
    </w:p>
    <w:p w14:paraId="2F09D978" w14:textId="77777777" w:rsidR="00011EDF" w:rsidRPr="00B13140" w:rsidRDefault="00011EDF" w:rsidP="00011EDF">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3140">
        <w:rPr>
          <w:rFonts w:ascii="Palatino Linotype" w:eastAsia="Calibri" w:hAnsi="Palatino Linotype" w:cs="Arial"/>
          <w:color w:val="000000" w:themeColor="text1"/>
        </w:rPr>
        <w:t xml:space="preserve">De </w:t>
      </w:r>
      <w:r w:rsidRPr="00B13140">
        <w:rPr>
          <w:rFonts w:ascii="Palatino Linotype" w:hAnsi="Palatino Linotype"/>
        </w:rPr>
        <w:t xml:space="preserve">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13140">
        <w:rPr>
          <w:rFonts w:ascii="Palatino Linotype" w:hAnsi="Palatino Linotype"/>
        </w:rPr>
        <w:lastRenderedPageBreak/>
        <w:t>relación con la actuación del funcionario, como ha acontecido en el caso que nos ocupa.</w:t>
      </w:r>
    </w:p>
    <w:p w14:paraId="27E88E30" w14:textId="77777777" w:rsidR="00011EDF" w:rsidRPr="00B13140" w:rsidRDefault="00011EDF" w:rsidP="00011EDF">
      <w:pPr>
        <w:pStyle w:val="Prrafodelista"/>
        <w:tabs>
          <w:tab w:val="left" w:pos="426"/>
        </w:tabs>
        <w:spacing w:before="240" w:after="240" w:line="360" w:lineRule="auto"/>
        <w:ind w:left="0"/>
        <w:jc w:val="both"/>
        <w:rPr>
          <w:rFonts w:ascii="Palatino Linotype" w:hAnsi="Palatino Linotype"/>
        </w:rPr>
      </w:pPr>
    </w:p>
    <w:p w14:paraId="1FA386C1" w14:textId="77777777" w:rsidR="00011EDF" w:rsidRPr="00B13140" w:rsidRDefault="00011EDF" w:rsidP="00011EDF">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3140">
        <w:rPr>
          <w:rFonts w:ascii="Palatino Linotype" w:eastAsia="Calibri" w:hAnsi="Palatino Linotype" w:cs="Arial"/>
        </w:rPr>
        <w:t xml:space="preserve">Argumento </w:t>
      </w:r>
      <w:r w:rsidRPr="00B13140">
        <w:rPr>
          <w:rFonts w:ascii="Palatino Linotype" w:hAnsi="Palatino Linotype"/>
        </w:rPr>
        <w:t>que encuentra sustento en la jurisprudencia P</w:t>
      </w:r>
      <w:proofErr w:type="gramStart"/>
      <w:r w:rsidRPr="00B13140">
        <w:rPr>
          <w:rFonts w:ascii="Palatino Linotype" w:hAnsi="Palatino Linotype"/>
        </w:rPr>
        <w:t>./</w:t>
      </w:r>
      <w:proofErr w:type="gramEnd"/>
      <w:r w:rsidRPr="00B13140">
        <w:rPr>
          <w:rFonts w:ascii="Palatino Linotype" w:hAnsi="Palatino Linotype"/>
        </w:rPr>
        <w:t xml:space="preserve">J. 32/92 emitida por el Pleno de la Suprema Corte de Justicia de la Nación de rubro </w:t>
      </w:r>
      <w:r w:rsidRPr="00B13140">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13140">
        <w:rPr>
          <w:rStyle w:val="Refdenotaalpie"/>
          <w:rFonts w:ascii="Palatino Linotype" w:hAnsi="Palatino Linotype"/>
          <w:i/>
        </w:rPr>
        <w:footnoteReference w:id="1"/>
      </w:r>
      <w:r w:rsidRPr="00B13140">
        <w:rPr>
          <w:rFonts w:ascii="Palatino Linotype" w:hAnsi="Palatino Linotype"/>
        </w:rPr>
        <w:t>, visible en la Gaceta del Seminario Judicial de la Federación con el registro digital 205635.</w:t>
      </w:r>
    </w:p>
    <w:p w14:paraId="5F75603F" w14:textId="77777777" w:rsidR="00011EDF" w:rsidRPr="00B13140" w:rsidRDefault="00011EDF" w:rsidP="00011EDF">
      <w:pPr>
        <w:pStyle w:val="Prrafodelista"/>
        <w:tabs>
          <w:tab w:val="left" w:pos="426"/>
        </w:tabs>
        <w:spacing w:before="240" w:after="240" w:line="360" w:lineRule="auto"/>
        <w:ind w:left="0"/>
        <w:jc w:val="both"/>
        <w:rPr>
          <w:rFonts w:ascii="Palatino Linotype" w:hAnsi="Palatino Linotype"/>
        </w:rPr>
      </w:pPr>
    </w:p>
    <w:p w14:paraId="34FA2B53" w14:textId="77777777" w:rsidR="00011EDF" w:rsidRPr="00B13140" w:rsidRDefault="00011EDF" w:rsidP="00011EDF">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3140">
        <w:rPr>
          <w:rFonts w:ascii="Palatino Linotype" w:eastAsia="Calibri" w:hAnsi="Palatino Linotype" w:cs="Arial"/>
        </w:rPr>
        <w:lastRenderedPageBreak/>
        <w:t xml:space="preserve">Razones </w:t>
      </w:r>
      <w:r w:rsidRPr="00B13140">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5CF234" w14:textId="77777777" w:rsidR="00011EDF" w:rsidRPr="00B13140" w:rsidRDefault="00011EDF" w:rsidP="00011EDF">
      <w:pPr>
        <w:pStyle w:val="Prrafodelista"/>
        <w:tabs>
          <w:tab w:val="left" w:pos="426"/>
        </w:tabs>
        <w:spacing w:before="240" w:after="240" w:line="360" w:lineRule="auto"/>
        <w:ind w:left="0"/>
        <w:jc w:val="both"/>
        <w:rPr>
          <w:rFonts w:ascii="Palatino Linotype" w:hAnsi="Palatino Linotype"/>
        </w:rPr>
      </w:pPr>
    </w:p>
    <w:p w14:paraId="14C4BA0B" w14:textId="77777777" w:rsidR="00011EDF" w:rsidRPr="00B13140" w:rsidRDefault="00011EDF" w:rsidP="00011EDF">
      <w:pPr>
        <w:pStyle w:val="Prrafodelista"/>
        <w:numPr>
          <w:ilvl w:val="0"/>
          <w:numId w:val="1"/>
        </w:numPr>
        <w:tabs>
          <w:tab w:val="left" w:pos="426"/>
        </w:tabs>
        <w:spacing w:before="240" w:after="240" w:line="360" w:lineRule="auto"/>
        <w:ind w:left="0" w:firstLine="0"/>
        <w:jc w:val="both"/>
        <w:rPr>
          <w:rFonts w:ascii="Palatino Linotype" w:hAnsi="Palatino Linotype"/>
        </w:rPr>
      </w:pPr>
      <w:r w:rsidRPr="00B13140">
        <w:rPr>
          <w:rFonts w:ascii="Palatino Linotype" w:eastAsia="Calibri" w:hAnsi="Palatino Linotype" w:cs="Arial"/>
        </w:rPr>
        <w:t xml:space="preserve">Por </w:t>
      </w:r>
      <w:r w:rsidRPr="00B1314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A21E2EE" w14:textId="77777777" w:rsidR="00011EDF" w:rsidRPr="00B13140" w:rsidRDefault="00011EDF" w:rsidP="00011EDF">
      <w:pPr>
        <w:pStyle w:val="Prrafodelista"/>
        <w:tabs>
          <w:tab w:val="left" w:pos="426"/>
        </w:tabs>
        <w:spacing w:before="240" w:after="240" w:line="360" w:lineRule="auto"/>
        <w:ind w:left="0"/>
        <w:jc w:val="both"/>
        <w:rPr>
          <w:rFonts w:ascii="Palatino Linotype" w:hAnsi="Palatino Linotype"/>
        </w:rPr>
      </w:pPr>
    </w:p>
    <w:p w14:paraId="610BA15F" w14:textId="77777777" w:rsidR="00011EDF" w:rsidRPr="00B13140" w:rsidRDefault="00011EDF" w:rsidP="00011EDF">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13140">
        <w:rPr>
          <w:rFonts w:ascii="Palatino Linotype" w:eastAsia="Calibri" w:hAnsi="Palatino Linotype" w:cs="Arial"/>
        </w:rPr>
        <w:t xml:space="preserve">Al </w:t>
      </w:r>
      <w:r w:rsidRPr="00B13140">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163A9C58" w14:textId="77777777" w:rsidR="00011EDF" w:rsidRPr="00B13140" w:rsidRDefault="00011EDF" w:rsidP="00011EDF">
      <w:pPr>
        <w:pStyle w:val="Prrafodelista"/>
        <w:tabs>
          <w:tab w:val="left" w:pos="426"/>
        </w:tabs>
        <w:spacing w:line="360" w:lineRule="auto"/>
        <w:ind w:left="0"/>
        <w:jc w:val="both"/>
        <w:rPr>
          <w:rFonts w:ascii="Palatino Linotype" w:hAnsi="Palatino Linotype"/>
          <w:color w:val="000000" w:themeColor="text1"/>
        </w:rPr>
      </w:pPr>
    </w:p>
    <w:p w14:paraId="618CA5D9" w14:textId="77777777" w:rsidR="00011EDF" w:rsidRPr="00B13140" w:rsidRDefault="00011EDF" w:rsidP="00011EDF">
      <w:pPr>
        <w:pStyle w:val="Prrafodelista"/>
        <w:spacing w:line="276" w:lineRule="auto"/>
        <w:ind w:left="567" w:right="567"/>
        <w:jc w:val="both"/>
        <w:rPr>
          <w:rFonts w:ascii="Palatino Linotype" w:hAnsi="Palatino Linotype"/>
          <w:i/>
          <w:sz w:val="22"/>
        </w:rPr>
      </w:pPr>
      <w:r w:rsidRPr="00B13140">
        <w:rPr>
          <w:rFonts w:ascii="Palatino Linotype" w:hAnsi="Palatino Linotype"/>
          <w:b/>
          <w:i/>
          <w:sz w:val="22"/>
        </w:rPr>
        <w:t>PLAZO RAZONABLE PARA RESOLVER. DIMENSIÓN Y EFECTOS DE ESTE CONCEPTO CUANDO SE ADUCE EXCESIVA CARGA DE TRABAJO.</w:t>
      </w:r>
      <w:r w:rsidRPr="00B13140">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w:t>
      </w:r>
      <w:r w:rsidRPr="00B13140">
        <w:rPr>
          <w:rFonts w:ascii="Palatino Linotype" w:hAnsi="Palatino Linotype"/>
          <w:i/>
          <w:sz w:val="22"/>
        </w:rPr>
        <w:lastRenderedPageBreak/>
        <w:t>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B13140">
        <w:rPr>
          <w:rStyle w:val="Refdenotaalpie"/>
          <w:rFonts w:ascii="Palatino Linotype" w:hAnsi="Palatino Linotype"/>
          <w:i/>
          <w:sz w:val="22"/>
        </w:rPr>
        <w:footnoteReference w:id="2"/>
      </w:r>
    </w:p>
    <w:p w14:paraId="6BC3536A" w14:textId="77777777" w:rsidR="00011EDF" w:rsidRPr="00B13140" w:rsidRDefault="00011EDF" w:rsidP="00011EDF">
      <w:pPr>
        <w:pStyle w:val="Prrafodelista"/>
        <w:spacing w:line="276" w:lineRule="auto"/>
        <w:ind w:left="567" w:right="567"/>
        <w:jc w:val="both"/>
        <w:rPr>
          <w:rFonts w:ascii="Palatino Linotype" w:hAnsi="Palatino Linotype"/>
          <w:i/>
          <w:sz w:val="22"/>
        </w:rPr>
      </w:pPr>
    </w:p>
    <w:p w14:paraId="3F6404B1" w14:textId="77777777" w:rsidR="00011EDF" w:rsidRPr="00B13140" w:rsidRDefault="00011EDF" w:rsidP="00011EDF">
      <w:pPr>
        <w:pStyle w:val="Prrafodelista"/>
        <w:spacing w:line="276" w:lineRule="auto"/>
        <w:ind w:left="567" w:right="567"/>
        <w:jc w:val="both"/>
        <w:rPr>
          <w:rFonts w:ascii="Palatino Linotype" w:hAnsi="Palatino Linotype"/>
          <w:i/>
          <w:sz w:val="22"/>
        </w:rPr>
      </w:pPr>
      <w:r w:rsidRPr="00B13140">
        <w:rPr>
          <w:rFonts w:ascii="Palatino Linotype" w:hAnsi="Palatino Linotype"/>
          <w:b/>
          <w:i/>
          <w:sz w:val="22"/>
        </w:rPr>
        <w:t>PLAZO RAZONABLE PARA RESOLVER. CONCEPTO Y ELEMENTOS QUE LO INTEGRAN A LA LUZ DEL DERECHO INTERNACIONAL DE LOS DERECHOS HUMANOS.</w:t>
      </w:r>
      <w:r w:rsidRPr="00B13140">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w:t>
      </w:r>
      <w:r w:rsidRPr="00B13140">
        <w:rPr>
          <w:rFonts w:ascii="Palatino Linotype" w:hAnsi="Palatino Linotype"/>
          <w:i/>
          <w:sz w:val="22"/>
        </w:rPr>
        <w:lastRenderedPageBreak/>
        <w:t>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B13140">
        <w:rPr>
          <w:rStyle w:val="Refdenotaalpie"/>
          <w:rFonts w:ascii="Palatino Linotype" w:hAnsi="Palatino Linotype"/>
          <w:i/>
          <w:sz w:val="22"/>
        </w:rPr>
        <w:footnoteReference w:id="3"/>
      </w:r>
    </w:p>
    <w:p w14:paraId="7B14C573" w14:textId="77777777" w:rsidR="00011EDF" w:rsidRPr="00B13140" w:rsidRDefault="00011EDF" w:rsidP="00011EDF">
      <w:pPr>
        <w:pStyle w:val="Prrafodelista"/>
        <w:tabs>
          <w:tab w:val="left" w:pos="426"/>
        </w:tabs>
        <w:spacing w:line="360" w:lineRule="auto"/>
        <w:ind w:left="0"/>
        <w:jc w:val="both"/>
        <w:rPr>
          <w:rFonts w:ascii="Palatino Linotype" w:hAnsi="Palatino Linotype"/>
          <w:color w:val="000000" w:themeColor="text1"/>
        </w:rPr>
      </w:pPr>
    </w:p>
    <w:p w14:paraId="66E7D419" w14:textId="77777777" w:rsidR="00011EDF" w:rsidRPr="00B13140" w:rsidRDefault="00011EDF" w:rsidP="00011EDF">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B13140">
        <w:rPr>
          <w:rFonts w:ascii="Palatino Linotype" w:eastAsia="Calibri" w:hAnsi="Palatino Linotype" w:cs="Arial"/>
          <w:color w:val="000000" w:themeColor="text1"/>
        </w:rPr>
        <w:t xml:space="preserve">Por </w:t>
      </w:r>
      <w:r w:rsidRPr="00B13140">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492BB1A5" w14:textId="77777777" w:rsidR="001378B2" w:rsidRPr="00B13140" w:rsidRDefault="001378B2" w:rsidP="001378B2">
      <w:pPr>
        <w:pStyle w:val="Prrafodelista"/>
        <w:spacing w:line="360" w:lineRule="auto"/>
        <w:ind w:left="0"/>
        <w:jc w:val="both"/>
        <w:rPr>
          <w:rFonts w:ascii="Palatino Linotype" w:hAnsi="Palatino Linotype" w:cs="Tahoma"/>
        </w:rPr>
      </w:pPr>
    </w:p>
    <w:p w14:paraId="492BB1A6" w14:textId="77777777" w:rsidR="00F12093" w:rsidRPr="00B13140" w:rsidRDefault="00F12093" w:rsidP="00F12093">
      <w:pPr>
        <w:pStyle w:val="Ttulo1"/>
        <w:spacing w:before="0" w:line="360" w:lineRule="auto"/>
        <w:jc w:val="center"/>
        <w:rPr>
          <w:szCs w:val="24"/>
        </w:rPr>
      </w:pPr>
      <w:bookmarkStart w:id="5" w:name="_Toc59195556"/>
      <w:bookmarkStart w:id="6" w:name="_Toc89360010"/>
      <w:r w:rsidRPr="00B13140">
        <w:rPr>
          <w:szCs w:val="24"/>
        </w:rPr>
        <w:lastRenderedPageBreak/>
        <w:t>CONSIDERANDO</w:t>
      </w:r>
      <w:bookmarkEnd w:id="5"/>
      <w:bookmarkEnd w:id="6"/>
    </w:p>
    <w:p w14:paraId="492BB1A7" w14:textId="77777777" w:rsidR="00F12093" w:rsidRPr="00B13140" w:rsidRDefault="00F12093" w:rsidP="00F12093">
      <w:pPr>
        <w:pStyle w:val="Ttulo1"/>
        <w:spacing w:before="0" w:line="360" w:lineRule="auto"/>
        <w:jc w:val="center"/>
        <w:rPr>
          <w:szCs w:val="24"/>
        </w:rPr>
      </w:pPr>
      <w:r w:rsidRPr="00B13140">
        <w:rPr>
          <w:szCs w:val="24"/>
        </w:rPr>
        <w:t xml:space="preserve"> </w:t>
      </w:r>
    </w:p>
    <w:p w14:paraId="492BB1A8" w14:textId="77777777" w:rsidR="00F12093" w:rsidRPr="00B13140" w:rsidRDefault="00F12093" w:rsidP="00F12093">
      <w:pPr>
        <w:pStyle w:val="Ttulo2"/>
        <w:spacing w:before="0" w:line="360" w:lineRule="auto"/>
        <w:rPr>
          <w:rFonts w:ascii="Palatino Linotype" w:hAnsi="Palatino Linotype"/>
          <w:b/>
          <w:color w:val="auto"/>
          <w:sz w:val="24"/>
        </w:rPr>
      </w:pPr>
      <w:bookmarkStart w:id="7" w:name="_Toc59195557"/>
      <w:bookmarkStart w:id="8" w:name="_Toc89360011"/>
      <w:r w:rsidRPr="00B13140">
        <w:rPr>
          <w:rFonts w:ascii="Palatino Linotype" w:hAnsi="Palatino Linotype"/>
          <w:b/>
          <w:color w:val="auto"/>
          <w:sz w:val="24"/>
        </w:rPr>
        <w:t>PRIMERO. De la competencia</w:t>
      </w:r>
      <w:bookmarkEnd w:id="7"/>
      <w:bookmarkEnd w:id="8"/>
    </w:p>
    <w:p w14:paraId="492BB1A9" w14:textId="77777777" w:rsidR="00F12093" w:rsidRPr="00B13140" w:rsidRDefault="00F12093" w:rsidP="00F12093">
      <w:pPr>
        <w:spacing w:line="360" w:lineRule="auto"/>
        <w:rPr>
          <w:rFonts w:ascii="Palatino Linotype" w:hAnsi="Palatino Linotype"/>
          <w:lang w:val="es-MX" w:eastAsia="en-US"/>
        </w:rPr>
      </w:pPr>
    </w:p>
    <w:p w14:paraId="492BB1AA" w14:textId="77777777" w:rsidR="00F12093" w:rsidRPr="00B13140" w:rsidRDefault="00F12093" w:rsidP="00F12093">
      <w:pPr>
        <w:numPr>
          <w:ilvl w:val="0"/>
          <w:numId w:val="1"/>
        </w:numPr>
        <w:spacing w:line="360" w:lineRule="auto"/>
        <w:ind w:left="0" w:firstLine="0"/>
        <w:contextualSpacing/>
        <w:jc w:val="both"/>
        <w:rPr>
          <w:rFonts w:ascii="Palatino Linotype" w:eastAsia="Times New Roman" w:hAnsi="Palatino Linotype" w:cs="Times New Roman"/>
          <w:lang w:val="es-MX" w:eastAsia="es-MX"/>
        </w:rPr>
      </w:pPr>
      <w:bookmarkStart w:id="9" w:name="_Toc80796107"/>
      <w:bookmarkStart w:id="10" w:name="_Toc89360012"/>
      <w:r w:rsidRPr="00B13140">
        <w:rPr>
          <w:rFonts w:ascii="Palatino Linotype" w:eastAsia="Calibri" w:hAnsi="Palatino Linotype" w:cs="Times New Roman"/>
          <w:lang w:val="es-ES" w:eastAsia="es-MX"/>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B13140">
        <w:rPr>
          <w:rFonts w:ascii="Palatino Linotype" w:eastAsia="Calibri" w:hAnsi="Palatino Linotype" w:cs="Times New Roman"/>
          <w:b/>
          <w:lang w:val="es-ES" w:eastAsia="es-MX"/>
        </w:rPr>
        <w:t>Constitución Política de los Estados Unidos Mexicanos</w:t>
      </w:r>
      <w:r w:rsidRPr="00B13140">
        <w:rPr>
          <w:rFonts w:ascii="Palatino Linotype" w:eastAsia="Calibri" w:hAnsi="Palatino Linotype" w:cs="Times New Roman"/>
          <w:lang w:val="es-ES" w:eastAsia="es-MX"/>
        </w:rPr>
        <w:t xml:space="preserve">; 5, </w:t>
      </w:r>
      <w:r w:rsidRPr="00B13140">
        <w:rPr>
          <w:rFonts w:ascii="Palatino Linotype" w:eastAsia="Calibri" w:hAnsi="Palatino Linotype" w:cs="Times New Roman"/>
          <w:lang w:val="es-MX" w:eastAsia="es-MX"/>
        </w:rPr>
        <w:t xml:space="preserve">párrafos trigésimo, trigésimo primero y trigésimo segundo, fracciones I, II, III, IV y V de la </w:t>
      </w:r>
      <w:r w:rsidRPr="00B13140">
        <w:rPr>
          <w:rFonts w:ascii="Palatino Linotype" w:eastAsia="Calibri" w:hAnsi="Palatino Linotype" w:cs="Times New Roman"/>
          <w:b/>
          <w:lang w:val="es-MX" w:eastAsia="es-MX"/>
        </w:rPr>
        <w:t>Constitución Política del Estado Libre y Soberano de México</w:t>
      </w:r>
      <w:r w:rsidRPr="00B13140">
        <w:rPr>
          <w:rFonts w:ascii="Palatino Linotype" w:eastAsia="Calibri" w:hAnsi="Palatino Linotype" w:cs="Times New Roman"/>
          <w:b/>
          <w:lang w:val="es-ES" w:eastAsia="es-MX"/>
        </w:rPr>
        <w:t>;</w:t>
      </w:r>
      <w:r w:rsidRPr="00B13140">
        <w:rPr>
          <w:rFonts w:ascii="Palatino Linotype" w:eastAsia="Calibri" w:hAnsi="Palatino Linotype" w:cs="Times New Roman"/>
          <w:lang w:val="es-ES" w:eastAsia="es-MX"/>
        </w:rPr>
        <w:t xml:space="preserve"> 1, 3 fracción I, 82, 97, 98, 119, 123, 124, 127, 128 y 133</w:t>
      </w:r>
      <w:r w:rsidRPr="00B13140">
        <w:rPr>
          <w:rFonts w:ascii="Palatino Linotype" w:eastAsia="Times New Roman" w:hAnsi="Palatino Linotype" w:cs="Arial"/>
          <w:lang w:val="es-ES" w:eastAsia="es-MX"/>
        </w:rPr>
        <w:t xml:space="preserve"> </w:t>
      </w:r>
      <w:r w:rsidRPr="00B13140">
        <w:rPr>
          <w:rFonts w:ascii="Palatino Linotype" w:eastAsia="Calibri" w:hAnsi="Palatino Linotype" w:cs="Times New Roman"/>
          <w:b/>
          <w:lang w:val="es-MX" w:eastAsia="es-MX"/>
        </w:rPr>
        <w:t>Ley de Protección de Datos Personales en Posesión de Sujetos Obligados del Estado de México y Municipios</w:t>
      </w:r>
      <w:r w:rsidRPr="00B13140">
        <w:rPr>
          <w:rFonts w:ascii="Palatino Linotype" w:eastAsia="Calibri" w:hAnsi="Palatino Linotype" w:cs="Arial"/>
          <w:lang w:val="es-ES" w:eastAsia="es-MX"/>
        </w:rPr>
        <w:t xml:space="preserve">; y 10, 7, 9 fracciones I y XXIV, y 11 del </w:t>
      </w:r>
      <w:r w:rsidRPr="00B13140">
        <w:rPr>
          <w:rFonts w:ascii="Palatino Linotype" w:eastAsia="Calibri" w:hAnsi="Palatino Linotype" w:cs="Arial"/>
          <w:b/>
          <w:lang w:val="es-ES" w:eastAsia="es-MX"/>
        </w:rPr>
        <w:t>Reglamento Interior del Instituto de Transparencia, Acceso a la Información Pública y Protección de Datos Personales del Estado de México y Municipios.</w:t>
      </w:r>
    </w:p>
    <w:p w14:paraId="492BB1AB" w14:textId="77777777" w:rsidR="00F12093" w:rsidRPr="00B13140" w:rsidRDefault="00F12093" w:rsidP="00F12093">
      <w:pPr>
        <w:spacing w:line="360" w:lineRule="auto"/>
        <w:contextualSpacing/>
        <w:jc w:val="both"/>
        <w:rPr>
          <w:rFonts w:ascii="Palatino Linotype" w:eastAsia="Times New Roman" w:hAnsi="Palatino Linotype" w:cs="Times New Roman"/>
          <w:lang w:val="es-MX" w:eastAsia="es-MX"/>
        </w:rPr>
      </w:pPr>
    </w:p>
    <w:p w14:paraId="492BB1AC" w14:textId="77777777" w:rsidR="00F12093" w:rsidRPr="00B13140" w:rsidRDefault="00F12093" w:rsidP="00F12093">
      <w:pPr>
        <w:pStyle w:val="Ttulo2"/>
        <w:spacing w:before="0" w:line="360" w:lineRule="auto"/>
        <w:rPr>
          <w:rFonts w:ascii="Palatino Linotype" w:hAnsi="Palatino Linotype"/>
          <w:b/>
          <w:color w:val="auto"/>
          <w:sz w:val="24"/>
          <w:szCs w:val="24"/>
        </w:rPr>
      </w:pPr>
      <w:r w:rsidRPr="00B13140">
        <w:rPr>
          <w:rFonts w:ascii="Palatino Linotype" w:hAnsi="Palatino Linotype"/>
          <w:b/>
          <w:color w:val="auto"/>
          <w:sz w:val="24"/>
          <w:szCs w:val="24"/>
        </w:rPr>
        <w:t>SEGUNDO. De la oportunidad y procedencia.</w:t>
      </w:r>
      <w:bookmarkEnd w:id="9"/>
      <w:bookmarkEnd w:id="10"/>
    </w:p>
    <w:p w14:paraId="492BB1AD" w14:textId="77777777" w:rsidR="00F12093" w:rsidRPr="00B13140" w:rsidRDefault="00F12093" w:rsidP="00F12093">
      <w:pPr>
        <w:rPr>
          <w:lang w:val="es-MX" w:eastAsia="en-US"/>
        </w:rPr>
      </w:pPr>
    </w:p>
    <w:p w14:paraId="492BB1AE" w14:textId="77777777" w:rsidR="00F12093" w:rsidRPr="00B13140" w:rsidRDefault="00F12093" w:rsidP="00F12093">
      <w:pPr>
        <w:pStyle w:val="Prrafodelista"/>
        <w:numPr>
          <w:ilvl w:val="0"/>
          <w:numId w:val="1"/>
        </w:numPr>
        <w:spacing w:line="360" w:lineRule="auto"/>
        <w:ind w:left="0" w:right="49" w:firstLine="0"/>
        <w:jc w:val="both"/>
        <w:rPr>
          <w:rFonts w:ascii="Palatino Linotype" w:hAnsi="Palatino Linotype"/>
        </w:rPr>
      </w:pPr>
      <w:r w:rsidRPr="00B13140">
        <w:rPr>
          <w:rFonts w:ascii="Palatino Linotype" w:eastAsia="Calibri" w:hAnsi="Palatino Linotype" w:cs="Arial"/>
        </w:rPr>
        <w:t xml:space="preserve">Los medios de impugnación fueron presentados a través del </w:t>
      </w:r>
      <w:r w:rsidRPr="00B13140">
        <w:rPr>
          <w:rFonts w:ascii="Palatino Linotype" w:eastAsia="Calibri" w:hAnsi="Palatino Linotype" w:cs="Arial"/>
          <w:b/>
        </w:rPr>
        <w:t>SAIMEX,</w:t>
      </w:r>
      <w:r w:rsidRPr="00B13140">
        <w:rPr>
          <w:rFonts w:ascii="Palatino Linotype" w:eastAsia="Calibri" w:hAnsi="Palatino Linotype" w:cs="Arial"/>
        </w:rPr>
        <w:t xml:space="preserve"> en el formato previamente aprobado para tal efecto y dentro del plazo legal de quince días hábiles otorgados; siendo así que el </w:t>
      </w:r>
      <w:r w:rsidRPr="00B13140">
        <w:rPr>
          <w:rFonts w:ascii="Palatino Linotype" w:eastAsia="Calibri" w:hAnsi="Palatino Linotype" w:cs="Arial"/>
          <w:b/>
        </w:rPr>
        <w:t>SUJETO OBLIGADO</w:t>
      </w:r>
      <w:r w:rsidRPr="00B13140">
        <w:rPr>
          <w:rFonts w:ascii="Palatino Linotype" w:eastAsia="Calibri" w:hAnsi="Palatino Linotype" w:cs="Arial"/>
        </w:rPr>
        <w:t xml:space="preserve"> entregó respuesta </w:t>
      </w:r>
      <w:r w:rsidR="00160482" w:rsidRPr="00B13140">
        <w:rPr>
          <w:rFonts w:ascii="Palatino Linotype" w:eastAsia="Calibri" w:hAnsi="Palatino Linotype" w:cs="Arial"/>
        </w:rPr>
        <w:t xml:space="preserve">el </w:t>
      </w:r>
      <w:r w:rsidR="00EF299E" w:rsidRPr="00B13140">
        <w:rPr>
          <w:rFonts w:ascii="Palatino Linotype" w:eastAsia="Calibri" w:hAnsi="Palatino Linotype" w:cs="Arial"/>
        </w:rPr>
        <w:t xml:space="preserve">tres (03) de mayo </w:t>
      </w:r>
      <w:r w:rsidR="001378B2" w:rsidRPr="00B13140">
        <w:rPr>
          <w:rFonts w:ascii="Palatino Linotype" w:eastAsia="Calibri" w:hAnsi="Palatino Linotype" w:cs="Arial"/>
        </w:rPr>
        <w:t xml:space="preserve"> </w:t>
      </w:r>
      <w:r w:rsidR="001C10E6" w:rsidRPr="00B13140">
        <w:rPr>
          <w:rFonts w:ascii="Palatino Linotype" w:eastAsia="Calibri" w:hAnsi="Palatino Linotype" w:cs="Arial"/>
        </w:rPr>
        <w:t xml:space="preserve"> de dos mil veintidós</w:t>
      </w:r>
      <w:r w:rsidRPr="00B13140">
        <w:rPr>
          <w:rFonts w:ascii="Palatino Linotype" w:eastAsia="Calibri" w:hAnsi="Palatino Linotype" w:cs="Arial"/>
        </w:rPr>
        <w:t xml:space="preserve">, </w:t>
      </w:r>
      <w:r w:rsidRPr="00B13140">
        <w:rPr>
          <w:rFonts w:ascii="Palatino Linotype" w:hAnsi="Palatino Linotype" w:cs="Arial"/>
        </w:rPr>
        <w:t xml:space="preserve">de tal forma que el plazo para interponer el recurso de revisión transcurrió del </w:t>
      </w:r>
      <w:r w:rsidR="00EF299E" w:rsidRPr="00B13140">
        <w:rPr>
          <w:rFonts w:ascii="Palatino Linotype" w:hAnsi="Palatino Linotype" w:cs="Arial"/>
        </w:rPr>
        <w:t>cuatro (04)</w:t>
      </w:r>
      <w:r w:rsidR="00765091" w:rsidRPr="00B13140">
        <w:rPr>
          <w:rFonts w:ascii="Palatino Linotype" w:hAnsi="Palatino Linotype" w:cs="Arial"/>
        </w:rPr>
        <w:t xml:space="preserve"> </w:t>
      </w:r>
      <w:r w:rsidRPr="00B13140">
        <w:rPr>
          <w:rFonts w:ascii="Palatino Linotype" w:hAnsi="Palatino Linotype" w:cs="Arial"/>
        </w:rPr>
        <w:t xml:space="preserve"> al </w:t>
      </w:r>
      <w:r w:rsidR="00EF299E" w:rsidRPr="00B13140">
        <w:rPr>
          <w:rFonts w:ascii="Palatino Linotype" w:hAnsi="Palatino Linotype" w:cs="Arial"/>
        </w:rPr>
        <w:t xml:space="preserve">veinticinco (25) de mayo </w:t>
      </w:r>
      <w:r w:rsidR="0083334B" w:rsidRPr="00B13140">
        <w:rPr>
          <w:rFonts w:ascii="Palatino Linotype" w:hAnsi="Palatino Linotype" w:cs="Arial"/>
        </w:rPr>
        <w:t xml:space="preserve"> </w:t>
      </w:r>
      <w:r w:rsidR="00160482" w:rsidRPr="00B13140">
        <w:rPr>
          <w:rFonts w:ascii="Palatino Linotype" w:hAnsi="Palatino Linotype" w:cs="Arial"/>
        </w:rPr>
        <w:t>de dos mil veintidós</w:t>
      </w:r>
      <w:r w:rsidRPr="00B13140">
        <w:rPr>
          <w:rFonts w:ascii="Palatino Linotype" w:hAnsi="Palatino Linotype" w:cs="Arial"/>
        </w:rPr>
        <w:t>; en consecuencia, p</w:t>
      </w:r>
      <w:r w:rsidR="00EF299E" w:rsidRPr="00B13140">
        <w:rPr>
          <w:rFonts w:ascii="Palatino Linotype" w:hAnsi="Palatino Linotype" w:cs="Arial"/>
        </w:rPr>
        <w:t>resentó su inconformidad el día cuatro (04) de mayo</w:t>
      </w:r>
      <w:r w:rsidR="001C10E6" w:rsidRPr="00B13140">
        <w:rPr>
          <w:rFonts w:ascii="Palatino Linotype" w:hAnsi="Palatino Linotype" w:cs="Arial"/>
        </w:rPr>
        <w:t xml:space="preserve"> de dos mil veintidós</w:t>
      </w:r>
      <w:r w:rsidRPr="00B13140">
        <w:rPr>
          <w:rFonts w:ascii="Palatino Linotype" w:hAnsi="Palatino Linotype" w:cs="Arial"/>
        </w:rPr>
        <w:t xml:space="preserve">, por lo que se encuentra dentro de los márgenes </w:t>
      </w:r>
      <w:r w:rsidRPr="00B13140">
        <w:rPr>
          <w:rFonts w:ascii="Palatino Linotype" w:hAnsi="Palatino Linotype" w:cs="Arial"/>
        </w:rPr>
        <w:lastRenderedPageBreak/>
        <w:t xml:space="preserve">temporales previstos en el artículo 178 de la </w:t>
      </w:r>
      <w:r w:rsidRPr="00B13140">
        <w:rPr>
          <w:rFonts w:ascii="Palatino Linotype" w:hAnsi="Palatino Linotype" w:cs="Arial"/>
          <w:b/>
        </w:rPr>
        <w:t>Ley de Transparencia y Acceso a la Información Pública del Estado de México y Municipios vigente.</w:t>
      </w:r>
    </w:p>
    <w:p w14:paraId="492BB1AF" w14:textId="77777777" w:rsidR="0083334B" w:rsidRPr="00B13140" w:rsidRDefault="0083334B" w:rsidP="0083334B">
      <w:pPr>
        <w:pStyle w:val="Prrafodelista"/>
        <w:spacing w:line="360" w:lineRule="auto"/>
        <w:ind w:left="0" w:right="49"/>
        <w:jc w:val="both"/>
        <w:rPr>
          <w:rFonts w:ascii="Palatino Linotype" w:hAnsi="Palatino Linotype"/>
        </w:rPr>
      </w:pPr>
    </w:p>
    <w:p w14:paraId="492BB1B0" w14:textId="77777777" w:rsidR="0083334B" w:rsidRPr="00B13140" w:rsidRDefault="00F12093" w:rsidP="0083334B">
      <w:pPr>
        <w:pStyle w:val="Prrafodelista"/>
        <w:numPr>
          <w:ilvl w:val="0"/>
          <w:numId w:val="1"/>
        </w:numPr>
        <w:spacing w:line="360" w:lineRule="auto"/>
        <w:ind w:left="0" w:right="49" w:firstLine="0"/>
        <w:jc w:val="both"/>
        <w:rPr>
          <w:rFonts w:ascii="Palatino Linotype" w:hAnsi="Palatino Linotype"/>
        </w:rPr>
      </w:pPr>
      <w:r w:rsidRPr="00B13140">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92BB1B1" w14:textId="77777777" w:rsidR="00770A31" w:rsidRPr="00B13140" w:rsidRDefault="00770A31" w:rsidP="00770A31">
      <w:pPr>
        <w:pStyle w:val="Prrafodelista"/>
        <w:rPr>
          <w:rFonts w:ascii="Palatino Linotype" w:hAnsi="Palatino Linotype"/>
        </w:rPr>
      </w:pPr>
    </w:p>
    <w:p w14:paraId="492BB1D2" w14:textId="2745AAE0" w:rsidR="0083334B" w:rsidRPr="00B13140" w:rsidRDefault="00011EDF" w:rsidP="0083334B">
      <w:pPr>
        <w:pStyle w:val="Ttulo1"/>
        <w:spacing w:line="360" w:lineRule="auto"/>
        <w:rPr>
          <w:b w:val="0"/>
        </w:rPr>
      </w:pPr>
      <w:bookmarkStart w:id="11" w:name="_Toc82017149"/>
      <w:bookmarkStart w:id="12" w:name="_Toc459174366"/>
      <w:bookmarkStart w:id="13" w:name="_Toc459659884"/>
      <w:bookmarkStart w:id="14" w:name="_Toc461687280"/>
      <w:bookmarkStart w:id="15" w:name="_Toc462771051"/>
      <w:bookmarkStart w:id="16" w:name="_Toc464139201"/>
      <w:bookmarkStart w:id="17" w:name="_Toc87456489"/>
      <w:r w:rsidRPr="00B13140">
        <w:t>TERCERO</w:t>
      </w:r>
      <w:r w:rsidR="0083334B" w:rsidRPr="00B13140">
        <w:t>. De las causales del sobreseimiento.</w:t>
      </w:r>
      <w:bookmarkEnd w:id="11"/>
    </w:p>
    <w:p w14:paraId="492BB1D3" w14:textId="77777777" w:rsidR="0083334B" w:rsidRPr="00B13140" w:rsidRDefault="0083334B" w:rsidP="0083334B">
      <w:pPr>
        <w:spacing w:line="360" w:lineRule="auto"/>
        <w:rPr>
          <w:rFonts w:ascii="Palatino Linotype" w:hAnsi="Palatino Linotype"/>
        </w:rPr>
      </w:pPr>
    </w:p>
    <w:p w14:paraId="492BB1D4" w14:textId="77777777" w:rsidR="0083334B" w:rsidRPr="00B13140" w:rsidRDefault="0083334B" w:rsidP="0083334B">
      <w:pPr>
        <w:pStyle w:val="Ttulo2"/>
        <w:numPr>
          <w:ilvl w:val="0"/>
          <w:numId w:val="41"/>
        </w:numPr>
        <w:spacing w:line="360" w:lineRule="auto"/>
        <w:rPr>
          <w:rFonts w:ascii="Palatino Linotype" w:hAnsi="Palatino Linotype"/>
          <w:b/>
          <w:color w:val="auto"/>
          <w:sz w:val="24"/>
          <w:szCs w:val="24"/>
        </w:rPr>
      </w:pPr>
      <w:bookmarkStart w:id="18" w:name="_Toc26960595"/>
      <w:bookmarkStart w:id="19" w:name="_Toc82017150"/>
      <w:r w:rsidRPr="00B13140">
        <w:rPr>
          <w:rFonts w:ascii="Palatino Linotype" w:hAnsi="Palatino Linotype"/>
          <w:b/>
          <w:color w:val="auto"/>
          <w:sz w:val="24"/>
          <w:szCs w:val="24"/>
        </w:rPr>
        <w:t>De las actuaciones de las partes.</w:t>
      </w:r>
      <w:bookmarkEnd w:id="18"/>
      <w:bookmarkEnd w:id="19"/>
    </w:p>
    <w:p w14:paraId="492BB1D5" w14:textId="77777777" w:rsidR="0083334B" w:rsidRPr="00B13140" w:rsidRDefault="0083334B" w:rsidP="00333CE6">
      <w:pPr>
        <w:pStyle w:val="Prrafodelista"/>
        <w:numPr>
          <w:ilvl w:val="0"/>
          <w:numId w:val="1"/>
        </w:numPr>
        <w:spacing w:before="240" w:after="240" w:line="360" w:lineRule="auto"/>
        <w:ind w:left="0" w:right="49" w:firstLine="0"/>
        <w:jc w:val="both"/>
        <w:rPr>
          <w:rFonts w:ascii="Palatino Linotype" w:hAnsi="Palatino Linotype"/>
          <w:bCs/>
        </w:rPr>
      </w:pPr>
      <w:r w:rsidRPr="00B13140">
        <w:rPr>
          <w:rFonts w:ascii="Palatino Linotype" w:hAnsi="Palatino Linotype"/>
          <w:bCs/>
        </w:rPr>
        <w:t>El recurrente solicitó la siguiente información:</w:t>
      </w:r>
    </w:p>
    <w:p w14:paraId="492BB1D6" w14:textId="77777777" w:rsidR="0083334B" w:rsidRPr="00B13140" w:rsidRDefault="0083334B" w:rsidP="0083334B">
      <w:pPr>
        <w:pStyle w:val="Prrafodelista"/>
        <w:spacing w:before="240" w:after="240" w:line="360" w:lineRule="auto"/>
        <w:ind w:left="0" w:right="49"/>
        <w:jc w:val="both"/>
        <w:rPr>
          <w:rFonts w:ascii="Palatino Linotype" w:hAnsi="Palatino Linotype"/>
          <w:bCs/>
        </w:rPr>
      </w:pPr>
    </w:p>
    <w:p w14:paraId="492BB1D7" w14:textId="77777777" w:rsidR="00333CE6" w:rsidRPr="00B13140" w:rsidRDefault="00333CE6" w:rsidP="00333CE6">
      <w:pPr>
        <w:pStyle w:val="Prrafodelista"/>
        <w:spacing w:before="240" w:after="240"/>
        <w:ind w:left="851" w:right="567"/>
        <w:jc w:val="both"/>
        <w:rPr>
          <w:rFonts w:ascii="Palatino Linotype" w:hAnsi="Palatino Linotype"/>
          <w:bCs/>
          <w:i/>
          <w:sz w:val="22"/>
          <w:lang w:val="es-ES"/>
        </w:rPr>
      </w:pPr>
      <w:r w:rsidRPr="00B13140">
        <w:rPr>
          <w:rFonts w:ascii="Palatino Linotype" w:hAnsi="Palatino Linotype"/>
          <w:bCs/>
          <w:i/>
          <w:sz w:val="22"/>
          <w:lang w:val="es-ES"/>
        </w:rPr>
        <w:t>“</w:t>
      </w:r>
      <w:r w:rsidR="00EF299E" w:rsidRPr="00B13140">
        <w:rPr>
          <w:rFonts w:ascii="Palatino Linotype" w:hAnsi="Palatino Linotype"/>
          <w:bCs/>
          <w:i/>
          <w:sz w:val="22"/>
        </w:rPr>
        <w:t>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continuación se cita en el numeral romano I, y II. I. Se me indique o proporcione información relacionada a cuales son los servicios públicos necesarios para su ocupación y contribuyan al mejoramiento del orden urbano y de la imagen urbana para la autorización de un Conjunto Urbano en el Estado de México. II. Se me indique o proporcione información relacionada a cuales son los servicios públicos necesarios para su ocupación y contribuyan al mejoramiento del orden urbano y de la imagen urbana de la autorización del Conjunto Urbano Villas del Campo a la empresa Geo Edificaciones, S.A. de C.V. La anterior petición conforme lo establece el, artículo 4, 7, 9 y 15 de la Ley de Transparencia y Acceso a la Información Pública del Estado de México y Municipios.</w:t>
      </w:r>
      <w:r w:rsidRPr="00B13140">
        <w:rPr>
          <w:rFonts w:ascii="Palatino Linotype" w:hAnsi="Palatino Linotype"/>
          <w:bCs/>
          <w:i/>
          <w:sz w:val="22"/>
        </w:rPr>
        <w:t xml:space="preserve">" </w:t>
      </w:r>
      <w:r w:rsidRPr="00B13140">
        <w:rPr>
          <w:rFonts w:ascii="Palatino Linotype" w:hAnsi="Palatino Linotype"/>
          <w:bCs/>
          <w:i/>
          <w:sz w:val="22"/>
          <w:lang w:val="es-ES"/>
        </w:rPr>
        <w:t xml:space="preserve"> (Sic)</w:t>
      </w:r>
    </w:p>
    <w:p w14:paraId="492BB1D8" w14:textId="77777777" w:rsidR="0083334B" w:rsidRPr="00B13140" w:rsidRDefault="0083334B" w:rsidP="0083334B">
      <w:pPr>
        <w:pStyle w:val="Prrafodelista"/>
        <w:spacing w:before="240" w:after="240" w:line="360" w:lineRule="auto"/>
        <w:ind w:left="0" w:right="49"/>
        <w:jc w:val="both"/>
        <w:rPr>
          <w:rFonts w:ascii="Palatino Linotype" w:hAnsi="Palatino Linotype"/>
        </w:rPr>
      </w:pPr>
    </w:p>
    <w:p w14:paraId="492BB1D9" w14:textId="77777777" w:rsidR="00770A31" w:rsidRPr="00B13140" w:rsidRDefault="00770A31" w:rsidP="00333CE6">
      <w:pPr>
        <w:pStyle w:val="Prrafodelista"/>
        <w:numPr>
          <w:ilvl w:val="0"/>
          <w:numId w:val="1"/>
        </w:numPr>
        <w:spacing w:before="240" w:after="240" w:line="360" w:lineRule="auto"/>
        <w:ind w:left="0" w:right="49" w:firstLine="0"/>
        <w:jc w:val="both"/>
        <w:rPr>
          <w:rFonts w:ascii="Palatino Linotype" w:hAnsi="Palatino Linotype"/>
        </w:rPr>
      </w:pPr>
      <w:r w:rsidRPr="00B13140">
        <w:rPr>
          <w:rFonts w:ascii="Palatino Linotype" w:hAnsi="Palatino Linotype"/>
        </w:rPr>
        <w:lastRenderedPageBreak/>
        <w:t xml:space="preserve">De acuerdo a las constancias que obran en el expediente electrónico SAIMEX se observa que el Sujeto Obligado dio respuesta a la solicitud a través del archivo </w:t>
      </w:r>
      <w:hyperlink r:id="rId10" w:tgtFrame="_blank" w:history="1">
        <w:r w:rsidRPr="00B13140">
          <w:rPr>
            <w:rStyle w:val="Hipervnculo"/>
            <w:rFonts w:ascii="Palatino Linotype" w:hAnsi="Palatino Linotype" w:cs="Arial"/>
            <w:b/>
            <w:bCs/>
            <w:color w:val="auto"/>
            <w:sz w:val="22"/>
            <w:szCs w:val="22"/>
          </w:rPr>
          <w:t>UT SOL 137-22.pdf</w:t>
        </w:r>
      </w:hyperlink>
      <w:r w:rsidRPr="00B13140">
        <w:rPr>
          <w:rFonts w:ascii="Palatino Linotype" w:hAnsi="Palatino Linotype" w:cs="Arial"/>
          <w:b/>
          <w:bCs/>
          <w:sz w:val="22"/>
          <w:szCs w:val="22"/>
          <w:u w:val="single"/>
        </w:rPr>
        <w:t xml:space="preserve">. </w:t>
      </w:r>
    </w:p>
    <w:p w14:paraId="492BB1DA" w14:textId="77777777" w:rsidR="00770A31" w:rsidRPr="00B13140" w:rsidRDefault="00770A31" w:rsidP="00770A31">
      <w:pPr>
        <w:pStyle w:val="Prrafodelista"/>
        <w:spacing w:before="240" w:after="240" w:line="360" w:lineRule="auto"/>
        <w:ind w:left="0" w:right="49"/>
        <w:jc w:val="both"/>
        <w:rPr>
          <w:rFonts w:ascii="Palatino Linotype" w:hAnsi="Palatino Linotype"/>
        </w:rPr>
      </w:pPr>
    </w:p>
    <w:p w14:paraId="492BB1DB" w14:textId="77777777" w:rsidR="0083334B" w:rsidRPr="00B13140" w:rsidRDefault="00770A31" w:rsidP="00333CE6">
      <w:pPr>
        <w:pStyle w:val="Prrafodelista"/>
        <w:numPr>
          <w:ilvl w:val="0"/>
          <w:numId w:val="1"/>
        </w:numPr>
        <w:spacing w:before="240" w:after="240" w:line="360" w:lineRule="auto"/>
        <w:ind w:left="0" w:right="49" w:firstLine="0"/>
        <w:jc w:val="both"/>
        <w:rPr>
          <w:rFonts w:ascii="Palatino Linotype" w:hAnsi="Palatino Linotype"/>
          <w:sz w:val="28"/>
        </w:rPr>
      </w:pPr>
      <w:r w:rsidRPr="00B13140">
        <w:rPr>
          <w:rFonts w:ascii="Palatino Linotype" w:hAnsi="Palatino Linotype" w:cs="Arial"/>
          <w:bCs/>
          <w:szCs w:val="22"/>
        </w:rPr>
        <w:t xml:space="preserve">Por su parte, el RECURRENTE impugnó la respuesta del Sujeto </w:t>
      </w:r>
      <w:proofErr w:type="spellStart"/>
      <w:r w:rsidRPr="00B13140">
        <w:rPr>
          <w:rFonts w:ascii="Palatino Linotype" w:hAnsi="Palatino Linotype" w:cs="Arial"/>
          <w:bCs/>
          <w:szCs w:val="22"/>
        </w:rPr>
        <w:t>Obligaddo</w:t>
      </w:r>
      <w:proofErr w:type="spellEnd"/>
      <w:r w:rsidRPr="00B13140">
        <w:rPr>
          <w:rFonts w:ascii="Palatino Linotype" w:hAnsi="Palatino Linotype" w:cs="Arial"/>
          <w:bCs/>
          <w:szCs w:val="22"/>
        </w:rPr>
        <w:t xml:space="preserve"> mediante el recurso de revisión, dentro del cual señaló </w:t>
      </w:r>
      <w:r w:rsidRPr="00B13140">
        <w:rPr>
          <w:rFonts w:ascii="Palatino Linotype" w:hAnsi="Palatino Linotype"/>
          <w:i/>
          <w:szCs w:val="22"/>
        </w:rPr>
        <w:t>“</w:t>
      </w:r>
      <w:r w:rsidRPr="00B13140">
        <w:rPr>
          <w:rFonts w:ascii="Palatino Linotype" w:hAnsi="Palatino Linotype"/>
          <w:i/>
          <w:color w:val="000000"/>
          <w:szCs w:val="22"/>
        </w:rPr>
        <w:t>No precisa o especifica que servicios públicos son necesarios proporcionar la autoridad municipal para que un conjunto urbano sea autorizado por la Secretaría de Desarrollo Urbano y Obra del Estado de México.</w:t>
      </w:r>
      <w:r w:rsidRPr="00B13140">
        <w:rPr>
          <w:rFonts w:ascii="Palatino Linotype" w:hAnsi="Palatino Linotype"/>
          <w:i/>
          <w:szCs w:val="22"/>
        </w:rPr>
        <w:t>”</w:t>
      </w:r>
    </w:p>
    <w:p w14:paraId="492BB1DC" w14:textId="77777777" w:rsidR="00333CE6" w:rsidRPr="00B13140" w:rsidRDefault="00333CE6" w:rsidP="00333CE6">
      <w:pPr>
        <w:pStyle w:val="Prrafodelista"/>
        <w:spacing w:before="240" w:after="240" w:line="360" w:lineRule="auto"/>
        <w:ind w:left="0" w:right="49"/>
        <w:jc w:val="both"/>
        <w:rPr>
          <w:rFonts w:ascii="Palatino Linotype" w:hAnsi="Palatino Linotype"/>
        </w:rPr>
      </w:pPr>
    </w:p>
    <w:p w14:paraId="492BB1DD"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Expuesto lo anterior, conviene referir que el artículo 176 de la Ley de Transparencia y Acceso a la Información Pública del Estado de México y Municipios, establece que </w:t>
      </w:r>
      <w:r w:rsidRPr="00B13140">
        <w:rPr>
          <w:rFonts w:ascii="Palatino Linotype" w:hAnsi="Palatino Linotype"/>
          <w:b/>
          <w:bCs/>
          <w:color w:val="000000" w:themeColor="text1"/>
        </w:rPr>
        <w:t>el recurso de revisión</w:t>
      </w:r>
      <w:r w:rsidRPr="00B13140">
        <w:rPr>
          <w:rFonts w:ascii="Palatino Linotype" w:hAnsi="Palatino Linotype"/>
          <w:color w:val="000000" w:themeColor="text1"/>
        </w:rPr>
        <w:t xml:space="preserve"> es la garantía secundaria mediante la cual se </w:t>
      </w:r>
      <w:r w:rsidRPr="00B13140">
        <w:rPr>
          <w:rFonts w:ascii="Palatino Linotype" w:hAnsi="Palatino Linotype"/>
          <w:b/>
          <w:bCs/>
          <w:color w:val="000000" w:themeColor="text1"/>
        </w:rPr>
        <w:t>pretende reparar cualquier posible afectación al derecho de acceso a la información pública</w:t>
      </w:r>
      <w:r w:rsidRPr="00B13140">
        <w:rPr>
          <w:rFonts w:ascii="Palatino Linotype" w:hAnsi="Palatino Linotype"/>
          <w:color w:val="000000" w:themeColor="text1"/>
        </w:rPr>
        <w:t>.</w:t>
      </w:r>
    </w:p>
    <w:p w14:paraId="492BB1DE"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1DF" w14:textId="77777777" w:rsidR="00741D33" w:rsidRPr="00B13140" w:rsidRDefault="00741D33" w:rsidP="00741D33">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Por su parte, el numeral 179 de la Ley de la materia señala que el recurso de revisión procederá en contra de las siguientes causas:</w:t>
      </w:r>
    </w:p>
    <w:p w14:paraId="492BB1E0" w14:textId="77777777" w:rsidR="00741D33" w:rsidRPr="00B13140" w:rsidRDefault="00741D33" w:rsidP="00741D33">
      <w:pPr>
        <w:pStyle w:val="Prrafodelista"/>
        <w:tabs>
          <w:tab w:val="left" w:pos="426"/>
        </w:tabs>
        <w:spacing w:line="360" w:lineRule="auto"/>
        <w:ind w:left="0" w:right="51"/>
        <w:jc w:val="both"/>
        <w:rPr>
          <w:rFonts w:ascii="Palatino Linotype" w:hAnsi="Palatino Linotype"/>
          <w:color w:val="000000" w:themeColor="text1"/>
        </w:rPr>
      </w:pPr>
    </w:p>
    <w:p w14:paraId="492BB1E1"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La negativa a la información solicitada;</w:t>
      </w:r>
    </w:p>
    <w:p w14:paraId="492BB1E2"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La clasificación de la información;</w:t>
      </w:r>
    </w:p>
    <w:p w14:paraId="492BB1E3"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declaración de inexistencia de la información; </w:t>
      </w:r>
    </w:p>
    <w:p w14:paraId="492BB1E4"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declaración de incompetencia por el sujeto obligado; </w:t>
      </w:r>
    </w:p>
    <w:p w14:paraId="492BB1E5"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entrega de información incompleta; </w:t>
      </w:r>
    </w:p>
    <w:p w14:paraId="492BB1E6"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entrega de información que no corresponda con lo solicitado; </w:t>
      </w:r>
    </w:p>
    <w:p w14:paraId="492BB1E7"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lastRenderedPageBreak/>
        <w:t xml:space="preserve">La falta de respuesta a una solicitud de acceso a la información; </w:t>
      </w:r>
    </w:p>
    <w:p w14:paraId="492BB1E8"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notificación, entrega o puesta a disposición de información en una modalidad o formato distinto al solicitado; </w:t>
      </w:r>
    </w:p>
    <w:p w14:paraId="492BB1E9"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entrega o puesta a disposición de información en un formato incomprensible y/o no accesible para el solicitante; </w:t>
      </w:r>
    </w:p>
    <w:p w14:paraId="492BB1EA"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Los costos o tiempos de entrega de la información; </w:t>
      </w:r>
    </w:p>
    <w:p w14:paraId="492BB1EB"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falta de trámite a una solicitud; </w:t>
      </w:r>
    </w:p>
    <w:p w14:paraId="492BB1EC"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negativa a permitir la consulta directa de la información; </w:t>
      </w:r>
    </w:p>
    <w:p w14:paraId="492BB1ED"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 xml:space="preserve">La falta, deficiencia o insuficiencia de la fundamentación y/o motivación en la respuesta; y </w:t>
      </w:r>
    </w:p>
    <w:p w14:paraId="492BB1EE" w14:textId="77777777" w:rsidR="00741D33" w:rsidRPr="00B13140" w:rsidRDefault="00741D33" w:rsidP="00741D33">
      <w:pPr>
        <w:pStyle w:val="Prrafodelista"/>
        <w:numPr>
          <w:ilvl w:val="1"/>
          <w:numId w:val="44"/>
        </w:numPr>
        <w:tabs>
          <w:tab w:val="left" w:pos="426"/>
        </w:tabs>
        <w:spacing w:line="360" w:lineRule="auto"/>
        <w:ind w:left="1134" w:right="51"/>
        <w:jc w:val="both"/>
        <w:rPr>
          <w:rFonts w:ascii="Palatino Linotype" w:hAnsi="Palatino Linotype"/>
          <w:color w:val="000000" w:themeColor="text1"/>
        </w:rPr>
      </w:pPr>
      <w:r w:rsidRPr="00B13140">
        <w:rPr>
          <w:rFonts w:ascii="Palatino Linotype" w:hAnsi="Palatino Linotype"/>
          <w:color w:val="000000" w:themeColor="text1"/>
        </w:rPr>
        <w:t>La orientación a un trámite específico.</w:t>
      </w:r>
    </w:p>
    <w:p w14:paraId="492BB1EF"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1F0" w14:textId="77777777" w:rsidR="00741D33" w:rsidRPr="00B13140" w:rsidRDefault="00741D33" w:rsidP="00741D33">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Empero, del análisis al único agravio expuesto por el </w:t>
      </w:r>
      <w:r w:rsidRPr="00B13140">
        <w:rPr>
          <w:rFonts w:ascii="Palatino Linotype" w:hAnsi="Palatino Linotype"/>
          <w:b/>
          <w:color w:val="000000" w:themeColor="text1"/>
        </w:rPr>
        <w:t>RECURRENTE</w:t>
      </w:r>
      <w:r w:rsidRPr="00B13140">
        <w:rPr>
          <w:rFonts w:ascii="Palatino Linotype" w:hAnsi="Palatino Linotype"/>
          <w:color w:val="000000" w:themeColor="text1"/>
        </w:rPr>
        <w:t xml:space="preserve"> dentro de la impugnación identificada con el número </w:t>
      </w:r>
      <w:r w:rsidRPr="00B13140">
        <w:rPr>
          <w:rFonts w:ascii="Palatino Linotype" w:hAnsi="Palatino Linotype"/>
          <w:b/>
          <w:color w:val="000000" w:themeColor="text1"/>
        </w:rPr>
        <w:t>06963/INFOEM/IP/RR/2022</w:t>
      </w:r>
      <w:r w:rsidRPr="00B13140">
        <w:rPr>
          <w:rFonts w:ascii="Palatino Linotype" w:hAnsi="Palatino Linotype"/>
          <w:color w:val="000000" w:themeColor="text1"/>
        </w:rPr>
        <w:t xml:space="preserve">, este Organismo Garante advierte que no se actualiza ninguna de las causales de procedencia del recurso de revisión, toda vez que aquél no contravino la respuesta proporcionada por el </w:t>
      </w:r>
      <w:r w:rsidRPr="00B13140">
        <w:rPr>
          <w:rFonts w:ascii="Palatino Linotype" w:hAnsi="Palatino Linotype"/>
          <w:b/>
          <w:bCs/>
          <w:color w:val="000000" w:themeColor="text1"/>
        </w:rPr>
        <w:t>SUJETO OBLIGADO</w:t>
      </w:r>
      <w:r w:rsidRPr="00B13140">
        <w:rPr>
          <w:rFonts w:ascii="Palatino Linotype" w:hAnsi="Palatino Linotype"/>
          <w:color w:val="000000" w:themeColor="text1"/>
        </w:rPr>
        <w:t xml:space="preserve">; sino que amplió éste último solicitando conocer </w:t>
      </w:r>
      <w:r w:rsidRPr="00B13140">
        <w:rPr>
          <w:rFonts w:ascii="Palatino Linotype" w:hAnsi="Palatino Linotype"/>
          <w:color w:val="000000"/>
          <w:szCs w:val="22"/>
        </w:rPr>
        <w:t>que servicios públicos son necesarios proporcionar la autoridad municipal para que un conjunto urbano sea autorizado por la Secretaría de Desarrollo Urbano y Obra del Estado de México</w:t>
      </w:r>
      <w:r w:rsidRPr="00B13140">
        <w:rPr>
          <w:rFonts w:ascii="Palatino Linotype" w:hAnsi="Palatino Linotype"/>
          <w:color w:val="000000" w:themeColor="text1"/>
        </w:rPr>
        <w:t>.</w:t>
      </w:r>
    </w:p>
    <w:p w14:paraId="492BB1F1" w14:textId="77777777" w:rsidR="00741D33" w:rsidRPr="00B13140" w:rsidRDefault="00741D33" w:rsidP="00741D33">
      <w:pPr>
        <w:pStyle w:val="Prrafodelista"/>
        <w:spacing w:before="240" w:after="240" w:line="360" w:lineRule="auto"/>
        <w:ind w:left="0" w:right="49"/>
        <w:jc w:val="both"/>
        <w:rPr>
          <w:rFonts w:ascii="Palatino Linotype" w:hAnsi="Palatino Linotype"/>
        </w:rPr>
      </w:pPr>
    </w:p>
    <w:bookmarkEnd w:id="12"/>
    <w:bookmarkEnd w:id="13"/>
    <w:bookmarkEnd w:id="14"/>
    <w:bookmarkEnd w:id="15"/>
    <w:bookmarkEnd w:id="16"/>
    <w:bookmarkEnd w:id="17"/>
    <w:p w14:paraId="492BB1F2"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Por lo tanto, es necesario</w:t>
      </w:r>
      <w:r w:rsidRPr="00B13140">
        <w:rPr>
          <w:rFonts w:ascii="Palatino Linotype" w:hAnsi="Palatino Linotype"/>
          <w:lang w:val="es-ES"/>
        </w:rPr>
        <w:t xml:space="preserve"> señalar que </w:t>
      </w:r>
      <w:r w:rsidRPr="00B13140">
        <w:rPr>
          <w:rFonts w:ascii="Palatino Linotype" w:hAnsi="Palatino Linotype"/>
          <w:color w:val="222222"/>
          <w:lang w:val="es-ES" w:eastAsia="es-MX"/>
        </w:rPr>
        <w:t>el sistema de medios de impugnación en nuestro país se centra en el análisis de los agravios o motivos de inconformidad, los cuales, </w:t>
      </w:r>
      <w:r w:rsidRPr="00B13140">
        <w:rPr>
          <w:rFonts w:ascii="Palatino Linotype" w:hAnsi="Palatino Linotype"/>
          <w:b/>
          <w:color w:val="222222"/>
          <w:lang w:val="es-ES" w:eastAsia="es-MX"/>
        </w:rPr>
        <w:t>deben tener relación directa con el acto de autoridad que lo motiva</w:t>
      </w:r>
      <w:r w:rsidRPr="00B13140">
        <w:rPr>
          <w:rFonts w:ascii="Palatino Linotype" w:hAnsi="Palatino Linotype"/>
          <w:color w:val="222222"/>
          <w:lang w:val="es-ES" w:eastAsia="es-MX"/>
        </w:rPr>
        <w:t xml:space="preserve">. En </w:t>
      </w:r>
      <w:r w:rsidRPr="00B13140">
        <w:rPr>
          <w:rFonts w:ascii="Palatino Linotype" w:hAnsi="Palatino Linotype"/>
          <w:color w:val="222222"/>
          <w:lang w:val="es-ES" w:eastAsia="es-MX"/>
        </w:rPr>
        <w:lastRenderedPageBreak/>
        <w:t xml:space="preserve">materia de transparencia, los motivos de la inconformidad deben versar sobre la respuesta de información proporcionada por los Sujetos Obligados o la </w:t>
      </w:r>
      <w:r w:rsidRPr="00B13140">
        <w:rPr>
          <w:rFonts w:ascii="Palatino Linotype" w:hAnsi="Palatino Linotype"/>
          <w:lang w:val="es-ES" w:eastAsia="es-MX"/>
        </w:rPr>
        <w:t xml:space="preserve">negativa de entrega de la misma, derivada de la solicitud de información pública. De este modo, </w:t>
      </w:r>
      <w:r w:rsidRPr="00B13140">
        <w:rPr>
          <w:rFonts w:ascii="Palatino Linotype" w:hAnsi="Palatino Linotype"/>
          <w:b/>
          <w:bCs/>
          <w:lang w:val="es-ES" w:eastAsia="es-MX"/>
        </w:rPr>
        <w:t>en los motivos de inconformidad, los Recurrentes no pueden incluir situaciones novedosas o solicitudes de información nuevas de las que el SUJETO OBLIGADO no tuvo la oportunidad de conocer y, por consiguiente, producir un posicionamiento</w:t>
      </w:r>
      <w:r w:rsidRPr="00B13140">
        <w:rPr>
          <w:rFonts w:ascii="Palatino Linotype" w:hAnsi="Palatino Linotype"/>
          <w:lang w:val="es-ES" w:eastAsia="es-MX"/>
        </w:rPr>
        <w:t>.</w:t>
      </w:r>
    </w:p>
    <w:p w14:paraId="492BB1F3"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1F4"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Es </w:t>
      </w:r>
      <w:r w:rsidRPr="00B13140">
        <w:rPr>
          <w:rFonts w:ascii="Palatino Linotype" w:hAnsi="Palatino Linotype"/>
          <w:color w:val="222222"/>
          <w:lang w:val="es-ES" w:eastAsia="es-MX"/>
        </w:rPr>
        <w:t xml:space="preserve">por ello que la Ley de Transparencia y Acceso a la Información Pública del Estado de México y Municipios contempla que, en los casos en que a través del recurso de revisión se pretenda ampliar los requerimientos de información, la inconformidad relativa a estas situaciones novedosas no debe ser tomada en cuenta como parte de la </w:t>
      </w:r>
      <w:r w:rsidRPr="00B13140">
        <w:rPr>
          <w:rFonts w:ascii="Palatino Linotype" w:hAnsi="Palatino Linotype"/>
          <w:i/>
          <w:color w:val="222222"/>
          <w:lang w:val="es-ES" w:eastAsia="es-MX"/>
        </w:rPr>
        <w:t>Litis</w:t>
      </w:r>
      <w:r w:rsidRPr="00B13140">
        <w:rPr>
          <w:rFonts w:ascii="Palatino Linotype" w:hAnsi="Palatino Linotype"/>
          <w:color w:val="222222"/>
          <w:lang w:val="es-ES" w:eastAsia="es-MX"/>
        </w:rPr>
        <w:t>, y deberá ser desechada, tal y como lo establece el artículo 191, fracción VII:</w:t>
      </w:r>
    </w:p>
    <w:p w14:paraId="492BB1F5" w14:textId="77777777" w:rsidR="00741D33" w:rsidRPr="00B13140" w:rsidRDefault="00741D33" w:rsidP="00741D33">
      <w:pPr>
        <w:pStyle w:val="Prrafodelista"/>
        <w:tabs>
          <w:tab w:val="left" w:pos="426"/>
        </w:tabs>
        <w:spacing w:before="240" w:line="360" w:lineRule="auto"/>
        <w:ind w:left="0" w:right="51"/>
        <w:jc w:val="both"/>
        <w:rPr>
          <w:rFonts w:ascii="Palatino Linotype" w:hAnsi="Palatino Linotype"/>
          <w:color w:val="000000" w:themeColor="text1"/>
        </w:rPr>
      </w:pPr>
    </w:p>
    <w:p w14:paraId="492BB1F6" w14:textId="77777777" w:rsidR="00741D33" w:rsidRPr="00B13140" w:rsidRDefault="00741D33" w:rsidP="00741D33">
      <w:pPr>
        <w:pStyle w:val="Prrafodelista"/>
        <w:tabs>
          <w:tab w:val="left" w:pos="851"/>
        </w:tabs>
        <w:spacing w:line="276" w:lineRule="auto"/>
        <w:ind w:left="567" w:right="567"/>
        <w:jc w:val="both"/>
        <w:rPr>
          <w:rFonts w:ascii="Palatino Linotype" w:hAnsi="Palatino Linotype" w:cs="Bookman Old Style"/>
          <w:i/>
          <w:sz w:val="22"/>
          <w:szCs w:val="22"/>
        </w:rPr>
      </w:pPr>
      <w:r w:rsidRPr="00B13140">
        <w:rPr>
          <w:rFonts w:ascii="Palatino Linotype" w:hAnsi="Palatino Linotype" w:cs="Bookman Old Style,Bold"/>
          <w:b/>
          <w:bCs/>
          <w:i/>
          <w:sz w:val="22"/>
          <w:szCs w:val="22"/>
        </w:rPr>
        <w:t xml:space="preserve">“Artículo 191. </w:t>
      </w:r>
      <w:r w:rsidRPr="00B13140">
        <w:rPr>
          <w:rFonts w:ascii="Palatino Linotype" w:hAnsi="Palatino Linotype" w:cs="Bookman Old Style"/>
          <w:i/>
          <w:sz w:val="22"/>
          <w:szCs w:val="22"/>
        </w:rPr>
        <w:t xml:space="preserve">El recurso será </w:t>
      </w:r>
      <w:r w:rsidRPr="00B13140">
        <w:rPr>
          <w:rFonts w:ascii="Palatino Linotype" w:hAnsi="Palatino Linotype" w:cs="Bookman Old Style"/>
          <w:b/>
          <w:bCs/>
          <w:i/>
          <w:sz w:val="22"/>
          <w:szCs w:val="22"/>
        </w:rPr>
        <w:t>desechado por improcedente</w:t>
      </w:r>
      <w:r w:rsidRPr="00B13140">
        <w:rPr>
          <w:rFonts w:ascii="Palatino Linotype" w:hAnsi="Palatino Linotype" w:cs="Bookman Old Style"/>
          <w:i/>
          <w:sz w:val="22"/>
          <w:szCs w:val="22"/>
        </w:rPr>
        <w:t xml:space="preserve"> cuando:</w:t>
      </w:r>
    </w:p>
    <w:p w14:paraId="492BB1F7" w14:textId="77777777" w:rsidR="00741D33" w:rsidRPr="00B13140" w:rsidRDefault="00741D33" w:rsidP="00741D33">
      <w:pPr>
        <w:pStyle w:val="Prrafodelista"/>
        <w:tabs>
          <w:tab w:val="left" w:pos="851"/>
        </w:tabs>
        <w:spacing w:line="276" w:lineRule="auto"/>
        <w:ind w:left="567" w:right="567"/>
        <w:jc w:val="both"/>
        <w:rPr>
          <w:rFonts w:ascii="Palatino Linotype" w:hAnsi="Palatino Linotype" w:cs="Bookman Old Style"/>
          <w:i/>
          <w:sz w:val="22"/>
          <w:szCs w:val="22"/>
        </w:rPr>
      </w:pPr>
      <w:r w:rsidRPr="00B13140">
        <w:rPr>
          <w:rFonts w:ascii="Palatino Linotype" w:hAnsi="Palatino Linotype" w:cs="Bookman Old Style"/>
          <w:i/>
          <w:sz w:val="22"/>
          <w:szCs w:val="22"/>
        </w:rPr>
        <w:t>(…)</w:t>
      </w:r>
    </w:p>
    <w:p w14:paraId="492BB1F8" w14:textId="77777777" w:rsidR="00741D33" w:rsidRPr="00B13140" w:rsidRDefault="00741D33" w:rsidP="00741D33">
      <w:pPr>
        <w:autoSpaceDE w:val="0"/>
        <w:autoSpaceDN w:val="0"/>
        <w:adjustRightInd w:val="0"/>
        <w:spacing w:line="276" w:lineRule="auto"/>
        <w:ind w:left="567" w:right="567"/>
        <w:rPr>
          <w:rFonts w:ascii="Palatino Linotype" w:hAnsi="Palatino Linotype" w:cs="Bookman Old Style"/>
          <w:i/>
          <w:sz w:val="22"/>
          <w:szCs w:val="22"/>
        </w:rPr>
      </w:pPr>
      <w:r w:rsidRPr="00B13140">
        <w:rPr>
          <w:rFonts w:ascii="Palatino Linotype" w:hAnsi="Palatino Linotype" w:cs="Bookman Old Style,Bold"/>
          <w:b/>
          <w:bCs/>
          <w:i/>
          <w:sz w:val="22"/>
          <w:szCs w:val="22"/>
        </w:rPr>
        <w:t xml:space="preserve">VII. </w:t>
      </w:r>
      <w:r w:rsidRPr="00B13140">
        <w:rPr>
          <w:rFonts w:ascii="Palatino Linotype" w:hAnsi="Palatino Linotype" w:cs="Bookman Old Style"/>
          <w:i/>
          <w:sz w:val="22"/>
          <w:szCs w:val="22"/>
        </w:rPr>
        <w:t xml:space="preserve">El recurrente amplíe su solicitud en el recurso de revisión, </w:t>
      </w:r>
      <w:r w:rsidRPr="00B13140">
        <w:rPr>
          <w:rFonts w:ascii="Palatino Linotype" w:hAnsi="Palatino Linotype" w:cs="Bookman Old Style"/>
          <w:b/>
          <w:bCs/>
          <w:i/>
          <w:sz w:val="22"/>
          <w:szCs w:val="22"/>
        </w:rPr>
        <w:t>únicamente respecto de los nuevos contenidos</w:t>
      </w:r>
      <w:r w:rsidRPr="00B13140">
        <w:rPr>
          <w:rFonts w:ascii="Palatino Linotype" w:hAnsi="Palatino Linotype" w:cs="Bookman Old Style"/>
          <w:i/>
          <w:sz w:val="22"/>
          <w:szCs w:val="22"/>
        </w:rPr>
        <w:t>.”</w:t>
      </w:r>
    </w:p>
    <w:p w14:paraId="492BB1F9" w14:textId="77777777" w:rsidR="00741D33" w:rsidRPr="00B13140" w:rsidRDefault="00741D33" w:rsidP="00741D33">
      <w:pPr>
        <w:autoSpaceDE w:val="0"/>
        <w:autoSpaceDN w:val="0"/>
        <w:adjustRightInd w:val="0"/>
        <w:spacing w:line="276" w:lineRule="auto"/>
        <w:ind w:left="567" w:right="567"/>
        <w:rPr>
          <w:rFonts w:ascii="Palatino Linotype" w:hAnsi="Palatino Linotype"/>
          <w:iCs/>
          <w:sz w:val="22"/>
          <w:szCs w:val="22"/>
          <w:lang w:val="es-ES"/>
        </w:rPr>
      </w:pPr>
      <w:r w:rsidRPr="00B13140">
        <w:rPr>
          <w:rFonts w:ascii="Palatino Linotype" w:hAnsi="Palatino Linotype" w:cs="Bookman Old Style,Bold"/>
          <w:iCs/>
          <w:sz w:val="22"/>
          <w:szCs w:val="22"/>
        </w:rPr>
        <w:t>(Énfasis añadido)</w:t>
      </w:r>
    </w:p>
    <w:p w14:paraId="492BB1FA"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1FB"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Por </w:t>
      </w:r>
      <w:r w:rsidRPr="00B13140">
        <w:rPr>
          <w:rFonts w:ascii="Palatino Linotype" w:hAnsi="Palatino Linotype"/>
          <w:color w:val="222222"/>
          <w:lang w:val="es-ES" w:eastAsia="es-MX"/>
        </w:rPr>
        <w:t xml:space="preserve">lo anterior, este Organismo Garante determina como </w:t>
      </w:r>
      <w:r w:rsidRPr="00B13140">
        <w:rPr>
          <w:rFonts w:ascii="Palatino Linotype" w:hAnsi="Palatino Linotype"/>
          <w:b/>
          <w:color w:val="222222"/>
          <w:lang w:val="es-ES" w:eastAsia="es-MX"/>
        </w:rPr>
        <w:t>improcedente</w:t>
      </w:r>
      <w:r w:rsidRPr="00B13140">
        <w:rPr>
          <w:rFonts w:ascii="Palatino Linotype" w:hAnsi="Palatino Linotype"/>
          <w:color w:val="222222"/>
          <w:lang w:val="es-ES" w:eastAsia="es-MX"/>
        </w:rPr>
        <w:t xml:space="preserve"> el agravio esgrimido por el </w:t>
      </w:r>
      <w:r w:rsidRPr="00B13140">
        <w:rPr>
          <w:rFonts w:ascii="Palatino Linotype" w:hAnsi="Palatino Linotype"/>
          <w:b/>
          <w:color w:val="222222"/>
          <w:lang w:val="es-ES" w:eastAsia="es-MX"/>
        </w:rPr>
        <w:t>RECURRENTE</w:t>
      </w:r>
      <w:r w:rsidRPr="00B13140">
        <w:rPr>
          <w:rFonts w:ascii="Palatino Linotype" w:hAnsi="Palatino Linotype"/>
          <w:color w:val="222222"/>
          <w:lang w:val="es-ES" w:eastAsia="es-MX"/>
        </w:rPr>
        <w:t xml:space="preserve"> mediante el cual requirió conocer </w:t>
      </w:r>
      <w:r w:rsidRPr="00B13140">
        <w:rPr>
          <w:rFonts w:ascii="Palatino Linotype" w:hAnsi="Palatino Linotype"/>
          <w:color w:val="000000" w:themeColor="text1"/>
        </w:rPr>
        <w:t xml:space="preserve">conocer </w:t>
      </w:r>
      <w:r w:rsidRPr="00B13140">
        <w:rPr>
          <w:rFonts w:ascii="Palatino Linotype" w:hAnsi="Palatino Linotype"/>
          <w:color w:val="000000"/>
          <w:szCs w:val="22"/>
        </w:rPr>
        <w:t xml:space="preserve">que servicios públicos son necesarios proporcionar la autoridad municipal para que un conjunto urbano sea autorizado por la Secretaría de Desarrollo Urbano y Obra </w:t>
      </w:r>
      <w:r w:rsidRPr="00B13140">
        <w:rPr>
          <w:rFonts w:ascii="Palatino Linotype" w:hAnsi="Palatino Linotype"/>
          <w:color w:val="000000"/>
          <w:szCs w:val="22"/>
        </w:rPr>
        <w:lastRenderedPageBreak/>
        <w:t>del Estado de México</w:t>
      </w:r>
      <w:r w:rsidRPr="00B13140">
        <w:rPr>
          <w:rFonts w:ascii="Palatino Linotype" w:hAnsi="Palatino Linotype"/>
          <w:color w:val="222222"/>
          <w:lang w:val="es-ES" w:eastAsia="es-MX"/>
        </w:rPr>
        <w:t>, toda vez que</w:t>
      </w:r>
      <w:r w:rsidRPr="00B13140">
        <w:rPr>
          <w:rFonts w:ascii="Palatino Linotype" w:hAnsi="Palatino Linotype"/>
          <w:color w:val="000000"/>
          <w:lang w:eastAsia="es-MX"/>
        </w:rPr>
        <w:t xml:space="preserve"> aquélla se excede dentro de su inconformidad respecto a lo requerido originalmente en la solicitud de información </w:t>
      </w:r>
      <w:r w:rsidRPr="00B13140">
        <w:rPr>
          <w:rFonts w:ascii="Palatino Linotype" w:eastAsia="Times New Roman" w:hAnsi="Palatino Linotype" w:cs="Arial"/>
          <w:b/>
          <w:bCs/>
        </w:rPr>
        <w:t>00137/SEDUO/IP/2022</w:t>
      </w:r>
      <w:r w:rsidRPr="00B13140">
        <w:rPr>
          <w:rFonts w:ascii="Palatino Linotype" w:hAnsi="Palatino Linotype"/>
          <w:color w:val="000000"/>
          <w:lang w:eastAsia="es-MX"/>
        </w:rPr>
        <w:t>, siendo el caso que pretende ampliar lo solicitado de origen. Lo que hace que se surta lo que en la teoría jurídica se le denomina como </w:t>
      </w:r>
      <w:r w:rsidRPr="00B13140">
        <w:rPr>
          <w:rFonts w:ascii="Palatino Linotype" w:hAnsi="Palatino Linotype"/>
          <w:b/>
          <w:bCs/>
          <w:i/>
          <w:color w:val="000000"/>
          <w:lang w:eastAsia="es-MX"/>
        </w:rPr>
        <w:t xml:space="preserve">Plus </w:t>
      </w:r>
      <w:proofErr w:type="spellStart"/>
      <w:r w:rsidRPr="00B13140">
        <w:rPr>
          <w:rFonts w:ascii="Palatino Linotype" w:hAnsi="Palatino Linotype"/>
          <w:b/>
          <w:bCs/>
          <w:i/>
          <w:color w:val="000000"/>
          <w:lang w:eastAsia="es-MX"/>
        </w:rPr>
        <w:t>Petitio</w:t>
      </w:r>
      <w:proofErr w:type="spellEnd"/>
      <w:r w:rsidRPr="00B13140">
        <w:rPr>
          <w:rFonts w:ascii="Palatino Linotype" w:hAnsi="Palatino Linotype"/>
          <w:color w:val="000000"/>
          <w:lang w:eastAsia="es-MX"/>
        </w:rPr>
        <w:t>.</w:t>
      </w:r>
    </w:p>
    <w:p w14:paraId="492BB1FC"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1FD"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Sirve </w:t>
      </w:r>
      <w:r w:rsidRPr="00B13140">
        <w:rPr>
          <w:rFonts w:ascii="Palatino Linotype" w:hAnsi="Palatino Linotype"/>
          <w:color w:val="222222"/>
          <w:lang w:val="es-ES" w:eastAsia="es-MX"/>
        </w:rPr>
        <w:t>de sustento el </w:t>
      </w:r>
      <w:r w:rsidRPr="00B13140">
        <w:rPr>
          <w:rFonts w:ascii="Palatino Linotype" w:hAnsi="Palatino Linotype"/>
          <w:b/>
          <w:bCs/>
          <w:color w:val="222222"/>
          <w:lang w:val="es-ES" w:eastAsia="es-MX"/>
        </w:rPr>
        <w:t>Criterio 01/17</w:t>
      </w:r>
      <w:r w:rsidRPr="00B13140">
        <w:rPr>
          <w:rFonts w:ascii="Palatino Linotype" w:hAnsi="Palatino Linotype"/>
          <w:color w:val="222222"/>
          <w:lang w:val="es-ES" w:eastAsia="es-MX"/>
        </w:rPr>
        <w:t> emitido por el Instituto Nacional de Transparencia, Acceso a la Información y Protección de Datos Personales que establece lo siguiente:</w:t>
      </w:r>
    </w:p>
    <w:p w14:paraId="492BB1FE" w14:textId="77777777" w:rsidR="00741D33" w:rsidRPr="00B13140" w:rsidRDefault="00741D33" w:rsidP="00741D33">
      <w:pPr>
        <w:shd w:val="clear" w:color="auto" w:fill="FFFFFF"/>
        <w:spacing w:before="240" w:after="240"/>
        <w:ind w:left="567" w:right="567"/>
        <w:jc w:val="both"/>
        <w:rPr>
          <w:rFonts w:ascii="Cambria" w:hAnsi="Cambria"/>
          <w:color w:val="222222"/>
        </w:rPr>
      </w:pPr>
      <w:r w:rsidRPr="00B13140">
        <w:rPr>
          <w:rFonts w:ascii="Palatino Linotype" w:hAnsi="Palatino Linotype"/>
          <w:color w:val="222222"/>
          <w:lang w:val="es-ES"/>
        </w:rPr>
        <w:t> </w:t>
      </w:r>
      <w:r w:rsidRPr="00B13140">
        <w:rPr>
          <w:rFonts w:ascii="Palatino Linotype" w:hAnsi="Palatino Linotype"/>
          <w:b/>
          <w:bCs/>
          <w:i/>
          <w:iCs/>
          <w:color w:val="222222"/>
          <w:sz w:val="22"/>
          <w:szCs w:val="22"/>
        </w:rPr>
        <w:t>ES IMPROCEDENTE AMPLIAR LAS SOLICITUDES DE ACCESO A INFORMACIÓN, A TRAVÉS DE LA INTERPOSICIÓN DEL RECURSO DE REVISIÓN.</w:t>
      </w:r>
      <w:r w:rsidRPr="00B13140">
        <w:rPr>
          <w:rFonts w:ascii="Palatino Linotype" w:hAnsi="Palatino Linotype"/>
          <w:i/>
          <w:iCs/>
          <w:color w:val="222222"/>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92BB1FF"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00"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Robustece </w:t>
      </w:r>
      <w:r w:rsidRPr="00B13140">
        <w:rPr>
          <w:rFonts w:ascii="Palatino Linotype" w:hAnsi="Palatino Linotype"/>
          <w:color w:val="222222"/>
          <w:lang w:val="es-ES" w:eastAsia="es-MX"/>
        </w:rPr>
        <w:t xml:space="preserve">lo anterior, </w:t>
      </w:r>
      <w:r w:rsidRPr="00B13140">
        <w:rPr>
          <w:rFonts w:ascii="Palatino Linotype" w:hAnsi="Palatino Linotype"/>
          <w:color w:val="000000"/>
          <w:lang w:eastAsia="es-MX"/>
        </w:rPr>
        <w:t>por analogía, la Jurisprudencia No. 29 visible a foja 19 del Apéndice al Semanario Judicial de la Federación 1917-1995, Torno VI, Materia Común, Primera Parte, Tesis de la Suprema Corte de Justicia, que contiene:</w:t>
      </w:r>
    </w:p>
    <w:p w14:paraId="492BB201" w14:textId="77777777" w:rsidR="00741D33" w:rsidRPr="00B13140" w:rsidRDefault="00741D33" w:rsidP="00741D33">
      <w:pPr>
        <w:pStyle w:val="Prrafodelista"/>
        <w:tabs>
          <w:tab w:val="left" w:pos="426"/>
        </w:tabs>
        <w:spacing w:before="240" w:line="360" w:lineRule="auto"/>
        <w:ind w:left="0" w:right="51"/>
        <w:jc w:val="both"/>
        <w:rPr>
          <w:rFonts w:ascii="Palatino Linotype" w:hAnsi="Palatino Linotype"/>
          <w:color w:val="000000"/>
          <w:lang w:eastAsia="es-MX"/>
        </w:rPr>
      </w:pPr>
    </w:p>
    <w:p w14:paraId="492BB202" w14:textId="77777777" w:rsidR="00741D33" w:rsidRPr="00B13140" w:rsidRDefault="00741D33" w:rsidP="00741D33">
      <w:pPr>
        <w:shd w:val="clear" w:color="auto" w:fill="FFFFFF"/>
        <w:spacing w:before="240" w:after="240" w:line="276" w:lineRule="auto"/>
        <w:ind w:left="567" w:right="567"/>
        <w:jc w:val="both"/>
        <w:rPr>
          <w:rFonts w:ascii="Palatino Linotype" w:hAnsi="Palatino Linotype"/>
          <w:i/>
          <w:iCs/>
          <w:color w:val="000000"/>
          <w:sz w:val="22"/>
          <w:szCs w:val="22"/>
        </w:rPr>
      </w:pPr>
      <w:r w:rsidRPr="00B13140">
        <w:rPr>
          <w:rFonts w:ascii="Palatino Linotype" w:hAnsi="Palatino Linotype"/>
          <w:b/>
          <w:bCs/>
          <w:i/>
          <w:iCs/>
          <w:color w:val="000000"/>
          <w:sz w:val="22"/>
          <w:szCs w:val="22"/>
        </w:rPr>
        <w:t>AGRAVIOS EN LA REVISION. DEBEN ESTAR EN RELACION DIRECTA CON LOS FUNDAMENTOS Y CONSIDERACIONES DE LA SENTENCIA</w:t>
      </w:r>
      <w:r w:rsidRPr="00B13140">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w:t>
      </w:r>
      <w:r w:rsidRPr="00B13140">
        <w:rPr>
          <w:rFonts w:ascii="Palatino Linotype" w:hAnsi="Palatino Linotype"/>
          <w:i/>
          <w:iCs/>
          <w:color w:val="000000"/>
          <w:sz w:val="22"/>
          <w:szCs w:val="22"/>
        </w:rPr>
        <w:lastRenderedPageBreak/>
        <w:t>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14:paraId="492BB203"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04"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No obstante lo anterior, se dejan a salvo los derechos de la </w:t>
      </w:r>
      <w:r w:rsidRPr="00B13140">
        <w:rPr>
          <w:rFonts w:ascii="Palatino Linotype" w:hAnsi="Palatino Linotype"/>
          <w:b/>
          <w:bCs/>
          <w:color w:val="000000" w:themeColor="text1"/>
        </w:rPr>
        <w:t>RECURRENTE</w:t>
      </w:r>
      <w:r w:rsidRPr="00B13140">
        <w:rPr>
          <w:rFonts w:ascii="Palatino Linotype" w:hAnsi="Palatino Linotype"/>
          <w:color w:val="000000" w:themeColor="text1"/>
        </w:rPr>
        <w:t xml:space="preserve"> para que, se considerarlo idóneo a sus intereses, presente una nueva solicitud de información.</w:t>
      </w:r>
    </w:p>
    <w:p w14:paraId="492BB205"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06" w14:textId="77777777" w:rsidR="00741D33" w:rsidRPr="00B13140" w:rsidRDefault="00741D33" w:rsidP="00741D33">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En ese orden de ideas, </w:t>
      </w:r>
      <w:r w:rsidRPr="00B13140">
        <w:rPr>
          <w:rFonts w:ascii="Palatino Linotype" w:eastAsia="MS Mincho" w:hAnsi="Palatino Linotype" w:cs="Times New Roman"/>
          <w:color w:val="000000"/>
        </w:rPr>
        <w:t>el artículo 192 de la</w:t>
      </w:r>
      <w:r w:rsidRPr="00B13140">
        <w:t xml:space="preserve"> </w:t>
      </w:r>
      <w:r w:rsidRPr="00B13140">
        <w:rPr>
          <w:rFonts w:ascii="Palatino Linotype" w:eastAsia="MS Mincho" w:hAnsi="Palatino Linotype" w:cs="Times New Roman"/>
          <w:color w:val="000000"/>
        </w:rPr>
        <w:t>Ley de Transparencia y Acceso a la Información Pública del Estado de México y Municipios, establece lo siguiente:</w:t>
      </w:r>
    </w:p>
    <w:p w14:paraId="492BB207" w14:textId="77777777" w:rsidR="00741D33" w:rsidRPr="00B13140" w:rsidRDefault="00741D33" w:rsidP="00741D33">
      <w:pPr>
        <w:pStyle w:val="Prrafodelista"/>
        <w:tabs>
          <w:tab w:val="left" w:pos="426"/>
        </w:tabs>
        <w:spacing w:line="360" w:lineRule="auto"/>
        <w:ind w:left="0" w:right="51"/>
        <w:jc w:val="both"/>
        <w:rPr>
          <w:rFonts w:ascii="Palatino Linotype" w:hAnsi="Palatino Linotype"/>
          <w:color w:val="000000" w:themeColor="text1"/>
        </w:rPr>
      </w:pPr>
    </w:p>
    <w:p w14:paraId="492BB208" w14:textId="77777777" w:rsidR="00741D33" w:rsidRPr="00B13140" w:rsidRDefault="00741D33" w:rsidP="00741D33">
      <w:pPr>
        <w:pStyle w:val="Prrafodelista"/>
        <w:tabs>
          <w:tab w:val="left" w:pos="426"/>
        </w:tabs>
        <w:spacing w:before="240" w:after="240" w:line="276" w:lineRule="auto"/>
        <w:ind w:left="567" w:right="567"/>
        <w:jc w:val="both"/>
        <w:rPr>
          <w:rFonts w:ascii="Palatino Linotype" w:hAnsi="Palatino Linotype"/>
          <w:i/>
          <w:sz w:val="22"/>
        </w:rPr>
      </w:pPr>
      <w:r w:rsidRPr="00B13140">
        <w:rPr>
          <w:rFonts w:ascii="Palatino Linotype" w:hAnsi="Palatino Linotype"/>
          <w:i/>
          <w:sz w:val="22"/>
        </w:rPr>
        <w:t>“</w:t>
      </w:r>
      <w:r w:rsidRPr="00B13140">
        <w:rPr>
          <w:rFonts w:ascii="Palatino Linotype" w:hAnsi="Palatino Linotype"/>
          <w:b/>
          <w:i/>
          <w:sz w:val="22"/>
        </w:rPr>
        <w:t>Artículo 192.</w:t>
      </w:r>
      <w:r w:rsidRPr="00B13140">
        <w:rPr>
          <w:rFonts w:ascii="Palatino Linotype" w:hAnsi="Palatino Linotype"/>
          <w:i/>
          <w:sz w:val="22"/>
        </w:rPr>
        <w:t xml:space="preserve"> </w:t>
      </w:r>
      <w:r w:rsidRPr="00B13140">
        <w:rPr>
          <w:rFonts w:ascii="Palatino Linotype" w:hAnsi="Palatino Linotype"/>
          <w:b/>
          <w:bCs/>
          <w:i/>
          <w:sz w:val="22"/>
        </w:rPr>
        <w:t>El recurso será sobreseído</w:t>
      </w:r>
      <w:r w:rsidRPr="00B13140">
        <w:rPr>
          <w:rFonts w:ascii="Palatino Linotype" w:hAnsi="Palatino Linotype"/>
          <w:i/>
          <w:sz w:val="22"/>
        </w:rPr>
        <w:t xml:space="preserve">, en todo o en parte, </w:t>
      </w:r>
      <w:r w:rsidRPr="00B13140">
        <w:rPr>
          <w:rFonts w:ascii="Palatino Linotype" w:hAnsi="Palatino Linotype"/>
          <w:b/>
          <w:bCs/>
          <w:i/>
          <w:sz w:val="22"/>
        </w:rPr>
        <w:t>cuando</w:t>
      </w:r>
      <w:r w:rsidRPr="00B13140">
        <w:rPr>
          <w:rFonts w:ascii="Palatino Linotype" w:hAnsi="Palatino Linotype"/>
          <w:i/>
          <w:sz w:val="22"/>
        </w:rPr>
        <w:t xml:space="preserve"> una vez admitido, </w:t>
      </w:r>
      <w:r w:rsidRPr="00B13140">
        <w:rPr>
          <w:rFonts w:ascii="Palatino Linotype" w:hAnsi="Palatino Linotype"/>
          <w:b/>
          <w:bCs/>
          <w:i/>
          <w:sz w:val="22"/>
        </w:rPr>
        <w:t>se actualicen alguno de los siguientes supuestos</w:t>
      </w:r>
      <w:r w:rsidRPr="00B13140">
        <w:rPr>
          <w:rFonts w:ascii="Palatino Linotype" w:hAnsi="Palatino Linotype"/>
          <w:i/>
          <w:sz w:val="22"/>
        </w:rPr>
        <w:t>:</w:t>
      </w:r>
    </w:p>
    <w:p w14:paraId="492BB209" w14:textId="77777777" w:rsidR="00741D33" w:rsidRPr="00B13140" w:rsidRDefault="00741D33" w:rsidP="00741D33">
      <w:pPr>
        <w:pStyle w:val="Prrafodelista"/>
        <w:tabs>
          <w:tab w:val="left" w:pos="426"/>
        </w:tabs>
        <w:spacing w:before="240" w:after="240" w:line="276" w:lineRule="auto"/>
        <w:ind w:left="567" w:right="567"/>
        <w:jc w:val="both"/>
        <w:rPr>
          <w:rFonts w:ascii="Palatino Linotype" w:hAnsi="Palatino Linotype"/>
          <w:i/>
          <w:sz w:val="22"/>
        </w:rPr>
      </w:pPr>
      <w:r w:rsidRPr="00B13140">
        <w:rPr>
          <w:rFonts w:ascii="Palatino Linotype" w:hAnsi="Palatino Linotype"/>
          <w:i/>
          <w:sz w:val="22"/>
        </w:rPr>
        <w:t>(…)</w:t>
      </w:r>
    </w:p>
    <w:p w14:paraId="492BB20A" w14:textId="77777777" w:rsidR="00741D33" w:rsidRPr="00B13140" w:rsidRDefault="00741D33" w:rsidP="00741D33">
      <w:pPr>
        <w:pStyle w:val="Prrafodelista"/>
        <w:tabs>
          <w:tab w:val="left" w:pos="426"/>
        </w:tabs>
        <w:spacing w:before="240" w:after="240" w:line="276" w:lineRule="auto"/>
        <w:ind w:left="567" w:right="567"/>
        <w:jc w:val="both"/>
        <w:rPr>
          <w:rFonts w:ascii="Palatino Linotype" w:hAnsi="Palatino Linotype"/>
          <w:i/>
          <w:sz w:val="22"/>
        </w:rPr>
      </w:pPr>
      <w:r w:rsidRPr="00B13140">
        <w:rPr>
          <w:rFonts w:ascii="Palatino Linotype" w:hAnsi="Palatino Linotype"/>
          <w:b/>
          <w:i/>
          <w:sz w:val="22"/>
        </w:rPr>
        <w:t>IV. Admitido el recurso de revisión, aparezca alguna causal de improcedencia en los términos de la presente Ley</w:t>
      </w:r>
      <w:r w:rsidRPr="00B13140">
        <w:rPr>
          <w:rFonts w:ascii="Palatino Linotype" w:hAnsi="Palatino Linotype"/>
          <w:i/>
          <w:sz w:val="22"/>
        </w:rPr>
        <w:t>; y</w:t>
      </w:r>
    </w:p>
    <w:p w14:paraId="492BB20B" w14:textId="77777777" w:rsidR="00741D33" w:rsidRPr="00B13140" w:rsidRDefault="00741D33" w:rsidP="00741D33">
      <w:pPr>
        <w:pStyle w:val="Prrafodelista"/>
        <w:tabs>
          <w:tab w:val="left" w:pos="426"/>
        </w:tabs>
        <w:spacing w:before="240" w:after="240" w:line="276" w:lineRule="auto"/>
        <w:ind w:left="567" w:right="567"/>
        <w:jc w:val="both"/>
        <w:rPr>
          <w:rFonts w:ascii="Palatino Linotype" w:hAnsi="Palatino Linotype"/>
          <w:iCs/>
          <w:sz w:val="22"/>
        </w:rPr>
      </w:pPr>
      <w:r w:rsidRPr="00B13140">
        <w:rPr>
          <w:rFonts w:ascii="Palatino Linotype" w:hAnsi="Palatino Linotype"/>
          <w:i/>
          <w:sz w:val="22"/>
        </w:rPr>
        <w:t>(…)”</w:t>
      </w:r>
    </w:p>
    <w:p w14:paraId="492BB20C" w14:textId="77777777" w:rsidR="00741D33" w:rsidRPr="00B13140" w:rsidRDefault="00741D33" w:rsidP="00741D33">
      <w:pPr>
        <w:pStyle w:val="Prrafodelista"/>
        <w:tabs>
          <w:tab w:val="left" w:pos="426"/>
        </w:tabs>
        <w:spacing w:before="240" w:after="240" w:line="276" w:lineRule="auto"/>
        <w:ind w:left="567" w:right="567"/>
        <w:jc w:val="both"/>
        <w:rPr>
          <w:rFonts w:ascii="Palatino Linotype" w:hAnsi="Palatino Linotype"/>
          <w:iCs/>
          <w:color w:val="000000" w:themeColor="text1"/>
          <w:sz w:val="22"/>
        </w:rPr>
      </w:pPr>
      <w:r w:rsidRPr="00B13140">
        <w:rPr>
          <w:rFonts w:ascii="Palatino Linotype" w:hAnsi="Palatino Linotype"/>
          <w:iCs/>
          <w:sz w:val="22"/>
        </w:rPr>
        <w:t>(Énfasis añadido)</w:t>
      </w:r>
    </w:p>
    <w:p w14:paraId="492BB20D" w14:textId="77777777" w:rsidR="00741D33" w:rsidRPr="00B13140" w:rsidRDefault="00741D33" w:rsidP="00741D33">
      <w:pPr>
        <w:pStyle w:val="Prrafodelista"/>
        <w:tabs>
          <w:tab w:val="left" w:pos="426"/>
        </w:tabs>
        <w:spacing w:line="360" w:lineRule="auto"/>
        <w:ind w:left="0" w:right="51"/>
        <w:jc w:val="both"/>
        <w:rPr>
          <w:rFonts w:ascii="Palatino Linotype" w:hAnsi="Palatino Linotype"/>
          <w:color w:val="000000" w:themeColor="text1"/>
        </w:rPr>
      </w:pPr>
    </w:p>
    <w:p w14:paraId="492BB20E"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Luego entonces, </w:t>
      </w:r>
      <w:r w:rsidRPr="00B13140">
        <w:rPr>
          <w:rFonts w:ascii="Palatino Linotype" w:hAnsi="Palatino Linotype"/>
          <w:color w:val="000000" w:themeColor="text1"/>
          <w:lang w:val="es-ES"/>
        </w:rPr>
        <w:t xml:space="preserve">resulta evidente que, en el presente asunto, se actualiza la causal de sobreseimiento contenida en la fracción IV del artículo 192 de la Ley de Transparencia y Acceso a la Información Pública del Estado de México y Municipios, ya que como se mencionó en el desarrollo de la presente resolución, la impugnación de la </w:t>
      </w:r>
      <w:r w:rsidRPr="00B13140">
        <w:rPr>
          <w:rFonts w:ascii="Palatino Linotype" w:hAnsi="Palatino Linotype"/>
          <w:b/>
          <w:color w:val="000000" w:themeColor="text1"/>
          <w:lang w:val="es-ES"/>
        </w:rPr>
        <w:t>RECURRENTE</w:t>
      </w:r>
      <w:r w:rsidRPr="00B13140">
        <w:rPr>
          <w:rFonts w:ascii="Palatino Linotype" w:hAnsi="Palatino Linotype"/>
          <w:color w:val="000000" w:themeColor="text1"/>
          <w:lang w:val="es-ES"/>
        </w:rPr>
        <w:t xml:space="preserve"> versó únicamente en ampliar sus </w:t>
      </w:r>
      <w:r w:rsidRPr="00B13140">
        <w:rPr>
          <w:rFonts w:ascii="Palatino Linotype" w:hAnsi="Palatino Linotype"/>
          <w:color w:val="000000" w:themeColor="text1"/>
          <w:lang w:val="es-ES"/>
        </w:rPr>
        <w:lastRenderedPageBreak/>
        <w:t xml:space="preserve">requerimientos originalmente formulados a través de la solicitud de información </w:t>
      </w:r>
      <w:r w:rsidRPr="00B13140">
        <w:rPr>
          <w:rFonts w:ascii="Palatino Linotype" w:eastAsia="Times New Roman" w:hAnsi="Palatino Linotype" w:cs="Arial"/>
          <w:b/>
          <w:bCs/>
        </w:rPr>
        <w:t>00137/SEDUO/IP/2022</w:t>
      </w:r>
      <w:r w:rsidRPr="00B13140">
        <w:rPr>
          <w:rFonts w:ascii="Palatino Linotype" w:hAnsi="Palatino Linotype"/>
          <w:color w:val="000000" w:themeColor="text1"/>
          <w:lang w:val="es-ES"/>
        </w:rPr>
        <w:t>.</w:t>
      </w:r>
    </w:p>
    <w:p w14:paraId="492BB20F"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10"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En ese orden de ideas, de acuerdo con el procesalista Niceto Alcalá-Zamora y Castillo en su obra </w:t>
      </w:r>
      <w:r w:rsidRPr="00B13140">
        <w:rPr>
          <w:rFonts w:ascii="Palatino Linotype" w:hAnsi="Palatino Linotype"/>
          <w:i/>
          <w:color w:val="000000" w:themeColor="text1"/>
        </w:rPr>
        <w:t>“Cuestiones de Terminología Procesal”</w:t>
      </w:r>
      <w:r w:rsidRPr="00B13140">
        <w:rPr>
          <w:rFonts w:ascii="Palatino Linotype" w:hAnsi="Palatino Linotype"/>
          <w:color w:val="000000" w:themeColor="text1"/>
        </w:rPr>
        <w:t xml:space="preserve">, el sobreseimiento es </w:t>
      </w:r>
      <w:r w:rsidRPr="00B13140">
        <w:rPr>
          <w:rFonts w:ascii="Palatino Linotype" w:hAnsi="Palatino Linotype"/>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492BB211"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12"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Por su parte, Eduardo </w:t>
      </w:r>
      <w:r w:rsidRPr="00B13140">
        <w:rPr>
          <w:rFonts w:ascii="Palatino Linotype" w:hAnsi="Palatino Linotype" w:cs="Arial"/>
        </w:rPr>
        <w:t xml:space="preserve">Pallares, en su artículo </w:t>
      </w:r>
      <w:r w:rsidRPr="00B13140">
        <w:rPr>
          <w:rFonts w:ascii="Palatino Linotype" w:hAnsi="Palatino Linotype" w:cs="Arial"/>
          <w:i/>
        </w:rPr>
        <w:t>“La caducidad y el sobreseimiento en el amparo”</w:t>
      </w:r>
      <w:r w:rsidRPr="00B13140">
        <w:rPr>
          <w:rFonts w:ascii="Palatino Linotype" w:hAnsi="Palatino Linotype" w:cs="Arial"/>
        </w:rPr>
        <w:t xml:space="preserve">, cita la definición de Aguilera Paz, donde aduce que se </w:t>
      </w:r>
      <w:r w:rsidRPr="00B13140">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B13140">
        <w:rPr>
          <w:rFonts w:ascii="Palatino Linotype" w:hAnsi="Palatino Linotype" w:cs="Arial"/>
        </w:rPr>
        <w:t>. Asimismo, señala que existe el sobreseimiento provisional y el definitivo</w:t>
      </w:r>
      <w:r w:rsidRPr="00B13140">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492BB213"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14" w14:textId="77777777" w:rsidR="00741D33" w:rsidRPr="00B13140" w:rsidRDefault="00741D33" w:rsidP="00741D33">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Así, </w:t>
      </w:r>
      <w:r w:rsidRPr="00B13140">
        <w:rPr>
          <w:rFonts w:ascii="Palatino Linotype" w:hAnsi="Palatino Linotype" w:cs="Arial"/>
        </w:rPr>
        <w:t xml:space="preserve">para la doctrina, el sobreseimiento provoca que un procedimiento se suspenda o se resuelva en definitiva </w:t>
      </w:r>
      <w:r w:rsidRPr="00B13140">
        <w:rPr>
          <w:rFonts w:ascii="Palatino Linotype" w:hAnsi="Palatino Linotype" w:cs="Arial"/>
          <w:b/>
        </w:rPr>
        <w:t xml:space="preserve">sin que se entre al estudio de los agravios o motivos de inconformidad. </w:t>
      </w:r>
      <w:r w:rsidRPr="00B13140">
        <w:rPr>
          <w:rFonts w:ascii="Palatino Linotype" w:hAnsi="Palatino Linotype" w:cs="Arial"/>
        </w:rPr>
        <w:t xml:space="preserve">Este mismo criterio es compartido por el Máximo </w:t>
      </w:r>
      <w:r w:rsidRPr="00B13140">
        <w:rPr>
          <w:rFonts w:ascii="Palatino Linotype" w:hAnsi="Palatino Linotype" w:cs="Arial"/>
        </w:rPr>
        <w:lastRenderedPageBreak/>
        <w:t>Tribunal del país en múltiples jurisprudencias, por lo que a continuación se agrega una de ellas</w:t>
      </w:r>
      <w:r w:rsidRPr="00B13140">
        <w:rPr>
          <w:rStyle w:val="Refdenotaalpie"/>
          <w:rFonts w:ascii="Palatino Linotype" w:hAnsi="Palatino Linotype" w:cs="Arial"/>
        </w:rPr>
        <w:footnoteReference w:id="4"/>
      </w:r>
      <w:r w:rsidRPr="00B13140">
        <w:rPr>
          <w:rFonts w:ascii="Palatino Linotype" w:hAnsi="Palatino Linotype" w:cs="Arial"/>
        </w:rPr>
        <w:t xml:space="preserve"> que sirve como orientador en esta resolución:</w:t>
      </w:r>
    </w:p>
    <w:p w14:paraId="492BB215" w14:textId="77777777" w:rsidR="00741D33" w:rsidRPr="00B13140" w:rsidRDefault="00741D33" w:rsidP="00741D33">
      <w:pPr>
        <w:pStyle w:val="Prrafodelista"/>
        <w:tabs>
          <w:tab w:val="left" w:pos="426"/>
        </w:tabs>
        <w:spacing w:line="360" w:lineRule="auto"/>
        <w:ind w:left="0" w:right="51"/>
        <w:jc w:val="both"/>
        <w:rPr>
          <w:rFonts w:ascii="Palatino Linotype" w:hAnsi="Palatino Linotype"/>
          <w:color w:val="000000" w:themeColor="text1"/>
        </w:rPr>
      </w:pPr>
    </w:p>
    <w:p w14:paraId="492BB216" w14:textId="77777777" w:rsidR="00741D33" w:rsidRPr="00B13140" w:rsidRDefault="00741D33" w:rsidP="00741D33">
      <w:pPr>
        <w:pStyle w:val="Prrafodelista"/>
        <w:spacing w:line="276" w:lineRule="auto"/>
        <w:ind w:left="567" w:right="567"/>
        <w:jc w:val="both"/>
        <w:rPr>
          <w:rFonts w:ascii="Palatino Linotype" w:eastAsia="Calibri" w:hAnsi="Palatino Linotype" w:cs="Times New Roman"/>
          <w:iCs/>
          <w:sz w:val="22"/>
          <w:lang w:val="es-AR"/>
        </w:rPr>
      </w:pPr>
      <w:r w:rsidRPr="00B13140">
        <w:rPr>
          <w:rFonts w:ascii="Palatino Linotype" w:eastAsia="Calibri" w:hAnsi="Palatino Linotype" w:cs="Times New Roman"/>
          <w:b/>
          <w:i/>
          <w:iCs/>
          <w:sz w:val="22"/>
          <w:lang w:val="es-AR"/>
        </w:rPr>
        <w:t>SOBRESEIMIENTO EN EL JUICIO DE AMPARO DIRECTO. IMPIDE EL ESTUDIO DE LAS VIOLACIONES PROCESALES PLANTEADAS EN LOS CONCEPTOS DE VIOLACIÓN. “El sobreseimiento</w:t>
      </w:r>
      <w:r w:rsidRPr="00B13140">
        <w:rPr>
          <w:rFonts w:ascii="Palatino Linotype" w:eastAsia="Calibri" w:hAnsi="Palatino Linotype" w:cs="Times New Roman"/>
          <w:i/>
          <w:iCs/>
          <w:sz w:val="22"/>
          <w:lang w:val="es-AR"/>
        </w:rPr>
        <w:t xml:space="preserve"> en el juicio de amparo directo </w:t>
      </w:r>
      <w:r w:rsidRPr="00B13140">
        <w:rPr>
          <w:rFonts w:ascii="Palatino Linotype" w:eastAsia="Calibri" w:hAnsi="Palatino Linotype" w:cs="Times New Roman"/>
          <w:b/>
          <w:i/>
          <w:iCs/>
          <w:sz w:val="22"/>
          <w:lang w:val="es-AR"/>
        </w:rPr>
        <w:t>provoca la terminación de la controversia planteada</w:t>
      </w:r>
      <w:r w:rsidRPr="00B13140">
        <w:rPr>
          <w:rFonts w:ascii="Palatino Linotype" w:eastAsia="Calibri" w:hAnsi="Palatino Linotype" w:cs="Times New Roman"/>
          <w:i/>
          <w:iCs/>
          <w:sz w:val="22"/>
          <w:lang w:val="es-AR"/>
        </w:rPr>
        <w:t xml:space="preserve"> por el quejoso en la demanda de amparo</w:t>
      </w:r>
      <w:r w:rsidRPr="00B13140">
        <w:rPr>
          <w:rFonts w:ascii="Palatino Linotype" w:eastAsia="Calibri" w:hAnsi="Palatino Linotype" w:cs="Times New Roman"/>
          <w:b/>
          <w:i/>
          <w:iCs/>
          <w:sz w:val="22"/>
          <w:lang w:val="es-AR"/>
        </w:rPr>
        <w:t>, sin hacer un pronunciamiento de fondo sobre la legalidad o ilegalidad de la sentencia reclamada</w:t>
      </w:r>
      <w:r w:rsidRPr="00B13140">
        <w:rPr>
          <w:rFonts w:ascii="Palatino Linotype" w:eastAsia="Calibri" w:hAnsi="Palatino Linotype" w:cs="Times New Roman"/>
          <w:i/>
          <w:iCs/>
          <w:sz w:val="22"/>
          <w:lang w:val="es-AR"/>
        </w:rPr>
        <w:t xml:space="preserve">. </w:t>
      </w:r>
      <w:r w:rsidRPr="00B13140">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B13140">
        <w:rPr>
          <w:rFonts w:ascii="Palatino Linotype" w:eastAsia="Calibri" w:hAnsi="Palatino Linotype" w:cs="Times New Roman"/>
          <w:i/>
          <w:iCs/>
          <w:sz w:val="22"/>
          <w:lang w:val="es-AR"/>
        </w:rPr>
        <w:t>.”</w:t>
      </w:r>
    </w:p>
    <w:p w14:paraId="492BB217" w14:textId="77777777" w:rsidR="00741D33" w:rsidRPr="00B13140" w:rsidRDefault="00741D33" w:rsidP="00741D33">
      <w:pPr>
        <w:pStyle w:val="Prrafodelista"/>
        <w:spacing w:line="276" w:lineRule="auto"/>
        <w:ind w:left="567" w:right="567"/>
        <w:jc w:val="both"/>
        <w:rPr>
          <w:rFonts w:ascii="Palatino Linotype" w:eastAsia="Calibri" w:hAnsi="Palatino Linotype" w:cs="Times New Roman"/>
          <w:iCs/>
          <w:sz w:val="22"/>
          <w:lang w:val="es-AR"/>
        </w:rPr>
      </w:pPr>
      <w:r w:rsidRPr="00B13140">
        <w:rPr>
          <w:rFonts w:ascii="Palatino Linotype" w:eastAsia="Calibri" w:hAnsi="Palatino Linotype" w:cs="Times New Roman"/>
          <w:iCs/>
          <w:sz w:val="22"/>
          <w:lang w:val="es-AR"/>
        </w:rPr>
        <w:t>(Énfasis añadido)</w:t>
      </w:r>
    </w:p>
    <w:p w14:paraId="492BB218" w14:textId="77777777" w:rsidR="00741D33" w:rsidRPr="00B13140" w:rsidRDefault="00741D33" w:rsidP="00741D33">
      <w:pPr>
        <w:pStyle w:val="Prrafodelista"/>
        <w:tabs>
          <w:tab w:val="left" w:pos="426"/>
        </w:tabs>
        <w:spacing w:line="360" w:lineRule="auto"/>
        <w:ind w:left="0" w:right="51"/>
        <w:jc w:val="both"/>
        <w:rPr>
          <w:rFonts w:ascii="Palatino Linotype" w:hAnsi="Palatino Linotype"/>
          <w:color w:val="000000" w:themeColor="text1"/>
        </w:rPr>
      </w:pPr>
    </w:p>
    <w:p w14:paraId="492BB219" w14:textId="77777777" w:rsidR="00741D33" w:rsidRPr="00B13140" w:rsidRDefault="00741D33" w:rsidP="00741D33">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Bajo </w:t>
      </w:r>
      <w:r w:rsidRPr="00B13140">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B13140">
        <w:rPr>
          <w:rFonts w:ascii="Palatino Linotype" w:hAnsi="Palatino Linotype" w:cs="Arial"/>
          <w:b/>
          <w:lang w:val="es-CO"/>
        </w:rPr>
        <w:t xml:space="preserve">SOBRESEIMIENTO </w:t>
      </w:r>
      <w:r w:rsidRPr="00B13140">
        <w:rPr>
          <w:rFonts w:ascii="Palatino Linotype" w:hAnsi="Palatino Linotype" w:cs="Arial"/>
          <w:lang w:val="es-CO"/>
        </w:rPr>
        <w:t>del presente recurso de revisión, por resultar improcedente, en términos de la fracción IV, del artículo 192, de la Ley de Transparencia y Acceso a la Información Pública Estatal.</w:t>
      </w:r>
    </w:p>
    <w:p w14:paraId="492BB21A" w14:textId="77777777" w:rsidR="00741D33" w:rsidRPr="00B13140" w:rsidRDefault="00741D33" w:rsidP="00741D33">
      <w:pPr>
        <w:pStyle w:val="Prrafodelista"/>
        <w:tabs>
          <w:tab w:val="left" w:pos="426"/>
        </w:tabs>
        <w:spacing w:line="360" w:lineRule="auto"/>
        <w:ind w:left="0" w:right="51"/>
        <w:jc w:val="both"/>
        <w:rPr>
          <w:rFonts w:ascii="Palatino Linotype" w:hAnsi="Palatino Linotype"/>
          <w:color w:val="000000" w:themeColor="text1"/>
        </w:rPr>
      </w:pPr>
    </w:p>
    <w:p w14:paraId="492BB21B" w14:textId="77777777" w:rsidR="003D115E" w:rsidRPr="00B13140" w:rsidRDefault="003D115E" w:rsidP="00741D33">
      <w:pPr>
        <w:pStyle w:val="Prrafodelista"/>
        <w:tabs>
          <w:tab w:val="left" w:pos="426"/>
        </w:tabs>
        <w:spacing w:line="360" w:lineRule="auto"/>
        <w:ind w:left="0" w:right="51"/>
        <w:jc w:val="both"/>
        <w:rPr>
          <w:rFonts w:ascii="Palatino Linotype" w:hAnsi="Palatino Linotype"/>
          <w:color w:val="000000" w:themeColor="text1"/>
        </w:rPr>
      </w:pPr>
    </w:p>
    <w:p w14:paraId="492BB21C" w14:textId="484A03BE" w:rsidR="00741D33" w:rsidRPr="00B13140" w:rsidRDefault="00696174" w:rsidP="00741D3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0" w:name="_Toc96002414"/>
      <w:r w:rsidRPr="00B13140">
        <w:rPr>
          <w:rFonts w:ascii="Palatino Linotype" w:hAnsi="Palatino Linotype"/>
          <w:b/>
          <w:bCs/>
          <w:color w:val="000000" w:themeColor="text1"/>
        </w:rPr>
        <w:t>CUARTO</w:t>
      </w:r>
      <w:r w:rsidR="00741D33" w:rsidRPr="00B13140">
        <w:rPr>
          <w:rFonts w:ascii="Palatino Linotype" w:hAnsi="Palatino Linotype"/>
          <w:b/>
          <w:bCs/>
          <w:color w:val="000000" w:themeColor="text1"/>
        </w:rPr>
        <w:t>. Decisión</w:t>
      </w:r>
      <w:bookmarkEnd w:id="20"/>
    </w:p>
    <w:p w14:paraId="492BB21D"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1E"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lastRenderedPageBreak/>
        <w:t xml:space="preserve">Luego de analizar el agravio vertido por el </w:t>
      </w:r>
      <w:r w:rsidRPr="00B13140">
        <w:rPr>
          <w:rFonts w:ascii="Palatino Linotype" w:hAnsi="Palatino Linotype"/>
          <w:b/>
          <w:color w:val="000000" w:themeColor="text1"/>
        </w:rPr>
        <w:t>RECURRENTE</w:t>
      </w:r>
      <w:r w:rsidRPr="00B13140">
        <w:rPr>
          <w:rFonts w:ascii="Palatino Linotype" w:hAnsi="Palatino Linotype"/>
          <w:color w:val="000000" w:themeColor="text1"/>
        </w:rPr>
        <w:t xml:space="preserve"> a través del recurso de revisión </w:t>
      </w:r>
      <w:r w:rsidR="003D115E" w:rsidRPr="00B13140">
        <w:rPr>
          <w:rFonts w:ascii="Palatino Linotype" w:hAnsi="Palatino Linotype"/>
          <w:b/>
          <w:color w:val="000000" w:themeColor="text1"/>
        </w:rPr>
        <w:t>06963</w:t>
      </w:r>
      <w:r w:rsidRPr="00B13140">
        <w:rPr>
          <w:rFonts w:ascii="Palatino Linotype" w:hAnsi="Palatino Linotype"/>
          <w:b/>
          <w:color w:val="000000" w:themeColor="text1"/>
        </w:rPr>
        <w:t>/INFOEM/IP/RR/2022</w:t>
      </w:r>
      <w:r w:rsidRPr="00B13140">
        <w:rPr>
          <w:rFonts w:ascii="Palatino Linotype" w:hAnsi="Palatino Linotype"/>
          <w:color w:val="000000" w:themeColor="text1"/>
        </w:rPr>
        <w:t xml:space="preserve">, se estableció que éste no contravenía la respuesta proporcionada por el </w:t>
      </w:r>
      <w:r w:rsidRPr="00B13140">
        <w:rPr>
          <w:rFonts w:ascii="Palatino Linotype" w:hAnsi="Palatino Linotype"/>
          <w:b/>
          <w:bCs/>
          <w:color w:val="000000" w:themeColor="text1"/>
        </w:rPr>
        <w:t>SUJETO OBLIGADO</w:t>
      </w:r>
      <w:r w:rsidRPr="00B13140">
        <w:rPr>
          <w:rFonts w:ascii="Palatino Linotype" w:hAnsi="Palatino Linotype"/>
          <w:color w:val="000000" w:themeColor="text1"/>
        </w:rPr>
        <w:t xml:space="preserve"> a la solicitud de información </w:t>
      </w:r>
      <w:r w:rsidR="003D115E" w:rsidRPr="00B13140">
        <w:rPr>
          <w:rFonts w:ascii="Palatino Linotype" w:eastAsia="Times New Roman" w:hAnsi="Palatino Linotype" w:cs="Arial"/>
          <w:b/>
          <w:bCs/>
        </w:rPr>
        <w:t>00137/SEDUO/IP/2022</w:t>
      </w:r>
      <w:r w:rsidRPr="00B13140">
        <w:rPr>
          <w:rFonts w:ascii="Palatino Linotype" w:hAnsi="Palatino Linotype"/>
          <w:color w:val="000000" w:themeColor="text1"/>
        </w:rPr>
        <w:t xml:space="preserve">, sino que, únicamente, pretendía ampliar el requerimiento original, lo cual suponía una </w:t>
      </w:r>
      <w:r w:rsidRPr="00B13140">
        <w:rPr>
          <w:rFonts w:ascii="Palatino Linotype" w:hAnsi="Palatino Linotype"/>
          <w:i/>
          <w:iCs/>
          <w:color w:val="000000" w:themeColor="text1"/>
        </w:rPr>
        <w:t xml:space="preserve">Plus </w:t>
      </w:r>
      <w:proofErr w:type="spellStart"/>
      <w:r w:rsidRPr="00B13140">
        <w:rPr>
          <w:rFonts w:ascii="Palatino Linotype" w:hAnsi="Palatino Linotype"/>
          <w:i/>
          <w:iCs/>
          <w:color w:val="000000" w:themeColor="text1"/>
        </w:rPr>
        <w:t>Petitio</w:t>
      </w:r>
      <w:proofErr w:type="spellEnd"/>
      <w:r w:rsidRPr="00B13140">
        <w:rPr>
          <w:rFonts w:ascii="Palatino Linotype" w:hAnsi="Palatino Linotype"/>
          <w:color w:val="000000" w:themeColor="text1"/>
        </w:rPr>
        <w:t xml:space="preserve"> y, a su vez, una causal de </w:t>
      </w:r>
      <w:proofErr w:type="spellStart"/>
      <w:r w:rsidRPr="00B13140">
        <w:rPr>
          <w:rFonts w:ascii="Palatino Linotype" w:hAnsi="Palatino Linotype"/>
          <w:color w:val="000000" w:themeColor="text1"/>
        </w:rPr>
        <w:t>desechamiento</w:t>
      </w:r>
      <w:proofErr w:type="spellEnd"/>
      <w:r w:rsidRPr="00B13140">
        <w:rPr>
          <w:rFonts w:ascii="Palatino Linotype" w:hAnsi="Palatino Linotype"/>
          <w:color w:val="000000" w:themeColor="text1"/>
        </w:rPr>
        <w:t xml:space="preserve"> del recurso.</w:t>
      </w:r>
    </w:p>
    <w:p w14:paraId="492BB21F"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20"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rPr>
        <w:t xml:space="preserve">Por </w:t>
      </w:r>
      <w:r w:rsidRPr="00B13140">
        <w:rPr>
          <w:rFonts w:ascii="Palatino Linotype" w:eastAsia="MS Mincho" w:hAnsi="Palatino Linotype" w:cstheme="majorBidi"/>
        </w:rPr>
        <w:t>lo tanto,</w:t>
      </w:r>
      <w:r w:rsidRPr="00B13140">
        <w:rPr>
          <w:rFonts w:ascii="Palatino Linotype" w:eastAsia="MS Mincho" w:hAnsi="Palatino Linotype" w:cstheme="majorBidi"/>
          <w:lang w:val="es-ES"/>
        </w:rPr>
        <w:t xml:space="preserve"> en consecuencia y en mérito de lo expuesto en líneas anteriores, resultan infundadas las razones o motivos de inconformidad hechos valer por el </w:t>
      </w:r>
      <w:r w:rsidRPr="00B13140">
        <w:rPr>
          <w:rFonts w:ascii="Palatino Linotype" w:eastAsia="MS Mincho" w:hAnsi="Palatino Linotype" w:cstheme="majorBidi"/>
          <w:b/>
          <w:lang w:val="es-ES"/>
        </w:rPr>
        <w:t>RECURRENTE</w:t>
      </w:r>
      <w:r w:rsidRPr="00B13140">
        <w:rPr>
          <w:rFonts w:ascii="Palatino Linotype" w:eastAsia="MS Mincho" w:hAnsi="Palatino Linotype" w:cstheme="majorBidi"/>
          <w:lang w:val="es-ES"/>
        </w:rPr>
        <w:t xml:space="preserve"> dentro del recurso de revisión </w:t>
      </w:r>
      <w:r w:rsidR="003D115E" w:rsidRPr="00B13140">
        <w:rPr>
          <w:rFonts w:ascii="Palatino Linotype" w:eastAsia="MS Mincho" w:hAnsi="Palatino Linotype" w:cstheme="majorBidi"/>
          <w:b/>
          <w:bCs/>
          <w:lang w:val="es-ES"/>
        </w:rPr>
        <w:t>06963</w:t>
      </w:r>
      <w:r w:rsidRPr="00B13140">
        <w:rPr>
          <w:rFonts w:ascii="Palatino Linotype" w:eastAsia="MS Mincho" w:hAnsi="Palatino Linotype" w:cstheme="majorBidi"/>
          <w:b/>
          <w:bCs/>
          <w:lang w:val="es-ES"/>
        </w:rPr>
        <w:t>/INFOEM/IP/RR/2022</w:t>
      </w:r>
      <w:r w:rsidRPr="00B13140">
        <w:rPr>
          <w:rFonts w:ascii="Palatino Linotype" w:eastAsia="MS Mincho" w:hAnsi="Palatino Linotype" w:cstheme="majorBidi"/>
          <w:lang w:val="es-ES"/>
        </w:rPr>
        <w:t xml:space="preserve">; por ello, y con fundamento en la fracción I, del numeral 186 de la Ley de Transparencia y Acceso a la Información Pública del Estado de México y Municipios, se </w:t>
      </w:r>
      <w:r w:rsidRPr="00B13140">
        <w:rPr>
          <w:rFonts w:ascii="Palatino Linotype" w:eastAsia="MS Mincho" w:hAnsi="Palatino Linotype" w:cstheme="majorBidi"/>
          <w:b/>
          <w:lang w:val="es-ES"/>
        </w:rPr>
        <w:t>SOBRESEE</w:t>
      </w:r>
      <w:r w:rsidRPr="00B13140">
        <w:rPr>
          <w:rFonts w:ascii="Palatino Linotype" w:eastAsia="MS Mincho" w:hAnsi="Palatino Linotype" w:cstheme="majorBidi"/>
          <w:lang w:val="es-ES"/>
        </w:rPr>
        <w:t xml:space="preserve"> el recurso de revisión al actualizarse la causal de improcedencia contenida en el artículo 191, fracción V de la Ley de mérito.</w:t>
      </w:r>
    </w:p>
    <w:p w14:paraId="492BB221" w14:textId="77777777" w:rsidR="00741D33" w:rsidRPr="00B13140" w:rsidRDefault="00741D33" w:rsidP="00741D33">
      <w:pPr>
        <w:pStyle w:val="Prrafodelista"/>
        <w:tabs>
          <w:tab w:val="left" w:pos="426"/>
        </w:tabs>
        <w:spacing w:before="240" w:after="240" w:line="360" w:lineRule="auto"/>
        <w:ind w:left="0" w:right="51"/>
        <w:jc w:val="both"/>
        <w:rPr>
          <w:rFonts w:ascii="Palatino Linotype" w:hAnsi="Palatino Linotype"/>
          <w:color w:val="000000" w:themeColor="text1"/>
        </w:rPr>
      </w:pPr>
    </w:p>
    <w:p w14:paraId="492BB222" w14:textId="77777777" w:rsidR="00741D33" w:rsidRPr="00B13140" w:rsidRDefault="00741D33" w:rsidP="00741D3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B13140">
        <w:rPr>
          <w:rFonts w:ascii="Palatino Linotype" w:hAnsi="Palatino Linotype"/>
          <w:color w:val="000000" w:themeColor="text1"/>
          <w:lang w:val="es-ES"/>
        </w:rPr>
        <w:t xml:space="preserve">Por </w:t>
      </w:r>
      <w:r w:rsidRPr="00B13140">
        <w:rPr>
          <w:rFonts w:ascii="Palatino Linotype" w:hAnsi="Palatino Linotype"/>
          <w:color w:val="000000" w:themeColor="text1"/>
        </w:rPr>
        <w:t xml:space="preserve">lo anteriormente expuesto y fundado, este </w:t>
      </w:r>
      <w:r w:rsidRPr="00B13140">
        <w:rPr>
          <w:rFonts w:ascii="Palatino Linotype" w:hAnsi="Palatino Linotype"/>
          <w:b/>
          <w:color w:val="000000" w:themeColor="text1"/>
        </w:rPr>
        <w:t>ÓRGANO GARANTE</w:t>
      </w:r>
      <w:r w:rsidRPr="00B13140">
        <w:rPr>
          <w:rFonts w:ascii="Palatino Linotype" w:hAnsi="Palatino Linotype"/>
          <w:color w:val="000000" w:themeColor="text1"/>
        </w:rPr>
        <w:t xml:space="preserve"> emite los siguientes: ------------------------------------------------------------------------------------------------------------------------------------------------------------------------------------------------------------</w:t>
      </w:r>
    </w:p>
    <w:p w14:paraId="492BB223" w14:textId="77777777" w:rsidR="00741D33" w:rsidRPr="00B13140" w:rsidRDefault="00741D33" w:rsidP="00741D33">
      <w:pPr>
        <w:rPr>
          <w:rFonts w:ascii="Palatino Linotype" w:hAnsi="Palatino Linotype"/>
          <w:color w:val="000000" w:themeColor="text1"/>
        </w:rPr>
      </w:pPr>
      <w:r w:rsidRPr="00B13140">
        <w:rPr>
          <w:rFonts w:ascii="Palatino Linotype" w:hAnsi="Palatino Linotype"/>
          <w:color w:val="000000" w:themeColor="text1"/>
        </w:rPr>
        <w:br w:type="page"/>
      </w:r>
    </w:p>
    <w:p w14:paraId="492BB224" w14:textId="77777777" w:rsidR="00741D33" w:rsidRPr="00B13140" w:rsidRDefault="00741D33" w:rsidP="00741D33">
      <w:pPr>
        <w:pStyle w:val="Ttulo1"/>
        <w:spacing w:line="360" w:lineRule="auto"/>
        <w:jc w:val="center"/>
        <w:rPr>
          <w:color w:val="000000" w:themeColor="text1"/>
          <w:szCs w:val="24"/>
        </w:rPr>
      </w:pPr>
      <w:bookmarkStart w:id="21" w:name="_Toc495427547"/>
      <w:bookmarkStart w:id="22" w:name="_Toc497905366"/>
      <w:bookmarkStart w:id="23" w:name="_Toc96002415"/>
      <w:r w:rsidRPr="00B13140">
        <w:rPr>
          <w:color w:val="000000" w:themeColor="text1"/>
          <w:szCs w:val="24"/>
        </w:rPr>
        <w:lastRenderedPageBreak/>
        <w:t>R E S O L U T I V O S</w:t>
      </w:r>
      <w:bookmarkEnd w:id="21"/>
      <w:bookmarkEnd w:id="22"/>
      <w:bookmarkEnd w:id="23"/>
    </w:p>
    <w:p w14:paraId="492BB225" w14:textId="77777777" w:rsidR="002C6514" w:rsidRPr="00B13140" w:rsidRDefault="002C6514" w:rsidP="002C6514">
      <w:pPr>
        <w:rPr>
          <w:lang w:val="es-MX" w:eastAsia="en-US"/>
        </w:rPr>
      </w:pPr>
    </w:p>
    <w:p w14:paraId="492BB226" w14:textId="4A57B91C" w:rsidR="00741D33" w:rsidRPr="00B13140" w:rsidRDefault="00741D33" w:rsidP="00741D33">
      <w:pPr>
        <w:spacing w:line="360" w:lineRule="auto"/>
        <w:jc w:val="both"/>
        <w:rPr>
          <w:rFonts w:ascii="Palatino Linotype" w:hAnsi="Palatino Linotype"/>
        </w:rPr>
      </w:pPr>
      <w:r w:rsidRPr="00B13140">
        <w:rPr>
          <w:rFonts w:ascii="Palatino Linotype" w:hAnsi="Palatino Linotype"/>
          <w:b/>
          <w:sz w:val="28"/>
        </w:rPr>
        <w:t>PRIMERO</w:t>
      </w:r>
      <w:r w:rsidRPr="00B13140">
        <w:rPr>
          <w:rFonts w:ascii="Palatino Linotype" w:hAnsi="Palatino Linotype"/>
          <w:b/>
        </w:rPr>
        <w:t>.</w:t>
      </w:r>
      <w:r w:rsidRPr="00B13140">
        <w:rPr>
          <w:rFonts w:ascii="Palatino Linotype" w:hAnsi="Palatino Linotype"/>
        </w:rPr>
        <w:t xml:space="preserve"> Se </w:t>
      </w:r>
      <w:r w:rsidRPr="00B13140">
        <w:rPr>
          <w:rFonts w:ascii="Palatino Linotype" w:hAnsi="Palatino Linotype"/>
          <w:b/>
        </w:rPr>
        <w:t>SOBRESEE</w:t>
      </w:r>
      <w:r w:rsidRPr="00B13140">
        <w:rPr>
          <w:rFonts w:ascii="Palatino Linotype" w:hAnsi="Palatino Linotype"/>
        </w:rPr>
        <w:t xml:space="preserve"> el recurso de revisión número </w:t>
      </w:r>
      <w:r w:rsidR="003D115E" w:rsidRPr="00B13140">
        <w:rPr>
          <w:rFonts w:ascii="Palatino Linotype" w:hAnsi="Palatino Linotype"/>
          <w:b/>
        </w:rPr>
        <w:t>06963</w:t>
      </w:r>
      <w:r w:rsidRPr="00B13140">
        <w:rPr>
          <w:rFonts w:ascii="Palatino Linotype" w:hAnsi="Palatino Linotype"/>
          <w:b/>
        </w:rPr>
        <w:t>/INFOEM/IP/RR/2022</w:t>
      </w:r>
      <w:r w:rsidRPr="00B13140">
        <w:rPr>
          <w:rFonts w:ascii="Palatino Linotype" w:hAnsi="Palatino Linotype"/>
        </w:rPr>
        <w:t xml:space="preserve">, por </w:t>
      </w:r>
      <w:r w:rsidRPr="00B13140">
        <w:rPr>
          <w:rFonts w:ascii="Palatino Linotype" w:hAnsi="Palatino Linotype"/>
          <w:b/>
        </w:rPr>
        <w:t>resultar improcedente</w:t>
      </w:r>
      <w:r w:rsidRPr="00B13140">
        <w:rPr>
          <w:rFonts w:ascii="Palatino Linotype" w:hAnsi="Palatino Linotype"/>
        </w:rPr>
        <w:t xml:space="preserve">, en términos del </w:t>
      </w:r>
      <w:r w:rsidR="00696174" w:rsidRPr="00B13140">
        <w:rPr>
          <w:rFonts w:ascii="Palatino Linotype" w:eastAsia="MS Mincho" w:hAnsi="Palatino Linotype" w:cs="Times New Roman"/>
          <w:color w:val="000000"/>
        </w:rPr>
        <w:t>artículo 192 fracción IV  de la</w:t>
      </w:r>
      <w:r w:rsidR="00696174" w:rsidRPr="00B13140">
        <w:t xml:space="preserve"> </w:t>
      </w:r>
      <w:r w:rsidR="00696174" w:rsidRPr="00B13140">
        <w:rPr>
          <w:rFonts w:ascii="Palatino Linotype" w:eastAsia="MS Mincho" w:hAnsi="Palatino Linotype" w:cs="Times New Roman"/>
          <w:color w:val="000000"/>
        </w:rPr>
        <w:t>Ley de Transparencia y Acceso a la Información Pública del Estado de México y Municipios, según lo dispuesto en el</w:t>
      </w:r>
      <w:r w:rsidR="00696174" w:rsidRPr="00B13140">
        <w:rPr>
          <w:rFonts w:ascii="Palatino Linotype" w:hAnsi="Palatino Linotype"/>
          <w:b/>
        </w:rPr>
        <w:t xml:space="preserve"> </w:t>
      </w:r>
      <w:r w:rsidRPr="00B13140">
        <w:rPr>
          <w:rFonts w:ascii="Palatino Linotype" w:hAnsi="Palatino Linotype"/>
          <w:b/>
        </w:rPr>
        <w:t xml:space="preserve">Considerando </w:t>
      </w:r>
      <w:r w:rsidR="00696174" w:rsidRPr="00B13140">
        <w:rPr>
          <w:rFonts w:ascii="Palatino Linotype" w:hAnsi="Palatino Linotype"/>
          <w:b/>
        </w:rPr>
        <w:t>TERCERO</w:t>
      </w:r>
      <w:r w:rsidRPr="00B13140">
        <w:rPr>
          <w:rFonts w:ascii="Palatino Linotype" w:hAnsi="Palatino Linotype"/>
        </w:rPr>
        <w:t xml:space="preserve"> de la presente resolución.</w:t>
      </w:r>
    </w:p>
    <w:p w14:paraId="492BB227" w14:textId="77777777" w:rsidR="00741D33" w:rsidRPr="00B13140" w:rsidRDefault="00741D33" w:rsidP="00741D33">
      <w:pPr>
        <w:spacing w:line="360" w:lineRule="auto"/>
        <w:jc w:val="both"/>
        <w:rPr>
          <w:rFonts w:ascii="Palatino Linotype" w:eastAsia="MS Mincho" w:hAnsi="Palatino Linotype" w:cs="Times New Roman"/>
          <w:b/>
        </w:rPr>
      </w:pPr>
    </w:p>
    <w:p w14:paraId="492BB228" w14:textId="77777777" w:rsidR="00741D33" w:rsidRPr="00B13140" w:rsidRDefault="00741D33" w:rsidP="00741D33">
      <w:pPr>
        <w:pStyle w:val="Sinespaciado"/>
        <w:spacing w:line="360" w:lineRule="auto"/>
        <w:jc w:val="both"/>
        <w:rPr>
          <w:rFonts w:ascii="Palatino Linotype" w:eastAsia="Calibri" w:hAnsi="Palatino Linotype" w:cs="Arial"/>
          <w:b/>
          <w:bCs/>
          <w:lang w:val="es-ES"/>
        </w:rPr>
      </w:pPr>
      <w:r w:rsidRPr="00B13140">
        <w:rPr>
          <w:rFonts w:ascii="Palatino Linotype" w:eastAsia="Calibri" w:hAnsi="Palatino Linotype" w:cs="Arial"/>
          <w:b/>
          <w:bCs/>
          <w:sz w:val="28"/>
          <w:lang w:val="es-ES"/>
        </w:rPr>
        <w:t>SEGUNDO</w:t>
      </w:r>
      <w:r w:rsidRPr="00B13140">
        <w:rPr>
          <w:rFonts w:ascii="Palatino Linotype" w:eastAsia="Calibri" w:hAnsi="Palatino Linotype" w:cs="Arial"/>
          <w:b/>
          <w:bCs/>
          <w:lang w:val="es-ES"/>
        </w:rPr>
        <w:t>. REMÍTASE</w:t>
      </w:r>
      <w:r w:rsidRPr="00B13140">
        <w:rPr>
          <w:rFonts w:ascii="Palatino Linotype" w:eastAsia="Calibri" w:hAnsi="Palatino Linotype" w:cs="Arial"/>
          <w:lang w:val="es-ES"/>
        </w:rPr>
        <w:t>,</w:t>
      </w:r>
      <w:r w:rsidRPr="00B13140">
        <w:rPr>
          <w:rFonts w:ascii="Palatino Linotype" w:eastAsia="Calibri" w:hAnsi="Palatino Linotype" w:cs="Arial"/>
          <w:b/>
          <w:bCs/>
          <w:lang w:val="es-ES"/>
        </w:rPr>
        <w:t xml:space="preserve"> </w:t>
      </w:r>
      <w:r w:rsidRPr="00B13140">
        <w:rPr>
          <w:rFonts w:ascii="Palatino Linotype" w:eastAsia="Calibri" w:hAnsi="Palatino Linotype" w:cs="Arial"/>
          <w:bCs/>
          <w:lang w:val="es-ES"/>
        </w:rPr>
        <w:t xml:space="preserve">a través del Sistema de Acceso a la Información Mexiquense </w:t>
      </w:r>
      <w:r w:rsidRPr="00B13140">
        <w:rPr>
          <w:rFonts w:ascii="Palatino Linotype" w:eastAsia="Calibri" w:hAnsi="Palatino Linotype" w:cs="Arial"/>
          <w:lang w:val="es-ES"/>
        </w:rPr>
        <w:t>(SAIMEX),</w:t>
      </w:r>
      <w:r w:rsidRPr="00B13140">
        <w:rPr>
          <w:rFonts w:ascii="Palatino Linotype" w:eastAsia="Calibri" w:hAnsi="Palatino Linotype" w:cs="Arial"/>
          <w:b/>
          <w:bCs/>
          <w:lang w:val="es-ES"/>
        </w:rPr>
        <w:t xml:space="preserve"> </w:t>
      </w:r>
      <w:r w:rsidRPr="00B13140">
        <w:rPr>
          <w:rFonts w:ascii="Palatino Linotype" w:eastAsia="Calibri" w:hAnsi="Palatino Linotype" w:cs="Arial"/>
          <w:bCs/>
          <w:lang w:val="es-ES"/>
        </w:rPr>
        <w:t>la presente resolución al Titular de la Unidad de Transparencia del</w:t>
      </w:r>
      <w:r w:rsidRPr="00B13140">
        <w:rPr>
          <w:rFonts w:ascii="Palatino Linotype" w:eastAsia="Calibri" w:hAnsi="Palatino Linotype" w:cs="Arial"/>
          <w:b/>
          <w:bCs/>
          <w:lang w:val="es-ES"/>
        </w:rPr>
        <w:t xml:space="preserve"> SUJETO OBLIGADO. </w:t>
      </w:r>
    </w:p>
    <w:p w14:paraId="492BB229" w14:textId="77777777" w:rsidR="00741D33" w:rsidRPr="00B13140" w:rsidRDefault="00741D33" w:rsidP="00741D33">
      <w:pPr>
        <w:pStyle w:val="Sinespaciado"/>
        <w:spacing w:line="360" w:lineRule="auto"/>
        <w:jc w:val="both"/>
        <w:rPr>
          <w:rFonts w:ascii="Palatino Linotype" w:eastAsia="Palatino Linotype" w:hAnsi="Palatino Linotype" w:cs="Palatino Linotype"/>
          <w:b/>
        </w:rPr>
      </w:pPr>
    </w:p>
    <w:p w14:paraId="492BB22A" w14:textId="77777777" w:rsidR="00741D33" w:rsidRPr="00B13140" w:rsidRDefault="00741D33" w:rsidP="00741D33">
      <w:pPr>
        <w:pStyle w:val="Sinespaciado"/>
        <w:spacing w:line="360" w:lineRule="auto"/>
        <w:jc w:val="both"/>
        <w:rPr>
          <w:rFonts w:ascii="Palatino Linotype" w:hAnsi="Palatino Linotype"/>
          <w:color w:val="222222"/>
          <w:lang w:val="es-ES" w:eastAsia="es-MX"/>
        </w:rPr>
      </w:pPr>
      <w:r w:rsidRPr="00B13140">
        <w:rPr>
          <w:rFonts w:ascii="Palatino Linotype" w:hAnsi="Palatino Linotype" w:cs="Arial"/>
          <w:b/>
          <w:sz w:val="28"/>
        </w:rPr>
        <w:t>TERCERO</w:t>
      </w:r>
      <w:r w:rsidRPr="00B13140">
        <w:rPr>
          <w:rFonts w:ascii="Palatino Linotype" w:hAnsi="Palatino Linotype" w:cs="Arial"/>
          <w:b/>
        </w:rPr>
        <w:t xml:space="preserve">. </w:t>
      </w:r>
      <w:r w:rsidRPr="00B13140">
        <w:rPr>
          <w:rFonts w:ascii="Palatino Linotype" w:hAnsi="Palatino Linotype"/>
          <w:b/>
          <w:bCs/>
          <w:color w:val="222222"/>
          <w:lang w:val="es-ES"/>
        </w:rPr>
        <w:t xml:space="preserve">Notifíquese </w:t>
      </w:r>
      <w:r w:rsidRPr="00B13140">
        <w:rPr>
          <w:rFonts w:ascii="Palatino Linotype" w:hAnsi="Palatino Linotype"/>
          <w:bCs/>
          <w:color w:val="222222"/>
          <w:lang w:val="es-ES"/>
        </w:rPr>
        <w:t xml:space="preserve">al </w:t>
      </w:r>
      <w:r w:rsidRPr="00B13140">
        <w:rPr>
          <w:rFonts w:ascii="Palatino Linotype" w:hAnsi="Palatino Linotype"/>
          <w:b/>
        </w:rPr>
        <w:t xml:space="preserve">RECURRENTE </w:t>
      </w:r>
      <w:r w:rsidRPr="00B13140">
        <w:rPr>
          <w:rFonts w:ascii="Palatino Linotype" w:hAnsi="Palatino Linotype"/>
          <w:color w:val="222222"/>
          <w:lang w:val="es-ES" w:eastAsia="es-MX"/>
        </w:rPr>
        <w:t xml:space="preserve">la presente resolución, vía </w:t>
      </w:r>
      <w:r w:rsidRPr="00B13140">
        <w:rPr>
          <w:rFonts w:ascii="Palatino Linotype" w:eastAsia="Calibri" w:hAnsi="Palatino Linotype" w:cs="Arial"/>
          <w:bCs/>
          <w:lang w:val="es-ES"/>
        </w:rPr>
        <w:t xml:space="preserve">Sistema de Acceso a la Información Mexiquense </w:t>
      </w:r>
      <w:r w:rsidRPr="00B13140">
        <w:rPr>
          <w:rFonts w:ascii="Palatino Linotype" w:eastAsia="Calibri" w:hAnsi="Palatino Linotype" w:cs="Arial"/>
          <w:lang w:val="es-ES"/>
        </w:rPr>
        <w:t>(SAIMEX).</w:t>
      </w:r>
    </w:p>
    <w:p w14:paraId="492BB22B" w14:textId="77777777" w:rsidR="00741D33" w:rsidRPr="00B13140" w:rsidRDefault="00741D33" w:rsidP="00741D33">
      <w:pPr>
        <w:pStyle w:val="Sinespaciado"/>
        <w:spacing w:line="360" w:lineRule="auto"/>
        <w:jc w:val="both"/>
        <w:rPr>
          <w:rFonts w:ascii="Palatino Linotype" w:hAnsi="Palatino Linotype"/>
          <w:color w:val="222222"/>
          <w:lang w:val="es-ES" w:eastAsia="es-MX"/>
        </w:rPr>
      </w:pPr>
    </w:p>
    <w:p w14:paraId="492BB22C" w14:textId="77777777" w:rsidR="00741D33" w:rsidRPr="00B13140" w:rsidRDefault="00741D33" w:rsidP="00741D33">
      <w:pPr>
        <w:spacing w:line="360" w:lineRule="auto"/>
        <w:jc w:val="both"/>
        <w:rPr>
          <w:rFonts w:ascii="Palatino Linotype" w:eastAsia="MS Mincho" w:hAnsi="Palatino Linotype" w:cs="Times New Roman"/>
          <w:color w:val="000000"/>
          <w:lang w:val="es-ES"/>
        </w:rPr>
      </w:pPr>
      <w:r w:rsidRPr="00B13140">
        <w:rPr>
          <w:rFonts w:ascii="Palatino Linotype" w:eastAsia="MS Mincho" w:hAnsi="Palatino Linotype" w:cs="Times New Roman"/>
          <w:b/>
          <w:sz w:val="28"/>
        </w:rPr>
        <w:t>CUARTO</w:t>
      </w:r>
      <w:r w:rsidRPr="00B13140">
        <w:rPr>
          <w:rFonts w:ascii="Palatino Linotype" w:eastAsia="MS Mincho" w:hAnsi="Palatino Linotype" w:cs="Times New Roman"/>
          <w:b/>
        </w:rPr>
        <w:t>.</w:t>
      </w:r>
      <w:r w:rsidRPr="00B13140">
        <w:rPr>
          <w:rFonts w:ascii="Palatino Linotype" w:eastAsia="MS Mincho" w:hAnsi="Palatino Linotype" w:cs="Times New Roman"/>
        </w:rPr>
        <w:t xml:space="preserve"> </w:t>
      </w:r>
      <w:r w:rsidRPr="00B13140">
        <w:rPr>
          <w:rFonts w:ascii="Palatino Linotype" w:eastAsia="MS Mincho" w:hAnsi="Palatino Linotype" w:cs="Times New Roman"/>
          <w:lang w:val="es-ES"/>
        </w:rPr>
        <w:t xml:space="preserve">Se hace del conocimiento del </w:t>
      </w:r>
      <w:r w:rsidRPr="00B13140">
        <w:rPr>
          <w:rFonts w:ascii="Palatino Linotype" w:hAnsi="Palatino Linotype"/>
          <w:b/>
        </w:rPr>
        <w:t xml:space="preserve">RECURRENTE </w:t>
      </w:r>
      <w:r w:rsidRPr="00B13140">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B13140">
        <w:rPr>
          <w:rFonts w:ascii="Palatino Linotype" w:eastAsia="MS Mincho" w:hAnsi="Palatino Linotype" w:cs="Times New Roman"/>
          <w:bCs/>
          <w:lang w:val="es-ES"/>
        </w:rPr>
        <w:t>vía juicio de amparo</w:t>
      </w:r>
      <w:r w:rsidRPr="00B13140">
        <w:rPr>
          <w:rFonts w:ascii="Palatino Linotype" w:eastAsia="MS Mincho" w:hAnsi="Palatino Linotype" w:cs="Times New Roman"/>
          <w:lang w:val="es-ES"/>
        </w:rPr>
        <w:t> en los términos de las leyes aplicables.</w:t>
      </w:r>
    </w:p>
    <w:p w14:paraId="492BB22D" w14:textId="77777777" w:rsidR="00F12093" w:rsidRPr="00B13140" w:rsidRDefault="00F12093" w:rsidP="00F12093">
      <w:pPr>
        <w:shd w:val="clear" w:color="auto" w:fill="FFFFFF"/>
        <w:spacing w:line="360" w:lineRule="auto"/>
        <w:jc w:val="both"/>
        <w:rPr>
          <w:rFonts w:ascii="Palatino Linotype" w:eastAsia="MS Mincho" w:hAnsi="Palatino Linotype" w:cs="Times New Roman"/>
          <w:lang w:val="es-ES"/>
        </w:rPr>
      </w:pPr>
    </w:p>
    <w:p w14:paraId="23EB90EB" w14:textId="77777777" w:rsidR="00B63D1F" w:rsidRDefault="00B63D1F" w:rsidP="00B63D1F">
      <w:pPr>
        <w:spacing w:before="240" w:after="240" w:line="360" w:lineRule="auto"/>
        <w:jc w:val="both"/>
        <w:rPr>
          <w:rFonts w:ascii="Palatino Linotype" w:hAnsi="Palatino Linotype"/>
        </w:rPr>
      </w:pPr>
      <w:r w:rsidRPr="00B13140">
        <w:rPr>
          <w:rFonts w:ascii="Palatino Linotype" w:hAnsi="Palatino Linotype"/>
        </w:rPr>
        <w:t xml:space="preserve">ASÍ LO RESUELVE, POR UNANIMIDAD DE VOTOS, EL PLENO DEL INSTITUTO DE TRANSPARENCIA, ACCESO A LA INFORMACIÓN PÚBLICA Y PROTECCIÓN DE DATOS PERSONALES DEL ESTADO DE MÉXICO Y </w:t>
      </w:r>
      <w:r w:rsidRPr="00B13140">
        <w:rPr>
          <w:rFonts w:ascii="Palatino Linotype" w:hAnsi="Palatino Linotype"/>
        </w:rPr>
        <w:lastRenderedPageBreak/>
        <w:t>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24" w:name="_GoBack"/>
      <w:bookmarkEnd w:id="24"/>
      <w:r w:rsidRPr="00624AAD">
        <w:rPr>
          <w:rFonts w:ascii="Palatino Linotype" w:hAnsi="Palatino Linotype"/>
        </w:rPr>
        <w:t xml:space="preserve"> </w:t>
      </w:r>
    </w:p>
    <w:p w14:paraId="492BB22F" w14:textId="77777777" w:rsidR="00741D33" w:rsidRPr="00B32FC8" w:rsidRDefault="00741D33" w:rsidP="00741D33">
      <w:pPr>
        <w:shd w:val="clear" w:color="auto" w:fill="FFFFFF"/>
        <w:spacing w:line="360" w:lineRule="auto"/>
        <w:jc w:val="both"/>
        <w:rPr>
          <w:rFonts w:ascii="Palatino Linotype" w:eastAsia="MS Mincho" w:hAnsi="Palatino Linotype" w:cs="Times New Roman"/>
          <w:lang w:val="es-ES"/>
        </w:rPr>
      </w:pPr>
      <w:r>
        <w:rPr>
          <w:rFonts w:ascii="Palatino Linotype" w:hAnsi="Palatino Linotype" w:cs="Arial"/>
          <w:color w:val="000000" w:themeColor="text1"/>
        </w:rPr>
        <w:br w:type="page"/>
      </w:r>
    </w:p>
    <w:p w14:paraId="492BB230" w14:textId="77777777" w:rsidR="00F12093" w:rsidRPr="00B32FC8" w:rsidRDefault="00F12093" w:rsidP="00F12093">
      <w:pPr>
        <w:spacing w:line="360" w:lineRule="auto"/>
        <w:jc w:val="both"/>
        <w:rPr>
          <w:rFonts w:ascii="Palatino Linotype" w:eastAsia="MS Mincho" w:hAnsi="Palatino Linotype" w:cs="Times New Roman"/>
          <w:lang w:val="es-ES"/>
        </w:rPr>
      </w:pPr>
    </w:p>
    <w:p w14:paraId="492BB231" w14:textId="77777777" w:rsidR="00F12093" w:rsidRPr="00B32FC8" w:rsidRDefault="00F12093" w:rsidP="00F12093">
      <w:pPr>
        <w:spacing w:line="360" w:lineRule="auto"/>
        <w:jc w:val="both"/>
        <w:rPr>
          <w:rFonts w:ascii="Palatino Linotype" w:hAnsi="Palatino Linotype"/>
          <w:color w:val="000000"/>
          <w:shd w:val="clear" w:color="auto" w:fill="FFFFFF"/>
        </w:rPr>
      </w:pPr>
    </w:p>
    <w:p w14:paraId="492BB232" w14:textId="77777777" w:rsidR="00F12093" w:rsidRPr="00B32FC8" w:rsidRDefault="00F12093" w:rsidP="00F12093">
      <w:pPr>
        <w:spacing w:line="360" w:lineRule="auto"/>
        <w:rPr>
          <w:rFonts w:ascii="Palatino Linotype" w:hAnsi="Palatino Linotype"/>
        </w:rPr>
      </w:pPr>
    </w:p>
    <w:p w14:paraId="492BB233" w14:textId="77777777" w:rsidR="00775D76" w:rsidRDefault="00775D76"/>
    <w:sectPr w:rsidR="00775D76" w:rsidSect="002D61E8">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86D6C" w14:textId="77777777" w:rsidR="0018114F" w:rsidRDefault="0018114F" w:rsidP="00F12093">
      <w:r>
        <w:separator/>
      </w:r>
    </w:p>
  </w:endnote>
  <w:endnote w:type="continuationSeparator" w:id="0">
    <w:p w14:paraId="7D58D130" w14:textId="77777777" w:rsidR="0018114F" w:rsidRDefault="0018114F"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492BB246" w14:textId="77777777" w:rsidR="00EF299E" w:rsidRPr="000A2541" w:rsidRDefault="00EF299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13140">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13140">
              <w:rPr>
                <w:rFonts w:ascii="Palatino Linotype" w:hAnsi="Palatino Linotype"/>
                <w:b/>
                <w:bCs/>
                <w:noProof/>
              </w:rPr>
              <w:t>26</w:t>
            </w:r>
            <w:r w:rsidRPr="000A2541">
              <w:rPr>
                <w:rFonts w:ascii="Palatino Linotype" w:hAnsi="Palatino Linotype"/>
                <w:b/>
                <w:bCs/>
              </w:rPr>
              <w:fldChar w:fldCharType="end"/>
            </w:r>
          </w:p>
        </w:sdtContent>
      </w:sdt>
    </w:sdtContent>
  </w:sdt>
  <w:p w14:paraId="492BB247" w14:textId="77777777" w:rsidR="00EF299E" w:rsidRDefault="00EF29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B261" w14:textId="77777777" w:rsidR="00EF299E" w:rsidRPr="00883450" w:rsidRDefault="00EF299E"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3140" w:rsidRPr="00B1314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3140" w:rsidRPr="00B13140">
      <w:rPr>
        <w:rFonts w:ascii="Palatino Linotype" w:hAnsi="Palatino Linotype"/>
        <w:noProof/>
        <w:sz w:val="22"/>
        <w:szCs w:val="22"/>
        <w:lang w:val="es-ES"/>
      </w:rPr>
      <w:t>26</w:t>
    </w:r>
    <w:r w:rsidRPr="00883450">
      <w:rPr>
        <w:rFonts w:ascii="Palatino Linotype" w:hAnsi="Palatino Linotype"/>
        <w:sz w:val="22"/>
        <w:szCs w:val="22"/>
      </w:rPr>
      <w:fldChar w:fldCharType="end"/>
    </w:r>
  </w:p>
  <w:p w14:paraId="492BB262" w14:textId="77777777" w:rsidR="00EF299E" w:rsidRPr="00883450" w:rsidRDefault="00EF299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C610A" w14:textId="77777777" w:rsidR="0018114F" w:rsidRDefault="0018114F" w:rsidP="00F12093">
      <w:r>
        <w:separator/>
      </w:r>
    </w:p>
  </w:footnote>
  <w:footnote w:type="continuationSeparator" w:id="0">
    <w:p w14:paraId="420B346B" w14:textId="77777777" w:rsidR="0018114F" w:rsidRDefault="0018114F" w:rsidP="00F12093">
      <w:r>
        <w:continuationSeparator/>
      </w:r>
    </w:p>
  </w:footnote>
  <w:footnote w:id="1">
    <w:p w14:paraId="66C09EB8" w14:textId="77777777" w:rsidR="00011EDF" w:rsidRPr="00C7183E" w:rsidRDefault="00011EDF" w:rsidP="00011EDF">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695D84E" w14:textId="77777777" w:rsidR="00011EDF" w:rsidRDefault="00011EDF" w:rsidP="00011EDF">
      <w:pPr>
        <w:pStyle w:val="Textonotapie"/>
      </w:pPr>
      <w:r>
        <w:rPr>
          <w:rStyle w:val="Refdenotaalpie"/>
        </w:rPr>
        <w:footnoteRef/>
      </w:r>
      <w:r>
        <w:t xml:space="preserve"> Consultable </w:t>
      </w:r>
      <w:r w:rsidRPr="00EC7027">
        <w:t>en el Seminario Judicial de la Federación y su gaceta, con el registro digital 2002351.</w:t>
      </w:r>
    </w:p>
  </w:footnote>
  <w:footnote w:id="3">
    <w:p w14:paraId="3D97EB8C" w14:textId="77777777" w:rsidR="00011EDF" w:rsidRDefault="00011EDF" w:rsidP="00011EDF">
      <w:pPr>
        <w:pStyle w:val="Textonotapie"/>
      </w:pPr>
      <w:r>
        <w:rPr>
          <w:rStyle w:val="Refdenotaalpie"/>
        </w:rPr>
        <w:footnoteRef/>
      </w:r>
      <w:r>
        <w:t xml:space="preserve"> Consultable </w:t>
      </w:r>
      <w:r w:rsidRPr="00EC7027">
        <w:t>en el Seminario Judicial de la Federación y su gaceta, con el registro digital 2002350.</w:t>
      </w:r>
    </w:p>
  </w:footnote>
  <w:footnote w:id="4">
    <w:p w14:paraId="492BB269" w14:textId="77777777" w:rsidR="00741D33" w:rsidRDefault="00741D33" w:rsidP="00741D33">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BB238" w14:textId="77777777" w:rsidR="00EF299E" w:rsidRDefault="0018114F">
    <w:pPr>
      <w:pStyle w:val="Encabezado"/>
    </w:pPr>
    <w:r>
      <w:rPr>
        <w:noProof/>
        <w:lang w:val="es-MX" w:eastAsia="es-MX"/>
      </w:rPr>
      <w:pict w14:anchorId="492BB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0" type="#_x0000_t75" style="position:absolute;margin-left:0;margin-top:0;width:609.4pt;height:793.75pt;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F299E" w:rsidRPr="00EF13C1" w14:paraId="492BB23B" w14:textId="77777777" w:rsidTr="002D61E8">
      <w:trPr>
        <w:trHeight w:val="138"/>
        <w:jc w:val="right"/>
      </w:trPr>
      <w:tc>
        <w:tcPr>
          <w:tcW w:w="2552" w:type="dxa"/>
          <w:vAlign w:val="center"/>
        </w:tcPr>
        <w:p w14:paraId="492BB239" w14:textId="77777777" w:rsidR="00EF299E" w:rsidRPr="00EF13C1" w:rsidRDefault="00EF299E"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492BB23A" w14:textId="77777777" w:rsidR="00EF299E" w:rsidRPr="00353EB6" w:rsidRDefault="00EF299E"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6963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EF299E" w:rsidRPr="00EF13C1" w14:paraId="492BB23E" w14:textId="77777777" w:rsidTr="00F12093">
      <w:trPr>
        <w:trHeight w:val="127"/>
        <w:jc w:val="right"/>
      </w:trPr>
      <w:tc>
        <w:tcPr>
          <w:tcW w:w="2552" w:type="dxa"/>
          <w:vAlign w:val="center"/>
        </w:tcPr>
        <w:p w14:paraId="492BB23C" w14:textId="77777777" w:rsidR="00EF299E" w:rsidRPr="00EF13C1" w:rsidRDefault="00EF299E" w:rsidP="002D61E8">
          <w:pPr>
            <w:rPr>
              <w:rFonts w:ascii="Palatino Linotype" w:hAnsi="Palatino Linotype"/>
              <w:b/>
              <w:sz w:val="22"/>
              <w:szCs w:val="22"/>
            </w:rPr>
          </w:pPr>
        </w:p>
      </w:tc>
      <w:tc>
        <w:tcPr>
          <w:tcW w:w="3826" w:type="dxa"/>
          <w:vAlign w:val="center"/>
        </w:tcPr>
        <w:p w14:paraId="492BB23D" w14:textId="77777777" w:rsidR="00EF299E" w:rsidRPr="00EF13C1" w:rsidRDefault="00EF299E" w:rsidP="00F12093">
          <w:pPr>
            <w:pStyle w:val="Encabezado"/>
            <w:rPr>
              <w:rFonts w:ascii="Palatino Linotype" w:hAnsi="Palatino Linotype"/>
              <w:b/>
              <w:sz w:val="22"/>
              <w:szCs w:val="22"/>
            </w:rPr>
          </w:pPr>
        </w:p>
      </w:tc>
    </w:tr>
    <w:tr w:rsidR="00EF299E" w:rsidRPr="00FB0541" w14:paraId="492BB241" w14:textId="77777777" w:rsidTr="002D61E8">
      <w:trPr>
        <w:trHeight w:val="321"/>
        <w:jc w:val="right"/>
      </w:trPr>
      <w:tc>
        <w:tcPr>
          <w:tcW w:w="2552" w:type="dxa"/>
          <w:vAlign w:val="center"/>
        </w:tcPr>
        <w:p w14:paraId="492BB23F" w14:textId="77777777" w:rsidR="00EF299E" w:rsidRPr="00FB0541" w:rsidRDefault="00EF299E"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492BB240" w14:textId="77777777" w:rsidR="00EF299E" w:rsidRPr="00FB0541" w:rsidRDefault="00EF299E" w:rsidP="00F12093">
          <w:pPr>
            <w:pStyle w:val="Encabezado"/>
            <w:jc w:val="right"/>
            <w:rPr>
              <w:rFonts w:ascii="Palatino Linotype" w:hAnsi="Palatino Linotype"/>
              <w:b/>
              <w:sz w:val="22"/>
              <w:szCs w:val="22"/>
            </w:rPr>
          </w:pPr>
          <w:r>
            <w:rPr>
              <w:rFonts w:ascii="Palatino Linotype" w:hAnsi="Palatino Linotype"/>
              <w:b/>
              <w:bCs/>
              <w:sz w:val="22"/>
              <w:szCs w:val="20"/>
            </w:rPr>
            <w:t>Secretaría de Desarrollo Urbano y Obra</w:t>
          </w:r>
        </w:p>
      </w:tc>
    </w:tr>
    <w:tr w:rsidR="00EF299E" w:rsidRPr="00EF13C1" w14:paraId="492BB244" w14:textId="77777777" w:rsidTr="002D61E8">
      <w:trPr>
        <w:trHeight w:val="321"/>
        <w:jc w:val="right"/>
      </w:trPr>
      <w:tc>
        <w:tcPr>
          <w:tcW w:w="2552" w:type="dxa"/>
          <w:vAlign w:val="center"/>
        </w:tcPr>
        <w:p w14:paraId="492BB242" w14:textId="77777777" w:rsidR="00EF299E" w:rsidRPr="00EF13C1" w:rsidRDefault="00EF299E"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492BB243" w14:textId="77777777" w:rsidR="00EF299E" w:rsidRPr="00EF13C1" w:rsidRDefault="00EF299E"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492BB245" w14:textId="77777777" w:rsidR="00EF299E" w:rsidRDefault="0018114F" w:rsidP="002D61E8">
    <w:pPr>
      <w:pStyle w:val="Encabezado"/>
    </w:pPr>
    <w:r>
      <w:rPr>
        <w:noProof/>
        <w:lang w:val="es-MX" w:eastAsia="es-MX"/>
      </w:rPr>
      <w:pict w14:anchorId="492BB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1" type="#_x0000_t75" style="position:absolute;margin-left:-88.05pt;margin-top:-123.6pt;width:609.4pt;height:793.75pt;z-index:-25165875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F299E" w:rsidRPr="00182113" w14:paraId="492BB24D" w14:textId="77777777" w:rsidTr="002D61E8">
      <w:trPr>
        <w:trHeight w:val="138"/>
      </w:trPr>
      <w:tc>
        <w:tcPr>
          <w:tcW w:w="2532" w:type="dxa"/>
          <w:vAlign w:val="center"/>
        </w:tcPr>
        <w:p w14:paraId="492BB248" w14:textId="77777777" w:rsidR="00EF299E" w:rsidRPr="00EF13C1" w:rsidRDefault="00EF299E"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92BB249" w14:textId="77777777" w:rsidR="00EF299E" w:rsidRPr="00353EB6" w:rsidRDefault="00EF299E" w:rsidP="002D61E8">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6963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c>
        <w:tcPr>
          <w:tcW w:w="2532" w:type="dxa"/>
          <w:vAlign w:val="center"/>
        </w:tcPr>
        <w:p w14:paraId="492BB24A" w14:textId="77777777" w:rsidR="00EF299E" w:rsidRPr="00182113" w:rsidRDefault="00EF299E" w:rsidP="002D61E8">
          <w:pPr>
            <w:rPr>
              <w:rFonts w:ascii="Palatino Linotype" w:hAnsi="Palatino Linotype"/>
              <w:b/>
              <w:sz w:val="22"/>
              <w:szCs w:val="22"/>
            </w:rPr>
          </w:pPr>
        </w:p>
      </w:tc>
      <w:tc>
        <w:tcPr>
          <w:tcW w:w="236" w:type="dxa"/>
          <w:vAlign w:val="center"/>
        </w:tcPr>
        <w:p w14:paraId="492BB24B" w14:textId="77777777" w:rsidR="00EF299E" w:rsidRPr="00182113" w:rsidRDefault="00EF299E" w:rsidP="002D61E8">
          <w:pPr>
            <w:pStyle w:val="Encabezado"/>
            <w:jc w:val="center"/>
            <w:rPr>
              <w:rFonts w:ascii="Palatino Linotype" w:hAnsi="Palatino Linotype"/>
              <w:b/>
              <w:sz w:val="22"/>
              <w:szCs w:val="22"/>
            </w:rPr>
          </w:pPr>
        </w:p>
      </w:tc>
      <w:tc>
        <w:tcPr>
          <w:tcW w:w="3261" w:type="dxa"/>
          <w:vAlign w:val="center"/>
        </w:tcPr>
        <w:p w14:paraId="492BB24C" w14:textId="77777777" w:rsidR="00EF299E" w:rsidRPr="00182113" w:rsidRDefault="00EF299E" w:rsidP="002D61E8">
          <w:pPr>
            <w:pStyle w:val="Encabezado"/>
            <w:rPr>
              <w:rFonts w:ascii="Palatino Linotype" w:hAnsi="Palatino Linotype"/>
              <w:b/>
              <w:sz w:val="22"/>
              <w:szCs w:val="22"/>
            </w:rPr>
          </w:pPr>
        </w:p>
      </w:tc>
    </w:tr>
    <w:tr w:rsidR="00EF299E" w:rsidRPr="00182113" w14:paraId="492BB253" w14:textId="77777777" w:rsidTr="002D61E8">
      <w:trPr>
        <w:trHeight w:val="227"/>
      </w:trPr>
      <w:tc>
        <w:tcPr>
          <w:tcW w:w="2532" w:type="dxa"/>
          <w:vAlign w:val="center"/>
        </w:tcPr>
        <w:p w14:paraId="492BB24E" w14:textId="77777777" w:rsidR="00EF299E" w:rsidRPr="00EF13C1" w:rsidRDefault="00EF299E"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492BB24F" w14:textId="601EDFBF" w:rsidR="00EF299E" w:rsidRPr="00C23F87" w:rsidRDefault="00B13140" w:rsidP="002D61E8">
          <w:pPr>
            <w:pStyle w:val="Encabezado"/>
            <w:jc w:val="right"/>
            <w:rPr>
              <w:rFonts w:ascii="Palatino Linotype" w:hAnsi="Palatino Linotype"/>
              <w:b/>
              <w:sz w:val="22"/>
              <w:szCs w:val="22"/>
            </w:rPr>
          </w:pPr>
          <w:r>
            <w:rPr>
              <w:rFonts w:ascii="Palatino Linotype" w:hAnsi="Palatino Linotype"/>
              <w:b/>
              <w:sz w:val="22"/>
              <w:szCs w:val="22"/>
            </w:rPr>
            <w:t>XXXX XXXXX XXXX</w:t>
          </w:r>
          <w:r w:rsidR="00EF299E">
            <w:rPr>
              <w:rFonts w:ascii="Palatino Linotype" w:hAnsi="Palatino Linotype"/>
              <w:b/>
              <w:sz w:val="22"/>
              <w:szCs w:val="22"/>
            </w:rPr>
            <w:t xml:space="preserve">  </w:t>
          </w:r>
        </w:p>
      </w:tc>
      <w:tc>
        <w:tcPr>
          <w:tcW w:w="2532" w:type="dxa"/>
          <w:vAlign w:val="center"/>
        </w:tcPr>
        <w:p w14:paraId="492BB250" w14:textId="77777777" w:rsidR="00EF299E" w:rsidRPr="00182113" w:rsidRDefault="00EF299E" w:rsidP="002D61E8">
          <w:pPr>
            <w:rPr>
              <w:rFonts w:ascii="Palatino Linotype" w:hAnsi="Palatino Linotype"/>
              <w:b/>
              <w:sz w:val="22"/>
              <w:szCs w:val="22"/>
            </w:rPr>
          </w:pPr>
        </w:p>
      </w:tc>
      <w:tc>
        <w:tcPr>
          <w:tcW w:w="236" w:type="dxa"/>
          <w:vAlign w:val="center"/>
        </w:tcPr>
        <w:p w14:paraId="492BB251" w14:textId="77777777" w:rsidR="00EF299E" w:rsidRPr="00182113" w:rsidRDefault="00EF299E" w:rsidP="002D61E8">
          <w:pPr>
            <w:pStyle w:val="Encabezado"/>
            <w:jc w:val="center"/>
            <w:rPr>
              <w:rFonts w:ascii="Palatino Linotype" w:hAnsi="Palatino Linotype"/>
              <w:b/>
              <w:sz w:val="22"/>
              <w:szCs w:val="22"/>
            </w:rPr>
          </w:pPr>
        </w:p>
      </w:tc>
      <w:tc>
        <w:tcPr>
          <w:tcW w:w="3261" w:type="dxa"/>
          <w:vAlign w:val="center"/>
        </w:tcPr>
        <w:p w14:paraId="492BB252" w14:textId="77777777" w:rsidR="00EF299E" w:rsidRPr="00182113" w:rsidRDefault="00EF299E" w:rsidP="002D61E8">
          <w:pPr>
            <w:pStyle w:val="Encabezado"/>
            <w:rPr>
              <w:rFonts w:ascii="Palatino Linotype" w:hAnsi="Palatino Linotype"/>
              <w:b/>
              <w:sz w:val="22"/>
              <w:szCs w:val="22"/>
            </w:rPr>
          </w:pPr>
        </w:p>
      </w:tc>
    </w:tr>
    <w:tr w:rsidR="00EF299E" w:rsidRPr="00182113" w14:paraId="492BB259" w14:textId="77777777" w:rsidTr="002D61E8">
      <w:trPr>
        <w:trHeight w:val="232"/>
      </w:trPr>
      <w:tc>
        <w:tcPr>
          <w:tcW w:w="2532" w:type="dxa"/>
          <w:vAlign w:val="center"/>
        </w:tcPr>
        <w:p w14:paraId="492BB254" w14:textId="77777777" w:rsidR="00EF299E" w:rsidRPr="00EF13C1" w:rsidRDefault="00EF299E"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492BB255" w14:textId="77777777" w:rsidR="00EF299E" w:rsidRPr="00C23F87" w:rsidRDefault="00EF299E" w:rsidP="005B7B01">
          <w:pPr>
            <w:pStyle w:val="Encabezado"/>
            <w:jc w:val="right"/>
            <w:rPr>
              <w:rFonts w:ascii="Palatino Linotype" w:hAnsi="Palatino Linotype"/>
              <w:b/>
              <w:sz w:val="22"/>
              <w:szCs w:val="22"/>
            </w:rPr>
          </w:pPr>
          <w:r>
            <w:rPr>
              <w:rFonts w:ascii="Palatino Linotype" w:hAnsi="Palatino Linotype"/>
              <w:b/>
              <w:bCs/>
              <w:sz w:val="22"/>
              <w:szCs w:val="20"/>
            </w:rPr>
            <w:t>Secretaría de Desarrollo Urbano y Obra</w:t>
          </w:r>
        </w:p>
      </w:tc>
      <w:tc>
        <w:tcPr>
          <w:tcW w:w="2532" w:type="dxa"/>
          <w:vAlign w:val="center"/>
        </w:tcPr>
        <w:p w14:paraId="492BB256" w14:textId="77777777" w:rsidR="00EF299E" w:rsidRPr="00182113" w:rsidRDefault="00EF299E" w:rsidP="002D61E8">
          <w:pPr>
            <w:rPr>
              <w:rFonts w:ascii="Palatino Linotype" w:hAnsi="Palatino Linotype"/>
              <w:b/>
              <w:sz w:val="22"/>
              <w:szCs w:val="22"/>
            </w:rPr>
          </w:pPr>
        </w:p>
      </w:tc>
      <w:tc>
        <w:tcPr>
          <w:tcW w:w="236" w:type="dxa"/>
          <w:vAlign w:val="center"/>
        </w:tcPr>
        <w:p w14:paraId="492BB257" w14:textId="77777777" w:rsidR="00EF299E" w:rsidRPr="00182113" w:rsidRDefault="00EF299E" w:rsidP="002D61E8">
          <w:pPr>
            <w:pStyle w:val="Encabezado"/>
            <w:jc w:val="center"/>
            <w:rPr>
              <w:rFonts w:ascii="Palatino Linotype" w:hAnsi="Palatino Linotype"/>
              <w:b/>
              <w:sz w:val="22"/>
              <w:szCs w:val="22"/>
            </w:rPr>
          </w:pPr>
        </w:p>
      </w:tc>
      <w:tc>
        <w:tcPr>
          <w:tcW w:w="3261" w:type="dxa"/>
          <w:vAlign w:val="center"/>
        </w:tcPr>
        <w:p w14:paraId="492BB258" w14:textId="77777777" w:rsidR="00EF299E" w:rsidRPr="00182113" w:rsidRDefault="00EF299E" w:rsidP="002D61E8">
          <w:pPr>
            <w:pStyle w:val="Encabezado"/>
            <w:rPr>
              <w:rFonts w:ascii="Palatino Linotype" w:hAnsi="Palatino Linotype"/>
              <w:b/>
              <w:sz w:val="22"/>
              <w:szCs w:val="22"/>
            </w:rPr>
          </w:pPr>
        </w:p>
      </w:tc>
    </w:tr>
    <w:tr w:rsidR="00EF299E" w:rsidRPr="00182113" w14:paraId="492BB25F" w14:textId="77777777" w:rsidTr="002D61E8">
      <w:trPr>
        <w:trHeight w:val="320"/>
      </w:trPr>
      <w:tc>
        <w:tcPr>
          <w:tcW w:w="2532" w:type="dxa"/>
          <w:vAlign w:val="center"/>
        </w:tcPr>
        <w:p w14:paraId="492BB25A" w14:textId="77777777" w:rsidR="00EF299E" w:rsidRPr="00EF13C1" w:rsidRDefault="00EF299E"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492BB25B" w14:textId="77777777" w:rsidR="00EF299E" w:rsidRPr="00EF13C1" w:rsidRDefault="00EF299E"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492BB25C" w14:textId="77777777" w:rsidR="00EF299E" w:rsidRPr="00182113" w:rsidRDefault="00EF299E" w:rsidP="002D61E8">
          <w:pPr>
            <w:rPr>
              <w:rFonts w:ascii="Palatino Linotype" w:hAnsi="Palatino Linotype"/>
              <w:b/>
              <w:sz w:val="22"/>
              <w:szCs w:val="22"/>
            </w:rPr>
          </w:pPr>
        </w:p>
      </w:tc>
      <w:tc>
        <w:tcPr>
          <w:tcW w:w="236" w:type="dxa"/>
          <w:vAlign w:val="center"/>
        </w:tcPr>
        <w:p w14:paraId="492BB25D" w14:textId="77777777" w:rsidR="00EF299E" w:rsidRPr="00182113" w:rsidRDefault="00EF299E" w:rsidP="002D61E8">
          <w:pPr>
            <w:pStyle w:val="Encabezado"/>
            <w:jc w:val="center"/>
            <w:rPr>
              <w:rFonts w:ascii="Palatino Linotype" w:hAnsi="Palatino Linotype"/>
              <w:b/>
              <w:sz w:val="22"/>
              <w:szCs w:val="22"/>
            </w:rPr>
          </w:pPr>
        </w:p>
      </w:tc>
      <w:tc>
        <w:tcPr>
          <w:tcW w:w="3261" w:type="dxa"/>
          <w:vAlign w:val="center"/>
        </w:tcPr>
        <w:p w14:paraId="492BB25E" w14:textId="77777777" w:rsidR="00EF299E" w:rsidRPr="00182113" w:rsidRDefault="00EF299E" w:rsidP="002D61E8">
          <w:pPr>
            <w:pStyle w:val="Encabezado"/>
            <w:rPr>
              <w:rFonts w:ascii="Palatino Linotype" w:hAnsi="Palatino Linotype"/>
              <w:b/>
              <w:sz w:val="22"/>
              <w:szCs w:val="22"/>
            </w:rPr>
          </w:pPr>
        </w:p>
      </w:tc>
    </w:tr>
  </w:tbl>
  <w:p w14:paraId="492BB260" w14:textId="77777777" w:rsidR="00EF299E" w:rsidRDefault="0018114F">
    <w:pPr>
      <w:pStyle w:val="Encabezado"/>
    </w:pPr>
    <w:r>
      <w:rPr>
        <w:noProof/>
        <w:lang w:val="es-MX" w:eastAsia="es-MX"/>
      </w:rPr>
      <w:pict w14:anchorId="492BB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style="position:absolute;margin-left:0;margin-top:0;width:609.4pt;height:793.75pt;z-index:-251657728;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E7592E"/>
    <w:multiLevelType w:val="hybridMultilevel"/>
    <w:tmpl w:val="B0509FB8"/>
    <w:lvl w:ilvl="0" w:tplc="FFFFFFFF">
      <w:start w:val="1"/>
      <w:numFmt w:val="decimal"/>
      <w:lvlText w:val="%1."/>
      <w:lvlJc w:val="left"/>
      <w:pPr>
        <w:ind w:left="0" w:firstLine="0"/>
      </w:pPr>
      <w:rPr>
        <w:rFonts w:ascii="Palatino Linotype" w:hAnsi="Palatino Linotype" w:hint="default"/>
        <w:b/>
        <w:i w:val="0"/>
        <w:sz w:val="24"/>
      </w:rPr>
    </w:lvl>
    <w:lvl w:ilvl="1" w:tplc="E244F41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9">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4"/>
  </w:num>
  <w:num w:numId="2">
    <w:abstractNumId w:val="6"/>
  </w:num>
  <w:num w:numId="3">
    <w:abstractNumId w:val="36"/>
  </w:num>
  <w:num w:numId="4">
    <w:abstractNumId w:val="31"/>
  </w:num>
  <w:num w:numId="5">
    <w:abstractNumId w:val="18"/>
  </w:num>
  <w:num w:numId="6">
    <w:abstractNumId w:val="39"/>
  </w:num>
  <w:num w:numId="7">
    <w:abstractNumId w:val="2"/>
  </w:num>
  <w:num w:numId="8">
    <w:abstractNumId w:val="33"/>
  </w:num>
  <w:num w:numId="9">
    <w:abstractNumId w:val="41"/>
  </w:num>
  <w:num w:numId="10">
    <w:abstractNumId w:val="13"/>
  </w:num>
  <w:num w:numId="11">
    <w:abstractNumId w:val="8"/>
  </w:num>
  <w:num w:numId="12">
    <w:abstractNumId w:val="17"/>
  </w:num>
  <w:num w:numId="13">
    <w:abstractNumId w:val="37"/>
  </w:num>
  <w:num w:numId="14">
    <w:abstractNumId w:val="40"/>
  </w:num>
  <w:num w:numId="15">
    <w:abstractNumId w:val="29"/>
  </w:num>
  <w:num w:numId="16">
    <w:abstractNumId w:val="34"/>
  </w:num>
  <w:num w:numId="17">
    <w:abstractNumId w:val="12"/>
  </w:num>
  <w:num w:numId="18">
    <w:abstractNumId w:val="27"/>
  </w:num>
  <w:num w:numId="19">
    <w:abstractNumId w:val="38"/>
  </w:num>
  <w:num w:numId="20">
    <w:abstractNumId w:val="23"/>
  </w:num>
  <w:num w:numId="21">
    <w:abstractNumId w:val="2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4"/>
  </w:num>
  <w:num w:numId="25">
    <w:abstractNumId w:val="42"/>
  </w:num>
  <w:num w:numId="26">
    <w:abstractNumId w:val="11"/>
  </w:num>
  <w:num w:numId="27">
    <w:abstractNumId w:val="7"/>
  </w:num>
  <w:num w:numId="28">
    <w:abstractNumId w:val="16"/>
  </w:num>
  <w:num w:numId="29">
    <w:abstractNumId w:val="22"/>
  </w:num>
  <w:num w:numId="30">
    <w:abstractNumId w:val="0"/>
  </w:num>
  <w:num w:numId="31">
    <w:abstractNumId w:val="26"/>
  </w:num>
  <w:num w:numId="32">
    <w:abstractNumId w:val="15"/>
  </w:num>
  <w:num w:numId="33">
    <w:abstractNumId w:val="20"/>
  </w:num>
  <w:num w:numId="34">
    <w:abstractNumId w:val="21"/>
  </w:num>
  <w:num w:numId="35">
    <w:abstractNumId w:val="1"/>
  </w:num>
  <w:num w:numId="36">
    <w:abstractNumId w:val="9"/>
  </w:num>
  <w:num w:numId="37">
    <w:abstractNumId w:val="35"/>
  </w:num>
  <w:num w:numId="38">
    <w:abstractNumId w:val="25"/>
  </w:num>
  <w:num w:numId="39">
    <w:abstractNumId w:val="30"/>
  </w:num>
  <w:num w:numId="40">
    <w:abstractNumId w:val="1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5"/>
  </w:num>
  <w:num w:numId="43">
    <w:abstractNumId w:val="1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11EDF"/>
    <w:rsid w:val="000224E5"/>
    <w:rsid w:val="00097B6C"/>
    <w:rsid w:val="000B4F16"/>
    <w:rsid w:val="000C37CB"/>
    <w:rsid w:val="001378B2"/>
    <w:rsid w:val="00152BE4"/>
    <w:rsid w:val="00160482"/>
    <w:rsid w:val="0018114F"/>
    <w:rsid w:val="001C10E6"/>
    <w:rsid w:val="001D5839"/>
    <w:rsid w:val="00201C9F"/>
    <w:rsid w:val="00205352"/>
    <w:rsid w:val="002975CE"/>
    <w:rsid w:val="002C6514"/>
    <w:rsid w:val="002D61E8"/>
    <w:rsid w:val="002E5B97"/>
    <w:rsid w:val="00333CE6"/>
    <w:rsid w:val="00336C46"/>
    <w:rsid w:val="0034149E"/>
    <w:rsid w:val="00344320"/>
    <w:rsid w:val="0038075A"/>
    <w:rsid w:val="003A104A"/>
    <w:rsid w:val="003B3148"/>
    <w:rsid w:val="003C5174"/>
    <w:rsid w:val="003D115E"/>
    <w:rsid w:val="003D2E41"/>
    <w:rsid w:val="003D390B"/>
    <w:rsid w:val="0041400C"/>
    <w:rsid w:val="00450297"/>
    <w:rsid w:val="00460E4E"/>
    <w:rsid w:val="00464CC5"/>
    <w:rsid w:val="004860AB"/>
    <w:rsid w:val="00497BD3"/>
    <w:rsid w:val="004B711F"/>
    <w:rsid w:val="004C5605"/>
    <w:rsid w:val="004C5BA3"/>
    <w:rsid w:val="0050511E"/>
    <w:rsid w:val="00507F69"/>
    <w:rsid w:val="005213A9"/>
    <w:rsid w:val="00567E63"/>
    <w:rsid w:val="00581D88"/>
    <w:rsid w:val="005B7B01"/>
    <w:rsid w:val="0062782B"/>
    <w:rsid w:val="00667F8A"/>
    <w:rsid w:val="00673348"/>
    <w:rsid w:val="00696174"/>
    <w:rsid w:val="006D6F96"/>
    <w:rsid w:val="006E6410"/>
    <w:rsid w:val="006E711D"/>
    <w:rsid w:val="006F27C1"/>
    <w:rsid w:val="00734896"/>
    <w:rsid w:val="00741D33"/>
    <w:rsid w:val="00765091"/>
    <w:rsid w:val="00770A31"/>
    <w:rsid w:val="00775D76"/>
    <w:rsid w:val="00795CB4"/>
    <w:rsid w:val="007B0EC9"/>
    <w:rsid w:val="0083334B"/>
    <w:rsid w:val="008B4DB2"/>
    <w:rsid w:val="008C692D"/>
    <w:rsid w:val="008D4505"/>
    <w:rsid w:val="00927DB1"/>
    <w:rsid w:val="00940F56"/>
    <w:rsid w:val="009832C2"/>
    <w:rsid w:val="00986A7D"/>
    <w:rsid w:val="00997A89"/>
    <w:rsid w:val="009B1518"/>
    <w:rsid w:val="009E16D0"/>
    <w:rsid w:val="00A43831"/>
    <w:rsid w:val="00A43DF2"/>
    <w:rsid w:val="00A6567B"/>
    <w:rsid w:val="00A915BE"/>
    <w:rsid w:val="00AD0ABE"/>
    <w:rsid w:val="00AD3249"/>
    <w:rsid w:val="00B13140"/>
    <w:rsid w:val="00B32D03"/>
    <w:rsid w:val="00B36945"/>
    <w:rsid w:val="00B402BE"/>
    <w:rsid w:val="00B5622A"/>
    <w:rsid w:val="00B63D1F"/>
    <w:rsid w:val="00B707E1"/>
    <w:rsid w:val="00B8232C"/>
    <w:rsid w:val="00BB4790"/>
    <w:rsid w:val="00BD2434"/>
    <w:rsid w:val="00BD4ACB"/>
    <w:rsid w:val="00BF02FA"/>
    <w:rsid w:val="00BF0830"/>
    <w:rsid w:val="00C007B1"/>
    <w:rsid w:val="00C15F3C"/>
    <w:rsid w:val="00C220B7"/>
    <w:rsid w:val="00C406D8"/>
    <w:rsid w:val="00C56F04"/>
    <w:rsid w:val="00C803BA"/>
    <w:rsid w:val="00C84828"/>
    <w:rsid w:val="00C8656E"/>
    <w:rsid w:val="00CB466B"/>
    <w:rsid w:val="00CC5941"/>
    <w:rsid w:val="00CC702C"/>
    <w:rsid w:val="00CD2D8A"/>
    <w:rsid w:val="00D76BD4"/>
    <w:rsid w:val="00D77281"/>
    <w:rsid w:val="00D858DE"/>
    <w:rsid w:val="00DA6DE5"/>
    <w:rsid w:val="00E21081"/>
    <w:rsid w:val="00E54F8A"/>
    <w:rsid w:val="00E6722C"/>
    <w:rsid w:val="00E918F3"/>
    <w:rsid w:val="00E9733E"/>
    <w:rsid w:val="00EA095E"/>
    <w:rsid w:val="00EB11E6"/>
    <w:rsid w:val="00EE3F84"/>
    <w:rsid w:val="00EE68F3"/>
    <w:rsid w:val="00EF299E"/>
    <w:rsid w:val="00F12093"/>
    <w:rsid w:val="00F14C90"/>
    <w:rsid w:val="00F544A6"/>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BB165"/>
  <w15:chartTrackingRefBased/>
  <w15:docId w15:val="{FFF1F600-697A-40DB-AA06-CF53106A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093"/>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59"/>
    <w:rsid w:val="00F1209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rPr>
      <w:rFonts w:ascii="Times New Roman" w:eastAsia="Times New Roman" w:hAnsi="Times New Roman" w:cs="Times New Roman"/>
      <w:lang w:val="es-MX"/>
    </w:r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rPr>
      <w:rFonts w:ascii="Times New Roman" w:eastAsia="Times New Roman" w:hAnsi="Times New Roman" w:cs="Times New Roman"/>
      <w:lang w:val="es-MX"/>
    </w:r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rPr>
      <w:rFonts w:ascii="Times New Roman" w:eastAsia="Times New Roman" w:hAnsi="Times New Roman" w:cs="Times New Roman"/>
      <w:lang w:val="es-MX"/>
    </w:r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eastAsia="Times New Roman" w:hAnsi="Arial" w:cs="Arial"/>
      <w:sz w:val="18"/>
      <w:szCs w:val="18"/>
      <w:lang w:val="es-MX"/>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eastAsia="Times New Roman" w:hAnsi="Courier New" w:cs="Times New Roman"/>
      <w:sz w:val="20"/>
      <w:szCs w:val="20"/>
      <w:lang w:val="es-MX"/>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eastAsia="Times New Roman" w:hAnsi="Helvetica" w:cs="Times New Roman"/>
      <w:lang w:eastAsia="es-ES_tradnl"/>
    </w:rPr>
  </w:style>
  <w:style w:type="paragraph" w:customStyle="1" w:styleId="q">
    <w:name w:val="q"/>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eastAsia="Times New Roman" w:hAnsi="Palatino"/>
      <w:sz w:val="22"/>
      <w:szCs w:val="22"/>
      <w:lang w:val="es-MX"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rPr>
      <w:rFonts w:ascii="Times New Roman" w:eastAsia="Times New Roman" w:hAnsi="Times New Roman" w:cs="Times New Roman"/>
      <w:lang w:val="es-MX"/>
    </w:rPr>
  </w:style>
  <w:style w:type="paragraph" w:styleId="Textocomentario">
    <w:name w:val="annotation text"/>
    <w:basedOn w:val="Normal"/>
    <w:link w:val="TextocomentarioCar"/>
    <w:uiPriority w:val="99"/>
    <w:semiHidden/>
    <w:unhideWhenUsed/>
    <w:rsid w:val="00E21081"/>
    <w:rPr>
      <w:rFonts w:ascii="Times New Roman" w:eastAsia="Times New Roman" w:hAnsi="Times New Roman" w:cs="Times New Roman"/>
      <w:sz w:val="20"/>
      <w:szCs w:val="20"/>
      <w:lang w:val="es-MX"/>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
    <w:name w:val="j"/>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rFonts w:ascii="Times New Roman" w:eastAsia="Times New Roman" w:hAnsi="Times New Roman" w:cs="Times New Roman"/>
      <w:lang w:val="es-ES"/>
    </w:rPr>
  </w:style>
  <w:style w:type="paragraph" w:styleId="Lista2">
    <w:name w:val="List 2"/>
    <w:basedOn w:val="Normal"/>
    <w:uiPriority w:val="99"/>
    <w:unhideWhenUsed/>
    <w:rsid w:val="00E21081"/>
    <w:pPr>
      <w:ind w:left="566" w:hanging="283"/>
      <w:contextualSpacing/>
    </w:pPr>
    <w:rPr>
      <w:rFonts w:ascii="Times New Roman" w:eastAsia="Times New Roman" w:hAnsi="Times New Roman" w:cs="Times New Roman"/>
      <w:lang w:val="es-ES"/>
    </w:rPr>
  </w:style>
  <w:style w:type="paragraph" w:styleId="Lista3">
    <w:name w:val="List 3"/>
    <w:basedOn w:val="Normal"/>
    <w:uiPriority w:val="99"/>
    <w:unhideWhenUsed/>
    <w:rsid w:val="00E21081"/>
    <w:pPr>
      <w:ind w:left="849" w:hanging="283"/>
      <w:contextualSpacing/>
    </w:pPr>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qFormat/>
    <w:rsid w:val="00E21081"/>
    <w:pPr>
      <w:spacing w:after="120"/>
    </w:pPr>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rFonts w:ascii="Times New Roman" w:eastAsia="Times New Roman" w:hAnsi="Times New Roman" w:cs="Times New Roman"/>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eastAsia="Times New Roman" w:hAnsi="Arial" w:cs="Arial"/>
      <w:b/>
      <w:bCs/>
      <w:i/>
      <w:iCs/>
      <w:sz w:val="30"/>
      <w:szCs w:val="30"/>
      <w:lang w:val="es-MX" w:eastAsia="es-MX"/>
    </w:rPr>
  </w:style>
  <w:style w:type="paragraph" w:customStyle="1" w:styleId="FAFunotente1">
    <w:name w:val="FA Fu?notente1"/>
    <w:basedOn w:val="Normal"/>
    <w:next w:val="Textonotapie"/>
    <w:uiPriority w:val="99"/>
    <w:rsid w:val="00E21081"/>
    <w:rPr>
      <w:rFonts w:eastAsia="Cambria"/>
      <w:sz w:val="20"/>
      <w:szCs w:val="20"/>
      <w:lang w:val="es-MX" w:eastAsia="en-US"/>
    </w:rPr>
  </w:style>
  <w:style w:type="paragraph" w:customStyle="1" w:styleId="paragraph">
    <w:name w:val="paragraph"/>
    <w:basedOn w:val="Normal"/>
    <w:rsid w:val="00E21081"/>
    <w:pPr>
      <w:spacing w:before="100" w:beforeAutospacing="1" w:after="100" w:afterAutospacing="1" w:line="264" w:lineRule="auto"/>
    </w:pPr>
    <w:rPr>
      <w:sz w:val="20"/>
      <w:szCs w:val="20"/>
      <w:lang w:val="es-MX" w:eastAsia="es-MX"/>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rPr>
      <w:rFonts w:ascii="Times New Roman" w:eastAsia="Times New Roman" w:hAnsi="Times New Roman" w:cs="Times New Roman"/>
      <w:lang w:val="es-MX"/>
    </w:rPr>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21081"/>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top w:w="0" w:type="dxa"/>
        <w:left w:w="115" w:type="dxa"/>
        <w:bottom w:w="0" w:type="dxa"/>
        <w:right w:w="115" w:type="dxa"/>
      </w:tblCellMar>
    </w:tblPr>
  </w:style>
  <w:style w:type="table" w:customStyle="1" w:styleId="7">
    <w:name w:val="7"/>
    <w:basedOn w:val="TableNormal"/>
    <w:rsid w:val="00E21081"/>
    <w:tblPr>
      <w:tblStyleRowBandSize w:val="1"/>
      <w:tblStyleColBandSize w:val="1"/>
      <w:tblCellMar>
        <w:top w:w="0" w:type="dxa"/>
        <w:left w:w="115" w:type="dxa"/>
        <w:bottom w:w="0" w:type="dxa"/>
        <w:right w:w="115" w:type="dxa"/>
      </w:tblCellMar>
    </w:tblPr>
  </w:style>
  <w:style w:type="table" w:customStyle="1" w:styleId="6">
    <w:name w:val="6"/>
    <w:basedOn w:val="TableNormal"/>
    <w:rsid w:val="00E21081"/>
    <w:tblPr>
      <w:tblStyleRowBandSize w:val="1"/>
      <w:tblStyleColBandSize w:val="1"/>
      <w:tblCellMar>
        <w:top w:w="0" w:type="dxa"/>
        <w:left w:w="115" w:type="dxa"/>
        <w:bottom w:w="0" w:type="dxa"/>
        <w:right w:w="115" w:type="dxa"/>
      </w:tblCellMar>
    </w:tblPr>
  </w:style>
  <w:style w:type="table" w:customStyle="1" w:styleId="5">
    <w:name w:val="5"/>
    <w:basedOn w:val="TableNormal"/>
    <w:rsid w:val="00E21081"/>
    <w:tblPr>
      <w:tblStyleRowBandSize w:val="1"/>
      <w:tblStyleColBandSize w:val="1"/>
      <w:tblCellMar>
        <w:top w:w="0" w:type="dxa"/>
        <w:left w:w="115" w:type="dxa"/>
        <w:bottom w:w="0" w:type="dxa"/>
        <w:right w:w="115" w:type="dxa"/>
      </w:tblCellMar>
    </w:tblPr>
  </w:style>
  <w:style w:type="table" w:customStyle="1" w:styleId="4">
    <w:name w:val="4"/>
    <w:basedOn w:val="TableNormal"/>
    <w:rsid w:val="00E21081"/>
    <w:tblPr>
      <w:tblStyleRowBandSize w:val="1"/>
      <w:tblStyleColBandSize w:val="1"/>
      <w:tblCellMar>
        <w:top w:w="0" w:type="dxa"/>
        <w:left w:w="115" w:type="dxa"/>
        <w:bottom w:w="0" w:type="dxa"/>
        <w:right w:w="115" w:type="dxa"/>
      </w:tblCellMar>
    </w:tblPr>
  </w:style>
  <w:style w:type="table" w:customStyle="1" w:styleId="3">
    <w:name w:val="3"/>
    <w:basedOn w:val="TableNormal"/>
    <w:rsid w:val="00E21081"/>
    <w:tblPr>
      <w:tblStyleRowBandSize w:val="1"/>
      <w:tblStyleColBandSize w:val="1"/>
      <w:tblCellMar>
        <w:top w:w="0" w:type="dxa"/>
        <w:left w:w="115" w:type="dxa"/>
        <w:bottom w:w="0" w:type="dxa"/>
        <w:right w:w="115" w:type="dxa"/>
      </w:tblCellMar>
    </w:tblPr>
  </w:style>
  <w:style w:type="table" w:customStyle="1" w:styleId="2">
    <w:name w:val="2"/>
    <w:basedOn w:val="TableNormal"/>
    <w:rsid w:val="00E21081"/>
    <w:tblPr>
      <w:tblStyleRowBandSize w:val="1"/>
      <w:tblStyleColBandSize w:val="1"/>
      <w:tblCellMar>
        <w:top w:w="0" w:type="dxa"/>
        <w:left w:w="115" w:type="dxa"/>
        <w:bottom w:w="0" w:type="dxa"/>
        <w:right w:w="115" w:type="dxa"/>
      </w:tblCellMar>
    </w:tblPr>
  </w:style>
  <w:style w:type="table" w:customStyle="1" w:styleId="1">
    <w:name w:val="1"/>
    <w:basedOn w:val="TableNormal"/>
    <w:rsid w:val="00E21081"/>
    <w:tblPr>
      <w:tblStyleRowBandSize w:val="1"/>
      <w:tblStyleColBandSize w:val="1"/>
      <w:tblCellMar>
        <w:top w:w="0" w:type="dxa"/>
        <w:left w:w="115" w:type="dxa"/>
        <w:bottom w:w="0"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rPr>
      <w:rFonts w:ascii="Times New Roman" w:eastAsia="Times New Roman" w:hAnsi="Times New Roman" w:cs="Times New Roman"/>
      <w:lang w:val="es-MX" w:eastAsia="es-MX"/>
    </w:rPr>
  </w:style>
  <w:style w:type="character" w:customStyle="1" w:styleId="ams">
    <w:name w:val="ams"/>
    <w:basedOn w:val="Fuentedeprrafopredeter"/>
    <w:rsid w:val="00E21081"/>
  </w:style>
  <w:style w:type="numbering" w:customStyle="1" w:styleId="Sinlista2">
    <w:name w:val="Sin lista2"/>
    <w:next w:val="Sinlista"/>
    <w:uiPriority w:val="99"/>
    <w:semiHidden/>
    <w:unhideWhenUsed/>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top w:w="0" w:type="dxa"/>
        <w:left w:w="115" w:type="dxa"/>
        <w:bottom w:w="0" w:type="dxa"/>
        <w:right w:w="115" w:type="dxa"/>
      </w:tblCellMar>
    </w:tblPr>
  </w:style>
  <w:style w:type="table" w:customStyle="1" w:styleId="71">
    <w:name w:val="71"/>
    <w:basedOn w:val="TableNormal"/>
    <w:rsid w:val="00E21081"/>
    <w:tblPr>
      <w:tblStyleRowBandSize w:val="1"/>
      <w:tblStyleColBandSize w:val="1"/>
      <w:tblCellMar>
        <w:top w:w="0" w:type="dxa"/>
        <w:left w:w="115" w:type="dxa"/>
        <w:bottom w:w="0" w:type="dxa"/>
        <w:right w:w="115" w:type="dxa"/>
      </w:tblCellMar>
    </w:tblPr>
  </w:style>
  <w:style w:type="table" w:customStyle="1" w:styleId="61">
    <w:name w:val="61"/>
    <w:basedOn w:val="TableNormal"/>
    <w:rsid w:val="00E21081"/>
    <w:tblPr>
      <w:tblStyleRowBandSize w:val="1"/>
      <w:tblStyleColBandSize w:val="1"/>
      <w:tblCellMar>
        <w:top w:w="0" w:type="dxa"/>
        <w:left w:w="115" w:type="dxa"/>
        <w:bottom w:w="0" w:type="dxa"/>
        <w:right w:w="115" w:type="dxa"/>
      </w:tblCellMar>
    </w:tblPr>
  </w:style>
  <w:style w:type="table" w:customStyle="1" w:styleId="51">
    <w:name w:val="51"/>
    <w:basedOn w:val="TableNormal"/>
    <w:rsid w:val="00E21081"/>
    <w:tblPr>
      <w:tblStyleRowBandSize w:val="1"/>
      <w:tblStyleColBandSize w:val="1"/>
      <w:tblCellMar>
        <w:top w:w="0" w:type="dxa"/>
        <w:left w:w="115" w:type="dxa"/>
        <w:bottom w:w="0" w:type="dxa"/>
        <w:right w:w="115" w:type="dxa"/>
      </w:tblCellMar>
    </w:tblPr>
  </w:style>
  <w:style w:type="table" w:customStyle="1" w:styleId="41">
    <w:name w:val="41"/>
    <w:basedOn w:val="TableNormal"/>
    <w:rsid w:val="00E21081"/>
    <w:tblPr>
      <w:tblStyleRowBandSize w:val="1"/>
      <w:tblStyleColBandSize w:val="1"/>
      <w:tblCellMar>
        <w:top w:w="0" w:type="dxa"/>
        <w:left w:w="115" w:type="dxa"/>
        <w:bottom w:w="0" w:type="dxa"/>
        <w:right w:w="115" w:type="dxa"/>
      </w:tblCellMar>
    </w:tblPr>
  </w:style>
  <w:style w:type="table" w:customStyle="1" w:styleId="31">
    <w:name w:val="31"/>
    <w:basedOn w:val="TableNormal"/>
    <w:rsid w:val="00E21081"/>
    <w:tblPr>
      <w:tblStyleRowBandSize w:val="1"/>
      <w:tblStyleColBandSize w:val="1"/>
      <w:tblCellMar>
        <w:top w:w="0" w:type="dxa"/>
        <w:left w:w="115" w:type="dxa"/>
        <w:bottom w:w="0" w:type="dxa"/>
        <w:right w:w="115" w:type="dxa"/>
      </w:tblCellMar>
    </w:tblPr>
  </w:style>
  <w:style w:type="table" w:customStyle="1" w:styleId="21">
    <w:name w:val="21"/>
    <w:basedOn w:val="TableNormal"/>
    <w:rsid w:val="00E21081"/>
    <w:tblPr>
      <w:tblStyleRowBandSize w:val="1"/>
      <w:tblStyleColBandSize w:val="1"/>
      <w:tblCellMar>
        <w:top w:w="0" w:type="dxa"/>
        <w:left w:w="115" w:type="dxa"/>
        <w:bottom w:w="0" w:type="dxa"/>
        <w:right w:w="115" w:type="dxa"/>
      </w:tblCellMar>
    </w:tblPr>
  </w:style>
  <w:style w:type="table" w:customStyle="1" w:styleId="11">
    <w:name w:val="11"/>
    <w:basedOn w:val="TableNormal"/>
    <w:rsid w:val="00E21081"/>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 w:id="214627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41365.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424298.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1424298.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441366.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26</Pages>
  <Words>5847</Words>
  <Characters>32164</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7</cp:revision>
  <dcterms:created xsi:type="dcterms:W3CDTF">2022-07-14T15:47:00Z</dcterms:created>
  <dcterms:modified xsi:type="dcterms:W3CDTF">2022-09-06T18:05:00Z</dcterms:modified>
</cp:coreProperties>
</file>