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6BD6" w14:textId="531BDE0B" w:rsidR="00EA0165" w:rsidRPr="00EC69CB"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EC69CB">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EC69CB">
        <w:rPr>
          <w:rFonts w:ascii="Palatino Linotype" w:eastAsiaTheme="minorEastAsia" w:hAnsi="Palatino Linotype" w:cstheme="minorBidi"/>
          <w:color w:val="000000" w:themeColor="text1"/>
          <w:lang w:val="es-ES_tradnl"/>
        </w:rPr>
        <w:t xml:space="preserve">n Metepec, Estado </w:t>
      </w:r>
      <w:r w:rsidR="00BC4C9B" w:rsidRPr="00EC69CB">
        <w:rPr>
          <w:rFonts w:ascii="Palatino Linotype" w:eastAsiaTheme="minorEastAsia" w:hAnsi="Palatino Linotype" w:cstheme="minorBidi"/>
          <w:color w:val="000000" w:themeColor="text1"/>
          <w:lang w:val="es-ES_tradnl"/>
        </w:rPr>
        <w:t>de México; de veinticuatro</w:t>
      </w:r>
      <w:r w:rsidR="00B96D41" w:rsidRPr="00EC69CB">
        <w:rPr>
          <w:rFonts w:ascii="Palatino Linotype" w:eastAsiaTheme="minorEastAsia" w:hAnsi="Palatino Linotype" w:cstheme="minorBidi"/>
          <w:color w:val="000000" w:themeColor="text1"/>
          <w:lang w:val="es-ES_tradnl"/>
        </w:rPr>
        <w:t xml:space="preserve"> </w:t>
      </w:r>
      <w:r w:rsidRPr="00EC69CB">
        <w:rPr>
          <w:rFonts w:ascii="Palatino Linotype" w:eastAsiaTheme="minorEastAsia" w:hAnsi="Palatino Linotype" w:cstheme="minorBidi"/>
          <w:color w:val="000000" w:themeColor="text1"/>
          <w:lang w:val="es-MX"/>
        </w:rPr>
        <w:t>(</w:t>
      </w:r>
      <w:r w:rsidR="00BC4C9B" w:rsidRPr="00EC69CB">
        <w:rPr>
          <w:rFonts w:ascii="Palatino Linotype" w:eastAsiaTheme="minorEastAsia" w:hAnsi="Palatino Linotype" w:cstheme="minorBidi"/>
          <w:color w:val="000000" w:themeColor="text1"/>
          <w:lang w:val="es-MX"/>
        </w:rPr>
        <w:t>24</w:t>
      </w:r>
      <w:r w:rsidRPr="00EC69CB">
        <w:rPr>
          <w:rFonts w:ascii="Palatino Linotype" w:eastAsiaTheme="minorEastAsia" w:hAnsi="Palatino Linotype" w:cstheme="minorBidi"/>
          <w:color w:val="000000" w:themeColor="text1"/>
          <w:lang w:val="es-MX"/>
        </w:rPr>
        <w:t>) de</w:t>
      </w:r>
      <w:r w:rsidR="00B96D41" w:rsidRPr="00EC69CB">
        <w:rPr>
          <w:rFonts w:ascii="Palatino Linotype" w:eastAsiaTheme="minorEastAsia" w:hAnsi="Palatino Linotype" w:cstheme="minorBidi"/>
          <w:color w:val="000000" w:themeColor="text1"/>
          <w:lang w:val="es-MX"/>
        </w:rPr>
        <w:t xml:space="preserve"> marzo</w:t>
      </w:r>
      <w:r w:rsidR="00F03AFC" w:rsidRPr="00EC69CB">
        <w:rPr>
          <w:rFonts w:ascii="Palatino Linotype" w:eastAsiaTheme="minorEastAsia" w:hAnsi="Palatino Linotype" w:cstheme="minorBidi"/>
          <w:color w:val="000000" w:themeColor="text1"/>
          <w:lang w:val="es-MX"/>
        </w:rPr>
        <w:t xml:space="preserve"> </w:t>
      </w:r>
      <w:r w:rsidR="00003CF3" w:rsidRPr="00EC69CB">
        <w:rPr>
          <w:rFonts w:ascii="Palatino Linotype" w:eastAsiaTheme="minorEastAsia" w:hAnsi="Palatino Linotype" w:cstheme="minorBidi"/>
          <w:color w:val="000000" w:themeColor="text1"/>
          <w:lang w:val="es-MX"/>
        </w:rPr>
        <w:t>de dos mil veintidós</w:t>
      </w:r>
      <w:r w:rsidRPr="00EC69CB">
        <w:rPr>
          <w:rFonts w:ascii="Palatino Linotype" w:eastAsiaTheme="minorEastAsia" w:hAnsi="Palatino Linotype" w:cstheme="minorBidi"/>
          <w:color w:val="000000" w:themeColor="text1"/>
          <w:lang w:val="es-ES_tradnl"/>
        </w:rPr>
        <w:t xml:space="preserve">. </w:t>
      </w:r>
    </w:p>
    <w:p w14:paraId="04BA23EF" w14:textId="166B8C8E" w:rsidR="00CA183E" w:rsidRPr="00EC69CB" w:rsidRDefault="00CA183E" w:rsidP="00CA183E">
      <w:pPr>
        <w:tabs>
          <w:tab w:val="left" w:pos="3465"/>
        </w:tabs>
        <w:spacing w:before="240" w:after="360" w:line="360" w:lineRule="auto"/>
        <w:jc w:val="both"/>
        <w:rPr>
          <w:rFonts w:ascii="Palatino Linotype" w:eastAsiaTheme="minorEastAsia" w:hAnsi="Palatino Linotype" w:cstheme="minorBidi"/>
          <w:b/>
          <w:color w:val="000000" w:themeColor="text1"/>
          <w:lang w:val="es-ES_tradnl"/>
        </w:rPr>
      </w:pPr>
      <w:r w:rsidRPr="00EC69CB">
        <w:rPr>
          <w:rFonts w:ascii="Palatino Linotype" w:eastAsiaTheme="minorEastAsia" w:hAnsi="Palatino Linotype" w:cstheme="minorBidi"/>
          <w:b/>
          <w:color w:val="000000" w:themeColor="text1"/>
          <w:lang w:val="es-ES_tradnl"/>
        </w:rPr>
        <w:t>VISTO</w:t>
      </w:r>
      <w:r w:rsidRPr="00EC69CB">
        <w:rPr>
          <w:rFonts w:ascii="Palatino Linotype" w:eastAsiaTheme="minorEastAsia" w:hAnsi="Palatino Linotype" w:cstheme="minorBidi"/>
          <w:color w:val="000000" w:themeColor="text1"/>
          <w:lang w:val="es-ES_tradnl"/>
        </w:rPr>
        <w:t xml:space="preserve"> el expediente electrónico formado con motivo del recurso de revisión</w:t>
      </w:r>
      <w:r w:rsidRPr="00EC69CB">
        <w:rPr>
          <w:rFonts w:ascii="Palatino Linotype" w:eastAsiaTheme="minorEastAsia" w:hAnsi="Palatino Linotype" w:cstheme="minorBidi"/>
          <w:b/>
          <w:bCs/>
          <w:color w:val="000000" w:themeColor="text1"/>
        </w:rPr>
        <w:t> </w:t>
      </w:r>
      <w:r w:rsidR="001B0FA2" w:rsidRPr="00EC69CB">
        <w:rPr>
          <w:rFonts w:ascii="Palatino Linotype" w:eastAsiaTheme="minorEastAsia" w:hAnsi="Palatino Linotype" w:cstheme="minorBidi"/>
          <w:b/>
          <w:bCs/>
          <w:color w:val="000000" w:themeColor="text1"/>
        </w:rPr>
        <w:t xml:space="preserve">00643/INFOEM/IP/RR/2022, </w:t>
      </w:r>
      <w:r w:rsidRPr="00EC69CB">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EC69CB">
        <w:rPr>
          <w:rFonts w:ascii="Palatino Linotype" w:eastAsiaTheme="minorEastAsia" w:hAnsi="Palatino Linotype" w:cstheme="minorBidi"/>
          <w:b/>
          <w:color w:val="000000" w:themeColor="text1"/>
          <w:lang w:val="es-ES_tradnl"/>
        </w:rPr>
        <w:t xml:space="preserve">(SAIMEX), </w:t>
      </w:r>
      <w:r w:rsidRPr="00EC69CB">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EC69CB">
        <w:rPr>
          <w:rFonts w:ascii="Palatino Linotype" w:eastAsiaTheme="minorEastAsia" w:hAnsi="Palatino Linotype" w:cstheme="minorBidi"/>
          <w:b/>
          <w:color w:val="000000" w:themeColor="text1"/>
          <w:lang w:val="es-ES_tradnl"/>
        </w:rPr>
        <w:t>RECURRENTE</w:t>
      </w:r>
      <w:r w:rsidRPr="00EC69CB">
        <w:rPr>
          <w:rFonts w:ascii="Palatino Linotype" w:eastAsiaTheme="minorEastAsia" w:hAnsi="Palatino Linotype" w:cstheme="minorBidi"/>
          <w:color w:val="000000" w:themeColor="text1"/>
          <w:lang w:val="es-ES_tradnl"/>
        </w:rPr>
        <w:t xml:space="preserve">, en contra de la respuesta de en lo </w:t>
      </w:r>
      <w:r w:rsidR="00BC4C9B" w:rsidRPr="00EC69CB">
        <w:rPr>
          <w:rFonts w:ascii="Palatino Linotype" w:eastAsiaTheme="minorEastAsia" w:hAnsi="Palatino Linotype" w:cstheme="minorBidi"/>
          <w:b/>
          <w:color w:val="000000" w:themeColor="text1"/>
          <w:lang w:val="es-ES_tradnl"/>
        </w:rPr>
        <w:t xml:space="preserve">Ayuntamiento de </w:t>
      </w:r>
      <w:r w:rsidR="001B0FA2" w:rsidRPr="00EC69CB">
        <w:rPr>
          <w:rFonts w:ascii="Palatino Linotype" w:eastAsiaTheme="minorEastAsia" w:hAnsi="Palatino Linotype" w:cstheme="minorBidi"/>
          <w:b/>
          <w:color w:val="000000" w:themeColor="text1"/>
          <w:lang w:val="es-ES_tradnl"/>
        </w:rPr>
        <w:t xml:space="preserve">Tultepec </w:t>
      </w:r>
      <w:r w:rsidR="001B0FA2" w:rsidRPr="00EC69CB">
        <w:rPr>
          <w:rFonts w:ascii="Palatino Linotype" w:eastAsiaTheme="minorEastAsia" w:hAnsi="Palatino Linotype" w:cstheme="minorBidi"/>
          <w:color w:val="000000" w:themeColor="text1"/>
          <w:lang w:val="es-ES_tradnl"/>
        </w:rPr>
        <w:t>en lo</w:t>
      </w:r>
      <w:r w:rsidR="001B0FA2" w:rsidRPr="00EC69CB">
        <w:rPr>
          <w:rFonts w:ascii="Palatino Linotype" w:eastAsiaTheme="minorEastAsia" w:hAnsi="Palatino Linotype" w:cstheme="minorBidi"/>
          <w:b/>
          <w:color w:val="000000" w:themeColor="text1"/>
          <w:lang w:val="es-ES_tradnl"/>
        </w:rPr>
        <w:t xml:space="preserve"> </w:t>
      </w:r>
      <w:r w:rsidRPr="00EC69CB">
        <w:rPr>
          <w:rFonts w:ascii="Palatino Linotype" w:eastAsiaTheme="minorEastAsia" w:hAnsi="Palatino Linotype" w:cstheme="minorBidi"/>
          <w:color w:val="000000" w:themeColor="text1"/>
          <w:lang w:val="es-ES_tradnl"/>
        </w:rPr>
        <w:t>sucesivo el</w:t>
      </w:r>
      <w:r w:rsidRPr="00EC69CB">
        <w:rPr>
          <w:rFonts w:ascii="Palatino Linotype" w:eastAsiaTheme="minorEastAsia" w:hAnsi="Palatino Linotype" w:cstheme="minorBidi"/>
          <w:b/>
          <w:color w:val="000000" w:themeColor="text1"/>
          <w:lang w:val="es-ES_tradnl"/>
        </w:rPr>
        <w:t xml:space="preserve"> SUJETO OBLIGADO, </w:t>
      </w:r>
      <w:r w:rsidRPr="00EC69CB">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2F57A823" w:rsidR="00F216D7" w:rsidRPr="00EC69CB" w:rsidRDefault="00EA0165" w:rsidP="00CA183E">
      <w:pPr>
        <w:pStyle w:val="Ttulo1"/>
        <w:spacing w:line="360" w:lineRule="auto"/>
        <w:jc w:val="center"/>
        <w:rPr>
          <w:rFonts w:ascii="Palatino Linotype" w:hAnsi="Palatino Linotype"/>
          <w:b/>
          <w:color w:val="000000" w:themeColor="text1"/>
          <w:sz w:val="24"/>
          <w:szCs w:val="24"/>
          <w:lang w:val="es-MX" w:eastAsia="en-US"/>
        </w:rPr>
      </w:pPr>
      <w:bookmarkStart w:id="3" w:name="_Toc98439401"/>
      <w:r w:rsidRPr="00EC69CB">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5DA0AEDE" w:rsidR="00707416" w:rsidRPr="00EC69CB" w:rsidRDefault="00EA0165" w:rsidP="001B0FA2">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EC69CB">
        <w:rPr>
          <w:rFonts w:ascii="Palatino Linotype" w:eastAsia="Calibri" w:hAnsi="Palatino Linotype" w:cs="Arial"/>
          <w:color w:val="000000" w:themeColor="text1"/>
        </w:rPr>
        <w:t>El</w:t>
      </w:r>
      <w:r w:rsidR="00F216D7" w:rsidRPr="00EC69CB">
        <w:rPr>
          <w:rFonts w:ascii="Palatino Linotype" w:eastAsia="Calibri" w:hAnsi="Palatino Linotype" w:cs="Arial"/>
          <w:color w:val="000000" w:themeColor="text1"/>
        </w:rPr>
        <w:t xml:space="preserve"> </w:t>
      </w:r>
      <w:r w:rsidR="001B0FA2" w:rsidRPr="00EC69CB">
        <w:rPr>
          <w:rFonts w:ascii="Palatino Linotype" w:eastAsia="Calibri" w:hAnsi="Palatino Linotype" w:cs="Arial"/>
          <w:color w:val="000000" w:themeColor="text1"/>
        </w:rPr>
        <w:t>treinta y uno</w:t>
      </w:r>
      <w:r w:rsidR="00416E00" w:rsidRPr="00EC69CB">
        <w:rPr>
          <w:rFonts w:ascii="Palatino Linotype" w:eastAsia="Calibri" w:hAnsi="Palatino Linotype" w:cs="Arial"/>
          <w:color w:val="000000" w:themeColor="text1"/>
        </w:rPr>
        <w:t xml:space="preserve"> </w:t>
      </w:r>
      <w:r w:rsidRPr="00EC69CB">
        <w:rPr>
          <w:rFonts w:ascii="Palatino Linotype" w:eastAsia="Calibri" w:hAnsi="Palatino Linotype" w:cs="Arial"/>
          <w:color w:val="000000" w:themeColor="text1"/>
        </w:rPr>
        <w:t>(</w:t>
      </w:r>
      <w:r w:rsidR="001B0FA2" w:rsidRPr="00EC69CB">
        <w:rPr>
          <w:rFonts w:ascii="Palatino Linotype" w:eastAsia="Calibri" w:hAnsi="Palatino Linotype" w:cs="Arial"/>
          <w:color w:val="000000" w:themeColor="text1"/>
        </w:rPr>
        <w:t>31</w:t>
      </w:r>
      <w:r w:rsidRPr="00EC69CB">
        <w:rPr>
          <w:rFonts w:ascii="Palatino Linotype" w:eastAsia="Calibri" w:hAnsi="Palatino Linotype" w:cs="Arial"/>
          <w:color w:val="000000" w:themeColor="text1"/>
        </w:rPr>
        <w:t>) de</w:t>
      </w:r>
      <w:r w:rsidR="001B0FA2" w:rsidRPr="00EC69CB">
        <w:rPr>
          <w:rFonts w:ascii="Palatino Linotype" w:eastAsia="Calibri" w:hAnsi="Palatino Linotype" w:cs="Arial"/>
          <w:color w:val="000000" w:themeColor="text1"/>
        </w:rPr>
        <w:t xml:space="preserve"> enero </w:t>
      </w:r>
      <w:r w:rsidRPr="00EC69CB">
        <w:rPr>
          <w:rFonts w:ascii="Palatino Linotype" w:eastAsia="Calibri" w:hAnsi="Palatino Linotype" w:cs="Arial"/>
          <w:color w:val="000000" w:themeColor="text1"/>
        </w:rPr>
        <w:t xml:space="preserve">de dos mil </w:t>
      </w:r>
      <w:r w:rsidR="001B0FA2" w:rsidRPr="00EC69CB">
        <w:rPr>
          <w:rFonts w:ascii="Palatino Linotype" w:eastAsia="Calibri" w:hAnsi="Palatino Linotype" w:cs="Arial"/>
          <w:color w:val="000000" w:themeColor="text1"/>
        </w:rPr>
        <w:t>veintidós</w:t>
      </w:r>
      <w:r w:rsidRPr="00EC69CB">
        <w:rPr>
          <w:rFonts w:ascii="Palatino Linotype" w:eastAsia="Calibri" w:hAnsi="Palatino Linotype" w:cs="Arial"/>
          <w:color w:val="000000" w:themeColor="text1"/>
        </w:rPr>
        <w:t xml:space="preserve">, </w:t>
      </w:r>
      <w:r w:rsidRPr="00EC69CB">
        <w:rPr>
          <w:rFonts w:ascii="Palatino Linotype" w:eastAsiaTheme="minorEastAsia" w:hAnsi="Palatino Linotype" w:cstheme="minorBidi"/>
          <w:color w:val="000000" w:themeColor="text1"/>
          <w:lang w:val="es-ES_tradnl"/>
        </w:rPr>
        <w:t>el particular presentó</w:t>
      </w:r>
      <w:r w:rsidRPr="00EC69CB">
        <w:rPr>
          <w:rFonts w:ascii="Palatino Linotype" w:eastAsiaTheme="minorEastAsia" w:hAnsi="Palatino Linotype" w:cstheme="minorBidi"/>
          <w:b/>
          <w:color w:val="000000" w:themeColor="text1"/>
          <w:lang w:val="es-ES_tradnl"/>
        </w:rPr>
        <w:t xml:space="preserve"> </w:t>
      </w:r>
      <w:r w:rsidR="00936BED" w:rsidRPr="00EC69CB">
        <w:rPr>
          <w:rFonts w:ascii="Palatino Linotype" w:eastAsiaTheme="minorEastAsia" w:hAnsi="Palatino Linotype" w:cstheme="minorBidi"/>
          <w:bCs/>
          <w:color w:val="000000" w:themeColor="text1"/>
          <w:lang w:val="es-ES_tradnl"/>
        </w:rPr>
        <w:t>a través de</w:t>
      </w:r>
      <w:r w:rsidR="00923BD9" w:rsidRPr="00EC69CB">
        <w:rPr>
          <w:rFonts w:ascii="Palatino Linotype" w:eastAsiaTheme="minorEastAsia" w:hAnsi="Palatino Linotype" w:cstheme="minorBidi"/>
          <w:bCs/>
          <w:color w:val="000000" w:themeColor="text1"/>
          <w:lang w:val="es-ES_tradnl"/>
        </w:rPr>
        <w:t>l</w:t>
      </w:r>
      <w:r w:rsidR="00923BD9" w:rsidRPr="00EC69CB">
        <w:rPr>
          <w:rFonts w:ascii="Palatino Linotype" w:eastAsia="Calibri" w:hAnsi="Palatino Linotype" w:cs="Arial"/>
          <w:color w:val="000000" w:themeColor="text1"/>
        </w:rPr>
        <w:t xml:space="preserve"> </w:t>
      </w:r>
      <w:r w:rsidR="00923BD9" w:rsidRPr="00EC69CB">
        <w:rPr>
          <w:rFonts w:ascii="Palatino Linotype" w:eastAsiaTheme="minorEastAsia" w:hAnsi="Palatino Linotype" w:cstheme="minorBidi"/>
          <w:bCs/>
          <w:color w:val="000000" w:themeColor="text1"/>
        </w:rPr>
        <w:t xml:space="preserve">Sistema de Acceso a la Información Mexiquense </w:t>
      </w:r>
      <w:r w:rsidR="00923BD9" w:rsidRPr="00EC69CB">
        <w:rPr>
          <w:rFonts w:ascii="Palatino Linotype" w:eastAsiaTheme="minorEastAsia" w:hAnsi="Palatino Linotype" w:cstheme="minorBidi"/>
          <w:b/>
          <w:bCs/>
          <w:color w:val="000000" w:themeColor="text1"/>
        </w:rPr>
        <w:t>(SAIMEX)</w:t>
      </w:r>
      <w:r w:rsidRPr="00EC69CB">
        <w:rPr>
          <w:rFonts w:ascii="Palatino Linotype" w:eastAsia="Calibri" w:hAnsi="Palatino Linotype" w:cs="Arial"/>
          <w:b/>
          <w:color w:val="000000" w:themeColor="text1"/>
        </w:rPr>
        <w:t xml:space="preserve">, </w:t>
      </w:r>
      <w:r w:rsidRPr="00EC69CB">
        <w:rPr>
          <w:rFonts w:ascii="Palatino Linotype" w:eastAsia="Calibri" w:hAnsi="Palatino Linotype" w:cs="Arial"/>
          <w:color w:val="000000" w:themeColor="text1"/>
        </w:rPr>
        <w:t>la solicitud de información pública registrada con el número</w:t>
      </w:r>
      <w:r w:rsidR="00BC4C9B" w:rsidRPr="00EC69CB">
        <w:rPr>
          <w:rFonts w:ascii="Palatino Linotype" w:hAnsi="Palatino Linotype"/>
          <w:b/>
          <w:bCs/>
          <w:color w:val="FF0000"/>
        </w:rPr>
        <w:t xml:space="preserve"> </w:t>
      </w:r>
      <w:r w:rsidR="001B0FA2" w:rsidRPr="00EC69CB">
        <w:rPr>
          <w:rFonts w:ascii="Palatino Linotype" w:hAnsi="Palatino Linotype"/>
          <w:b/>
          <w:bCs/>
          <w:color w:val="000000" w:themeColor="text1"/>
        </w:rPr>
        <w:t>00016/TULTEPEC/IP/2022</w:t>
      </w:r>
      <w:r w:rsidRPr="00EC69CB">
        <w:rPr>
          <w:rFonts w:ascii="Palatino Linotype" w:eastAsiaTheme="minorEastAsia" w:hAnsi="Palatino Linotype" w:cstheme="minorBidi"/>
          <w:b/>
          <w:bCs/>
          <w:color w:val="000000" w:themeColor="text1"/>
          <w:lang w:val="es-ES_tradnl"/>
        </w:rPr>
        <w:t>,</w:t>
      </w:r>
      <w:r w:rsidRPr="00EC69CB">
        <w:rPr>
          <w:rFonts w:ascii="Palatino Linotype" w:eastAsia="Calibri" w:hAnsi="Palatino Linotype" w:cs="Arial"/>
          <w:color w:val="000000" w:themeColor="text1"/>
        </w:rPr>
        <w:t xml:space="preserve"> mediante la cual requirió:</w:t>
      </w:r>
    </w:p>
    <w:p w14:paraId="119BF7E0" w14:textId="685B9DCE" w:rsidR="00EA0165" w:rsidRPr="00EC69CB"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EC69CB">
        <w:rPr>
          <w:rFonts w:ascii="Palatino Linotype" w:eastAsiaTheme="minorEastAsia" w:hAnsi="Palatino Linotype" w:cstheme="minorBidi"/>
          <w:i/>
          <w:color w:val="000000" w:themeColor="text1"/>
          <w:lang w:val="es-ES_tradnl"/>
        </w:rPr>
        <w:t>“</w:t>
      </w:r>
      <w:r w:rsidR="001B0FA2" w:rsidRPr="00EC69CB">
        <w:rPr>
          <w:rFonts w:ascii="Palatino Linotype" w:eastAsiaTheme="minorEastAsia" w:hAnsi="Palatino Linotype" w:cstheme="minorBidi"/>
          <w:i/>
          <w:color w:val="000000" w:themeColor="text1"/>
          <w:lang w:val="es-ES_tradnl"/>
        </w:rPr>
        <w:t>Solicito el Informe Mensual remitido al Órgano Superior de Fiscalización del Estado de México, de los meses de octubre, noviembre y diciembre de 2021 así como del mes de enero de 2022, correspondiente al disco número 4 “Información de Nómina” Gracias</w:t>
      </w:r>
      <w:r w:rsidRPr="00EC69CB">
        <w:rPr>
          <w:rFonts w:ascii="Palatino Linotype" w:eastAsiaTheme="minorEastAsia" w:hAnsi="Palatino Linotype" w:cstheme="minorBidi"/>
          <w:i/>
          <w:color w:val="000000" w:themeColor="text1"/>
          <w:lang w:val="es-ES_tradnl"/>
        </w:rPr>
        <w:t xml:space="preserve">.” </w:t>
      </w:r>
      <w:r w:rsidRPr="00EC69CB">
        <w:rPr>
          <w:rFonts w:ascii="Palatino Linotype" w:eastAsiaTheme="minorEastAsia" w:hAnsi="Palatino Linotype" w:cstheme="minorBidi"/>
          <w:color w:val="000000" w:themeColor="text1"/>
          <w:lang w:val="es-ES_tradnl"/>
        </w:rPr>
        <w:t>(Sic).</w:t>
      </w:r>
    </w:p>
    <w:p w14:paraId="1046CCE1" w14:textId="304A6F03" w:rsidR="00A415DB" w:rsidRPr="00EC69CB"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EC69CB"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EC69CB">
        <w:rPr>
          <w:rFonts w:ascii="Palatino Linotype" w:hAnsi="Palatino Linotype" w:cs="Arial"/>
        </w:rPr>
        <w:lastRenderedPageBreak/>
        <w:t>Se hace constar que se señaló como modalidad de entrega de la información</w:t>
      </w:r>
      <w:r w:rsidRPr="00EC69CB">
        <w:rPr>
          <w:rFonts w:ascii="Palatino Linotype" w:hAnsi="Palatino Linotype" w:cs="Arial"/>
          <w:b/>
        </w:rPr>
        <w:t>:</w:t>
      </w:r>
      <w:r w:rsidRPr="00EC69CB">
        <w:rPr>
          <w:rFonts w:ascii="Palatino Linotype" w:hAnsi="Palatino Linotype" w:cs="Arial"/>
        </w:rPr>
        <w:t xml:space="preserve"> </w:t>
      </w:r>
      <w:r w:rsidRPr="00EC69CB">
        <w:rPr>
          <w:rFonts w:ascii="Palatino Linotype" w:hAnsi="Palatino Linotype" w:cs="Arial"/>
          <w:b/>
        </w:rPr>
        <w:t>A través del SAIMEX.</w:t>
      </w:r>
    </w:p>
    <w:p w14:paraId="438C3DE3" w14:textId="77777777" w:rsidR="00DD02B8" w:rsidRPr="00EC69CB" w:rsidRDefault="00DD02B8" w:rsidP="00BC4C9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08C5D90F" w14:textId="794A3CDF" w:rsidR="00BC4C9B" w:rsidRPr="00EC69CB" w:rsidRDefault="002874C3" w:rsidP="00BC4C9B">
      <w:pPr>
        <w:pStyle w:val="Prrafodelista"/>
        <w:numPr>
          <w:ilvl w:val="0"/>
          <w:numId w:val="2"/>
        </w:numPr>
        <w:spacing w:line="360" w:lineRule="auto"/>
        <w:ind w:left="0" w:firstLine="0"/>
        <w:jc w:val="both"/>
        <w:rPr>
          <w:rFonts w:ascii="Palatino Linotype" w:hAnsi="Palatino Linotype" w:cs="Arial"/>
          <w:color w:val="000000" w:themeColor="text1"/>
        </w:rPr>
      </w:pPr>
      <w:r w:rsidRPr="00EC69CB">
        <w:rPr>
          <w:rFonts w:ascii="Palatino Linotype" w:hAnsi="Palatino Linotype" w:cs="Arial"/>
          <w:color w:val="000000" w:themeColor="text1"/>
        </w:rPr>
        <w:t>El tres (03</w:t>
      </w:r>
      <w:r w:rsidR="00DD02B8" w:rsidRPr="00EC69CB">
        <w:rPr>
          <w:rFonts w:ascii="Palatino Linotype" w:hAnsi="Palatino Linotype" w:cs="Arial"/>
          <w:color w:val="000000" w:themeColor="text1"/>
        </w:rPr>
        <w:t>) de</w:t>
      </w:r>
      <w:r w:rsidRPr="00EC69CB">
        <w:rPr>
          <w:rFonts w:ascii="Palatino Linotype" w:hAnsi="Palatino Linotype" w:cs="Arial"/>
          <w:color w:val="000000" w:themeColor="text1"/>
        </w:rPr>
        <w:t xml:space="preserve"> febrero </w:t>
      </w:r>
      <w:r w:rsidR="00BC4C9B" w:rsidRPr="00EC69CB">
        <w:rPr>
          <w:rFonts w:ascii="Palatino Linotype" w:hAnsi="Palatino Linotype" w:cs="Arial"/>
          <w:color w:val="000000" w:themeColor="text1"/>
        </w:rPr>
        <w:t>de dos mil veintidós,</w:t>
      </w:r>
      <w:r w:rsidR="00BC4C9B" w:rsidRPr="00EC69CB">
        <w:rPr>
          <w:rFonts w:ascii="Palatino Linotype" w:hAnsi="Palatino Linotype"/>
        </w:rPr>
        <w:t xml:space="preserve"> </w:t>
      </w:r>
      <w:r w:rsidR="00BC4C9B" w:rsidRPr="00EC69CB">
        <w:rPr>
          <w:rFonts w:ascii="Palatino Linotype" w:hAnsi="Palatino Linotype" w:cs="Arial"/>
          <w:color w:val="000000" w:themeColor="text1"/>
        </w:rPr>
        <w:t xml:space="preserve">el </w:t>
      </w:r>
      <w:r w:rsidR="00BC4C9B" w:rsidRPr="00EC69CB">
        <w:rPr>
          <w:rFonts w:ascii="Palatino Linotype" w:hAnsi="Palatino Linotype" w:cs="Arial"/>
          <w:b/>
          <w:color w:val="000000" w:themeColor="text1"/>
        </w:rPr>
        <w:t>SUJETO OBLIGADO</w:t>
      </w:r>
      <w:r w:rsidR="00BC4C9B" w:rsidRPr="00EC69CB">
        <w:rPr>
          <w:rFonts w:ascii="Palatino Linotype" w:hAnsi="Palatino Linotype" w:cs="Arial"/>
          <w:color w:val="000000" w:themeColor="text1"/>
        </w:rPr>
        <w:t xml:space="preserve"> dio respuesta a la solicitud de información en los siguientes términos:</w:t>
      </w:r>
    </w:p>
    <w:p w14:paraId="130735E8" w14:textId="5A1105ED" w:rsidR="00DD02B8" w:rsidRPr="00EC69CB" w:rsidRDefault="00DD02B8" w:rsidP="00BC4C9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7DECBDF1" w14:textId="77777777" w:rsidR="00DD02B8" w:rsidRPr="00EC69CB" w:rsidRDefault="00DD02B8" w:rsidP="007D7513">
      <w:pPr>
        <w:pStyle w:val="Prrafodelista"/>
        <w:spacing w:line="360" w:lineRule="auto"/>
        <w:rPr>
          <w:rFonts w:ascii="Palatino Linotype" w:hAnsi="Palatino Linotype" w:cs="Arial"/>
          <w:color w:val="000000" w:themeColor="text1"/>
        </w:rPr>
      </w:pPr>
    </w:p>
    <w:p w14:paraId="289973A7" w14:textId="7D3BB6FA" w:rsidR="001B0FA2" w:rsidRPr="00EC69CB" w:rsidRDefault="001B0FA2" w:rsidP="001B0FA2">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EC69CB">
        <w:rPr>
          <w:rFonts w:ascii="Palatino Linotype" w:hAnsi="Palatino Linotype" w:cs="Arial"/>
          <w:i/>
          <w:color w:val="000000" w:themeColor="text1"/>
        </w:rPr>
        <w:t>“Tultepec, México a 03 de Febrero de 2022</w:t>
      </w:r>
    </w:p>
    <w:p w14:paraId="21F696CD" w14:textId="403B1526" w:rsidR="001B0FA2" w:rsidRPr="00EC69CB" w:rsidRDefault="001B0FA2" w:rsidP="001B0FA2">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EC69CB">
        <w:rPr>
          <w:rFonts w:ascii="Palatino Linotype" w:hAnsi="Palatino Linotype" w:cs="Arial"/>
          <w:i/>
          <w:color w:val="000000" w:themeColor="text1"/>
        </w:rPr>
        <w:t xml:space="preserve">Nombre del solicitante: </w:t>
      </w:r>
      <w:bookmarkStart w:id="4" w:name="_GoBack"/>
      <w:r w:rsidR="00BF2F9A" w:rsidRPr="00BF2F9A">
        <w:rPr>
          <w:rFonts w:ascii="Palatino Linotype" w:hAnsi="Palatino Linotype" w:cs="Arial"/>
          <w:i/>
          <w:color w:val="000000" w:themeColor="text1"/>
        </w:rPr>
        <w:t>XXXXXXXXXXXXX XXX XX XXX</w:t>
      </w:r>
      <w:bookmarkEnd w:id="4"/>
    </w:p>
    <w:p w14:paraId="0C03F4BE" w14:textId="340D92D2" w:rsidR="001B0FA2" w:rsidRPr="00EC69CB" w:rsidRDefault="001B0FA2" w:rsidP="001B0FA2">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EC69CB">
        <w:rPr>
          <w:rFonts w:ascii="Palatino Linotype" w:hAnsi="Palatino Linotype" w:cs="Arial"/>
          <w:i/>
          <w:color w:val="000000" w:themeColor="text1"/>
        </w:rPr>
        <w:t>Folio de la solicitud: 00016/TULTEPEC/IP/2022</w:t>
      </w:r>
    </w:p>
    <w:p w14:paraId="07C6523E" w14:textId="77777777" w:rsidR="001B0FA2" w:rsidRPr="00EC69CB" w:rsidRDefault="001B0FA2" w:rsidP="001B0FA2">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p>
    <w:p w14:paraId="0ED0CE54" w14:textId="2C6DD44A" w:rsidR="001B0FA2" w:rsidRPr="00EC69CB" w:rsidRDefault="001B0FA2" w:rsidP="001B0FA2">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EC69CB">
        <w:rPr>
          <w:rFonts w:ascii="Palatino Linotype" w:hAnsi="Palatino Linotype" w:cs="Arial"/>
          <w:i/>
          <w:color w:val="000000" w:themeColor="text1"/>
        </w:rPr>
        <w:t>TULTEPEC MÉX. 03 DE FEBRERO 2022 Por medio de la presente y con la finalidad de garantizar su derecho de acceso a la información pública y cubrir satisfactoriamente su solicitud ingresada bajo el número de folio 00016/TULTEPEC/IP/2021, dando cumplimiento a lo establecido en el artículo 53, Fracciones II, V y VI de la Ley de Transparencia y Acceso a la Información Pública del Estado de México y Municipios, ANEXO ARCHIVO ELECTRONICO CON RESPUESTA. Sin otro particular quedo a sus órdenes. ATTE: LUIS FERNANDO HURATDO ADUNA Encargada de despacho de la Unidad de Transparencia.</w:t>
      </w:r>
    </w:p>
    <w:p w14:paraId="0C75E2BE" w14:textId="77777777" w:rsidR="001B0FA2" w:rsidRPr="00EC69CB" w:rsidRDefault="001B0FA2" w:rsidP="001B0FA2">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p>
    <w:p w14:paraId="7B8833EB" w14:textId="77777777" w:rsidR="001B0FA2" w:rsidRPr="00EC69CB" w:rsidRDefault="001B0FA2" w:rsidP="001B0FA2">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EC69CB">
        <w:rPr>
          <w:rFonts w:ascii="Palatino Linotype" w:hAnsi="Palatino Linotype" w:cs="Arial"/>
          <w:i/>
          <w:color w:val="000000" w:themeColor="text1"/>
        </w:rPr>
        <w:t>ATENTAMENTE</w:t>
      </w:r>
    </w:p>
    <w:p w14:paraId="301543D6" w14:textId="489332A3" w:rsidR="00923BD9" w:rsidRPr="00EC69CB" w:rsidRDefault="001B0FA2" w:rsidP="001B0FA2">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EC69CB">
        <w:rPr>
          <w:rFonts w:ascii="Palatino Linotype" w:hAnsi="Palatino Linotype" w:cs="Arial"/>
          <w:i/>
          <w:color w:val="000000" w:themeColor="text1"/>
        </w:rPr>
        <w:t>CONSUELO EMILY ESPINOZA MENDOZA</w:t>
      </w:r>
      <w:r w:rsidR="00DD02B8" w:rsidRPr="00EC69CB">
        <w:rPr>
          <w:rFonts w:ascii="Palatino Linotype" w:hAnsi="Palatino Linotype" w:cs="Arial"/>
          <w:i/>
          <w:color w:val="000000" w:themeColor="text1"/>
        </w:rPr>
        <w:t>” (Sic)</w:t>
      </w:r>
    </w:p>
    <w:p w14:paraId="3FD7499C" w14:textId="77777777" w:rsidR="00D01CEF" w:rsidRPr="00EC69CB" w:rsidRDefault="00D01CEF" w:rsidP="00BC4C9B">
      <w:pPr>
        <w:spacing w:line="360" w:lineRule="auto"/>
        <w:ind w:right="567"/>
        <w:rPr>
          <w:rFonts w:ascii="Palatino Linotype" w:eastAsiaTheme="minorEastAsia" w:hAnsi="Palatino Linotype" w:cstheme="minorBidi"/>
          <w:i/>
          <w:noProof/>
          <w:color w:val="000000" w:themeColor="text1"/>
          <w:lang w:val="es-MX" w:eastAsia="es-MX"/>
        </w:rPr>
      </w:pPr>
    </w:p>
    <w:p w14:paraId="1AA97197" w14:textId="1A60FD24" w:rsidR="00EA0165" w:rsidRPr="00EC69CB"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C69CB">
        <w:rPr>
          <w:rFonts w:ascii="Palatino Linotype" w:eastAsiaTheme="minorEastAsia" w:hAnsi="Palatino Linotype" w:cstheme="minorBidi"/>
          <w:color w:val="000000" w:themeColor="text1"/>
          <w:lang w:val="es-ES_tradnl"/>
        </w:rPr>
        <w:lastRenderedPageBreak/>
        <w:t xml:space="preserve">Asimismo, el </w:t>
      </w:r>
      <w:r w:rsidRPr="00EC69CB">
        <w:rPr>
          <w:rFonts w:ascii="Palatino Linotype" w:eastAsiaTheme="minorEastAsia" w:hAnsi="Palatino Linotype" w:cstheme="minorBidi"/>
          <w:b/>
          <w:bCs/>
          <w:color w:val="000000" w:themeColor="text1"/>
          <w:lang w:val="es-ES_tradnl"/>
        </w:rPr>
        <w:t>SUJETO OBLIGADO</w:t>
      </w:r>
      <w:r w:rsidRPr="00EC69CB">
        <w:rPr>
          <w:rFonts w:ascii="Palatino Linotype" w:eastAsiaTheme="minorEastAsia" w:hAnsi="Palatino Linotype" w:cstheme="minorBidi"/>
          <w:color w:val="000000" w:themeColor="text1"/>
          <w:lang w:val="es-ES_tradnl"/>
        </w:rPr>
        <w:t xml:space="preserve"> adjuntó a su respuesta </w:t>
      </w:r>
      <w:r w:rsidR="00BC4C9B" w:rsidRPr="00EC69CB">
        <w:rPr>
          <w:rFonts w:ascii="Palatino Linotype" w:eastAsiaTheme="minorEastAsia" w:hAnsi="Palatino Linotype" w:cstheme="minorBidi"/>
          <w:color w:val="000000" w:themeColor="text1"/>
          <w:lang w:val="es-ES_tradnl"/>
        </w:rPr>
        <w:t>el</w:t>
      </w:r>
      <w:r w:rsidR="009B5F4C" w:rsidRPr="00EC69CB">
        <w:rPr>
          <w:rFonts w:ascii="Palatino Linotype" w:eastAsiaTheme="minorEastAsia" w:hAnsi="Palatino Linotype" w:cstheme="minorBidi"/>
          <w:color w:val="000000" w:themeColor="text1"/>
          <w:lang w:val="es-ES_tradnl"/>
        </w:rPr>
        <w:t xml:space="preserve"> </w:t>
      </w:r>
      <w:r w:rsidR="00F11AAF" w:rsidRPr="00EC69CB">
        <w:rPr>
          <w:rFonts w:ascii="Palatino Linotype" w:eastAsiaTheme="minorEastAsia" w:hAnsi="Palatino Linotype" w:cstheme="minorBidi"/>
          <w:color w:val="000000" w:themeColor="text1"/>
          <w:lang w:val="es-ES_tradnl"/>
        </w:rPr>
        <w:t>archivo</w:t>
      </w:r>
      <w:r w:rsidR="00376142" w:rsidRPr="00EC69CB">
        <w:rPr>
          <w:rFonts w:ascii="Palatino Linotype" w:eastAsiaTheme="minorEastAsia" w:hAnsi="Palatino Linotype" w:cstheme="minorBidi"/>
          <w:color w:val="000000" w:themeColor="text1"/>
          <w:lang w:val="es-ES_tradnl"/>
        </w:rPr>
        <w:t xml:space="preserve"> </w:t>
      </w:r>
      <w:r w:rsidRPr="00EC69CB">
        <w:rPr>
          <w:rFonts w:ascii="Palatino Linotype" w:eastAsiaTheme="minorEastAsia" w:hAnsi="Palatino Linotype" w:cstheme="minorBidi"/>
          <w:color w:val="000000" w:themeColor="text1"/>
          <w:lang w:val="es-ES_tradnl"/>
        </w:rPr>
        <w:t>electrónico</w:t>
      </w:r>
      <w:r w:rsidR="00BC4C9B" w:rsidRPr="00EC69CB">
        <w:rPr>
          <w:rFonts w:ascii="Palatino Linotype" w:eastAsiaTheme="minorEastAsia" w:hAnsi="Palatino Linotype" w:cstheme="minorBidi"/>
          <w:color w:val="000000" w:themeColor="text1"/>
          <w:lang w:val="es-ES_tradnl"/>
        </w:rPr>
        <w:t xml:space="preserve"> </w:t>
      </w:r>
      <w:r w:rsidRPr="00EC69CB">
        <w:rPr>
          <w:rFonts w:ascii="Palatino Linotype" w:eastAsiaTheme="minorEastAsia" w:hAnsi="Palatino Linotype" w:cstheme="minorBidi"/>
          <w:color w:val="000000" w:themeColor="text1"/>
          <w:lang w:val="es-ES_tradnl"/>
        </w:rPr>
        <w:t>que se describe a continuación:</w:t>
      </w:r>
    </w:p>
    <w:p w14:paraId="2C4ABD59" w14:textId="77777777" w:rsidR="00A3314E" w:rsidRPr="00EC69CB"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670FCE0A" w14:textId="77777777" w:rsidR="001B0FA2" w:rsidRPr="00EC69CB" w:rsidRDefault="001B0FA2" w:rsidP="00640BE1">
      <w:pPr>
        <w:pStyle w:val="Prrafodelista"/>
        <w:numPr>
          <w:ilvl w:val="0"/>
          <w:numId w:val="4"/>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EC69CB">
        <w:rPr>
          <w:rFonts w:ascii="Palatino Linotype" w:hAnsi="Palatino Linotype"/>
          <w:b/>
        </w:rPr>
        <w:t>00016-TULTEPEC-2022.zip</w:t>
      </w:r>
      <w:hyperlink r:id="rId8" w:tgtFrame="_blank" w:history="1"/>
      <w:r w:rsidR="00556E99" w:rsidRPr="00EC69CB">
        <w:rPr>
          <w:rFonts w:ascii="Palatino Linotype" w:eastAsiaTheme="minorEastAsia" w:hAnsi="Palatino Linotype" w:cstheme="minorBidi"/>
          <w:b/>
          <w:lang w:val="es-ES_tradnl"/>
        </w:rPr>
        <w:t>:</w:t>
      </w:r>
      <w:r w:rsidR="00556E99" w:rsidRPr="00EC69CB">
        <w:rPr>
          <w:rFonts w:ascii="Palatino Linotype" w:eastAsiaTheme="minorEastAsia" w:hAnsi="Palatino Linotype" w:cstheme="minorBidi"/>
          <w:lang w:val="es-ES_tradnl"/>
        </w:rPr>
        <w:t xml:space="preserve"> </w:t>
      </w:r>
      <w:r w:rsidR="00556E99" w:rsidRPr="00EC69CB">
        <w:rPr>
          <w:rFonts w:ascii="Palatino Linotype" w:eastAsiaTheme="minorEastAsia" w:hAnsi="Palatino Linotype" w:cstheme="minorBidi"/>
          <w:color w:val="000000" w:themeColor="text1"/>
          <w:lang w:val="es-ES_tradnl"/>
        </w:rPr>
        <w:t>D</w:t>
      </w:r>
      <w:r w:rsidR="00923BD9" w:rsidRPr="00EC69CB">
        <w:rPr>
          <w:rFonts w:ascii="Palatino Linotype" w:eastAsiaTheme="minorEastAsia" w:hAnsi="Palatino Linotype" w:cstheme="minorBidi"/>
          <w:color w:val="000000" w:themeColor="text1"/>
          <w:lang w:val="es-ES_tradnl"/>
        </w:rPr>
        <w:t xml:space="preserve">ocumento </w:t>
      </w:r>
      <w:r w:rsidR="0080388F" w:rsidRPr="00EC69CB">
        <w:rPr>
          <w:rFonts w:ascii="Palatino Linotype" w:eastAsiaTheme="minorEastAsia" w:hAnsi="Palatino Linotype" w:cstheme="minorBidi"/>
          <w:color w:val="000000" w:themeColor="text1"/>
          <w:lang w:val="es-ES_tradnl"/>
        </w:rPr>
        <w:t xml:space="preserve">electrónico </w:t>
      </w:r>
      <w:r w:rsidRPr="00EC69CB">
        <w:rPr>
          <w:rFonts w:ascii="Palatino Linotype" w:eastAsiaTheme="minorEastAsia" w:hAnsi="Palatino Linotype" w:cstheme="minorBidi"/>
          <w:color w:val="000000" w:themeColor="text1"/>
          <w:lang w:val="es-ES_tradnl"/>
        </w:rPr>
        <w:t xml:space="preserve">en formato de compresión ZIP, que contiene los siguientes documentos: </w:t>
      </w:r>
    </w:p>
    <w:p w14:paraId="256472E5" w14:textId="689147B5" w:rsidR="001B0FA2" w:rsidRPr="00EC69CB" w:rsidRDefault="001B0FA2" w:rsidP="001B0FA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2878E377" w14:textId="5E6BC067" w:rsidR="001B0FA2" w:rsidRPr="00EC69CB" w:rsidRDefault="001B0FA2" w:rsidP="00640BE1">
      <w:pPr>
        <w:pStyle w:val="Prrafodelista"/>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EC69CB">
        <w:rPr>
          <w:rFonts w:ascii="Palatino Linotype" w:eastAsiaTheme="minorEastAsia" w:hAnsi="Palatino Linotype" w:cstheme="minorBidi"/>
          <w:color w:val="000000" w:themeColor="text1"/>
          <w:lang w:val="es-ES_tradnl"/>
        </w:rPr>
        <w:t xml:space="preserve"> Oficio UT/D18/ENERO/2022 dirigido al Tesorero Municipal y suscrito por el Coordinador de la Unidad de Transparencia mediante el cual se turna la solicitud de información.</w:t>
      </w:r>
    </w:p>
    <w:p w14:paraId="66C11E4F" w14:textId="77777777" w:rsidR="001B0FA2" w:rsidRPr="00EC69CB" w:rsidRDefault="001B0FA2" w:rsidP="001B0FA2">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65CF52CB" w14:textId="77FF2D1B" w:rsidR="001B0FA2" w:rsidRPr="00EC69CB" w:rsidRDefault="001B0FA2" w:rsidP="00640BE1">
      <w:pPr>
        <w:pStyle w:val="Prrafodelista"/>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EC69CB">
        <w:rPr>
          <w:rFonts w:ascii="Palatino Linotype" w:eastAsiaTheme="minorEastAsia" w:hAnsi="Palatino Linotype" w:cstheme="minorBidi"/>
          <w:color w:val="000000" w:themeColor="text1"/>
          <w:lang w:val="es-ES_tradnl"/>
        </w:rPr>
        <w:t>Oficio T/M/026/2022 dirigido al Coordinador de la Unidad de Transparencia y suscrito por el Tesorero Municipal mediante el cual se refiere que “</w:t>
      </w:r>
      <w:r w:rsidR="00D11854" w:rsidRPr="00EC69CB">
        <w:rPr>
          <w:rFonts w:ascii="Palatino Linotype" w:eastAsiaTheme="minorEastAsia" w:hAnsi="Palatino Linotype" w:cstheme="minorBidi"/>
          <w:i/>
          <w:color w:val="000000" w:themeColor="text1"/>
          <w:lang w:val="es-ES_tradnl"/>
        </w:rPr>
        <w:t>le informo que el informe del último trimestre de 2021, se entrega hasta el 10 de febrero del presente año…” (Sic)</w:t>
      </w:r>
    </w:p>
    <w:p w14:paraId="65C7992A" w14:textId="77777777" w:rsidR="001B0FA2" w:rsidRPr="00EC69CB" w:rsidRDefault="001B0FA2" w:rsidP="001B0FA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4BB5C5BA" w14:textId="5D11AD68" w:rsidR="00EA0165" w:rsidRPr="00EC69CB" w:rsidRDefault="00EA0165" w:rsidP="00D11854">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C69CB">
        <w:rPr>
          <w:rFonts w:ascii="Palatino Linotype" w:hAnsi="Palatino Linotype" w:cs="Arial"/>
          <w:color w:val="000000" w:themeColor="text1"/>
        </w:rPr>
        <w:t xml:space="preserve">Derivado de la respuesta emitida por el </w:t>
      </w:r>
      <w:r w:rsidRPr="00EC69CB">
        <w:rPr>
          <w:rFonts w:ascii="Palatino Linotype" w:hAnsi="Palatino Linotype" w:cs="Arial"/>
          <w:b/>
          <w:color w:val="000000" w:themeColor="text1"/>
        </w:rPr>
        <w:t>SUJETO OBLIGADO</w:t>
      </w:r>
      <w:r w:rsidRPr="00EC69CB">
        <w:rPr>
          <w:rFonts w:ascii="Palatino Linotype" w:hAnsi="Palatino Linotype" w:cs="Arial"/>
          <w:color w:val="000000" w:themeColor="text1"/>
        </w:rPr>
        <w:t>, e</w:t>
      </w:r>
      <w:r w:rsidR="00E81502" w:rsidRPr="00EC69CB">
        <w:rPr>
          <w:rFonts w:ascii="Palatino Linotype" w:hAnsi="Palatino Linotype" w:cs="Arial"/>
          <w:color w:val="000000" w:themeColor="text1"/>
        </w:rPr>
        <w:t xml:space="preserve">l </w:t>
      </w:r>
      <w:r w:rsidR="00D11854" w:rsidRPr="00EC69CB">
        <w:rPr>
          <w:rFonts w:ascii="Palatino Linotype" w:hAnsi="Palatino Linotype" w:cs="Arial"/>
          <w:color w:val="000000" w:themeColor="text1"/>
        </w:rPr>
        <w:t>nueve (09</w:t>
      </w:r>
      <w:r w:rsidR="00AB7DB9" w:rsidRPr="00EC69CB">
        <w:rPr>
          <w:rFonts w:ascii="Palatino Linotype" w:hAnsi="Palatino Linotype" w:cs="Arial"/>
          <w:color w:val="000000" w:themeColor="text1"/>
        </w:rPr>
        <w:t>)</w:t>
      </w:r>
      <w:r w:rsidR="00917444" w:rsidRPr="00EC69CB">
        <w:rPr>
          <w:rFonts w:ascii="Palatino Linotype" w:hAnsi="Palatino Linotype" w:cs="Arial"/>
          <w:color w:val="000000" w:themeColor="text1"/>
        </w:rPr>
        <w:t xml:space="preserve"> de</w:t>
      </w:r>
      <w:r w:rsidR="00D11854" w:rsidRPr="00EC69CB">
        <w:rPr>
          <w:rFonts w:ascii="Palatino Linotype" w:hAnsi="Palatino Linotype" w:cs="Arial"/>
          <w:color w:val="000000" w:themeColor="text1"/>
        </w:rPr>
        <w:t xml:space="preserve"> febrero</w:t>
      </w:r>
      <w:r w:rsidR="00E81502" w:rsidRPr="00EC69CB">
        <w:rPr>
          <w:rFonts w:ascii="Palatino Linotype" w:hAnsi="Palatino Linotype" w:cs="Arial"/>
          <w:color w:val="000000" w:themeColor="text1"/>
        </w:rPr>
        <w:t xml:space="preserve"> </w:t>
      </w:r>
      <w:r w:rsidR="00917444" w:rsidRPr="00EC69CB">
        <w:rPr>
          <w:rFonts w:ascii="Palatino Linotype" w:hAnsi="Palatino Linotype" w:cs="Arial"/>
          <w:color w:val="000000" w:themeColor="text1"/>
        </w:rPr>
        <w:t>d</w:t>
      </w:r>
      <w:r w:rsidR="00233D1C" w:rsidRPr="00EC69CB">
        <w:rPr>
          <w:rFonts w:ascii="Palatino Linotype" w:hAnsi="Palatino Linotype" w:cs="Arial"/>
          <w:color w:val="000000" w:themeColor="text1"/>
        </w:rPr>
        <w:t xml:space="preserve">e dos mil </w:t>
      </w:r>
      <w:r w:rsidR="00E81502" w:rsidRPr="00EC69CB">
        <w:rPr>
          <w:rFonts w:ascii="Palatino Linotype" w:hAnsi="Palatino Linotype" w:cs="Arial"/>
          <w:color w:val="000000" w:themeColor="text1"/>
        </w:rPr>
        <w:t>veintidós</w:t>
      </w:r>
      <w:r w:rsidRPr="00EC69CB">
        <w:rPr>
          <w:rFonts w:ascii="Palatino Linotype" w:hAnsi="Palatino Linotype" w:cs="Arial"/>
          <w:color w:val="000000" w:themeColor="text1"/>
        </w:rPr>
        <w:t>, el particular interpuso el recurso de revisión</w:t>
      </w:r>
      <w:r w:rsidR="00D11854" w:rsidRPr="00EC69CB">
        <w:rPr>
          <w:rFonts w:ascii="Palatino Linotype" w:hAnsi="Palatino Linotype"/>
        </w:rPr>
        <w:t xml:space="preserve"> </w:t>
      </w:r>
      <w:r w:rsidR="00D11854" w:rsidRPr="00EC69CB">
        <w:rPr>
          <w:rFonts w:ascii="Palatino Linotype" w:hAnsi="Palatino Linotype" w:cs="Arial"/>
          <w:b/>
          <w:color w:val="000000" w:themeColor="text1"/>
        </w:rPr>
        <w:t>00643/INFOEM/IP/RR/2022</w:t>
      </w:r>
      <w:r w:rsidRPr="00EC69CB">
        <w:rPr>
          <w:rFonts w:ascii="Palatino Linotype" w:eastAsia="Calibri" w:hAnsi="Palatino Linotype" w:cs="Arial"/>
          <w:b/>
          <w:color w:val="000000" w:themeColor="text1"/>
        </w:rPr>
        <w:t>;</w:t>
      </w:r>
      <w:r w:rsidRPr="00EC69CB">
        <w:rPr>
          <w:rFonts w:ascii="Palatino Linotype" w:hAnsi="Palatino Linotype" w:cs="Arial"/>
          <w:color w:val="000000" w:themeColor="text1"/>
        </w:rPr>
        <w:t xml:space="preserve"> impugnación en la que refirió lo siguiente:</w:t>
      </w:r>
    </w:p>
    <w:p w14:paraId="176F4252" w14:textId="77777777" w:rsidR="00EA0165" w:rsidRPr="00EC69CB"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783D0297" w:rsidR="00EA0165" w:rsidRPr="00EC69CB" w:rsidRDefault="00EA0165" w:rsidP="00D11854">
      <w:pPr>
        <w:numPr>
          <w:ilvl w:val="0"/>
          <w:numId w:val="1"/>
        </w:numPr>
        <w:tabs>
          <w:tab w:val="left" w:pos="426"/>
          <w:tab w:val="left" w:pos="567"/>
        </w:tabs>
        <w:spacing w:line="360" w:lineRule="auto"/>
        <w:ind w:left="810" w:right="616" w:hanging="180"/>
        <w:contextualSpacing/>
        <w:jc w:val="both"/>
        <w:rPr>
          <w:rFonts w:ascii="Palatino Linotype" w:hAnsi="Palatino Linotype" w:cs="Arial"/>
          <w:color w:val="000000" w:themeColor="text1"/>
        </w:rPr>
      </w:pPr>
      <w:r w:rsidRPr="00EC69CB">
        <w:rPr>
          <w:rFonts w:ascii="Palatino Linotype" w:hAnsi="Palatino Linotype" w:cs="Arial"/>
          <w:b/>
          <w:color w:val="000000" w:themeColor="text1"/>
        </w:rPr>
        <w:t>Acto impugnado:</w:t>
      </w:r>
      <w:r w:rsidRPr="00EC69CB">
        <w:rPr>
          <w:rFonts w:ascii="Palatino Linotype" w:hAnsi="Palatino Linotype" w:cs="Arial"/>
          <w:color w:val="000000" w:themeColor="text1"/>
        </w:rPr>
        <w:t xml:space="preserve"> </w:t>
      </w:r>
      <w:r w:rsidRPr="00EC69CB">
        <w:rPr>
          <w:rFonts w:ascii="Palatino Linotype" w:hAnsi="Palatino Linotype" w:cs="Arial"/>
          <w:i/>
          <w:color w:val="000000" w:themeColor="text1"/>
        </w:rPr>
        <w:t>“</w:t>
      </w:r>
      <w:r w:rsidR="00D11854" w:rsidRPr="00EC69CB">
        <w:rPr>
          <w:rFonts w:ascii="Palatino Linotype" w:hAnsi="Palatino Linotype" w:cs="Arial"/>
          <w:i/>
          <w:color w:val="000000" w:themeColor="text1"/>
        </w:rPr>
        <w:t>FALTA DE FUNDAMENTACIÓN Y MOTIVACIÓN EN LA RESPUESTA</w:t>
      </w:r>
      <w:r w:rsidR="00AB7DB9" w:rsidRPr="00EC69CB">
        <w:rPr>
          <w:rFonts w:ascii="Palatino Linotype" w:hAnsi="Palatino Linotype" w:cs="Arial"/>
          <w:i/>
          <w:color w:val="000000" w:themeColor="text1"/>
        </w:rPr>
        <w:t>.”</w:t>
      </w:r>
      <w:r w:rsidRPr="00EC69CB">
        <w:rPr>
          <w:rFonts w:ascii="Palatino Linotype" w:hAnsi="Palatino Linotype" w:cs="Arial"/>
          <w:color w:val="000000" w:themeColor="text1"/>
        </w:rPr>
        <w:t>(Sic).</w:t>
      </w:r>
    </w:p>
    <w:p w14:paraId="71C7D21F" w14:textId="77777777" w:rsidR="00EA0165" w:rsidRPr="00EC69CB" w:rsidRDefault="00EA0165" w:rsidP="00E81502">
      <w:pPr>
        <w:tabs>
          <w:tab w:val="left" w:pos="0"/>
        </w:tabs>
        <w:spacing w:line="360" w:lineRule="auto"/>
        <w:ind w:left="567" w:right="616"/>
        <w:contextualSpacing/>
        <w:jc w:val="both"/>
        <w:rPr>
          <w:rFonts w:ascii="Palatino Linotype" w:hAnsi="Palatino Linotype" w:cs="Arial"/>
          <w:color w:val="000000" w:themeColor="text1"/>
        </w:rPr>
      </w:pPr>
    </w:p>
    <w:p w14:paraId="16E57192" w14:textId="624546B1" w:rsidR="00EA0165" w:rsidRPr="00EC69CB" w:rsidRDefault="00EA0165" w:rsidP="00D11854">
      <w:pPr>
        <w:numPr>
          <w:ilvl w:val="0"/>
          <w:numId w:val="1"/>
        </w:numPr>
        <w:tabs>
          <w:tab w:val="left" w:pos="0"/>
        </w:tabs>
        <w:spacing w:line="360" w:lineRule="auto"/>
        <w:ind w:left="810" w:right="616" w:hanging="270"/>
        <w:contextualSpacing/>
        <w:jc w:val="both"/>
        <w:rPr>
          <w:rFonts w:ascii="Palatino Linotype" w:hAnsi="Palatino Linotype" w:cs="Arial"/>
          <w:color w:val="000000" w:themeColor="text1"/>
        </w:rPr>
      </w:pPr>
      <w:r w:rsidRPr="00EC69CB">
        <w:rPr>
          <w:rFonts w:ascii="Palatino Linotype" w:hAnsi="Palatino Linotype" w:cs="Arial"/>
          <w:b/>
          <w:color w:val="000000" w:themeColor="text1"/>
        </w:rPr>
        <w:t>Razones o motivos de inconformidad:</w:t>
      </w:r>
      <w:r w:rsidRPr="00EC69CB">
        <w:rPr>
          <w:rFonts w:ascii="Palatino Linotype" w:hAnsi="Palatino Linotype" w:cs="Arial"/>
          <w:color w:val="000000" w:themeColor="text1"/>
        </w:rPr>
        <w:t xml:space="preserve"> </w:t>
      </w:r>
      <w:r w:rsidRPr="00EC69CB">
        <w:rPr>
          <w:rFonts w:ascii="Palatino Linotype" w:hAnsi="Palatino Linotype" w:cs="Arial"/>
          <w:i/>
          <w:color w:val="000000" w:themeColor="text1"/>
        </w:rPr>
        <w:t>“</w:t>
      </w:r>
      <w:r w:rsidR="00D11854" w:rsidRPr="00EC69CB">
        <w:rPr>
          <w:rFonts w:ascii="Palatino Linotype" w:hAnsi="Palatino Linotype" w:cs="Arial"/>
          <w:i/>
          <w:color w:val="000000" w:themeColor="text1"/>
        </w:rPr>
        <w:t xml:space="preserve">TESORERÍA EMITE UN OFICIO QUE DONDE RESPONDE: "LE INFORMO QUE EL INFORME DEL ÚLTIMO TRIMESTRE DE 2021, SE ENTREGA HASTA </w:t>
      </w:r>
      <w:r w:rsidR="00D11854" w:rsidRPr="00EC69CB">
        <w:rPr>
          <w:rFonts w:ascii="Palatino Linotype" w:hAnsi="Palatino Linotype" w:cs="Arial"/>
          <w:i/>
          <w:color w:val="000000" w:themeColor="text1"/>
        </w:rPr>
        <w:lastRenderedPageBreak/>
        <w:t>EL 10 DE FEBRERO DEL PRESENTE AÑO", CARECE DE FUNDAMENTACIÓN Y MOTIVACIÓN PARA JUSTIFICAR QUE NO ME PUEDE SER ENTREGADO EL CONTENIDO CORRESPONDIENTE AL DISCO NÚMERO 4 "INFORMACIÓN DE NÓMINA" , POR OTRO LADO MI SOLICITUD DE INFORMACIÓN PÚBLICA, FENECÍA EL DÍA 22 DE LOS PRESENTES, TIEMPO NECESARIO PARA PODER ENTREGARME LA MISMA, SEGÚN SU RESPUESTA.</w:t>
      </w:r>
      <w:r w:rsidR="00AB7DB9" w:rsidRPr="00EC69CB">
        <w:rPr>
          <w:rFonts w:ascii="Palatino Linotype" w:hAnsi="Palatino Linotype" w:cs="Arial"/>
          <w:i/>
          <w:color w:val="000000" w:themeColor="text1"/>
        </w:rPr>
        <w:t>.</w:t>
      </w:r>
      <w:r w:rsidRPr="00EC69CB">
        <w:rPr>
          <w:rFonts w:ascii="Palatino Linotype" w:hAnsi="Palatino Linotype" w:cs="Arial"/>
          <w:i/>
          <w:color w:val="000000" w:themeColor="text1"/>
        </w:rPr>
        <w:t xml:space="preserve">” </w:t>
      </w:r>
      <w:r w:rsidRPr="00EC69CB">
        <w:rPr>
          <w:rFonts w:ascii="Palatino Linotype" w:hAnsi="Palatino Linotype" w:cs="Arial"/>
          <w:color w:val="000000" w:themeColor="text1"/>
        </w:rPr>
        <w:t>(Sic).</w:t>
      </w:r>
    </w:p>
    <w:p w14:paraId="552C6645" w14:textId="77777777" w:rsidR="001B234C" w:rsidRPr="00EC69CB"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EC69CB"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EC69CB">
        <w:rPr>
          <w:rFonts w:ascii="Palatino Linotype" w:hAnsi="Palatino Linotype" w:cs="Arial"/>
          <w:color w:val="000000" w:themeColor="text1"/>
        </w:rPr>
        <w:t xml:space="preserve">Se registró el recurso de revisión bajo el número de expediente </w:t>
      </w:r>
      <w:r w:rsidRPr="00EC69CB">
        <w:rPr>
          <w:rFonts w:ascii="Palatino Linotype" w:eastAsiaTheme="minorEastAsia" w:hAnsi="Palatino Linotype" w:cs="Arial"/>
          <w:bCs/>
          <w:color w:val="000000" w:themeColor="text1"/>
          <w:lang w:val="es-ES_tradnl"/>
        </w:rPr>
        <w:t xml:space="preserve">al rubro indicado, asimismo, con fundamento en lo dispuesto por el </w:t>
      </w:r>
      <w:r w:rsidRPr="00EC69CB">
        <w:rPr>
          <w:rFonts w:ascii="Palatino Linotype" w:eastAsia="Calibri" w:hAnsi="Palatino Linotype" w:cs="Arial"/>
          <w:color w:val="000000" w:themeColor="text1"/>
        </w:rPr>
        <w:t xml:space="preserve">artículo 185 fracción I de la </w:t>
      </w:r>
      <w:r w:rsidRPr="00EC69CB">
        <w:rPr>
          <w:rFonts w:ascii="Palatino Linotype" w:eastAsia="Calibri" w:hAnsi="Palatino Linotype" w:cs="Arial"/>
          <w:b/>
          <w:color w:val="000000" w:themeColor="text1"/>
        </w:rPr>
        <w:t xml:space="preserve">Ley de Transparencia y Acceso a la Información Pública del Estado de México y Municipios </w:t>
      </w:r>
      <w:r w:rsidR="005E6282" w:rsidRPr="00EC69CB">
        <w:rPr>
          <w:rFonts w:ascii="Palatino Linotype" w:hAnsi="Palatino Linotype" w:cs="Arial"/>
          <w:color w:val="000000" w:themeColor="text1"/>
        </w:rPr>
        <w:t>se turnó a</w:t>
      </w:r>
      <w:r w:rsidR="00351568" w:rsidRPr="00EC69CB">
        <w:rPr>
          <w:rFonts w:ascii="Palatino Linotype" w:hAnsi="Palatino Linotype" w:cs="Arial"/>
          <w:color w:val="000000" w:themeColor="text1"/>
        </w:rPr>
        <w:t xml:space="preserve"> la </w:t>
      </w:r>
      <w:r w:rsidR="00E3149E" w:rsidRPr="00EC69CB">
        <w:rPr>
          <w:rFonts w:ascii="Palatino Linotype" w:hAnsi="Palatino Linotype" w:cs="Arial"/>
          <w:b/>
          <w:color w:val="000000" w:themeColor="text1"/>
        </w:rPr>
        <w:t>C</w:t>
      </w:r>
      <w:r w:rsidR="00351568" w:rsidRPr="00EC69CB">
        <w:rPr>
          <w:rFonts w:ascii="Palatino Linotype" w:hAnsi="Palatino Linotype" w:cs="Arial"/>
          <w:b/>
          <w:color w:val="000000" w:themeColor="text1"/>
        </w:rPr>
        <w:t>omisionada María del Rosario Mejía Ayala</w:t>
      </w:r>
      <w:r w:rsidRPr="00EC69CB">
        <w:rPr>
          <w:rFonts w:ascii="Palatino Linotype" w:hAnsi="Palatino Linotype" w:cs="Arial"/>
          <w:b/>
          <w:color w:val="000000" w:themeColor="text1"/>
        </w:rPr>
        <w:t xml:space="preserve">, </w:t>
      </w:r>
      <w:r w:rsidRPr="00EC69CB">
        <w:rPr>
          <w:rFonts w:ascii="Palatino Linotype" w:hAnsi="Palatino Linotype" w:cs="Arial"/>
          <w:color w:val="000000" w:themeColor="text1"/>
        </w:rPr>
        <w:t xml:space="preserve">con el objeto de </w:t>
      </w:r>
      <w:r w:rsidRPr="00EC69CB">
        <w:rPr>
          <w:rFonts w:ascii="Palatino Linotype" w:hAnsi="Palatino Linotype" w:cs="Arial"/>
          <w:color w:val="000000" w:themeColor="text1"/>
          <w:lang w:val="es-MX"/>
        </w:rPr>
        <w:t>su análisis.</w:t>
      </w:r>
    </w:p>
    <w:p w14:paraId="3D6E1B39" w14:textId="2094837E" w:rsidR="00BB030C" w:rsidRPr="00EC69CB" w:rsidRDefault="00BB030C"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5FE186B5" w:rsidR="00EA0165" w:rsidRPr="00EC69CB"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EC69CB">
        <w:rPr>
          <w:rFonts w:ascii="Palatino Linotype" w:hAnsi="Palatino Linotype" w:cs="Arial"/>
          <w:color w:val="000000" w:themeColor="text1"/>
        </w:rPr>
        <w:t xml:space="preserve">La </w:t>
      </w:r>
      <w:r w:rsidRPr="00EC69CB">
        <w:rPr>
          <w:rFonts w:ascii="Palatino Linotype" w:hAnsi="Palatino Linotype" w:cs="Arial"/>
          <w:b/>
          <w:color w:val="000000" w:themeColor="text1"/>
        </w:rPr>
        <w:t>Comisionada María del Rosario Mejía Ayala</w:t>
      </w:r>
      <w:r w:rsidR="00EA0165" w:rsidRPr="00EC69CB">
        <w:rPr>
          <w:rFonts w:ascii="Palatino Linotype" w:eastAsia="Calibri" w:hAnsi="Palatino Linotype" w:cs="Arial"/>
          <w:color w:val="000000" w:themeColor="text1"/>
        </w:rPr>
        <w:t>, con fundamento en lo dispuesto por el artículo 185 fracción II de la ley de la materia, a t</w:t>
      </w:r>
      <w:r w:rsidR="007A237F" w:rsidRPr="00EC69CB">
        <w:rPr>
          <w:rFonts w:ascii="Palatino Linotype" w:eastAsia="Calibri" w:hAnsi="Palatino Linotype" w:cs="Arial"/>
          <w:color w:val="000000" w:themeColor="text1"/>
        </w:rPr>
        <w:t xml:space="preserve">ravés del </w:t>
      </w:r>
      <w:r w:rsidR="00976C25" w:rsidRPr="00EC69CB">
        <w:rPr>
          <w:rFonts w:ascii="Palatino Linotype" w:eastAsia="Calibri" w:hAnsi="Palatino Linotype" w:cs="Arial"/>
          <w:color w:val="000000" w:themeColor="text1"/>
        </w:rPr>
        <w:t>acuerdo de admisión de dieciséis</w:t>
      </w:r>
      <w:r w:rsidR="008426D8" w:rsidRPr="00EC69CB">
        <w:rPr>
          <w:rFonts w:ascii="Palatino Linotype" w:eastAsia="Calibri" w:hAnsi="Palatino Linotype" w:cs="Arial"/>
          <w:color w:val="000000" w:themeColor="text1"/>
        </w:rPr>
        <w:t xml:space="preserve"> </w:t>
      </w:r>
      <w:r w:rsidR="00EA0165" w:rsidRPr="00EC69CB">
        <w:rPr>
          <w:rFonts w:ascii="Palatino Linotype" w:eastAsia="Calibri" w:hAnsi="Palatino Linotype" w:cs="Arial"/>
          <w:color w:val="000000" w:themeColor="text1"/>
        </w:rPr>
        <w:t>(</w:t>
      </w:r>
      <w:r w:rsidR="00976C25" w:rsidRPr="00EC69CB">
        <w:rPr>
          <w:rFonts w:ascii="Palatino Linotype" w:eastAsia="Calibri" w:hAnsi="Palatino Linotype" w:cs="Arial"/>
          <w:color w:val="000000" w:themeColor="text1"/>
        </w:rPr>
        <w:t>16</w:t>
      </w:r>
      <w:r w:rsidR="00EA0165" w:rsidRPr="00EC69CB">
        <w:rPr>
          <w:rFonts w:ascii="Palatino Linotype" w:eastAsia="Calibri" w:hAnsi="Palatino Linotype" w:cs="Arial"/>
          <w:color w:val="000000" w:themeColor="text1"/>
        </w:rPr>
        <w:t>) de</w:t>
      </w:r>
      <w:r w:rsidR="00E81502" w:rsidRPr="00EC69CB">
        <w:rPr>
          <w:rFonts w:ascii="Palatino Linotype" w:eastAsia="Calibri" w:hAnsi="Palatino Linotype" w:cs="Arial"/>
          <w:color w:val="000000" w:themeColor="text1"/>
        </w:rPr>
        <w:t xml:space="preserve"> febrero de dos mil veintidós</w:t>
      </w:r>
      <w:r w:rsidR="00EA0165" w:rsidRPr="00EC69CB">
        <w:rPr>
          <w:rFonts w:ascii="Palatino Linotype" w:eastAsia="Calibri" w:hAnsi="Palatino Linotype" w:cs="Arial"/>
          <w:color w:val="000000" w:themeColor="text1"/>
        </w:rPr>
        <w:t xml:space="preserve">, puso a disposición de las partes el expediente electrónico </w:t>
      </w:r>
      <w:r w:rsidR="00EA0165" w:rsidRPr="00EC69CB">
        <w:rPr>
          <w:rFonts w:ascii="Palatino Linotype" w:eastAsia="Calibri" w:hAnsi="Palatino Linotype" w:cs="Arial"/>
          <w:color w:val="000000" w:themeColor="text1"/>
          <w:lang w:val="es-ES_tradnl"/>
        </w:rPr>
        <w:t xml:space="preserve">vía </w:t>
      </w:r>
      <w:r w:rsidR="00EA0165" w:rsidRPr="00EC69CB">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EC69CB">
        <w:rPr>
          <w:rFonts w:ascii="Palatino Linotype" w:eastAsia="Calibri" w:hAnsi="Palatino Linotype" w:cs="Arial"/>
          <w:b/>
          <w:color w:val="000000" w:themeColor="text1"/>
        </w:rPr>
        <w:t>SUJETO OBLIGADO</w:t>
      </w:r>
      <w:r w:rsidR="00EA0165" w:rsidRPr="00EC69CB">
        <w:rPr>
          <w:rFonts w:ascii="Palatino Linotype" w:eastAsia="Calibri" w:hAnsi="Palatino Linotype" w:cs="Arial"/>
          <w:color w:val="000000" w:themeColor="text1"/>
        </w:rPr>
        <w:t xml:space="preserve"> presentara el</w:t>
      </w:r>
      <w:r w:rsidR="00266490" w:rsidRPr="00EC69CB">
        <w:rPr>
          <w:rFonts w:ascii="Palatino Linotype" w:eastAsia="Calibri" w:hAnsi="Palatino Linotype" w:cs="Arial"/>
          <w:color w:val="000000" w:themeColor="text1"/>
        </w:rPr>
        <w:t xml:space="preserve"> </w:t>
      </w:r>
      <w:r w:rsidR="00976C25" w:rsidRPr="00EC69CB">
        <w:rPr>
          <w:rFonts w:ascii="Palatino Linotype" w:eastAsia="Calibri" w:hAnsi="Palatino Linotype" w:cs="Arial"/>
          <w:color w:val="000000" w:themeColor="text1"/>
        </w:rPr>
        <w:t xml:space="preserve">informe justificado procedente, situación que no aconteció por las partes. </w:t>
      </w:r>
    </w:p>
    <w:p w14:paraId="068D7840" w14:textId="4E8A4CF9" w:rsidR="001B234C" w:rsidRPr="00EC69CB" w:rsidRDefault="001B234C" w:rsidP="003C23B9">
      <w:pPr>
        <w:tabs>
          <w:tab w:val="left" w:pos="284"/>
        </w:tabs>
        <w:spacing w:line="360" w:lineRule="auto"/>
        <w:ind w:right="616"/>
        <w:contextualSpacing/>
        <w:jc w:val="both"/>
        <w:rPr>
          <w:rFonts w:ascii="Palatino Linotype" w:eastAsia="Calibri" w:hAnsi="Palatino Linotype" w:cs="Arial"/>
          <w:b/>
        </w:rPr>
      </w:pPr>
      <w:bookmarkStart w:id="5" w:name="_Toc461555889"/>
      <w:bookmarkStart w:id="6" w:name="_Toc466371858"/>
    </w:p>
    <w:p w14:paraId="24498E76" w14:textId="0F192E75" w:rsidR="00A02F18" w:rsidRPr="00C90A0B" w:rsidRDefault="00A47AE2" w:rsidP="00C90A0B">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EC69CB">
        <w:rPr>
          <w:rFonts w:ascii="Palatino Linotype" w:eastAsiaTheme="minorEastAsia" w:hAnsi="Palatino Linotype" w:cstheme="minorBidi"/>
          <w:color w:val="000000" w:themeColor="text1"/>
          <w:lang w:val="es-ES_tradnl"/>
        </w:rPr>
        <w:lastRenderedPageBreak/>
        <w:t>Así las cosas, la</w:t>
      </w:r>
      <w:r w:rsidRPr="00EC69CB">
        <w:rPr>
          <w:rFonts w:ascii="Palatino Linotype" w:eastAsiaTheme="minorEastAsia" w:hAnsi="Palatino Linotype" w:cstheme="minorBidi"/>
          <w:b/>
          <w:color w:val="000000" w:themeColor="text1"/>
          <w:lang w:val="es-ES_tradnl"/>
        </w:rPr>
        <w:t xml:space="preserve"> Comisionada María del Rosario Mejía Ayala</w:t>
      </w:r>
      <w:r w:rsidRPr="00EC69CB">
        <w:rPr>
          <w:rFonts w:ascii="Palatino Linotype" w:eastAsiaTheme="minorEastAsia" w:hAnsi="Palatino Linotype" w:cstheme="minorBidi"/>
          <w:color w:val="000000" w:themeColor="text1"/>
          <w:lang w:val="es-ES_tradnl"/>
        </w:rPr>
        <w:t xml:space="preserve"> decretó el cierre de instrucción </w:t>
      </w:r>
      <w:r w:rsidR="00FA6732" w:rsidRPr="00EC69CB">
        <w:rPr>
          <w:rFonts w:ascii="Palatino Linotype" w:eastAsiaTheme="minorEastAsia" w:hAnsi="Palatino Linotype" w:cstheme="minorBidi"/>
          <w:color w:val="000000" w:themeColor="text1"/>
          <w:lang w:val="es-ES_tradnl"/>
        </w:rPr>
        <w:t>med</w:t>
      </w:r>
      <w:r w:rsidR="003C23B9" w:rsidRPr="00EC69CB">
        <w:rPr>
          <w:rFonts w:ascii="Palatino Linotype" w:eastAsiaTheme="minorEastAsia" w:hAnsi="Palatino Linotype" w:cstheme="minorBidi"/>
          <w:color w:val="000000" w:themeColor="text1"/>
          <w:lang w:val="es-ES_tradnl"/>
        </w:rPr>
        <w:t>i</w:t>
      </w:r>
      <w:r w:rsidR="00976C25" w:rsidRPr="00EC69CB">
        <w:rPr>
          <w:rFonts w:ascii="Palatino Linotype" w:eastAsiaTheme="minorEastAsia" w:hAnsi="Palatino Linotype" w:cstheme="minorBidi"/>
          <w:color w:val="000000" w:themeColor="text1"/>
          <w:lang w:val="es-ES_tradnl"/>
        </w:rPr>
        <w:t>ant</w:t>
      </w:r>
      <w:r w:rsidR="002874C3" w:rsidRPr="00EC69CB">
        <w:rPr>
          <w:rFonts w:ascii="Palatino Linotype" w:eastAsiaTheme="minorEastAsia" w:hAnsi="Palatino Linotype" w:cstheme="minorBidi"/>
          <w:color w:val="000000" w:themeColor="text1"/>
          <w:lang w:val="es-ES_tradnl"/>
        </w:rPr>
        <w:t>e acuerdo de fecha veintitrés (23</w:t>
      </w:r>
      <w:r w:rsidRPr="00EC69CB">
        <w:rPr>
          <w:rFonts w:ascii="Palatino Linotype" w:eastAsiaTheme="minorEastAsia" w:hAnsi="Palatino Linotype" w:cstheme="minorBidi"/>
          <w:color w:val="000000" w:themeColor="text1"/>
          <w:lang w:val="es-ES_tradnl"/>
        </w:rPr>
        <w:t xml:space="preserve">) de marzo de dos mil veintidós. </w:t>
      </w:r>
      <w:bookmarkStart w:id="7" w:name="_Toc68804758"/>
    </w:p>
    <w:p w14:paraId="494F97AD" w14:textId="77777777" w:rsidR="00EA0165" w:rsidRPr="00EC69CB"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8" w:name="_Toc98439402"/>
      <w:r w:rsidRPr="00EC69CB">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EC69CB" w:rsidRDefault="00EA0165" w:rsidP="007D7513">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EC69CB" w:rsidRDefault="00EA0165" w:rsidP="007D7513">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98439403"/>
      <w:r w:rsidRPr="00EC69CB">
        <w:rPr>
          <w:rFonts w:ascii="Palatino Linotype" w:hAnsi="Palatino Linotype"/>
          <w:b/>
          <w:color w:val="000000" w:themeColor="text1"/>
          <w:sz w:val="24"/>
          <w:szCs w:val="24"/>
          <w:lang w:val="es-MX" w:eastAsia="en-US"/>
        </w:rPr>
        <w:t>PRIMERO. De la competencia</w:t>
      </w:r>
      <w:bookmarkEnd w:id="9"/>
      <w:bookmarkEnd w:id="10"/>
      <w:bookmarkEnd w:id="11"/>
      <w:r w:rsidR="00537427" w:rsidRPr="00EC69CB">
        <w:rPr>
          <w:rFonts w:ascii="Palatino Linotype" w:hAnsi="Palatino Linotype"/>
          <w:b/>
          <w:color w:val="000000" w:themeColor="text1"/>
          <w:sz w:val="24"/>
          <w:szCs w:val="24"/>
          <w:lang w:val="es-MX" w:eastAsia="en-US"/>
        </w:rPr>
        <w:t>.</w:t>
      </w:r>
      <w:bookmarkEnd w:id="12"/>
    </w:p>
    <w:p w14:paraId="341F67EC" w14:textId="77777777" w:rsidR="00EA0165" w:rsidRPr="00EC69CB"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6BD4C077" w:rsidR="00EA0165" w:rsidRPr="00EC69CB" w:rsidRDefault="00EA0165" w:rsidP="00640BE1">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EC69CB">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C69CB">
        <w:rPr>
          <w:rFonts w:ascii="Palatino Linotype" w:eastAsia="Calibri" w:hAnsi="Palatino Linotype"/>
          <w:b/>
        </w:rPr>
        <w:t>Constitución Política de los Estados Unidos Mexicanos</w:t>
      </w:r>
      <w:r w:rsidRPr="00EC69CB">
        <w:rPr>
          <w:rFonts w:ascii="Palatino Linotype" w:eastAsia="Calibri" w:hAnsi="Palatino Linotype"/>
        </w:rPr>
        <w:t xml:space="preserve">; </w:t>
      </w:r>
      <w:r w:rsidRPr="00EC69CB">
        <w:rPr>
          <w:rFonts w:ascii="Palatino Linotype" w:eastAsia="Calibri" w:hAnsi="Palatino Linotype" w:cs="Arial"/>
          <w:bCs/>
          <w:color w:val="222222"/>
          <w:shd w:val="clear" w:color="auto" w:fill="FFFFFF"/>
          <w:lang w:eastAsia="en-US"/>
        </w:rPr>
        <w:t>5, párrafo</w:t>
      </w:r>
      <w:r w:rsidR="00543BF9" w:rsidRPr="00EC69CB">
        <w:rPr>
          <w:rFonts w:ascii="Palatino Linotype" w:eastAsia="Calibri" w:hAnsi="Palatino Linotype"/>
          <w:lang w:val="es-MX" w:eastAsia="en-US"/>
        </w:rPr>
        <w:t xml:space="preserve"> trigésimo, trigésimo primero y trigésimo segundo, fracciones I, II, III, IV y V</w:t>
      </w:r>
      <w:r w:rsidR="00543BF9" w:rsidRPr="00EC69CB">
        <w:rPr>
          <w:rFonts w:ascii="Palatino Linotype" w:eastAsia="MS Mincho" w:hAnsi="Palatino Linotype"/>
          <w:lang w:val="es-ES_tradnl"/>
        </w:rPr>
        <w:t xml:space="preserve"> </w:t>
      </w:r>
      <w:r w:rsidRPr="00EC69CB">
        <w:rPr>
          <w:rFonts w:ascii="Palatino Linotype" w:eastAsia="Calibri" w:hAnsi="Palatino Linotype"/>
        </w:rPr>
        <w:t xml:space="preserve">de la </w:t>
      </w:r>
      <w:r w:rsidRPr="00EC69CB">
        <w:rPr>
          <w:rFonts w:ascii="Palatino Linotype" w:eastAsia="Calibri" w:hAnsi="Palatino Linotype"/>
          <w:b/>
        </w:rPr>
        <w:t>Constitución Política del Estado Libre y Soberano de México</w:t>
      </w:r>
      <w:r w:rsidRPr="00EC69CB">
        <w:rPr>
          <w:rFonts w:ascii="Palatino Linotype" w:eastAsia="Calibri" w:hAnsi="Palatino Linotype"/>
        </w:rPr>
        <w:t xml:space="preserve">; artículos 1, 2 fracción II, 13, 29, 36 fracciones I y II, 176, 178, 179, 181 párrafo tercero y 185 </w:t>
      </w:r>
      <w:r w:rsidRPr="00EC69CB">
        <w:rPr>
          <w:rFonts w:ascii="Palatino Linotype" w:eastAsia="Calibri" w:hAnsi="Palatino Linotype" w:cs="Arial"/>
        </w:rPr>
        <w:t xml:space="preserve">de la </w:t>
      </w:r>
      <w:r w:rsidRPr="00EC69CB">
        <w:rPr>
          <w:rFonts w:ascii="Palatino Linotype" w:eastAsia="Calibri" w:hAnsi="Palatino Linotype" w:cs="Arial"/>
          <w:b/>
        </w:rPr>
        <w:t>Ley de Transparencia y Acceso a la Información Pública del Estado de México y Municipios</w:t>
      </w:r>
      <w:r w:rsidRPr="00EC69CB">
        <w:rPr>
          <w:rFonts w:ascii="Palatino Linotype" w:eastAsia="Calibri" w:hAnsi="Palatino Linotype" w:cs="Arial"/>
        </w:rPr>
        <w:t xml:space="preserve">; </w:t>
      </w:r>
      <w:r w:rsidRPr="00EC69CB">
        <w:rPr>
          <w:rFonts w:ascii="Palatino Linotype" w:eastAsia="Calibri" w:hAnsi="Palatino Linotype" w:cs="Arial"/>
          <w:b/>
        </w:rPr>
        <w:t>7, 9 fracciones I y XXIV, y 11</w:t>
      </w:r>
      <w:r w:rsidRPr="00EC69CB">
        <w:rPr>
          <w:rFonts w:ascii="Palatino Linotype" w:eastAsia="Calibri" w:hAnsi="Palatino Linotype" w:cs="Arial"/>
        </w:rPr>
        <w:t xml:space="preserve"> del </w:t>
      </w:r>
      <w:r w:rsidRPr="00EC69CB">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EC69CB">
        <w:rPr>
          <w:rFonts w:ascii="Palatino Linotype" w:eastAsia="Calibri" w:hAnsi="Palatino Linotype" w:cs="Arial"/>
          <w:b/>
        </w:rPr>
        <w:t>.</w:t>
      </w:r>
    </w:p>
    <w:p w14:paraId="343B0FCF" w14:textId="413622B7" w:rsidR="00EA0165" w:rsidRPr="00EC69CB" w:rsidRDefault="00EA0165" w:rsidP="007D7513">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98439404"/>
      <w:r w:rsidRPr="00EC69CB">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8DA4526" w14:textId="77777777" w:rsidR="00EA0165" w:rsidRPr="00EC69CB" w:rsidRDefault="00EA0165" w:rsidP="007D7513">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98439405"/>
      <w:r w:rsidRPr="00EC69CB">
        <w:rPr>
          <w:rFonts w:ascii="Palatino Linotype" w:hAnsi="Palatino Linotype"/>
          <w:b/>
          <w:color w:val="000000" w:themeColor="text1"/>
          <w:sz w:val="24"/>
          <w:szCs w:val="24"/>
          <w:lang w:val="es-MX" w:eastAsia="en-US"/>
        </w:rPr>
        <w:t>I. De la interposición del recurso.</w:t>
      </w:r>
      <w:bookmarkEnd w:id="17"/>
      <w:bookmarkEnd w:id="18"/>
      <w:bookmarkEnd w:id="19"/>
      <w:r w:rsidRPr="00EC69CB">
        <w:rPr>
          <w:rFonts w:ascii="Palatino Linotype" w:hAnsi="Palatino Linotype"/>
          <w:b/>
          <w:color w:val="000000" w:themeColor="text1"/>
          <w:sz w:val="24"/>
          <w:szCs w:val="24"/>
          <w:lang w:val="es-MX" w:eastAsia="en-US"/>
        </w:rPr>
        <w:t xml:space="preserve"> </w:t>
      </w:r>
    </w:p>
    <w:p w14:paraId="489BB18C" w14:textId="77777777" w:rsidR="00EA0165" w:rsidRPr="00EC69CB" w:rsidRDefault="00EA0165" w:rsidP="007D7513">
      <w:pPr>
        <w:keepNext/>
        <w:keepLines/>
        <w:tabs>
          <w:tab w:val="left" w:pos="0"/>
        </w:tabs>
        <w:spacing w:line="360" w:lineRule="auto"/>
        <w:contextualSpacing/>
        <w:outlineLvl w:val="0"/>
        <w:rPr>
          <w:rFonts w:ascii="Palatino Linotype" w:eastAsia="MS Gothic" w:hAnsi="Palatino Linotype"/>
          <w:b/>
          <w:lang w:val="es-MX" w:eastAsia="en-US"/>
        </w:rPr>
      </w:pPr>
    </w:p>
    <w:p w14:paraId="33BDBC72" w14:textId="37993E5C" w:rsidR="00CA183E" w:rsidRPr="00EC69CB" w:rsidRDefault="00CA183E" w:rsidP="00640BE1">
      <w:pPr>
        <w:numPr>
          <w:ilvl w:val="0"/>
          <w:numId w:val="3"/>
        </w:numPr>
        <w:spacing w:after="160" w:line="360" w:lineRule="auto"/>
        <w:ind w:left="0" w:right="49" w:firstLine="0"/>
        <w:contextualSpacing/>
        <w:jc w:val="both"/>
        <w:rPr>
          <w:rFonts w:ascii="Palatino Linotype" w:hAnsi="Palatino Linotype"/>
          <w:lang w:val="es-ES_tradnl"/>
        </w:rPr>
      </w:pPr>
      <w:r w:rsidRPr="00EC69CB">
        <w:rPr>
          <w:rFonts w:ascii="Palatino Linotype" w:eastAsia="Calibri" w:hAnsi="Palatino Linotype" w:cs="Arial"/>
          <w:lang w:val="es-ES_tradnl"/>
        </w:rPr>
        <w:t xml:space="preserve">El medio de impugnación fue presentado a través del </w:t>
      </w:r>
      <w:r w:rsidRPr="00EC69CB">
        <w:rPr>
          <w:rFonts w:ascii="Palatino Linotype" w:eastAsia="Calibri" w:hAnsi="Palatino Linotype" w:cs="Arial"/>
          <w:b/>
          <w:lang w:val="es-ES_tradnl"/>
        </w:rPr>
        <w:t>SAIMEX,</w:t>
      </w:r>
      <w:r w:rsidRPr="00EC69CB">
        <w:rPr>
          <w:rFonts w:ascii="Palatino Linotype" w:eastAsia="Calibri" w:hAnsi="Palatino Linotype" w:cs="Arial"/>
          <w:lang w:val="es-ES_tradnl"/>
        </w:rPr>
        <w:t xml:space="preserve"> en el formato previamente aprobado para tal efecto y dentro del plazo legal de quince días hábiles </w:t>
      </w:r>
      <w:r w:rsidRPr="00EC69CB">
        <w:rPr>
          <w:rFonts w:ascii="Palatino Linotype" w:eastAsia="Calibri" w:hAnsi="Palatino Linotype" w:cs="Arial"/>
          <w:lang w:val="es-ES_tradnl"/>
        </w:rPr>
        <w:lastRenderedPageBreak/>
        <w:t xml:space="preserve">otorgados; para el caso en particular es de señalar que si el </w:t>
      </w:r>
      <w:r w:rsidRPr="00EC69CB">
        <w:rPr>
          <w:rFonts w:ascii="Palatino Linotype" w:eastAsia="Calibri" w:hAnsi="Palatino Linotype" w:cs="Arial"/>
          <w:b/>
          <w:lang w:val="es-ES_tradnl"/>
        </w:rPr>
        <w:t>SUJETO OBLIGADO</w:t>
      </w:r>
      <w:r w:rsidR="00C0095A" w:rsidRPr="00EC69CB">
        <w:rPr>
          <w:rFonts w:ascii="Palatino Linotype" w:eastAsia="Calibri" w:hAnsi="Palatino Linotype" w:cs="Arial"/>
          <w:lang w:val="es-ES_tradnl"/>
        </w:rPr>
        <w:t xml:space="preserve"> ent</w:t>
      </w:r>
      <w:r w:rsidR="00976C25" w:rsidRPr="00EC69CB">
        <w:rPr>
          <w:rFonts w:ascii="Palatino Linotype" w:eastAsia="Calibri" w:hAnsi="Palatino Linotype" w:cs="Arial"/>
          <w:lang w:val="es-ES_tradnl"/>
        </w:rPr>
        <w:t>regó respuesta el día tres (03</w:t>
      </w:r>
      <w:r w:rsidRPr="00EC69CB">
        <w:rPr>
          <w:rFonts w:ascii="Palatino Linotype" w:eastAsia="Calibri" w:hAnsi="Palatino Linotype" w:cs="Arial"/>
          <w:lang w:val="es-ES_tradnl"/>
        </w:rPr>
        <w:t>) de</w:t>
      </w:r>
      <w:r w:rsidR="00976C25" w:rsidRPr="00EC69CB">
        <w:rPr>
          <w:rFonts w:ascii="Palatino Linotype" w:eastAsia="Calibri" w:hAnsi="Palatino Linotype" w:cs="Arial"/>
          <w:lang w:val="es-ES_tradnl"/>
        </w:rPr>
        <w:t xml:space="preserve"> febrero </w:t>
      </w:r>
      <w:r w:rsidRPr="00EC69CB">
        <w:rPr>
          <w:rFonts w:ascii="Palatino Linotype" w:eastAsia="Calibri" w:hAnsi="Palatino Linotype" w:cs="Arial"/>
          <w:lang w:val="es-ES_tradnl"/>
        </w:rPr>
        <w:t>de dos mil veintidós</w:t>
      </w:r>
      <w:r w:rsidRPr="00EC69CB">
        <w:rPr>
          <w:rFonts w:ascii="Palatino Linotype" w:eastAsia="Calibri" w:hAnsi="Palatino Linotype" w:cs="Arial"/>
          <w:lang w:val="es-MX" w:eastAsia="en-US"/>
        </w:rPr>
        <w:t>, el plazo para interponer el recurso</w:t>
      </w:r>
      <w:r w:rsidR="00C0095A" w:rsidRPr="00EC69CB">
        <w:rPr>
          <w:rFonts w:ascii="Palatino Linotype" w:eastAsia="Calibri" w:hAnsi="Palatino Linotype" w:cs="Arial"/>
          <w:lang w:val="es-MX" w:eastAsia="en-US"/>
        </w:rPr>
        <w:t xml:space="preserve"> de revisión trascurrió del</w:t>
      </w:r>
      <w:r w:rsidR="00976C25" w:rsidRPr="00EC69CB">
        <w:rPr>
          <w:rFonts w:ascii="Palatino Linotype" w:eastAsia="Calibri" w:hAnsi="Palatino Linotype" w:cs="Arial"/>
          <w:lang w:val="es-MX" w:eastAsia="en-US"/>
        </w:rPr>
        <w:t xml:space="preserve"> cuatro  (04</w:t>
      </w:r>
      <w:r w:rsidRPr="00EC69CB">
        <w:rPr>
          <w:rFonts w:ascii="Palatino Linotype" w:eastAsia="Calibri" w:hAnsi="Palatino Linotype" w:cs="Arial"/>
          <w:lang w:val="es-MX" w:eastAsia="en-US"/>
        </w:rPr>
        <w:t xml:space="preserve">) </w:t>
      </w:r>
      <w:r w:rsidR="002874C3" w:rsidRPr="00EC69CB">
        <w:rPr>
          <w:rFonts w:ascii="Palatino Linotype" w:eastAsia="Calibri" w:hAnsi="Palatino Linotype" w:cs="Arial"/>
          <w:lang w:val="es-MX" w:eastAsia="en-US"/>
        </w:rPr>
        <w:t>de febrero</w:t>
      </w:r>
      <w:r w:rsidR="00C0095A" w:rsidRPr="00EC69CB">
        <w:rPr>
          <w:rFonts w:ascii="Palatino Linotype" w:eastAsia="Calibri" w:hAnsi="Palatino Linotype" w:cs="Arial"/>
          <w:lang w:val="es-MX" w:eastAsia="en-US"/>
        </w:rPr>
        <w:t xml:space="preserve"> </w:t>
      </w:r>
      <w:r w:rsidR="00976C25" w:rsidRPr="00EC69CB">
        <w:rPr>
          <w:rFonts w:ascii="Palatino Linotype" w:eastAsia="Calibri" w:hAnsi="Palatino Linotype" w:cs="Arial"/>
          <w:lang w:val="es-MX" w:eastAsia="en-US"/>
        </w:rPr>
        <w:t>al veinticinco (25</w:t>
      </w:r>
      <w:r w:rsidRPr="00EC69CB">
        <w:rPr>
          <w:rFonts w:ascii="Palatino Linotype" w:eastAsia="Calibri" w:hAnsi="Palatino Linotype" w:cs="Arial"/>
          <w:lang w:val="es-MX" w:eastAsia="en-US"/>
        </w:rPr>
        <w:t>) de febrero de dos mil veintidós, por lo que si el particular interpuso re</w:t>
      </w:r>
      <w:r w:rsidR="00976C25" w:rsidRPr="00EC69CB">
        <w:rPr>
          <w:rFonts w:ascii="Palatino Linotype" w:eastAsia="Calibri" w:hAnsi="Palatino Linotype" w:cs="Arial"/>
          <w:lang w:val="es-MX" w:eastAsia="en-US"/>
        </w:rPr>
        <w:t>curso de revisión el nueve (09</w:t>
      </w:r>
      <w:r w:rsidRPr="00EC69CB">
        <w:rPr>
          <w:rFonts w:ascii="Palatino Linotype" w:eastAsia="Calibri" w:hAnsi="Palatino Linotype" w:cs="Arial"/>
          <w:lang w:val="es-MX" w:eastAsia="en-US"/>
        </w:rPr>
        <w:t xml:space="preserve">) de febrero </w:t>
      </w:r>
      <w:r w:rsidRPr="00EC69CB">
        <w:rPr>
          <w:rFonts w:ascii="Palatino Linotype" w:hAnsi="Palatino Linotype"/>
          <w:lang w:val="es-ES_tradnl"/>
        </w:rPr>
        <w:t xml:space="preserve">se encuentra dentro del periodo establecido por la Ley. </w:t>
      </w:r>
    </w:p>
    <w:p w14:paraId="10F32E5E" w14:textId="77777777" w:rsidR="00CA183E" w:rsidRPr="00EC69CB" w:rsidRDefault="00CA183E" w:rsidP="00CA183E">
      <w:pPr>
        <w:keepNext/>
        <w:keepLines/>
        <w:spacing w:before="240" w:line="360" w:lineRule="auto"/>
        <w:jc w:val="both"/>
        <w:outlineLvl w:val="0"/>
        <w:rPr>
          <w:rFonts w:ascii="Palatino Linotype" w:eastAsiaTheme="majorEastAsia" w:hAnsi="Palatino Linotype" w:cstheme="majorBidi"/>
          <w:b/>
        </w:rPr>
      </w:pPr>
      <w:bookmarkStart w:id="20" w:name="_Toc89170794"/>
      <w:bookmarkStart w:id="21" w:name="_Toc89335547"/>
      <w:bookmarkStart w:id="22" w:name="_Toc89964362"/>
      <w:bookmarkStart w:id="23" w:name="_Toc98350361"/>
      <w:bookmarkStart w:id="24" w:name="_Toc98439406"/>
      <w:r w:rsidRPr="00EC69CB">
        <w:rPr>
          <w:rFonts w:ascii="Palatino Linotype" w:eastAsiaTheme="majorEastAsia" w:hAnsi="Palatino Linotype" w:cstheme="majorBidi"/>
          <w:b/>
        </w:rPr>
        <w:t>II. Del nombre como requisito innecesario para la tramitación del recurso.</w:t>
      </w:r>
      <w:bookmarkEnd w:id="20"/>
      <w:bookmarkEnd w:id="21"/>
      <w:bookmarkEnd w:id="22"/>
      <w:bookmarkEnd w:id="23"/>
      <w:bookmarkEnd w:id="24"/>
      <w:r w:rsidRPr="00EC69CB">
        <w:rPr>
          <w:rFonts w:ascii="Palatino Linotype" w:eastAsiaTheme="majorEastAsia" w:hAnsi="Palatino Linotype" w:cstheme="majorBidi"/>
          <w:b/>
        </w:rPr>
        <w:t xml:space="preserve"> </w:t>
      </w:r>
    </w:p>
    <w:p w14:paraId="5C469487" w14:textId="77777777" w:rsidR="00CA183E" w:rsidRPr="00EC69CB" w:rsidRDefault="00CA183E" w:rsidP="00CA183E">
      <w:pPr>
        <w:tabs>
          <w:tab w:val="left" w:pos="426"/>
        </w:tabs>
        <w:spacing w:line="360" w:lineRule="auto"/>
        <w:ind w:right="49"/>
        <w:contextualSpacing/>
        <w:jc w:val="both"/>
        <w:rPr>
          <w:rFonts w:ascii="Palatino Linotype" w:hAnsi="Palatino Linotype" w:cs="Arial"/>
          <w:b/>
        </w:rPr>
      </w:pPr>
    </w:p>
    <w:p w14:paraId="1ABCEAB8" w14:textId="77777777" w:rsidR="00CA183E" w:rsidRPr="00EC69CB"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EC69CB">
        <w:rPr>
          <w:rFonts w:ascii="Palatino Linotype" w:hAnsi="Palatino Linotype" w:cs="Arial"/>
          <w:bCs/>
          <w:lang w:val="es-ES_tradnl"/>
        </w:rPr>
        <w:t xml:space="preserve">Por </w:t>
      </w:r>
      <w:r w:rsidRPr="00EC69CB">
        <w:rPr>
          <w:rFonts w:ascii="Palatino Linotype" w:hAnsi="Palatino Linotype" w:cs="Arial"/>
          <w:bCs/>
        </w:rPr>
        <w:t xml:space="preserve">otro lado, de la revisión al  expediente electrónico contenido en el sistema </w:t>
      </w:r>
      <w:r w:rsidRPr="00EC69CB">
        <w:rPr>
          <w:rFonts w:ascii="Palatino Linotype" w:hAnsi="Palatino Linotype" w:cs="Arial"/>
          <w:b/>
          <w:bCs/>
        </w:rPr>
        <w:t>SAIMEX,</w:t>
      </w:r>
      <w:r w:rsidRPr="00EC69CB">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EC69CB">
        <w:rPr>
          <w:rFonts w:ascii="Palatino Linotype" w:hAnsi="Palatino Linotype" w:cs="Arial"/>
          <w:b/>
          <w:bCs/>
        </w:rPr>
        <w:t>no señaló su nombre completo, ni se tiene certeza sobre su identidad</w:t>
      </w:r>
      <w:r w:rsidRPr="00EC69CB">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C8548FE" w14:textId="77777777" w:rsidR="00CA183E" w:rsidRPr="00EC69CB" w:rsidRDefault="00CA183E" w:rsidP="00CA183E">
      <w:pPr>
        <w:tabs>
          <w:tab w:val="left" w:pos="426"/>
        </w:tabs>
        <w:spacing w:after="160" w:line="360" w:lineRule="auto"/>
        <w:ind w:right="49"/>
        <w:contextualSpacing/>
        <w:jc w:val="both"/>
        <w:rPr>
          <w:rFonts w:ascii="Palatino Linotype" w:hAnsi="Palatino Linotype" w:cs="Arial"/>
          <w:b/>
          <w:lang w:val="es-ES_tradnl"/>
        </w:rPr>
      </w:pPr>
    </w:p>
    <w:p w14:paraId="004E224D" w14:textId="77777777" w:rsidR="00CA183E" w:rsidRPr="00EC69CB"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EC69CB">
        <w:rPr>
          <w:rFonts w:ascii="Palatino Linotype" w:hAnsi="Palatino Linotype" w:cs="Arial"/>
          <w:bCs/>
        </w:rPr>
        <w:t xml:space="preserve">Esto es así, ya que de conformidad con los artículos 6, apartado A, fracciones III y IV de la </w:t>
      </w:r>
      <w:r w:rsidRPr="00EC69CB">
        <w:rPr>
          <w:rFonts w:ascii="Palatino Linotype" w:hAnsi="Palatino Linotype" w:cs="Arial"/>
          <w:b/>
          <w:bCs/>
        </w:rPr>
        <w:t>Constitución Política de los Estados Unidos Mexicanos</w:t>
      </w:r>
      <w:r w:rsidRPr="00EC69CB">
        <w:rPr>
          <w:rFonts w:ascii="Palatino Linotype" w:hAnsi="Palatino Linotype" w:cs="Arial"/>
          <w:bCs/>
        </w:rPr>
        <w:t xml:space="preserve">; 5, párrafos trigésimo, trigésimo primero y trigésimo segundo, fracciones III, IV y V, de la </w:t>
      </w:r>
      <w:r w:rsidRPr="00EC69CB">
        <w:rPr>
          <w:rFonts w:ascii="Palatino Linotype" w:hAnsi="Palatino Linotype" w:cs="Arial"/>
          <w:b/>
          <w:bCs/>
        </w:rPr>
        <w:t>Constitución Política del Estado Libre y Soberano de México</w:t>
      </w:r>
      <w:r w:rsidRPr="00EC69CB">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w:t>
      </w:r>
      <w:r w:rsidRPr="00EC69CB">
        <w:rPr>
          <w:rFonts w:ascii="Palatino Linotype" w:hAnsi="Palatino Linotype" w:cs="Arial"/>
          <w:bCs/>
        </w:rPr>
        <w:lastRenderedPageBreak/>
        <w:t>de éstos, además de  que se establecerán mecanismos de acceso a la información y procedimientos de revisión expeditos que se sustanciarán ante los organismos autónomos especializados e imparciales que establece la Constitución Federal y Local.</w:t>
      </w:r>
    </w:p>
    <w:p w14:paraId="50869846" w14:textId="77777777" w:rsidR="00CA183E" w:rsidRPr="00EC69CB" w:rsidRDefault="00CA183E" w:rsidP="00CA183E">
      <w:pPr>
        <w:rPr>
          <w:rFonts w:ascii="Palatino Linotype" w:hAnsi="Palatino Linotype" w:cs="Arial"/>
          <w:bCs/>
        </w:rPr>
      </w:pPr>
    </w:p>
    <w:p w14:paraId="568C8707" w14:textId="77777777" w:rsidR="00CA183E" w:rsidRPr="00EC69CB"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EC69CB">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824F859" w14:textId="77777777" w:rsidR="00CA183E" w:rsidRPr="00EC69CB" w:rsidRDefault="00CA183E" w:rsidP="00CA183E">
      <w:pPr>
        <w:tabs>
          <w:tab w:val="left" w:pos="426"/>
        </w:tabs>
        <w:spacing w:line="360" w:lineRule="auto"/>
        <w:ind w:right="49"/>
        <w:contextualSpacing/>
        <w:jc w:val="both"/>
        <w:rPr>
          <w:rFonts w:ascii="Palatino Linotype" w:hAnsi="Palatino Linotype" w:cs="Arial"/>
          <w:b/>
        </w:rPr>
      </w:pPr>
    </w:p>
    <w:p w14:paraId="6D58623E" w14:textId="77777777" w:rsidR="00CA183E" w:rsidRPr="00EC69CB"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EC69CB">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72BDE4A6" w14:textId="77777777" w:rsidR="00CA183E" w:rsidRPr="00EC69CB" w:rsidRDefault="00CA183E" w:rsidP="00CA183E">
      <w:pPr>
        <w:tabs>
          <w:tab w:val="left" w:pos="426"/>
        </w:tabs>
        <w:spacing w:line="360" w:lineRule="auto"/>
        <w:ind w:right="49"/>
        <w:contextualSpacing/>
        <w:jc w:val="both"/>
        <w:rPr>
          <w:rFonts w:ascii="Palatino Linotype" w:hAnsi="Palatino Linotype" w:cs="Arial"/>
          <w:b/>
        </w:rPr>
      </w:pPr>
    </w:p>
    <w:p w14:paraId="79F9A585" w14:textId="77777777" w:rsidR="00CA183E" w:rsidRPr="00EC69CB"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EC69CB">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94FCAD6" w14:textId="77777777" w:rsidR="00CA183E" w:rsidRPr="00EC69CB" w:rsidRDefault="00CA183E" w:rsidP="00CA183E">
      <w:pPr>
        <w:tabs>
          <w:tab w:val="left" w:pos="426"/>
        </w:tabs>
        <w:spacing w:line="360" w:lineRule="auto"/>
        <w:ind w:right="49"/>
        <w:contextualSpacing/>
        <w:jc w:val="both"/>
        <w:rPr>
          <w:rFonts w:ascii="Palatino Linotype" w:hAnsi="Palatino Linotype" w:cs="Arial"/>
          <w:b/>
        </w:rPr>
      </w:pPr>
    </w:p>
    <w:p w14:paraId="052566C3" w14:textId="77777777" w:rsidR="00CA183E" w:rsidRPr="00EC69CB"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EC69CB">
        <w:rPr>
          <w:rFonts w:ascii="Palatino Linotype" w:hAnsi="Palatino Linotype" w:cs="Arial"/>
          <w:bCs/>
        </w:rPr>
        <w:t xml:space="preserve">Por lo tanto, el nombre de la </w:t>
      </w:r>
      <w:r w:rsidRPr="00EC69CB">
        <w:rPr>
          <w:rFonts w:ascii="Palatino Linotype" w:hAnsi="Palatino Linotype" w:cs="Arial"/>
          <w:b/>
          <w:bCs/>
        </w:rPr>
        <w:t>SOLICITANTE</w:t>
      </w:r>
      <w:r w:rsidRPr="00EC69CB">
        <w:rPr>
          <w:rFonts w:ascii="Palatino Linotype" w:hAnsi="Palatino Linotype" w:cs="Arial"/>
          <w:bCs/>
        </w:rPr>
        <w:t xml:space="preserve"> y subsecuente </w:t>
      </w:r>
      <w:r w:rsidRPr="00EC69CB">
        <w:rPr>
          <w:rFonts w:ascii="Palatino Linotype" w:hAnsi="Palatino Linotype" w:cs="Arial"/>
          <w:b/>
          <w:bCs/>
        </w:rPr>
        <w:t>RECURRENTE</w:t>
      </w:r>
      <w:r w:rsidRPr="00EC69CB">
        <w:rPr>
          <w:rFonts w:ascii="Palatino Linotype" w:hAnsi="Palatino Linotype" w:cs="Arial"/>
          <w:bCs/>
        </w:rPr>
        <w:t xml:space="preserve"> no puede ser considerado un requisito indispensable de procedencia del recurso de </w:t>
      </w:r>
      <w:r w:rsidRPr="00EC69CB">
        <w:rPr>
          <w:rFonts w:ascii="Palatino Linotype" w:hAnsi="Palatino Linotype" w:cs="Arial"/>
          <w:bCs/>
        </w:rPr>
        <w:lastRenderedPageBreak/>
        <w:t xml:space="preserve">revisión que nos ocupa, ya que el acceso a la información no está condicionado a acreditar algún interés ya sea jurídico o legítimo, máxime que es un elemento subsanable por este Órgano Garante. </w:t>
      </w:r>
    </w:p>
    <w:p w14:paraId="06E3F36D" w14:textId="1F208DCA" w:rsidR="00CA183E" w:rsidRPr="00EC69CB" w:rsidRDefault="00D62FF1" w:rsidP="00976C25">
      <w:pPr>
        <w:keepNext/>
        <w:keepLines/>
        <w:spacing w:before="240" w:line="360" w:lineRule="auto"/>
        <w:ind w:right="49"/>
        <w:jc w:val="both"/>
        <w:outlineLvl w:val="0"/>
        <w:rPr>
          <w:rFonts w:ascii="Palatino Linotype" w:eastAsia="Calibri" w:hAnsi="Palatino Linotype" w:cs="Arial"/>
        </w:rPr>
      </w:pPr>
      <w:bookmarkStart w:id="25" w:name="_Toc90319523"/>
      <w:bookmarkStart w:id="26" w:name="_Toc98439407"/>
      <w:r w:rsidRPr="00EC69CB">
        <w:rPr>
          <w:rFonts w:ascii="Palatino Linotype" w:eastAsia="Calibri" w:hAnsi="Palatino Linotype"/>
          <w:b/>
        </w:rPr>
        <w:t xml:space="preserve">III. </w:t>
      </w:r>
      <w:bookmarkStart w:id="27" w:name="_Toc89964363"/>
      <w:bookmarkStart w:id="28" w:name="_Toc98350362"/>
      <w:bookmarkStart w:id="29" w:name="_Toc67587987"/>
      <w:bookmarkStart w:id="30" w:name="_Toc68804763"/>
      <w:bookmarkEnd w:id="25"/>
      <w:r w:rsidR="00CA183E" w:rsidRPr="00EC69CB">
        <w:rPr>
          <w:rFonts w:ascii="Palatino Linotype" w:eastAsiaTheme="majorEastAsia" w:hAnsi="Palatino Linotype" w:cstheme="majorBidi"/>
          <w:b/>
          <w:color w:val="000000" w:themeColor="text1"/>
          <w:lang w:val="es-MX" w:eastAsia="en-US"/>
        </w:rPr>
        <w:t>De la determinación sobre la procedibilidad del recurso.</w:t>
      </w:r>
      <w:bookmarkEnd w:id="26"/>
      <w:bookmarkEnd w:id="27"/>
      <w:bookmarkEnd w:id="28"/>
      <w:bookmarkEnd w:id="29"/>
      <w:bookmarkEnd w:id="30"/>
      <w:r w:rsidR="00CA183E" w:rsidRPr="00EC69CB">
        <w:rPr>
          <w:rFonts w:ascii="Palatino Linotype" w:eastAsiaTheme="majorEastAsia" w:hAnsi="Palatino Linotype" w:cstheme="majorBidi"/>
          <w:b/>
          <w:color w:val="000000" w:themeColor="text1"/>
          <w:lang w:val="es-MX" w:eastAsia="en-US"/>
        </w:rPr>
        <w:t xml:space="preserve"> </w:t>
      </w:r>
    </w:p>
    <w:p w14:paraId="71FE52FE" w14:textId="77777777" w:rsidR="00CA183E" w:rsidRPr="00EC69CB" w:rsidRDefault="00CA183E" w:rsidP="00CA183E">
      <w:pPr>
        <w:spacing w:line="360" w:lineRule="auto"/>
        <w:rPr>
          <w:rFonts w:ascii="Palatino Linotype" w:hAnsi="Palatino Linotype"/>
          <w:lang w:val="es-MX" w:eastAsia="en-US"/>
        </w:rPr>
      </w:pPr>
    </w:p>
    <w:p w14:paraId="78993703" w14:textId="7678697E" w:rsidR="002C7E93" w:rsidRPr="00EC69CB" w:rsidRDefault="00CA183E" w:rsidP="00640BE1">
      <w:pPr>
        <w:numPr>
          <w:ilvl w:val="0"/>
          <w:numId w:val="3"/>
        </w:numPr>
        <w:spacing w:after="160" w:line="360" w:lineRule="auto"/>
        <w:ind w:left="0" w:right="49" w:firstLine="0"/>
        <w:contextualSpacing/>
        <w:jc w:val="both"/>
        <w:rPr>
          <w:rFonts w:ascii="Palatino Linotype" w:hAnsi="Palatino Linotype"/>
          <w:lang w:val="es-ES_tradnl"/>
        </w:rPr>
      </w:pPr>
      <w:r w:rsidRPr="00EC69CB">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6E487CA" w14:textId="77777777" w:rsidR="002F78A1" w:rsidRPr="00EC69CB" w:rsidRDefault="002F78A1" w:rsidP="002F78A1">
      <w:pPr>
        <w:spacing w:after="160" w:line="360" w:lineRule="auto"/>
        <w:ind w:right="49"/>
        <w:contextualSpacing/>
        <w:jc w:val="both"/>
        <w:rPr>
          <w:rFonts w:ascii="Palatino Linotype" w:eastAsia="Calibri" w:hAnsi="Palatino Linotype" w:cs="Arial"/>
          <w:lang w:val="es-ES_tradnl"/>
        </w:rPr>
      </w:pPr>
    </w:p>
    <w:p w14:paraId="39547E60" w14:textId="77777777" w:rsidR="00976C25" w:rsidRPr="00EC69CB" w:rsidRDefault="00976C25" w:rsidP="00976C25">
      <w:pPr>
        <w:keepNext/>
        <w:keepLines/>
        <w:spacing w:before="240" w:line="259" w:lineRule="auto"/>
        <w:jc w:val="both"/>
        <w:outlineLvl w:val="0"/>
        <w:rPr>
          <w:rFonts w:ascii="Palatino Linotype" w:eastAsia="MS Gothic" w:hAnsi="Palatino Linotype"/>
          <w:b/>
          <w:color w:val="000000"/>
          <w:lang w:val="es-ES_tradnl"/>
        </w:rPr>
      </w:pPr>
      <w:bookmarkStart w:id="31" w:name="_Toc63348474"/>
      <w:bookmarkStart w:id="32" w:name="_Toc67587988"/>
      <w:bookmarkStart w:id="33" w:name="_Toc68804764"/>
      <w:bookmarkStart w:id="34" w:name="_Toc80958959"/>
      <w:bookmarkStart w:id="35" w:name="_Toc97833530"/>
      <w:bookmarkStart w:id="36" w:name="_Toc98439408"/>
      <w:r w:rsidRPr="00EC69CB">
        <w:rPr>
          <w:rFonts w:ascii="Palatino Linotype" w:eastAsia="MS Gothic" w:hAnsi="Palatino Linotype"/>
          <w:b/>
          <w:lang w:val="es-ES_tradnl"/>
        </w:rPr>
        <w:t>TERCERO.</w:t>
      </w:r>
      <w:bookmarkStart w:id="37" w:name="_Toc67587990"/>
      <w:bookmarkStart w:id="38" w:name="_Toc68804766"/>
      <w:bookmarkStart w:id="39" w:name="_Toc455991148"/>
      <w:bookmarkStart w:id="40" w:name="_Toc450120669"/>
      <w:bookmarkStart w:id="41" w:name="_Toc461555896"/>
      <w:bookmarkStart w:id="42" w:name="_Toc462154385"/>
      <w:bookmarkStart w:id="43" w:name="_Toc462660376"/>
      <w:bookmarkStart w:id="44" w:name="_Toc462660687"/>
      <w:bookmarkStart w:id="45" w:name="_Toc462660766"/>
      <w:bookmarkStart w:id="46" w:name="_Toc465264624"/>
      <w:bookmarkStart w:id="47" w:name="_Toc465264870"/>
      <w:bookmarkStart w:id="48" w:name="_Toc465266520"/>
      <w:bookmarkStart w:id="49" w:name="_Toc466302258"/>
      <w:bookmarkStart w:id="50" w:name="_Toc466371866"/>
      <w:bookmarkStart w:id="51" w:name="_Toc466371925"/>
      <w:bookmarkStart w:id="52" w:name="_Toc466377654"/>
      <w:bookmarkStart w:id="53" w:name="_Toc478549736"/>
      <w:bookmarkStart w:id="54" w:name="_Toc478572850"/>
      <w:bookmarkStart w:id="55" w:name="_Toc479238537"/>
      <w:bookmarkEnd w:id="31"/>
      <w:bookmarkEnd w:id="32"/>
      <w:bookmarkEnd w:id="33"/>
      <w:r w:rsidRPr="00EC69CB">
        <w:rPr>
          <w:rFonts w:ascii="Palatino Linotype" w:eastAsia="MS Gothic" w:hAnsi="Palatino Linotype"/>
          <w:b/>
          <w:lang w:val="es-ES_tradnl"/>
        </w:rPr>
        <w:t xml:space="preserve"> Del planteamiento de la </w:t>
      </w:r>
      <w:r w:rsidRPr="00EC69CB">
        <w:rPr>
          <w:rFonts w:ascii="Palatino Linotype" w:eastAsia="MS Gothic" w:hAnsi="Palatino Linotype"/>
          <w:b/>
          <w:i/>
          <w:lang w:val="es-ES_tradnl"/>
        </w:rPr>
        <w:t>Litis.</w:t>
      </w:r>
      <w:bookmarkEnd w:id="34"/>
      <w:bookmarkEnd w:id="35"/>
      <w:bookmarkEnd w:id="36"/>
      <w:bookmarkEnd w:id="37"/>
      <w:bookmarkEnd w:id="38"/>
    </w:p>
    <w:p w14:paraId="79810616" w14:textId="77777777" w:rsidR="00976C25" w:rsidRPr="00EC69CB" w:rsidRDefault="00976C25" w:rsidP="00976C25">
      <w:pPr>
        <w:keepNext/>
        <w:keepLines/>
        <w:spacing w:line="360" w:lineRule="auto"/>
        <w:jc w:val="both"/>
        <w:outlineLvl w:val="0"/>
        <w:rPr>
          <w:rFonts w:ascii="Palatino Linotype" w:eastAsia="MS Gothic" w:hAnsi="Palatino Linotype"/>
          <w:b/>
          <w:i/>
          <w:color w:val="000000"/>
          <w:lang w:val="es-ES_tradnl"/>
        </w:rPr>
      </w:pPr>
    </w:p>
    <w:p w14:paraId="65D36955" w14:textId="77777777" w:rsidR="00976C25" w:rsidRPr="00EC69CB" w:rsidRDefault="00976C25" w:rsidP="00640BE1">
      <w:pPr>
        <w:numPr>
          <w:ilvl w:val="0"/>
          <w:numId w:val="3"/>
        </w:numPr>
        <w:spacing w:after="160" w:line="360" w:lineRule="auto"/>
        <w:ind w:left="0" w:firstLine="0"/>
        <w:contextualSpacing/>
        <w:jc w:val="both"/>
        <w:rPr>
          <w:rFonts w:ascii="Palatino Linotype" w:hAnsi="Palatino Linotype"/>
          <w:i/>
          <w:lang w:val="es-ES_tradnl"/>
        </w:rPr>
      </w:pPr>
      <w:r w:rsidRPr="00EC69CB">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EC69CB">
        <w:rPr>
          <w:rFonts w:ascii="Palatino Linotype" w:eastAsia="Calibri" w:hAnsi="Palatino Linotype" w:cs="Arial"/>
        </w:rPr>
        <w:t>Ley de Transparencia y Acceso a la Información Pública del Estado de México y Municipios</w:t>
      </w:r>
      <w:r w:rsidRPr="00EC69CB">
        <w:rPr>
          <w:rFonts w:ascii="Palatino Linotype" w:hAnsi="Palatino Linotype" w:cs="Arial"/>
          <w:lang w:val="es-ES_tradnl"/>
        </w:rPr>
        <w:t xml:space="preserve"> y determinar la confirmación; revocación o modificación; desechamiento o sobreseimiento; y en su caso ordenar la entrega de la información, respecto a las respuestas o falta de ellas de los Sujetos Obligados. </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7A7CDF15" w14:textId="77777777" w:rsidR="00976C25" w:rsidRPr="00EC69CB" w:rsidRDefault="00976C25" w:rsidP="00976C25">
      <w:pPr>
        <w:spacing w:line="360" w:lineRule="auto"/>
        <w:contextualSpacing/>
        <w:jc w:val="both"/>
        <w:rPr>
          <w:rFonts w:ascii="Palatino Linotype" w:hAnsi="Palatino Linotype"/>
          <w:i/>
          <w:lang w:val="es-ES_tradnl"/>
        </w:rPr>
      </w:pPr>
    </w:p>
    <w:p w14:paraId="2387167A" w14:textId="42FFAD59" w:rsidR="00976C25" w:rsidRPr="00EC69CB" w:rsidRDefault="00976C25" w:rsidP="00640BE1">
      <w:pPr>
        <w:numPr>
          <w:ilvl w:val="0"/>
          <w:numId w:val="3"/>
        </w:numPr>
        <w:spacing w:after="160" w:line="360" w:lineRule="auto"/>
        <w:ind w:left="0" w:firstLine="0"/>
        <w:contextualSpacing/>
        <w:jc w:val="both"/>
        <w:rPr>
          <w:rFonts w:ascii="Palatino Linotype" w:hAnsi="Palatino Linotype"/>
          <w:i/>
          <w:lang w:val="es-ES_tradnl"/>
        </w:rPr>
      </w:pPr>
      <w:r w:rsidRPr="00EC69CB">
        <w:rPr>
          <w:rFonts w:ascii="Palatino Linotype" w:eastAsia="MS Mincho" w:hAnsi="Palatino Linotype"/>
          <w:lang w:val="es-ES_tradnl"/>
        </w:rPr>
        <w:t xml:space="preserve">De las constancias en el expediente al rubro indicado, se desprende que el particular solicitó acceso a información relacionada los informes emitidos al Orégano Superior de Fiscalización </w:t>
      </w:r>
      <w:r w:rsidR="00450E50" w:rsidRPr="00EC69CB">
        <w:rPr>
          <w:rFonts w:ascii="Palatino Linotype" w:eastAsia="MS Mincho" w:hAnsi="Palatino Linotype"/>
          <w:lang w:val="es-ES_tradnl"/>
        </w:rPr>
        <w:t>de los meses de octubre, noviembre y diciembre de 2021 y enero de 2022</w:t>
      </w:r>
      <w:r w:rsidRPr="00EC69CB">
        <w:rPr>
          <w:rFonts w:ascii="Palatino Linotype" w:eastAsia="MS Mincho" w:hAnsi="Palatino Linotype"/>
          <w:lang w:val="es-ES_tradnl"/>
        </w:rPr>
        <w:t>, requerimientos, al que se respondió a través del</w:t>
      </w:r>
      <w:r w:rsidR="00450E50" w:rsidRPr="00EC69CB">
        <w:rPr>
          <w:rFonts w:ascii="Palatino Linotype" w:eastAsia="MS Mincho" w:hAnsi="Palatino Linotype"/>
          <w:lang w:val="es-ES_tradnl"/>
        </w:rPr>
        <w:t xml:space="preserve"> Tesorero </w:t>
      </w:r>
      <w:r w:rsidR="00450E50" w:rsidRPr="00EC69CB">
        <w:rPr>
          <w:rFonts w:ascii="Palatino Linotype" w:eastAsia="MS Mincho" w:hAnsi="Palatino Linotype"/>
          <w:lang w:val="es-ES_tradnl"/>
        </w:rPr>
        <w:lastRenderedPageBreak/>
        <w:t xml:space="preserve">Municipal, refiriendo que dicha información aun no era remitida al Órgano Fiscalización. </w:t>
      </w:r>
    </w:p>
    <w:p w14:paraId="107604E3" w14:textId="77777777" w:rsidR="00976C25" w:rsidRPr="00EC69CB" w:rsidRDefault="00976C25" w:rsidP="00976C25">
      <w:pPr>
        <w:jc w:val="both"/>
        <w:rPr>
          <w:rFonts w:ascii="Palatino Linotype" w:eastAsia="MS Mincho" w:hAnsi="Palatino Linotype"/>
          <w:lang w:val="es-ES_tradnl"/>
        </w:rPr>
      </w:pPr>
    </w:p>
    <w:p w14:paraId="1AA645A5" w14:textId="578FC25B" w:rsidR="00976C25" w:rsidRPr="00EC69CB" w:rsidRDefault="00976C25" w:rsidP="00640BE1">
      <w:pPr>
        <w:numPr>
          <w:ilvl w:val="0"/>
          <w:numId w:val="3"/>
        </w:numPr>
        <w:spacing w:after="160" w:line="360" w:lineRule="auto"/>
        <w:ind w:left="0" w:firstLine="0"/>
        <w:contextualSpacing/>
        <w:jc w:val="both"/>
        <w:rPr>
          <w:rFonts w:ascii="Palatino Linotype" w:hAnsi="Palatino Linotype"/>
          <w:i/>
          <w:lang w:val="es-ES_tradnl"/>
        </w:rPr>
      </w:pPr>
      <w:r w:rsidRPr="00EC69CB">
        <w:rPr>
          <w:rFonts w:ascii="Palatino Linotype" w:eastAsia="MS Mincho" w:hAnsi="Palatino Linotype"/>
          <w:lang w:val="es-ES_tradnl"/>
        </w:rPr>
        <w:t xml:space="preserve">En ese sentido, el agravio del recurrente consiste en que la respuesta proporcionada por el </w:t>
      </w:r>
      <w:r w:rsidRPr="00EC69CB">
        <w:rPr>
          <w:rFonts w:ascii="Palatino Linotype" w:eastAsia="MS Mincho" w:hAnsi="Palatino Linotype"/>
          <w:b/>
          <w:lang w:val="es-ES_tradnl"/>
        </w:rPr>
        <w:t>SUJETO OBLIGADO</w:t>
      </w:r>
      <w:r w:rsidRPr="00EC69CB">
        <w:rPr>
          <w:rFonts w:ascii="Palatino Linotype" w:eastAsia="MS Mincho" w:hAnsi="Palatino Linotype"/>
          <w:lang w:val="es-ES_tradnl"/>
        </w:rPr>
        <w:t xml:space="preserve"> no garantizó el principio contenido en el artículo 11 de la Ley de Transparencia y Acceso a la Información Pública del Estado de México y Municipios, el cual señala que en la generación, publicación y entrega de información se deberá garantizar que sea </w:t>
      </w:r>
      <w:r w:rsidR="00450E50" w:rsidRPr="00EC69CB">
        <w:rPr>
          <w:rFonts w:ascii="Palatino Linotype" w:eastAsia="MS Mincho" w:hAnsi="Palatino Linotype"/>
          <w:lang w:val="es-ES_tradnl"/>
        </w:rPr>
        <w:t xml:space="preserve">congruente y confiable. </w:t>
      </w:r>
    </w:p>
    <w:p w14:paraId="77CA81DC" w14:textId="77777777" w:rsidR="00976C25" w:rsidRPr="00EC69CB" w:rsidRDefault="00976C25" w:rsidP="00976C25">
      <w:pPr>
        <w:contextualSpacing/>
        <w:jc w:val="both"/>
        <w:rPr>
          <w:rFonts w:ascii="Palatino Linotype" w:eastAsia="MS Mincho" w:hAnsi="Palatino Linotype"/>
          <w:lang w:val="es-ES_tradnl"/>
        </w:rPr>
      </w:pPr>
    </w:p>
    <w:p w14:paraId="2EE4DA98" w14:textId="530AD0A7" w:rsidR="00976C25" w:rsidRPr="00EC69CB" w:rsidRDefault="00976C25" w:rsidP="00640BE1">
      <w:pPr>
        <w:numPr>
          <w:ilvl w:val="0"/>
          <w:numId w:val="3"/>
        </w:numPr>
        <w:spacing w:after="160" w:line="360" w:lineRule="auto"/>
        <w:ind w:left="0" w:firstLine="0"/>
        <w:contextualSpacing/>
        <w:jc w:val="both"/>
        <w:rPr>
          <w:rFonts w:ascii="Palatino Linotype" w:hAnsi="Palatino Linotype"/>
          <w:i/>
          <w:lang w:val="es-ES_tradnl"/>
        </w:rPr>
      </w:pPr>
      <w:r w:rsidRPr="00EC69CB">
        <w:rPr>
          <w:rFonts w:ascii="Palatino Linotype" w:eastAsia="MS Mincho" w:hAnsi="Palatino Linotype"/>
          <w:lang w:val="es-ES_tradnl"/>
        </w:rPr>
        <w:t xml:space="preserve">Por lo que de este modo, el presente recurso de revisión se circunscribe a determinar si el </w:t>
      </w:r>
      <w:r w:rsidRPr="00EC69CB">
        <w:rPr>
          <w:rFonts w:ascii="Palatino Linotype" w:eastAsia="MS Mincho" w:hAnsi="Palatino Linotype"/>
          <w:b/>
          <w:lang w:val="es-ES_tradnl"/>
        </w:rPr>
        <w:t>SUJETO OBLIGADO</w:t>
      </w:r>
      <w:r w:rsidRPr="00EC69CB">
        <w:rPr>
          <w:rFonts w:ascii="Palatino Linotype" w:eastAsia="MS Mincho" w:hAnsi="Palatino Linotype"/>
          <w:lang w:val="es-ES_tradnl"/>
        </w:rPr>
        <w:t xml:space="preserve"> con las manifestaciones realizadas, vulnera el derecho de acceso a la información accionado por el particular actualizando las causales de procedencia previstas en el artículo 179 fracción</w:t>
      </w:r>
      <w:r w:rsidR="00450E50" w:rsidRPr="00EC69CB">
        <w:rPr>
          <w:rFonts w:ascii="Palatino Linotype" w:eastAsia="MS Mincho" w:hAnsi="Palatino Linotype"/>
          <w:lang w:val="es-ES_tradnl"/>
        </w:rPr>
        <w:t xml:space="preserve"> VI y XIII</w:t>
      </w:r>
      <w:r w:rsidRPr="00EC69CB">
        <w:rPr>
          <w:rFonts w:ascii="Palatino Linotype" w:eastAsia="MS Mincho" w:hAnsi="Palatino Linotype"/>
          <w:vertAlign w:val="superscript"/>
          <w:lang w:val="es-ES_tradnl"/>
        </w:rPr>
        <w:footnoteReference w:id="1"/>
      </w:r>
      <w:r w:rsidRPr="00EC69CB">
        <w:rPr>
          <w:rFonts w:ascii="Palatino Linotype" w:eastAsia="MS Mincho" w:hAnsi="Palatino Linotype"/>
          <w:lang w:val="es-ES_tradnl"/>
        </w:rPr>
        <w:t xml:space="preserve"> de la Ley de Transparencia y Acceso a la Información del Estado de México y Municipios.</w:t>
      </w:r>
    </w:p>
    <w:p w14:paraId="1CA2D4DC" w14:textId="77777777" w:rsidR="00976C25" w:rsidRPr="00EC69CB" w:rsidRDefault="00976C25" w:rsidP="00976C25">
      <w:pPr>
        <w:keepNext/>
        <w:keepLines/>
        <w:spacing w:before="240" w:line="259" w:lineRule="auto"/>
        <w:jc w:val="both"/>
        <w:outlineLvl w:val="0"/>
        <w:rPr>
          <w:rFonts w:ascii="Palatino Linotype" w:eastAsia="MS Mincho" w:hAnsi="Palatino Linotype"/>
          <w:color w:val="2F5496"/>
          <w:lang w:val="es-ES_tradnl"/>
        </w:rPr>
      </w:pPr>
      <w:bookmarkStart w:id="56" w:name="_Toc68804767"/>
      <w:bookmarkStart w:id="57" w:name="_Toc459174366"/>
      <w:bookmarkStart w:id="58" w:name="_Toc459659884"/>
      <w:bookmarkStart w:id="59" w:name="_Toc461687280"/>
      <w:bookmarkStart w:id="60" w:name="_Toc462771051"/>
      <w:bookmarkStart w:id="61" w:name="_Toc464139201"/>
    </w:p>
    <w:p w14:paraId="2DCCB505" w14:textId="77777777" w:rsidR="00976C25" w:rsidRPr="00EC69CB" w:rsidRDefault="00976C25" w:rsidP="00976C25">
      <w:pPr>
        <w:keepNext/>
        <w:keepLines/>
        <w:spacing w:before="240" w:line="259" w:lineRule="auto"/>
        <w:jc w:val="both"/>
        <w:outlineLvl w:val="0"/>
        <w:rPr>
          <w:rFonts w:ascii="Palatino Linotype" w:eastAsia="MS Mincho" w:hAnsi="Palatino Linotype" w:cs="Arial"/>
          <w:b/>
          <w:color w:val="000000"/>
          <w:lang w:val="es-ES_tradnl"/>
        </w:rPr>
      </w:pPr>
      <w:bookmarkStart w:id="62" w:name="_Toc80958960"/>
      <w:bookmarkStart w:id="63" w:name="_Toc97833531"/>
      <w:bookmarkStart w:id="64" w:name="_Toc98439409"/>
      <w:r w:rsidRPr="00EC69CB">
        <w:rPr>
          <w:rFonts w:ascii="Palatino Linotype" w:eastAsia="MS Mincho" w:hAnsi="Palatino Linotype" w:cs="Arial"/>
          <w:b/>
          <w:color w:val="000000"/>
          <w:lang w:val="es-ES_tradnl"/>
        </w:rPr>
        <w:t>CUARTO. Estudio y Resolución del asunto.</w:t>
      </w:r>
      <w:bookmarkEnd w:id="56"/>
      <w:bookmarkEnd w:id="62"/>
      <w:bookmarkEnd w:id="63"/>
      <w:bookmarkEnd w:id="64"/>
    </w:p>
    <w:p w14:paraId="21494407" w14:textId="77777777" w:rsidR="00976C25" w:rsidRPr="00EC69CB" w:rsidRDefault="00976C25" w:rsidP="00976C25">
      <w:pPr>
        <w:spacing w:line="360" w:lineRule="auto"/>
        <w:contextualSpacing/>
        <w:jc w:val="both"/>
        <w:rPr>
          <w:rFonts w:ascii="Palatino Linotype" w:eastAsia="MS Mincho" w:hAnsi="Palatino Linotype" w:cs="Arial"/>
          <w:b/>
          <w:color w:val="000000"/>
          <w:lang w:val="es-ES_tradnl"/>
        </w:rPr>
      </w:pPr>
    </w:p>
    <w:p w14:paraId="12C397C3" w14:textId="77777777" w:rsidR="00976C25" w:rsidRPr="00EC69CB" w:rsidRDefault="00976C25" w:rsidP="00640BE1">
      <w:pPr>
        <w:keepNext/>
        <w:keepLines/>
        <w:numPr>
          <w:ilvl w:val="0"/>
          <w:numId w:val="6"/>
        </w:numPr>
        <w:spacing w:before="240" w:after="160" w:line="360" w:lineRule="auto"/>
        <w:ind w:left="0" w:firstLine="0"/>
        <w:jc w:val="both"/>
        <w:outlineLvl w:val="0"/>
        <w:rPr>
          <w:rFonts w:ascii="Palatino Linotype" w:eastAsia="MS Gothic" w:hAnsi="Palatino Linotype"/>
          <w:b/>
          <w:lang w:val="es-ES_tradnl"/>
        </w:rPr>
      </w:pPr>
      <w:bookmarkStart w:id="65" w:name="_Toc80958961"/>
      <w:bookmarkStart w:id="66" w:name="_Toc97833532"/>
      <w:bookmarkStart w:id="67" w:name="_Toc98438628"/>
      <w:bookmarkStart w:id="68" w:name="_Toc98439410"/>
      <w:r w:rsidRPr="00EC69CB">
        <w:rPr>
          <w:rFonts w:ascii="Palatino Linotype" w:eastAsia="MS Gothic" w:hAnsi="Palatino Linotype"/>
          <w:b/>
          <w:lang w:val="es-ES_tradnl"/>
        </w:rPr>
        <w:lastRenderedPageBreak/>
        <w:t xml:space="preserve">De la respuesta a la solicitud de información </w:t>
      </w:r>
      <w:bookmarkEnd w:id="65"/>
      <w:r w:rsidRPr="00EC69CB">
        <w:rPr>
          <w:rFonts w:ascii="Palatino Linotype" w:eastAsia="MS Gothic" w:hAnsi="Palatino Linotype"/>
          <w:b/>
          <w:lang w:val="es-ES_tradnl"/>
        </w:rPr>
        <w:t>y los motivos de inconformidad aducidos por la parte recurrente.</w:t>
      </w:r>
      <w:bookmarkEnd w:id="66"/>
      <w:bookmarkEnd w:id="67"/>
      <w:bookmarkEnd w:id="68"/>
      <w:r w:rsidRPr="00EC69CB">
        <w:rPr>
          <w:rFonts w:ascii="Palatino Linotype" w:eastAsia="MS Gothic" w:hAnsi="Palatino Linotype"/>
          <w:b/>
          <w:lang w:val="es-ES_tradnl"/>
        </w:rPr>
        <w:t xml:space="preserve"> </w:t>
      </w:r>
    </w:p>
    <w:p w14:paraId="74A1D7CC" w14:textId="77777777" w:rsidR="00976C25" w:rsidRPr="00EC69CB" w:rsidRDefault="00976C25" w:rsidP="00976C25">
      <w:pPr>
        <w:keepNext/>
        <w:keepLines/>
        <w:spacing w:line="259" w:lineRule="auto"/>
        <w:jc w:val="both"/>
        <w:outlineLvl w:val="0"/>
        <w:rPr>
          <w:rFonts w:ascii="Palatino Linotype" w:eastAsia="MS Gothic" w:hAnsi="Palatino Linotype"/>
          <w:b/>
          <w:lang w:val="es-ES_tradnl"/>
        </w:rPr>
      </w:pPr>
    </w:p>
    <w:p w14:paraId="67F2D891" w14:textId="5870803D" w:rsidR="00976C25" w:rsidRPr="00EC69CB" w:rsidRDefault="00976C25" w:rsidP="00640BE1">
      <w:pPr>
        <w:numPr>
          <w:ilvl w:val="0"/>
          <w:numId w:val="3"/>
        </w:numPr>
        <w:spacing w:after="160" w:line="360" w:lineRule="auto"/>
        <w:ind w:left="0" w:firstLine="0"/>
        <w:contextualSpacing/>
        <w:jc w:val="both"/>
        <w:rPr>
          <w:rFonts w:ascii="Palatino Linotype" w:eastAsia="MS Mincho" w:hAnsi="Palatino Linotype" w:cs="Arial"/>
          <w:i/>
          <w:lang w:val="es-MX"/>
        </w:rPr>
      </w:pPr>
      <w:r w:rsidRPr="00EC69CB">
        <w:rPr>
          <w:rFonts w:ascii="Palatino Linotype" w:eastAsia="MS Mincho" w:hAnsi="Palatino Linotype" w:cs="Arial"/>
          <w:lang w:val="es-MX"/>
        </w:rPr>
        <w:t xml:space="preserve">Como ya fuera expuesto en el apartado de </w:t>
      </w:r>
      <w:r w:rsidRPr="00EC69CB">
        <w:rPr>
          <w:rFonts w:ascii="Palatino Linotype" w:eastAsia="MS Mincho" w:hAnsi="Palatino Linotype" w:cs="Arial"/>
          <w:i/>
          <w:lang w:val="es-MX"/>
        </w:rPr>
        <w:t>Antecedentes</w:t>
      </w:r>
      <w:r w:rsidRPr="00EC69CB">
        <w:rPr>
          <w:rFonts w:ascii="Palatino Linotype" w:eastAsia="MS Mincho" w:hAnsi="Palatino Linotype" w:cs="Arial"/>
          <w:lang w:val="es-MX"/>
        </w:rPr>
        <w:t xml:space="preserve"> de la presente resolución, el particular solicitó al </w:t>
      </w:r>
      <w:r w:rsidR="00450E50" w:rsidRPr="00EC69CB">
        <w:rPr>
          <w:rFonts w:ascii="Palatino Linotype" w:eastAsia="MS Mincho" w:hAnsi="Palatino Linotype" w:cs="Arial"/>
          <w:lang w:val="es-MX"/>
        </w:rPr>
        <w:t>Ayuntamiento de Tultepec</w:t>
      </w:r>
      <w:r w:rsidRPr="00EC69CB">
        <w:rPr>
          <w:rFonts w:ascii="Palatino Linotype" w:eastAsia="MS Mincho" w:hAnsi="Palatino Linotype" w:cs="Arial"/>
          <w:lang w:val="es-MX"/>
        </w:rPr>
        <w:t xml:space="preserve"> acceso a los</w:t>
      </w:r>
      <w:r w:rsidR="00450E50" w:rsidRPr="00EC69CB">
        <w:rPr>
          <w:rFonts w:ascii="Palatino Linotype" w:eastAsia="MS Mincho" w:hAnsi="Palatino Linotype" w:cs="Arial"/>
          <w:lang w:val="es-MX"/>
        </w:rPr>
        <w:t xml:space="preserve"> informes correspondientes a los meses de octubre, noviembre y diciembre, así como el disco 4 del mes de enero de dos mil veintidós. </w:t>
      </w:r>
    </w:p>
    <w:p w14:paraId="290267A9" w14:textId="77777777" w:rsidR="00976C25" w:rsidRPr="00EC69CB" w:rsidRDefault="00976C25" w:rsidP="00976C25">
      <w:pPr>
        <w:ind w:left="708"/>
        <w:rPr>
          <w:rFonts w:ascii="Palatino Linotype" w:hAnsi="Palatino Linotype" w:cs="Arial"/>
          <w:lang w:val="es-MX"/>
        </w:rPr>
      </w:pPr>
    </w:p>
    <w:p w14:paraId="77B29092" w14:textId="77777777" w:rsidR="00976C25" w:rsidRPr="00EC69CB" w:rsidRDefault="00976C25" w:rsidP="00976C25">
      <w:pPr>
        <w:tabs>
          <w:tab w:val="left" w:pos="426"/>
        </w:tabs>
        <w:spacing w:line="360" w:lineRule="auto"/>
        <w:ind w:right="51"/>
        <w:contextualSpacing/>
        <w:jc w:val="both"/>
        <w:outlineLvl w:val="2"/>
        <w:rPr>
          <w:rFonts w:ascii="Palatino Linotype" w:eastAsia="MS Mincho" w:hAnsi="Palatino Linotype"/>
          <w:b/>
          <w:bCs/>
          <w:color w:val="000000"/>
          <w:lang w:val="es-ES_tradnl"/>
        </w:rPr>
      </w:pPr>
      <w:bookmarkStart w:id="69" w:name="_Toc466371865"/>
      <w:bookmarkStart w:id="70" w:name="_Toc466377653"/>
      <w:bookmarkEnd w:id="57"/>
      <w:bookmarkEnd w:id="58"/>
      <w:bookmarkEnd w:id="59"/>
      <w:bookmarkEnd w:id="60"/>
      <w:bookmarkEnd w:id="61"/>
    </w:p>
    <w:p w14:paraId="74F77746" w14:textId="10E49AB5" w:rsidR="004F36DB" w:rsidRPr="00EC69CB" w:rsidRDefault="00450E50" w:rsidP="00640BE1">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EC69CB">
        <w:rPr>
          <w:rFonts w:ascii="Palatino Linotype" w:eastAsia="MS Mincho" w:hAnsi="Palatino Linotype"/>
          <w:color w:val="000000"/>
          <w:lang w:val="es-ES_tradnl"/>
        </w:rPr>
        <w:t>Consecuentemente y c</w:t>
      </w:r>
      <w:r w:rsidR="00976C25" w:rsidRPr="00EC69CB">
        <w:rPr>
          <w:rFonts w:ascii="Palatino Linotype" w:eastAsia="MS Mincho" w:hAnsi="Palatino Linotype"/>
          <w:color w:val="000000"/>
          <w:lang w:val="es-ES_tradnl"/>
        </w:rPr>
        <w:t xml:space="preserve">omo ha sido expuesto, el </w:t>
      </w:r>
      <w:r w:rsidR="00976C25" w:rsidRPr="00EC69CB">
        <w:rPr>
          <w:rFonts w:ascii="Palatino Linotype" w:eastAsia="MS Mincho" w:hAnsi="Palatino Linotype"/>
          <w:b/>
          <w:color w:val="000000"/>
          <w:lang w:val="es-ES_tradnl"/>
        </w:rPr>
        <w:t>SUJETO OBLIGADO</w:t>
      </w:r>
      <w:r w:rsidR="00976C25" w:rsidRPr="00EC69CB">
        <w:rPr>
          <w:rFonts w:ascii="Palatino Linotype" w:eastAsia="MS Mincho" w:hAnsi="Palatino Linotype"/>
          <w:color w:val="000000"/>
          <w:lang w:val="es-ES_tradnl"/>
        </w:rPr>
        <w:t xml:space="preserve">, a través de su respuesta, comunicó al </w:t>
      </w:r>
      <w:r w:rsidR="00976C25" w:rsidRPr="00EC69CB">
        <w:rPr>
          <w:rFonts w:ascii="Palatino Linotype" w:eastAsia="MS Mincho" w:hAnsi="Palatino Linotype"/>
          <w:b/>
          <w:color w:val="000000"/>
          <w:lang w:val="es-ES_tradnl"/>
        </w:rPr>
        <w:t>RECURRENTE</w:t>
      </w:r>
      <w:r w:rsidR="00976C25" w:rsidRPr="00EC69CB">
        <w:rPr>
          <w:rFonts w:ascii="Palatino Linotype" w:eastAsia="MS Mincho" w:hAnsi="Palatino Linotype"/>
          <w:color w:val="000000"/>
          <w:lang w:val="es-ES_tradnl"/>
        </w:rPr>
        <w:t xml:space="preserve"> a través del </w:t>
      </w:r>
      <w:r w:rsidRPr="00EC69CB">
        <w:rPr>
          <w:rFonts w:ascii="Palatino Linotype" w:eastAsia="MS Mincho" w:hAnsi="Palatino Linotype"/>
          <w:color w:val="000000"/>
          <w:lang w:val="es-ES_tradnl"/>
        </w:rPr>
        <w:t>Tesorero Municipal que a la fecha en que se había realizado la solicitud de información no se habían presentado los informes solicitados</w:t>
      </w:r>
      <w:r w:rsidR="00976C25" w:rsidRPr="00EC69CB">
        <w:rPr>
          <w:rFonts w:ascii="Palatino Linotype" w:eastAsia="MS Mincho" w:hAnsi="Palatino Linotype"/>
          <w:color w:val="000000"/>
          <w:lang w:val="es-ES_tradnl"/>
        </w:rPr>
        <w:t>, no obstante</w:t>
      </w:r>
      <w:r w:rsidR="00976C25" w:rsidRPr="00EC69CB">
        <w:rPr>
          <w:rFonts w:ascii="Palatino Linotype" w:eastAsia="MS Mincho" w:hAnsi="Palatino Linotype" w:cs="Arial"/>
          <w:lang w:val="es-ES_tradnl"/>
        </w:rPr>
        <w:t>, con la finalidad de otorgar una mayor certidumbre al particular, se procede a delimitar la esfera de competencia y atribuciones del</w:t>
      </w:r>
      <w:r w:rsidR="00976C25" w:rsidRPr="00EC69CB">
        <w:rPr>
          <w:rFonts w:ascii="Palatino Linotype" w:eastAsia="MS Mincho" w:hAnsi="Palatino Linotype" w:cs="Arial"/>
          <w:b/>
          <w:lang w:val="es-ES_tradnl"/>
        </w:rPr>
        <w:t xml:space="preserve"> área que </w:t>
      </w:r>
      <w:r w:rsidR="00976C25" w:rsidRPr="00EC69CB">
        <w:rPr>
          <w:rFonts w:ascii="Palatino Linotype" w:eastAsia="MS Mincho" w:hAnsi="Palatino Linotype" w:cs="Arial"/>
          <w:lang w:val="es-ES_tradnl"/>
        </w:rPr>
        <w:t>, siguiendo los principios de certeza, eficacia y legalidad, mismos que se encuentran descritos en el artículo 9</w:t>
      </w:r>
      <w:r w:rsidR="00976C25" w:rsidRPr="00EC69CB">
        <w:rPr>
          <w:rFonts w:ascii="Palatino Linotype" w:eastAsia="MS Mincho" w:hAnsi="Palatino Linotype" w:cs="Arial"/>
          <w:vertAlign w:val="superscript"/>
          <w:lang w:val="es-ES_tradnl"/>
        </w:rPr>
        <w:footnoteReference w:id="2"/>
      </w:r>
      <w:r w:rsidR="00976C25" w:rsidRPr="00EC69CB">
        <w:rPr>
          <w:rFonts w:ascii="Palatino Linotype" w:eastAsia="MS Mincho" w:hAnsi="Palatino Linotype" w:cs="Arial"/>
          <w:lang w:val="es-ES_tradnl"/>
        </w:rPr>
        <w:t>, fracciones I, II y VI de la Ley de Transparencia y Acceso a la Información Pública del Estado de México y Municipios.</w:t>
      </w:r>
    </w:p>
    <w:p w14:paraId="2D0FC3A8" w14:textId="77777777" w:rsidR="004F36DB" w:rsidRPr="00EC69CB" w:rsidRDefault="004F36DB" w:rsidP="004F36DB">
      <w:pPr>
        <w:tabs>
          <w:tab w:val="left" w:pos="426"/>
        </w:tabs>
        <w:spacing w:after="160" w:line="360" w:lineRule="auto"/>
        <w:ind w:right="51"/>
        <w:contextualSpacing/>
        <w:jc w:val="both"/>
        <w:rPr>
          <w:rFonts w:ascii="Palatino Linotype" w:eastAsia="MS Mincho" w:hAnsi="Palatino Linotype"/>
          <w:color w:val="000000"/>
          <w:lang w:val="es-ES_tradnl"/>
        </w:rPr>
      </w:pPr>
    </w:p>
    <w:p w14:paraId="013AFB9F" w14:textId="15CD02F7" w:rsidR="004F36DB" w:rsidRPr="00EC69CB" w:rsidRDefault="00976C25" w:rsidP="00640BE1">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EC69CB">
        <w:rPr>
          <w:rFonts w:ascii="Palatino Linotype" w:eastAsia="MS Mincho" w:hAnsi="Palatino Linotype" w:cs="Arial"/>
          <w:lang w:val="es-ES_tradnl"/>
        </w:rPr>
        <w:lastRenderedPageBreak/>
        <w:t xml:space="preserve"> En ese sentido, por cuanto hace a la</w:t>
      </w:r>
      <w:r w:rsidR="00450E50" w:rsidRPr="00EC69CB">
        <w:rPr>
          <w:rFonts w:ascii="Palatino Linotype" w:eastAsia="MS Mincho" w:hAnsi="Palatino Linotype" w:cs="Arial"/>
          <w:lang w:val="es-ES_tradnl"/>
        </w:rPr>
        <w:t xml:space="preserve"> respuesta otorgada resulta de interés </w:t>
      </w:r>
      <w:r w:rsidR="004F36DB" w:rsidRPr="00EC69CB">
        <w:rPr>
          <w:rFonts w:ascii="Palatino Linotype" w:eastAsia="MS Mincho" w:hAnsi="Palatino Linotype" w:cs="Arial"/>
          <w:lang w:val="es-ES_tradnl"/>
        </w:rPr>
        <w:t xml:space="preserve">el artículo 2 de la </w:t>
      </w:r>
      <w:r w:rsidR="004F36DB" w:rsidRPr="00EC69CB">
        <w:rPr>
          <w:rFonts w:ascii="Palatino Linotype" w:eastAsia="Calibri" w:hAnsi="Palatino Linotype" w:cs="Tahoma"/>
          <w:bCs/>
          <w:lang w:val="es-ES_tradnl" w:eastAsia="en-US"/>
        </w:rPr>
        <w:t>la Ley de Fiscalización Superior del Estado de México, en su artículo 2 fracción XI, se entiende al informe trimestral como:</w:t>
      </w:r>
    </w:p>
    <w:p w14:paraId="4ED3ACA5" w14:textId="77777777" w:rsidR="004F36DB" w:rsidRPr="00EC69CB" w:rsidRDefault="004F36DB" w:rsidP="004F36DB">
      <w:pPr>
        <w:widowControl w:val="0"/>
        <w:spacing w:line="360" w:lineRule="auto"/>
        <w:jc w:val="both"/>
        <w:rPr>
          <w:rFonts w:ascii="Palatino Linotype" w:hAnsi="Palatino Linotype" w:cs="Tahoma"/>
          <w:b/>
          <w:color w:val="000000"/>
          <w:lang w:val="es-ES_tradnl"/>
        </w:rPr>
      </w:pPr>
    </w:p>
    <w:p w14:paraId="29932463" w14:textId="77777777" w:rsidR="004F36DB" w:rsidRPr="00EC69CB" w:rsidRDefault="004F36DB" w:rsidP="004F36DB">
      <w:pPr>
        <w:spacing w:line="360" w:lineRule="auto"/>
        <w:ind w:left="567" w:right="539"/>
        <w:jc w:val="both"/>
        <w:rPr>
          <w:rFonts w:ascii="Palatino Linotype" w:eastAsia="Calibri" w:hAnsi="Palatino Linotype" w:cs="Tahoma"/>
          <w:bCs/>
          <w:i/>
          <w:lang w:val="es-ES_tradnl" w:eastAsia="en-US"/>
        </w:rPr>
      </w:pPr>
      <w:r w:rsidRPr="00EC69CB">
        <w:rPr>
          <w:rFonts w:ascii="Palatino Linotype" w:eastAsia="Calibri" w:hAnsi="Palatino Linotype" w:cs="Tahoma"/>
          <w:bCs/>
          <w:i/>
          <w:lang w:val="es-ES_tradnl" w:eastAsia="en-US"/>
        </w:rPr>
        <w:t>“</w:t>
      </w:r>
      <w:r w:rsidRPr="00EC69CB">
        <w:rPr>
          <w:rFonts w:ascii="Palatino Linotype" w:eastAsia="Calibri" w:hAnsi="Palatino Linotype" w:cs="Tahoma"/>
          <w:b/>
          <w:bCs/>
          <w:i/>
          <w:lang w:val="es-ES_tradnl" w:eastAsia="en-US"/>
        </w:rPr>
        <w:t>Artículo 2</w:t>
      </w:r>
      <w:r w:rsidRPr="00EC69CB">
        <w:rPr>
          <w:rFonts w:ascii="Palatino Linotype" w:eastAsia="Calibri" w:hAnsi="Palatino Linotype" w:cs="Tahoma"/>
          <w:bCs/>
          <w:i/>
          <w:lang w:val="es-ES_tradnl" w:eastAsia="en-US"/>
        </w:rPr>
        <w:t>. Para los efectos de la presente Ley, se entenderá por:</w:t>
      </w:r>
    </w:p>
    <w:p w14:paraId="0CE7C53B" w14:textId="77777777" w:rsidR="004F36DB" w:rsidRPr="00EC69CB" w:rsidRDefault="004F36DB" w:rsidP="004F36DB">
      <w:pPr>
        <w:spacing w:line="360" w:lineRule="auto"/>
        <w:ind w:left="567" w:right="539"/>
        <w:jc w:val="both"/>
        <w:rPr>
          <w:rFonts w:ascii="Palatino Linotype" w:eastAsia="Calibri" w:hAnsi="Palatino Linotype" w:cs="Tahoma"/>
          <w:bCs/>
          <w:i/>
          <w:lang w:val="es-ES_tradnl" w:eastAsia="en-US"/>
        </w:rPr>
      </w:pPr>
      <w:r w:rsidRPr="00EC69CB">
        <w:rPr>
          <w:rFonts w:ascii="Palatino Linotype" w:eastAsia="Calibri" w:hAnsi="Palatino Linotype" w:cs="Tahoma"/>
          <w:bCs/>
          <w:i/>
          <w:lang w:val="es-ES_tradnl" w:eastAsia="en-US"/>
        </w:rPr>
        <w:t>I a X…</w:t>
      </w:r>
    </w:p>
    <w:p w14:paraId="3286250D" w14:textId="77777777" w:rsidR="004F36DB" w:rsidRPr="00EC69CB" w:rsidRDefault="004F36DB" w:rsidP="004F36DB">
      <w:pPr>
        <w:spacing w:line="360" w:lineRule="auto"/>
        <w:ind w:left="567" w:right="539"/>
        <w:jc w:val="both"/>
        <w:rPr>
          <w:rFonts w:ascii="Palatino Linotype" w:eastAsia="Calibri" w:hAnsi="Palatino Linotype" w:cs="Tahoma"/>
          <w:b/>
          <w:bCs/>
          <w:i/>
          <w:u w:val="single"/>
          <w:lang w:val="es-ES_tradnl" w:eastAsia="en-US"/>
        </w:rPr>
      </w:pPr>
      <w:r w:rsidRPr="00EC69CB">
        <w:rPr>
          <w:rFonts w:ascii="Palatino Linotype" w:eastAsia="Calibri" w:hAnsi="Palatino Linotype" w:cs="Tahoma"/>
          <w:b/>
          <w:bCs/>
          <w:i/>
          <w:lang w:val="es-ES_tradnl" w:eastAsia="en-US"/>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 y la Secretaría de Finanzas y, en su caso, las áreas competentes</w:t>
      </w:r>
      <w:r w:rsidRPr="00EC69CB">
        <w:rPr>
          <w:rFonts w:ascii="Palatino Linotype" w:eastAsia="Calibri" w:hAnsi="Palatino Linotype" w:cs="Tahoma"/>
          <w:b/>
          <w:bCs/>
          <w:i/>
          <w:u w:val="single"/>
          <w:lang w:val="es-ES_tradnl" w:eastAsia="en-US"/>
        </w:rPr>
        <w:t>;</w:t>
      </w:r>
    </w:p>
    <w:p w14:paraId="5F483B89" w14:textId="77777777" w:rsidR="004F36DB" w:rsidRPr="00EC69CB" w:rsidRDefault="004F36DB" w:rsidP="004F36DB">
      <w:pPr>
        <w:spacing w:line="360" w:lineRule="auto"/>
        <w:ind w:left="567" w:right="539"/>
        <w:jc w:val="both"/>
        <w:rPr>
          <w:rFonts w:ascii="Palatino Linotype" w:eastAsia="Calibri" w:hAnsi="Palatino Linotype" w:cs="Tahoma"/>
          <w:bCs/>
          <w:i/>
          <w:lang w:val="es-ES_tradnl" w:eastAsia="en-US"/>
        </w:rPr>
      </w:pPr>
      <w:r w:rsidRPr="00EC69CB">
        <w:rPr>
          <w:rFonts w:ascii="Palatino Linotype" w:eastAsia="Calibri" w:hAnsi="Palatino Linotype" w:cs="Tahoma"/>
          <w:bCs/>
          <w:i/>
          <w:lang w:val="es-ES_tradnl" w:eastAsia="en-US"/>
        </w:rPr>
        <w:t>XII a XIX…</w:t>
      </w:r>
    </w:p>
    <w:p w14:paraId="5516E9FA" w14:textId="2283AF25" w:rsidR="00450E50" w:rsidRPr="00EC69CB" w:rsidRDefault="00450E50" w:rsidP="004F36DB">
      <w:pPr>
        <w:tabs>
          <w:tab w:val="left" w:pos="426"/>
        </w:tabs>
        <w:spacing w:after="160" w:line="360" w:lineRule="auto"/>
        <w:ind w:right="51"/>
        <w:contextualSpacing/>
        <w:jc w:val="both"/>
        <w:rPr>
          <w:rFonts w:ascii="Palatino Linotype" w:eastAsia="MS Mincho" w:hAnsi="Palatino Linotype"/>
          <w:color w:val="000000"/>
          <w:lang w:val="es-ES_tradnl"/>
        </w:rPr>
      </w:pPr>
    </w:p>
    <w:p w14:paraId="2346AB6A" w14:textId="77777777" w:rsidR="00450E50" w:rsidRPr="00EC69CB" w:rsidRDefault="00450E50" w:rsidP="00450E50">
      <w:pPr>
        <w:pStyle w:val="Prrafodelista"/>
        <w:rPr>
          <w:rFonts w:ascii="Palatino Linotype" w:eastAsia="MS Mincho" w:hAnsi="Palatino Linotype" w:cs="Arial"/>
          <w:lang w:val="es-ES_tradnl"/>
        </w:rPr>
      </w:pPr>
    </w:p>
    <w:p w14:paraId="04610E3C" w14:textId="6A12D9FC" w:rsidR="004F36DB" w:rsidRPr="00EC69CB" w:rsidRDefault="00976C25" w:rsidP="00640BE1">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EC69CB">
        <w:rPr>
          <w:rFonts w:ascii="Palatino Linotype" w:eastAsia="MS Mincho" w:hAnsi="Palatino Linotype" w:cs="Arial"/>
          <w:lang w:val="es-ES_tradnl"/>
        </w:rPr>
        <w:t xml:space="preserve"> </w:t>
      </w:r>
      <w:r w:rsidR="004F36DB" w:rsidRPr="00EC69CB">
        <w:rPr>
          <w:rFonts w:ascii="Palatino Linotype" w:eastAsia="Calibri" w:hAnsi="Palatino Linotype" w:cs="Tahoma"/>
          <w:bCs/>
          <w:lang w:val="es-ES_tradnl" w:eastAsia="en-US"/>
        </w:rPr>
        <w:t>De lo anterior, se advierte que el informe trimestral es el documento por medio del cual, la Tesorería Municipales describen la manera en cómo ejercen y aplican sus recursos; informe que deben enviar al Órgano Superior de Fiscalización para su estudio de manera trimestral.</w:t>
      </w:r>
    </w:p>
    <w:p w14:paraId="70418F61" w14:textId="77777777" w:rsidR="004F36DB" w:rsidRPr="00EC69CB" w:rsidRDefault="004F36DB" w:rsidP="004F36DB">
      <w:pPr>
        <w:tabs>
          <w:tab w:val="left" w:pos="426"/>
        </w:tabs>
        <w:spacing w:after="160" w:line="360" w:lineRule="auto"/>
        <w:ind w:right="51"/>
        <w:contextualSpacing/>
        <w:jc w:val="both"/>
        <w:rPr>
          <w:rFonts w:ascii="Palatino Linotype" w:eastAsia="MS Mincho" w:hAnsi="Palatino Linotype"/>
          <w:color w:val="000000"/>
          <w:lang w:val="es-ES_tradnl"/>
        </w:rPr>
      </w:pPr>
    </w:p>
    <w:p w14:paraId="1BD5C9E5" w14:textId="3FA6FDBD" w:rsidR="004F36DB" w:rsidRPr="00EC69CB" w:rsidRDefault="004F36DB" w:rsidP="00640BE1">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EC69CB">
        <w:rPr>
          <w:rFonts w:ascii="Palatino Linotype" w:eastAsia="Calibri" w:hAnsi="Palatino Linotype" w:cs="Tahoma"/>
          <w:bCs/>
          <w:lang w:val="es-ES_tradnl" w:eastAsia="en-US"/>
        </w:rPr>
        <w:t xml:space="preserve">Ahora bien, los informes que remiten los Tesoreros Municipales al Órgano Superior de Fiscalización del Estado de México (OSFEM), deben contener todo lo relacionado al tema a examinar y toda vez que este Órgano es el encargado de fiscalizar las cuentas públicas de las Entidades Estales de acuerdo a lo señalado por la Ley de Fiscalización Superior del Estado de México, la cual lo faculta para crear los lineamientos, criterios, procedimientos, métodos y sistemas para las acciones de </w:t>
      </w:r>
      <w:r w:rsidRPr="00EC69CB">
        <w:rPr>
          <w:rFonts w:ascii="Palatino Linotype" w:eastAsia="Calibri" w:hAnsi="Palatino Linotype" w:cs="Tahoma"/>
          <w:bCs/>
          <w:lang w:val="es-ES_tradnl" w:eastAsia="en-US"/>
        </w:rPr>
        <w:lastRenderedPageBreak/>
        <w:t>control y evaluación que se deben de seguir para los informes trimestrales; según lo establecido en el artículo 8, que a la letra dice:</w:t>
      </w:r>
    </w:p>
    <w:p w14:paraId="73AF26A9" w14:textId="77777777" w:rsidR="004F36DB" w:rsidRPr="00EC69CB" w:rsidRDefault="004F36DB" w:rsidP="004F36DB">
      <w:pPr>
        <w:spacing w:line="276" w:lineRule="auto"/>
        <w:ind w:right="-93"/>
        <w:jc w:val="both"/>
        <w:rPr>
          <w:rFonts w:ascii="Palatino Linotype" w:eastAsia="Calibri" w:hAnsi="Palatino Linotype" w:cs="Tahoma"/>
          <w:bCs/>
          <w:lang w:val="es-ES_tradnl" w:eastAsia="en-US"/>
        </w:rPr>
      </w:pPr>
    </w:p>
    <w:p w14:paraId="216B24BF" w14:textId="77777777" w:rsidR="004F36DB" w:rsidRPr="00EC69CB" w:rsidRDefault="004F36DB" w:rsidP="004F36DB">
      <w:pPr>
        <w:spacing w:line="360" w:lineRule="auto"/>
        <w:ind w:left="567" w:right="539"/>
        <w:jc w:val="both"/>
        <w:rPr>
          <w:rFonts w:ascii="Palatino Linotype" w:eastAsia="Calibri" w:hAnsi="Palatino Linotype" w:cs="Tahoma"/>
          <w:bCs/>
          <w:i/>
          <w:lang w:val="es-ES_tradnl" w:eastAsia="en-US"/>
        </w:rPr>
      </w:pPr>
      <w:r w:rsidRPr="00EC69CB">
        <w:rPr>
          <w:rFonts w:ascii="Palatino Linotype" w:eastAsia="Calibri" w:hAnsi="Palatino Linotype" w:cs="Tahoma"/>
          <w:bCs/>
          <w:i/>
          <w:lang w:val="es-ES_tradnl" w:eastAsia="en-US"/>
        </w:rPr>
        <w:t>“</w:t>
      </w:r>
      <w:r w:rsidRPr="00EC69CB">
        <w:rPr>
          <w:rFonts w:ascii="Palatino Linotype" w:eastAsia="Calibri" w:hAnsi="Palatino Linotype" w:cs="Tahoma"/>
          <w:b/>
          <w:bCs/>
          <w:i/>
          <w:lang w:val="es-ES_tradnl" w:eastAsia="en-US"/>
        </w:rPr>
        <w:t>Artículo 8</w:t>
      </w:r>
      <w:r w:rsidRPr="00EC69CB">
        <w:rPr>
          <w:rFonts w:ascii="Palatino Linotype" w:eastAsia="Calibri" w:hAnsi="Palatino Linotype" w:cs="Tahoma"/>
          <w:bCs/>
          <w:i/>
          <w:lang w:val="es-ES_tradnl" w:eastAsia="en-US"/>
        </w:rPr>
        <w:t>.- El Órgano Superior tendrá las siguientes atribuciones:</w:t>
      </w:r>
    </w:p>
    <w:p w14:paraId="266D76E6" w14:textId="77777777" w:rsidR="004F36DB" w:rsidRPr="00EC69CB" w:rsidRDefault="004F36DB" w:rsidP="004F36DB">
      <w:pPr>
        <w:spacing w:line="360" w:lineRule="auto"/>
        <w:ind w:left="567" w:right="539"/>
        <w:jc w:val="both"/>
        <w:rPr>
          <w:rFonts w:ascii="Palatino Linotype" w:eastAsia="Calibri" w:hAnsi="Palatino Linotype" w:cs="Tahoma"/>
          <w:bCs/>
          <w:i/>
          <w:lang w:val="es-ES_tradnl" w:eastAsia="en-US"/>
        </w:rPr>
      </w:pPr>
      <w:r w:rsidRPr="00EC69CB">
        <w:rPr>
          <w:rFonts w:ascii="Palatino Linotype" w:eastAsia="Calibri" w:hAnsi="Palatino Linotype" w:cs="Tahoma"/>
          <w:bCs/>
          <w:i/>
          <w:lang w:val="es-ES_tradnl" w:eastAsia="en-US"/>
        </w:rPr>
        <w:t>I a X…</w:t>
      </w:r>
    </w:p>
    <w:p w14:paraId="50772248" w14:textId="77777777" w:rsidR="004F36DB" w:rsidRPr="00EC69CB" w:rsidRDefault="004F36DB" w:rsidP="004F36DB">
      <w:pPr>
        <w:spacing w:line="360" w:lineRule="auto"/>
        <w:ind w:left="567" w:right="539"/>
        <w:jc w:val="both"/>
        <w:rPr>
          <w:rFonts w:ascii="Palatino Linotype" w:eastAsia="Calibri" w:hAnsi="Palatino Linotype" w:cs="Tahoma"/>
          <w:bCs/>
          <w:i/>
          <w:lang w:val="es-ES_tradnl" w:eastAsia="en-US"/>
        </w:rPr>
      </w:pPr>
      <w:r w:rsidRPr="00EC69CB">
        <w:rPr>
          <w:rFonts w:ascii="Palatino Linotype" w:eastAsia="Calibri" w:hAnsi="Palatino Linotype" w:cs="Tahoma"/>
          <w:b/>
          <w:bCs/>
          <w:i/>
          <w:lang w:val="es-ES_tradnl" w:eastAsia="en-US"/>
        </w:rPr>
        <w:t>XI</w:t>
      </w:r>
      <w:r w:rsidRPr="00EC69CB">
        <w:rPr>
          <w:rFonts w:ascii="Palatino Linotype" w:eastAsia="Calibri" w:hAnsi="Palatino Linotype" w:cs="Tahoma"/>
          <w:bCs/>
          <w:i/>
          <w:lang w:val="es-ES_tradnl" w:eastAsia="en-US"/>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056AFE00" w14:textId="77777777" w:rsidR="004F36DB" w:rsidRPr="00EC69CB" w:rsidRDefault="004F36DB" w:rsidP="004F36DB">
      <w:pPr>
        <w:spacing w:line="360" w:lineRule="auto"/>
        <w:ind w:left="567" w:right="539"/>
        <w:jc w:val="both"/>
        <w:rPr>
          <w:rFonts w:ascii="Palatino Linotype" w:eastAsia="Calibri" w:hAnsi="Palatino Linotype" w:cs="Tahoma"/>
          <w:bCs/>
          <w:i/>
          <w:lang w:val="es-ES_tradnl" w:eastAsia="en-US"/>
        </w:rPr>
      </w:pPr>
      <w:r w:rsidRPr="00EC69CB">
        <w:rPr>
          <w:rFonts w:ascii="Palatino Linotype" w:eastAsia="Calibri" w:hAnsi="Palatino Linotype" w:cs="Tahoma"/>
          <w:bCs/>
          <w:i/>
          <w:lang w:val="es-ES_tradnl" w:eastAsia="en-US"/>
        </w:rPr>
        <w:t>XII a XXXVI…</w:t>
      </w:r>
    </w:p>
    <w:p w14:paraId="749EF14E" w14:textId="77777777" w:rsidR="004F36DB" w:rsidRPr="00EC69CB" w:rsidRDefault="004F36DB" w:rsidP="004F36DB">
      <w:pPr>
        <w:spacing w:line="276" w:lineRule="auto"/>
        <w:ind w:right="-93"/>
        <w:jc w:val="both"/>
        <w:rPr>
          <w:rFonts w:ascii="Palatino Linotype" w:eastAsia="Calibri" w:hAnsi="Palatino Linotype" w:cs="Tahoma"/>
          <w:bCs/>
          <w:lang w:val="es-ES_tradnl" w:eastAsia="en-US"/>
        </w:rPr>
      </w:pPr>
    </w:p>
    <w:p w14:paraId="2FC513A2" w14:textId="0C327513" w:rsidR="004F36DB" w:rsidRPr="00EC69CB" w:rsidRDefault="004F36DB" w:rsidP="00640BE1">
      <w:pPr>
        <w:pStyle w:val="Prrafodelista"/>
        <w:numPr>
          <w:ilvl w:val="0"/>
          <w:numId w:val="3"/>
        </w:numPr>
        <w:spacing w:line="360" w:lineRule="auto"/>
        <w:ind w:left="0" w:right="-93" w:firstLine="0"/>
        <w:jc w:val="both"/>
        <w:rPr>
          <w:rFonts w:ascii="Palatino Linotype" w:eastAsia="Calibri" w:hAnsi="Palatino Linotype" w:cs="Tahoma"/>
          <w:bCs/>
          <w:lang w:val="es-ES_tradnl" w:eastAsia="en-US"/>
        </w:rPr>
      </w:pPr>
      <w:r w:rsidRPr="00EC69CB">
        <w:rPr>
          <w:rFonts w:ascii="Palatino Linotype" w:eastAsia="Calibri" w:hAnsi="Palatino Linotype" w:cs="Tahoma"/>
          <w:bCs/>
          <w:lang w:val="es-ES_tradnl" w:eastAsia="en-US"/>
        </w:rPr>
        <w:t xml:space="preserve">De lo anterior, el Órgano Superior de Fiscalización emite anualmente los Lineamientos para la elaboración y presentación de los Informes Trimestrales Municipales, los cuales tienen como objetivo establecer las especificaciones necesarias que las entidades fiscalizables deben cumplir para la elaboración y presentación del documento referido.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w:t>
      </w:r>
    </w:p>
    <w:p w14:paraId="06C217CC" w14:textId="77777777" w:rsidR="004F36DB" w:rsidRPr="00EC69CB" w:rsidRDefault="004F36DB" w:rsidP="004F36DB">
      <w:pPr>
        <w:pStyle w:val="Prrafodelista"/>
        <w:spacing w:line="360" w:lineRule="auto"/>
        <w:ind w:left="0" w:right="-93"/>
        <w:jc w:val="both"/>
        <w:rPr>
          <w:rFonts w:ascii="Palatino Linotype" w:eastAsia="Calibri" w:hAnsi="Palatino Linotype" w:cs="Tahoma"/>
          <w:bCs/>
          <w:lang w:val="es-ES_tradnl" w:eastAsia="en-US"/>
        </w:rPr>
      </w:pPr>
    </w:p>
    <w:p w14:paraId="21A0C2C6" w14:textId="55BAFBBC" w:rsidR="00C40AB5" w:rsidRPr="00EC69CB" w:rsidRDefault="00F57F23" w:rsidP="00640BE1">
      <w:pPr>
        <w:pStyle w:val="Prrafodelista"/>
        <w:numPr>
          <w:ilvl w:val="0"/>
          <w:numId w:val="3"/>
        </w:numPr>
        <w:spacing w:line="360" w:lineRule="auto"/>
        <w:ind w:left="0" w:right="-93" w:firstLine="0"/>
        <w:jc w:val="both"/>
        <w:rPr>
          <w:rFonts w:ascii="Palatino Linotype" w:hAnsi="Palatino Linotype" w:cs="Tahoma"/>
          <w:lang w:val="es-ES_tradnl"/>
        </w:rPr>
      </w:pPr>
      <w:r w:rsidRPr="00EC69CB">
        <w:rPr>
          <w:rFonts w:ascii="Palatino Linotype" w:hAnsi="Palatino Linotype" w:cs="Tahoma"/>
          <w:lang w:val="es-ES_tradnl"/>
        </w:rPr>
        <w:t xml:space="preserve">Atento a lo anterior </w:t>
      </w:r>
      <w:r w:rsidR="004F36DB" w:rsidRPr="00EC69CB">
        <w:rPr>
          <w:rFonts w:ascii="Palatino Linotype" w:hAnsi="Palatino Linotype" w:cs="Tahoma"/>
          <w:lang w:val="es-ES_tradnl"/>
        </w:rPr>
        <w:t xml:space="preserve">si bien, existe fuente obligacional que constriñe al Sujeto Obligado, para entregar los informes trimestrales al OSFEM de conformidad la Ley de Fiscalización Superior del Estado de México, lo cierto es que de conformidad con el Acuerdo </w:t>
      </w:r>
      <w:r w:rsidRPr="00EC69CB">
        <w:rPr>
          <w:rFonts w:ascii="Palatino Linotype" w:hAnsi="Palatino Linotype" w:cs="Tahoma"/>
          <w:lang w:val="es-ES_tradnl"/>
        </w:rPr>
        <w:t>01/2022 por el que s</w:t>
      </w:r>
      <w:r w:rsidRPr="00EC69CB">
        <w:rPr>
          <w:rFonts w:ascii="Palatino Linotype" w:hAnsi="Palatino Linotype" w:cs="Tahoma"/>
          <w:b/>
          <w:lang w:val="es-ES_tradnl"/>
        </w:rPr>
        <w:t xml:space="preserve">e emite la calendarización de entrega del cuarto informe trimestral correspondiente a los meses de octubre, noviembre, y diciembre </w:t>
      </w:r>
      <w:r w:rsidRPr="00EC69CB">
        <w:rPr>
          <w:rFonts w:ascii="Palatino Linotype" w:hAnsi="Palatino Linotype" w:cs="Tahoma"/>
          <w:b/>
          <w:lang w:val="es-ES_tradnl"/>
        </w:rPr>
        <w:lastRenderedPageBreak/>
        <w:t xml:space="preserve">del ejercicio fiscal 2021, de los sujetos de fiscalización del Estado de México, </w:t>
      </w:r>
      <w:r w:rsidRPr="00EC69CB">
        <w:rPr>
          <w:rFonts w:ascii="Palatino Linotype" w:hAnsi="Palatino Linotype" w:cs="Tahoma"/>
          <w:lang w:val="es-ES_tradnl"/>
        </w:rPr>
        <w:t xml:space="preserve">la fecha de entrega de los informes correspondientes es del dos (02) al diez (10) de febrero de dos mil veintidós, en la Oficialía de partes del </w:t>
      </w:r>
      <w:r w:rsidR="00C40AB5" w:rsidRPr="00EC69CB">
        <w:rPr>
          <w:rFonts w:ascii="Palatino Linotype" w:hAnsi="Palatino Linotype" w:cs="Tahoma"/>
          <w:lang w:val="es-ES_tradnl"/>
        </w:rPr>
        <w:t xml:space="preserve">Órgano superior de </w:t>
      </w:r>
      <w:r w:rsidR="00C90A0B">
        <w:rPr>
          <w:rFonts w:ascii="Palatino Linotype" w:hAnsi="Palatino Linotype" w:cs="Tahoma"/>
          <w:noProof/>
          <w:lang w:val="en-US" w:eastAsia="en-US"/>
        </w:rPr>
        <mc:AlternateContent>
          <mc:Choice Requires="wps">
            <w:drawing>
              <wp:anchor distT="0" distB="0" distL="114300" distR="114300" simplePos="0" relativeHeight="251662336" behindDoc="0" locked="0" layoutInCell="1" allowOverlap="1" wp14:anchorId="01583417" wp14:editId="4040CB58">
                <wp:simplePos x="0" y="0"/>
                <wp:positionH relativeFrom="column">
                  <wp:posOffset>59896</wp:posOffset>
                </wp:positionH>
                <wp:positionV relativeFrom="paragraph">
                  <wp:posOffset>1295144</wp:posOffset>
                </wp:positionV>
                <wp:extent cx="5533901" cy="6246421"/>
                <wp:effectExtent l="0" t="0" r="29210" b="21590"/>
                <wp:wrapNone/>
                <wp:docPr id="2" name="Conector recto 2"/>
                <wp:cNvGraphicFramePr/>
                <a:graphic xmlns:a="http://schemas.openxmlformats.org/drawingml/2006/main">
                  <a:graphicData uri="http://schemas.microsoft.com/office/word/2010/wordprocessingShape">
                    <wps:wsp>
                      <wps:cNvCnPr/>
                      <wps:spPr>
                        <a:xfrm flipH="1" flipV="1">
                          <a:off x="0" y="0"/>
                          <a:ext cx="5533901" cy="6246421"/>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26D74E" id="Conector recto 2"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4.7pt,102pt" to="440.45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" strokecolor="#b8cce4 [1300]"/>
            </w:pict>
          </mc:Fallback>
        </mc:AlternateContent>
      </w:r>
      <w:r w:rsidR="00C40AB5" w:rsidRPr="00EC69CB">
        <w:rPr>
          <w:rFonts w:ascii="Palatino Linotype" w:hAnsi="Palatino Linotype" w:cs="Tahoma"/>
          <w:lang w:val="es-ES_tradnl"/>
        </w:rPr>
        <w:t xml:space="preserve">Fiscalización, como a continuación se observa: </w:t>
      </w:r>
    </w:p>
    <w:p w14:paraId="38D525E0" w14:textId="591119EA" w:rsidR="00C40AB5" w:rsidRPr="00EC69CB" w:rsidRDefault="00C40AB5" w:rsidP="00C40AB5">
      <w:pPr>
        <w:pStyle w:val="Prrafodelista"/>
        <w:spacing w:line="360" w:lineRule="auto"/>
        <w:ind w:left="0" w:right="-93"/>
        <w:jc w:val="center"/>
        <w:rPr>
          <w:rFonts w:ascii="Palatino Linotype" w:hAnsi="Palatino Linotype" w:cs="Tahoma"/>
          <w:lang w:val="es-ES_tradnl"/>
        </w:rPr>
      </w:pPr>
      <w:r w:rsidRPr="00EC69CB">
        <w:rPr>
          <w:rFonts w:ascii="Palatino Linotype" w:hAnsi="Palatino Linotype"/>
          <w:noProof/>
          <w:lang w:val="en-US" w:eastAsia="en-US"/>
        </w:rPr>
        <w:lastRenderedPageBreak/>
        <mc:AlternateContent>
          <mc:Choice Requires="wps">
            <w:drawing>
              <wp:anchor distT="0" distB="0" distL="114300" distR="114300" simplePos="0" relativeHeight="251659264" behindDoc="0" locked="0" layoutInCell="1" allowOverlap="1" wp14:anchorId="001C0DA3" wp14:editId="4CE0E13C">
                <wp:simplePos x="0" y="0"/>
                <wp:positionH relativeFrom="column">
                  <wp:posOffset>2682240</wp:posOffset>
                </wp:positionH>
                <wp:positionV relativeFrom="paragraph">
                  <wp:posOffset>6201410</wp:posOffset>
                </wp:positionV>
                <wp:extent cx="1638300" cy="352425"/>
                <wp:effectExtent l="57150" t="19050" r="76200" b="104775"/>
                <wp:wrapNone/>
                <wp:docPr id="4" name="Rectángulo 4"/>
                <wp:cNvGraphicFramePr/>
                <a:graphic xmlns:a="http://schemas.openxmlformats.org/drawingml/2006/main">
                  <a:graphicData uri="http://schemas.microsoft.com/office/word/2010/wordprocessingShape">
                    <wps:wsp>
                      <wps:cNvSpPr/>
                      <wps:spPr>
                        <a:xfrm>
                          <a:off x="0" y="0"/>
                          <a:ext cx="1638300" cy="3524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8C6950" id="Rectángulo 4" o:spid="_x0000_s1026" style="position:absolute;margin-left:211.2pt;margin-top:488.3pt;width:129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" filled="f" strokecolor="red">
                <v:shadow on="t" color="black" opacity="22937f" origin=",.5" offset="0,.63889mm"/>
              </v:rect>
            </w:pict>
          </mc:Fallback>
        </mc:AlternateContent>
      </w:r>
      <w:r w:rsidRPr="00EC69CB">
        <w:rPr>
          <w:rFonts w:ascii="Palatino Linotype" w:hAnsi="Palatino Linotype"/>
          <w:noProof/>
          <w:lang w:val="en-US" w:eastAsia="en-US"/>
        </w:rPr>
        <w:drawing>
          <wp:inline distT="0" distB="0" distL="0" distR="0" wp14:anchorId="15A6E4C3" wp14:editId="0AA2F9B7">
            <wp:extent cx="5687395" cy="66103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838" t="13278" r="5465" b="6759"/>
                    <a:stretch/>
                  </pic:blipFill>
                  <pic:spPr bwMode="auto">
                    <a:xfrm>
                      <a:off x="0" y="0"/>
                      <a:ext cx="5691695" cy="6615348"/>
                    </a:xfrm>
                    <a:prstGeom prst="rect">
                      <a:avLst/>
                    </a:prstGeom>
                    <a:ln>
                      <a:noFill/>
                    </a:ln>
                    <a:extLst>
                      <a:ext uri="{53640926-AAD7-44D8-BBD7-CCE9431645EC}">
                        <a14:shadowObscured xmlns:a14="http://schemas.microsoft.com/office/drawing/2010/main"/>
                      </a:ext>
                    </a:extLst>
                  </pic:spPr>
                </pic:pic>
              </a:graphicData>
            </a:graphic>
          </wp:inline>
        </w:drawing>
      </w:r>
    </w:p>
    <w:p w14:paraId="48CA6811" w14:textId="53EE8951" w:rsidR="00C40AB5" w:rsidRPr="00EC69CB" w:rsidRDefault="00C40AB5" w:rsidP="00C40AB5">
      <w:pPr>
        <w:pStyle w:val="Prrafodelista"/>
        <w:spacing w:line="360" w:lineRule="auto"/>
        <w:ind w:left="0" w:right="-93"/>
        <w:jc w:val="both"/>
        <w:rPr>
          <w:rFonts w:ascii="Palatino Linotype" w:hAnsi="Palatino Linotype" w:cs="Tahoma"/>
          <w:lang w:val="es-ES_tradnl"/>
        </w:rPr>
      </w:pPr>
    </w:p>
    <w:p w14:paraId="0116D633" w14:textId="048485AE" w:rsidR="00C40AB5" w:rsidRPr="00EC69CB" w:rsidRDefault="00C40AB5" w:rsidP="00C40AB5">
      <w:pPr>
        <w:pStyle w:val="Prrafodelista"/>
        <w:spacing w:line="360" w:lineRule="auto"/>
        <w:ind w:left="0" w:right="-93"/>
        <w:jc w:val="both"/>
        <w:rPr>
          <w:rFonts w:ascii="Palatino Linotype" w:hAnsi="Palatino Linotype" w:cs="Tahoma"/>
          <w:lang w:val="es-ES_tradnl"/>
        </w:rPr>
      </w:pPr>
    </w:p>
    <w:p w14:paraId="02CE28B5" w14:textId="1C0323B6" w:rsidR="00C40AB5" w:rsidRPr="00EC69CB" w:rsidRDefault="00C40AB5" w:rsidP="00C40AB5">
      <w:pPr>
        <w:pStyle w:val="Prrafodelista"/>
        <w:spacing w:line="360" w:lineRule="auto"/>
        <w:ind w:left="0" w:right="-93"/>
        <w:jc w:val="both"/>
        <w:rPr>
          <w:rFonts w:ascii="Palatino Linotype" w:hAnsi="Palatino Linotype" w:cs="Tahoma"/>
          <w:lang w:val="es-ES_tradnl"/>
        </w:rPr>
      </w:pPr>
      <w:r w:rsidRPr="00EC69CB">
        <w:rPr>
          <w:rFonts w:ascii="Palatino Linotype" w:hAnsi="Palatino Linotype"/>
          <w:noProof/>
          <w:lang w:val="en-US" w:eastAsia="en-US"/>
        </w:rPr>
        <w:lastRenderedPageBreak/>
        <w:drawing>
          <wp:inline distT="0" distB="0" distL="0" distR="0" wp14:anchorId="3F7DB0D1" wp14:editId="01BCF5C8">
            <wp:extent cx="5610225" cy="117972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687" t="49185" r="6993" b="37236"/>
                    <a:stretch/>
                  </pic:blipFill>
                  <pic:spPr bwMode="auto">
                    <a:xfrm>
                      <a:off x="0" y="0"/>
                      <a:ext cx="5623651" cy="1182543"/>
                    </a:xfrm>
                    <a:prstGeom prst="rect">
                      <a:avLst/>
                    </a:prstGeom>
                    <a:ln>
                      <a:noFill/>
                    </a:ln>
                    <a:extLst>
                      <a:ext uri="{53640926-AAD7-44D8-BBD7-CCE9431645EC}">
                        <a14:shadowObscured xmlns:a14="http://schemas.microsoft.com/office/drawing/2010/main"/>
                      </a:ext>
                    </a:extLst>
                  </pic:spPr>
                </pic:pic>
              </a:graphicData>
            </a:graphic>
          </wp:inline>
        </w:drawing>
      </w:r>
    </w:p>
    <w:p w14:paraId="415D8388" w14:textId="77777777" w:rsidR="00C40AB5" w:rsidRPr="00EC69CB" w:rsidRDefault="00C40AB5" w:rsidP="00C40AB5">
      <w:pPr>
        <w:pStyle w:val="Prrafodelista"/>
        <w:spacing w:line="360" w:lineRule="auto"/>
        <w:ind w:left="0" w:right="-93"/>
        <w:jc w:val="both"/>
        <w:rPr>
          <w:rFonts w:ascii="Palatino Linotype" w:hAnsi="Palatino Linotype" w:cs="Tahoma"/>
          <w:lang w:val="es-ES_tradnl"/>
        </w:rPr>
      </w:pPr>
    </w:p>
    <w:p w14:paraId="249BEAB9" w14:textId="2971ADED" w:rsidR="004F36DB" w:rsidRPr="00EC69CB" w:rsidRDefault="00C40AB5" w:rsidP="00C40AB5">
      <w:pPr>
        <w:pStyle w:val="Prrafodelista"/>
        <w:spacing w:line="360" w:lineRule="auto"/>
        <w:ind w:left="0" w:right="-93"/>
        <w:jc w:val="center"/>
        <w:rPr>
          <w:rFonts w:ascii="Palatino Linotype" w:eastAsia="Calibri" w:hAnsi="Palatino Linotype" w:cs="Tahoma"/>
          <w:bCs/>
          <w:lang w:val="es-ES_tradnl" w:eastAsia="en-US"/>
        </w:rPr>
      </w:pPr>
      <w:r w:rsidRPr="00EC69CB">
        <w:rPr>
          <w:rFonts w:ascii="Palatino Linotype" w:hAnsi="Palatino Linotype"/>
          <w:noProof/>
          <w:lang w:val="en-US" w:eastAsia="en-US"/>
        </w:rPr>
        <mc:AlternateContent>
          <mc:Choice Requires="wps">
            <w:drawing>
              <wp:anchor distT="0" distB="0" distL="114300" distR="114300" simplePos="0" relativeHeight="251661312" behindDoc="0" locked="0" layoutInCell="1" allowOverlap="1" wp14:anchorId="092A2794" wp14:editId="463B48E5">
                <wp:simplePos x="0" y="0"/>
                <wp:positionH relativeFrom="column">
                  <wp:posOffset>1043940</wp:posOffset>
                </wp:positionH>
                <wp:positionV relativeFrom="paragraph">
                  <wp:posOffset>2922905</wp:posOffset>
                </wp:positionV>
                <wp:extent cx="247650" cy="1257300"/>
                <wp:effectExtent l="57150" t="19050" r="76200" b="95250"/>
                <wp:wrapNone/>
                <wp:docPr id="8" name="Rectángulo 8"/>
                <wp:cNvGraphicFramePr/>
                <a:graphic xmlns:a="http://schemas.openxmlformats.org/drawingml/2006/main">
                  <a:graphicData uri="http://schemas.microsoft.com/office/word/2010/wordprocessingShape">
                    <wps:wsp>
                      <wps:cNvSpPr/>
                      <wps:spPr>
                        <a:xfrm>
                          <a:off x="0" y="0"/>
                          <a:ext cx="247650" cy="12573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486C9D" id="Rectángulo 8" o:spid="_x0000_s1026" style="position:absolute;margin-left:82.2pt;margin-top:230.15pt;width:19.5pt;height:9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" filled="f" strokecolor="red">
                <v:shadow on="t" color="black" opacity="22937f" origin=",.5" offset="0,.63889mm"/>
              </v:rect>
            </w:pict>
          </mc:Fallback>
        </mc:AlternateContent>
      </w:r>
      <w:r w:rsidRPr="00EC69CB">
        <w:rPr>
          <w:rFonts w:ascii="Palatino Linotype" w:hAnsi="Palatino Linotype"/>
          <w:noProof/>
          <w:lang w:val="en-US" w:eastAsia="en-US"/>
        </w:rPr>
        <mc:AlternateContent>
          <mc:Choice Requires="wps">
            <w:drawing>
              <wp:anchor distT="0" distB="0" distL="114300" distR="114300" simplePos="0" relativeHeight="251660288" behindDoc="0" locked="0" layoutInCell="1" allowOverlap="1" wp14:anchorId="38BB7390" wp14:editId="6F5819AA">
                <wp:simplePos x="0" y="0"/>
                <wp:positionH relativeFrom="column">
                  <wp:posOffset>1358265</wp:posOffset>
                </wp:positionH>
                <wp:positionV relativeFrom="paragraph">
                  <wp:posOffset>3113405</wp:posOffset>
                </wp:positionV>
                <wp:extent cx="1485900" cy="171450"/>
                <wp:effectExtent l="57150" t="19050" r="76200" b="95250"/>
                <wp:wrapNone/>
                <wp:docPr id="7" name="Rectángulo 7"/>
                <wp:cNvGraphicFramePr/>
                <a:graphic xmlns:a="http://schemas.openxmlformats.org/drawingml/2006/main">
                  <a:graphicData uri="http://schemas.microsoft.com/office/word/2010/wordprocessingShape">
                    <wps:wsp>
                      <wps:cNvSpPr/>
                      <wps:spPr>
                        <a:xfrm>
                          <a:off x="0" y="0"/>
                          <a:ext cx="1485900" cy="1714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4608BE" id="Rectángulo 7" o:spid="_x0000_s1026" style="position:absolute;margin-left:106.95pt;margin-top:245.15pt;width:117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" filled="f" strokecolor="red">
                <v:shadow on="t" color="black" opacity="22937f" origin=",.5" offset="0,.63889mm"/>
              </v:rect>
            </w:pict>
          </mc:Fallback>
        </mc:AlternateContent>
      </w:r>
      <w:r w:rsidRPr="00EC69CB">
        <w:rPr>
          <w:rFonts w:ascii="Palatino Linotype" w:hAnsi="Palatino Linotype"/>
          <w:noProof/>
          <w:lang w:val="en-US" w:eastAsia="en-US"/>
        </w:rPr>
        <w:drawing>
          <wp:inline distT="0" distB="0" distL="0" distR="0" wp14:anchorId="76190DEE" wp14:editId="20088EF0">
            <wp:extent cx="4314825" cy="5330078"/>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742" t="22331" r="11405" b="14302"/>
                    <a:stretch/>
                  </pic:blipFill>
                  <pic:spPr bwMode="auto">
                    <a:xfrm>
                      <a:off x="0" y="0"/>
                      <a:ext cx="4316705" cy="5332400"/>
                    </a:xfrm>
                    <a:prstGeom prst="rect">
                      <a:avLst/>
                    </a:prstGeom>
                    <a:ln>
                      <a:noFill/>
                    </a:ln>
                    <a:extLst>
                      <a:ext uri="{53640926-AAD7-44D8-BBD7-CCE9431645EC}">
                        <a14:shadowObscured xmlns:a14="http://schemas.microsoft.com/office/drawing/2010/main"/>
                      </a:ext>
                    </a:extLst>
                  </pic:spPr>
                </pic:pic>
              </a:graphicData>
            </a:graphic>
          </wp:inline>
        </w:drawing>
      </w:r>
    </w:p>
    <w:p w14:paraId="65AF0DC1" w14:textId="77777777" w:rsidR="004F36DB" w:rsidRPr="00EC69CB" w:rsidRDefault="004F36DB" w:rsidP="004F36DB">
      <w:pPr>
        <w:pStyle w:val="Prrafodelista"/>
        <w:rPr>
          <w:rFonts w:ascii="Palatino Linotype" w:hAnsi="Palatino Linotype" w:cs="Tahoma"/>
          <w:lang w:val="es-ES_tradnl"/>
        </w:rPr>
      </w:pPr>
    </w:p>
    <w:p w14:paraId="64BE5688" w14:textId="66EBD9F9" w:rsidR="00CD7BE0" w:rsidRPr="00EC69CB" w:rsidRDefault="00C40AB5" w:rsidP="00640BE1">
      <w:pPr>
        <w:pStyle w:val="Prrafodelista"/>
        <w:numPr>
          <w:ilvl w:val="0"/>
          <w:numId w:val="3"/>
        </w:numPr>
        <w:spacing w:line="360" w:lineRule="auto"/>
        <w:ind w:left="0" w:right="-93" w:firstLine="0"/>
        <w:jc w:val="both"/>
        <w:rPr>
          <w:rFonts w:ascii="Palatino Linotype" w:eastAsia="Calibri" w:hAnsi="Palatino Linotype" w:cs="Tahoma"/>
          <w:bCs/>
          <w:lang w:val="es-ES_tradnl" w:eastAsia="en-US"/>
        </w:rPr>
      </w:pPr>
      <w:r w:rsidRPr="00EC69CB">
        <w:rPr>
          <w:rFonts w:ascii="Palatino Linotype" w:hAnsi="Palatino Linotype" w:cs="Tahoma"/>
          <w:lang w:val="es-ES_tradnl"/>
        </w:rPr>
        <w:lastRenderedPageBreak/>
        <w:t>En razón de lo anterior y si bien el particular manifiesta en sus motivos de inconformidad que</w:t>
      </w:r>
      <w:r w:rsidRPr="00EC69CB">
        <w:rPr>
          <w:rFonts w:ascii="Palatino Linotype" w:hAnsi="Palatino Linotype"/>
          <w:color w:val="000000"/>
        </w:rPr>
        <w:t xml:space="preserve"> “</w:t>
      </w:r>
      <w:r w:rsidRPr="00EC69CB">
        <w:rPr>
          <w:rFonts w:ascii="Palatino Linotype" w:hAnsi="Palatino Linotype" w:cs="Tahoma"/>
        </w:rPr>
        <w:t>POR OTRO LADO MI SOLICITUD DE INFORMACIÓN PÚBLICA, FENECÍA EL DÍA 22 DE LOS PRESENTES, TIEMPO NECESARIO PARA PODER ENTREGARME LA MISMA, SEGÚN SU RESPUESTA.”, lo cierto es que a la fecha de la solicitud de información esto es el treinta y uno (31) de enero</w:t>
      </w:r>
      <w:r w:rsidR="003A080D" w:rsidRPr="00EC69CB">
        <w:rPr>
          <w:rFonts w:ascii="Palatino Linotype" w:hAnsi="Palatino Linotype" w:cs="Tahoma"/>
        </w:rPr>
        <w:t xml:space="preserve"> de dos mil veintidós,</w:t>
      </w:r>
      <w:r w:rsidRPr="00EC69CB">
        <w:rPr>
          <w:rFonts w:ascii="Palatino Linotype" w:hAnsi="Palatino Linotype" w:cs="Tahoma"/>
        </w:rPr>
        <w:t xml:space="preserve"> el ente recurrido, no contaba con la información solicitada, y en razón de que </w:t>
      </w:r>
      <w:r w:rsidR="004F36DB" w:rsidRPr="00EC69CB">
        <w:rPr>
          <w:rFonts w:ascii="Palatino Linotype" w:hAnsi="Palatino Linotype" w:cs="Tahoma"/>
          <w:lang w:val="es-ES_tradnl"/>
        </w:rPr>
        <w:t>los Sujetos Obligados únicamente se encuentran constreñidos a hacer entrega de la información solicitada que obre en sus archivos, esto es, a la documentación generada a la fecha de la solicitud</w:t>
      </w:r>
      <w:r w:rsidR="008C6C18" w:rsidRPr="00EC69CB">
        <w:rPr>
          <w:rFonts w:ascii="Palatino Linotype" w:hAnsi="Palatino Linotype" w:cs="Tahoma"/>
          <w:i/>
          <w:iCs/>
          <w:lang w:val="es-ES_tradnl"/>
        </w:rPr>
        <w:t xml:space="preserve">, </w:t>
      </w:r>
      <w:r w:rsidR="004F36DB" w:rsidRPr="00EC69CB">
        <w:rPr>
          <w:rFonts w:ascii="Palatino Linotype" w:hAnsi="Palatino Linotype" w:cs="Tahoma"/>
          <w:b/>
          <w:bCs/>
          <w:lang w:val="es-ES_tradnl"/>
        </w:rPr>
        <w:t>este Instituto se encuentra impedido para requerir</w:t>
      </w:r>
      <w:r w:rsidR="00CD7BE0" w:rsidRPr="00EC69CB">
        <w:rPr>
          <w:rFonts w:ascii="Palatino Linotype" w:hAnsi="Palatino Linotype" w:cs="Tahoma"/>
          <w:b/>
          <w:bCs/>
          <w:lang w:val="es-ES_tradnl"/>
        </w:rPr>
        <w:t xml:space="preserve"> la entrega de </w:t>
      </w:r>
      <w:r w:rsidR="003A080D" w:rsidRPr="00EC69CB">
        <w:rPr>
          <w:rFonts w:ascii="Palatino Linotype" w:hAnsi="Palatino Linotype" w:cs="Tahoma"/>
          <w:b/>
          <w:bCs/>
          <w:lang w:val="es-ES_tradnl"/>
        </w:rPr>
        <w:t>la información en los términos referidos por el particular.</w:t>
      </w:r>
    </w:p>
    <w:p w14:paraId="1973983F" w14:textId="77777777" w:rsidR="00CD7BE0" w:rsidRPr="00EC69CB" w:rsidRDefault="00CD7BE0" w:rsidP="00CD7BE0">
      <w:pPr>
        <w:pStyle w:val="Prrafodelista"/>
        <w:spacing w:line="360" w:lineRule="auto"/>
        <w:ind w:left="0" w:right="-93"/>
        <w:jc w:val="both"/>
        <w:rPr>
          <w:rFonts w:ascii="Palatino Linotype" w:eastAsia="Calibri" w:hAnsi="Palatino Linotype" w:cs="Tahoma"/>
          <w:bCs/>
          <w:lang w:val="es-ES_tradnl" w:eastAsia="en-US"/>
        </w:rPr>
      </w:pPr>
    </w:p>
    <w:p w14:paraId="398DD4E2" w14:textId="692A2AA2" w:rsidR="004F36DB" w:rsidRPr="00EC69CB" w:rsidRDefault="003A080D" w:rsidP="00640BE1">
      <w:pPr>
        <w:pStyle w:val="Prrafodelista"/>
        <w:numPr>
          <w:ilvl w:val="0"/>
          <w:numId w:val="3"/>
        </w:numPr>
        <w:spacing w:line="360" w:lineRule="auto"/>
        <w:ind w:left="0" w:right="-93" w:firstLine="0"/>
        <w:jc w:val="both"/>
        <w:rPr>
          <w:rFonts w:ascii="Palatino Linotype" w:eastAsia="Calibri" w:hAnsi="Palatino Linotype" w:cs="Tahoma"/>
          <w:bCs/>
          <w:lang w:val="es-ES_tradnl" w:eastAsia="en-US"/>
        </w:rPr>
      </w:pPr>
      <w:r w:rsidRPr="00EC69CB">
        <w:rPr>
          <w:rFonts w:ascii="Palatino Linotype" w:hAnsi="Palatino Linotype" w:cs="Tahoma"/>
          <w:lang w:val="es-ES_tradnl"/>
        </w:rPr>
        <w:t xml:space="preserve">Así y </w:t>
      </w:r>
      <w:r w:rsidR="00CD7BE0" w:rsidRPr="00EC69CB">
        <w:rPr>
          <w:rFonts w:ascii="Palatino Linotype" w:hAnsi="Palatino Linotype" w:cs="Tahoma"/>
          <w:lang w:val="es-ES_tradnl"/>
        </w:rPr>
        <w:t xml:space="preserve"> en razón </w:t>
      </w:r>
      <w:r w:rsidR="004F36DB" w:rsidRPr="00EC69CB">
        <w:rPr>
          <w:rFonts w:ascii="Palatino Linotype" w:hAnsi="Palatino Linotype" w:cs="Tahoma"/>
          <w:lang w:val="es-ES_tradnl"/>
        </w:rPr>
        <w:t xml:space="preserve">del razonamiento expuesto, </w:t>
      </w:r>
      <w:r w:rsidR="004F36DB" w:rsidRPr="00EC69CB">
        <w:rPr>
          <w:rFonts w:ascii="Palatino Linotype" w:hAnsi="Palatino Linotype" w:cs="Tahoma"/>
          <w:b/>
          <w:u w:val="single"/>
          <w:lang w:val="es-ES_tradnl"/>
        </w:rPr>
        <w:t>se dejan a salvo los derechos del Particular para que, de convenir a sus intereses, presente una nueva solicitud de acceso a la información an</w:t>
      </w:r>
      <w:r w:rsidR="008C6C18" w:rsidRPr="00EC69CB">
        <w:rPr>
          <w:rFonts w:ascii="Palatino Linotype" w:hAnsi="Palatino Linotype" w:cs="Tahoma"/>
          <w:b/>
          <w:u w:val="single"/>
          <w:lang w:val="es-ES_tradnl"/>
        </w:rPr>
        <w:t>te el Ayuntamiento de Tultepec, en la que requiera los informes solicitados</w:t>
      </w:r>
      <w:r w:rsidR="004F36DB" w:rsidRPr="00EC69CB">
        <w:rPr>
          <w:rFonts w:ascii="Palatino Linotype" w:hAnsi="Palatino Linotype" w:cs="Tahoma"/>
          <w:b/>
          <w:u w:val="single"/>
          <w:lang w:val="es-ES_tradnl"/>
        </w:rPr>
        <w:t>.</w:t>
      </w:r>
      <w:r w:rsidR="004F36DB" w:rsidRPr="00EC69CB">
        <w:rPr>
          <w:rFonts w:ascii="Palatino Linotype" w:hAnsi="Palatino Linotype" w:cs="Tahoma"/>
          <w:u w:val="single"/>
          <w:lang w:val="es-ES_tradnl"/>
        </w:rPr>
        <w:t xml:space="preserve"> </w:t>
      </w:r>
    </w:p>
    <w:p w14:paraId="5AE3F67E" w14:textId="48A2AD31" w:rsidR="004F36DB" w:rsidRPr="00EC69CB" w:rsidRDefault="004F36DB" w:rsidP="004F36DB">
      <w:pPr>
        <w:tabs>
          <w:tab w:val="left" w:pos="426"/>
        </w:tabs>
        <w:spacing w:after="160" w:line="360" w:lineRule="auto"/>
        <w:ind w:right="51"/>
        <w:contextualSpacing/>
        <w:jc w:val="both"/>
        <w:rPr>
          <w:rFonts w:ascii="Palatino Linotype" w:eastAsia="MS Mincho" w:hAnsi="Palatino Linotype"/>
          <w:color w:val="000000"/>
          <w:lang w:val="es-ES_tradnl"/>
        </w:rPr>
      </w:pPr>
    </w:p>
    <w:p w14:paraId="2CF0D61A" w14:textId="77777777" w:rsidR="00976C25" w:rsidRPr="00EC69CB" w:rsidRDefault="00976C25" w:rsidP="00976C25">
      <w:pPr>
        <w:keepNext/>
        <w:keepLines/>
        <w:spacing w:before="240" w:line="259" w:lineRule="auto"/>
        <w:jc w:val="both"/>
        <w:outlineLvl w:val="0"/>
        <w:rPr>
          <w:rFonts w:ascii="Palatino Linotype" w:eastAsia="MS Mincho" w:hAnsi="Palatino Linotype"/>
          <w:b/>
          <w:lang w:val="es-ES_tradnl"/>
        </w:rPr>
      </w:pPr>
      <w:bookmarkStart w:id="71" w:name="_Toc67588008"/>
      <w:bookmarkStart w:id="72" w:name="_Toc68804770"/>
      <w:bookmarkStart w:id="73" w:name="_Toc80958963"/>
      <w:bookmarkStart w:id="74" w:name="_Toc97833534"/>
      <w:bookmarkStart w:id="75" w:name="_Toc98439411"/>
      <w:r w:rsidRPr="00EC69CB">
        <w:rPr>
          <w:rFonts w:ascii="Palatino Linotype" w:eastAsia="MS Mincho" w:hAnsi="Palatino Linotype"/>
          <w:b/>
          <w:lang w:val="es-ES_tradnl"/>
        </w:rPr>
        <w:t>QUINTO. De la decisión.</w:t>
      </w:r>
      <w:bookmarkEnd w:id="71"/>
      <w:bookmarkEnd w:id="72"/>
      <w:bookmarkEnd w:id="73"/>
      <w:bookmarkEnd w:id="74"/>
      <w:bookmarkEnd w:id="75"/>
      <w:r w:rsidRPr="00EC69CB">
        <w:rPr>
          <w:rFonts w:ascii="Palatino Linotype" w:eastAsia="MS Mincho" w:hAnsi="Palatino Linotype"/>
          <w:b/>
          <w:lang w:val="es-ES_tradnl"/>
        </w:rPr>
        <w:t xml:space="preserve"> </w:t>
      </w:r>
    </w:p>
    <w:p w14:paraId="2E526DC7" w14:textId="77777777" w:rsidR="00976C25" w:rsidRPr="00EC69CB" w:rsidRDefault="00976C25" w:rsidP="00976C25">
      <w:pPr>
        <w:keepNext/>
        <w:keepLines/>
        <w:spacing w:line="360" w:lineRule="auto"/>
        <w:jc w:val="both"/>
        <w:outlineLvl w:val="1"/>
        <w:rPr>
          <w:rFonts w:ascii="Palatino Linotype" w:eastAsia="MS Mincho" w:hAnsi="Palatino Linotype"/>
          <w:b/>
          <w:color w:val="000000"/>
          <w:lang w:val="es-ES_tradnl"/>
        </w:rPr>
      </w:pPr>
    </w:p>
    <w:p w14:paraId="2B4A25F7" w14:textId="21E62116" w:rsidR="00976C25" w:rsidRPr="00EC69CB" w:rsidRDefault="00976C25" w:rsidP="00640BE1">
      <w:pPr>
        <w:numPr>
          <w:ilvl w:val="0"/>
          <w:numId w:val="3"/>
        </w:numPr>
        <w:spacing w:after="160" w:line="360" w:lineRule="auto"/>
        <w:ind w:left="0" w:right="49" w:firstLine="0"/>
        <w:contextualSpacing/>
        <w:jc w:val="both"/>
        <w:rPr>
          <w:rFonts w:ascii="Palatino Linotype" w:eastAsia="MS Mincho" w:hAnsi="Palatino Linotype"/>
          <w:color w:val="000000"/>
        </w:rPr>
      </w:pPr>
      <w:r w:rsidRPr="00EC69CB">
        <w:rPr>
          <w:rFonts w:ascii="Palatino Linotype" w:hAnsi="Palatino Linotype" w:cs="Tahoma"/>
          <w:lang w:val="es-MX"/>
        </w:rPr>
        <w:t xml:space="preserve">Con base en todo lo expuesto, y con fundamento en el artículo 186, fracción II, de la Ley de Transparencia y Acceso a la Información Pública del Estado de México y Municipios, este Instituto considera procedente </w:t>
      </w:r>
      <w:r w:rsidRPr="00EC69CB">
        <w:rPr>
          <w:rFonts w:ascii="Palatino Linotype" w:hAnsi="Palatino Linotype" w:cs="Tahoma"/>
          <w:b/>
          <w:lang w:val="es-MX"/>
        </w:rPr>
        <w:t xml:space="preserve">CONFIRMAR </w:t>
      </w:r>
      <w:r w:rsidRPr="00EC69CB">
        <w:rPr>
          <w:rFonts w:ascii="Palatino Linotype" w:hAnsi="Palatino Linotype" w:cs="Tahoma"/>
          <w:lang w:val="es-MX"/>
        </w:rPr>
        <w:t>la respuesta otorgada por el</w:t>
      </w:r>
      <w:r w:rsidRPr="00EC69CB">
        <w:rPr>
          <w:rFonts w:ascii="Palatino Linotype" w:eastAsia="Calibri" w:hAnsi="Palatino Linotype" w:cs="Tahoma"/>
          <w:color w:val="000000"/>
          <w:lang w:val="es-MX" w:eastAsia="en-US"/>
        </w:rPr>
        <w:t xml:space="preserve"> </w:t>
      </w:r>
      <w:r w:rsidR="008C6C18" w:rsidRPr="00EC69CB">
        <w:rPr>
          <w:rFonts w:ascii="Palatino Linotype" w:hAnsi="Palatino Linotype" w:cs="Tahoma"/>
          <w:b/>
          <w:lang w:val="es-ES_tradnl"/>
        </w:rPr>
        <w:t>Ayuntamiento de Tultepec</w:t>
      </w:r>
      <w:r w:rsidRPr="00EC69CB">
        <w:rPr>
          <w:rFonts w:ascii="Palatino Linotype" w:eastAsia="MS Mincho" w:hAnsi="Palatino Linotype"/>
          <w:lang w:val="es-ES_tradnl"/>
        </w:rPr>
        <w:t xml:space="preserve">, debido a que se atendieron los requerimientos realizados por el particular por el servidor público habilitado. </w:t>
      </w:r>
    </w:p>
    <w:p w14:paraId="569F30D2" w14:textId="77777777" w:rsidR="00976C25" w:rsidRPr="00EC69CB" w:rsidRDefault="00976C25" w:rsidP="00976C25">
      <w:pPr>
        <w:spacing w:line="360" w:lineRule="auto"/>
        <w:ind w:right="49"/>
        <w:contextualSpacing/>
        <w:jc w:val="both"/>
        <w:rPr>
          <w:rFonts w:ascii="Palatino Linotype" w:eastAsia="MS Mincho" w:hAnsi="Palatino Linotype"/>
          <w:color w:val="000000"/>
        </w:rPr>
      </w:pPr>
    </w:p>
    <w:p w14:paraId="3420DC0E" w14:textId="77777777" w:rsidR="00976C25" w:rsidRPr="00EC69CB" w:rsidRDefault="00976C25" w:rsidP="00640BE1">
      <w:pPr>
        <w:numPr>
          <w:ilvl w:val="0"/>
          <w:numId w:val="3"/>
        </w:numPr>
        <w:spacing w:after="160" w:line="360" w:lineRule="auto"/>
        <w:ind w:left="0" w:right="49" w:firstLine="0"/>
        <w:contextualSpacing/>
        <w:jc w:val="both"/>
        <w:rPr>
          <w:rFonts w:ascii="Palatino Linotype" w:eastAsia="MS Mincho" w:hAnsi="Palatino Linotype"/>
          <w:lang w:val="es-ES_tradnl"/>
        </w:rPr>
      </w:pPr>
      <w:r w:rsidRPr="00EC69CB">
        <w:rPr>
          <w:rFonts w:ascii="Palatino Linotype" w:eastAsia="MS Mincho" w:hAnsi="Palatino Linotype"/>
          <w:color w:val="000000"/>
        </w:rPr>
        <w:lastRenderedPageBreak/>
        <w:t xml:space="preserve">Por lo anteriormente expuesto y fundado, este </w:t>
      </w:r>
      <w:r w:rsidRPr="00EC69CB">
        <w:rPr>
          <w:rFonts w:ascii="Palatino Linotype" w:eastAsia="MS Mincho" w:hAnsi="Palatino Linotype"/>
          <w:b/>
          <w:bCs/>
          <w:color w:val="000000"/>
        </w:rPr>
        <w:t>ÓRGANO GARANTE</w:t>
      </w:r>
      <w:r w:rsidRPr="00EC69CB">
        <w:rPr>
          <w:rFonts w:ascii="Palatino Linotype" w:eastAsia="MS Mincho" w:hAnsi="Palatino Linotype"/>
          <w:color w:val="000000"/>
        </w:rPr>
        <w:t xml:space="preserve"> emite los siguientes:</w:t>
      </w:r>
    </w:p>
    <w:p w14:paraId="6BA6D0E9" w14:textId="77777777" w:rsidR="00976C25" w:rsidRPr="00EC69CB" w:rsidRDefault="00976C25" w:rsidP="00976C25">
      <w:pPr>
        <w:spacing w:line="360" w:lineRule="auto"/>
        <w:jc w:val="both"/>
        <w:rPr>
          <w:rFonts w:ascii="Palatino Linotype" w:eastAsia="MS Mincho" w:hAnsi="Palatino Linotype"/>
          <w:b/>
          <w:color w:val="000000"/>
          <w:lang w:val="es-ES_tradnl"/>
        </w:rPr>
      </w:pPr>
      <w:bookmarkStart w:id="76" w:name="_Toc495427547"/>
      <w:bookmarkStart w:id="77" w:name="_Toc497905366"/>
    </w:p>
    <w:p w14:paraId="79A973F3" w14:textId="77777777" w:rsidR="00976C25" w:rsidRPr="00EC69CB" w:rsidRDefault="00976C25" w:rsidP="00976C25">
      <w:pPr>
        <w:keepNext/>
        <w:keepLines/>
        <w:spacing w:before="240" w:line="259" w:lineRule="auto"/>
        <w:jc w:val="center"/>
        <w:outlineLvl w:val="0"/>
        <w:rPr>
          <w:rFonts w:ascii="Palatino Linotype" w:hAnsi="Palatino Linotype"/>
          <w:b/>
          <w:color w:val="000000"/>
          <w:lang w:val="es-MX" w:eastAsia="en-US"/>
        </w:rPr>
      </w:pPr>
      <w:bookmarkStart w:id="78" w:name="_Toc80958964"/>
      <w:bookmarkStart w:id="79" w:name="_Toc97833535"/>
      <w:bookmarkStart w:id="80" w:name="_Toc98439412"/>
      <w:r w:rsidRPr="00EC69CB">
        <w:rPr>
          <w:rFonts w:ascii="Palatino Linotype" w:hAnsi="Palatino Linotype"/>
          <w:b/>
          <w:color w:val="000000"/>
          <w:lang w:val="es-MX" w:eastAsia="en-US"/>
        </w:rPr>
        <w:t>R E S O L U T I V O S</w:t>
      </w:r>
      <w:bookmarkEnd w:id="69"/>
      <w:bookmarkEnd w:id="70"/>
      <w:bookmarkEnd w:id="76"/>
      <w:bookmarkEnd w:id="77"/>
      <w:bookmarkEnd w:id="78"/>
      <w:bookmarkEnd w:id="79"/>
      <w:bookmarkEnd w:id="80"/>
    </w:p>
    <w:p w14:paraId="74D23479" w14:textId="77777777" w:rsidR="00976C25" w:rsidRPr="00EC69CB" w:rsidRDefault="00976C25" w:rsidP="00976C25">
      <w:pPr>
        <w:tabs>
          <w:tab w:val="left" w:pos="426"/>
        </w:tabs>
        <w:spacing w:line="360" w:lineRule="auto"/>
        <w:ind w:right="51"/>
        <w:contextualSpacing/>
        <w:jc w:val="both"/>
        <w:rPr>
          <w:rFonts w:ascii="Palatino Linotype" w:eastAsia="MS Mincho" w:hAnsi="Palatino Linotype"/>
          <w:b/>
          <w:color w:val="000000"/>
          <w:lang w:val="es-ES_tradnl"/>
        </w:rPr>
      </w:pPr>
    </w:p>
    <w:p w14:paraId="3F340842" w14:textId="4531AF66" w:rsidR="00976C25" w:rsidRPr="00EC69CB" w:rsidRDefault="00976C25" w:rsidP="00976C25">
      <w:pPr>
        <w:spacing w:line="360" w:lineRule="auto"/>
        <w:jc w:val="both"/>
        <w:rPr>
          <w:rFonts w:ascii="Palatino Linotype" w:hAnsi="Palatino Linotype"/>
          <w:lang w:val="es-ES_tradnl"/>
        </w:rPr>
      </w:pPr>
      <w:r w:rsidRPr="00EC69CB">
        <w:rPr>
          <w:rFonts w:ascii="Palatino Linotype" w:hAnsi="Palatino Linotype" w:cs="Arial"/>
          <w:b/>
          <w:lang w:val="es-ES_tradnl"/>
        </w:rPr>
        <w:t xml:space="preserve">PRIMERO. </w:t>
      </w:r>
      <w:r w:rsidRPr="00EC69CB">
        <w:rPr>
          <w:rFonts w:ascii="Palatino Linotype" w:hAnsi="Palatino Linotype" w:cs="Arial"/>
          <w:lang w:val="es-ES_tradnl"/>
        </w:rPr>
        <w:t>Resultan infundadas las</w:t>
      </w:r>
      <w:r w:rsidRPr="00EC69CB">
        <w:rPr>
          <w:rFonts w:ascii="Palatino Linotype" w:hAnsi="Palatino Linotype" w:cs="Arial"/>
          <w:b/>
          <w:lang w:val="es-ES_tradnl"/>
        </w:rPr>
        <w:t xml:space="preserve"> </w:t>
      </w:r>
      <w:r w:rsidRPr="00EC69CB">
        <w:rPr>
          <w:rFonts w:ascii="Palatino Linotype" w:hAnsi="Palatino Linotype" w:cs="Arial"/>
        </w:rPr>
        <w:t xml:space="preserve">razones o motivos de inconformidad hechos valer </w:t>
      </w:r>
      <w:r w:rsidRPr="00EC69CB">
        <w:rPr>
          <w:rFonts w:ascii="Palatino Linotype" w:eastAsia="Calibri" w:hAnsi="Palatino Linotype" w:cs="Arial"/>
        </w:rPr>
        <w:t>en el recurso de revisión</w:t>
      </w:r>
      <w:r w:rsidR="00CD7BE0" w:rsidRPr="00EC69CB">
        <w:rPr>
          <w:rFonts w:ascii="Palatino Linotype" w:eastAsia="Calibri" w:hAnsi="Palatino Linotype" w:cs="Arial"/>
          <w:b/>
          <w:bCs/>
        </w:rPr>
        <w:t xml:space="preserve"> 00643/INFOEM/IP/RR/2022</w:t>
      </w:r>
      <w:r w:rsidRPr="00EC69CB">
        <w:rPr>
          <w:rFonts w:ascii="Palatino Linotype" w:eastAsia="MS Mincho" w:hAnsi="Palatino Linotype" w:cs="Arial"/>
          <w:b/>
          <w:bCs/>
          <w:lang w:val="es-ES_tradnl"/>
        </w:rPr>
        <w:t xml:space="preserve">, </w:t>
      </w:r>
      <w:r w:rsidRPr="00EC69CB">
        <w:rPr>
          <w:rFonts w:ascii="Palatino Linotype" w:eastAsia="MS Mincho" w:hAnsi="Palatino Linotype" w:cs="Arial"/>
          <w:bCs/>
          <w:lang w:val="es-ES_tradnl"/>
        </w:rPr>
        <w:t xml:space="preserve">en términos de los </w:t>
      </w:r>
      <w:r w:rsidRPr="00EC69CB">
        <w:rPr>
          <w:rFonts w:ascii="Palatino Linotype" w:eastAsia="MS Mincho" w:hAnsi="Palatino Linotype" w:cs="Arial"/>
          <w:lang w:val="es-ES_tradnl"/>
        </w:rPr>
        <w:t>Considerandos</w:t>
      </w:r>
      <w:r w:rsidRPr="00EC69CB">
        <w:rPr>
          <w:rFonts w:ascii="Palatino Linotype" w:eastAsia="MS Mincho" w:hAnsi="Palatino Linotype" w:cs="Arial"/>
          <w:bCs/>
          <w:lang w:val="es-ES_tradnl"/>
        </w:rPr>
        <w:t xml:space="preserve"> </w:t>
      </w:r>
      <w:r w:rsidRPr="00EC69CB">
        <w:rPr>
          <w:rFonts w:ascii="Palatino Linotype" w:eastAsia="MS Mincho" w:hAnsi="Palatino Linotype" w:cs="Arial"/>
          <w:b/>
          <w:bCs/>
          <w:lang w:val="es-ES_tradnl"/>
        </w:rPr>
        <w:t>CUARTO</w:t>
      </w:r>
      <w:r w:rsidRPr="00EC69CB">
        <w:rPr>
          <w:rFonts w:ascii="Palatino Linotype" w:eastAsia="MS Mincho" w:hAnsi="Palatino Linotype" w:cs="Arial"/>
          <w:bCs/>
          <w:lang w:val="es-ES_tradnl"/>
        </w:rPr>
        <w:t xml:space="preserve"> y </w:t>
      </w:r>
      <w:r w:rsidRPr="00EC69CB">
        <w:rPr>
          <w:rFonts w:ascii="Palatino Linotype" w:eastAsia="MS Mincho" w:hAnsi="Palatino Linotype" w:cs="Arial"/>
          <w:b/>
          <w:lang w:val="es-ES_tradnl"/>
        </w:rPr>
        <w:t>QUINTO</w:t>
      </w:r>
      <w:r w:rsidRPr="00EC69CB">
        <w:rPr>
          <w:rFonts w:ascii="Palatino Linotype" w:eastAsia="MS Mincho" w:hAnsi="Palatino Linotype" w:cs="Arial"/>
          <w:bCs/>
          <w:lang w:val="es-ES_tradnl"/>
        </w:rPr>
        <w:t xml:space="preserve"> de la presente resolución.</w:t>
      </w:r>
    </w:p>
    <w:p w14:paraId="4A2DA105" w14:textId="77777777" w:rsidR="00976C25" w:rsidRPr="00EC69CB" w:rsidRDefault="00976C25" w:rsidP="00976C25">
      <w:pPr>
        <w:spacing w:line="360" w:lineRule="auto"/>
        <w:jc w:val="both"/>
        <w:rPr>
          <w:rFonts w:ascii="Palatino Linotype" w:eastAsia="MS Mincho" w:hAnsi="Palatino Linotype"/>
          <w:b/>
          <w:lang w:val="es-ES_tradnl"/>
        </w:rPr>
      </w:pPr>
    </w:p>
    <w:p w14:paraId="53871CE0" w14:textId="4AF5DAA1" w:rsidR="00976C25" w:rsidRPr="00EC69CB" w:rsidRDefault="00976C25" w:rsidP="00976C25">
      <w:pPr>
        <w:spacing w:line="360" w:lineRule="auto"/>
        <w:jc w:val="both"/>
        <w:rPr>
          <w:rFonts w:ascii="Palatino Linotype" w:eastAsia="Calibri" w:hAnsi="Palatino Linotype" w:cs="Arial"/>
          <w:b/>
          <w:lang w:val="es-MX"/>
        </w:rPr>
      </w:pPr>
      <w:r w:rsidRPr="00EC69CB">
        <w:rPr>
          <w:rFonts w:ascii="Palatino Linotype" w:eastAsia="MS Mincho" w:hAnsi="Palatino Linotype"/>
          <w:b/>
          <w:lang w:val="es-ES_tradnl"/>
        </w:rPr>
        <w:t>SEGUNDO.</w:t>
      </w:r>
      <w:r w:rsidRPr="00EC69CB">
        <w:rPr>
          <w:rFonts w:ascii="Palatino Linotype" w:eastAsia="MS Gothic" w:hAnsi="Palatino Linotype"/>
          <w:b/>
          <w:color w:val="365F91"/>
          <w:lang w:val="es-MX" w:eastAsia="en-US"/>
        </w:rPr>
        <w:t xml:space="preserve"> </w:t>
      </w:r>
      <w:r w:rsidRPr="00EC69CB">
        <w:rPr>
          <w:rFonts w:ascii="Palatino Linotype" w:eastAsia="Calibri" w:hAnsi="Palatino Linotype" w:cs="Arial"/>
        </w:rPr>
        <w:t>Se</w:t>
      </w:r>
      <w:r w:rsidRPr="00EC69CB">
        <w:rPr>
          <w:rFonts w:ascii="Palatino Linotype" w:eastAsia="Calibri" w:hAnsi="Palatino Linotype" w:cs="Arial"/>
          <w:b/>
        </w:rPr>
        <w:t xml:space="preserve"> CONFIRMA </w:t>
      </w:r>
      <w:r w:rsidRPr="00EC69CB">
        <w:rPr>
          <w:rFonts w:ascii="Palatino Linotype" w:eastAsia="Calibri" w:hAnsi="Palatino Linotype" w:cs="Arial"/>
        </w:rPr>
        <w:t xml:space="preserve">la respuesta emitida por el </w:t>
      </w:r>
      <w:r w:rsidR="00CD7BE0" w:rsidRPr="00EC69CB">
        <w:rPr>
          <w:rFonts w:ascii="Palatino Linotype" w:eastAsia="Calibri" w:hAnsi="Palatino Linotype" w:cs="Arial"/>
          <w:b/>
          <w:lang w:val="es-ES_tradnl"/>
        </w:rPr>
        <w:t>Ayuntamiento de Tultepec</w:t>
      </w:r>
      <w:r w:rsidRPr="00EC69CB">
        <w:rPr>
          <w:rFonts w:ascii="Palatino Linotype" w:eastAsia="Calibri" w:hAnsi="Palatino Linotype" w:cs="Arial"/>
          <w:b/>
          <w:lang w:val="es-MX"/>
        </w:rPr>
        <w:t xml:space="preserve"> </w:t>
      </w:r>
      <w:r w:rsidRPr="00EC69CB">
        <w:rPr>
          <w:rFonts w:ascii="Palatino Linotype" w:eastAsia="Calibri" w:hAnsi="Palatino Linotype" w:cs="Arial"/>
        </w:rPr>
        <w:t>a la solicitud</w:t>
      </w:r>
      <w:r w:rsidRPr="00EC69CB">
        <w:rPr>
          <w:rFonts w:ascii="Palatino Linotype" w:eastAsia="Calibri" w:hAnsi="Palatino Linotype"/>
          <w:color w:val="000000"/>
          <w:lang w:val="es-MX" w:eastAsia="en-US"/>
        </w:rPr>
        <w:t xml:space="preserve"> </w:t>
      </w:r>
      <w:r w:rsidR="00CD7BE0" w:rsidRPr="00EC69CB">
        <w:rPr>
          <w:rFonts w:ascii="Palatino Linotype" w:eastAsia="Calibri" w:hAnsi="Palatino Linotype"/>
          <w:b/>
          <w:bCs/>
          <w:color w:val="000000"/>
          <w:lang w:eastAsia="en-US"/>
        </w:rPr>
        <w:t>00016/TULTEPEC/IP/2022.</w:t>
      </w:r>
    </w:p>
    <w:p w14:paraId="016B91F9" w14:textId="77777777" w:rsidR="00976C25" w:rsidRPr="00EC69CB" w:rsidRDefault="00976C25" w:rsidP="00976C25">
      <w:pPr>
        <w:spacing w:line="360" w:lineRule="auto"/>
        <w:jc w:val="both"/>
        <w:rPr>
          <w:rFonts w:ascii="Palatino Linotype" w:eastAsia="Calibri" w:hAnsi="Palatino Linotype" w:cs="Arial"/>
        </w:rPr>
      </w:pPr>
    </w:p>
    <w:p w14:paraId="16CBB3B5" w14:textId="77777777" w:rsidR="00976C25" w:rsidRPr="00EC69CB" w:rsidRDefault="00976C25" w:rsidP="00976C25">
      <w:pPr>
        <w:shd w:val="clear" w:color="auto" w:fill="FFFFFF"/>
        <w:spacing w:line="360" w:lineRule="auto"/>
        <w:jc w:val="both"/>
        <w:rPr>
          <w:rFonts w:ascii="Palatino Linotype" w:hAnsi="Palatino Linotype" w:cs="Arial"/>
          <w:b/>
          <w:lang w:val="es-ES_tradnl"/>
        </w:rPr>
      </w:pPr>
      <w:r w:rsidRPr="00EC69CB">
        <w:rPr>
          <w:rFonts w:ascii="Palatino Linotype" w:hAnsi="Palatino Linotype" w:cs="Arial"/>
          <w:b/>
          <w:bCs/>
          <w:color w:val="222222"/>
          <w:lang w:val="es-ES_tradnl" w:eastAsia="es-MX"/>
        </w:rPr>
        <w:t xml:space="preserve">TERCERO. </w:t>
      </w:r>
      <w:r w:rsidRPr="00EC69CB">
        <w:rPr>
          <w:rFonts w:ascii="Palatino Linotype" w:hAnsi="Palatino Linotype" w:cs="Arial"/>
          <w:b/>
          <w:color w:val="222222"/>
          <w:lang w:val="es-ES_tradnl" w:eastAsia="es-MX"/>
        </w:rPr>
        <w:t>Notifíquese</w:t>
      </w:r>
      <w:r w:rsidRPr="00EC69CB">
        <w:rPr>
          <w:rFonts w:ascii="Palatino Linotype" w:hAnsi="Palatino Linotype" w:cs="Arial"/>
          <w:b/>
          <w:bCs/>
          <w:color w:val="222222"/>
          <w:lang w:val="es-ES_tradnl" w:eastAsia="es-MX"/>
        </w:rPr>
        <w:t xml:space="preserve"> </w:t>
      </w:r>
      <w:r w:rsidRPr="00EC69CB">
        <w:rPr>
          <w:rFonts w:ascii="Palatino Linotype" w:hAnsi="Palatino Linotype" w:cs="Arial"/>
          <w:color w:val="222222"/>
          <w:lang w:val="es-ES_tradnl" w:eastAsia="es-MX"/>
        </w:rPr>
        <w:t xml:space="preserve">al Titular de la Unidad de Transparencia del </w:t>
      </w:r>
      <w:r w:rsidRPr="00EC69CB">
        <w:rPr>
          <w:rFonts w:ascii="Palatino Linotype" w:hAnsi="Palatino Linotype" w:cs="Arial"/>
          <w:b/>
          <w:bCs/>
          <w:color w:val="222222"/>
          <w:lang w:val="es-ES_tradnl" w:eastAsia="es-MX"/>
        </w:rPr>
        <w:t xml:space="preserve">SUJETO OBLIGADO </w:t>
      </w:r>
      <w:r w:rsidRPr="00EC69CB">
        <w:rPr>
          <w:rFonts w:ascii="Palatino Linotype" w:hAnsi="Palatino Linotype" w:cs="Arial"/>
          <w:bCs/>
          <w:color w:val="222222"/>
          <w:lang w:val="es-ES_tradnl" w:eastAsia="es-MX"/>
        </w:rPr>
        <w:t>la presente resolución vía Sistema de Acceso a la Información Mexiquense</w:t>
      </w:r>
      <w:r w:rsidRPr="00EC69CB">
        <w:rPr>
          <w:rFonts w:ascii="Palatino Linotype" w:hAnsi="Palatino Linotype" w:cs="Arial"/>
          <w:b/>
          <w:bCs/>
          <w:color w:val="222222"/>
          <w:lang w:val="es-ES_tradnl" w:eastAsia="es-MX"/>
        </w:rPr>
        <w:t xml:space="preserve"> (SAIMEX)</w:t>
      </w:r>
      <w:r w:rsidRPr="00EC69CB">
        <w:rPr>
          <w:rFonts w:ascii="Palatino Linotype" w:hAnsi="Palatino Linotype" w:cs="Arial"/>
          <w:color w:val="222222"/>
          <w:lang w:val="es-ES_tradnl" w:eastAsia="es-MX"/>
        </w:rPr>
        <w:t>.</w:t>
      </w:r>
    </w:p>
    <w:p w14:paraId="1FB9EDB7" w14:textId="77777777" w:rsidR="00976C25" w:rsidRPr="00EC69CB" w:rsidRDefault="00976C25" w:rsidP="00976C25">
      <w:pPr>
        <w:spacing w:line="360" w:lineRule="auto"/>
        <w:rPr>
          <w:rFonts w:ascii="Palatino Linotype" w:eastAsia="MS Mincho" w:hAnsi="Palatino Linotype"/>
        </w:rPr>
      </w:pPr>
    </w:p>
    <w:p w14:paraId="3AE144FC" w14:textId="77777777" w:rsidR="00976C25" w:rsidRPr="00EC69CB" w:rsidRDefault="00976C25" w:rsidP="00976C25">
      <w:pPr>
        <w:shd w:val="clear" w:color="auto" w:fill="FFFFFF"/>
        <w:spacing w:line="360" w:lineRule="auto"/>
        <w:jc w:val="both"/>
        <w:rPr>
          <w:rFonts w:ascii="Palatino Linotype" w:hAnsi="Palatino Linotype"/>
          <w:color w:val="000000" w:themeColor="text1"/>
          <w:lang w:val="es-ES_tradnl"/>
        </w:rPr>
      </w:pPr>
      <w:r w:rsidRPr="00EC69CB">
        <w:rPr>
          <w:rFonts w:ascii="Palatino Linotype" w:hAnsi="Palatino Linotype" w:cs="Arial"/>
          <w:b/>
          <w:lang w:val="es-ES_tradnl"/>
        </w:rPr>
        <w:t xml:space="preserve">QUINTO. </w:t>
      </w:r>
      <w:r w:rsidRPr="00EC69CB">
        <w:rPr>
          <w:rFonts w:ascii="Palatino Linotype" w:hAnsi="Palatino Linotype"/>
          <w:b/>
          <w:bCs/>
          <w:color w:val="222222"/>
        </w:rPr>
        <w:t xml:space="preserve">Notifíquese </w:t>
      </w:r>
      <w:r w:rsidRPr="00EC69CB">
        <w:rPr>
          <w:rFonts w:ascii="Palatino Linotype" w:hAnsi="Palatino Linotype"/>
          <w:bCs/>
          <w:color w:val="222222"/>
        </w:rPr>
        <w:t xml:space="preserve">al </w:t>
      </w:r>
      <w:r w:rsidRPr="00EC69CB">
        <w:rPr>
          <w:rFonts w:ascii="Palatino Linotype" w:hAnsi="Palatino Linotype"/>
          <w:b/>
          <w:bCs/>
          <w:color w:val="222222"/>
        </w:rPr>
        <w:t>RECURRENTE</w:t>
      </w:r>
      <w:r w:rsidRPr="00EC69CB">
        <w:rPr>
          <w:rFonts w:ascii="Palatino Linotype" w:hAnsi="Palatino Linotype"/>
          <w:bCs/>
          <w:color w:val="222222"/>
        </w:rPr>
        <w:t xml:space="preserve"> </w:t>
      </w:r>
      <w:r w:rsidRPr="00EC69CB">
        <w:rPr>
          <w:rFonts w:ascii="Palatino Linotype" w:hAnsi="Palatino Linotype"/>
          <w:lang w:val="es-ES_tradnl"/>
        </w:rPr>
        <w:t xml:space="preserve">la presente resolución vía </w:t>
      </w:r>
      <w:r w:rsidRPr="00EC69CB">
        <w:rPr>
          <w:rFonts w:ascii="Palatino Linotype" w:hAnsi="Palatino Linotype" w:cs="Arial"/>
          <w:lang w:val="es-ES_tradnl"/>
        </w:rPr>
        <w:t xml:space="preserve">Sistema de Acceso a la Información Mexiquense </w:t>
      </w:r>
      <w:r w:rsidRPr="00EC69CB">
        <w:rPr>
          <w:rFonts w:ascii="Palatino Linotype" w:hAnsi="Palatino Linotype" w:cs="Arial"/>
          <w:b/>
          <w:lang w:val="es-ES_tradnl"/>
        </w:rPr>
        <w:t>(SAIMEX).</w:t>
      </w:r>
    </w:p>
    <w:p w14:paraId="6F203BEB" w14:textId="77777777" w:rsidR="00976C25" w:rsidRPr="00EC69CB" w:rsidRDefault="00976C25" w:rsidP="00976C25">
      <w:pPr>
        <w:spacing w:line="360" w:lineRule="auto"/>
        <w:jc w:val="both"/>
        <w:rPr>
          <w:rFonts w:ascii="Palatino Linotype" w:eastAsia="MS Mincho" w:hAnsi="Palatino Linotype"/>
          <w:b/>
          <w:lang w:val="es-MX"/>
        </w:rPr>
      </w:pPr>
    </w:p>
    <w:p w14:paraId="42A789BA" w14:textId="77777777" w:rsidR="00976C25" w:rsidRPr="00EC69CB" w:rsidRDefault="00976C25" w:rsidP="00976C25">
      <w:pPr>
        <w:spacing w:line="360" w:lineRule="auto"/>
        <w:jc w:val="both"/>
        <w:rPr>
          <w:rFonts w:ascii="Palatino Linotype" w:eastAsia="Calibri" w:hAnsi="Palatino Linotype" w:cs="Arial"/>
        </w:rPr>
      </w:pPr>
      <w:r w:rsidRPr="00EC69CB">
        <w:rPr>
          <w:rFonts w:ascii="Palatino Linotype" w:eastAsia="MS Mincho" w:hAnsi="Palatino Linotype"/>
          <w:b/>
          <w:lang w:val="es-MX"/>
        </w:rPr>
        <w:t>QUINTO.</w:t>
      </w:r>
      <w:r w:rsidRPr="00EC69CB">
        <w:rPr>
          <w:rFonts w:ascii="Palatino Linotype" w:eastAsia="MS Mincho" w:hAnsi="Palatino Linotype"/>
          <w:lang w:val="es-MX"/>
        </w:rPr>
        <w:t xml:space="preserve"> </w:t>
      </w:r>
      <w:r w:rsidRPr="00EC69CB">
        <w:rPr>
          <w:rFonts w:ascii="Palatino Linotype" w:eastAsia="MS Mincho" w:hAnsi="Palatino Linotype"/>
        </w:rPr>
        <w:t xml:space="preserve">Se hace del conocimiento del </w:t>
      </w:r>
      <w:r w:rsidRPr="00EC69CB">
        <w:rPr>
          <w:rFonts w:ascii="Palatino Linotype" w:eastAsia="MS Mincho" w:hAnsi="Palatino Linotype"/>
          <w:b/>
        </w:rPr>
        <w:t>RECURRENTE</w:t>
      </w:r>
      <w:r w:rsidRPr="00EC69CB">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EC69CB">
        <w:rPr>
          <w:rFonts w:ascii="Palatino Linotype" w:eastAsia="MS Mincho" w:hAnsi="Palatino Linotype"/>
          <w:bCs/>
        </w:rPr>
        <w:t>vía juicio de amparo</w:t>
      </w:r>
      <w:r w:rsidRPr="00EC69CB">
        <w:rPr>
          <w:rFonts w:ascii="Palatino Linotype" w:eastAsia="MS Mincho" w:hAnsi="Palatino Linotype"/>
        </w:rPr>
        <w:t xml:space="preserve"> en los términos de las leyes aplicables.</w:t>
      </w:r>
    </w:p>
    <w:p w14:paraId="305B7904" w14:textId="77777777" w:rsidR="00976C25" w:rsidRPr="00EC69CB" w:rsidRDefault="00976C25" w:rsidP="00976C25">
      <w:pPr>
        <w:spacing w:line="360" w:lineRule="auto"/>
        <w:contextualSpacing/>
        <w:jc w:val="both"/>
        <w:rPr>
          <w:rFonts w:ascii="Palatino Linotype" w:hAnsi="Palatino Linotype"/>
          <w:lang w:val="es-ES_tradnl"/>
        </w:rPr>
      </w:pPr>
    </w:p>
    <w:bookmarkStart w:id="81" w:name="_Hlk99014733"/>
    <w:p w14:paraId="506E6526" w14:textId="26EAF5FB" w:rsidR="00EC69CB" w:rsidRPr="00624AAD" w:rsidRDefault="00C90A0B" w:rsidP="00EC69CB">
      <w:pPr>
        <w:spacing w:before="240" w:after="240" w:line="360" w:lineRule="auto"/>
        <w:ind w:firstLine="1"/>
        <w:jc w:val="both"/>
        <w:rPr>
          <w:rFonts w:ascii="Palatino Linotype" w:hAnsi="Palatino Linotype"/>
        </w:rPr>
      </w:pPr>
      <w:r>
        <w:rPr>
          <w:rFonts w:ascii="Palatino Linotype" w:hAnsi="Palatino Linotype"/>
          <w:noProof/>
          <w:lang w:val="en-US" w:eastAsia="en-US"/>
        </w:rPr>
        <mc:AlternateContent>
          <mc:Choice Requires="wps">
            <w:drawing>
              <wp:anchor distT="0" distB="0" distL="114300" distR="114300" simplePos="0" relativeHeight="251663360" behindDoc="0" locked="0" layoutInCell="1" allowOverlap="1" wp14:anchorId="1EEB5688" wp14:editId="3DBDD838">
                <wp:simplePos x="0" y="0"/>
                <wp:positionH relativeFrom="column">
                  <wp:posOffset>36145</wp:posOffset>
                </wp:positionH>
                <wp:positionV relativeFrom="paragraph">
                  <wp:posOffset>3159718</wp:posOffset>
                </wp:positionV>
                <wp:extent cx="5462649" cy="4096987"/>
                <wp:effectExtent l="0" t="0" r="24130" b="37465"/>
                <wp:wrapNone/>
                <wp:docPr id="5" name="Conector recto 5"/>
                <wp:cNvGraphicFramePr/>
                <a:graphic xmlns:a="http://schemas.openxmlformats.org/drawingml/2006/main">
                  <a:graphicData uri="http://schemas.microsoft.com/office/word/2010/wordprocessingShape">
                    <wps:wsp>
                      <wps:cNvCnPr/>
                      <wps:spPr>
                        <a:xfrm>
                          <a:off x="0" y="0"/>
                          <a:ext cx="5462649" cy="4096987"/>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510C0D" id="Conector recto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85pt,248.8pt" to="433pt,5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" strokecolor="#b8cce4 [1300]"/>
            </w:pict>
          </mc:Fallback>
        </mc:AlternateContent>
      </w:r>
      <w:r w:rsidR="00EC69CB" w:rsidRPr="00EC69C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(AUSENCIA JUSTIFICADA)</w:t>
      </w:r>
      <w:r w:rsidR="00EC69CB" w:rsidRPr="00EC69CB">
        <w:rPr>
          <w:rFonts w:ascii="Palatino Linotype" w:hAnsi="Palatino Linotype"/>
        </w:rPr>
        <w:t xml:space="preserve">; Y GUADALUPE RAMÍREZ PEÑA EN LA DÉCIMA PRIMERA SESIÓN ORDINARIA CELEBRADA EL VEINTICUATRO </w:t>
      </w:r>
      <w:r>
        <w:rPr>
          <w:rFonts w:ascii="Palatino Linotype" w:hAnsi="Palatino Linotype"/>
        </w:rPr>
        <w:t xml:space="preserve">(24) </w:t>
      </w:r>
      <w:r w:rsidR="00EC69CB" w:rsidRPr="00EC69CB">
        <w:rPr>
          <w:rFonts w:ascii="Palatino Linotype" w:hAnsi="Palatino Linotype"/>
        </w:rPr>
        <w:t>DE MARZO DE DOS MIL VEINTIDÓS, ANTE EL SECRETARIO TÉCNICO DEL PLENO ALEXIS TAPIA RAMÍREZ.</w:t>
      </w:r>
      <w:r w:rsidR="00EC69CB" w:rsidRPr="00624AAD">
        <w:rPr>
          <w:rFonts w:ascii="Palatino Linotype" w:hAnsi="Palatino Linotype"/>
        </w:rPr>
        <w:t xml:space="preserve"> </w:t>
      </w:r>
    </w:p>
    <w:bookmarkEnd w:id="81"/>
    <w:p w14:paraId="4453F8E6" w14:textId="371CAB52" w:rsidR="00090DE6" w:rsidRDefault="00090DE6" w:rsidP="007D7513">
      <w:pPr>
        <w:spacing w:before="240" w:after="240" w:line="360" w:lineRule="auto"/>
        <w:ind w:firstLine="1"/>
        <w:jc w:val="both"/>
        <w:rPr>
          <w:rFonts w:ascii="Palatino Linotype" w:hAnsi="Palatino Linotype"/>
          <w:lang w:val="es-ES_tradnl"/>
        </w:rPr>
      </w:pPr>
    </w:p>
    <w:p w14:paraId="61E52D7F" w14:textId="3057F791" w:rsidR="00C90A0B" w:rsidRDefault="00C90A0B" w:rsidP="007D7513">
      <w:pPr>
        <w:spacing w:before="240" w:after="240" w:line="360" w:lineRule="auto"/>
        <w:ind w:firstLine="1"/>
        <w:jc w:val="both"/>
        <w:rPr>
          <w:rFonts w:ascii="Palatino Linotype" w:hAnsi="Palatino Linotype"/>
          <w:lang w:val="es-ES_tradnl"/>
        </w:rPr>
      </w:pPr>
    </w:p>
    <w:p w14:paraId="39C13D15" w14:textId="45512C70" w:rsidR="00C90A0B" w:rsidRDefault="00C90A0B" w:rsidP="007D7513">
      <w:pPr>
        <w:spacing w:before="240" w:after="240" w:line="360" w:lineRule="auto"/>
        <w:ind w:firstLine="1"/>
        <w:jc w:val="both"/>
        <w:rPr>
          <w:rFonts w:ascii="Palatino Linotype" w:hAnsi="Palatino Linotype"/>
          <w:lang w:val="es-ES_tradnl"/>
        </w:rPr>
      </w:pPr>
    </w:p>
    <w:p w14:paraId="5622AE69" w14:textId="0B89D74D" w:rsidR="00C90A0B" w:rsidRDefault="00C90A0B" w:rsidP="007D7513">
      <w:pPr>
        <w:spacing w:before="240" w:after="240" w:line="360" w:lineRule="auto"/>
        <w:ind w:firstLine="1"/>
        <w:jc w:val="both"/>
        <w:rPr>
          <w:rFonts w:ascii="Palatino Linotype" w:hAnsi="Palatino Linotype"/>
          <w:lang w:val="es-ES_tradnl"/>
        </w:rPr>
      </w:pPr>
    </w:p>
    <w:p w14:paraId="421560B1" w14:textId="492B3739" w:rsidR="00C90A0B" w:rsidRDefault="00C90A0B" w:rsidP="007D7513">
      <w:pPr>
        <w:spacing w:before="240" w:after="240" w:line="360" w:lineRule="auto"/>
        <w:ind w:firstLine="1"/>
        <w:jc w:val="both"/>
        <w:rPr>
          <w:rFonts w:ascii="Palatino Linotype" w:hAnsi="Palatino Linotype"/>
          <w:lang w:val="es-ES_tradnl"/>
        </w:rPr>
      </w:pPr>
    </w:p>
    <w:p w14:paraId="19F26624" w14:textId="03454428" w:rsidR="00C90A0B" w:rsidRDefault="00C90A0B" w:rsidP="007D7513">
      <w:pPr>
        <w:spacing w:before="240" w:after="240" w:line="360" w:lineRule="auto"/>
        <w:ind w:firstLine="1"/>
        <w:jc w:val="both"/>
        <w:rPr>
          <w:rFonts w:ascii="Palatino Linotype" w:hAnsi="Palatino Linotype"/>
          <w:lang w:val="es-ES_tradnl"/>
        </w:rPr>
      </w:pPr>
    </w:p>
    <w:p w14:paraId="1354542D" w14:textId="252E0B2F" w:rsidR="00C90A0B" w:rsidRDefault="00C90A0B" w:rsidP="007D7513">
      <w:pPr>
        <w:spacing w:before="240" w:after="240" w:line="360" w:lineRule="auto"/>
        <w:ind w:firstLine="1"/>
        <w:jc w:val="both"/>
        <w:rPr>
          <w:rFonts w:ascii="Palatino Linotype" w:hAnsi="Palatino Linotype"/>
          <w:lang w:val="es-ES_tradnl"/>
        </w:rPr>
      </w:pPr>
    </w:p>
    <w:p w14:paraId="726FC377" w14:textId="44AAB1AE" w:rsidR="00C90A0B" w:rsidRDefault="00C90A0B" w:rsidP="007D7513">
      <w:pPr>
        <w:spacing w:before="240" w:after="240" w:line="360" w:lineRule="auto"/>
        <w:ind w:firstLine="1"/>
        <w:jc w:val="both"/>
        <w:rPr>
          <w:rFonts w:ascii="Palatino Linotype" w:hAnsi="Palatino Linotype"/>
          <w:lang w:val="es-ES_tradnl"/>
        </w:rPr>
      </w:pPr>
    </w:p>
    <w:p w14:paraId="636F2704" w14:textId="3A38B73E" w:rsidR="00C90A0B" w:rsidRDefault="00C90A0B" w:rsidP="007D7513">
      <w:pPr>
        <w:spacing w:before="240" w:after="240" w:line="360" w:lineRule="auto"/>
        <w:ind w:firstLine="1"/>
        <w:jc w:val="both"/>
        <w:rPr>
          <w:rFonts w:ascii="Palatino Linotype" w:hAnsi="Palatino Linotype"/>
          <w:lang w:val="es-ES_tradnl"/>
        </w:rPr>
      </w:pPr>
    </w:p>
    <w:p w14:paraId="2CDAA9DB" w14:textId="77777777" w:rsidR="00C90A0B" w:rsidRPr="00282F58" w:rsidRDefault="00C90A0B" w:rsidP="007D7513">
      <w:pPr>
        <w:spacing w:before="240" w:after="240" w:line="360" w:lineRule="auto"/>
        <w:ind w:firstLine="1"/>
        <w:jc w:val="both"/>
        <w:rPr>
          <w:rFonts w:ascii="Palatino Linotype" w:hAnsi="Palatino Linotype"/>
          <w:lang w:val="es-ES_tradnl"/>
        </w:rPr>
      </w:pPr>
    </w:p>
    <w:sectPr w:rsidR="00C90A0B" w:rsidRPr="00282F58"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DE9867" w14:textId="77777777" w:rsidR="00BB60E5" w:rsidRDefault="00BB60E5" w:rsidP="00C80F8C">
      <w:r>
        <w:separator/>
      </w:r>
    </w:p>
  </w:endnote>
  <w:endnote w:type="continuationSeparator" w:id="0">
    <w:p w14:paraId="65BA8C70" w14:textId="77777777" w:rsidR="00BB60E5" w:rsidRDefault="00BB60E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2F78A4C1" w:rsidR="00BD6B75" w:rsidRPr="00817AAB" w:rsidRDefault="00BD6B7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BF2F9A">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BF2F9A">
      <w:rPr>
        <w:rFonts w:ascii="Palatino Linotype" w:hAnsi="Palatino Linotype" w:cs="Arial"/>
        <w:b/>
        <w:bCs/>
        <w:noProof/>
      </w:rPr>
      <w:t>19</w:t>
    </w:r>
    <w:r w:rsidRPr="00817AAB">
      <w:rPr>
        <w:rFonts w:ascii="Palatino Linotype" w:hAnsi="Palatino Linotype" w:cs="Arial"/>
        <w:b/>
        <w:bCs/>
      </w:rPr>
      <w:fldChar w:fldCharType="end"/>
    </w:r>
  </w:p>
  <w:p w14:paraId="1192A578" w14:textId="77777777" w:rsidR="00BD6B75" w:rsidRDefault="00BD6B75" w:rsidP="00935A0D">
    <w:pPr>
      <w:pStyle w:val="Piedepgina"/>
      <w:rPr>
        <w:rFonts w:ascii="Times New Roman" w:hAnsi="Times New Roman" w:cs="Times New Roman"/>
      </w:rPr>
    </w:pPr>
  </w:p>
  <w:p w14:paraId="14A770F8" w14:textId="77777777" w:rsidR="00BD6B75" w:rsidRDefault="00BD6B75"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02F38FB6" w:rsidR="00BD6B75" w:rsidRDefault="00BD6B7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F2F9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F2F9A">
      <w:rPr>
        <w:rFonts w:ascii="Arial" w:hAnsi="Arial" w:cs="Arial"/>
        <w:b/>
        <w:bCs/>
        <w:noProof/>
        <w:sz w:val="20"/>
        <w:szCs w:val="20"/>
      </w:rPr>
      <w:t>19</w:t>
    </w:r>
    <w:r>
      <w:rPr>
        <w:rFonts w:ascii="Arial" w:hAnsi="Arial" w:cs="Arial"/>
        <w:b/>
        <w:bCs/>
        <w:sz w:val="20"/>
        <w:szCs w:val="20"/>
      </w:rPr>
      <w:fldChar w:fldCharType="end"/>
    </w:r>
  </w:p>
  <w:p w14:paraId="5D98ABD5" w14:textId="77777777" w:rsidR="00BD6B75" w:rsidRDefault="00BD6B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C11E8" w14:textId="77777777" w:rsidR="00BB60E5" w:rsidRDefault="00BB60E5" w:rsidP="00C80F8C">
      <w:r>
        <w:separator/>
      </w:r>
    </w:p>
  </w:footnote>
  <w:footnote w:type="continuationSeparator" w:id="0">
    <w:p w14:paraId="0F071392" w14:textId="77777777" w:rsidR="00BB60E5" w:rsidRDefault="00BB60E5" w:rsidP="00C80F8C">
      <w:r>
        <w:continuationSeparator/>
      </w:r>
    </w:p>
  </w:footnote>
  <w:footnote w:id="1">
    <w:p w14:paraId="33878A30" w14:textId="77777777" w:rsidR="00976C25" w:rsidRDefault="00976C25" w:rsidP="00976C25">
      <w:pPr>
        <w:pStyle w:val="Textonotapie"/>
        <w:jc w:val="both"/>
        <w:rPr>
          <w:lang w:val="es-ES"/>
        </w:rPr>
      </w:pPr>
      <w:r>
        <w:rPr>
          <w:rStyle w:val="Refdenotaalpie"/>
        </w:rPr>
        <w:footnoteRef/>
      </w:r>
      <w:r w:rsidRPr="00BE6EA7">
        <w:rPr>
          <w:lang w:val="es-ES"/>
        </w:rPr>
        <w:t>Artículo 179. El recurso de revisión es un medio de protección que la Ley otorga a los particulares, para hacer valer su derecho de acceso a la información pública, y procederá en contra de las siguientes causas:</w:t>
      </w:r>
    </w:p>
    <w:p w14:paraId="71CD2D0D" w14:textId="42C9E51B" w:rsidR="00976C25" w:rsidRDefault="00976C25" w:rsidP="00976C25">
      <w:pPr>
        <w:pStyle w:val="Textonotapie"/>
        <w:jc w:val="both"/>
        <w:rPr>
          <w:lang w:val="es-ES"/>
        </w:rPr>
      </w:pPr>
      <w:r>
        <w:rPr>
          <w:lang w:val="es-ES"/>
        </w:rPr>
        <w:t>(…)</w:t>
      </w:r>
    </w:p>
    <w:p w14:paraId="56670E41" w14:textId="605A52F5" w:rsidR="00450E50" w:rsidRDefault="00450E50" w:rsidP="00976C25">
      <w:pPr>
        <w:pStyle w:val="Textonotapie"/>
        <w:jc w:val="both"/>
      </w:pPr>
      <w:r w:rsidRPr="00450E50">
        <w:rPr>
          <w:lang w:val="es-ES"/>
        </w:rPr>
        <w:t>VI. La entrega de información que no corresponda con lo solicitado;</w:t>
      </w:r>
    </w:p>
    <w:p w14:paraId="0A804707" w14:textId="4FDC0A22" w:rsidR="00976C25" w:rsidRDefault="00450E50" w:rsidP="00976C25">
      <w:pPr>
        <w:pStyle w:val="Textonotapie"/>
        <w:jc w:val="both"/>
        <w:rPr>
          <w:lang w:val="es-ES"/>
        </w:rPr>
      </w:pPr>
      <w:r>
        <w:rPr>
          <w:lang w:val="es-ES"/>
        </w:rPr>
        <w:t xml:space="preserve"> </w:t>
      </w:r>
      <w:r w:rsidR="00976C25">
        <w:rPr>
          <w:lang w:val="es-ES"/>
        </w:rPr>
        <w:t>(…)</w:t>
      </w:r>
    </w:p>
    <w:p w14:paraId="477D9204" w14:textId="4A9F2C26" w:rsidR="00450E50" w:rsidRDefault="00450E50" w:rsidP="00976C25">
      <w:pPr>
        <w:pStyle w:val="Textonotapie"/>
        <w:jc w:val="both"/>
        <w:rPr>
          <w:lang w:val="es-ES"/>
        </w:rPr>
      </w:pPr>
      <w:r w:rsidRPr="00450E50">
        <w:rPr>
          <w:lang w:val="es-ES"/>
        </w:rPr>
        <w:t>XIII. La falta, deficiencia o insuficiencia de la fundamentación y/o motivación en la respuesta; y</w:t>
      </w:r>
    </w:p>
    <w:p w14:paraId="576D920F" w14:textId="09DA011A" w:rsidR="00450E50" w:rsidRPr="00BE6EA7" w:rsidRDefault="00450E50" w:rsidP="00976C25">
      <w:pPr>
        <w:pStyle w:val="Textonotapie"/>
        <w:jc w:val="both"/>
        <w:rPr>
          <w:lang w:val="es-ES"/>
        </w:rPr>
      </w:pPr>
      <w:r>
        <w:rPr>
          <w:lang w:val="es-ES"/>
        </w:rPr>
        <w:t>(…)</w:t>
      </w:r>
    </w:p>
  </w:footnote>
  <w:footnote w:id="2">
    <w:p w14:paraId="7631853F" w14:textId="77777777" w:rsidR="00976C25" w:rsidRPr="003F10E6" w:rsidRDefault="00976C25" w:rsidP="00976C25">
      <w:pPr>
        <w:pStyle w:val="Textonotapie"/>
        <w:rPr>
          <w:i/>
          <w:lang w:val="es-ES_tradnl"/>
        </w:rPr>
      </w:pPr>
      <w:r>
        <w:rPr>
          <w:rStyle w:val="Refdenotaalpie"/>
        </w:rPr>
        <w:footnoteRef/>
      </w:r>
      <w:r>
        <w:t xml:space="preserve"> </w:t>
      </w:r>
      <w:r w:rsidRPr="003F10E6">
        <w:rPr>
          <w:i/>
          <w:lang w:val="es-ES_tradnl"/>
        </w:rPr>
        <w:t>“</w:t>
      </w:r>
      <w:r w:rsidRPr="003F10E6">
        <w:rPr>
          <w:b/>
          <w:i/>
          <w:lang w:val="es-ES_tradnl"/>
        </w:rPr>
        <w:t>Artículo 9.</w:t>
      </w:r>
      <w:r w:rsidRPr="003F10E6">
        <w:rPr>
          <w:i/>
          <w:lang w:val="es-ES_tradnl"/>
        </w:rPr>
        <w:t xml:space="preserve"> El Instituto deberá regir su funcionamiento de acuerdo a los siguientes principios: </w:t>
      </w:r>
    </w:p>
    <w:p w14:paraId="64D1BA72" w14:textId="77777777" w:rsidR="00976C25" w:rsidRPr="003F10E6" w:rsidRDefault="00976C25" w:rsidP="00976C25">
      <w:pPr>
        <w:pStyle w:val="Textonotapie"/>
        <w:rPr>
          <w:i/>
          <w:lang w:val="es-ES_tradnl"/>
        </w:rPr>
      </w:pPr>
      <w:r w:rsidRPr="003F10E6">
        <w:rPr>
          <w:b/>
          <w:i/>
          <w:lang w:val="es-ES_tradnl"/>
        </w:rPr>
        <w:t>I. Certeza:</w:t>
      </w:r>
      <w:r w:rsidRPr="003F10E6">
        <w:rPr>
          <w:i/>
          <w:lang w:val="es-ES_tradnl"/>
        </w:rPr>
        <w:t xml:space="preserve"> Principio que otorga seguridad y certidumbre jurídica a los particulares, en virtud de que permite conocer si las acciones del Instituto son apegadas a derecho y garantiza que los procedimientos sean completamente verificables, fidedignos y confiables; </w:t>
      </w:r>
    </w:p>
    <w:p w14:paraId="5CEA8B4B" w14:textId="77777777" w:rsidR="00976C25" w:rsidRPr="003F10E6" w:rsidRDefault="00976C25" w:rsidP="00976C25">
      <w:pPr>
        <w:pStyle w:val="Textonotapie"/>
        <w:rPr>
          <w:i/>
          <w:lang w:val="es-ES_tradnl"/>
        </w:rPr>
      </w:pPr>
      <w:r w:rsidRPr="003F10E6">
        <w:rPr>
          <w:b/>
          <w:i/>
          <w:lang w:val="es-ES_tradnl"/>
        </w:rPr>
        <w:t>II. Eficacia:</w:t>
      </w:r>
      <w:r w:rsidRPr="003F10E6">
        <w:rPr>
          <w:i/>
          <w:lang w:val="es-ES_tradnl"/>
        </w:rPr>
        <w:t xml:space="preserve"> Obligación del Instituto para tutelar, de manera efectiva, el derecho de acceso a la información;</w:t>
      </w:r>
    </w:p>
    <w:p w14:paraId="2CEE9AF5" w14:textId="77777777" w:rsidR="00976C25" w:rsidRPr="003F10E6" w:rsidRDefault="00976C25" w:rsidP="00976C25">
      <w:pPr>
        <w:pStyle w:val="Textonotapie"/>
        <w:rPr>
          <w:i/>
          <w:lang w:val="es-ES_tradnl"/>
        </w:rPr>
      </w:pPr>
      <w:r w:rsidRPr="003F10E6">
        <w:rPr>
          <w:i/>
          <w:lang w:val="es-ES_tradnl"/>
        </w:rPr>
        <w:t>(…)</w:t>
      </w:r>
    </w:p>
    <w:p w14:paraId="58BB7342" w14:textId="77777777" w:rsidR="00976C25" w:rsidRPr="003F10E6" w:rsidRDefault="00976C25" w:rsidP="00976C25">
      <w:pPr>
        <w:pStyle w:val="Textonotapie"/>
        <w:rPr>
          <w:i/>
          <w:lang w:val="es-ES_tradnl"/>
        </w:rPr>
      </w:pPr>
      <w:r w:rsidRPr="003F10E6">
        <w:rPr>
          <w:b/>
          <w:i/>
          <w:lang w:val="es-ES_tradnl"/>
        </w:rPr>
        <w:t>VI. Legalidad:</w:t>
      </w:r>
      <w:r w:rsidRPr="003F10E6">
        <w:rPr>
          <w:i/>
          <w:lang w:val="es-ES_tradnl"/>
        </w:rPr>
        <w:t xml:space="preserve"> Obligación del Instituto de ajustar su actuación, que funde y motive sus resoluciones y actos en las normas aplicables;</w:t>
      </w:r>
    </w:p>
    <w:p w14:paraId="2A41850B" w14:textId="77777777" w:rsidR="00976C25" w:rsidRPr="003F10E6" w:rsidRDefault="00976C25" w:rsidP="00976C25">
      <w:pPr>
        <w:pStyle w:val="Textonotapie"/>
        <w:rPr>
          <w:i/>
          <w:lang w:val="es-ES_tradnl"/>
        </w:rPr>
      </w:pPr>
      <w:r w:rsidRPr="003F10E6">
        <w:rPr>
          <w:i/>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BD6B75" w14:paraId="6B4E3B81" w14:textId="77777777" w:rsidTr="00B4299A">
      <w:tc>
        <w:tcPr>
          <w:tcW w:w="2701" w:type="dxa"/>
          <w:vAlign w:val="center"/>
          <w:hideMark/>
        </w:tcPr>
        <w:p w14:paraId="0ABBC6C0" w14:textId="1226DAAF" w:rsidR="00BD6B75" w:rsidRPr="00B4299A" w:rsidRDefault="00BD6B7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6FCA856" w:rsidR="00BD6B75" w:rsidRPr="00B4299A" w:rsidRDefault="008C6C18" w:rsidP="006E011A">
          <w:pPr>
            <w:rPr>
              <w:rFonts w:ascii="Palatino Linotype" w:hAnsi="Palatino Linotype"/>
              <w:b/>
              <w:szCs w:val="22"/>
              <w:lang w:val="es-ES_tradnl"/>
            </w:rPr>
          </w:pPr>
          <w:r w:rsidRPr="008C6C18">
            <w:rPr>
              <w:rFonts w:ascii="Palatino Linotype" w:hAnsi="Palatino Linotype"/>
              <w:b/>
              <w:bCs/>
              <w:szCs w:val="22"/>
            </w:rPr>
            <w:t>00643/INFOEM/IP/RR/2022</w:t>
          </w:r>
        </w:p>
      </w:tc>
    </w:tr>
    <w:tr w:rsidR="00BD6B75" w14:paraId="31CB780F" w14:textId="77777777" w:rsidTr="00B4299A">
      <w:trPr>
        <w:trHeight w:val="228"/>
      </w:trPr>
      <w:tc>
        <w:tcPr>
          <w:tcW w:w="2701" w:type="dxa"/>
          <w:vAlign w:val="center"/>
          <w:hideMark/>
        </w:tcPr>
        <w:p w14:paraId="4F49CB4A" w14:textId="6966D32E" w:rsidR="00BD6B75" w:rsidRPr="00B4299A" w:rsidRDefault="00BD6B7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FE0496C" w:rsidR="00BD6B75" w:rsidRPr="00B4299A" w:rsidRDefault="008C6C18" w:rsidP="00BC4C9B">
          <w:pPr>
            <w:jc w:val="both"/>
            <w:rPr>
              <w:rFonts w:ascii="Palatino Linotype" w:hAnsi="Palatino Linotype"/>
              <w:b/>
              <w:szCs w:val="22"/>
              <w:lang w:val="es-ES_tradnl"/>
            </w:rPr>
          </w:pPr>
          <w:r w:rsidRPr="008C6C18">
            <w:rPr>
              <w:rFonts w:ascii="Palatino Linotype" w:hAnsi="Palatino Linotype"/>
              <w:b/>
              <w:bCs/>
              <w:szCs w:val="22"/>
            </w:rPr>
            <w:t>Ayuntamiento de Tultepec</w:t>
          </w:r>
        </w:p>
      </w:tc>
    </w:tr>
    <w:tr w:rsidR="00BD6B75" w14:paraId="69050F56" w14:textId="77777777" w:rsidTr="00B4299A">
      <w:tc>
        <w:tcPr>
          <w:tcW w:w="2701" w:type="dxa"/>
          <w:vAlign w:val="center"/>
          <w:hideMark/>
        </w:tcPr>
        <w:p w14:paraId="65C9B735" w14:textId="75C78F81" w:rsidR="00BD6B75" w:rsidRPr="00B4299A" w:rsidRDefault="00BD6B7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D6B75" w:rsidRPr="00B4299A" w:rsidRDefault="00BD6B7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BD6B75" w:rsidRDefault="00BD6B75"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4590BC53">
          <wp:simplePos x="0" y="0"/>
          <wp:positionH relativeFrom="page">
            <wp:posOffset>76200</wp:posOffset>
          </wp:positionH>
          <wp:positionV relativeFrom="paragraph">
            <wp:posOffset>-1227455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BD6B75" w:rsidRDefault="00BD6B75"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BD6B75" w:rsidRDefault="00BD6B75"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D6B75" w14:paraId="477E149B" w14:textId="77777777" w:rsidTr="00CB57FD">
      <w:trPr>
        <w:trHeight w:val="277"/>
      </w:trPr>
      <w:tc>
        <w:tcPr>
          <w:tcW w:w="2693" w:type="dxa"/>
          <w:vAlign w:val="center"/>
          <w:hideMark/>
        </w:tcPr>
        <w:p w14:paraId="5C0586E4" w14:textId="77777777"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5DCA9CA2" w:rsidR="00BD6B75" w:rsidRPr="009B3353" w:rsidRDefault="001B0FA2" w:rsidP="00CA183E">
          <w:pPr>
            <w:rPr>
              <w:rFonts w:ascii="Palatino Linotype" w:hAnsi="Palatino Linotype"/>
              <w:b/>
              <w:szCs w:val="22"/>
              <w:lang w:val="es-ES_tradnl"/>
            </w:rPr>
          </w:pPr>
          <w:r w:rsidRPr="001B0FA2">
            <w:rPr>
              <w:rFonts w:ascii="Palatino Linotype" w:hAnsi="Palatino Linotype"/>
              <w:b/>
              <w:bCs/>
              <w:szCs w:val="22"/>
            </w:rPr>
            <w:t>00643/INFOEM/IP/RR/2022</w:t>
          </w:r>
        </w:p>
      </w:tc>
    </w:tr>
    <w:tr w:rsidR="00BD6B75" w14:paraId="5B5BE21C" w14:textId="77777777" w:rsidTr="00CB57FD">
      <w:tc>
        <w:tcPr>
          <w:tcW w:w="2693" w:type="dxa"/>
          <w:vAlign w:val="center"/>
          <w:hideMark/>
        </w:tcPr>
        <w:p w14:paraId="4AE96902" w14:textId="4E063913"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5C501E2" w:rsidR="00BD6B75" w:rsidRPr="009B3353" w:rsidRDefault="00BD6B75"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BD6B75" w14:paraId="22601A11" w14:textId="77777777" w:rsidTr="00CB57FD">
      <w:trPr>
        <w:trHeight w:val="228"/>
      </w:trPr>
      <w:tc>
        <w:tcPr>
          <w:tcW w:w="2693" w:type="dxa"/>
          <w:vAlign w:val="center"/>
          <w:hideMark/>
        </w:tcPr>
        <w:p w14:paraId="6EFE221D" w14:textId="49C5F800"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47FAC73" w:rsidR="00BD6B75" w:rsidRPr="009B3353" w:rsidRDefault="001B0FA2" w:rsidP="003D473A">
          <w:pPr>
            <w:jc w:val="both"/>
            <w:rPr>
              <w:rFonts w:ascii="Palatino Linotype" w:eastAsia="Calibri" w:hAnsi="Palatino Linotype"/>
              <w:b/>
              <w:szCs w:val="22"/>
              <w:lang w:val="es-MX" w:eastAsia="en-US"/>
            </w:rPr>
          </w:pPr>
          <w:r>
            <w:rPr>
              <w:rFonts w:ascii="Palatino Linotype" w:eastAsia="Calibri" w:hAnsi="Palatino Linotype"/>
              <w:b/>
              <w:bCs/>
              <w:szCs w:val="22"/>
              <w:lang w:eastAsia="en-US"/>
            </w:rPr>
            <w:t>Ayuntamiento de Tultepec</w:t>
          </w:r>
        </w:p>
      </w:tc>
    </w:tr>
    <w:tr w:rsidR="00BD6B75" w14:paraId="2D6C630E" w14:textId="77777777" w:rsidTr="00CB57FD">
      <w:tc>
        <w:tcPr>
          <w:tcW w:w="2693" w:type="dxa"/>
          <w:vAlign w:val="center"/>
          <w:hideMark/>
        </w:tcPr>
        <w:p w14:paraId="5BD4C6DB" w14:textId="7CF21504" w:rsidR="00BD6B75" w:rsidRPr="009B3353" w:rsidRDefault="00BD6B7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D6B75" w:rsidRPr="009B3353" w:rsidRDefault="00BD6B7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D6B75" w:rsidRDefault="00BD6B75"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3867"/>
    <w:multiLevelType w:val="hybridMultilevel"/>
    <w:tmpl w:val="7F86ACF2"/>
    <w:lvl w:ilvl="0" w:tplc="D9901B6C">
      <w:start w:val="2"/>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927D1D"/>
    <w:multiLevelType w:val="hybridMultilevel"/>
    <w:tmpl w:val="8B02733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2F5206A"/>
    <w:multiLevelType w:val="hybridMultilevel"/>
    <w:tmpl w:val="D602A546"/>
    <w:lvl w:ilvl="0" w:tplc="C64A8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0"/>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CB3"/>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6FB0"/>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482"/>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0FA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1F6DCA"/>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2F58"/>
    <w:rsid w:val="00283308"/>
    <w:rsid w:val="00284224"/>
    <w:rsid w:val="002856CF"/>
    <w:rsid w:val="002856DC"/>
    <w:rsid w:val="0028632C"/>
    <w:rsid w:val="002864D4"/>
    <w:rsid w:val="0028674A"/>
    <w:rsid w:val="00286C23"/>
    <w:rsid w:val="00286DC8"/>
    <w:rsid w:val="002874C3"/>
    <w:rsid w:val="00290C42"/>
    <w:rsid w:val="00291435"/>
    <w:rsid w:val="00291A1A"/>
    <w:rsid w:val="00292786"/>
    <w:rsid w:val="002937C6"/>
    <w:rsid w:val="00293DE5"/>
    <w:rsid w:val="00293E07"/>
    <w:rsid w:val="002944CF"/>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4B6"/>
    <w:rsid w:val="002F750C"/>
    <w:rsid w:val="002F772C"/>
    <w:rsid w:val="002F78A1"/>
    <w:rsid w:val="002F78E8"/>
    <w:rsid w:val="003002F7"/>
    <w:rsid w:val="00302787"/>
    <w:rsid w:val="00302C06"/>
    <w:rsid w:val="00302C33"/>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14E"/>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80D"/>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1230"/>
    <w:rsid w:val="003B5CA9"/>
    <w:rsid w:val="003B62A2"/>
    <w:rsid w:val="003B6A7C"/>
    <w:rsid w:val="003B72E9"/>
    <w:rsid w:val="003B7A17"/>
    <w:rsid w:val="003C23B9"/>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00C"/>
    <w:rsid w:val="00445454"/>
    <w:rsid w:val="0044547C"/>
    <w:rsid w:val="00446BB3"/>
    <w:rsid w:val="00446C36"/>
    <w:rsid w:val="004471D2"/>
    <w:rsid w:val="00450182"/>
    <w:rsid w:val="00450869"/>
    <w:rsid w:val="00450C33"/>
    <w:rsid w:val="00450E50"/>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06B"/>
    <w:rsid w:val="004F36DB"/>
    <w:rsid w:val="004F3B64"/>
    <w:rsid w:val="004F4992"/>
    <w:rsid w:val="004F5243"/>
    <w:rsid w:val="004F64AD"/>
    <w:rsid w:val="004F759E"/>
    <w:rsid w:val="004F7AC2"/>
    <w:rsid w:val="00501721"/>
    <w:rsid w:val="00501D16"/>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4802"/>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F4C"/>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2E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BE1"/>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BDA"/>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089"/>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C6C18"/>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A65"/>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A6C"/>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27E2"/>
    <w:rsid w:val="009737A5"/>
    <w:rsid w:val="00974437"/>
    <w:rsid w:val="00974C3A"/>
    <w:rsid w:val="009752BA"/>
    <w:rsid w:val="00975A2A"/>
    <w:rsid w:val="00975D23"/>
    <w:rsid w:val="00975EB9"/>
    <w:rsid w:val="009763B8"/>
    <w:rsid w:val="00976A12"/>
    <w:rsid w:val="00976C25"/>
    <w:rsid w:val="00977454"/>
    <w:rsid w:val="009816F9"/>
    <w:rsid w:val="00981F51"/>
    <w:rsid w:val="0098269C"/>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0DE1"/>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2F18"/>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6FE7"/>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0DA2"/>
    <w:rsid w:val="00B41343"/>
    <w:rsid w:val="00B4134E"/>
    <w:rsid w:val="00B4137E"/>
    <w:rsid w:val="00B41837"/>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367"/>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30C"/>
    <w:rsid w:val="00BB0CC2"/>
    <w:rsid w:val="00BB107D"/>
    <w:rsid w:val="00BB195A"/>
    <w:rsid w:val="00BB1A72"/>
    <w:rsid w:val="00BB1C5D"/>
    <w:rsid w:val="00BB2701"/>
    <w:rsid w:val="00BB2E4E"/>
    <w:rsid w:val="00BB3344"/>
    <w:rsid w:val="00BB37FC"/>
    <w:rsid w:val="00BB4B26"/>
    <w:rsid w:val="00BB50A5"/>
    <w:rsid w:val="00BB60E5"/>
    <w:rsid w:val="00BB6202"/>
    <w:rsid w:val="00BB7698"/>
    <w:rsid w:val="00BB78FC"/>
    <w:rsid w:val="00BB7C68"/>
    <w:rsid w:val="00BC15AB"/>
    <w:rsid w:val="00BC1BAD"/>
    <w:rsid w:val="00BC250E"/>
    <w:rsid w:val="00BC30AA"/>
    <w:rsid w:val="00BC3FE1"/>
    <w:rsid w:val="00BC4C9B"/>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75"/>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2F9A"/>
    <w:rsid w:val="00BF330A"/>
    <w:rsid w:val="00BF42CF"/>
    <w:rsid w:val="00BF469C"/>
    <w:rsid w:val="00BF558C"/>
    <w:rsid w:val="00BF685A"/>
    <w:rsid w:val="00BF6B39"/>
    <w:rsid w:val="00C0076A"/>
    <w:rsid w:val="00C0095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70E"/>
    <w:rsid w:val="00C15931"/>
    <w:rsid w:val="00C16490"/>
    <w:rsid w:val="00C16ECF"/>
    <w:rsid w:val="00C17535"/>
    <w:rsid w:val="00C1778D"/>
    <w:rsid w:val="00C20E42"/>
    <w:rsid w:val="00C22635"/>
    <w:rsid w:val="00C22842"/>
    <w:rsid w:val="00C2290E"/>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400E5"/>
    <w:rsid w:val="00C40AB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5979"/>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0B"/>
    <w:rsid w:val="00C90A72"/>
    <w:rsid w:val="00C91A3F"/>
    <w:rsid w:val="00C92091"/>
    <w:rsid w:val="00C92FA3"/>
    <w:rsid w:val="00C9414E"/>
    <w:rsid w:val="00C94EA7"/>
    <w:rsid w:val="00C95E47"/>
    <w:rsid w:val="00C963A0"/>
    <w:rsid w:val="00C9699D"/>
    <w:rsid w:val="00C9775A"/>
    <w:rsid w:val="00C97E22"/>
    <w:rsid w:val="00CA07FF"/>
    <w:rsid w:val="00CA0F7D"/>
    <w:rsid w:val="00CA183E"/>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BE0"/>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854"/>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2FF1"/>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502"/>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69CB"/>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AD6"/>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31E"/>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57F23"/>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0F6F"/>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4939"/>
    <w:rsid w:val="00FE5006"/>
    <w:rsid w:val="00FE517E"/>
    <w:rsid w:val="00FE5219"/>
    <w:rsid w:val="00FE5747"/>
    <w:rsid w:val="00FE612F"/>
    <w:rsid w:val="00FE6C02"/>
    <w:rsid w:val="00FE71F9"/>
    <w:rsid w:val="00FE7FBB"/>
    <w:rsid w:val="00FF0383"/>
    <w:rsid w:val="00FF0FB1"/>
    <w:rsid w:val="00FF175C"/>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36854493">
      <w:bodyDiv w:val="1"/>
      <w:marLeft w:val="0"/>
      <w:marRight w:val="0"/>
      <w:marTop w:val="0"/>
      <w:marBottom w:val="0"/>
      <w:divBdr>
        <w:top w:val="none" w:sz="0" w:space="0" w:color="auto"/>
        <w:left w:val="none" w:sz="0" w:space="0" w:color="auto"/>
        <w:bottom w:val="none" w:sz="0" w:space="0" w:color="auto"/>
        <w:right w:val="none" w:sz="0" w:space="0" w:color="auto"/>
      </w:divBdr>
    </w:div>
    <w:div w:id="8789347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8766413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07800561">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5932936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183498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0061271">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02841557">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6084496">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1741.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818F4-E1F4-492E-97B9-2913532DE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2841</Words>
  <Characters>16200</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3</cp:revision>
  <cp:lastPrinted>2022-03-25T00:41:00Z</cp:lastPrinted>
  <dcterms:created xsi:type="dcterms:W3CDTF">2022-04-06T08:02:00Z</dcterms:created>
  <dcterms:modified xsi:type="dcterms:W3CDTF">2022-04-06T08:07:00Z</dcterms:modified>
</cp:coreProperties>
</file>