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771" w:rsidRDefault="0071673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diez de febrero del dos mil veintidós</w:t>
      </w:r>
      <w:r>
        <w:rPr>
          <w:rFonts w:ascii="Palatino Linotype" w:eastAsia="Palatino Linotype" w:hAnsi="Palatino Linotype" w:cs="Palatino Linotype"/>
        </w:rPr>
        <w:t>.</w:t>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05974/INFOEM/IP/RR/2021</w:t>
      </w:r>
      <w:r>
        <w:rPr>
          <w:rFonts w:ascii="Palatino Linotype" w:eastAsia="Palatino Linotype" w:hAnsi="Palatino Linotype" w:cs="Palatino Linotype"/>
        </w:rPr>
        <w:t xml:space="preserve">, interpuesto por </w:t>
      </w:r>
      <w:r w:rsidR="00C05388">
        <w:rPr>
          <w:rFonts w:ascii="Palatino Linotype" w:eastAsia="Palatino Linotype" w:hAnsi="Palatino Linotype" w:cs="Palatino Linotype"/>
          <w:b/>
        </w:rPr>
        <w:t>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w:t>
      </w:r>
      <w:r>
        <w:rPr>
          <w:rFonts w:ascii="Palatino Linotype" w:eastAsia="Palatino Linotype" w:hAnsi="Palatino Linotype" w:cs="Palatino Linotype"/>
          <w:b/>
        </w:rPr>
        <w:t xml:space="preserve"> Poder Legislativo,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F31771" w:rsidRDefault="00716732">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cinco de noviembre de dos mil veintiuno,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 la Plataforma Nacional de Tranparencia (PNT), la cual se encuentra vinculada al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00790/PLEGISLA/IP/2021, </w:t>
      </w:r>
      <w:r>
        <w:rPr>
          <w:rFonts w:ascii="Palatino Linotype" w:eastAsia="Palatino Linotype" w:hAnsi="Palatino Linotype" w:cs="Palatino Linotype"/>
        </w:rPr>
        <w:t xml:space="preserve">mediante la cual requirió la información siguiente: </w:t>
      </w:r>
    </w:p>
    <w:p w:rsidR="00F31771" w:rsidRDefault="00716732" w:rsidP="00E302AC">
      <w:pPr>
        <w:spacing w:before="240" w:after="240"/>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“Solicito la siguiente información de carácter público de la servidora pública Martha Alicia Ortega Villa: 1. Sueldo, puesto y categoría asignado 2. Nombre del Jefe Inmediato 3. Versión pública de los recibos de nómina correspondientes a las 2 quincenas de octubre de 2020 y 2021 4. Proceso de contratación 5. Funciones asignadas que se vinculen con el sueldo asignado” (Sic).</w:t>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r w:rsidRPr="00735DF8">
        <w:rPr>
          <w:rFonts w:ascii="Palatino Linotype" w:eastAsia="Palatino Linotype" w:hAnsi="Palatino Linotype" w:cs="Palatino Linotype"/>
        </w:rPr>
        <w:t xml:space="preserve">y </w:t>
      </w:r>
      <w:r w:rsidRPr="00735DF8">
        <w:rPr>
          <w:rFonts w:ascii="Palatino Linotype" w:eastAsia="Palatino Linotype" w:hAnsi="Palatino Linotype" w:cs="Palatino Linotype"/>
          <w:b/>
        </w:rPr>
        <w:t>correo electrónico</w:t>
      </w:r>
      <w:r w:rsidRPr="00735DF8">
        <w:rPr>
          <w:rFonts w:ascii="Palatino Linotype" w:eastAsia="Palatino Linotype" w:hAnsi="Palatino Linotype" w:cs="Palatino Linotype"/>
        </w:rPr>
        <w:t>.</w:t>
      </w:r>
      <w:r>
        <w:rPr>
          <w:rFonts w:ascii="Palatino Linotype" w:eastAsia="Palatino Linotype" w:hAnsi="Palatino Linotype" w:cs="Palatino Linotype"/>
        </w:rPr>
        <w:t xml:space="preserve"> </w:t>
      </w:r>
    </w:p>
    <w:p w:rsidR="00735DF8" w:rsidRDefault="00735DF8" w:rsidP="00735DF8">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6291109" cy="666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986" cy="667373"/>
                    </a:xfrm>
                    <a:prstGeom prst="rect">
                      <a:avLst/>
                    </a:prstGeom>
                    <a:noFill/>
                    <a:ln>
                      <a:noFill/>
                    </a:ln>
                  </pic:spPr>
                </pic:pic>
              </a:graphicData>
            </a:graphic>
          </wp:inline>
        </w:drawing>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veintitrés de noviembre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respondió sustancialmente lo siguiente: </w:t>
      </w:r>
    </w:p>
    <w:p w:rsidR="00F31771" w:rsidRDefault="0071673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1771" w:rsidRDefault="0071673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los requerimientos de información de la C. Martha Alicia Ortega Villa y conforme a los archivos que obran en poder de esta Dependencia, se comunica lo siguiente: percepciones netas mensuales: $32,658.48; puesto: Asistente de director; categoría: 27-4; jefe inmediato: Luis Ignacio Sierra Villa. Se remiten en versión pública los recibos de nómina correspondientes a octubre 2021, debido a que la servidora pública citada, causó alta en el Poder Legislativo el 16 de noviembre 2020. Derivado de la revisión curricular y académica se seleccionan, en esta Dependencia, los candidatos que reúnen las características para el cargo y se remiten al titular de la unidad administrativa solicitante, quien toma la decisión de la eventual contratación.   La C. Martha Alicia Ortega Villa está adscrita a la Unidad de Seguimiento y las funciones por la unidad administrativa, se establecen en el Reglamento Interior del Órgano Superior de Fiscalización del Estado de México, documento que puede ser consultado a través del enlace http://legislacion.edomex.gob.mx/sites/legislacion.edomex.gob.mx/files/files/pdf/rgl/vig/rglvig685.pdf</w:t>
      </w:r>
    </w:p>
    <w:p w:rsidR="00F31771" w:rsidRDefault="0071673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F31771" w:rsidRDefault="00716732">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Jesús Felipe Borja Coronel”</w:t>
      </w:r>
    </w:p>
    <w:p w:rsidR="00F31771" w:rsidRDefault="00716732">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Archivo adjunto: </w:t>
      </w:r>
      <w:r>
        <w:rPr>
          <w:rFonts w:ascii="Palatino Linotype" w:eastAsia="Palatino Linotype" w:hAnsi="Palatino Linotype" w:cs="Palatino Linotype"/>
        </w:rPr>
        <w:t xml:space="preserve">El Sujeto Obligado remitió </w:t>
      </w:r>
      <w:r>
        <w:rPr>
          <w:rFonts w:ascii="Palatino Linotype" w:eastAsia="Palatino Linotype" w:hAnsi="Palatino Linotype" w:cs="Palatino Linotype"/>
          <w:color w:val="000000"/>
        </w:rPr>
        <w:t xml:space="preserve">los archivos electrónicos que a continuación se describen: </w:t>
      </w:r>
    </w:p>
    <w:p w:rsidR="00F31771" w:rsidRDefault="00716732">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 xml:space="preserve">“Acta de la 31a. Sesión Extraordinaria del CT 2021.pdf”: </w:t>
      </w:r>
      <w:r>
        <w:rPr>
          <w:rFonts w:ascii="Palatino Linotype" w:eastAsia="Palatino Linotype" w:hAnsi="Palatino Linotype" w:cs="Palatino Linotype"/>
          <w:color w:val="000000"/>
        </w:rPr>
        <w:t xml:space="preserve">Consta en el Acta de la Trigésima Primera Sesión Extraordinaria del Comité de </w:t>
      </w:r>
      <w:r w:rsidRPr="00735DF8">
        <w:rPr>
          <w:rFonts w:ascii="Palatino Linotype" w:eastAsia="Palatino Linotype" w:hAnsi="Palatino Linotype" w:cs="Palatino Linotype"/>
          <w:color w:val="000000"/>
        </w:rPr>
        <w:t>Transparencia, celebrada el 19 de noviembre de 2021, mediante la cual, la servidora pública habilitada de la Secretaría de Administración y Finanzas presenta la propuesta de clasificación de datos personales contenidos en los recibos de pago como confidenciales.</w:t>
      </w:r>
      <w:r>
        <w:rPr>
          <w:rFonts w:ascii="Palatino Linotype" w:eastAsia="Palatino Linotype" w:hAnsi="Palatino Linotype" w:cs="Palatino Linotype"/>
          <w:color w:val="000000"/>
        </w:rPr>
        <w:t xml:space="preserve"> </w:t>
      </w:r>
    </w:p>
    <w:p w:rsidR="00F31771" w:rsidRDefault="00735DF8" w:rsidP="00735DF8">
      <w:pPr>
        <w:spacing w:before="240" w:after="240" w:line="360" w:lineRule="auto"/>
        <w:ind w:right="90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4AE944B1">
            <wp:extent cx="3886642" cy="4048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8236" cy="4049785"/>
                    </a:xfrm>
                    <a:prstGeom prst="rect">
                      <a:avLst/>
                    </a:prstGeom>
                    <a:noFill/>
                  </pic:spPr>
                </pic:pic>
              </a:graphicData>
            </a:graphic>
          </wp:inline>
        </w:drawing>
      </w:r>
    </w:p>
    <w:p w:rsidR="00F31771" w:rsidRDefault="00716732">
      <w:pPr>
        <w:spacing w:before="240" w:after="240" w:line="360" w:lineRule="auto"/>
        <w:ind w:left="567" w:right="900"/>
        <w:jc w:val="both"/>
        <w:rPr>
          <w:rFonts w:ascii="Palatino Linotype" w:eastAsia="Palatino Linotype" w:hAnsi="Palatino Linotype" w:cs="Palatino Linotype"/>
          <w:color w:val="000000"/>
        </w:rPr>
      </w:pPr>
      <w:r w:rsidRPr="00735DF8">
        <w:rPr>
          <w:rFonts w:ascii="Palatino Linotype" w:eastAsia="Palatino Linotype" w:hAnsi="Palatino Linotype" w:cs="Palatino Linotype"/>
          <w:b/>
          <w:i/>
          <w:color w:val="000000"/>
        </w:rPr>
        <w:t xml:space="preserve">“Oficio 0790.pdf”: </w:t>
      </w:r>
      <w:r w:rsidRPr="00735DF8">
        <w:rPr>
          <w:rFonts w:ascii="Palatino Linotype" w:eastAsia="Palatino Linotype" w:hAnsi="Palatino Linotype" w:cs="Palatino Linotype"/>
          <w:color w:val="000000"/>
        </w:rPr>
        <w:t xml:space="preserve">Oficio suscrito por la servidora pública habilitada de la Secretaría de Administración y Finanzas, dirigido al Titular de la Unidad de Transparencia, mediante el cual se pronuncia respecto </w:t>
      </w:r>
      <w:r w:rsidRPr="00735DF8">
        <w:rPr>
          <w:rFonts w:ascii="Palatino Linotype" w:eastAsia="Palatino Linotype" w:hAnsi="Palatino Linotype" w:cs="Palatino Linotype"/>
          <w:color w:val="000000"/>
        </w:rPr>
        <w:lastRenderedPageBreak/>
        <w:t>de los puntos de la solicitud, se inserta la siguiente captura de pantalla para mayor referencia.</w:t>
      </w:r>
      <w:r>
        <w:rPr>
          <w:rFonts w:ascii="Palatino Linotype" w:eastAsia="Palatino Linotype" w:hAnsi="Palatino Linotype" w:cs="Palatino Linotype"/>
          <w:color w:val="000000"/>
        </w:rPr>
        <w:t xml:space="preserve"> </w:t>
      </w:r>
    </w:p>
    <w:p w:rsidR="00F31771" w:rsidRDefault="00716732">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4486504" cy="5366962"/>
            <wp:effectExtent l="0" t="0" r="0" b="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486504" cy="5366962"/>
                    </a:xfrm>
                    <a:prstGeom prst="rect">
                      <a:avLst/>
                    </a:prstGeom>
                    <a:ln/>
                  </pic:spPr>
                </pic:pic>
              </a:graphicData>
            </a:graphic>
          </wp:inline>
        </w:drawing>
      </w:r>
    </w:p>
    <w:p w:rsidR="00F31771" w:rsidRDefault="00F31771">
      <w:pPr>
        <w:spacing w:before="240" w:after="240" w:line="360" w:lineRule="auto"/>
        <w:ind w:left="567" w:right="900"/>
        <w:jc w:val="both"/>
        <w:rPr>
          <w:rFonts w:ascii="Palatino Linotype" w:eastAsia="Palatino Linotype" w:hAnsi="Palatino Linotype" w:cs="Palatino Linotype"/>
          <w:b/>
          <w:i/>
          <w:color w:val="000000"/>
        </w:rPr>
      </w:pPr>
    </w:p>
    <w:p w:rsidR="00F31771" w:rsidRDefault="00716732">
      <w:pPr>
        <w:spacing w:before="240" w:after="240" w:line="360" w:lineRule="auto"/>
        <w:ind w:left="567" w:right="900"/>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val="es-MX"/>
        </w:rPr>
        <w:lastRenderedPageBreak/>
        <w:drawing>
          <wp:inline distT="0" distB="0" distL="0" distR="0">
            <wp:extent cx="5572125" cy="3619500"/>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572125" cy="3619500"/>
                    </a:xfrm>
                    <a:prstGeom prst="rect">
                      <a:avLst/>
                    </a:prstGeom>
                    <a:ln/>
                  </pic:spPr>
                </pic:pic>
              </a:graphicData>
            </a:graphic>
          </wp:inline>
        </w:drawing>
      </w:r>
    </w:p>
    <w:p w:rsidR="00F31771" w:rsidRDefault="00F31771">
      <w:pPr>
        <w:spacing w:before="240" w:after="240" w:line="360" w:lineRule="auto"/>
        <w:ind w:left="567" w:right="900"/>
        <w:jc w:val="both"/>
        <w:rPr>
          <w:rFonts w:ascii="Palatino Linotype" w:eastAsia="Palatino Linotype" w:hAnsi="Palatino Linotype" w:cs="Palatino Linotype"/>
          <w:b/>
          <w:i/>
          <w:color w:val="000000"/>
        </w:rPr>
      </w:pPr>
    </w:p>
    <w:p w:rsidR="00F31771" w:rsidRDefault="00C05388">
      <w:pPr>
        <w:spacing w:before="240" w:after="240" w:line="360" w:lineRule="auto"/>
        <w:ind w:left="567" w:right="900"/>
        <w:jc w:val="both"/>
        <w:rPr>
          <w:rFonts w:ascii="Palatino Linotype" w:eastAsia="Palatino Linotype" w:hAnsi="Palatino Linotype" w:cs="Palatino Linotype"/>
          <w:color w:val="000000"/>
        </w:rPr>
      </w:pPr>
      <w:r>
        <w:rPr>
          <w:noProof/>
          <w:lang w:val="es-MX"/>
        </w:rPr>
        <mc:AlternateContent>
          <mc:Choice Requires="wps">
            <w:drawing>
              <wp:anchor distT="0" distB="0" distL="114300" distR="114300" simplePos="0" relativeHeight="251660288" behindDoc="0" locked="0" layoutInCell="1" hidden="0" allowOverlap="1" wp14:anchorId="63A61310" wp14:editId="75363170">
                <wp:simplePos x="0" y="0"/>
                <wp:positionH relativeFrom="column">
                  <wp:posOffset>481965</wp:posOffset>
                </wp:positionH>
                <wp:positionV relativeFrom="paragraph">
                  <wp:posOffset>1221105</wp:posOffset>
                </wp:positionV>
                <wp:extent cx="4838700" cy="1914525"/>
                <wp:effectExtent l="0" t="0" r="19050" b="28575"/>
                <wp:wrapNone/>
                <wp:docPr id="64" name=""/>
                <wp:cNvGraphicFramePr/>
                <a:graphic xmlns:a="http://schemas.openxmlformats.org/drawingml/2006/main">
                  <a:graphicData uri="http://schemas.microsoft.com/office/word/2010/wordprocessingShape">
                    <wps:wsp>
                      <wps:cNvCnPr/>
                      <wps:spPr>
                        <a:xfrm>
                          <a:off x="0" y="0"/>
                          <a:ext cx="4838700" cy="1914525"/>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4E1D7E2E" id="_x0000_t32" coordsize="21600,21600" o:spt="32" o:oned="t" path="m,l21600,21600e" filled="f">
                <v:path arrowok="t" fillok="f" o:connecttype="none"/>
                <o:lock v:ext="edit" shapetype="t"/>
              </v:shapetype>
              <v:shape id="Conector recto de flecha 64" o:spid="_x0000_s1026" type="#_x0000_t32" style="position:absolute;margin-left:37.95pt;margin-top:96.15pt;width:381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" strokecolor="black [3200]">
                <v:stroke startarrowwidth="narrow" startarrowlength="short" endarrowwidth="narrow" endarrowlength="short"/>
              </v:shape>
            </w:pict>
          </mc:Fallback>
        </mc:AlternateContent>
      </w:r>
      <w:r w:rsidR="00716732">
        <w:rPr>
          <w:rFonts w:ascii="Palatino Linotype" w:eastAsia="Palatino Linotype" w:hAnsi="Palatino Linotype" w:cs="Palatino Linotype"/>
          <w:b/>
          <w:i/>
          <w:color w:val="000000"/>
        </w:rPr>
        <w:t xml:space="preserve">“Anexo 0790.rar”: </w:t>
      </w:r>
      <w:r w:rsidR="00716732">
        <w:rPr>
          <w:rFonts w:ascii="Palatino Linotype" w:eastAsia="Palatino Linotype" w:hAnsi="Palatino Linotype" w:cs="Palatino Linotype"/>
          <w:color w:val="000000"/>
        </w:rPr>
        <w:t xml:space="preserve">Carpeta comprimida que consta de dos archivos electrónicos, de los cuales se advierte que son recibos de nómina en versión pública, generados en las dos quincenas del mes de octubre del año 2021. </w:t>
      </w:r>
    </w:p>
    <w:p w:rsidR="00F31771" w:rsidRDefault="00716732">
      <w:pPr>
        <w:spacing w:before="240" w:after="240" w:line="360" w:lineRule="auto"/>
        <w:ind w:left="567" w:right="90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368099" cy="3664307"/>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368099" cy="3664307"/>
                    </a:xfrm>
                    <a:prstGeom prst="rect">
                      <a:avLst/>
                    </a:prstGeom>
                    <a:ln/>
                  </pic:spPr>
                </pic:pic>
              </a:graphicData>
            </a:graphic>
          </wp:inline>
        </w:drawing>
      </w:r>
    </w:p>
    <w:p w:rsidR="00F31771" w:rsidRDefault="00716732">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“Leyenda Confidencial - 0790.pdf”: </w:t>
      </w:r>
      <w:r>
        <w:rPr>
          <w:rFonts w:ascii="Palatino Linotype" w:eastAsia="Palatino Linotype" w:hAnsi="Palatino Linotype" w:cs="Palatino Linotype"/>
          <w:color w:val="000000"/>
        </w:rPr>
        <w:t>Cuadro de leyenda de clasificación de la información como confidencial.</w: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444500</wp:posOffset>
                </wp:positionH>
                <wp:positionV relativeFrom="paragraph">
                  <wp:posOffset>673100</wp:posOffset>
                </wp:positionV>
                <wp:extent cx="4695825" cy="3076575"/>
                <wp:effectExtent l="0" t="0" r="0" b="0"/>
                <wp:wrapNone/>
                <wp:docPr id="66" name=""/>
                <wp:cNvGraphicFramePr/>
                <a:graphic xmlns:a="http://schemas.openxmlformats.org/drawingml/2006/main">
                  <a:graphicData uri="http://schemas.microsoft.com/office/word/2010/wordprocessingShape">
                    <wps:wsp>
                      <wps:cNvCnPr/>
                      <wps:spPr>
                        <a:xfrm>
                          <a:off x="3007613" y="2251238"/>
                          <a:ext cx="4676775" cy="3057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444500</wp:posOffset>
                </wp:positionH>
                <wp:positionV relativeFrom="paragraph">
                  <wp:posOffset>673100</wp:posOffset>
                </wp:positionV>
                <wp:extent cx="4695825" cy="3076575"/>
                <wp:effectExtent b="0" l="0" r="0" t="0"/>
                <wp:wrapNone/>
                <wp:docPr id="66"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4695825" cy="3076575"/>
                        </a:xfrm>
                        <a:prstGeom prst="rect"/>
                        <a:ln/>
                      </pic:spPr>
                    </pic:pic>
                  </a:graphicData>
                </a:graphic>
              </wp:anchor>
            </w:drawing>
          </mc:Fallback>
        </mc:AlternateContent>
      </w:r>
    </w:p>
    <w:p w:rsidR="00F31771" w:rsidRDefault="00716732">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200650" cy="6924675"/>
            <wp:effectExtent l="0" t="0" r="0" b="0"/>
            <wp:docPr id="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200650" cy="6924675"/>
                    </a:xfrm>
                    <a:prstGeom prst="rect">
                      <a:avLst/>
                    </a:prstGeom>
                    <a:ln/>
                  </pic:spPr>
                </pic:pic>
              </a:graphicData>
            </a:graphic>
          </wp:inline>
        </w:drawing>
      </w:r>
    </w:p>
    <w:p w:rsidR="00F31771" w:rsidRDefault="00F31771">
      <w:pPr>
        <w:spacing w:before="240" w:after="240" w:line="360" w:lineRule="auto"/>
        <w:ind w:left="567" w:right="900"/>
        <w:jc w:val="both"/>
        <w:rPr>
          <w:rFonts w:ascii="Palatino Linotype" w:eastAsia="Palatino Linotype" w:hAnsi="Palatino Linotype" w:cs="Palatino Linotype"/>
          <w:b/>
          <w:i/>
          <w:color w:val="000000"/>
        </w:rPr>
      </w:pPr>
    </w:p>
    <w:p w:rsidR="00F31771" w:rsidRDefault="00716732">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 xml:space="preserve">“790 RESPUESTA SAF.pdf”: </w:t>
      </w:r>
      <w:r>
        <w:rPr>
          <w:rFonts w:ascii="Palatino Linotype" w:eastAsia="Palatino Linotype" w:hAnsi="Palatino Linotype" w:cs="Palatino Linotype"/>
          <w:color w:val="000000"/>
        </w:rPr>
        <w:t>Oficio signado por el Titular de la Unidad de Transparencia, mediante el cual se hace del conocimiento del solicitante que se remite la respuesta a su solicitud de información.</w:t>
      </w:r>
    </w:p>
    <w:p w:rsidR="00F31771" w:rsidRDefault="00716732">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572125" cy="6429375"/>
            <wp:effectExtent l="0" t="0" r="0" b="0"/>
            <wp:docPr id="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572125" cy="6429375"/>
                    </a:xfrm>
                    <a:prstGeom prst="rect">
                      <a:avLst/>
                    </a:prstGeom>
                    <a:ln/>
                  </pic:spPr>
                </pic:pic>
              </a:graphicData>
            </a:graphic>
          </wp:inline>
        </w:drawing>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treinta de noviembre de dos mil veintiuno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F31771" w:rsidRDefault="00716732">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F31771" w:rsidRDefault="00F31771">
      <w:pPr>
        <w:ind w:right="567"/>
        <w:jc w:val="both"/>
        <w:rPr>
          <w:rFonts w:ascii="Palatino Linotype" w:eastAsia="Palatino Linotype" w:hAnsi="Palatino Linotype" w:cs="Palatino Linotype"/>
          <w:i/>
          <w:sz w:val="22"/>
          <w:szCs w:val="22"/>
        </w:rPr>
      </w:pPr>
    </w:p>
    <w:p w:rsidR="00F31771" w:rsidRDefault="0071673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“Atendiendo al escrito de contestación, de fecha veintidós de noviembre de dos mil veintiuno y signado por Evelin Cuevas Dávila, Servidora Pública Habilitada de la Secretaría de Administración y Finanzas, por medio del cual refiere, entre otras cosas, lo siguiente: "(...) La C. Martha Alicia Ortega Villa está adscrita a la Unidad de Seguimiento y las funciones por la unidad administrativa, se establecen en el Reglamento Interior del Órgano Superior de Fiscalización del Estado de México (...)". No obstante lo anterior, </w:t>
      </w:r>
      <w:r>
        <w:rPr>
          <w:rFonts w:ascii="Palatino Linotype" w:eastAsia="Palatino Linotype" w:hAnsi="Palatino Linotype" w:cs="Palatino Linotype"/>
          <w:b/>
          <w:i/>
          <w:sz w:val="22"/>
          <w:szCs w:val="22"/>
        </w:rPr>
        <w:t>la respuesta emitida es de manera muy general</w:t>
      </w:r>
      <w:r>
        <w:rPr>
          <w:rFonts w:ascii="Palatino Linotype" w:eastAsia="Palatino Linotype" w:hAnsi="Palatino Linotype" w:cs="Palatino Linotype"/>
          <w:i/>
          <w:sz w:val="22"/>
          <w:szCs w:val="22"/>
        </w:rPr>
        <w:t xml:space="preserve">, ya que la atribuciones que refieren en el oficio previamente descrito, dicen encontrarlas en el Reglamento Interior, lo cual no es verdad ya que no hay dichas atribuciones en el mismo. Derivado de lo anterior, </w:t>
      </w:r>
      <w:r>
        <w:rPr>
          <w:rFonts w:ascii="Palatino Linotype" w:eastAsia="Palatino Linotype" w:hAnsi="Palatino Linotype" w:cs="Palatino Linotype"/>
          <w:b/>
          <w:i/>
          <w:sz w:val="22"/>
          <w:szCs w:val="22"/>
        </w:rPr>
        <w:t>solicito nuevamente que me informen las funciones asignadas a la servidora pública Martha Alicia Ortega Villa que</w:t>
      </w:r>
      <w:r>
        <w:rPr>
          <w:rFonts w:ascii="Palatino Linotype" w:eastAsia="Palatino Linotype" w:hAnsi="Palatino Linotype" w:cs="Palatino Linotype"/>
          <w:i/>
          <w:sz w:val="22"/>
          <w:szCs w:val="22"/>
        </w:rPr>
        <w:t xml:space="preserve"> se vinculan con el sueldo asignado; o bien, </w:t>
      </w:r>
      <w:r>
        <w:rPr>
          <w:rFonts w:ascii="Palatino Linotype" w:eastAsia="Palatino Linotype" w:hAnsi="Palatino Linotype" w:cs="Palatino Linotype"/>
          <w:b/>
          <w:i/>
          <w:sz w:val="22"/>
          <w:szCs w:val="22"/>
        </w:rPr>
        <w:t>me informen las actividades a realizar</w:t>
      </w:r>
      <w:r>
        <w:rPr>
          <w:rFonts w:ascii="Palatino Linotype" w:eastAsia="Palatino Linotype" w:hAnsi="Palatino Linotype" w:cs="Palatino Linotype"/>
          <w:i/>
          <w:sz w:val="22"/>
          <w:szCs w:val="22"/>
        </w:rPr>
        <w:t xml:space="preserve"> con las cuales justifican las percepciones netas mensuales de $32,658.48 asignadas a la servidora pública Martha Alicia Ortega Villa.” (Sic).</w:t>
      </w:r>
    </w:p>
    <w:p w:rsidR="00F31771" w:rsidRDefault="00716732">
      <w:pPr>
        <w:spacing w:before="240" w:after="240" w:line="360" w:lineRule="auto"/>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p>
    <w:p w:rsidR="00F31771" w:rsidRDefault="00716732">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w:t>
      </w:r>
      <w:r>
        <w:rPr>
          <w:rFonts w:ascii="Palatino Linotype" w:eastAsia="Palatino Linotype" w:hAnsi="Palatino Linotype" w:cs="Palatino Linotype"/>
          <w:b/>
          <w:i/>
        </w:rPr>
        <w:t>“Archivo1638285627249.2</w:t>
      </w:r>
      <w:r w:rsidR="00735DF8">
        <w:rPr>
          <w:rFonts w:ascii="Palatino Linotype" w:eastAsia="Palatino Linotype" w:hAnsi="Palatino Linotype" w:cs="Palatino Linotype"/>
          <w:b/>
          <w:i/>
        </w:rPr>
        <w:t>”</w:t>
      </w:r>
      <w:r>
        <w:rPr>
          <w:rFonts w:ascii="Palatino Linotype" w:eastAsia="Palatino Linotype" w:hAnsi="Palatino Linotype" w:cs="Palatino Linotype"/>
          <w:b/>
          <w:i/>
        </w:rPr>
        <w:t xml:space="preserve">: </w:t>
      </w:r>
      <w:r>
        <w:rPr>
          <w:rFonts w:ascii="Palatino Linotype" w:eastAsia="Palatino Linotype" w:hAnsi="Palatino Linotype" w:cs="Palatino Linotype"/>
        </w:rPr>
        <w:t>Archivo que se encuentra vacío, por lo tanto, no se puede vislumbrar su contenido.</w:t>
      </w:r>
    </w:p>
    <w:p w:rsidR="00F31771" w:rsidRDefault="00F31771">
      <w:pPr>
        <w:ind w:right="49"/>
        <w:jc w:val="both"/>
        <w:rPr>
          <w:rFonts w:ascii="Palatino Linotype" w:eastAsia="Palatino Linotype" w:hAnsi="Palatino Linotype" w:cs="Palatino Linotype"/>
          <w:i/>
          <w:sz w:val="22"/>
          <w:szCs w:val="22"/>
        </w:rPr>
      </w:pPr>
    </w:p>
    <w:p w:rsidR="00F31771" w:rsidRDefault="00716732">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w:t>
      </w:r>
      <w:r>
        <w:rPr>
          <w:rFonts w:ascii="Palatino Linotype" w:eastAsia="Palatino Linotype" w:hAnsi="Palatino Linotype" w:cs="Palatino Linotype"/>
        </w:rPr>
        <w:lastRenderedPageBreak/>
        <w:t>este Instituto.</w:t>
      </w:r>
    </w:p>
    <w:p w:rsidR="00F31771" w:rsidRDefault="00F31771">
      <w:pPr>
        <w:widowControl w:val="0"/>
        <w:spacing w:line="360" w:lineRule="auto"/>
        <w:ind w:right="49"/>
        <w:jc w:val="both"/>
        <w:rPr>
          <w:rFonts w:ascii="Palatino Linotype" w:eastAsia="Palatino Linotype" w:hAnsi="Palatino Linotype" w:cs="Palatino Linotype"/>
        </w:rPr>
      </w:pPr>
    </w:p>
    <w:p w:rsidR="00F31771" w:rsidRDefault="00716732">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tres de diciembre de dos mil veintiuno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F31771" w:rsidRDefault="00F31771">
      <w:pPr>
        <w:widowControl w:val="0"/>
        <w:spacing w:line="360" w:lineRule="auto"/>
        <w:ind w:right="49"/>
        <w:jc w:val="both"/>
        <w:rPr>
          <w:rFonts w:ascii="Palatino Linotype" w:eastAsia="Palatino Linotype" w:hAnsi="Palatino Linotype" w:cs="Palatino Linotype"/>
        </w:rPr>
      </w:pPr>
    </w:p>
    <w:p w:rsidR="00F31771" w:rsidRDefault="00716732">
      <w:pPr>
        <w:widowControl w:val="0"/>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diez de diciembre del dos mil veintiuno</w:t>
      </w:r>
      <w:r>
        <w:rPr>
          <w:rFonts w:ascii="Palatino Linotype" w:eastAsia="Palatino Linotype" w:hAnsi="Palatino Linotype" w:cs="Palatino Linotype"/>
        </w:rPr>
        <w:t xml:space="preserve">, mediante los archivos electrónicos: </w:t>
      </w:r>
      <w:r>
        <w:rPr>
          <w:rFonts w:ascii="Palatino Linotype" w:eastAsia="Palatino Linotype" w:hAnsi="Palatino Linotype" w:cs="Palatino Linotype"/>
          <w:b/>
          <w:i/>
        </w:rPr>
        <w:t>“INFORME SAF RR.5974-2021.pdf” e “INFORME JUSTIFICADO RR. 5974-2021.pdf”</w:t>
      </w:r>
      <w:r>
        <w:rPr>
          <w:rFonts w:ascii="Palatino Linotype" w:eastAsia="Palatino Linotype" w:hAnsi="Palatino Linotype" w:cs="Palatino Linotype"/>
        </w:rPr>
        <w:t xml:space="preserve">, los cuales se pusieron a la vista del particular en fecha </w:t>
      </w:r>
      <w:r>
        <w:rPr>
          <w:rFonts w:ascii="Palatino Linotype" w:eastAsia="Palatino Linotype" w:hAnsi="Palatino Linotype" w:cs="Palatino Linotype"/>
          <w:b/>
        </w:rPr>
        <w:t>veintiocho de enero de dos mil veintidós</w:t>
      </w:r>
      <w:r>
        <w:rPr>
          <w:rFonts w:ascii="Palatino Linotype" w:eastAsia="Palatino Linotype" w:hAnsi="Palatino Linotype" w:cs="Palatino Linotype"/>
        </w:rPr>
        <w:t>, asimismo cabe señalar que la parte recurrente fue omisa en emitir pronunciamientos, ofrecer pruebas o alegatos, por lo que se tiene por precluido su derecho.</w:t>
      </w:r>
    </w:p>
    <w:p w:rsidR="00F31771" w:rsidRDefault="00F31771">
      <w:pPr>
        <w:widowControl w:val="0"/>
        <w:spacing w:line="360" w:lineRule="auto"/>
        <w:ind w:right="49"/>
        <w:jc w:val="both"/>
        <w:rPr>
          <w:rFonts w:ascii="Palatino Linotype" w:eastAsia="Palatino Linotype" w:hAnsi="Palatino Linotype" w:cs="Palatino Linotype"/>
        </w:rPr>
      </w:pPr>
    </w:p>
    <w:p w:rsidR="00F31771" w:rsidRDefault="00716732">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w:t>
      </w:r>
      <w:r>
        <w:rPr>
          <w:rFonts w:ascii="Palatino Linotype" w:eastAsia="Palatino Linotype" w:hAnsi="Palatino Linotype" w:cs="Palatino Linotype"/>
        </w:rPr>
        <w:t xml:space="preserve">En fecha </w:t>
      </w:r>
      <w:r w:rsidRPr="00735DF8">
        <w:rPr>
          <w:rFonts w:ascii="Palatino Linotype" w:eastAsia="Palatino Linotype" w:hAnsi="Palatino Linotype" w:cs="Palatino Linotype"/>
          <w:b/>
        </w:rPr>
        <w:t>dos de febrero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este Instituto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w:t>
      </w:r>
      <w:r>
        <w:rPr>
          <w:rFonts w:ascii="Palatino Linotype" w:eastAsia="Palatino Linotype" w:hAnsi="Palatino Linotype" w:cs="Palatino Linotype"/>
        </w:rPr>
        <w:lastRenderedPageBreak/>
        <w:t>análisis exhaustivo de las constancias que obran en el expediente electrónico, adoptando las medidas pertinentes, a fin de aminorar los efectos que conlleva.</w:t>
      </w:r>
    </w:p>
    <w:p w:rsidR="00F31771" w:rsidRDefault="0071673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tres</w:t>
      </w:r>
      <w:r>
        <w:rPr>
          <w:rFonts w:ascii="Palatino Linotype" w:eastAsia="Palatino Linotype" w:hAnsi="Palatino Linotype" w:cs="Palatino Linotype"/>
          <w:b/>
          <w:color w:val="000000"/>
        </w:rPr>
        <w:t xml:space="preserve"> de febrero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F31771" w:rsidRDefault="00716732">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F31771" w:rsidRDefault="00716732">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31771" w:rsidRDefault="00716732">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el día </w:t>
      </w:r>
      <w:r>
        <w:rPr>
          <w:rFonts w:ascii="Palatino Linotype" w:eastAsia="Palatino Linotype" w:hAnsi="Palatino Linotype" w:cs="Palatino Linotype"/>
          <w:b/>
        </w:rPr>
        <w:t>veintitrés de noviembre de dos mil veintiuno</w:t>
      </w:r>
      <w:r>
        <w:rPr>
          <w:rFonts w:ascii="Palatino Linotype" w:eastAsia="Palatino Linotype" w:hAnsi="Palatino Linotype" w:cs="Palatino Linotype"/>
        </w:rPr>
        <w:t xml:space="preserve">, mientras que el solicitante presentó su recurso de revisión el día </w:t>
      </w:r>
      <w:r>
        <w:rPr>
          <w:rFonts w:ascii="Palatino Linotype" w:eastAsia="Palatino Linotype" w:hAnsi="Palatino Linotype" w:cs="Palatino Linotype"/>
          <w:b/>
        </w:rPr>
        <w:t>treinta de noviembre de dos mil veintiuno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quinto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rsidR="00F31771" w:rsidRDefault="0071673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 </w:t>
      </w:r>
    </w:p>
    <w:p w:rsidR="00F31771" w:rsidRDefault="00716732">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31771" w:rsidRDefault="00716732">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El nombre del solicitante que recurre o de su representante y, en su caso, del tercero interesado, así como la dirección o medio que señale para recibir notificaciones; </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F31771" w:rsidRDefault="00716732">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En caso de que el recurso se interponga de manera electrónica no será indispensable que contengan los requisitos establecidos en las fracciones II, IV, VII y VIII.”</w:t>
      </w:r>
    </w:p>
    <w:p w:rsidR="00F31771" w:rsidRDefault="0071673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181 del citado ordenamiento dispone, que:</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F31771" w:rsidRDefault="00716732">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el particular, de la revisión al expediente electrónico del SAIMEX se desprende que la parte solicitante, en ejercicio de su derecho de acceso a la información pública, y ahora recurrente, </w:t>
      </w:r>
      <w:r>
        <w:rPr>
          <w:rFonts w:ascii="Palatino Linotype" w:eastAsia="Palatino Linotype" w:hAnsi="Palatino Linotype" w:cs="Palatino Linotype"/>
          <w:b/>
          <w:color w:val="000000"/>
        </w:rPr>
        <w:t>no proporcionó datos que lo hagan identificable, por ende no se tiene certeza sobre su identidad,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toda vez que en el apartado de nombre expresó únicamente “</w:t>
      </w:r>
      <w:r w:rsidR="00C05388">
        <w:rPr>
          <w:rFonts w:ascii="Palatino Linotype" w:eastAsia="Palatino Linotype" w:hAnsi="Palatino Linotype" w:cs="Palatino Linotype"/>
          <w:b/>
        </w:rPr>
        <w:t>XXXX</w:t>
      </w:r>
      <w:bookmarkStart w:id="0" w:name="_GoBack"/>
      <w:bookmarkEnd w:id="0"/>
      <w:r>
        <w:rPr>
          <w:rFonts w:ascii="Palatino Linotype" w:eastAsia="Palatino Linotype" w:hAnsi="Palatino Linotype" w:cs="Palatino Linotype"/>
        </w:rPr>
        <w:t>”, lo cual, en estricto sentido provoca que no se colmen los requisitos establecidos en el citado artículo 180 de la Ley de Transparencia.</w:t>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eastAsia="Palatino Linotype" w:hAnsi="Palatino Linotype" w:cs="Palatino Linotype"/>
          <w:b/>
          <w:i/>
        </w:rPr>
        <w:t>sine qua non</w:t>
      </w:r>
      <w:r>
        <w:rPr>
          <w:rFonts w:ascii="Palatino Linotype" w:eastAsia="Palatino Linotype" w:hAnsi="Palatino Linotype" w:cs="Palatino Linotype"/>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rsidR="00F31771" w:rsidRDefault="00716732">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ello, cabe mencionar que los artículos 6, apartado A, fracciones I, II, III y IV de la Constitución Política de los Estados Unidos Mexicanos y 5 trigésimo, trigésimo primero y trigésimo segundo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w:t>
      </w:r>
      <w:r>
        <w:rPr>
          <w:rFonts w:ascii="Palatino Linotype" w:eastAsia="Palatino Linotype" w:hAnsi="Palatino Linotype" w:cs="Palatino Linotype"/>
        </w:rPr>
        <w:lastRenderedPageBreak/>
        <w:t>gratuito a la información pública; preceptos cuyo texto y sentido literal es el siguiente:</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efectos de lo dispuesto en el presente artículo se observará lo siguiente: </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Para el ejercicio del derecho de acceso a la información, la Federación, los Estados y el Distrito Federal, en el ámbito de sus respectivas competencias, se regirán por los siguientes principios y bases: </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información que se refiere a la vida privada y los datos personales será protegida en los términos y con las excepciones que fijen las leyes. </w:t>
      </w:r>
    </w:p>
    <w:p w:rsidR="00F31771" w:rsidRDefault="00716732">
      <w:pPr>
        <w:spacing w:after="120"/>
        <w:ind w:left="851"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Toda persona, sin necesidad de acreditar interés alguno o justificar su utilización, tendrá acceso gratuito a la información pública, a sus datos personales o a la rectificación de éstos. </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F31771" w:rsidRDefault="0071673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5.- En el Estado de México todos los individuos son iguales y tienen las libertades, derechos y garantías que la Constitución Federal, esta Constitución, los Tratados Internacionales en materia de derechos </w:t>
      </w:r>
      <w:r>
        <w:rPr>
          <w:rFonts w:ascii="Palatino Linotype" w:eastAsia="Palatino Linotype" w:hAnsi="Palatino Linotype" w:cs="Palatino Linotype"/>
          <w:i/>
          <w:sz w:val="22"/>
          <w:szCs w:val="22"/>
        </w:rPr>
        <w:lastRenderedPageBreak/>
        <w:t>fundamentales de los que el Estado Mexicano sea parte y las leyes del Estado establecen.</w:t>
      </w:r>
    </w:p>
    <w:p w:rsidR="00F31771" w:rsidRDefault="0071673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31771" w:rsidRDefault="0071673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31771" w:rsidRDefault="0071673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rsidR="00F31771" w:rsidRDefault="0071673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31771" w:rsidRDefault="0071673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31771" w:rsidRDefault="00716732">
      <w:pPr>
        <w:spacing w:after="120"/>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III. Toda persona, sin necesidad de acreditar interés alguno o justificar su utilización, tendrá acceso gratuito a la información pública, a sus datos personales o a la rectificación de éstos;</w:t>
      </w:r>
    </w:p>
    <w:p w:rsidR="00F31771" w:rsidRDefault="0071673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31771" w:rsidRDefault="00716732">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31771" w:rsidRDefault="00716732">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otra parte, del contenido del artículo 1 de la Constitución Política de los Estados Unidos Mexicanos, se destaca lo siguiente:</w:t>
      </w:r>
    </w:p>
    <w:p w:rsidR="00F31771" w:rsidRDefault="00716732">
      <w:pPr>
        <w:tabs>
          <w:tab w:val="left" w:pos="7655"/>
        </w:tabs>
        <w:spacing w:after="120"/>
        <w:ind w:left="1134" w:right="1325"/>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31771" w:rsidRDefault="00716732">
      <w:pPr>
        <w:spacing w:after="12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F31771" w:rsidRDefault="00716732">
      <w:pPr>
        <w:spacing w:after="12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31771" w:rsidRDefault="00716732">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31771" w:rsidRDefault="00716732">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entonces Instituto Federal de Acceso a la Información y Protección de Datos, el cual se reproduce para una mayor referencia:</w:t>
      </w:r>
    </w:p>
    <w:p w:rsidR="00F31771" w:rsidRDefault="00716732">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31771" w:rsidRDefault="00716732">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F31771" w:rsidRDefault="00716732">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F31771" w:rsidRDefault="00716732">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F31771" w:rsidRDefault="00716732">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artículos 176 y 179 fracción</w:t>
      </w:r>
      <w:r>
        <w:rPr>
          <w:rFonts w:ascii="Palatino Linotype" w:eastAsia="Palatino Linotype" w:hAnsi="Palatino Linotype" w:cs="Palatino Linotype"/>
          <w:b/>
        </w:rPr>
        <w:t xml:space="preserve"> V </w:t>
      </w:r>
      <w:r>
        <w:rPr>
          <w:rFonts w:ascii="Palatino Linotype" w:eastAsia="Palatino Linotype" w:hAnsi="Palatino Linotype" w:cs="Palatino Linotype"/>
        </w:rPr>
        <w:t>del ordenamiento legal citado, que establecen los supuestos en que puede interponerse el recurso de revisión:</w:t>
      </w:r>
    </w:p>
    <w:p w:rsidR="00F31771" w:rsidRDefault="00716732">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F31771" w:rsidRDefault="00716732">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F31771" w:rsidRDefault="00716732">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31771" w:rsidRDefault="00716732">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V. La entrega de información incompleta;</w:t>
      </w:r>
    </w:p>
    <w:p w:rsidR="00F31771" w:rsidRDefault="00716732">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F31771" w:rsidRDefault="00716732">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F31771" w:rsidRDefault="0071673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Análisis de las causas de sobreseimiento del recurso de revisión. </w:t>
      </w:r>
      <w:r>
        <w:rPr>
          <w:rFonts w:ascii="Palatino Linotype" w:eastAsia="Palatino Linotype" w:hAnsi="Palatino Linotype" w:cs="Palatino Linotype"/>
        </w:rPr>
        <w:t>En primera instancia, debe apuntarse que del análisis al recurso de revisión que ahora se resuelve, se tiene que se actualiza la causal de sobreseimiento del recurso de revisión establecido en la fracción III del artículo 192</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en relación con el diverso 186 fracción I</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rsidR="00F31771" w:rsidRDefault="00716732">
      <w:pPr>
        <w:tabs>
          <w:tab w:val="left" w:pos="7513"/>
        </w:tabs>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rsidR="00F31771" w:rsidRDefault="00716732">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la solicitud de información materia del presente recurso,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siguiente:</w:t>
      </w:r>
    </w:p>
    <w:p w:rsidR="00F31771" w:rsidRDefault="00F31771">
      <w:pPr>
        <w:tabs>
          <w:tab w:val="left" w:pos="7513"/>
        </w:tabs>
        <w:spacing w:line="360" w:lineRule="auto"/>
        <w:ind w:right="49"/>
        <w:jc w:val="both"/>
        <w:rPr>
          <w:rFonts w:ascii="Palatino Linotype" w:eastAsia="Palatino Linotype" w:hAnsi="Palatino Linotype" w:cs="Palatino Linotype"/>
        </w:rPr>
      </w:pPr>
    </w:p>
    <w:p w:rsidR="00F31771" w:rsidRDefault="00716732">
      <w:pPr>
        <w:tabs>
          <w:tab w:val="left" w:pos="7513"/>
        </w:tabs>
        <w:spacing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De la servidora pública Martha Alicia Ortega Villa:</w:t>
      </w:r>
      <w:r>
        <w:rPr>
          <w:rFonts w:ascii="Palatino Linotype" w:eastAsia="Palatino Linotype" w:hAnsi="Palatino Linotype" w:cs="Palatino Linotype"/>
          <w:i/>
        </w:rPr>
        <w:t xml:space="preserve"> </w:t>
      </w:r>
    </w:p>
    <w:p w:rsidR="00F31771" w:rsidRDefault="00716732">
      <w:pPr>
        <w:tabs>
          <w:tab w:val="left" w:pos="7513"/>
        </w:tabs>
        <w:spacing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rPr>
        <w:t xml:space="preserve">1. Sueldo, puesto y categoría asignado </w:t>
      </w:r>
    </w:p>
    <w:p w:rsidR="00F31771" w:rsidRDefault="00716732">
      <w:pPr>
        <w:tabs>
          <w:tab w:val="left" w:pos="7513"/>
        </w:tabs>
        <w:spacing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rPr>
        <w:t xml:space="preserve">2. Nombre del Jefe Inmediato </w:t>
      </w:r>
    </w:p>
    <w:p w:rsidR="00F31771" w:rsidRDefault="00716732">
      <w:pPr>
        <w:tabs>
          <w:tab w:val="left" w:pos="7513"/>
        </w:tabs>
        <w:spacing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3. Versión pública de los recibos de nómina correspondientes a las 2 quincenas de octubre de 2020 y 2021 </w:t>
      </w:r>
    </w:p>
    <w:p w:rsidR="00F31771" w:rsidRDefault="00716732">
      <w:pPr>
        <w:tabs>
          <w:tab w:val="left" w:pos="7513"/>
        </w:tabs>
        <w:spacing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rPr>
        <w:t xml:space="preserve">4. Proceso de contratación </w:t>
      </w:r>
    </w:p>
    <w:p w:rsidR="00F31771" w:rsidRDefault="00716732">
      <w:pPr>
        <w:tabs>
          <w:tab w:val="left" w:pos="7513"/>
        </w:tabs>
        <w:spacing w:line="360" w:lineRule="auto"/>
        <w:ind w:right="851"/>
        <w:jc w:val="both"/>
        <w:rPr>
          <w:rFonts w:ascii="Palatino Linotype" w:eastAsia="Palatino Linotype" w:hAnsi="Palatino Linotype" w:cs="Palatino Linotype"/>
        </w:rPr>
      </w:pPr>
      <w:r>
        <w:rPr>
          <w:rFonts w:ascii="Palatino Linotype" w:eastAsia="Palatino Linotype" w:hAnsi="Palatino Linotype" w:cs="Palatino Linotype"/>
        </w:rPr>
        <w:t>5. Funciones asignadas que se vinculen con el sueldo asignado</w:t>
      </w:r>
    </w:p>
    <w:p w:rsidR="00F31771" w:rsidRDefault="00F31771">
      <w:pPr>
        <w:tabs>
          <w:tab w:val="left" w:pos="7513"/>
        </w:tabs>
        <w:spacing w:line="360" w:lineRule="auto"/>
        <w:ind w:right="49"/>
        <w:jc w:val="both"/>
        <w:rPr>
          <w:rFonts w:ascii="Palatino Linotype" w:eastAsia="Palatino Linotype" w:hAnsi="Palatino Linotype" w:cs="Palatino Linotype"/>
          <w:i/>
        </w:rPr>
      </w:pPr>
    </w:p>
    <w:p w:rsidR="00F31771" w:rsidRDefault="0071673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respuesta a la solicitud de información, el Titular de la Unidad de Transparencia remitió la respuesta, tal como se precisó en el apartado de antecedentes de la presente resolución.</w:t>
      </w:r>
    </w:p>
    <w:p w:rsidR="00F31771" w:rsidRDefault="00716732">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esta tesitura, una vez conocida la respuesta emitida por el Sujeto Obligado, el particular, al no estar conforme con los términos de la misma, interpuso el recurso de revisión que nos ocupa, donde señaló como acto impugnado: </w:t>
      </w:r>
      <w:r>
        <w:rPr>
          <w:rFonts w:ascii="Palatino Linotype" w:eastAsia="Palatino Linotype" w:hAnsi="Palatino Linotype" w:cs="Palatino Linotype"/>
          <w:i/>
        </w:rPr>
        <w:t xml:space="preserve">“…No obstante lo anterior, la respuesta emitida es de manera muy general, ya que la atribuciones que refieren en el oficio previamente descrito, dicen encontrarlas en el Reglamento Interior, lo cual no es verdad ya que no hay dichas atribuciones en el mismo. Derivado de lo anterior, </w:t>
      </w:r>
      <w:r>
        <w:rPr>
          <w:rFonts w:ascii="Palatino Linotype" w:eastAsia="Palatino Linotype" w:hAnsi="Palatino Linotype" w:cs="Palatino Linotype"/>
          <w:b/>
          <w:i/>
          <w:u w:val="single"/>
        </w:rPr>
        <w:t>solicito nuevamente que me informen las funciones asignadas a la servidora pública Martha Alicia</w:t>
      </w:r>
      <w:r>
        <w:rPr>
          <w:rFonts w:ascii="Palatino Linotype" w:eastAsia="Palatino Linotype" w:hAnsi="Palatino Linotype" w:cs="Palatino Linotype"/>
          <w:i/>
        </w:rPr>
        <w:t xml:space="preserve"> Ortega Villa que se vinculan con el sueldo asignado; o bien, me informen las actividades a realizar con las cuales justifican las percepciones netas mensuales de $32,658.48 asignadas a la servidora pública Martha Alicia Ortega Villa” (Sic), </w:t>
      </w:r>
      <w:r>
        <w:rPr>
          <w:rFonts w:ascii="Palatino Linotype" w:eastAsia="Palatino Linotype" w:hAnsi="Palatino Linotype" w:cs="Palatino Linotype"/>
        </w:rPr>
        <w:t>es decir, su inconformidad medularmente versa sobre la entrega de la información incompleta al estimar que la respuesta al planteamiento número cinco no colma su requerimiento.</w:t>
      </w:r>
    </w:p>
    <w:p w:rsidR="00F31771" w:rsidRDefault="0071673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así mismo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w:t>
      </w:r>
      <w:r>
        <w:rPr>
          <w:rFonts w:ascii="Palatino Linotype" w:eastAsia="Palatino Linotype" w:hAnsi="Palatino Linotype" w:cs="Palatino Linotype"/>
        </w:rPr>
        <w:lastRenderedPageBreak/>
        <w:t>manifestaciones o pronunciamiento alguno que a su derecho conviniera, luego entonces, se tiene por precluido su derecho para tal efecto.</w:t>
      </w:r>
    </w:p>
    <w:p w:rsidR="00F31771" w:rsidRDefault="00716732">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color w:val="000000"/>
        </w:rPr>
        <w:t xml:space="preserve">Bajo este tenor, la parte de la respuesta concerniente a </w:t>
      </w:r>
      <w:r>
        <w:rPr>
          <w:rFonts w:ascii="Palatino Linotype" w:eastAsia="Palatino Linotype" w:hAnsi="Palatino Linotype" w:cs="Palatino Linotype"/>
          <w:b/>
          <w:i/>
          <w:color w:val="000000"/>
        </w:rPr>
        <w:t>“</w:t>
      </w:r>
      <w:r>
        <w:rPr>
          <w:rFonts w:ascii="Palatino Linotype" w:eastAsia="Palatino Linotype" w:hAnsi="Palatino Linotype" w:cs="Palatino Linotype"/>
          <w:i/>
          <w:sz w:val="22"/>
          <w:szCs w:val="22"/>
        </w:rPr>
        <w:t>1. Sueldo, puesto y categoría asignado 2. Nombre del Jefe Inmediato 3. Versión pública de los recibos de nómina correspondientes a las 2 quincenas de octubre de 2020 y 2021 4. Proceso de contratación</w:t>
      </w:r>
      <w:r>
        <w:rPr>
          <w:rFonts w:ascii="Palatino Linotype" w:eastAsia="Palatino Linotype" w:hAnsi="Palatino Linotype" w:cs="Palatino Linotype"/>
          <w:i/>
          <w:color w:val="000000"/>
        </w:rPr>
        <w:t>?” (Sic),</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se tiene que no fue impugnada, por lo que consecuentemente debe declararse consentida, toda vez que, al no haber realizado manifestaciones de inconformidad al respecto, se infiere que la información proporcionada por el Sujeto Obligado, satisface estos puntos de la solicitud presentada.</w:t>
      </w:r>
    </w:p>
    <w:p w:rsidR="00F31771" w:rsidRDefault="00716732">
      <w:pPr>
        <w:spacing w:before="240" w:after="3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es así, debido a que cuando un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F31771" w:rsidRDefault="00716732">
      <w:pPr>
        <w:spacing w:before="240" w:after="36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31771" w:rsidRDefault="0071673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Consecuentemente, se reitera que la parte de la solicitud que no fue impugnada debe declararse consentida por la hoy Recurrente, en razón de que no se realizaron manifestaciones de inconformidad, por lo que no pueden producirse efectos jurídicos tendentes a revocar, confirmar o modificar el acto reclamado ya que se infiere un consentimiento de la Recurrente ante la falta de impugnación eficaz. </w:t>
      </w:r>
    </w:p>
    <w:p w:rsidR="00F31771" w:rsidRDefault="00716732">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rsidR="00F31771" w:rsidRDefault="00716732">
      <w:pPr>
        <w:spacing w:before="240" w:after="240"/>
        <w:ind w:left="567" w:right="900"/>
        <w:jc w:val="both"/>
        <w:rPr>
          <w:rFonts w:ascii="Palatino Linotype" w:eastAsia="Palatino Linotype" w:hAnsi="Palatino Linotype" w:cs="Palatino Linotype"/>
        </w:rPr>
      </w:pPr>
      <w:r>
        <w:rPr>
          <w:rFonts w:ascii="Palatino Linotype" w:eastAsia="Palatino Linotype" w:hAnsi="Palatino Linotype" w:cs="Palatino Linotype"/>
          <w:b/>
          <w:i/>
          <w:smallCaps/>
          <w:color w:val="000000"/>
          <w:sz w:val="22"/>
          <w:szCs w:val="22"/>
        </w:rPr>
        <w:t xml:space="preserve">“ACTOS CONSENTIDOS. SON LOS QUE NO SE IMPUGNAN MEDIANTE EL RECURSO IDÓNEO. </w:t>
      </w:r>
      <w:r>
        <w:rPr>
          <w:rFonts w:ascii="Palatino Linotype" w:eastAsia="Palatino Linotype" w:hAnsi="Palatino Linotype" w:cs="Palatino Linotype"/>
          <w:i/>
          <w:color w:val="000000"/>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31771" w:rsidRDefault="00716732">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Ahora bien, respecto al punto impugnado, correspondiente al punto número cinco de la solicitud, el cual constaba en conocer “</w:t>
      </w:r>
      <w:r>
        <w:rPr>
          <w:rFonts w:ascii="Palatino Linotype" w:eastAsia="Palatino Linotype" w:hAnsi="Palatino Linotype" w:cs="Palatino Linotype"/>
          <w:i/>
          <w:color w:val="222222"/>
        </w:rPr>
        <w:t xml:space="preserve">Funciones asignadas que se vinculen con el sueldo asignado.”, </w:t>
      </w:r>
      <w:r>
        <w:rPr>
          <w:rFonts w:ascii="Palatino Linotype" w:eastAsia="Palatino Linotype" w:hAnsi="Palatino Linotype" w:cs="Palatino Linotype"/>
          <w:color w:val="222222"/>
        </w:rPr>
        <w:t xml:space="preserve">conviene reiterar que mediante su respuesta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señaló lo siguiente: </w:t>
      </w:r>
    </w:p>
    <w:p w:rsidR="00F31771" w:rsidRDefault="00F31771">
      <w:pPr>
        <w:spacing w:line="360" w:lineRule="auto"/>
        <w:jc w:val="both"/>
        <w:rPr>
          <w:rFonts w:ascii="Palatino Linotype" w:eastAsia="Palatino Linotype" w:hAnsi="Palatino Linotype" w:cs="Palatino Linotype"/>
          <w:color w:val="222222"/>
        </w:rPr>
      </w:pPr>
    </w:p>
    <w:p w:rsidR="00F31771" w:rsidRDefault="00716732">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noProof/>
          <w:color w:val="222222"/>
          <w:lang w:val="es-MX"/>
        </w:rPr>
        <w:drawing>
          <wp:inline distT="0" distB="0" distL="0" distR="0">
            <wp:extent cx="5448300" cy="1104900"/>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448300" cy="1104900"/>
                    </a:xfrm>
                    <a:prstGeom prst="rect">
                      <a:avLst/>
                    </a:prstGeom>
                    <a:ln/>
                  </pic:spPr>
                </pic:pic>
              </a:graphicData>
            </a:graphic>
          </wp:inline>
        </w:drawing>
      </w:r>
    </w:p>
    <w:p w:rsidR="00F31771" w:rsidRDefault="0071673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Debe precisarse que para efecto de robustecer el presente análisis este Instituto procedió a consultar la liga electrónica remitida por el Sujeto Obligado, obteniendo </w:t>
      </w:r>
      <w:r>
        <w:rPr>
          <w:rFonts w:ascii="Palatino Linotype" w:eastAsia="Palatino Linotype" w:hAnsi="Palatino Linotype" w:cs="Palatino Linotype"/>
        </w:rPr>
        <w:lastRenderedPageBreak/>
        <w:t xml:space="preserve">así el Reglamento Interior del Órgano Superior de Fiscalización del Estado de México, es decir, no se precisan las funciones a desempeñar por la servidora pública. </w:t>
      </w:r>
    </w:p>
    <w:p w:rsidR="00F31771" w:rsidRDefault="00F31771">
      <w:pPr>
        <w:spacing w:line="360" w:lineRule="auto"/>
        <w:ind w:right="49"/>
        <w:jc w:val="both"/>
        <w:rPr>
          <w:rFonts w:ascii="Palatino Linotype" w:eastAsia="Palatino Linotype" w:hAnsi="Palatino Linotype" w:cs="Palatino Linotype"/>
        </w:rPr>
      </w:pPr>
    </w:p>
    <w:p w:rsidR="00F31771" w:rsidRDefault="0071673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al momento de rendir 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electrónicos: </w:t>
      </w:r>
      <w:r>
        <w:rPr>
          <w:rFonts w:ascii="Palatino Linotype" w:eastAsia="Palatino Linotype" w:hAnsi="Palatino Linotype" w:cs="Palatino Linotype"/>
          <w:b/>
          <w:i/>
        </w:rPr>
        <w:t xml:space="preserve">“INFORME SAF RR.5974-2021.pdf” e “INFORME JUSTIFICADO RR. 5974-2021.pdf”, </w:t>
      </w:r>
      <w:r>
        <w:rPr>
          <w:rFonts w:ascii="Palatino Linotype" w:eastAsia="Palatino Linotype" w:hAnsi="Palatino Linotype" w:cs="Palatino Linotype"/>
        </w:rPr>
        <w:t>mediante los cuales amplió la respuesta vertida inicialmente que dio origen a la interposición del recurso de revisión que nos ocupa, tal como se ilustra a continuación para mejor proveer del presente estudio, particularmente en los siguientes términos:</w:t>
      </w:r>
    </w:p>
    <w:p w:rsidR="00F31771" w:rsidRDefault="00F31771">
      <w:pPr>
        <w:spacing w:line="360" w:lineRule="auto"/>
        <w:ind w:left="567" w:right="851"/>
        <w:jc w:val="both"/>
        <w:rPr>
          <w:rFonts w:ascii="Palatino Linotype" w:eastAsia="Palatino Linotype" w:hAnsi="Palatino Linotype" w:cs="Palatino Linotype"/>
          <w:b/>
          <w:i/>
        </w:rPr>
      </w:pPr>
    </w:p>
    <w:p w:rsidR="00F31771" w:rsidRDefault="00716732">
      <w:pPr>
        <w:spacing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“INFORME SAF RR.5974-2021.pdf”: </w:t>
      </w:r>
      <w:r>
        <w:rPr>
          <w:rFonts w:ascii="Palatino Linotype" w:eastAsia="Palatino Linotype" w:hAnsi="Palatino Linotype" w:cs="Palatino Linotype"/>
        </w:rPr>
        <w:t xml:space="preserve">Documento de dos fojas por el que la Servidora Pública Habilitada de la Secretaría de Administración y Finanzas modifica su respuesta inicial y enlista las funciones a desempeñar por la servidora pública, sirven de ilustración las siguientes capturas de pantalla: </w:t>
      </w:r>
    </w:p>
    <w:p w:rsidR="00F31771" w:rsidRDefault="00F31771">
      <w:pPr>
        <w:spacing w:line="360" w:lineRule="auto"/>
        <w:ind w:left="567" w:right="851"/>
        <w:jc w:val="both"/>
        <w:rPr>
          <w:rFonts w:ascii="Palatino Linotype" w:eastAsia="Palatino Linotype" w:hAnsi="Palatino Linotype" w:cs="Palatino Linotype"/>
        </w:rPr>
      </w:pPr>
    </w:p>
    <w:p w:rsidR="00F31771" w:rsidRDefault="00F31771">
      <w:pPr>
        <w:spacing w:line="360" w:lineRule="auto"/>
        <w:ind w:left="567" w:right="851"/>
        <w:jc w:val="both"/>
        <w:rPr>
          <w:rFonts w:ascii="Palatino Linotype" w:eastAsia="Palatino Linotype" w:hAnsi="Palatino Linotype" w:cs="Palatino Linotype"/>
        </w:rPr>
      </w:pPr>
    </w:p>
    <w:p w:rsidR="00F31771" w:rsidRDefault="00F31771">
      <w:pPr>
        <w:spacing w:line="360" w:lineRule="auto"/>
        <w:ind w:left="567" w:right="851"/>
        <w:jc w:val="both"/>
        <w:rPr>
          <w:rFonts w:ascii="Palatino Linotype" w:eastAsia="Palatino Linotype" w:hAnsi="Palatino Linotype" w:cs="Palatino Linotype"/>
        </w:rPr>
      </w:pPr>
    </w:p>
    <w:p w:rsidR="00F31771" w:rsidRDefault="00716732">
      <w:pPr>
        <w:spacing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81650" cy="6943725"/>
            <wp:effectExtent l="0" t="0" r="0" b="0"/>
            <wp:docPr id="7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581650" cy="6943725"/>
                    </a:xfrm>
                    <a:prstGeom prst="rect">
                      <a:avLst/>
                    </a:prstGeom>
                    <a:ln/>
                  </pic:spPr>
                </pic:pic>
              </a:graphicData>
            </a:graphic>
          </wp:inline>
        </w:drawing>
      </w:r>
      <w:r>
        <w:rPr>
          <w:noProof/>
          <w:lang w:val="es-MX"/>
        </w:rPr>
        <mc:AlternateContent>
          <mc:Choice Requires="wpg">
            <w:drawing>
              <wp:anchor distT="0" distB="0" distL="114300" distR="114300" simplePos="0" relativeHeight="251663360" behindDoc="0" locked="0" layoutInCell="1" hidden="0" allowOverlap="1">
                <wp:simplePos x="0" y="0"/>
                <wp:positionH relativeFrom="column">
                  <wp:posOffset>927100</wp:posOffset>
                </wp:positionH>
                <wp:positionV relativeFrom="paragraph">
                  <wp:posOffset>4965700</wp:posOffset>
                </wp:positionV>
                <wp:extent cx="4752975" cy="1885950"/>
                <wp:effectExtent l="0" t="0" r="0" b="0"/>
                <wp:wrapNone/>
                <wp:docPr id="65" name=""/>
                <wp:cNvGraphicFramePr/>
                <a:graphic xmlns:a="http://schemas.openxmlformats.org/drawingml/2006/main">
                  <a:graphicData uri="http://schemas.microsoft.com/office/word/2010/wordprocessingShape">
                    <wps:wsp>
                      <wps:cNvSpPr/>
                      <wps:spPr>
                        <a:xfrm>
                          <a:off x="2998088" y="2865600"/>
                          <a:ext cx="4695825" cy="1828800"/>
                        </a:xfrm>
                        <a:prstGeom prst="rect">
                          <a:avLst/>
                        </a:prstGeom>
                        <a:noFill/>
                        <a:ln w="28575" cap="flat" cmpd="sng">
                          <a:solidFill>
                            <a:srgbClr val="002060"/>
                          </a:solidFill>
                          <a:prstDash val="solid"/>
                          <a:round/>
                          <a:headEnd type="none" w="sm" len="sm"/>
                          <a:tailEnd type="none" w="sm" len="sm"/>
                        </a:ln>
                      </wps:spPr>
                      <wps:txbx>
                        <w:txbxContent>
                          <w:p w:rsidR="00F31771" w:rsidRDefault="00F31771">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927100</wp:posOffset>
                </wp:positionH>
                <wp:positionV relativeFrom="paragraph">
                  <wp:posOffset>4965700</wp:posOffset>
                </wp:positionV>
                <wp:extent cx="4752975" cy="1885950"/>
                <wp:effectExtent b="0" l="0" r="0" t="0"/>
                <wp:wrapNone/>
                <wp:docPr id="65"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4752975" cy="1885950"/>
                        </a:xfrm>
                        <a:prstGeom prst="rect"/>
                        <a:ln/>
                      </pic:spPr>
                    </pic:pic>
                  </a:graphicData>
                </a:graphic>
              </wp:anchor>
            </w:drawing>
          </mc:Fallback>
        </mc:AlternateContent>
      </w:r>
    </w:p>
    <w:p w:rsidR="00F31771" w:rsidRDefault="00F31771">
      <w:pPr>
        <w:spacing w:line="360" w:lineRule="auto"/>
        <w:ind w:right="49"/>
        <w:jc w:val="both"/>
        <w:rPr>
          <w:rFonts w:ascii="Palatino Linotype" w:eastAsia="Palatino Linotype" w:hAnsi="Palatino Linotype" w:cs="Palatino Linotype"/>
          <w:b/>
          <w:i/>
        </w:rPr>
      </w:pPr>
    </w:p>
    <w:p w:rsidR="00F31771" w:rsidRDefault="00F31771">
      <w:pPr>
        <w:spacing w:line="360" w:lineRule="auto"/>
        <w:ind w:left="567" w:right="851"/>
        <w:jc w:val="both"/>
        <w:rPr>
          <w:rFonts w:ascii="Palatino Linotype" w:eastAsia="Palatino Linotype" w:hAnsi="Palatino Linotype" w:cs="Palatino Linotype"/>
          <w:b/>
          <w:i/>
        </w:rPr>
      </w:pPr>
    </w:p>
    <w:p w:rsidR="00F31771" w:rsidRDefault="00716732">
      <w:pPr>
        <w:spacing w:line="360" w:lineRule="auto"/>
        <w:ind w:left="567" w:right="851"/>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drawing>
          <wp:inline distT="0" distB="0" distL="0" distR="0">
            <wp:extent cx="5581650" cy="5810250"/>
            <wp:effectExtent l="0" t="0" r="0" b="0"/>
            <wp:docPr id="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581650" cy="5810250"/>
                    </a:xfrm>
                    <a:prstGeom prst="rect">
                      <a:avLst/>
                    </a:prstGeom>
                    <a:ln/>
                  </pic:spPr>
                </pic:pic>
              </a:graphicData>
            </a:graphic>
          </wp:inline>
        </w:drawing>
      </w:r>
    </w:p>
    <w:p w:rsidR="00F31771" w:rsidRDefault="002A44AF">
      <w:pPr>
        <w:spacing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 </w:t>
      </w:r>
      <w:r w:rsidR="00716732">
        <w:rPr>
          <w:rFonts w:ascii="Palatino Linotype" w:eastAsia="Palatino Linotype" w:hAnsi="Palatino Linotype" w:cs="Palatino Linotype"/>
          <w:b/>
          <w:i/>
        </w:rPr>
        <w:t xml:space="preserve">“INFORME JUSTIFICADO RR. 5974-2021.pdf: </w:t>
      </w:r>
      <w:r w:rsidR="00716732">
        <w:rPr>
          <w:rFonts w:ascii="Palatino Linotype" w:eastAsia="Palatino Linotype" w:hAnsi="Palatino Linotype" w:cs="Palatino Linotype"/>
        </w:rPr>
        <w:t xml:space="preserve">Documento de tres fojas, signado por el Titular de la Unidad de Transparencia, en el que medularmente manifiesta lo siguiente: </w:t>
      </w:r>
    </w:p>
    <w:p w:rsidR="00F31771" w:rsidRDefault="00F31771">
      <w:pPr>
        <w:spacing w:line="360" w:lineRule="auto"/>
        <w:ind w:left="567" w:right="851"/>
        <w:jc w:val="both"/>
        <w:rPr>
          <w:rFonts w:ascii="Palatino Linotype" w:eastAsia="Palatino Linotype" w:hAnsi="Palatino Linotype" w:cs="Palatino Linotype"/>
        </w:rPr>
      </w:pPr>
    </w:p>
    <w:p w:rsidR="00F31771" w:rsidRDefault="0071673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72125" cy="6819900"/>
            <wp:effectExtent l="0" t="0" r="0" b="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572125" cy="6819900"/>
                    </a:xfrm>
                    <a:prstGeom prst="rect">
                      <a:avLst/>
                    </a:prstGeom>
                    <a:ln/>
                  </pic:spPr>
                </pic:pic>
              </a:graphicData>
            </a:graphic>
          </wp:inline>
        </w:drawing>
      </w:r>
    </w:p>
    <w:p w:rsidR="00F31771" w:rsidRDefault="00F31771">
      <w:pPr>
        <w:spacing w:line="360" w:lineRule="auto"/>
        <w:jc w:val="both"/>
        <w:rPr>
          <w:rFonts w:ascii="Palatino Linotype" w:eastAsia="Palatino Linotype" w:hAnsi="Palatino Linotype" w:cs="Palatino Linotype"/>
        </w:rPr>
      </w:pPr>
    </w:p>
    <w:p w:rsidR="00F31771" w:rsidRDefault="00F31771">
      <w:pPr>
        <w:spacing w:line="360" w:lineRule="auto"/>
        <w:jc w:val="both"/>
        <w:rPr>
          <w:rFonts w:ascii="Palatino Linotype" w:eastAsia="Palatino Linotype" w:hAnsi="Palatino Linotype" w:cs="Palatino Linotype"/>
          <w:color w:val="222222"/>
        </w:rPr>
      </w:pPr>
    </w:p>
    <w:p w:rsidR="00F31771" w:rsidRDefault="00F31771">
      <w:pPr>
        <w:spacing w:line="360" w:lineRule="auto"/>
        <w:jc w:val="both"/>
        <w:rPr>
          <w:rFonts w:ascii="Palatino Linotype" w:eastAsia="Palatino Linotype" w:hAnsi="Palatino Linotype" w:cs="Palatino Linotype"/>
          <w:color w:val="222222"/>
        </w:rPr>
      </w:pPr>
    </w:p>
    <w:p w:rsidR="00F31771" w:rsidRDefault="00716732">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noProof/>
          <w:color w:val="222222"/>
          <w:lang w:val="es-MX"/>
        </w:rPr>
        <w:drawing>
          <wp:inline distT="0" distB="0" distL="0" distR="0">
            <wp:extent cx="5910123" cy="6890092"/>
            <wp:effectExtent l="0" t="0" r="0" b="0"/>
            <wp:docPr id="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910123" cy="6890092"/>
                    </a:xfrm>
                    <a:prstGeom prst="rect">
                      <a:avLst/>
                    </a:prstGeom>
                    <a:ln/>
                  </pic:spPr>
                </pic:pic>
              </a:graphicData>
            </a:graphic>
          </wp:inline>
        </w:drawing>
      </w:r>
    </w:p>
    <w:p w:rsidR="00F31771" w:rsidRDefault="00F31771">
      <w:pPr>
        <w:spacing w:line="360" w:lineRule="auto"/>
        <w:jc w:val="both"/>
        <w:rPr>
          <w:rFonts w:ascii="Palatino Linotype" w:eastAsia="Palatino Linotype" w:hAnsi="Palatino Linotype" w:cs="Palatino Linotype"/>
          <w:color w:val="222222"/>
        </w:rPr>
      </w:pPr>
    </w:p>
    <w:p w:rsidR="002A44AF" w:rsidRDefault="002A44AF">
      <w:pPr>
        <w:spacing w:line="360" w:lineRule="auto"/>
        <w:jc w:val="both"/>
        <w:rPr>
          <w:rFonts w:ascii="Palatino Linotype" w:eastAsia="Palatino Linotype" w:hAnsi="Palatino Linotype" w:cs="Palatino Linotype"/>
          <w:color w:val="222222"/>
        </w:rPr>
      </w:pPr>
    </w:p>
    <w:p w:rsidR="00F31771" w:rsidRDefault="00716732">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Consecuentemente, se precisa que dichos pronunciamientos fueron vertidos por el Servidor Público Habilitado Competente, ello en razón de que la Secretaría de Administración y Finanzas es la unidad administrativa encargada de los movimientos de personal, sirve de sustento la siguiente cita al Reglamento del Poder Legislativo del Estado Libre y Soberano de México:</w:t>
      </w:r>
    </w:p>
    <w:p w:rsidR="00F31771" w:rsidRDefault="00F31771">
      <w:pPr>
        <w:spacing w:line="360" w:lineRule="auto"/>
        <w:jc w:val="both"/>
        <w:rPr>
          <w:rFonts w:ascii="Palatino Linotype" w:eastAsia="Palatino Linotype" w:hAnsi="Palatino Linotype" w:cs="Palatino Linotype"/>
          <w:color w:val="222222"/>
        </w:rPr>
      </w:pPr>
    </w:p>
    <w:p w:rsidR="00F31771" w:rsidRDefault="00716732">
      <w:pPr>
        <w:ind w:left="567" w:right="85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Artículo 157.- La Secretaría de Administración y Finanzas, es la dependencia del Poder Legislativo encargada de la administración de la Legislatura.</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w:t>
      </w:r>
    </w:p>
    <w:p w:rsidR="00F31771" w:rsidRDefault="00716732">
      <w:pPr>
        <w:ind w:left="567" w:right="85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Artículo 160.-</w:t>
      </w:r>
      <w:r>
        <w:rPr>
          <w:rFonts w:ascii="Palatino Linotype" w:eastAsia="Palatino Linotype" w:hAnsi="Palatino Linotype" w:cs="Palatino Linotype"/>
          <w:i/>
          <w:color w:val="222222"/>
          <w:sz w:val="22"/>
          <w:szCs w:val="22"/>
        </w:rPr>
        <w:t xml:space="preserve"> </w:t>
      </w:r>
      <w:r>
        <w:rPr>
          <w:rFonts w:ascii="Palatino Linotype" w:eastAsia="Palatino Linotype" w:hAnsi="Palatino Linotype" w:cs="Palatino Linotype"/>
          <w:b/>
          <w:i/>
          <w:color w:val="222222"/>
          <w:sz w:val="22"/>
          <w:szCs w:val="22"/>
        </w:rPr>
        <w:t>La Secretaría de Administración y Finanzas, tendrá las siguientes atribuciones:</w:t>
      </w:r>
    </w:p>
    <w:p w:rsidR="00F31771" w:rsidRDefault="00716732">
      <w:pPr>
        <w:ind w:left="567" w:right="85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I.- Planear, organizar, coordinar y controlar el desarrollo del personal y los recursos financieros y materiales con los que cuente el Poder Legislativo;</w:t>
      </w:r>
    </w:p>
    <w:p w:rsidR="00F31771" w:rsidRDefault="00716732">
      <w:pPr>
        <w:ind w:left="567" w:right="85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II.- Definir y establecer objetivos, políticas y procedimientos en materia de administración y desarrollo de personal, recursos materiales y financieros del Poder Legislativo;</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II Bis. El Secretario de Administración y Finanzas, asumirá de la manera más amplia la representación y defensa jurídica del Poder Legislativo, en los juicios laborales en que sea parte, contando para tal efecto, con facultades para otorgar y revocar poderes generales y especiales, o mediante carta poder u oficio, asimismo, por delegación, podrá representar al Poder Legislativo de manera amplia o específica, en los asuntos a que se refiere la fracción IV del artículo 65 de la Ley Orgánica del Poder Legislativo del Estado Libre y Soberano de México, dicha representación, también podrá autorizarse con facultades amplias para otorgar y revocar poderes generales y especiales, o mediante carta poder u oficio.</w:t>
      </w:r>
    </w:p>
    <w:p w:rsidR="00F31771" w:rsidRDefault="00716732">
      <w:pPr>
        <w:ind w:left="567" w:right="85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III.- Brindar apoyo a las dependencias del Poder Legislativo para su óptimo funcionamiento;</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IV.</w:t>
      </w:r>
      <w:r>
        <w:rPr>
          <w:rFonts w:ascii="Palatino Linotype" w:eastAsia="Palatino Linotype" w:hAnsi="Palatino Linotype" w:cs="Palatino Linotype"/>
          <w:b/>
          <w:i/>
          <w:color w:val="222222"/>
          <w:sz w:val="22"/>
          <w:szCs w:val="22"/>
        </w:rPr>
        <w:t xml:space="preserve"> </w:t>
      </w:r>
      <w:r>
        <w:rPr>
          <w:rFonts w:ascii="Palatino Linotype" w:eastAsia="Palatino Linotype" w:hAnsi="Palatino Linotype" w:cs="Palatino Linotype"/>
          <w:i/>
          <w:color w:val="222222"/>
          <w:sz w:val="22"/>
          <w:szCs w:val="22"/>
        </w:rPr>
        <w:t>Elaborar el proyecto de presupuesto anual de egresos del Poder Legislativo de acuerdo a los lineamientos de la Junta de Coordinación Política;</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V. Realizar y tramitar con la autorización del Presidente de la Junta de Coordinación Política, las transferencias y ampliaciones presupuestales que se requieran para el mejor funcionamiento de la Legislatura;</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lastRenderedPageBreak/>
        <w:t xml:space="preserve">VI. Dar a conocer al Comité de Administración las transferencias y ampliaciones presupuestales que se requieran para el mejor funcionamiento de la Legislatura; </w:t>
      </w:r>
    </w:p>
    <w:p w:rsidR="00F31771" w:rsidRDefault="00F31771">
      <w:pPr>
        <w:ind w:left="567" w:right="851"/>
        <w:jc w:val="both"/>
        <w:rPr>
          <w:rFonts w:ascii="Palatino Linotype" w:eastAsia="Palatino Linotype" w:hAnsi="Palatino Linotype" w:cs="Palatino Linotype"/>
          <w:i/>
          <w:color w:val="222222"/>
          <w:sz w:val="22"/>
          <w:szCs w:val="22"/>
        </w:rPr>
      </w:pP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VII. Informar periódicamente a la Junta de Coordinación Política del ejercicio y desarrollo del presupuesto y programas;</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VIII.- Administrar la aplicación de los recursos y efectuar las comprobaciones, para efectos de la contabilidad pública;</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IX.- Concertar, a través de su titular, las operaciones y convenios financieros y crediticios con instancias externas;</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 Autorizar y firmar la documentación referente a las erogaciones y pagos que con cargo al presupuesto de egresos ejerza el Poder Legislativo;</w:t>
      </w:r>
    </w:p>
    <w:p w:rsidR="00F31771" w:rsidRDefault="00716732">
      <w:pPr>
        <w:ind w:left="567" w:right="85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XI.- Integrar la nómina de la Legislatura, vigilando que los pagos se efectúen en los términos de ley;</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XII.- Establecer y operar un sistema integral de capacitación y desarrollo de personal, acorde a las necesidades del Poder Legislativo;</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XIII.- Coordinar la elaboración y aplicación de programas de incentivos, calificación de méritos, evaluación del rendimiento y estímulos que propicien la superación de los servidores públicos;</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XIV. Diseñar, Instrumentar y operar programas internos de Seguridad, Higiene y Protección Civil en el trabajo, que prevengan y protejan contra riesgos, siniestros o desastres al personal, instalaciones, bienes y acervos documentales del Poder Legislativo, causados por la presencia de agentes perturbadores.</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XV.- Administrar y garantizar la conservación y mantenimiento del patrimonio del Poder Legislativo;</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XVI.- Efectuar la recepción, guarda, custodia, registro y control de los bienes destinados al uso de las dependencias del Poder Legislativo;</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XVII.- Planear, organizar, coordinar y controlar las actividades referentes a adquisiciones, almacenes, suministros, servicios generales, acervo administrativo, control patrimonial y servicios médico preventivos;</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XVIII.- Administrar el archivo general del Poder Legislativo;</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XIX.- Desarrollar permanentemente programas de modernización y simplificación administrativa que contribuyan a eficientar la operación de las áreas técnico administrativas de la Legislatura;</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XX.</w:t>
      </w:r>
      <w:r>
        <w:rPr>
          <w:rFonts w:ascii="Palatino Linotype" w:eastAsia="Palatino Linotype" w:hAnsi="Palatino Linotype" w:cs="Palatino Linotype"/>
          <w:b/>
          <w:i/>
          <w:color w:val="222222"/>
          <w:sz w:val="22"/>
          <w:szCs w:val="22"/>
        </w:rPr>
        <w:t xml:space="preserve"> </w:t>
      </w:r>
      <w:r>
        <w:rPr>
          <w:rFonts w:ascii="Palatino Linotype" w:eastAsia="Palatino Linotype" w:hAnsi="Palatino Linotype" w:cs="Palatino Linotype"/>
          <w:i/>
          <w:color w:val="222222"/>
          <w:sz w:val="22"/>
          <w:szCs w:val="22"/>
        </w:rPr>
        <w:t xml:space="preserve">Elaborar y publicar en el Periódico Oficial “Gaceta del Gobierno”, los manuales de organización que sean necesarios para lograr el óptimo funcionamiento de las áreas que integran el Poder Legislativo; </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XXI. Mantener, conservar y proveer los apoyos técnicos, humanos y financieros que se requieran, para la operación del sistema electrónico de asistencia y votación; </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lastRenderedPageBreak/>
        <w:t>XXII. Ejercer el control y supervisión del personal de seguridad y vigilancia de la Legislatura;</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XXIII. Las demás que le señalen los ordenamientos legales aplicables y las que determine la Junta de Coordinación Política o su presidente.</w:t>
      </w:r>
    </w:p>
    <w:p w:rsidR="00F31771" w:rsidRDefault="00F31771">
      <w:pPr>
        <w:ind w:left="567" w:right="851"/>
        <w:jc w:val="both"/>
        <w:rPr>
          <w:rFonts w:ascii="Palatino Linotype" w:eastAsia="Palatino Linotype" w:hAnsi="Palatino Linotype" w:cs="Palatino Linotype"/>
          <w:i/>
          <w:color w:val="222222"/>
          <w:sz w:val="22"/>
          <w:szCs w:val="22"/>
        </w:rPr>
      </w:pPr>
    </w:p>
    <w:p w:rsidR="00F31771" w:rsidRDefault="00716732">
      <w:pPr>
        <w:ind w:left="567" w:right="851"/>
        <w:jc w:val="both"/>
        <w:rPr>
          <w:rFonts w:ascii="Palatino Linotype" w:eastAsia="Palatino Linotype" w:hAnsi="Palatino Linotype" w:cs="Palatino Linotype"/>
          <w:b/>
          <w:i/>
          <w:color w:val="222222"/>
          <w:sz w:val="22"/>
          <w:szCs w:val="22"/>
          <w:u w:val="single"/>
        </w:rPr>
      </w:pPr>
      <w:r>
        <w:rPr>
          <w:rFonts w:ascii="Palatino Linotype" w:eastAsia="Palatino Linotype" w:hAnsi="Palatino Linotype" w:cs="Palatino Linotype"/>
          <w:b/>
          <w:i/>
          <w:color w:val="222222"/>
          <w:sz w:val="22"/>
          <w:szCs w:val="22"/>
        </w:rPr>
        <w:t>Artículo 161.-</w:t>
      </w:r>
      <w:r>
        <w:rPr>
          <w:rFonts w:ascii="Palatino Linotype" w:eastAsia="Palatino Linotype" w:hAnsi="Palatino Linotype" w:cs="Palatino Linotype"/>
          <w:i/>
          <w:color w:val="222222"/>
          <w:sz w:val="22"/>
          <w:szCs w:val="22"/>
        </w:rPr>
        <w:t xml:space="preserve"> La Secretaría de Administración y Finanzas, contará con las unidades administrativas que determine la Junta de Coordinación Política y que serán las necesarias para cumplir con sus funciones y se establecerán en el respectivo manual de organización”</w:t>
      </w:r>
    </w:p>
    <w:p w:rsidR="00F31771" w:rsidRDefault="00716732">
      <w:pPr>
        <w:ind w:left="567" w:right="85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(Énfasis añadido)</w:t>
      </w:r>
    </w:p>
    <w:p w:rsidR="00F31771" w:rsidRDefault="00F31771">
      <w:pPr>
        <w:spacing w:line="360" w:lineRule="auto"/>
        <w:jc w:val="both"/>
        <w:rPr>
          <w:rFonts w:ascii="Palatino Linotype" w:eastAsia="Palatino Linotype" w:hAnsi="Palatino Linotype" w:cs="Palatino Linotype"/>
          <w:color w:val="222222"/>
        </w:rPr>
      </w:pPr>
    </w:p>
    <w:p w:rsidR="00F31771" w:rsidRDefault="00716732">
      <w:pPr>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Asimismo el Manual General de Organización de la Secretaría de Administración y Finanzas, prevé lo siguiente respecto a su objetivo y funciones: </w:t>
      </w:r>
    </w:p>
    <w:p w:rsidR="00F31771" w:rsidRDefault="00F31771">
      <w:pPr>
        <w:spacing w:line="360" w:lineRule="auto"/>
        <w:jc w:val="both"/>
        <w:rPr>
          <w:rFonts w:ascii="Palatino Linotype" w:eastAsia="Palatino Linotype" w:hAnsi="Palatino Linotype" w:cs="Palatino Linotype"/>
          <w:color w:val="222222"/>
        </w:rPr>
      </w:pP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“OBJETIVO Y FUNCIONES </w:t>
      </w:r>
    </w:p>
    <w:p w:rsidR="00F31771" w:rsidRDefault="00716732">
      <w:pPr>
        <w:ind w:left="567" w:right="567"/>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Secretaría de Administración y Finanzas </w:t>
      </w:r>
    </w:p>
    <w:p w:rsidR="00F31771" w:rsidRDefault="00716732">
      <w:pPr>
        <w:ind w:left="567" w:right="567"/>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Objetivo: Coordinar y dirigir los procesos de planeación, organización y control de los recursos humanos, materiales, tecnológicos y financieros para coadyuvar en el desempeño de las funciones del Poder Legislativo.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Funciones: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Autorizar las acciones para la administración de la información institucional, así como las actividades de planeación, programación, presupuestario y evaluación de los programas del Poder Legislativo;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Participar en la substanciación de los procedimientos de adquisición, enajenación, arrendamiento de bienes, contratación de servicios y de obra, en apego al marco normativo vigente en cada materia; </w:t>
      </w:r>
    </w:p>
    <w:p w:rsidR="00F31771" w:rsidRDefault="00716732">
      <w:pPr>
        <w:ind w:left="567" w:right="567"/>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 Coordinar y supervisar las actividades de las unidades administrativas, comisiones, comités y otros órganos colegiados que dependan de la Secretaría de Administración y Finanzas con el propósito de coadyuvar con las áreas sustantivas del Poder Legislativo; </w:t>
      </w:r>
    </w:p>
    <w:p w:rsidR="00F31771" w:rsidRDefault="00716732">
      <w:pPr>
        <w:ind w:left="567" w:right="567"/>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 Presentar para su aprobación los procedimientos administrativos y la estructura orgánica del Poder Legislativo;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Promover programas de modernización y simplificación administrativa que contribuyan a eficientar la operación del Poder Legislativo;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Representar al Poder Legislativo en los asuntos en que sea parte;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Dirigir acciones de administración, manejo y resguardo del acervo documental, en apego a la normativa vigente;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lastRenderedPageBreak/>
        <w:t xml:space="preserve">- Promover la equidad de género en el Poder Legislativo; </w:t>
      </w:r>
    </w:p>
    <w:p w:rsidR="00F31771" w:rsidRDefault="00716732">
      <w:pPr>
        <w:ind w:left="567" w:right="567"/>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 Autorizar los movimientos para la administración de los recursos humanos y su desarrollo;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Coordinar y autorizar los requerimientos de recursos materiales, servicios generales, apoyo logístico y demás necesarios para el desempeño de las funciones del Poder Legislativo;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Promover y autorizar los requerimientos de tecnologías de información y telecomunicaciones; </w:t>
      </w:r>
    </w:p>
    <w:p w:rsidR="00F31771" w:rsidRDefault="00716732">
      <w:pPr>
        <w:ind w:left="567" w:right="567"/>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Aprobar la liberación y generación de recursos ante las instancias que corresponda, a efecto de dar cumplimiento a las obligaciones financieras suscritas por el Poder Legislativo; y</w:t>
      </w:r>
    </w:p>
    <w:p w:rsidR="00F31771" w:rsidRDefault="00716732">
      <w:pPr>
        <w:ind w:left="567" w:right="70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 - Desarrollar las demás funciones, que señalen los ordenamientos legales aplicables y las que determine la Junta de Coordinación Política o su Presidente.”</w:t>
      </w:r>
    </w:p>
    <w:p w:rsidR="00F31771" w:rsidRDefault="00F31771">
      <w:pPr>
        <w:ind w:left="567" w:right="709"/>
        <w:jc w:val="both"/>
        <w:rPr>
          <w:rFonts w:ascii="Palatino Linotype" w:eastAsia="Palatino Linotype" w:hAnsi="Palatino Linotype" w:cs="Palatino Linotype"/>
          <w:i/>
          <w:color w:val="222222"/>
          <w:sz w:val="22"/>
          <w:szCs w:val="22"/>
        </w:rPr>
      </w:pPr>
    </w:p>
    <w:p w:rsidR="00F31771" w:rsidRDefault="00716732">
      <w:pPr>
        <w:ind w:left="567" w:right="709"/>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(Énfasis añadido)</w:t>
      </w:r>
    </w:p>
    <w:p w:rsidR="00F31771" w:rsidRDefault="00F31771">
      <w:pPr>
        <w:spacing w:line="360" w:lineRule="auto"/>
        <w:jc w:val="both"/>
        <w:rPr>
          <w:rFonts w:ascii="Palatino Linotype" w:eastAsia="Palatino Linotype" w:hAnsi="Palatino Linotype" w:cs="Palatino Linotype"/>
          <w:color w:val="222222"/>
        </w:rPr>
      </w:pPr>
    </w:p>
    <w:p w:rsidR="00F31771" w:rsidRDefault="00716732">
      <w:pPr>
        <w:spacing w:line="360" w:lineRule="auto"/>
        <w:ind w:right="49"/>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color w:val="222222"/>
        </w:rPr>
        <w:t xml:space="preserve">Por lo que al haber realizado la búsqueda exhaustiva y razonable en los archivos y al haberse pronunciado el Servidor Público Competente de la  Secretaría de Administración y Finanzas, </w:t>
      </w:r>
      <w:r>
        <w:rPr>
          <w:rFonts w:ascii="Palatino Linotype" w:eastAsia="Palatino Linotype" w:hAnsi="Palatino Linotype" w:cs="Palatino Linotype"/>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F31771" w:rsidRDefault="00716732">
      <w:pPr>
        <w:tabs>
          <w:tab w:val="left" w:pos="709"/>
        </w:tabs>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Pr>
          <w:rFonts w:ascii="Palatino Linotype" w:eastAsia="Palatino Linotype" w:hAnsi="Palatino Linotype" w:cs="Palatino Linotype"/>
          <w:i/>
          <w:sz w:val="22"/>
          <w:szCs w:val="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el artículo 4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rsidR="00F31771" w:rsidRDefault="00F31771">
      <w:pPr>
        <w:spacing w:line="360" w:lineRule="auto"/>
        <w:ind w:left="426"/>
        <w:jc w:val="both"/>
        <w:rPr>
          <w:rFonts w:ascii="Palatino Linotype" w:eastAsia="Palatino Linotype" w:hAnsi="Palatino Linotype" w:cs="Palatino Linotype"/>
        </w:rPr>
      </w:pPr>
    </w:p>
    <w:p w:rsidR="00F31771" w:rsidRDefault="00716732">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F31771" w:rsidRDefault="00F31771">
      <w:pPr>
        <w:spacing w:line="360" w:lineRule="auto"/>
        <w:ind w:left="426"/>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Numerales que compelen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expuesto con antelación, también se advierte que el Sujeto Obligado siguió el procedimiento establecido por los artículos 160 y 162 de la Ley de Transparencia y Acceso a la Información Pública del Estado de México y Municipios, mismos que se insertan a continuación para mayor referencia: </w:t>
      </w:r>
    </w:p>
    <w:p w:rsidR="00F31771" w:rsidRDefault="00F31771">
      <w:pPr>
        <w:spacing w:line="360" w:lineRule="auto"/>
        <w:jc w:val="both"/>
        <w:rPr>
          <w:rFonts w:ascii="Palatino Linotype" w:eastAsia="Palatino Linotype" w:hAnsi="Palatino Linotype" w:cs="Palatino Linotype"/>
        </w:rPr>
      </w:pPr>
    </w:p>
    <w:p w:rsidR="00F31771" w:rsidRDefault="00716732">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F31771" w:rsidRDefault="00F31771">
      <w:pPr>
        <w:ind w:left="567" w:right="851"/>
        <w:jc w:val="both"/>
        <w:rPr>
          <w:rFonts w:ascii="Palatino Linotype" w:eastAsia="Palatino Linotype" w:hAnsi="Palatino Linotype" w:cs="Palatino Linotype"/>
          <w:i/>
          <w:sz w:val="22"/>
          <w:szCs w:val="22"/>
        </w:rPr>
      </w:pPr>
    </w:p>
    <w:p w:rsidR="00F31771" w:rsidRDefault="00716732">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F31771" w:rsidRDefault="00F31771">
      <w:pPr>
        <w:ind w:left="567" w:right="851"/>
        <w:jc w:val="both"/>
        <w:rPr>
          <w:rFonts w:ascii="Palatino Linotype" w:eastAsia="Palatino Linotype" w:hAnsi="Palatino Linotype" w:cs="Palatino Linotype"/>
          <w:i/>
          <w:sz w:val="22"/>
          <w:szCs w:val="22"/>
        </w:rPr>
      </w:pPr>
    </w:p>
    <w:p w:rsidR="00F31771" w:rsidRDefault="00716732">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31771" w:rsidRDefault="00716732">
      <w:pPr>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F31771" w:rsidRDefault="00F31771">
      <w:pPr>
        <w:spacing w:line="360" w:lineRule="auto"/>
        <w:jc w:val="both"/>
        <w:rPr>
          <w:rFonts w:ascii="Palatino Linotype" w:eastAsia="Palatino Linotype" w:hAnsi="Palatino Linotype" w:cs="Palatino Linotype"/>
          <w:color w:val="222222"/>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considera que, por lo que hace a las causas de sobreseimiento contenidas en la fracción III del artículo 192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es oportuno señalar que estos requisitos privilegian la existencia de elementos de fondo, tales como el desistimiento o fallecimiento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modifique o revoque el acto</w:t>
      </w:r>
      <w:r>
        <w:rPr>
          <w:rFonts w:ascii="Palatino Linotype" w:eastAsia="Palatino Linotype" w:hAnsi="Palatino Linotype" w:cs="Palatino Linotype"/>
        </w:rPr>
        <w:t xml:space="preserve">; de ahí que la actualización de alguno de éstos trae como </w:t>
      </w:r>
      <w:r>
        <w:rPr>
          <w:rFonts w:ascii="Palatino Linotype" w:eastAsia="Palatino Linotype" w:hAnsi="Palatino Linotype" w:cs="Palatino Linotype"/>
        </w:rPr>
        <w:lastRenderedPageBreak/>
        <w:t>consecuencia que el medio de impugnación se concluya sin que se analice el objeto de estudio planteado, es decir se sobresea.</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los efectos de esta resolución, es oportuno precisar los alcances jurídicos de la fracción III de la disposición legal transcrita. Así, procede el sobreseimiento del recurso de revisión cuando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F31771" w:rsidRDefault="00F31771">
      <w:pPr>
        <w:spacing w:line="360" w:lineRule="auto"/>
        <w:jc w:val="both"/>
        <w:rPr>
          <w:rFonts w:ascii="Palatino Linotype" w:eastAsia="Palatino Linotype" w:hAnsi="Palatino Linotype" w:cs="Palatino Linotype"/>
        </w:rPr>
      </w:pPr>
    </w:p>
    <w:p w:rsidR="00F31771" w:rsidRDefault="00716732">
      <w:pPr>
        <w:numPr>
          <w:ilvl w:val="0"/>
          <w:numId w:val="2"/>
        </w:numPr>
        <w:spacing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b/>
        </w:rPr>
        <w:t>Modifique el acto impugnado:</w:t>
      </w:r>
      <w:r>
        <w:rPr>
          <w:rFonts w:ascii="Palatino Linotype" w:eastAsia="Palatino Linotype" w:hAnsi="Palatino Linotype" w:cs="Palatino Linotype"/>
        </w:rPr>
        <w:t xml:space="preserve"> Se actualiza cuando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y hasta antes de dictada la resolución del recurso de revisión, emite una diversa en la que subsane las deficiencias que hubiera tenido.</w:t>
      </w:r>
    </w:p>
    <w:p w:rsidR="00F31771" w:rsidRDefault="00716732">
      <w:pPr>
        <w:numPr>
          <w:ilvl w:val="0"/>
          <w:numId w:val="2"/>
        </w:numPr>
        <w:spacing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b/>
        </w:rPr>
        <w:t>Revoque el acto impugnado:</w:t>
      </w:r>
      <w:r>
        <w:rPr>
          <w:rFonts w:ascii="Palatino Linotype" w:eastAsia="Palatino Linotype" w:hAnsi="Palatino Linotype" w:cs="Palatino Linotype"/>
        </w:rPr>
        <w:t xml:space="preserve"> En este supuesto,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deja sin efectos la primera respuesta y en su lugar emite otra que satisfaga lo solicitado por el particular en un primer momento.</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presente asunto,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 la información enviada a través del informe justificado,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el acto que le dio origen al recurso </w:t>
      </w:r>
      <w:r>
        <w:rPr>
          <w:rFonts w:ascii="Palatino Linotype" w:eastAsia="Palatino Linotype" w:hAnsi="Palatino Linotype" w:cs="Palatino Linotype"/>
        </w:rPr>
        <w:lastRenderedPageBreak/>
        <w:t>de revisión, aportando nuevos elementos a su respuesta, lo que trae como consecuencia que el mismo quede sin materia, actualizándose de este modo, la hipótesis jurídica contenida en la fracción III del citado artículo; esto es así pues la información remitida por este proporciona la información que le fue solicitada.</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particular, el Sujeto Obligado al momento de rendir su informe justificado, proporcionó información novedosa, misma que contiene argumentos por más idóneos, pertinentes y suficientes para tener por atendido el derecho de acceso a la información ejercido por el particular.</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el acto impugnado configuró al momento de interponer la garantía secundaria, la parte recurrente, refirió en sus motivos de inconformidad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había sido omiso en otorgar respuesta a su requerimiento en el tiempo que la legislación prevé para ello.</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lo anterior,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momento de rendir su informe justificado, amplió los argumentos de su respuesta inicial, consecuentemente se actualiza la causa de sobreseimiento establecida en el artículo 192 fracción III.</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con lo remitido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tiene por colmado el presente recurso de revisión, al atender lo requerido atento a lo anterior, se tiene que, al haber existido un pronunciamiento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dar respuesta a la solicitud de información, este Instituto concluye que se atiende la solicitud de información del Recurrente</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o la negativa de entrega de la misma, derivada de la solicitud de información pública.</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antes de que se dicte resolución definitiva, entrega la información solicitada o completa la información que no colmó en un primer momento; el recurso de revisión que al efecto se haya interpuesto queda sin materia lo que imposibilita el estudio de fondo de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la siguiente jurisprudencia por contradicción, cuyo rubro, texto y datos de identificación son los siguientes:</w:t>
      </w:r>
    </w:p>
    <w:p w:rsidR="00F31771" w:rsidRDefault="00F31771">
      <w:pPr>
        <w:ind w:left="851" w:right="851"/>
        <w:jc w:val="both"/>
        <w:rPr>
          <w:rFonts w:ascii="Palatino Linotype" w:eastAsia="Palatino Linotype" w:hAnsi="Palatino Linotype" w:cs="Palatino Linotype"/>
        </w:rPr>
      </w:pPr>
    </w:p>
    <w:p w:rsidR="00F31771" w:rsidRDefault="0071673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Pr>
          <w:rFonts w:ascii="Palatino Linotype" w:eastAsia="Palatino Linotype" w:hAnsi="Palatino Linotype" w:cs="Palatino Linotype"/>
          <w:i/>
          <w:sz w:val="22"/>
          <w:szCs w:val="22"/>
        </w:rPr>
        <w:t xml:space="preserve"> De la interpretación de los artículos 73, fracción XVI y 80 de la Ley de Amparo, se concluye que la causa de improcedencia del juicio de garantías consistente en la cesación de efectos del acto reclamado, se actualiza </w:t>
      </w:r>
      <w:r>
        <w:rPr>
          <w:rFonts w:ascii="Palatino Linotype" w:eastAsia="Palatino Linotype" w:hAnsi="Palatino Linotype" w:cs="Palatino Linotype"/>
          <w:i/>
          <w:sz w:val="22"/>
          <w:szCs w:val="22"/>
        </w:rPr>
        <w:lastRenderedPageBreak/>
        <w:t>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F31771" w:rsidRDefault="00F31771">
      <w:pPr>
        <w:spacing w:line="360" w:lineRule="auto"/>
        <w:ind w:left="708"/>
        <w:jc w:val="both"/>
        <w:rPr>
          <w:rFonts w:ascii="Palatino Linotype" w:eastAsia="Palatino Linotype" w:hAnsi="Palatino Linotype" w:cs="Palatino Linotype"/>
          <w:i/>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anterior jurisprudencia resulta aplicable al presente asunto, en dos aspectos:</w:t>
      </w:r>
    </w:p>
    <w:p w:rsidR="00F31771" w:rsidRDefault="00F31771">
      <w:pPr>
        <w:spacing w:line="360" w:lineRule="auto"/>
        <w:ind w:left="426"/>
        <w:jc w:val="both"/>
        <w:rPr>
          <w:rFonts w:ascii="Palatino Linotype" w:eastAsia="Palatino Linotype" w:hAnsi="Palatino Linotype" w:cs="Palatino Linotype"/>
          <w:sz w:val="28"/>
          <w:szCs w:val="28"/>
        </w:rPr>
      </w:pPr>
    </w:p>
    <w:p w:rsidR="00F31771" w:rsidRDefault="00716732">
      <w:pPr>
        <w:numPr>
          <w:ilvl w:val="0"/>
          <w:numId w:val="3"/>
        </w:numPr>
        <w:spacing w:line="360" w:lineRule="auto"/>
        <w:ind w:left="567" w:right="900" w:hanging="14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La cesación de los efectos perniciosos del acto de autoridad:</w:t>
      </w:r>
      <w:r>
        <w:rPr>
          <w:rFonts w:ascii="Palatino Linotype" w:eastAsia="Palatino Linotype" w:hAnsi="Palatino Linotype" w:cs="Palatino Linotype"/>
          <w:sz w:val="22"/>
          <w:szCs w:val="22"/>
        </w:rPr>
        <w:t xml:space="preserve"> Al respecto, la Ley de Transparencia contempla la figura jurídica del sobreseimiento cuando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w:t>
      </w:r>
      <w:r>
        <w:rPr>
          <w:rFonts w:ascii="Palatino Linotype" w:eastAsia="Palatino Linotype" w:hAnsi="Palatino Linotype" w:cs="Palatino Linotype"/>
          <w:i/>
          <w:sz w:val="22"/>
          <w:szCs w:val="22"/>
        </w:rPr>
        <w:t>motu proprio</w:t>
      </w:r>
      <w:r>
        <w:rPr>
          <w:rFonts w:ascii="Palatino Linotype" w:eastAsia="Palatino Linotype" w:hAnsi="Palatino Linotype" w:cs="Palatino Linotype"/>
          <w:sz w:val="22"/>
          <w:szCs w:val="22"/>
        </w:rPr>
        <w:t xml:space="preserve"> modifica o revoca de tal manera el acto motivo de la impugnación que lo deja sin materia; es decir, cesan los efectos de éste y el derecho de acceso a la información pública se encuentra satisfecho.</w:t>
      </w:r>
    </w:p>
    <w:p w:rsidR="00F31771" w:rsidRDefault="00F31771">
      <w:pPr>
        <w:spacing w:line="360" w:lineRule="auto"/>
        <w:ind w:left="567" w:right="900" w:hanging="141"/>
        <w:jc w:val="both"/>
        <w:rPr>
          <w:rFonts w:ascii="Palatino Linotype" w:eastAsia="Palatino Linotype" w:hAnsi="Palatino Linotype" w:cs="Palatino Linotype"/>
          <w:sz w:val="22"/>
          <w:szCs w:val="22"/>
        </w:rPr>
      </w:pPr>
    </w:p>
    <w:p w:rsidR="00F31771" w:rsidRDefault="00716732">
      <w:pPr>
        <w:numPr>
          <w:ilvl w:val="0"/>
          <w:numId w:val="3"/>
        </w:numPr>
        <w:spacing w:line="360" w:lineRule="auto"/>
        <w:ind w:left="567" w:right="900" w:hanging="14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El momento procesal para modificar el acto impugnado:</w:t>
      </w:r>
      <w:r>
        <w:rPr>
          <w:rFonts w:ascii="Palatino Linotype" w:eastAsia="Palatino Linotype" w:hAnsi="Palatino Linotype" w:cs="Palatino Linotype"/>
          <w:sz w:val="22"/>
          <w:szCs w:val="22"/>
        </w:rPr>
        <w:t xml:space="preserve"> Para que se actualice el sobreseimiento de un recurso de revisión,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puede entregar o completar la información al momento de rendir su informe justificado o </w:t>
      </w:r>
      <w:r>
        <w:rPr>
          <w:rFonts w:ascii="Palatino Linotype" w:eastAsia="Palatino Linotype" w:hAnsi="Palatino Linotype" w:cs="Palatino Linotype"/>
          <w:b/>
          <w:sz w:val="22"/>
          <w:szCs w:val="22"/>
          <w:u w:val="single"/>
        </w:rPr>
        <w:t>posteriormente</w:t>
      </w:r>
      <w:r>
        <w:rPr>
          <w:rFonts w:ascii="Palatino Linotype" w:eastAsia="Palatino Linotype" w:hAnsi="Palatino Linotype" w:cs="Palatino Linotype"/>
          <w:sz w:val="22"/>
          <w:szCs w:val="22"/>
        </w:rPr>
        <w:t xml:space="preserve"> a éste, siempre y cuando el Pleno del Instituto no haya dictado resolución definitiva.</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Además, de acuerdo con el procesalista Niceto Alcalá-Zamora y Castillo en su obra </w:t>
      </w:r>
      <w:r>
        <w:rPr>
          <w:rFonts w:ascii="Palatino Linotype" w:eastAsia="Palatino Linotype" w:hAnsi="Palatino Linotype" w:cs="Palatino Linotype"/>
          <w:i/>
        </w:rPr>
        <w:t>“Cuestiones de Terminología Procesal”</w:t>
      </w:r>
      <w:r>
        <w:rPr>
          <w:rFonts w:ascii="Palatino Linotype" w:eastAsia="Palatino Linotype" w:hAnsi="Palatino Linotype" w:cs="Palatino Linotype"/>
        </w:rPr>
        <w:t xml:space="preserve">, el sobreseimiento es </w:t>
      </w:r>
      <w:r>
        <w:rPr>
          <w:rFonts w:ascii="Palatino Linotype" w:eastAsia="Palatino Linotype" w:hAnsi="Palatino Linotype" w:cs="Palatino Linotype"/>
          <w:i/>
        </w:rPr>
        <w:t xml:space="preserve">“... una resolución en forma </w:t>
      </w:r>
      <w:r>
        <w:rPr>
          <w:rFonts w:ascii="Palatino Linotype" w:eastAsia="Palatino Linotype" w:hAnsi="Palatino Linotype" w:cs="Palatino Linotype"/>
          <w:i/>
        </w:rPr>
        <w:lastRenderedPageBreak/>
        <w:t>de auto, que produce la suspensión indefinida del procedimiento penal, o que pone fin al proceso, impidiendo en ambos casos, mientras subsista, la apertura del plenario o que en él se pronuncie sentencia...”.</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Eduardo Pallares, en su artículo </w:t>
      </w:r>
      <w:r>
        <w:rPr>
          <w:rFonts w:ascii="Palatino Linotype" w:eastAsia="Palatino Linotype" w:hAnsi="Palatino Linotype" w:cs="Palatino Linotype"/>
          <w:i/>
        </w:rPr>
        <w:t>“La caducidad y el sobreseimiento en el amparo”</w:t>
      </w:r>
      <w:r>
        <w:rPr>
          <w:rFonts w:ascii="Palatino Linotype" w:eastAsia="Palatino Linotype" w:hAnsi="Palatino Linotype" w:cs="Palatino Linotype"/>
        </w:rPr>
        <w:t xml:space="preserve">, cita la definición de Aguilera Paz, aduciendo que se </w:t>
      </w:r>
      <w:r>
        <w:rPr>
          <w:rFonts w:ascii="Palatino Linotype" w:eastAsia="Palatino Linotype" w:hAnsi="Palatino Linotype" w:cs="Palatino Linotype"/>
          <w:i/>
        </w:rPr>
        <w:t>“...entiende por sobreseimiento en el tecnicismo forense, el hecho de cesar en el procedimiento o curso de la causa, por no existir méritos bastantes para entrar en un juicio o para entablar la contienda judicial que debe ser objeto del mismo...”</w:t>
      </w:r>
      <w:r>
        <w:rPr>
          <w:rFonts w:ascii="Palatino Linotype" w:eastAsia="Palatino Linotype" w:hAnsi="Palatino Linotype" w:cs="Palatino Linotype"/>
        </w:rPr>
        <w:t xml:space="preserve">. </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Asimismo señala que existe el sobreseimiento provisional y el definitivo</w:t>
      </w:r>
      <w:r>
        <w:rPr>
          <w:rFonts w:ascii="Palatino Linotype" w:eastAsia="Palatino Linotype" w:hAnsi="Palatino Linotype" w:cs="Palatino Linotype"/>
          <w:i/>
        </w:rPr>
        <w:t>: “...el definitivo es una verdadera sentencia que pone fin al juicio, y que una vez dictada, produce cosa juzgada, mientras que el provisorio tiene por efectos suspender la prosecución de la causa...”.</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Así, para la doctrina el sobreseimiento provoca que un procedimiento se suspenda o se resuelva en definitiva </w:t>
      </w:r>
      <w:r>
        <w:rPr>
          <w:rFonts w:ascii="Palatino Linotype" w:eastAsia="Palatino Linotype" w:hAnsi="Palatino Linotype" w:cs="Palatino Linotype"/>
          <w:b/>
          <w:u w:val="single"/>
        </w:rPr>
        <w:t>sin que se entre al estudio de los agravios o motivos de inconformidad.</w:t>
      </w:r>
    </w:p>
    <w:p w:rsidR="00F31771" w:rsidRDefault="00F31771">
      <w:pPr>
        <w:spacing w:line="360" w:lineRule="auto"/>
        <w:jc w:val="both"/>
        <w:rPr>
          <w:rFonts w:ascii="Palatino Linotype" w:eastAsia="Palatino Linotype" w:hAnsi="Palatino Linotype" w:cs="Palatino Linotype"/>
          <w:b/>
          <w:u w:val="singl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rsidR="00F31771" w:rsidRDefault="00F31771">
      <w:pPr>
        <w:spacing w:line="360" w:lineRule="auto"/>
        <w:jc w:val="both"/>
        <w:rPr>
          <w:rFonts w:ascii="Palatino Linotype" w:eastAsia="Palatino Linotype" w:hAnsi="Palatino Linotype" w:cs="Palatino Linotype"/>
          <w:b/>
          <w:u w:val="single"/>
        </w:rPr>
      </w:pPr>
    </w:p>
    <w:p w:rsidR="00F31771" w:rsidRDefault="0071673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“SOBRESEIMIENTO. NO PERMITE ENTRAR AL ESTUDIO DE LAS CUESTIONES DE FONDO. </w:t>
      </w:r>
      <w:r>
        <w:rPr>
          <w:rFonts w:ascii="Palatino Linotype" w:eastAsia="Palatino Linotype" w:hAnsi="Palatino Linotype" w:cs="Palatino Linotype"/>
          <w:i/>
          <w:sz w:val="22"/>
          <w:szCs w:val="22"/>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Pr>
          <w:rFonts w:ascii="Palatino Linotype" w:eastAsia="Palatino Linotype" w:hAnsi="Palatino Linotype" w:cs="Palatino Linotype"/>
          <w:b/>
          <w:i/>
          <w:sz w:val="22"/>
          <w:szCs w:val="22"/>
        </w:rPr>
        <w:t>”</w:t>
      </w:r>
    </w:p>
    <w:p w:rsidR="00F31771" w:rsidRDefault="00F31771">
      <w:pPr>
        <w:spacing w:line="360" w:lineRule="auto"/>
        <w:ind w:left="426"/>
        <w:jc w:val="both"/>
        <w:rPr>
          <w:rFonts w:ascii="Palatino Linotype" w:eastAsia="Palatino Linotype" w:hAnsi="Palatino Linotype" w:cs="Palatino Linotype"/>
          <w:i/>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para que se actualice el sobreseimiento de un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rsidR="00F31771" w:rsidRDefault="00F31771">
      <w:pPr>
        <w:spacing w:line="360" w:lineRule="auto"/>
        <w:jc w:val="both"/>
        <w:rPr>
          <w:rFonts w:ascii="Palatino Linotype" w:eastAsia="Palatino Linotype" w:hAnsi="Palatino Linotype" w:cs="Palatino Linotype"/>
        </w:rPr>
      </w:pPr>
    </w:p>
    <w:p w:rsidR="00F31771" w:rsidRDefault="0071673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ese tenor y en términos de los artículos 186 fracción I, y 192, fracción III este Pleno determina el </w:t>
      </w:r>
      <w:r>
        <w:rPr>
          <w:rFonts w:ascii="Palatino Linotype" w:eastAsia="Palatino Linotype" w:hAnsi="Palatino Linotype" w:cs="Palatino Linotype"/>
          <w:b/>
        </w:rPr>
        <w:t xml:space="preserve">SOBRESEIMIENTO </w:t>
      </w:r>
      <w:r>
        <w:rPr>
          <w:rFonts w:ascii="Palatino Linotype" w:eastAsia="Palatino Linotype" w:hAnsi="Palatino Linotype" w:cs="Palatino Linotype"/>
        </w:rPr>
        <w:t>del presente recurso de revisión, toda vez que la afectación al derecho de acceso a la información pública establecido constitucionalmente a favor del particular, ha sido resarcida.</w:t>
      </w:r>
    </w:p>
    <w:p w:rsidR="00F31771" w:rsidRDefault="00F31771">
      <w:pPr>
        <w:spacing w:line="360" w:lineRule="auto"/>
        <w:jc w:val="both"/>
        <w:rPr>
          <w:rFonts w:ascii="Palatino Linotype" w:eastAsia="Palatino Linotype" w:hAnsi="Palatino Linotype" w:cs="Palatino Linotype"/>
        </w:rPr>
      </w:pPr>
    </w:p>
    <w:p w:rsidR="00F31771" w:rsidRDefault="0071673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 xml:space="preserve">de la Constitución Política del Estado Libre y Soberano de México; 2, fracción II; 29, 36 fracciones I y II; 176, 178, </w:t>
      </w:r>
      <w:r>
        <w:rPr>
          <w:rFonts w:ascii="Palatino Linotype" w:eastAsia="Palatino Linotype" w:hAnsi="Palatino Linotype" w:cs="Palatino Linotype"/>
        </w:rPr>
        <w:lastRenderedPageBreak/>
        <w:t>181, 185 de la Ley de Transparencia y Acceso a la Información Pública del Estado de México y Municipios, este Pleno:</w:t>
      </w:r>
    </w:p>
    <w:p w:rsidR="00F31771" w:rsidRDefault="00716732">
      <w:pPr>
        <w:numPr>
          <w:ilvl w:val="0"/>
          <w:numId w:val="1"/>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F31771" w:rsidRDefault="0071673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w:t>
      </w:r>
      <w:r>
        <w:rPr>
          <w:rFonts w:ascii="Palatino Linotype" w:eastAsia="Palatino Linotype" w:hAnsi="Palatino Linotype" w:cs="Palatino Linotype"/>
          <w:b/>
        </w:rPr>
        <w:t xml:space="preserve">05974/INFOEM/IP/RR/2021, </w:t>
      </w:r>
      <w:r>
        <w:rPr>
          <w:rFonts w:ascii="Palatino Linotype" w:eastAsia="Palatino Linotype" w:hAnsi="Palatino Linotype" w:cs="Palatino Linotype"/>
        </w:rPr>
        <w:t xml:space="preserve">porque al modificar la respuesta el recurso de revisión quedó sin materia en términos del </w:t>
      </w:r>
      <w:r>
        <w:rPr>
          <w:rFonts w:ascii="Palatino Linotype" w:eastAsia="Palatino Linotype" w:hAnsi="Palatino Linotype" w:cs="Palatino Linotype"/>
          <w:b/>
        </w:rPr>
        <w:t xml:space="preserve">Considerando Tercero </w:t>
      </w:r>
      <w:r>
        <w:rPr>
          <w:rFonts w:ascii="Palatino Linotype" w:eastAsia="Palatino Linotype" w:hAnsi="Palatino Linotype" w:cs="Palatino Linotype"/>
        </w:rPr>
        <w:t>de la presente resolución.</w:t>
      </w:r>
    </w:p>
    <w:p w:rsidR="00F31771" w:rsidRDefault="0071673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rsidR="00F31771" w:rsidRDefault="00716732">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 xml:space="preserve">Notifíquese vía Sistema de Acceso a la Información Mexiquense (SAIMEX) y </w:t>
      </w:r>
      <w:r w:rsidRPr="00716732">
        <w:rPr>
          <w:rFonts w:ascii="Palatino Linotype" w:eastAsia="Palatino Linotype" w:hAnsi="Palatino Linotype" w:cs="Palatino Linotype"/>
          <w:b/>
          <w:color w:val="000000" w:themeColor="text1"/>
        </w:rPr>
        <w:t>por correo electrónico,</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F31771" w:rsidRDefault="00716732">
      <w:pPr>
        <w:spacing w:before="240" w:after="240" w:line="360" w:lineRule="auto"/>
        <w:jc w:val="both"/>
        <w:rPr>
          <w:rFonts w:ascii="Palatino Linotype" w:eastAsia="Palatino Linotype" w:hAnsi="Palatino Linotype" w:cs="Palatino Linotype"/>
        </w:rPr>
        <w:sectPr w:rsidR="00F31771">
          <w:headerReference w:type="default" r:id="rId23"/>
          <w:footerReference w:type="default" r:id="rId24"/>
          <w:headerReference w:type="first" r:id="rId25"/>
          <w:footerReference w:type="first" r:id="rId26"/>
          <w:pgSz w:w="12240" w:h="15840"/>
          <w:pgMar w:top="1417" w:right="1750" w:bottom="1417" w:left="1701" w:header="708" w:footer="708"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SHARON CRISTINA MORALES MARTÍNEZ (AUSENCIA JUSTIFICADA); MARÍA DEL ROSARIO MEJÍA AYALA; LUIS GUSTAVO PARRA NORIEGA Y GUADALUPE RAMÍREZ PEÑA; EN LA QUINTA SESIÓN </w:t>
      </w:r>
      <w:r>
        <w:rPr>
          <w:rFonts w:ascii="Palatino Linotype" w:eastAsia="Palatino Linotype" w:hAnsi="Palatino Linotype" w:cs="Palatino Linotype"/>
        </w:rPr>
        <w:lastRenderedPageBreak/>
        <w:t xml:space="preserve">ORDINARIA CELEBRADA EL DIEZ DE FEBRERO DEL DOS MIL VEINTIDÓS, </w:t>
      </w:r>
      <w:r w:rsidR="00E302AC">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simplePos x="0" y="0"/>
                <wp:positionH relativeFrom="column">
                  <wp:posOffset>43815</wp:posOffset>
                </wp:positionH>
                <wp:positionV relativeFrom="paragraph">
                  <wp:posOffset>536574</wp:posOffset>
                </wp:positionV>
                <wp:extent cx="5448300" cy="698182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448300" cy="6981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9A8015" id="Conector rec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5pt,42.25pt" to="432.4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" strokecolor="black [3040]"/>
            </w:pict>
          </mc:Fallback>
        </mc:AlternateContent>
      </w:r>
      <w:r>
        <w:rPr>
          <w:rFonts w:ascii="Palatino Linotype" w:eastAsia="Palatino Linotype" w:hAnsi="Palatino Linotype" w:cs="Palatino Linotype"/>
        </w:rPr>
        <w:t>ANTE EL SECRETARIO TÉCNICO DEL PLENO, ALEXIS TAPIA RAMÍREZ.</w:t>
      </w:r>
    </w:p>
    <w:p w:rsidR="00F31771" w:rsidRDefault="00F3177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F31771" w:rsidRDefault="00F3177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F31771" w:rsidRDefault="00F3177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F31771">
      <w:headerReference w:type="first" r:id="rId2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C45" w:rsidRDefault="00716732">
      <w:r>
        <w:separator/>
      </w:r>
    </w:p>
  </w:endnote>
  <w:endnote w:type="continuationSeparator" w:id="0">
    <w:p w:rsidR="00E94C45" w:rsidRDefault="0071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71" w:rsidRDefault="0071673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05388">
      <w:rPr>
        <w:rFonts w:ascii="Arial" w:eastAsia="Arial" w:hAnsi="Arial" w:cs="Arial"/>
        <w:b/>
        <w:noProof/>
        <w:color w:val="000000"/>
        <w:sz w:val="20"/>
        <w:szCs w:val="20"/>
      </w:rPr>
      <w:t>37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05388">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rsidR="00F31771" w:rsidRDefault="00F31771">
    <w:pPr>
      <w:pBdr>
        <w:top w:val="nil"/>
        <w:left w:val="nil"/>
        <w:bottom w:val="nil"/>
        <w:right w:val="nil"/>
        <w:between w:val="nil"/>
      </w:pBdr>
      <w:tabs>
        <w:tab w:val="center" w:pos="4252"/>
        <w:tab w:val="right" w:pos="8504"/>
      </w:tabs>
      <w:rPr>
        <w:color w:val="000000"/>
      </w:rPr>
    </w:pPr>
  </w:p>
  <w:p w:rsidR="00F31771" w:rsidRDefault="00F3177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71" w:rsidRDefault="0071673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05388">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05388">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rsidR="00F31771" w:rsidRDefault="00F3177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C45" w:rsidRDefault="00716732">
      <w:r>
        <w:separator/>
      </w:r>
    </w:p>
  </w:footnote>
  <w:footnote w:type="continuationSeparator" w:id="0">
    <w:p w:rsidR="00E94C45" w:rsidRDefault="00716732">
      <w:r>
        <w:continuationSeparator/>
      </w:r>
    </w:p>
  </w:footnote>
  <w:footnote w:id="1">
    <w:p w:rsidR="00F31771" w:rsidRDefault="0071673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rsidR="00F31771" w:rsidRDefault="0071673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rsidR="00F31771" w:rsidRDefault="0071673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rsidR="00F31771" w:rsidRDefault="0071673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rsidR="00F31771" w:rsidRDefault="00716732">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71" w:rsidRDefault="00F31771">
    <w:pPr>
      <w:widowControl w:val="0"/>
      <w:pBdr>
        <w:top w:val="nil"/>
        <w:left w:val="nil"/>
        <w:bottom w:val="nil"/>
        <w:right w:val="nil"/>
        <w:between w:val="nil"/>
      </w:pBdr>
      <w:spacing w:line="276" w:lineRule="auto"/>
      <w:rPr>
        <w:rFonts w:ascii="Cambria" w:eastAsia="Cambria" w:hAnsi="Cambria" w:cs="Cambria"/>
        <w:color w:val="000000"/>
      </w:rPr>
    </w:pPr>
  </w:p>
  <w:tbl>
    <w:tblPr>
      <w:tblStyle w:val="a2"/>
      <w:tblW w:w="6240" w:type="dxa"/>
      <w:tblInd w:w="3746" w:type="dxa"/>
      <w:tblLayout w:type="fixed"/>
      <w:tblLook w:val="0400" w:firstRow="0" w:lastRow="0" w:firstColumn="0" w:lastColumn="0" w:noHBand="0" w:noVBand="1"/>
    </w:tblPr>
    <w:tblGrid>
      <w:gridCol w:w="2553"/>
      <w:gridCol w:w="3687"/>
    </w:tblGrid>
    <w:tr w:rsidR="00F31771">
      <w:tc>
        <w:tcPr>
          <w:tcW w:w="2553"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05974/INFOEM/IP/RR/2021</w:t>
          </w:r>
        </w:p>
      </w:tc>
    </w:tr>
    <w:tr w:rsidR="00F31771">
      <w:trPr>
        <w:trHeight w:val="228"/>
      </w:trPr>
      <w:tc>
        <w:tcPr>
          <w:tcW w:w="2553"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F31771" w:rsidRDefault="00716732">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F31771">
      <w:tc>
        <w:tcPr>
          <w:tcW w:w="2553"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F31771" w:rsidRDefault="0071673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31771" w:rsidRDefault="0071673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-1012187</wp:posOffset>
          </wp:positionV>
          <wp:extent cx="7635600" cy="9943200"/>
          <wp:effectExtent l="0" t="0" r="0" b="0"/>
          <wp:wrapNone/>
          <wp:docPr id="6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rsidR="00F31771" w:rsidRDefault="00F31771">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71" w:rsidRDefault="0071673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-1080133</wp:posOffset>
          </wp:positionH>
          <wp:positionV relativeFrom="paragraph">
            <wp:posOffset>-343533</wp:posOffset>
          </wp:positionV>
          <wp:extent cx="7635600" cy="9943200"/>
          <wp:effectExtent l="0" t="0" r="0" b="0"/>
          <wp:wrapNone/>
          <wp:docPr id="7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685" w:type="dxa"/>
      <w:tblLayout w:type="fixed"/>
      <w:tblLook w:val="0400" w:firstRow="0" w:lastRow="0" w:firstColumn="0" w:lastColumn="0" w:noHBand="0" w:noVBand="1"/>
    </w:tblPr>
    <w:tblGrid>
      <w:gridCol w:w="2553"/>
      <w:gridCol w:w="3687"/>
    </w:tblGrid>
    <w:tr w:rsidR="00F31771">
      <w:tc>
        <w:tcPr>
          <w:tcW w:w="2553"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05974/INFOEM/IP/RR/2021</w:t>
          </w:r>
        </w:p>
      </w:tc>
    </w:tr>
    <w:tr w:rsidR="00F31771">
      <w:tc>
        <w:tcPr>
          <w:tcW w:w="2553"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F31771" w:rsidRDefault="00C053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p>
      </w:tc>
    </w:tr>
    <w:tr w:rsidR="00F31771">
      <w:trPr>
        <w:trHeight w:val="228"/>
      </w:trPr>
      <w:tc>
        <w:tcPr>
          <w:tcW w:w="2553"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F31771" w:rsidRDefault="00716732">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F31771">
      <w:tc>
        <w:tcPr>
          <w:tcW w:w="2553" w:type="dxa"/>
          <w:vAlign w:val="center"/>
        </w:tcPr>
        <w:p w:rsidR="00F31771" w:rsidRDefault="0071673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F31771" w:rsidRDefault="0071673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31771" w:rsidRDefault="00F3177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771" w:rsidRDefault="0071673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F31771" w:rsidRDefault="00F3177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713B"/>
    <w:multiLevelType w:val="multilevel"/>
    <w:tmpl w:val="5F246C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F82784"/>
    <w:multiLevelType w:val="multilevel"/>
    <w:tmpl w:val="6CDE08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7F7638FF"/>
    <w:multiLevelType w:val="multilevel"/>
    <w:tmpl w:val="B218EBB4"/>
    <w:lvl w:ilvl="0">
      <w:start w:val="1"/>
      <w:numFmt w:val="decimal"/>
      <w:lvlText w:val="%1."/>
      <w:lvlJc w:val="left"/>
      <w:pPr>
        <w:ind w:left="1287"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771"/>
    <w:rsid w:val="002A44AF"/>
    <w:rsid w:val="006F585C"/>
    <w:rsid w:val="00716732"/>
    <w:rsid w:val="00735DF8"/>
    <w:rsid w:val="00C05388"/>
    <w:rsid w:val="00E302AC"/>
    <w:rsid w:val="00E94C45"/>
    <w:rsid w:val="00F317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1CD84-CE91-4C71-8679-3180DD1D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2.png"/><Relationship Id="rId22" Type="http://schemas.openxmlformats.org/officeDocument/2006/relationships/image" Target="media/image13.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Fsz9Xbjqgi39AziWglSgQ018Zg==">AMUW2mUccdCEz/+BTp+KMf0lqjf+R9lC+bSvj3OFH8Ixl4wBINqNFPU+QTo8DL4qX6KH4tC6OUZ1euvycs4QStkbSIz4za63YKMS6slvrdjJtn/5MOF2tcqftlkv+iKNoScjLOSXt6Ka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8592</Words>
  <Characters>47260</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3</cp:revision>
  <dcterms:created xsi:type="dcterms:W3CDTF">2022-02-25T20:18:00Z</dcterms:created>
  <dcterms:modified xsi:type="dcterms:W3CDTF">2022-04-29T18:11:00Z</dcterms:modified>
</cp:coreProperties>
</file>