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45082" w14:textId="313561F5" w:rsidR="00801872" w:rsidRPr="00C938B6" w:rsidRDefault="00801872" w:rsidP="005B031E">
      <w:pPr>
        <w:spacing w:line="360" w:lineRule="auto"/>
        <w:contextualSpacing/>
        <w:jc w:val="both"/>
        <w:rPr>
          <w:rFonts w:ascii="Palatino Linotype" w:hAnsi="Palatino Linotype"/>
          <w:noProof/>
          <w:sz w:val="22"/>
          <w:szCs w:val="22"/>
          <w:lang w:val="es-ES"/>
        </w:rPr>
      </w:pPr>
      <w:bookmarkStart w:id="0" w:name="_GoBack"/>
      <w:bookmarkEnd w:id="0"/>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C5025">
        <w:rPr>
          <w:rFonts w:ascii="Palatino Linotype" w:hAnsi="Palatino Linotype" w:cs="Tahoma"/>
          <w:bCs/>
          <w:sz w:val="22"/>
          <w:szCs w:val="22"/>
        </w:rPr>
        <w:t>nueve de marzo 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5BF89C66" w:rsidR="00801872" w:rsidRPr="00C938B6" w:rsidRDefault="3EE92B07" w:rsidP="005B031E">
      <w:pPr>
        <w:spacing w:line="360" w:lineRule="auto"/>
        <w:contextualSpacing/>
        <w:jc w:val="both"/>
        <w:rPr>
          <w:rFonts w:ascii="Palatino Linotype" w:eastAsia="Calibri" w:hAnsi="Palatino Linotype" w:cs="Tahoma"/>
          <w:sz w:val="22"/>
          <w:szCs w:val="22"/>
          <w:lang w:eastAsia="en-US"/>
        </w:rPr>
      </w:pPr>
      <w:r w:rsidRPr="3EE92B07">
        <w:rPr>
          <w:rFonts w:ascii="Palatino Linotype" w:hAnsi="Palatino Linotype" w:cs="Tahoma"/>
          <w:b/>
          <w:bCs/>
          <w:color w:val="0D0D0D" w:themeColor="text1" w:themeTint="F2"/>
          <w:sz w:val="22"/>
          <w:szCs w:val="22"/>
        </w:rPr>
        <w:t>VISTO</w:t>
      </w:r>
      <w:r w:rsidRPr="3EE92B07">
        <w:rPr>
          <w:rFonts w:ascii="Palatino Linotype" w:hAnsi="Palatino Linotype" w:cs="Tahoma"/>
          <w:color w:val="0D0D0D" w:themeColor="text1" w:themeTint="F2"/>
          <w:sz w:val="22"/>
          <w:szCs w:val="22"/>
        </w:rPr>
        <w:t xml:space="preserve"> el expediente conformado con motivo del Recurso de Revisión </w:t>
      </w:r>
      <w:r w:rsidRPr="3EE92B07">
        <w:rPr>
          <w:rFonts w:ascii="Palatino Linotype" w:eastAsia="Calibri" w:hAnsi="Palatino Linotype" w:cs="Tahoma"/>
          <w:b/>
          <w:bCs/>
          <w:sz w:val="22"/>
          <w:szCs w:val="22"/>
          <w:lang w:eastAsia="en-US"/>
        </w:rPr>
        <w:t>00486/INFOEM/IP/RR/2022</w:t>
      </w:r>
      <w:r w:rsidRPr="3EE92B07">
        <w:rPr>
          <w:rFonts w:ascii="Palatino Linotype" w:eastAsia="Calibri" w:hAnsi="Palatino Linotype" w:cs="Tahoma"/>
          <w:sz w:val="22"/>
          <w:szCs w:val="22"/>
          <w:lang w:eastAsia="en-US"/>
        </w:rPr>
        <w:t xml:space="preserve">, </w:t>
      </w:r>
      <w:r w:rsidRPr="3EE92B07">
        <w:rPr>
          <w:rFonts w:ascii="Palatino Linotype" w:hAnsi="Palatino Linotype" w:cs="Tahoma"/>
          <w:color w:val="0D0D0D" w:themeColor="text1" w:themeTint="F2"/>
          <w:sz w:val="22"/>
          <w:szCs w:val="22"/>
        </w:rPr>
        <w:t>interpuesto por</w:t>
      </w:r>
      <w:r w:rsidRPr="3EE92B07">
        <w:rPr>
          <w:rFonts w:ascii="Palatino Linotype" w:eastAsia="Calibri" w:hAnsi="Palatino Linotype" w:cs="Tahoma"/>
          <w:sz w:val="22"/>
          <w:szCs w:val="22"/>
          <w:lang w:eastAsia="en-US"/>
        </w:rPr>
        <w:t xml:space="preserve"> </w:t>
      </w:r>
      <w:r w:rsidRPr="3EE92B07">
        <w:rPr>
          <w:rFonts w:ascii="Palatino Linotype" w:eastAsia="Calibri" w:hAnsi="Palatino Linotype" w:cs="Tahoma"/>
          <w:sz w:val="22"/>
          <w:szCs w:val="22"/>
          <w:highlight w:val="black"/>
          <w:lang w:eastAsia="en-US"/>
        </w:rPr>
        <w:t>XXXXXXXXXXXXXXXXXXXXX</w:t>
      </w:r>
      <w:r w:rsidRPr="3EE92B07">
        <w:rPr>
          <w:rFonts w:ascii="Palatino Linotype" w:eastAsia="Calibri" w:hAnsi="Palatino Linotype" w:cs="Tahoma"/>
          <w:sz w:val="22"/>
          <w:szCs w:val="22"/>
          <w:lang w:eastAsia="en-US"/>
        </w:rPr>
        <w:t>,</w:t>
      </w:r>
      <w:r w:rsidRPr="3EE92B07">
        <w:rPr>
          <w:rFonts w:ascii="Palatino Linotype" w:hAnsi="Palatino Linotype" w:cs="Tahoma"/>
          <w:color w:val="0D0D0D" w:themeColor="text1" w:themeTint="F2"/>
          <w:sz w:val="22"/>
          <w:szCs w:val="22"/>
        </w:rPr>
        <w:t xml:space="preserve"> en lo sucesivo Recurrente o Particular, </w:t>
      </w:r>
      <w:r w:rsidRPr="3EE92B07">
        <w:rPr>
          <w:rFonts w:ascii="Palatino Linotype" w:eastAsia="Calibri" w:hAnsi="Palatino Linotype" w:cs="Tahoma"/>
          <w:sz w:val="22"/>
          <w:szCs w:val="22"/>
          <w:lang w:val="es-ES" w:eastAsia="en-US"/>
        </w:rPr>
        <w:t xml:space="preserve">en contra de la respuesta del Sujeto Obligado, </w:t>
      </w:r>
      <w:r w:rsidRPr="3EE92B07">
        <w:rPr>
          <w:rFonts w:ascii="Palatino Linotype" w:eastAsia="Calibri" w:hAnsi="Palatino Linotype" w:cs="Tahoma"/>
          <w:sz w:val="22"/>
          <w:szCs w:val="22"/>
          <w:lang w:eastAsia="en-US"/>
        </w:rPr>
        <w:t xml:space="preserve">Ayuntamiento de Villa del Carbón, </w:t>
      </w:r>
      <w:r w:rsidRPr="3EE92B07">
        <w:rPr>
          <w:rFonts w:ascii="Palatino Linotype" w:eastAsia="Calibri" w:hAnsi="Palatino Linotype" w:cs="Tahoma"/>
          <w:sz w:val="22"/>
          <w:szCs w:val="22"/>
          <w:lang w:val="es-ES" w:eastAsia="en-US"/>
        </w:rPr>
        <w:t>a la solicitud de acceso a la información</w:t>
      </w:r>
      <w:r w:rsidRPr="3EE92B07">
        <w:rPr>
          <w:rFonts w:ascii="Palatino Linotype" w:eastAsia="Calibri" w:hAnsi="Palatino Linotype" w:cs="Tahoma"/>
          <w:sz w:val="22"/>
          <w:szCs w:val="22"/>
          <w:lang w:eastAsia="en-US"/>
        </w:rPr>
        <w:t xml:space="preserve"> 00008/VICARBO/IP/2022</w:t>
      </w:r>
      <w:r w:rsidRPr="3EE92B07">
        <w:rPr>
          <w:rFonts w:ascii="Palatino Linotype" w:eastAsia="Calibri" w:hAnsi="Palatino Linotype" w:cs="Tahoma"/>
          <w:sz w:val="22"/>
          <w:szCs w:val="22"/>
          <w:lang w:val="es-ES" w:eastAsia="en-US"/>
        </w:rPr>
        <w:t>, se emite la presente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7F47E1FA"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CC5025">
        <w:rPr>
          <w:rFonts w:ascii="Palatino Linotype" w:hAnsi="Palatino Linotype" w:cs="Tahoma"/>
          <w:sz w:val="22"/>
          <w:szCs w:val="22"/>
        </w:rPr>
        <w:t>trece de enero de dos mil veintidós</w:t>
      </w:r>
      <w:r w:rsidR="00A14307">
        <w:rPr>
          <w:rFonts w:ascii="Palatino Linotype" w:hAnsi="Palatino Linotype" w:cs="Tahoma"/>
          <w:sz w:val="22"/>
          <w:szCs w:val="22"/>
        </w:rPr>
        <w:t>, el Particular presentó una solicitud de acceso a la i</w:t>
      </w:r>
      <w:r w:rsidR="00CC5025">
        <w:rPr>
          <w:rFonts w:ascii="Palatino Linotype" w:hAnsi="Palatino Linotype" w:cs="Tahoma"/>
          <w:sz w:val="22"/>
          <w:szCs w:val="22"/>
        </w:rPr>
        <w:t xml:space="preserve">nformación pública a través de la Plataforma Nacional de Transparencia y registrada en </w:t>
      </w:r>
      <w:r w:rsidR="00A14307">
        <w:rPr>
          <w:rFonts w:ascii="Palatino Linotype" w:hAnsi="Palatino Linotype" w:cs="Tahoma"/>
          <w:sz w:val="22"/>
          <w:szCs w:val="22"/>
        </w:rPr>
        <w:t>Sistema de Acceso a la Información Mexiquense (SAIMEX)</w:t>
      </w:r>
      <w:r w:rsidR="00CC5025">
        <w:rPr>
          <w:rFonts w:ascii="Palatino Linotype" w:hAnsi="Palatino Linotype" w:cs="Tahoma"/>
          <w:sz w:val="22"/>
          <w:szCs w:val="22"/>
        </w:rPr>
        <w:t xml:space="preserve">, en misma fecha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2A04A08" w14:textId="291DC149" w:rsidR="0032679F" w:rsidRDefault="00CC5025" w:rsidP="005B031E">
      <w:pPr>
        <w:spacing w:line="360" w:lineRule="auto"/>
        <w:ind w:left="567" w:right="567"/>
        <w:contextualSpacing/>
        <w:rPr>
          <w:rFonts w:ascii="Palatino Linotype" w:hAnsi="Palatino Linotype" w:cs="Tahoma"/>
          <w:b/>
          <w:bCs/>
          <w:i/>
          <w:iCs/>
        </w:rPr>
      </w:pPr>
      <w:r>
        <w:rPr>
          <w:rFonts w:ascii="Palatino Linotype" w:hAnsi="Palatino Linotype" w:cs="Tahoma"/>
          <w:b/>
          <w:bCs/>
          <w:i/>
          <w:iCs/>
        </w:rPr>
        <w:t>00008/VICARBO/IP/2022</w:t>
      </w:r>
    </w:p>
    <w:p w14:paraId="15187AB8" w14:textId="7A44E860" w:rsidR="00801872" w:rsidRPr="00BC54C9"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 xml:space="preserve">DESCRIPCIÓN CLARA Y PRECISA DE </w:t>
      </w:r>
      <w:r w:rsidRPr="00BC54C9">
        <w:rPr>
          <w:rFonts w:ascii="Palatino Linotype" w:hAnsi="Palatino Linotype" w:cs="Tahoma"/>
          <w:b/>
          <w:i/>
          <w:iCs/>
        </w:rPr>
        <w:t>LA INFORMACIÓN SOLICITADA</w:t>
      </w:r>
    </w:p>
    <w:p w14:paraId="6728A402" w14:textId="0EF9B486" w:rsidR="00801872" w:rsidRPr="00C938B6" w:rsidRDefault="00CC5025" w:rsidP="005B031E">
      <w:pPr>
        <w:spacing w:line="360" w:lineRule="auto"/>
        <w:ind w:left="567" w:right="567"/>
        <w:contextualSpacing/>
        <w:jc w:val="both"/>
        <w:rPr>
          <w:rFonts w:ascii="Palatino Linotype" w:hAnsi="Palatino Linotype"/>
          <w:bCs/>
          <w:i/>
          <w:iCs/>
          <w:color w:val="000000"/>
        </w:rPr>
      </w:pPr>
      <w:bookmarkStart w:id="1" w:name="_Hlk93400387"/>
      <w:r w:rsidRPr="00BC54C9">
        <w:rPr>
          <w:rFonts w:ascii="Palatino Linotype" w:hAnsi="Palatino Linotype"/>
          <w:bCs/>
          <w:i/>
          <w:iCs/>
          <w:color w:val="000000"/>
        </w:rPr>
        <w:t>“Necesito el curriculum del coordinador de movilidad del ayuntamiento en turno Requiero el Plan de trabajo de la coordinación de Movilidad del ayuntamiento en turno Necesito saber el sueldo del coordinador de Movilidad del la administración en turno Requiero el Manual de procedimientos de la coordinación de Movilidad para el año 2022”</w:t>
      </w:r>
      <w:r w:rsidR="002D46B4" w:rsidRPr="00BC54C9">
        <w:rPr>
          <w:rFonts w:ascii="Palatino Linotype" w:hAnsi="Palatino Linotype"/>
          <w:bCs/>
          <w:i/>
          <w:iCs/>
          <w:color w:val="000000"/>
        </w:rPr>
        <w:t xml:space="preserve">. </w:t>
      </w:r>
      <w:r w:rsidR="00801872" w:rsidRPr="00BC54C9">
        <w:rPr>
          <w:rFonts w:ascii="Palatino Linotype" w:hAnsi="Palatino Linotype"/>
          <w:bCs/>
          <w:i/>
          <w:iCs/>
          <w:color w:val="000000"/>
        </w:rPr>
        <w:t>(Sic)</w:t>
      </w:r>
      <w:r w:rsidR="00801872" w:rsidRPr="00C938B6">
        <w:rPr>
          <w:rFonts w:ascii="Palatino Linotype" w:hAnsi="Palatino Linotype"/>
          <w:bCs/>
          <w:i/>
          <w:iCs/>
          <w:color w:val="000000"/>
        </w:rPr>
        <w:t xml:space="preserve"> </w:t>
      </w:r>
    </w:p>
    <w:bookmarkEnd w:id="1"/>
    <w:p w14:paraId="53D7FEF6" w14:textId="77777777" w:rsidR="00D1294D" w:rsidRDefault="00D1294D" w:rsidP="005B031E">
      <w:pPr>
        <w:tabs>
          <w:tab w:val="left" w:pos="4667"/>
        </w:tabs>
        <w:spacing w:line="360" w:lineRule="auto"/>
        <w:ind w:left="567" w:right="567"/>
        <w:rPr>
          <w:rFonts w:ascii="Palatino Linotype" w:hAnsi="Palatino Linotype" w:cs="Tahoma"/>
          <w:b/>
          <w:bCs/>
          <w:i/>
          <w:iCs/>
        </w:rPr>
      </w:pPr>
    </w:p>
    <w:p w14:paraId="3F3F3633" w14:textId="583DBF12"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lastRenderedPageBreak/>
        <w:t>“MODALIDAD DE ENTREGA</w:t>
      </w:r>
    </w:p>
    <w:p w14:paraId="67741AF7" w14:textId="02912BD3" w:rsidR="00CB6F34" w:rsidRPr="001663C7" w:rsidRDefault="00801872" w:rsidP="001663C7">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3AE8E5A8" w14:textId="0E52641E" w:rsidR="00903608" w:rsidRDefault="00903608" w:rsidP="00CB6F34">
      <w:pPr>
        <w:spacing w:line="360" w:lineRule="auto"/>
        <w:ind w:right="567"/>
        <w:rPr>
          <w:rFonts w:ascii="Palatino Linotype" w:hAnsi="Palatino Linotype" w:cs="Arial"/>
          <w:bCs/>
          <w:sz w:val="22"/>
          <w:szCs w:val="22"/>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2" w:name="_Hlk93400407"/>
    </w:p>
    <w:p w14:paraId="30A9230F" w14:textId="3CBA5F66"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fecha </w:t>
      </w:r>
      <w:r w:rsidR="00CC5025">
        <w:rPr>
          <w:rFonts w:ascii="Palatino Linotype" w:hAnsi="Palatino Linotype" w:cs="Tahoma"/>
          <w:bCs/>
          <w:sz w:val="22"/>
          <w:szCs w:val="22"/>
        </w:rPr>
        <w:t>treinta y uno</w:t>
      </w:r>
      <w:r w:rsidR="00621AE4">
        <w:rPr>
          <w:rFonts w:ascii="Palatino Linotype" w:hAnsi="Palatino Linotype" w:cs="Tahoma"/>
          <w:bCs/>
          <w:sz w:val="22"/>
          <w:szCs w:val="22"/>
        </w:rPr>
        <w:t xml:space="preserve"> de enero de dos mil veintidós,</w:t>
      </w:r>
      <w:r>
        <w:rPr>
          <w:rFonts w:ascii="Palatino Linotype" w:hAnsi="Palatino Linotype" w:cs="Tahoma"/>
          <w:bCs/>
          <w:sz w:val="22"/>
          <w:szCs w:val="22"/>
        </w:rPr>
        <w:t xml:space="preserve">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2BEF8B38" w14:textId="77777777" w:rsidR="00CC5025" w:rsidRDefault="00621AE4" w:rsidP="00CC5025">
      <w:pPr>
        <w:autoSpaceDE w:val="0"/>
        <w:autoSpaceDN w:val="0"/>
        <w:adjustRightInd w:val="0"/>
        <w:spacing w:line="360" w:lineRule="auto"/>
        <w:ind w:left="567" w:right="539"/>
        <w:jc w:val="both"/>
        <w:rPr>
          <w:rFonts w:ascii="Palatino Linotype" w:hAnsi="Palatino Linotype"/>
          <w:i/>
          <w:iCs/>
          <w:color w:val="000000"/>
          <w:szCs w:val="22"/>
        </w:rPr>
      </w:pPr>
      <w:r>
        <w:rPr>
          <w:rFonts w:ascii="Palatino Linotype" w:hAnsi="Palatino Linotype"/>
          <w:i/>
          <w:iCs/>
          <w:color w:val="000000"/>
          <w:szCs w:val="22"/>
        </w:rPr>
        <w:t>“</w:t>
      </w:r>
      <w:r w:rsidR="00CC5025" w:rsidRPr="00CC5025">
        <w:rPr>
          <w:rFonts w:ascii="Palatino Linotype" w:hAnsi="Palatino Linotype"/>
          <w:i/>
          <w:iCs/>
          <w:color w:val="000000"/>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45F8B4" w14:textId="77777777" w:rsidR="00CC5025" w:rsidRPr="00CC5025" w:rsidRDefault="00CC5025" w:rsidP="00CC5025">
      <w:pPr>
        <w:autoSpaceDE w:val="0"/>
        <w:autoSpaceDN w:val="0"/>
        <w:adjustRightInd w:val="0"/>
        <w:spacing w:line="360" w:lineRule="auto"/>
        <w:ind w:left="567" w:right="539"/>
        <w:jc w:val="both"/>
        <w:rPr>
          <w:rFonts w:ascii="Palatino Linotype" w:hAnsi="Palatino Linotype"/>
          <w:i/>
          <w:iCs/>
          <w:color w:val="000000"/>
          <w:szCs w:val="22"/>
        </w:rPr>
      </w:pPr>
    </w:p>
    <w:p w14:paraId="13A4312A" w14:textId="1FBC9FAA" w:rsidR="005E0B88" w:rsidRDefault="00CC5025" w:rsidP="00CC5025">
      <w:pPr>
        <w:autoSpaceDE w:val="0"/>
        <w:autoSpaceDN w:val="0"/>
        <w:adjustRightInd w:val="0"/>
        <w:spacing w:line="360" w:lineRule="auto"/>
        <w:ind w:left="567" w:right="539"/>
        <w:jc w:val="both"/>
        <w:rPr>
          <w:rFonts w:ascii="Palatino Linotype" w:hAnsi="Palatino Linotype"/>
          <w:i/>
          <w:iCs/>
          <w:color w:val="000000"/>
          <w:szCs w:val="22"/>
        </w:rPr>
      </w:pPr>
      <w:r w:rsidRPr="00CC5025">
        <w:rPr>
          <w:rFonts w:ascii="Palatino Linotype" w:hAnsi="Palatino Linotype"/>
          <w:i/>
          <w:iCs/>
          <w:color w:val="000000"/>
          <w:szCs w:val="22"/>
        </w:rPr>
        <w:t>Villa del Carbón, México a 31 de enero de 2022 Folio de la solicitud: 00008/VICARBO/IP/2022 MOVILIDAD VILLA DEL CARBÓN. PRESENTE En respuesta a la solicitud recibida, nos permitimos hacer de su conocimiento que con fundamento en el artículo 5 de la Constitución Política del Estado Libre y Soberano de México; articulo 4, 23 Fracción 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r w:rsidR="00621AE4">
        <w:rPr>
          <w:rFonts w:ascii="Palatino Linotype" w:hAnsi="Palatino Linotype"/>
          <w:i/>
          <w:iCs/>
          <w:color w:val="000000"/>
          <w:szCs w:val="22"/>
        </w:rPr>
        <w:t xml:space="preserve">”. </w:t>
      </w:r>
      <w:r w:rsidR="0092444E">
        <w:rPr>
          <w:rFonts w:ascii="Palatino Linotype" w:hAnsi="Palatino Linotype"/>
          <w:i/>
          <w:iCs/>
          <w:color w:val="000000"/>
          <w:szCs w:val="22"/>
        </w:rPr>
        <w:t>(Sic)</w:t>
      </w:r>
      <w:r w:rsidR="00CE6228">
        <w:rPr>
          <w:rFonts w:ascii="Palatino Linotype" w:hAnsi="Palatino Linotype"/>
          <w:i/>
          <w:iCs/>
          <w:color w:val="000000"/>
          <w:szCs w:val="22"/>
        </w:rPr>
        <w:t>.</w:t>
      </w:r>
    </w:p>
    <w:p w14:paraId="719A6431"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B02A8B5" w14:textId="29B11748" w:rsidR="00CC5025" w:rsidRPr="00252638" w:rsidRDefault="00CC5025" w:rsidP="00CC5025">
      <w:pPr>
        <w:autoSpaceDE w:val="0"/>
        <w:autoSpaceDN w:val="0"/>
        <w:adjustRightInd w:val="0"/>
        <w:spacing w:line="360" w:lineRule="auto"/>
        <w:ind w:right="539"/>
        <w:jc w:val="both"/>
        <w:rPr>
          <w:rFonts w:ascii="Palatino Linotype" w:hAnsi="Palatino Linotype" w:cs="Tahoma"/>
          <w:sz w:val="22"/>
          <w:szCs w:val="22"/>
        </w:rPr>
      </w:pPr>
      <w:r w:rsidRPr="00252638">
        <w:rPr>
          <w:rFonts w:ascii="Palatino Linotype" w:hAnsi="Palatino Linotype" w:cs="Tahoma"/>
          <w:sz w:val="22"/>
          <w:szCs w:val="22"/>
        </w:rPr>
        <w:t>Asimismo, adjunt</w:t>
      </w:r>
      <w:r w:rsidR="00FD3FD7">
        <w:rPr>
          <w:rFonts w:ascii="Palatino Linotype" w:hAnsi="Palatino Linotype" w:cs="Tahoma"/>
          <w:sz w:val="22"/>
          <w:szCs w:val="22"/>
        </w:rPr>
        <w:t>ó</w:t>
      </w:r>
      <w:r w:rsidRPr="00252638">
        <w:rPr>
          <w:rFonts w:ascii="Palatino Linotype" w:hAnsi="Palatino Linotype" w:cs="Tahoma"/>
          <w:sz w:val="22"/>
          <w:szCs w:val="22"/>
        </w:rPr>
        <w:t xml:space="preserve"> los archivos que serán descritos a continuación: </w:t>
      </w:r>
    </w:p>
    <w:p w14:paraId="624AF6F2"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5A1968E5" w14:textId="6C9D6894" w:rsidR="00CC5025" w:rsidRDefault="00CC5025" w:rsidP="00CC5025">
      <w:pPr>
        <w:pStyle w:val="Prrafodelista"/>
        <w:numPr>
          <w:ilvl w:val="0"/>
          <w:numId w:val="27"/>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szCs w:val="22"/>
        </w:rPr>
        <w:lastRenderedPageBreak/>
        <w:t xml:space="preserve">00008.pdf. </w:t>
      </w:r>
      <w:r>
        <w:rPr>
          <w:rFonts w:ascii="Palatino Linotype" w:hAnsi="Palatino Linotype" w:cs="Tahoma"/>
          <w:szCs w:val="22"/>
        </w:rPr>
        <w:t xml:space="preserve">Oficio de fecha veintisiete de enero de dos mil veintidós, signado por el Director de Administración y Recursos Humanos, mediante el cual informa que no se cuenta con el tabulador de sueldos y salarios, ya que están en proceso de elaboración, por lo que no se puede proporcionar la información solicitada, ya que no ha sido aprobada por el órgano máximo de gobierno. </w:t>
      </w:r>
    </w:p>
    <w:p w14:paraId="6DD056C3" w14:textId="77777777" w:rsidR="00CC5025" w:rsidRPr="00CC5025" w:rsidRDefault="00CC5025" w:rsidP="00CC5025">
      <w:pPr>
        <w:pStyle w:val="Prrafodelista"/>
        <w:autoSpaceDE w:val="0"/>
        <w:autoSpaceDN w:val="0"/>
        <w:adjustRightInd w:val="0"/>
        <w:spacing w:line="360" w:lineRule="auto"/>
        <w:ind w:right="539"/>
        <w:jc w:val="both"/>
        <w:rPr>
          <w:rFonts w:ascii="Palatino Linotype" w:hAnsi="Palatino Linotype" w:cs="Tahoma"/>
          <w:szCs w:val="22"/>
        </w:rPr>
      </w:pPr>
    </w:p>
    <w:p w14:paraId="3EF578E0" w14:textId="09943958" w:rsidR="00CC5025" w:rsidRPr="00CC5025" w:rsidRDefault="00CC5025" w:rsidP="00CC5025">
      <w:pPr>
        <w:pStyle w:val="Prrafodelista"/>
        <w:numPr>
          <w:ilvl w:val="0"/>
          <w:numId w:val="27"/>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szCs w:val="22"/>
        </w:rPr>
        <w:t>Respuesta saimex_0001.pdf.</w:t>
      </w:r>
      <w:r>
        <w:rPr>
          <w:rFonts w:ascii="Palatino Linotype" w:hAnsi="Palatino Linotype" w:cs="Tahoma"/>
          <w:szCs w:val="22"/>
        </w:rPr>
        <w:t xml:space="preserve"> Oficio de fecha veintiséis de enero de dos mil veintidós, signado por el Coordinador de Movilidad de Villa del Carbón, mediante el cual informa que no se cuenta con currículum, ya que la ley no requiere de perfil para este cargo como servidor público, el plan de trabajo se encuentra en proceso de elaboración, ya que forma parte integral del presupuesto, y aún no ha sido aprobado por el órgano máximo de gobierno y; aún no se aprueba el manual de procedimientos para el año 2022-2024, por lo que se adjunta el manual del periodo 2019-2021. </w:t>
      </w:r>
    </w:p>
    <w:p w14:paraId="09D3BCB5" w14:textId="77777777" w:rsidR="00CC5025" w:rsidRP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4CA6456" w14:textId="698FE177" w:rsidR="00CC5025" w:rsidRPr="00CC5025" w:rsidRDefault="00CC5025" w:rsidP="00CC5025">
      <w:pPr>
        <w:pStyle w:val="Prrafodelista"/>
        <w:numPr>
          <w:ilvl w:val="0"/>
          <w:numId w:val="27"/>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szCs w:val="22"/>
        </w:rPr>
        <w:t xml:space="preserve">MANUAL DE PROCEDIMIENTOS 2019.pdf. </w:t>
      </w:r>
      <w:r>
        <w:rPr>
          <w:rFonts w:ascii="Palatino Linotype" w:hAnsi="Palatino Linotype" w:cs="Tahoma"/>
          <w:szCs w:val="22"/>
        </w:rPr>
        <w:t xml:space="preserve">Manual de Procedimientos de la Coordinación Municipal de Movilidad. </w:t>
      </w:r>
    </w:p>
    <w:p w14:paraId="567FCF09" w14:textId="77777777" w:rsidR="00CC5025" w:rsidRPr="00CC5025" w:rsidRDefault="00CC5025" w:rsidP="00CC5025">
      <w:pPr>
        <w:pStyle w:val="Prrafodelista"/>
        <w:autoSpaceDE w:val="0"/>
        <w:autoSpaceDN w:val="0"/>
        <w:adjustRightInd w:val="0"/>
        <w:spacing w:line="360" w:lineRule="auto"/>
        <w:ind w:right="539"/>
        <w:jc w:val="both"/>
        <w:rPr>
          <w:rFonts w:ascii="Palatino Linotype" w:hAnsi="Palatino Linotype" w:cs="Tahoma"/>
          <w:szCs w:val="22"/>
        </w:rPr>
      </w:pPr>
    </w:p>
    <w:bookmarkEnd w:id="2"/>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34D9B015" w:rsidR="00801872"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CC5025">
        <w:rPr>
          <w:rFonts w:ascii="Palatino Linotype" w:hAnsi="Palatino Linotype" w:cs="Tahoma"/>
          <w:sz w:val="22"/>
          <w:szCs w:val="22"/>
          <w:lang w:val="es-ES"/>
        </w:rPr>
        <w:t>uno 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w:t>
      </w:r>
      <w:r w:rsidR="00CC5025">
        <w:rPr>
          <w:rFonts w:ascii="Palatino Linotype" w:hAnsi="Palatino Linotype" w:cs="Tahoma"/>
          <w:sz w:val="22"/>
          <w:szCs w:val="22"/>
          <w:lang w:val="es-ES"/>
        </w:rPr>
        <w:t>r</w:t>
      </w:r>
      <w:r w:rsidR="00670EBB">
        <w:rPr>
          <w:rFonts w:ascii="Palatino Linotype" w:hAnsi="Palatino Linotype" w:cs="Tahoma"/>
          <w:sz w:val="22"/>
          <w:szCs w:val="22"/>
          <w:lang w:val="es-ES"/>
        </w:rPr>
        <w:t>a de la respuesta del Sujeto Obligado, en el que señaló lo siguiente:</w:t>
      </w:r>
    </w:p>
    <w:p w14:paraId="08E82221" w14:textId="4DD7F917" w:rsidR="004C5F95" w:rsidRDefault="004C5F95" w:rsidP="005B031E">
      <w:pPr>
        <w:widowControl w:val="0"/>
        <w:spacing w:line="360" w:lineRule="auto"/>
        <w:jc w:val="both"/>
        <w:rPr>
          <w:rFonts w:ascii="Palatino Linotype" w:hAnsi="Palatino Linotype" w:cs="Tahoma"/>
          <w:b/>
          <w:bCs/>
          <w:sz w:val="22"/>
          <w:szCs w:val="22"/>
          <w:lang w:val="es-ES"/>
        </w:rPr>
      </w:pPr>
    </w:p>
    <w:p w14:paraId="717BC217" w14:textId="77777777" w:rsidR="004C5F95" w:rsidRDefault="004C5F95" w:rsidP="005B031E">
      <w:pPr>
        <w:widowControl w:val="0"/>
        <w:spacing w:line="360" w:lineRule="auto"/>
        <w:jc w:val="both"/>
        <w:rPr>
          <w:rFonts w:ascii="Palatino Linotype" w:hAnsi="Palatino Linotype" w:cs="Tahoma"/>
          <w:b/>
          <w:bCs/>
          <w:sz w:val="22"/>
          <w:szCs w:val="22"/>
          <w:lang w:val="es-ES"/>
        </w:rPr>
      </w:pPr>
    </w:p>
    <w:p w14:paraId="173C1DF9" w14:textId="77777777" w:rsidR="004C5F95" w:rsidRPr="00C938B6" w:rsidRDefault="004C5F95"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lastRenderedPageBreak/>
        <w:t xml:space="preserve"> </w:t>
      </w:r>
      <w:r w:rsidR="00801872" w:rsidRPr="00C938B6">
        <w:rPr>
          <w:rFonts w:ascii="Palatino Linotype" w:hAnsi="Palatino Linotype" w:cs="Tahoma"/>
          <w:b/>
          <w:i/>
          <w:iCs/>
        </w:rPr>
        <w:t>ACTO IMPUGNADO</w:t>
      </w:r>
    </w:p>
    <w:p w14:paraId="7D0F48DA" w14:textId="330D2263"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CC5025" w:rsidRPr="00CC5025">
        <w:rPr>
          <w:rFonts w:ascii="Palatino Linotype" w:hAnsi="Palatino Linotype" w:cs="Tahoma"/>
          <w:i/>
          <w:iCs/>
        </w:rPr>
        <w:t>no se me esta otorgando el curriculum del servidor publico solicitado argumentando que no se requiere por ley para este cargo, y el articulo 92 fracción XII señala lo contrario por lo cual solicito el recurso de revisión y se me dote de la información que solicite</w:t>
      </w:r>
      <w:r w:rsidR="00801872" w:rsidRPr="00C938B6">
        <w:rPr>
          <w:rFonts w:ascii="Palatino Linotype" w:hAnsi="Palatino Linotype" w:cs="Tahoma"/>
          <w:i/>
          <w:iCs/>
        </w:rPr>
        <w:t>”</w:t>
      </w:r>
      <w:r w:rsidR="00DE416D">
        <w:rPr>
          <w:rFonts w:ascii="Palatino Linotype" w:hAnsi="Palatino Linotype" w:cs="Tahoma"/>
          <w:i/>
          <w:iCs/>
        </w:rPr>
        <w:t>.</w:t>
      </w:r>
      <w:r w:rsidR="00801872" w:rsidRPr="00C938B6">
        <w:rPr>
          <w:rFonts w:ascii="Palatino Linotype" w:hAnsi="Palatino Linotype" w:cs="Tahoma"/>
          <w:i/>
          <w:iCs/>
        </w:rPr>
        <w:t xml:space="preserve"> (Sic)</w:t>
      </w:r>
    </w:p>
    <w:p w14:paraId="19ECF2E1" w14:textId="77777777" w:rsidR="00CC5025" w:rsidRDefault="00CC5025" w:rsidP="00670EBB">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244C4C21" w14:textId="331DE937" w:rsidR="008F7168" w:rsidRPr="00FD3FD7" w:rsidRDefault="00FD3FD7" w:rsidP="00BD1E55">
      <w:pPr>
        <w:spacing w:line="360" w:lineRule="auto"/>
        <w:ind w:right="567"/>
        <w:contextualSpacing/>
        <w:jc w:val="both"/>
        <w:rPr>
          <w:rFonts w:ascii="Palatino Linotype" w:eastAsia="Calibri" w:hAnsi="Palatino Linotype" w:cs="Tahoma"/>
          <w:bCs/>
          <w:sz w:val="22"/>
          <w:lang w:eastAsia="en-US"/>
        </w:rPr>
      </w:pPr>
      <w:r w:rsidRPr="00FD3FD7">
        <w:rPr>
          <w:rFonts w:ascii="Palatino Linotype" w:eastAsia="Calibri" w:hAnsi="Palatino Linotype" w:cs="Tahoma"/>
          <w:bCs/>
          <w:sz w:val="22"/>
          <w:lang w:eastAsia="en-US"/>
        </w:rPr>
        <w:t>El Recurrente no señaló razones o motivos de su inconformidad.</w:t>
      </w:r>
    </w:p>
    <w:p w14:paraId="6AC681D0" w14:textId="77777777" w:rsidR="00252638" w:rsidRDefault="00252638" w:rsidP="00BD1E55">
      <w:pPr>
        <w:spacing w:line="360" w:lineRule="auto"/>
        <w:ind w:right="567"/>
        <w:contextualSpacing/>
        <w:jc w:val="both"/>
        <w:rPr>
          <w:rFonts w:ascii="Palatino Linotype" w:eastAsia="Calibri" w:hAnsi="Palatino Linotype" w:cs="Tahoma"/>
          <w:b/>
          <w:sz w:val="22"/>
          <w:lang w:eastAsia="en-US"/>
        </w:rPr>
      </w:pPr>
    </w:p>
    <w:p w14:paraId="5C6EE6E5" w14:textId="553D28F2" w:rsidR="00252638" w:rsidRPr="00252638" w:rsidRDefault="00252638" w:rsidP="00EB3FEC">
      <w:pPr>
        <w:spacing w:line="360" w:lineRule="auto"/>
        <w:ind w:right="-28"/>
        <w:contextualSpacing/>
        <w:jc w:val="both"/>
        <w:rPr>
          <w:rFonts w:ascii="Palatino Linotype" w:eastAsia="Calibri" w:hAnsi="Palatino Linotype" w:cs="Tahoma"/>
          <w:sz w:val="22"/>
          <w:lang w:eastAsia="en-US"/>
        </w:rPr>
      </w:pPr>
      <w:r>
        <w:rPr>
          <w:rFonts w:ascii="Palatino Linotype" w:eastAsia="Calibri" w:hAnsi="Palatino Linotype" w:cs="Tahoma"/>
          <w:sz w:val="22"/>
          <w:lang w:eastAsia="en-US"/>
        </w:rPr>
        <w:t xml:space="preserve">Asimismo, adjuntó un archivo de nombre </w:t>
      </w:r>
      <w:r w:rsidRPr="00252638">
        <w:rPr>
          <w:rFonts w:ascii="Palatino Linotype" w:eastAsia="Calibri" w:hAnsi="Palatino Linotype" w:cs="Tahoma"/>
          <w:b/>
          <w:sz w:val="22"/>
          <w:lang w:eastAsia="en-US"/>
        </w:rPr>
        <w:t>“Archivo1643742748215”</w:t>
      </w:r>
      <w:r>
        <w:rPr>
          <w:rFonts w:ascii="Palatino Linotype" w:eastAsia="Calibri" w:hAnsi="Palatino Linotype" w:cs="Tahoma"/>
          <w:sz w:val="22"/>
          <w:lang w:eastAsia="en-US"/>
        </w:rPr>
        <w:t xml:space="preserve"> que no puede ser visualizado. </w:t>
      </w:r>
    </w:p>
    <w:p w14:paraId="259CD368" w14:textId="77777777" w:rsidR="00252638" w:rsidRPr="000D200B" w:rsidRDefault="00252638" w:rsidP="00BD1E55">
      <w:pPr>
        <w:spacing w:line="360" w:lineRule="auto"/>
        <w:ind w:right="567"/>
        <w:contextualSpacing/>
        <w:jc w:val="both"/>
        <w:rPr>
          <w:rFonts w:ascii="Palatino Linotype" w:eastAsia="Calibri" w:hAnsi="Palatino Linotype" w:cs="Tahoma"/>
          <w:b/>
          <w:sz w:val="22"/>
          <w:lang w:eastAsia="en-U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6F9B7F51"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A21FFC">
        <w:rPr>
          <w:rFonts w:ascii="Palatino Linotype" w:eastAsia="Batang" w:hAnsi="Palatino Linotype" w:cs="Tahoma"/>
          <w:sz w:val="22"/>
          <w:szCs w:val="22"/>
        </w:rPr>
        <w:t>uno de febrero</w:t>
      </w:r>
      <w:r w:rsidR="00F230F4">
        <w:rPr>
          <w:rFonts w:ascii="Palatino Linotype" w:eastAsia="Batang" w:hAnsi="Palatino Linotype" w:cs="Tahoma"/>
          <w:sz w:val="22"/>
          <w:szCs w:val="22"/>
        </w:rPr>
        <w:t xml:space="preserve">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A21FFC">
        <w:rPr>
          <w:rFonts w:ascii="Palatino Linotype" w:eastAsia="Calibri" w:hAnsi="Palatino Linotype" w:cs="Tahoma"/>
          <w:b/>
          <w:bCs/>
          <w:sz w:val="22"/>
          <w:szCs w:val="22"/>
        </w:rPr>
        <w:t>0486</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w:t>
      </w:r>
      <w:r w:rsidR="001E7BB4">
        <w:rPr>
          <w:rFonts w:ascii="Palatino Linotype" w:eastAsia="Batang" w:hAnsi="Palatino Linotype" w:cs="Tahoma"/>
          <w:sz w:val="22"/>
          <w:szCs w:val="22"/>
        </w:rPr>
        <w:t>,</w:t>
      </w:r>
      <w:r w:rsidR="00D22825" w:rsidRPr="00C938B6">
        <w:rPr>
          <w:rFonts w:ascii="Palatino Linotype" w:eastAsia="Batang" w:hAnsi="Palatino Linotype" w:cs="Tahoma"/>
          <w:sz w:val="22"/>
          <w:szCs w:val="22"/>
        </w:rPr>
        <w:t xml:space="preserve">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7C67497D" w14:textId="785693C0" w:rsidR="00801872" w:rsidRPr="004C5F95"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DD6AD6">
        <w:rPr>
          <w:rFonts w:ascii="Palatino Linotype" w:eastAsia="Batang" w:hAnsi="Palatino Linotype" w:cs="Tahoma"/>
          <w:sz w:val="22"/>
          <w:szCs w:val="22"/>
          <w:lang w:val="es-ES_tradnl"/>
        </w:rPr>
        <w:t>ocho de febrero de</w:t>
      </w:r>
      <w:r w:rsidR="00D22825">
        <w:rPr>
          <w:rFonts w:ascii="Palatino Linotype" w:eastAsia="Batang" w:hAnsi="Palatino Linotype" w:cs="Tahoma"/>
          <w:sz w:val="22"/>
          <w:szCs w:val="22"/>
          <w:lang w:val="es-ES_tradnl"/>
        </w:rPr>
        <w:t xml:space="preserv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5BABFD31" w14:textId="7E736813" w:rsidR="00A26524" w:rsidRDefault="00801872" w:rsidP="00B94EE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lastRenderedPageBreak/>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A21FFC">
        <w:rPr>
          <w:rFonts w:ascii="Palatino Linotype" w:hAnsi="Palatino Linotype"/>
          <w:bCs/>
          <w:sz w:val="22"/>
          <w:szCs w:val="22"/>
          <w:lang w:val="es-ES_tradnl"/>
        </w:rPr>
        <w:t xml:space="preserve">en fecha quince </w:t>
      </w:r>
      <w:r w:rsidR="00DD6AD6">
        <w:rPr>
          <w:rFonts w:ascii="Palatino Linotype" w:hAnsi="Palatino Linotype"/>
          <w:bCs/>
          <w:sz w:val="22"/>
          <w:szCs w:val="22"/>
          <w:lang w:val="es-ES_tradnl"/>
        </w:rPr>
        <w:t xml:space="preserve">de febrero de dos mil veintidós rindió su informe justificado, al tenor de lo siguiente: </w:t>
      </w:r>
    </w:p>
    <w:p w14:paraId="1CF0E9A2" w14:textId="77777777" w:rsidR="00DD6AD6" w:rsidRDefault="00DD6AD6" w:rsidP="00B94EEB">
      <w:pPr>
        <w:widowControl w:val="0"/>
        <w:spacing w:line="360" w:lineRule="auto"/>
        <w:jc w:val="both"/>
        <w:rPr>
          <w:rFonts w:ascii="Palatino Linotype" w:hAnsi="Palatino Linotype"/>
          <w:bCs/>
          <w:sz w:val="22"/>
          <w:szCs w:val="22"/>
          <w:lang w:val="es-ES_tradnl"/>
        </w:rPr>
      </w:pPr>
    </w:p>
    <w:p w14:paraId="60B36C7B" w14:textId="32E8C339" w:rsidR="00DD6AD6" w:rsidRPr="00DD6AD6" w:rsidRDefault="00A21FFC" w:rsidP="00DD6AD6">
      <w:pPr>
        <w:widowControl w:val="0"/>
        <w:spacing w:line="360" w:lineRule="auto"/>
        <w:ind w:left="567" w:right="539"/>
        <w:jc w:val="both"/>
        <w:rPr>
          <w:rFonts w:ascii="Palatino Linotype" w:hAnsi="Palatino Linotype" w:cs="Arial"/>
          <w:bCs/>
          <w:i/>
          <w:iCs/>
          <w:lang w:val="es-ES_tradnl"/>
        </w:rPr>
      </w:pPr>
      <w:r>
        <w:rPr>
          <w:rFonts w:ascii="Palatino Linotype" w:hAnsi="Palatino Linotype"/>
          <w:b/>
          <w:bCs/>
          <w:sz w:val="22"/>
          <w:szCs w:val="22"/>
          <w:lang w:val="es-ES_tradnl"/>
        </w:rPr>
        <w:t>RESPUESTA SAIMEX 0008.pdf</w:t>
      </w:r>
      <w:r w:rsidR="00DD6AD6">
        <w:rPr>
          <w:rFonts w:ascii="Palatino Linotype" w:hAnsi="Palatino Linotype"/>
          <w:b/>
          <w:bCs/>
          <w:sz w:val="22"/>
          <w:szCs w:val="22"/>
          <w:lang w:val="es-ES_tradnl"/>
        </w:rPr>
        <w:t xml:space="preserve">. </w:t>
      </w:r>
      <w:r>
        <w:rPr>
          <w:rFonts w:ascii="Palatino Linotype" w:hAnsi="Palatino Linotype"/>
          <w:bCs/>
          <w:sz w:val="22"/>
          <w:szCs w:val="22"/>
          <w:lang w:val="es-ES_tradnl"/>
        </w:rPr>
        <w:t xml:space="preserve">Oficio de fecha catorce de febrero de dos mil veintidós, signado por el Coordinador de Movilidad de Villa del Carbón, en el que refiere que para ocupar el cargo de coordinador de movilidad no es necesario presentar un Currículum Vitae, por lo cual estos archivos no obran en la coordinación de movilidad.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7A1563DF" w14:textId="02D7FFFB"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017C2F">
        <w:rPr>
          <w:rFonts w:ascii="Palatino Linotype" w:hAnsi="Palatino Linotype" w:cs="Tahoma"/>
          <w:sz w:val="22"/>
          <w:szCs w:val="22"/>
        </w:rPr>
        <w:t>siete de marzo de</w:t>
      </w:r>
      <w:r w:rsidR="00DD6AD6">
        <w:rPr>
          <w:rFonts w:ascii="Palatino Linotype" w:hAnsi="Palatino Linotype" w:cs="Tahoma"/>
          <w:sz w:val="22"/>
          <w:szCs w:val="22"/>
        </w:rPr>
        <w:t xml:space="preserve"> </w:t>
      </w:r>
      <w:r w:rsidR="00A26524">
        <w:rPr>
          <w:rFonts w:ascii="Palatino Linotype" w:hAnsi="Palatino Linotype" w:cs="Tahoma"/>
          <w:sz w:val="22"/>
          <w:szCs w:val="22"/>
        </w:rPr>
        <w:t>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65B52C73" w14:textId="77777777" w:rsidR="00DD6AD6" w:rsidRDefault="00DD6AD6" w:rsidP="005B031E">
      <w:pPr>
        <w:spacing w:line="360" w:lineRule="auto"/>
        <w:jc w:val="both"/>
        <w:rPr>
          <w:rFonts w:ascii="Palatino Linotype" w:hAnsi="Palatino Linotype" w:cs="Tahoma"/>
          <w:sz w:val="22"/>
          <w:szCs w:val="22"/>
        </w:rPr>
      </w:pPr>
    </w:p>
    <w:p w14:paraId="3278182A" w14:textId="7A1A61AB"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789A4FDE" w14:textId="77777777" w:rsidR="005F389E" w:rsidRDefault="005F389E" w:rsidP="005B031E">
      <w:pPr>
        <w:spacing w:line="360" w:lineRule="auto"/>
        <w:jc w:val="both"/>
        <w:rPr>
          <w:rFonts w:ascii="Palatino Linotype" w:hAnsi="Palatino Linotype" w:cs="Tahoma"/>
          <w:color w:val="000000"/>
          <w:sz w:val="22"/>
          <w:szCs w:val="22"/>
        </w:rPr>
      </w:pPr>
    </w:p>
    <w:p w14:paraId="5140970D" w14:textId="515CB71A"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 xml:space="preserve">C O N S I D E R A N D O </w:t>
      </w:r>
      <w:r w:rsidR="00EB3FEC" w:rsidRPr="00C938B6">
        <w:rPr>
          <w:rFonts w:ascii="Palatino Linotype" w:hAnsi="Palatino Linotype" w:cs="Tahoma"/>
          <w:b/>
          <w:sz w:val="22"/>
          <w:szCs w:val="22"/>
        </w:rPr>
        <w:t>S</w:t>
      </w:r>
      <w:r w:rsidR="00EB3FEC">
        <w:rPr>
          <w:rFonts w:ascii="Palatino Linotype" w:hAnsi="Palatino Linotype" w:cs="Tahoma"/>
          <w:b/>
          <w:sz w:val="22"/>
          <w:szCs w:val="22"/>
        </w:rPr>
        <w:t>:</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DA5F0DC"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5A803D51" w14:textId="2ECFFD7B" w:rsidR="005A67B9" w:rsidRPr="001B04D6"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38E2661E" w14:textId="77777777" w:rsidR="00EB3FEC" w:rsidRDefault="00EB3FEC" w:rsidP="005B031E">
      <w:pPr>
        <w:shd w:val="clear" w:color="auto" w:fill="FFFFFF"/>
        <w:spacing w:line="360" w:lineRule="auto"/>
        <w:jc w:val="both"/>
        <w:rPr>
          <w:rFonts w:ascii="Palatino Linotype" w:hAnsi="Palatino Linotype"/>
          <w:b/>
          <w:bCs/>
          <w:color w:val="000000"/>
          <w:sz w:val="22"/>
          <w:szCs w:val="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66668A">
        <w:rPr>
          <w:rFonts w:ascii="Palatino Linotype" w:hAnsi="Palatino Linotype" w:cs="Tahoma"/>
          <w:bCs/>
          <w:color w:val="000000"/>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2463D0CA" w14:textId="40FFACBE" w:rsidR="0066668A" w:rsidRPr="00017C2F"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Asimismo, se actualiza </w:t>
      </w:r>
      <w:r w:rsidR="00017C2F">
        <w:rPr>
          <w:rFonts w:ascii="Palatino Linotype" w:hAnsi="Palatino Linotype" w:cs="Tahoma"/>
          <w:bCs/>
          <w:color w:val="000000"/>
          <w:sz w:val="22"/>
          <w:szCs w:val="22"/>
        </w:rPr>
        <w:t xml:space="preserve">la </w:t>
      </w:r>
      <w:r w:rsidR="00DD6AD6">
        <w:rPr>
          <w:rFonts w:ascii="Palatino Linotype" w:hAnsi="Palatino Linotype" w:cs="Tahoma"/>
          <w:bCs/>
          <w:color w:val="000000"/>
          <w:sz w:val="22"/>
          <w:szCs w:val="22"/>
        </w:rPr>
        <w:t>causal</w:t>
      </w:r>
      <w:r w:rsidRPr="0066668A">
        <w:rPr>
          <w:rFonts w:ascii="Palatino Linotype" w:hAnsi="Palatino Linotype" w:cs="Tahoma"/>
          <w:bCs/>
          <w:color w:val="000000"/>
          <w:sz w:val="22"/>
          <w:szCs w:val="22"/>
        </w:rPr>
        <w:t xml:space="preserve"> de procedencia d</w:t>
      </w:r>
      <w:r w:rsidR="00DD6AD6">
        <w:rPr>
          <w:rFonts w:ascii="Palatino Linotype" w:hAnsi="Palatino Linotype" w:cs="Tahoma"/>
          <w:bCs/>
          <w:color w:val="000000"/>
          <w:sz w:val="22"/>
          <w:szCs w:val="22"/>
        </w:rPr>
        <w:t>el Recurso de Revisión señalada</w:t>
      </w:r>
      <w:r w:rsidRPr="0066668A">
        <w:rPr>
          <w:rFonts w:ascii="Palatino Linotype" w:hAnsi="Palatino Linotype" w:cs="Tahoma"/>
          <w:bCs/>
          <w:color w:val="000000"/>
          <w:sz w:val="22"/>
          <w:szCs w:val="22"/>
        </w:rPr>
        <w:t xml:space="preserve"> en el artículo 179, </w:t>
      </w:r>
      <w:r w:rsidR="00017C2F">
        <w:rPr>
          <w:rFonts w:ascii="Palatino Linotype" w:hAnsi="Palatino Linotype" w:cs="Tahoma"/>
          <w:bCs/>
          <w:color w:val="000000"/>
          <w:sz w:val="22"/>
          <w:szCs w:val="22"/>
        </w:rPr>
        <w:t>fracción I</w:t>
      </w:r>
      <w:r w:rsidRPr="0066668A">
        <w:rPr>
          <w:rFonts w:ascii="Palatino Linotype" w:hAnsi="Palatino Linotype" w:cs="Tahoma"/>
          <w:bCs/>
          <w:color w:val="000000"/>
          <w:sz w:val="22"/>
          <w:szCs w:val="22"/>
        </w:rPr>
        <w:t xml:space="preserve">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porque el Sujeto Obligado no hizo entrega</w:t>
      </w:r>
      <w:r w:rsidR="00017C2F">
        <w:rPr>
          <w:rFonts w:ascii="Palatino Linotype" w:hAnsi="Palatino Linotype" w:cs="Tahoma"/>
          <w:bCs/>
          <w:color w:val="000000"/>
          <w:sz w:val="22"/>
          <w:szCs w:val="22"/>
          <w:lang w:val="es-ES"/>
        </w:rPr>
        <w:t xml:space="preserve"> de la información. </w:t>
      </w:r>
      <w:r>
        <w:rPr>
          <w:rFonts w:ascii="Palatino Linotype" w:hAnsi="Palatino Linotype" w:cs="Tahoma"/>
          <w:bCs/>
          <w:color w:val="000000"/>
          <w:sz w:val="22"/>
          <w:szCs w:val="22"/>
          <w:lang w:val="es-ES"/>
        </w:rPr>
        <w:t xml:space="preserve"> </w:t>
      </w:r>
    </w:p>
    <w:p w14:paraId="695D3772" w14:textId="77777777" w:rsidR="00EB3FEC" w:rsidRPr="0066668A" w:rsidRDefault="00EB3FEC" w:rsidP="0066668A">
      <w:pPr>
        <w:spacing w:line="360" w:lineRule="auto"/>
        <w:jc w:val="both"/>
        <w:rPr>
          <w:rFonts w:ascii="Palatino Linotype" w:hAnsi="Palatino Linotype" w:cs="Tahoma"/>
          <w:bCs/>
          <w:color w:val="000000"/>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C938B6">
        <w:rPr>
          <w:rFonts w:ascii="Palatino Linotype" w:hAnsi="Palatino Linotype" w:cs="Tahoma"/>
          <w:sz w:val="22"/>
          <w:szCs w:val="24"/>
        </w:rPr>
        <w:lastRenderedPageBreak/>
        <w:t>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764CDDE1" w14:textId="77777777" w:rsidR="0066668A" w:rsidRPr="003066DC" w:rsidRDefault="0066668A" w:rsidP="003066DC">
      <w:pPr>
        <w:spacing w:line="360" w:lineRule="auto"/>
        <w:jc w:val="both"/>
        <w:rPr>
          <w:rFonts w:ascii="Palatino Linotype" w:hAnsi="Palatino Linotype" w:cs="Tahoma"/>
          <w:bCs/>
          <w:color w:val="0D0D0D" w:themeColor="text1" w:themeTint="F2"/>
          <w:sz w:val="22"/>
          <w:szCs w:val="22"/>
        </w:rPr>
      </w:pPr>
    </w:p>
    <w:p w14:paraId="48A4CBC0" w14:textId="490A235C" w:rsidR="00801872" w:rsidRDefault="00801872" w:rsidP="00DD6AD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B92C666" w14:textId="77777777" w:rsidR="00017C2F" w:rsidRPr="00DD6AD6" w:rsidRDefault="00017C2F" w:rsidP="00DD6AD6">
      <w:pPr>
        <w:spacing w:line="360" w:lineRule="auto"/>
        <w:jc w:val="both"/>
        <w:rPr>
          <w:rFonts w:ascii="Palatino Linotype" w:hAnsi="Palatino Linotype" w:cs="Tahoma"/>
          <w:b/>
          <w:bCs/>
          <w:iCs/>
          <w:sz w:val="22"/>
          <w:szCs w:val="22"/>
          <w:lang w:val="es-ES"/>
        </w:rPr>
      </w:pPr>
    </w:p>
    <w:p w14:paraId="5C70264B" w14:textId="52DB92C2" w:rsidR="005567AB"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F52FB0">
        <w:rPr>
          <w:rFonts w:ascii="Palatino Linotype" w:eastAsia="Calibri" w:hAnsi="Palatino Linotype" w:cs="Tahoma"/>
          <w:color w:val="000000"/>
          <w:lang w:val="es-ES" w:eastAsia="es-MX"/>
        </w:rPr>
        <w:t xml:space="preserve"> </w:t>
      </w:r>
      <w:r w:rsidR="005567AB">
        <w:rPr>
          <w:rFonts w:ascii="Palatino Linotype" w:eastAsia="Calibri" w:hAnsi="Palatino Linotype" w:cs="Tahoma"/>
          <w:color w:val="000000"/>
          <w:lang w:val="es-ES" w:eastAsia="es-MX"/>
        </w:rPr>
        <w:t xml:space="preserve">lo siguiente: </w:t>
      </w:r>
    </w:p>
    <w:p w14:paraId="4C99FFC2" w14:textId="77777777" w:rsidR="005567AB" w:rsidRDefault="005567AB" w:rsidP="00E346C4">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528A3A0E" w14:textId="77777777" w:rsidR="00017C2F" w:rsidRPr="00017C2F" w:rsidRDefault="00017C2F" w:rsidP="00017C2F">
      <w:pPr>
        <w:adjustRightInd w:val="0"/>
        <w:spacing w:line="360" w:lineRule="auto"/>
        <w:ind w:right="539"/>
        <w:jc w:val="both"/>
        <w:rPr>
          <w:rFonts w:ascii="Palatino Linotype" w:eastAsia="Calibri" w:hAnsi="Palatino Linotype" w:cs="Tahoma"/>
          <w:bCs/>
          <w:iCs/>
          <w:color w:val="000000"/>
          <w:sz w:val="22"/>
          <w:szCs w:val="24"/>
          <w:lang w:eastAsia="es-MX"/>
        </w:rPr>
      </w:pPr>
      <w:r w:rsidRPr="00017C2F">
        <w:rPr>
          <w:rFonts w:ascii="Palatino Linotype" w:eastAsia="Calibri" w:hAnsi="Palatino Linotype" w:cs="Tahoma"/>
          <w:bCs/>
          <w:iCs/>
          <w:color w:val="000000"/>
          <w:sz w:val="22"/>
          <w:szCs w:val="24"/>
          <w:lang w:eastAsia="es-MX"/>
        </w:rPr>
        <w:t xml:space="preserve">De la Administración Municipal de Villa del Carbón 2022-2024: </w:t>
      </w:r>
    </w:p>
    <w:p w14:paraId="1BE1FB56" w14:textId="77777777" w:rsidR="00017C2F" w:rsidRPr="00017C2F" w:rsidRDefault="00017C2F" w:rsidP="00017C2F">
      <w:pPr>
        <w:adjustRightInd w:val="0"/>
        <w:spacing w:line="360" w:lineRule="auto"/>
        <w:ind w:right="539"/>
        <w:jc w:val="both"/>
        <w:rPr>
          <w:rFonts w:ascii="Palatino Linotype" w:eastAsia="Calibri" w:hAnsi="Palatino Linotype" w:cs="Tahoma"/>
          <w:bCs/>
          <w:iCs/>
          <w:color w:val="000000"/>
          <w:sz w:val="22"/>
          <w:szCs w:val="24"/>
          <w:lang w:eastAsia="es-MX"/>
        </w:rPr>
      </w:pPr>
    </w:p>
    <w:p w14:paraId="4773DA53" w14:textId="77777777" w:rsidR="00017C2F" w:rsidRPr="00017C2F" w:rsidRDefault="00017C2F" w:rsidP="00017C2F">
      <w:pPr>
        <w:numPr>
          <w:ilvl w:val="0"/>
          <w:numId w:val="28"/>
        </w:numPr>
        <w:adjustRightInd w:val="0"/>
        <w:spacing w:line="360" w:lineRule="auto"/>
        <w:ind w:left="993" w:right="539"/>
        <w:jc w:val="both"/>
        <w:rPr>
          <w:rFonts w:ascii="Palatino Linotype" w:eastAsia="Calibri" w:hAnsi="Palatino Linotype" w:cs="Tahoma"/>
          <w:bCs/>
          <w:iCs/>
          <w:color w:val="000000"/>
          <w:sz w:val="22"/>
          <w:szCs w:val="24"/>
          <w:lang w:eastAsia="es-MX"/>
        </w:rPr>
      </w:pPr>
      <w:r w:rsidRPr="00017C2F">
        <w:rPr>
          <w:rFonts w:ascii="Palatino Linotype" w:eastAsia="Calibri" w:hAnsi="Palatino Linotype" w:cs="Tahoma"/>
          <w:bCs/>
          <w:iCs/>
          <w:color w:val="000000"/>
          <w:sz w:val="22"/>
          <w:szCs w:val="24"/>
          <w:lang w:eastAsia="es-MX"/>
        </w:rPr>
        <w:t xml:space="preserve">Currículum del Coordinador de Movilidad </w:t>
      </w:r>
    </w:p>
    <w:p w14:paraId="428B71F3" w14:textId="77777777" w:rsidR="00017C2F" w:rsidRPr="00017C2F" w:rsidRDefault="00017C2F" w:rsidP="00017C2F">
      <w:pPr>
        <w:numPr>
          <w:ilvl w:val="0"/>
          <w:numId w:val="28"/>
        </w:numPr>
        <w:adjustRightInd w:val="0"/>
        <w:spacing w:line="360" w:lineRule="auto"/>
        <w:ind w:left="993" w:right="539"/>
        <w:jc w:val="both"/>
        <w:rPr>
          <w:rFonts w:ascii="Palatino Linotype" w:eastAsia="Calibri" w:hAnsi="Palatino Linotype" w:cs="Tahoma"/>
          <w:bCs/>
          <w:iCs/>
          <w:color w:val="000000"/>
          <w:sz w:val="22"/>
          <w:szCs w:val="24"/>
          <w:lang w:eastAsia="es-MX"/>
        </w:rPr>
      </w:pPr>
      <w:r w:rsidRPr="00017C2F">
        <w:rPr>
          <w:rFonts w:ascii="Palatino Linotype" w:eastAsia="Calibri" w:hAnsi="Palatino Linotype" w:cs="Tahoma"/>
          <w:bCs/>
          <w:iCs/>
          <w:color w:val="000000"/>
          <w:sz w:val="22"/>
          <w:szCs w:val="24"/>
          <w:lang w:eastAsia="es-MX"/>
        </w:rPr>
        <w:t>Plan de Trabajo de la Coordinación de Movilidad</w:t>
      </w:r>
    </w:p>
    <w:p w14:paraId="4F89FFF4" w14:textId="0567E618" w:rsidR="00EB3FEC" w:rsidRPr="00017C2F" w:rsidRDefault="00017C2F" w:rsidP="00017C2F">
      <w:pPr>
        <w:numPr>
          <w:ilvl w:val="0"/>
          <w:numId w:val="28"/>
        </w:numPr>
        <w:adjustRightInd w:val="0"/>
        <w:spacing w:line="360" w:lineRule="auto"/>
        <w:ind w:left="993" w:right="539"/>
        <w:jc w:val="both"/>
        <w:rPr>
          <w:rFonts w:ascii="Palatino Linotype" w:eastAsia="Calibri" w:hAnsi="Palatino Linotype" w:cs="Tahoma"/>
          <w:bCs/>
          <w:iCs/>
          <w:color w:val="000000"/>
          <w:sz w:val="22"/>
          <w:szCs w:val="24"/>
          <w:lang w:eastAsia="es-MX"/>
        </w:rPr>
      </w:pPr>
      <w:r w:rsidRPr="00017C2F">
        <w:rPr>
          <w:rFonts w:ascii="Palatino Linotype" w:eastAsia="Calibri" w:hAnsi="Palatino Linotype" w:cs="Tahoma"/>
          <w:bCs/>
          <w:iCs/>
          <w:color w:val="000000"/>
          <w:sz w:val="22"/>
          <w:szCs w:val="24"/>
          <w:lang w:eastAsia="es-MX"/>
        </w:rPr>
        <w:t>Suel</w:t>
      </w:r>
      <w:r>
        <w:rPr>
          <w:rFonts w:ascii="Palatino Linotype" w:eastAsia="Calibri" w:hAnsi="Palatino Linotype" w:cs="Tahoma"/>
          <w:bCs/>
          <w:iCs/>
          <w:color w:val="000000"/>
          <w:sz w:val="22"/>
          <w:szCs w:val="24"/>
          <w:lang w:eastAsia="es-MX"/>
        </w:rPr>
        <w:t xml:space="preserve">do del Coordinador de Movilidad y; </w:t>
      </w:r>
    </w:p>
    <w:p w14:paraId="7C2D1C76" w14:textId="7DF2E162" w:rsidR="00EB3FEC" w:rsidRPr="00017C2F" w:rsidRDefault="00017C2F" w:rsidP="00017C2F">
      <w:pPr>
        <w:numPr>
          <w:ilvl w:val="0"/>
          <w:numId w:val="28"/>
        </w:numPr>
        <w:adjustRightInd w:val="0"/>
        <w:spacing w:line="360" w:lineRule="auto"/>
        <w:ind w:left="993" w:right="539"/>
        <w:jc w:val="both"/>
        <w:rPr>
          <w:rFonts w:ascii="Palatino Linotype" w:eastAsia="Calibri" w:hAnsi="Palatino Linotype" w:cs="Tahoma"/>
          <w:bCs/>
          <w:iCs/>
          <w:color w:val="000000"/>
          <w:sz w:val="22"/>
          <w:szCs w:val="24"/>
          <w:lang w:eastAsia="es-MX"/>
        </w:rPr>
      </w:pPr>
      <w:r w:rsidRPr="00017C2F">
        <w:rPr>
          <w:rFonts w:ascii="Palatino Linotype" w:eastAsia="Calibri" w:hAnsi="Palatino Linotype" w:cs="Tahoma"/>
          <w:bCs/>
          <w:iCs/>
          <w:color w:val="000000"/>
          <w:sz w:val="22"/>
          <w:szCs w:val="24"/>
          <w:lang w:eastAsia="es-MX"/>
        </w:rPr>
        <w:t>Manual de Procedimientos de la Coordinación</w:t>
      </w:r>
      <w:r>
        <w:rPr>
          <w:rFonts w:ascii="Palatino Linotype" w:eastAsia="Calibri" w:hAnsi="Palatino Linotype" w:cs="Tahoma"/>
          <w:bCs/>
          <w:iCs/>
          <w:color w:val="000000"/>
          <w:sz w:val="22"/>
          <w:szCs w:val="24"/>
          <w:lang w:eastAsia="es-MX"/>
        </w:rPr>
        <w:t xml:space="preserve"> de Movilidad para el año 2022. </w:t>
      </w:r>
    </w:p>
    <w:p w14:paraId="1AA9E9B3" w14:textId="77777777" w:rsidR="00D70982" w:rsidRDefault="00D70982" w:rsidP="00D70982">
      <w:pPr>
        <w:adjustRightInd w:val="0"/>
        <w:spacing w:line="360" w:lineRule="auto"/>
        <w:ind w:right="539"/>
        <w:jc w:val="both"/>
        <w:rPr>
          <w:rFonts w:ascii="Palatino Linotype" w:eastAsia="Calibri" w:hAnsi="Palatino Linotype" w:cs="Tahoma"/>
          <w:color w:val="000000"/>
          <w:lang w:val="es-ES" w:eastAsia="es-MX"/>
        </w:rPr>
      </w:pPr>
    </w:p>
    <w:p w14:paraId="434D7F4F" w14:textId="1FB9CC3F" w:rsidR="00E562F2" w:rsidRDefault="00DE7266"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En respu</w:t>
      </w:r>
      <w:r w:rsidR="00017C2F">
        <w:rPr>
          <w:rFonts w:ascii="Palatino Linotype" w:eastAsia="Calibri" w:hAnsi="Palatino Linotype" w:cs="Tahoma"/>
          <w:color w:val="000000"/>
          <w:sz w:val="22"/>
          <w:szCs w:val="22"/>
          <w:lang w:val="es-ES" w:eastAsia="es-MX"/>
        </w:rPr>
        <w:t>esta, el Sujeto Obligado señaló mediante la Coordinación de Movilidad que no se cuenta con Currículum, ya que la ley no requiere de perfil para este cargo como servidor público, asimismo, señaló que el Plan de Trabajo y el Manual de Procedimientos se encuentran en proceso de elaboración, ya que aún no han sido aprobados, finalmente, entregó el Manual de Procedimientos del periodo 2019-2021, en acto posterior</w:t>
      </w:r>
      <w:r w:rsidR="00287F11">
        <w:rPr>
          <w:rFonts w:ascii="Palatino Linotype" w:eastAsia="Calibri" w:hAnsi="Palatino Linotype" w:cs="Tahoma"/>
          <w:color w:val="000000"/>
          <w:sz w:val="22"/>
          <w:szCs w:val="22"/>
          <w:lang w:val="es-ES" w:eastAsia="es-MX"/>
        </w:rPr>
        <w:t xml:space="preserve">, el Particular se inconformó </w:t>
      </w:r>
      <w:r w:rsidR="00017C2F">
        <w:rPr>
          <w:rFonts w:ascii="Palatino Linotype" w:eastAsia="Calibri" w:hAnsi="Palatino Linotype" w:cs="Tahoma"/>
          <w:color w:val="000000"/>
          <w:sz w:val="22"/>
          <w:szCs w:val="22"/>
          <w:lang w:val="es-ES" w:eastAsia="es-MX"/>
        </w:rPr>
        <w:t>porque no se le entregó el Currículum Vitae del servidor p</w:t>
      </w:r>
      <w:r w:rsidR="00692FF4">
        <w:rPr>
          <w:rFonts w:ascii="Palatino Linotype" w:eastAsia="Calibri" w:hAnsi="Palatino Linotype" w:cs="Tahoma"/>
          <w:color w:val="000000"/>
          <w:sz w:val="22"/>
          <w:szCs w:val="22"/>
          <w:lang w:val="es-ES" w:eastAsia="es-MX"/>
        </w:rPr>
        <w:t>úblico</w:t>
      </w:r>
      <w:r w:rsidR="00287F11">
        <w:rPr>
          <w:rFonts w:ascii="Palatino Linotype" w:eastAsia="Calibri" w:hAnsi="Palatino Linotype" w:cs="Tahoma"/>
          <w:color w:val="000000"/>
          <w:sz w:val="22"/>
          <w:szCs w:val="22"/>
          <w:lang w:val="es-ES" w:eastAsia="es-MX"/>
        </w:rPr>
        <w:t>; lo que actualiza la causal previst</w:t>
      </w:r>
      <w:r w:rsidR="00692FF4">
        <w:rPr>
          <w:rFonts w:ascii="Palatino Linotype" w:eastAsia="Calibri" w:hAnsi="Palatino Linotype" w:cs="Tahoma"/>
          <w:color w:val="000000"/>
          <w:sz w:val="22"/>
          <w:szCs w:val="22"/>
          <w:lang w:val="es-ES" w:eastAsia="es-MX"/>
        </w:rPr>
        <w:t xml:space="preserve">a </w:t>
      </w:r>
      <w:r w:rsidR="00692FF4">
        <w:rPr>
          <w:rFonts w:ascii="Palatino Linotype" w:eastAsia="Calibri" w:hAnsi="Palatino Linotype" w:cs="Tahoma"/>
          <w:color w:val="000000"/>
          <w:sz w:val="22"/>
          <w:szCs w:val="22"/>
          <w:lang w:val="es-ES" w:eastAsia="es-MX"/>
        </w:rPr>
        <w:lastRenderedPageBreak/>
        <w:t>en el artículo 179, fracción I</w:t>
      </w:r>
      <w:r w:rsidR="00287F11">
        <w:rPr>
          <w:rFonts w:ascii="Palatino Linotype" w:eastAsia="Calibri" w:hAnsi="Palatino Linotype" w:cs="Tahoma"/>
          <w:color w:val="000000"/>
          <w:sz w:val="22"/>
          <w:szCs w:val="22"/>
          <w:lang w:val="es-ES" w:eastAsia="es-MX"/>
        </w:rPr>
        <w:t xml:space="preserve"> de la Ley de Transparencia y Acceso a la Información Pública del Estado de México y Municipios.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61E47E95" w14:textId="34E1990C" w:rsidR="00876622" w:rsidRPr="00876622" w:rsidRDefault="00876622" w:rsidP="00876622">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w:t>
      </w:r>
      <w:r w:rsidR="00287F11">
        <w:rPr>
          <w:rFonts w:ascii="Palatino Linotype" w:eastAsia="Calibri" w:hAnsi="Palatino Linotype" w:cs="Tahoma"/>
          <w:bCs/>
          <w:iCs/>
          <w:color w:val="000000"/>
          <w:sz w:val="22"/>
          <w:szCs w:val="24"/>
          <w:lang w:val="es-ES" w:eastAsia="es-MX"/>
        </w:rPr>
        <w:t xml:space="preserve"> el Particular no realizó manifestaciones, por su parte, el Sujeto Obligado median</w:t>
      </w:r>
      <w:r w:rsidR="00692FF4">
        <w:rPr>
          <w:rFonts w:ascii="Palatino Linotype" w:eastAsia="Calibri" w:hAnsi="Palatino Linotype" w:cs="Tahoma"/>
          <w:bCs/>
          <w:iCs/>
          <w:color w:val="000000"/>
          <w:sz w:val="22"/>
          <w:szCs w:val="24"/>
          <w:lang w:val="es-ES" w:eastAsia="es-MX"/>
        </w:rPr>
        <w:t xml:space="preserve">te informe justificado, refirió a través del Coordinador de Movilidad que el Currículum Vitae no era necesario ser presentado para ocupar el cargo público, por lo que, no obra en los archivos de la unidad administrativa. </w:t>
      </w:r>
    </w:p>
    <w:p w14:paraId="6E0949F6" w14:textId="77777777" w:rsidR="00A27BAD" w:rsidRDefault="00A27BAD" w:rsidP="005B031E">
      <w:pPr>
        <w:spacing w:line="360" w:lineRule="auto"/>
        <w:jc w:val="both"/>
        <w:rPr>
          <w:rFonts w:ascii="Palatino Linotype" w:eastAsia="Calibri" w:hAnsi="Palatino Linotype" w:cs="Tahoma"/>
          <w:bCs/>
          <w:iCs/>
          <w:color w:val="000000"/>
          <w:sz w:val="22"/>
          <w:szCs w:val="24"/>
          <w:lang w:val="es-ES" w:eastAsia="es-MX"/>
        </w:rPr>
      </w:pPr>
    </w:p>
    <w:p w14:paraId="7FD9EE96" w14:textId="470CAA95" w:rsidR="00F9696F" w:rsidRDefault="00575188" w:rsidP="005B031E">
      <w:pPr>
        <w:spacing w:line="360" w:lineRule="auto"/>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recursal; instrumentales que se toman en cuenta a efecto de resolver el presente medio de impugnación, conforme a los dispuesto por el artículo 185, fracción IV, de la Ley de Transparencia y Acceso a la Información Pública del Estado de México y Municipios. </w:t>
      </w:r>
    </w:p>
    <w:p w14:paraId="12D65B8D" w14:textId="77777777" w:rsidR="00F9696F" w:rsidRDefault="00F9696F"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D3C059" w14:textId="77777777" w:rsidR="009A0CB6" w:rsidRPr="007A73E5" w:rsidRDefault="009A0CB6" w:rsidP="00AE588C">
      <w:pPr>
        <w:spacing w:line="360" w:lineRule="auto"/>
        <w:jc w:val="both"/>
        <w:rPr>
          <w:rFonts w:ascii="Palatino Linotype" w:hAnsi="Palatino Linotype" w:cs="Tahoma"/>
          <w:bCs/>
          <w:iCs/>
          <w:sz w:val="22"/>
          <w:szCs w:val="22"/>
        </w:rPr>
      </w:pPr>
    </w:p>
    <w:p w14:paraId="670A07C6" w14:textId="3480C719"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4DCEBFFF" w14:textId="2C1E10FB" w:rsidR="00AC16B9" w:rsidRDefault="00003B49"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Para proceder al estudio de este punto,</w:t>
      </w:r>
      <w:r w:rsidR="00692FF4">
        <w:rPr>
          <w:rFonts w:ascii="Palatino Linotype" w:hAnsi="Palatino Linotype" w:cs="Tahoma"/>
          <w:bCs/>
          <w:iCs/>
          <w:sz w:val="22"/>
          <w:szCs w:val="22"/>
        </w:rPr>
        <w:t xml:space="preserve"> resulta necesario recordar la información que fue solicitada por el Recurrente, la cual consiste en el Currículum Vitae y suel</w:t>
      </w:r>
      <w:r w:rsidR="00EB3FEC">
        <w:rPr>
          <w:rFonts w:ascii="Palatino Linotype" w:hAnsi="Palatino Linotype" w:cs="Tahoma"/>
          <w:bCs/>
          <w:iCs/>
          <w:sz w:val="22"/>
          <w:szCs w:val="22"/>
        </w:rPr>
        <w:t xml:space="preserve">do del Coordinador </w:t>
      </w:r>
      <w:r w:rsidR="00EB3FEC">
        <w:rPr>
          <w:rFonts w:ascii="Palatino Linotype" w:hAnsi="Palatino Linotype" w:cs="Tahoma"/>
          <w:bCs/>
          <w:iCs/>
          <w:sz w:val="22"/>
          <w:szCs w:val="22"/>
        </w:rPr>
        <w:lastRenderedPageBreak/>
        <w:t>de Movilidad;</w:t>
      </w:r>
      <w:r w:rsidR="00692FF4">
        <w:rPr>
          <w:rFonts w:ascii="Palatino Linotype" w:hAnsi="Palatino Linotype" w:cs="Tahoma"/>
          <w:bCs/>
          <w:iCs/>
          <w:sz w:val="22"/>
          <w:szCs w:val="22"/>
        </w:rPr>
        <w:t xml:space="preserve"> y el Plan de Trabajo y el Manual de Procedimientos de la Coordinación de Movilidad. </w:t>
      </w:r>
    </w:p>
    <w:p w14:paraId="576F8C42" w14:textId="77777777" w:rsidR="00692FF4" w:rsidRDefault="00692FF4" w:rsidP="004A2A45">
      <w:pPr>
        <w:spacing w:line="360" w:lineRule="auto"/>
        <w:jc w:val="both"/>
        <w:rPr>
          <w:rFonts w:ascii="Palatino Linotype" w:hAnsi="Palatino Linotype" w:cs="Tahoma"/>
          <w:bCs/>
          <w:iCs/>
          <w:sz w:val="22"/>
          <w:szCs w:val="22"/>
        </w:rPr>
      </w:pPr>
    </w:p>
    <w:p w14:paraId="2BB89F6D" w14:textId="026746C8" w:rsidR="00C10302" w:rsidRDefault="00692FF4"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dicho esto, es indispensable contextualizar </w:t>
      </w:r>
      <w:r w:rsidR="00003B49">
        <w:rPr>
          <w:rFonts w:ascii="Palatino Linotype" w:hAnsi="Palatino Linotype" w:cs="Tahoma"/>
          <w:bCs/>
          <w:iCs/>
          <w:sz w:val="22"/>
          <w:szCs w:val="22"/>
        </w:rPr>
        <w:t>la información solicitada</w:t>
      </w:r>
      <w:r>
        <w:rPr>
          <w:rFonts w:ascii="Palatino Linotype" w:hAnsi="Palatino Linotype" w:cs="Tahoma"/>
          <w:bCs/>
          <w:iCs/>
          <w:sz w:val="22"/>
          <w:szCs w:val="22"/>
        </w:rPr>
        <w:t>, p</w:t>
      </w:r>
      <w:r w:rsidR="00C10302">
        <w:rPr>
          <w:rFonts w:ascii="Palatino Linotype" w:hAnsi="Palatino Linotype" w:cs="Tahoma"/>
          <w:bCs/>
          <w:iCs/>
          <w:sz w:val="22"/>
          <w:szCs w:val="22"/>
        </w:rPr>
        <w:t xml:space="preserve">ara ello, la Ley de Movilidad del Estado de México, establece que </w:t>
      </w:r>
      <w:r w:rsidR="00EB7AE3">
        <w:rPr>
          <w:rFonts w:ascii="Palatino Linotype" w:hAnsi="Palatino Linotype" w:cs="Tahoma"/>
          <w:bCs/>
          <w:iCs/>
          <w:sz w:val="22"/>
          <w:szCs w:val="22"/>
        </w:rPr>
        <w:t xml:space="preserve">las administraciones públicas en el Estado deberán observar </w:t>
      </w:r>
      <w:r w:rsidR="0061610F">
        <w:rPr>
          <w:rFonts w:ascii="Palatino Linotype" w:hAnsi="Palatino Linotype" w:cs="Tahoma"/>
          <w:bCs/>
          <w:iCs/>
          <w:sz w:val="22"/>
          <w:szCs w:val="22"/>
        </w:rPr>
        <w:t xml:space="preserve">esta </w:t>
      </w:r>
      <w:r w:rsidR="00EB7AE3">
        <w:rPr>
          <w:rFonts w:ascii="Palatino Linotype" w:hAnsi="Palatino Linotype" w:cs="Tahoma"/>
          <w:bCs/>
          <w:iCs/>
          <w:sz w:val="22"/>
          <w:szCs w:val="22"/>
        </w:rPr>
        <w:t>normatividad</w:t>
      </w:r>
      <w:r w:rsidR="0061610F">
        <w:rPr>
          <w:rFonts w:ascii="Palatino Linotype" w:hAnsi="Palatino Linotype" w:cs="Tahoma"/>
          <w:bCs/>
          <w:iCs/>
          <w:sz w:val="22"/>
          <w:szCs w:val="22"/>
        </w:rPr>
        <w:t xml:space="preserve"> con la finalidad de planear, regular, gestionar y fomentar la movilidad de las personas dentro del territorio, mediante </w:t>
      </w:r>
      <w:r w:rsidR="00FC351F">
        <w:rPr>
          <w:rFonts w:ascii="Palatino Linotype" w:hAnsi="Palatino Linotype" w:cs="Tahoma"/>
          <w:bCs/>
          <w:iCs/>
          <w:sz w:val="22"/>
          <w:szCs w:val="22"/>
        </w:rPr>
        <w:t xml:space="preserve">el reconocimiento de la movilidad como un derecho humano del que goza toda persona sin importar su condición, modo o modalidad de transporte. </w:t>
      </w:r>
    </w:p>
    <w:p w14:paraId="4F131ABB" w14:textId="2AF55AFE" w:rsidR="002F7785" w:rsidRDefault="002F7785" w:rsidP="004A2A45">
      <w:pPr>
        <w:spacing w:line="360" w:lineRule="auto"/>
        <w:jc w:val="both"/>
        <w:rPr>
          <w:rFonts w:ascii="Palatino Linotype" w:hAnsi="Palatino Linotype" w:cs="Tahoma"/>
          <w:bCs/>
          <w:iCs/>
          <w:sz w:val="22"/>
          <w:szCs w:val="22"/>
        </w:rPr>
      </w:pPr>
    </w:p>
    <w:p w14:paraId="21B091B3" w14:textId="3B7026DC" w:rsidR="002F7785" w:rsidRDefault="002F7785"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Del mismo modo, la Ley en comento, establece en su artículo 8</w:t>
      </w:r>
      <w:r w:rsidR="001E7BB4">
        <w:rPr>
          <w:rFonts w:ascii="Palatino Linotype" w:hAnsi="Palatino Linotype" w:cs="Tahoma"/>
          <w:bCs/>
          <w:iCs/>
          <w:sz w:val="22"/>
          <w:szCs w:val="22"/>
        </w:rPr>
        <w:t>°</w:t>
      </w:r>
      <w:r>
        <w:rPr>
          <w:rFonts w:ascii="Palatino Linotype" w:hAnsi="Palatino Linotype" w:cs="Tahoma"/>
          <w:bCs/>
          <w:iCs/>
          <w:sz w:val="22"/>
          <w:szCs w:val="22"/>
        </w:rPr>
        <w:t xml:space="preserve"> que los municipios deberán realizar las funciones y prestar los servicios públicos que le corresponden, así como que participarán de manera coordinada con las autoridades en materia de movilidad, en la aplicación de la Ley, cuando sus disposiciones afecten o tengan incidencia en su ámbito territorial. </w:t>
      </w:r>
    </w:p>
    <w:p w14:paraId="0C62A05B" w14:textId="77777777" w:rsidR="00C10302" w:rsidRDefault="00C10302" w:rsidP="004A2A45">
      <w:pPr>
        <w:spacing w:line="360" w:lineRule="auto"/>
        <w:jc w:val="both"/>
        <w:rPr>
          <w:rFonts w:ascii="Palatino Linotype" w:hAnsi="Palatino Linotype" w:cs="Tahoma"/>
          <w:bCs/>
          <w:iCs/>
          <w:sz w:val="22"/>
          <w:szCs w:val="22"/>
        </w:rPr>
      </w:pPr>
    </w:p>
    <w:p w14:paraId="17AD33AB" w14:textId="2EE966A7" w:rsidR="00652AA1" w:rsidRDefault="00757FD0"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otro lado, </w:t>
      </w:r>
      <w:r w:rsidR="001E7BB4">
        <w:rPr>
          <w:rFonts w:ascii="Palatino Linotype" w:hAnsi="Palatino Linotype" w:cs="Tahoma"/>
          <w:bCs/>
          <w:iCs/>
          <w:sz w:val="22"/>
          <w:szCs w:val="22"/>
        </w:rPr>
        <w:t>este</w:t>
      </w:r>
      <w:r w:rsidR="00692FF4">
        <w:rPr>
          <w:rFonts w:ascii="Palatino Linotype" w:hAnsi="Palatino Linotype" w:cs="Tahoma"/>
          <w:bCs/>
          <w:iCs/>
          <w:sz w:val="22"/>
          <w:szCs w:val="22"/>
        </w:rPr>
        <w:t xml:space="preserve"> </w:t>
      </w:r>
      <w:r w:rsidR="001E7BB4">
        <w:rPr>
          <w:rFonts w:ascii="Palatino Linotype" w:hAnsi="Palatino Linotype" w:cs="Tahoma"/>
          <w:bCs/>
          <w:iCs/>
          <w:sz w:val="22"/>
          <w:szCs w:val="22"/>
        </w:rPr>
        <w:t>Organismo Garante</w:t>
      </w:r>
      <w:r w:rsidR="00692FF4">
        <w:rPr>
          <w:rFonts w:ascii="Palatino Linotype" w:hAnsi="Palatino Linotype" w:cs="Tahoma"/>
          <w:bCs/>
          <w:iCs/>
          <w:sz w:val="22"/>
          <w:szCs w:val="22"/>
        </w:rPr>
        <w:t xml:space="preserve"> realiz</w:t>
      </w:r>
      <w:r w:rsidR="001E7BB4">
        <w:rPr>
          <w:rFonts w:ascii="Palatino Linotype" w:hAnsi="Palatino Linotype" w:cs="Tahoma"/>
          <w:bCs/>
          <w:iCs/>
          <w:sz w:val="22"/>
          <w:szCs w:val="22"/>
        </w:rPr>
        <w:t>ó</w:t>
      </w:r>
      <w:r w:rsidR="00692FF4">
        <w:rPr>
          <w:rFonts w:ascii="Palatino Linotype" w:hAnsi="Palatino Linotype" w:cs="Tahoma"/>
          <w:bCs/>
          <w:iCs/>
          <w:sz w:val="22"/>
          <w:szCs w:val="22"/>
        </w:rPr>
        <w:t xml:space="preserve"> una búsqueda </w:t>
      </w:r>
      <w:r w:rsidR="00003B49">
        <w:rPr>
          <w:rFonts w:ascii="Palatino Linotype" w:hAnsi="Palatino Linotype" w:cs="Tahoma"/>
          <w:bCs/>
          <w:iCs/>
          <w:sz w:val="22"/>
          <w:szCs w:val="22"/>
        </w:rPr>
        <w:t>en el Portal de Información Pública de Oficio Mexiquense (Ipomex) del Ayuntamiento de Villa del Carbón, con la finalidad de estudiar las atribuciones, facult</w:t>
      </w:r>
      <w:r w:rsidR="00652AA1">
        <w:rPr>
          <w:rFonts w:ascii="Palatino Linotype" w:hAnsi="Palatino Linotype" w:cs="Tahoma"/>
          <w:bCs/>
          <w:iCs/>
          <w:sz w:val="22"/>
          <w:szCs w:val="22"/>
        </w:rPr>
        <w:t>ad</w:t>
      </w:r>
      <w:r w:rsidR="00003B49">
        <w:rPr>
          <w:rFonts w:ascii="Palatino Linotype" w:hAnsi="Palatino Linotype" w:cs="Tahoma"/>
          <w:bCs/>
          <w:iCs/>
          <w:sz w:val="22"/>
          <w:szCs w:val="22"/>
        </w:rPr>
        <w:t xml:space="preserve">es y competencias de este </w:t>
      </w:r>
      <w:r w:rsidR="00EB3FEC">
        <w:rPr>
          <w:rFonts w:ascii="Palatino Linotype" w:hAnsi="Palatino Linotype" w:cs="Tahoma"/>
          <w:bCs/>
          <w:iCs/>
          <w:sz w:val="22"/>
          <w:szCs w:val="22"/>
        </w:rPr>
        <w:t>E</w:t>
      </w:r>
      <w:r w:rsidR="00003B49">
        <w:rPr>
          <w:rFonts w:ascii="Palatino Linotype" w:hAnsi="Palatino Linotype" w:cs="Tahoma"/>
          <w:bCs/>
          <w:iCs/>
          <w:sz w:val="22"/>
          <w:szCs w:val="22"/>
        </w:rPr>
        <w:t xml:space="preserve">nte, </w:t>
      </w:r>
      <w:r w:rsidR="00652AA1">
        <w:rPr>
          <w:rFonts w:ascii="Palatino Linotype" w:hAnsi="Palatino Linotype" w:cs="Tahoma"/>
          <w:bCs/>
          <w:iCs/>
          <w:sz w:val="22"/>
          <w:szCs w:val="22"/>
        </w:rPr>
        <w:t xml:space="preserve">por lo que, </w:t>
      </w:r>
      <w:r w:rsidR="00003B49">
        <w:rPr>
          <w:rFonts w:ascii="Palatino Linotype" w:hAnsi="Palatino Linotype" w:cs="Tahoma"/>
          <w:bCs/>
          <w:iCs/>
          <w:sz w:val="22"/>
          <w:szCs w:val="22"/>
        </w:rPr>
        <w:t xml:space="preserve">de la búsqueda efectuada, se obtuvo que la información que se encuentra publicada en la </w:t>
      </w:r>
      <w:r w:rsidR="00652AA1">
        <w:rPr>
          <w:rFonts w:ascii="Palatino Linotype" w:hAnsi="Palatino Linotype" w:cs="Tahoma"/>
          <w:bCs/>
          <w:iCs/>
          <w:sz w:val="22"/>
          <w:szCs w:val="22"/>
        </w:rPr>
        <w:t>P</w:t>
      </w:r>
      <w:r w:rsidR="00003B49">
        <w:rPr>
          <w:rFonts w:ascii="Palatino Linotype" w:hAnsi="Palatino Linotype" w:cs="Tahoma"/>
          <w:bCs/>
          <w:iCs/>
          <w:sz w:val="22"/>
          <w:szCs w:val="22"/>
        </w:rPr>
        <w:t>lataforma</w:t>
      </w:r>
      <w:r w:rsidR="00652AA1">
        <w:rPr>
          <w:rFonts w:ascii="Palatino Linotype" w:hAnsi="Palatino Linotype" w:cs="Tahoma"/>
          <w:bCs/>
          <w:iCs/>
          <w:sz w:val="22"/>
          <w:szCs w:val="22"/>
        </w:rPr>
        <w:t xml:space="preserve"> de Ipomex,</w:t>
      </w:r>
      <w:r w:rsidR="00003B49">
        <w:rPr>
          <w:rFonts w:ascii="Palatino Linotype" w:hAnsi="Palatino Linotype" w:cs="Tahoma"/>
          <w:bCs/>
          <w:iCs/>
          <w:sz w:val="22"/>
          <w:szCs w:val="22"/>
        </w:rPr>
        <w:t xml:space="preserve"> no está actualizada y no existen registros de su actual normatividad en </w:t>
      </w:r>
      <w:r w:rsidR="00930C20">
        <w:rPr>
          <w:rFonts w:ascii="Palatino Linotype" w:hAnsi="Palatino Linotype" w:cs="Tahoma"/>
          <w:bCs/>
          <w:iCs/>
          <w:sz w:val="22"/>
          <w:szCs w:val="22"/>
        </w:rPr>
        <w:t xml:space="preserve">demás </w:t>
      </w:r>
      <w:r w:rsidR="00003B49">
        <w:rPr>
          <w:rFonts w:ascii="Palatino Linotype" w:hAnsi="Palatino Linotype" w:cs="Tahoma"/>
          <w:bCs/>
          <w:iCs/>
          <w:sz w:val="22"/>
          <w:szCs w:val="22"/>
        </w:rPr>
        <w:t xml:space="preserve">sitios de </w:t>
      </w:r>
      <w:r w:rsidR="00104021">
        <w:rPr>
          <w:rFonts w:ascii="Palatino Linotype" w:hAnsi="Palatino Linotype" w:cs="Tahoma"/>
          <w:bCs/>
          <w:iCs/>
          <w:sz w:val="22"/>
          <w:szCs w:val="22"/>
        </w:rPr>
        <w:t>I</w:t>
      </w:r>
      <w:r w:rsidR="00003B49">
        <w:rPr>
          <w:rFonts w:ascii="Palatino Linotype" w:hAnsi="Palatino Linotype" w:cs="Tahoma"/>
          <w:bCs/>
          <w:iCs/>
          <w:sz w:val="22"/>
          <w:szCs w:val="22"/>
        </w:rPr>
        <w:t>nternet, situación que nos permite traer a colación los artículos 75, 76</w:t>
      </w:r>
      <w:r w:rsidR="009E0109">
        <w:rPr>
          <w:rFonts w:ascii="Palatino Linotype" w:hAnsi="Palatino Linotype" w:cs="Tahoma"/>
          <w:bCs/>
          <w:iCs/>
          <w:sz w:val="22"/>
          <w:szCs w:val="22"/>
        </w:rPr>
        <w:t xml:space="preserve">, 77 y 78 </w:t>
      </w:r>
      <w:r w:rsidR="00D941C4">
        <w:rPr>
          <w:rFonts w:ascii="Palatino Linotype" w:hAnsi="Palatino Linotype" w:cs="Tahoma"/>
          <w:bCs/>
          <w:iCs/>
          <w:sz w:val="22"/>
          <w:szCs w:val="22"/>
        </w:rPr>
        <w:t xml:space="preserve">de la Ley de Transparencia y Acceso a la Información Pública del Estado de México y Municipios, los cuales establecen lo siguiente: </w:t>
      </w:r>
    </w:p>
    <w:p w14:paraId="43998AE4" w14:textId="74722BAF" w:rsidR="00D941C4" w:rsidRDefault="00D941C4" w:rsidP="004A2A45">
      <w:pPr>
        <w:spacing w:line="360" w:lineRule="auto"/>
        <w:jc w:val="both"/>
        <w:rPr>
          <w:rFonts w:ascii="Palatino Linotype" w:hAnsi="Palatino Linotype" w:cs="Tahoma"/>
          <w:bCs/>
          <w:iCs/>
          <w:sz w:val="22"/>
          <w:szCs w:val="22"/>
        </w:rPr>
      </w:pPr>
    </w:p>
    <w:p w14:paraId="5B02D720" w14:textId="6AEDF944" w:rsidR="00D941C4" w:rsidRDefault="00D941C4" w:rsidP="00C04196">
      <w:pPr>
        <w:spacing w:line="360" w:lineRule="auto"/>
        <w:ind w:left="567"/>
        <w:jc w:val="both"/>
        <w:rPr>
          <w:rFonts w:ascii="Palatino Linotype" w:hAnsi="Palatino Linotype" w:cs="Tahoma"/>
          <w:bCs/>
          <w:iCs/>
          <w:sz w:val="22"/>
          <w:szCs w:val="22"/>
        </w:rPr>
      </w:pPr>
      <w:r w:rsidRPr="00757FD0">
        <w:rPr>
          <w:rFonts w:ascii="Palatino Linotype" w:hAnsi="Palatino Linotype" w:cs="Tahoma"/>
          <w:b/>
          <w:iCs/>
          <w:sz w:val="22"/>
          <w:szCs w:val="22"/>
        </w:rPr>
        <w:lastRenderedPageBreak/>
        <w:t xml:space="preserve">Artículo 75: </w:t>
      </w:r>
      <w:r w:rsidR="00104021">
        <w:rPr>
          <w:rFonts w:ascii="Palatino Linotype" w:hAnsi="Palatino Linotype" w:cs="Tahoma"/>
          <w:bCs/>
          <w:iCs/>
          <w:sz w:val="22"/>
          <w:szCs w:val="22"/>
        </w:rPr>
        <w:t xml:space="preserve">Es obligación de los sujetos obligados el poner a disposición de los particulares la información relativa a la ley, a través de sus sitios de Internet </w:t>
      </w:r>
      <w:r w:rsidR="00930C20">
        <w:rPr>
          <w:rFonts w:ascii="Palatino Linotype" w:hAnsi="Palatino Linotype" w:cs="Tahoma"/>
          <w:bCs/>
          <w:iCs/>
          <w:sz w:val="22"/>
          <w:szCs w:val="22"/>
        </w:rPr>
        <w:t xml:space="preserve">y de la Plataforma Nacional. </w:t>
      </w:r>
    </w:p>
    <w:p w14:paraId="46809353" w14:textId="4DA0A71A" w:rsidR="00930C20" w:rsidRDefault="00930C20" w:rsidP="00C04196">
      <w:pPr>
        <w:spacing w:line="360" w:lineRule="auto"/>
        <w:ind w:left="567"/>
        <w:jc w:val="both"/>
        <w:rPr>
          <w:rFonts w:ascii="Palatino Linotype" w:hAnsi="Palatino Linotype" w:cs="Tahoma"/>
          <w:bCs/>
          <w:iCs/>
          <w:sz w:val="22"/>
          <w:szCs w:val="22"/>
        </w:rPr>
      </w:pPr>
    </w:p>
    <w:p w14:paraId="27376305" w14:textId="76C667A1" w:rsidR="00930C20" w:rsidRDefault="00930C20" w:rsidP="00C04196">
      <w:pPr>
        <w:spacing w:line="360" w:lineRule="auto"/>
        <w:ind w:left="567"/>
        <w:jc w:val="both"/>
        <w:rPr>
          <w:rFonts w:ascii="Palatino Linotype" w:hAnsi="Palatino Linotype" w:cs="Tahoma"/>
          <w:bCs/>
          <w:iCs/>
          <w:sz w:val="22"/>
          <w:szCs w:val="22"/>
        </w:rPr>
      </w:pPr>
      <w:r w:rsidRPr="00757FD0">
        <w:rPr>
          <w:rFonts w:ascii="Palatino Linotype" w:hAnsi="Palatino Linotype" w:cs="Tahoma"/>
          <w:b/>
          <w:iCs/>
          <w:sz w:val="22"/>
          <w:szCs w:val="22"/>
        </w:rPr>
        <w:t>Artículo 76:</w:t>
      </w:r>
      <w:r>
        <w:rPr>
          <w:rFonts w:ascii="Palatino Linotype" w:hAnsi="Palatino Linotype" w:cs="Tahoma"/>
          <w:bCs/>
          <w:iCs/>
          <w:sz w:val="22"/>
          <w:szCs w:val="22"/>
        </w:rPr>
        <w:t xml:space="preserve"> La publicación de la información derivada de las obligaciones de transparencia establecidas en la Ley, deberá realizarse conforme a los criterios establecidos en la misma, además deberán de observarse los lineamientos técnicos que emita el Sistema Nacional </w:t>
      </w:r>
      <w:r w:rsidR="00C04196">
        <w:rPr>
          <w:rFonts w:ascii="Palatino Linotype" w:hAnsi="Palatino Linotype" w:cs="Tahoma"/>
          <w:bCs/>
          <w:iCs/>
          <w:sz w:val="22"/>
          <w:szCs w:val="22"/>
        </w:rPr>
        <w:t xml:space="preserve">respecto a los formatos de publicación de la información para asegurar que esta sea veraz, confiable, oportuna, congruente, integral, actualizada, accesible, comprensible y verificable. </w:t>
      </w:r>
    </w:p>
    <w:p w14:paraId="34828506" w14:textId="0E3602A3" w:rsidR="008B3943" w:rsidRDefault="008B3943" w:rsidP="00C04196">
      <w:pPr>
        <w:spacing w:line="360" w:lineRule="auto"/>
        <w:ind w:left="567"/>
        <w:jc w:val="both"/>
        <w:rPr>
          <w:rFonts w:ascii="Palatino Linotype" w:hAnsi="Palatino Linotype" w:cs="Tahoma"/>
          <w:bCs/>
          <w:iCs/>
          <w:sz w:val="22"/>
          <w:szCs w:val="22"/>
        </w:rPr>
      </w:pPr>
    </w:p>
    <w:p w14:paraId="490FD752" w14:textId="5A458634" w:rsidR="008B3943" w:rsidRDefault="008B3943" w:rsidP="00C04196">
      <w:pPr>
        <w:spacing w:line="360" w:lineRule="auto"/>
        <w:ind w:left="567"/>
        <w:jc w:val="both"/>
        <w:rPr>
          <w:rFonts w:ascii="Palatino Linotype" w:hAnsi="Palatino Linotype" w:cs="Tahoma"/>
          <w:bCs/>
          <w:iCs/>
          <w:sz w:val="22"/>
          <w:szCs w:val="22"/>
        </w:rPr>
      </w:pPr>
      <w:r>
        <w:rPr>
          <w:rFonts w:ascii="Palatino Linotype" w:hAnsi="Palatino Linotype" w:cs="Tahoma"/>
          <w:b/>
          <w:iCs/>
          <w:sz w:val="22"/>
          <w:szCs w:val="22"/>
        </w:rPr>
        <w:t xml:space="preserve">Artículo 77: </w:t>
      </w:r>
      <w:r>
        <w:rPr>
          <w:rFonts w:ascii="Palatino Linotype" w:hAnsi="Palatino Linotype" w:cs="Tahoma"/>
          <w:bCs/>
          <w:iCs/>
          <w:sz w:val="22"/>
          <w:szCs w:val="22"/>
        </w:rPr>
        <w:t xml:space="preserve">La información </w:t>
      </w:r>
      <w:r>
        <w:rPr>
          <w:rFonts w:ascii="Palatino Linotype" w:hAnsi="Palatino Linotype" w:cs="Tahoma"/>
          <w:b/>
          <w:iCs/>
          <w:sz w:val="22"/>
          <w:szCs w:val="22"/>
        </w:rPr>
        <w:t>correspondiente a las obligaciones de transparencia deberá actualizarse por lo menos cada tres meses</w:t>
      </w:r>
      <w:r>
        <w:rPr>
          <w:rFonts w:ascii="Palatino Linotype" w:hAnsi="Palatino Linotype" w:cs="Tahoma"/>
          <w:bCs/>
          <w:iCs/>
          <w:sz w:val="22"/>
          <w:szCs w:val="22"/>
        </w:rPr>
        <w:t xml:space="preserve">, salvo que en la presente Ley o en otra disposición normativa se establezca un plazo diverso. </w:t>
      </w:r>
    </w:p>
    <w:p w14:paraId="383A5354" w14:textId="309BA092" w:rsidR="001824F1" w:rsidRDefault="001824F1" w:rsidP="00C04196">
      <w:pPr>
        <w:spacing w:line="360" w:lineRule="auto"/>
        <w:ind w:left="567"/>
        <w:jc w:val="both"/>
        <w:rPr>
          <w:rFonts w:ascii="Palatino Linotype" w:hAnsi="Palatino Linotype" w:cs="Tahoma"/>
          <w:bCs/>
          <w:iCs/>
          <w:sz w:val="22"/>
          <w:szCs w:val="22"/>
        </w:rPr>
      </w:pPr>
    </w:p>
    <w:p w14:paraId="5B90FA36" w14:textId="05C35DA1" w:rsidR="001824F1" w:rsidRDefault="001824F1" w:rsidP="001824F1">
      <w:pPr>
        <w:spacing w:line="360" w:lineRule="auto"/>
        <w:ind w:left="567"/>
        <w:jc w:val="both"/>
        <w:rPr>
          <w:rFonts w:ascii="Palatino Linotype" w:hAnsi="Palatino Linotype" w:cs="Tahoma"/>
          <w:bCs/>
          <w:iCs/>
          <w:sz w:val="22"/>
          <w:szCs w:val="22"/>
        </w:rPr>
      </w:pPr>
      <w:r>
        <w:rPr>
          <w:rFonts w:ascii="Palatino Linotype" w:hAnsi="Palatino Linotype" w:cs="Tahoma"/>
          <w:b/>
          <w:iCs/>
          <w:sz w:val="22"/>
          <w:szCs w:val="22"/>
        </w:rPr>
        <w:t xml:space="preserve">Artículo 78: </w:t>
      </w:r>
      <w:r>
        <w:rPr>
          <w:rFonts w:ascii="Palatino Linotype" w:hAnsi="Palatino Linotype" w:cs="Tahoma"/>
          <w:bCs/>
          <w:iCs/>
          <w:sz w:val="22"/>
          <w:szCs w:val="22"/>
        </w:rPr>
        <w:t xml:space="preserve">El Instituto, de oficio o a petición de los particulares, verificarán el cumplimiento que los sujetos obligados den a las disposiciones previstas en la Ley y demás disposiciones aplicables. </w:t>
      </w:r>
    </w:p>
    <w:p w14:paraId="32EB8FB4" w14:textId="77777777" w:rsidR="00757FD0" w:rsidRDefault="00757FD0" w:rsidP="001824F1">
      <w:pPr>
        <w:spacing w:line="360" w:lineRule="auto"/>
        <w:ind w:left="567"/>
        <w:jc w:val="both"/>
        <w:rPr>
          <w:rFonts w:ascii="Palatino Linotype" w:hAnsi="Palatino Linotype" w:cs="Tahoma"/>
          <w:bCs/>
          <w:iCs/>
          <w:sz w:val="22"/>
          <w:szCs w:val="22"/>
        </w:rPr>
      </w:pPr>
    </w:p>
    <w:p w14:paraId="7FCA729F" w14:textId="1FF74DA4" w:rsidR="001824F1" w:rsidRDefault="001824F1" w:rsidP="001824F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los preceptos normativos señalados, se tiene que</w:t>
      </w:r>
      <w:r w:rsidR="000478D2">
        <w:rPr>
          <w:rFonts w:ascii="Palatino Linotype" w:hAnsi="Palatino Linotype" w:cs="Tahoma"/>
          <w:bCs/>
          <w:iCs/>
          <w:sz w:val="22"/>
          <w:szCs w:val="22"/>
        </w:rPr>
        <w:t xml:space="preserve"> los sujetos obligados deberán poner a disposición de los particulares información derivada de las obligaciones de transparencia a través de sus sitios de Internet y de la Plataforma electrónica, </w:t>
      </w:r>
      <w:r w:rsidR="00D158DB">
        <w:rPr>
          <w:rFonts w:ascii="Palatino Linotype" w:hAnsi="Palatino Linotype" w:cs="Tahoma"/>
          <w:bCs/>
          <w:iCs/>
          <w:sz w:val="22"/>
          <w:szCs w:val="22"/>
        </w:rPr>
        <w:t>la cual debe ser actualizada conforme a los criterios establecidos por la Ley de la materia y los Lineamientos para la homologación de la información, por lo menos cada tres meses</w:t>
      </w:r>
      <w:r w:rsidR="0020467A">
        <w:rPr>
          <w:rFonts w:ascii="Palatino Linotype" w:hAnsi="Palatino Linotype" w:cs="Tahoma"/>
          <w:bCs/>
          <w:iCs/>
          <w:sz w:val="22"/>
          <w:szCs w:val="22"/>
        </w:rPr>
        <w:t xml:space="preserve">, por lo que, se insta al Ente Recurrido tenga a bien publicar y en su caso, actualizar la información relativa a la nueva </w:t>
      </w:r>
      <w:r w:rsidR="0020467A">
        <w:rPr>
          <w:rFonts w:ascii="Palatino Linotype" w:hAnsi="Palatino Linotype" w:cs="Tahoma"/>
          <w:bCs/>
          <w:iCs/>
          <w:sz w:val="22"/>
          <w:szCs w:val="22"/>
        </w:rPr>
        <w:lastRenderedPageBreak/>
        <w:t>administración</w:t>
      </w:r>
      <w:r w:rsidR="00B45CC3">
        <w:rPr>
          <w:rFonts w:ascii="Palatino Linotype" w:hAnsi="Palatino Linotype" w:cs="Tahoma"/>
          <w:bCs/>
          <w:iCs/>
          <w:sz w:val="22"/>
          <w:szCs w:val="22"/>
        </w:rPr>
        <w:t xml:space="preserve"> pública</w:t>
      </w:r>
      <w:r w:rsidR="0020467A">
        <w:rPr>
          <w:rFonts w:ascii="Palatino Linotype" w:hAnsi="Palatino Linotype" w:cs="Tahoma"/>
          <w:bCs/>
          <w:iCs/>
          <w:sz w:val="22"/>
          <w:szCs w:val="22"/>
        </w:rPr>
        <w:t xml:space="preserve"> municipal, </w:t>
      </w:r>
      <w:r w:rsidR="00B24993">
        <w:rPr>
          <w:rFonts w:ascii="Palatino Linotype" w:hAnsi="Palatino Linotype" w:cs="Tahoma"/>
          <w:bCs/>
          <w:iCs/>
          <w:sz w:val="22"/>
          <w:szCs w:val="22"/>
        </w:rPr>
        <w:t xml:space="preserve">con la finalidad de garantizar el correcto ejercicio del Derecho de Acceso a la Información Pública. </w:t>
      </w:r>
    </w:p>
    <w:p w14:paraId="4D263654" w14:textId="4DFF213C" w:rsidR="00B24993" w:rsidRDefault="00B24993" w:rsidP="001824F1">
      <w:pPr>
        <w:spacing w:line="360" w:lineRule="auto"/>
        <w:jc w:val="both"/>
        <w:rPr>
          <w:rFonts w:ascii="Palatino Linotype" w:hAnsi="Palatino Linotype" w:cs="Tahoma"/>
          <w:bCs/>
          <w:iCs/>
          <w:sz w:val="22"/>
          <w:szCs w:val="22"/>
        </w:rPr>
      </w:pPr>
    </w:p>
    <w:p w14:paraId="646452B6" w14:textId="139B0687" w:rsidR="00D47FCF" w:rsidRPr="001E7BB4" w:rsidRDefault="00B45CC3" w:rsidP="001824F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Precisado esto, para el estudio de las facultades, atribuciones y competencias del Sujeto Obligado, se tomará de referencia el Bando Municipal </w:t>
      </w:r>
      <w:r w:rsidR="005F411E">
        <w:rPr>
          <w:rFonts w:ascii="Palatino Linotype" w:hAnsi="Palatino Linotype" w:cs="Tahoma"/>
          <w:bCs/>
          <w:iCs/>
          <w:sz w:val="22"/>
          <w:szCs w:val="22"/>
        </w:rPr>
        <w:t>del periodo 2019-2021</w:t>
      </w:r>
      <w:r w:rsidR="00A33B1E">
        <w:rPr>
          <w:rFonts w:ascii="Palatino Linotype" w:hAnsi="Palatino Linotype" w:cs="Tahoma"/>
          <w:bCs/>
          <w:iCs/>
          <w:sz w:val="22"/>
          <w:szCs w:val="22"/>
        </w:rPr>
        <w:t xml:space="preserve">, el cual establece en su artículo 46 que el Gobierno Municipal en el ejercicio de sus atribuciones y para el despacho de los asuntos </w:t>
      </w:r>
      <w:r w:rsidR="00D47FCF">
        <w:rPr>
          <w:rFonts w:ascii="Palatino Linotype" w:hAnsi="Palatino Linotype" w:cs="Tahoma"/>
          <w:bCs/>
          <w:iCs/>
          <w:sz w:val="22"/>
          <w:szCs w:val="22"/>
        </w:rPr>
        <w:t xml:space="preserve">de orden administrativo, se auxiliará de diversas dependencias, entre ellas la Secretaría del Ayuntamiento, la </w:t>
      </w:r>
      <w:r w:rsidR="00EB3FEC">
        <w:rPr>
          <w:rFonts w:ascii="Palatino Linotype" w:hAnsi="Palatino Linotype" w:cs="Tahoma"/>
          <w:bCs/>
          <w:iCs/>
          <w:sz w:val="22"/>
          <w:szCs w:val="22"/>
        </w:rPr>
        <w:t>cual se integrará, entre otras, por</w:t>
      </w:r>
      <w:r w:rsidR="00D47FCF">
        <w:rPr>
          <w:rFonts w:ascii="Palatino Linotype" w:hAnsi="Palatino Linotype" w:cs="Tahoma"/>
          <w:bCs/>
          <w:iCs/>
          <w:sz w:val="22"/>
          <w:szCs w:val="22"/>
        </w:rPr>
        <w:t xml:space="preserve"> la </w:t>
      </w:r>
      <w:r w:rsidR="00D47FCF">
        <w:rPr>
          <w:rFonts w:ascii="Palatino Linotype" w:hAnsi="Palatino Linotype" w:cs="Tahoma"/>
          <w:b/>
          <w:iCs/>
          <w:sz w:val="22"/>
          <w:szCs w:val="22"/>
        </w:rPr>
        <w:t>Coordinación de Movilidad</w:t>
      </w:r>
      <w:r w:rsidR="001E7BB4">
        <w:rPr>
          <w:rFonts w:ascii="Palatino Linotype" w:hAnsi="Palatino Linotype" w:cs="Tahoma"/>
          <w:b/>
          <w:iCs/>
          <w:sz w:val="22"/>
          <w:szCs w:val="22"/>
        </w:rPr>
        <w:t xml:space="preserve">; </w:t>
      </w:r>
      <w:r w:rsidR="001E7BB4">
        <w:rPr>
          <w:rFonts w:ascii="Palatino Linotype" w:hAnsi="Palatino Linotype" w:cs="Tahoma"/>
          <w:bCs/>
          <w:iCs/>
          <w:sz w:val="22"/>
          <w:szCs w:val="22"/>
        </w:rPr>
        <w:t xml:space="preserve">esto en razón de que si bien, pueden estar en proceso de adecuación de su marco normativo e incluso de su estructura, el Ayuntamiento cuenta con la plaza de </w:t>
      </w:r>
      <w:r w:rsidR="001E7BB4">
        <w:rPr>
          <w:rFonts w:ascii="Palatino Linotype" w:hAnsi="Palatino Linotype" w:cs="Tahoma"/>
          <w:b/>
          <w:iCs/>
          <w:sz w:val="22"/>
          <w:szCs w:val="22"/>
        </w:rPr>
        <w:t>Coordinador de Movilidad.</w:t>
      </w:r>
    </w:p>
    <w:p w14:paraId="4F377271" w14:textId="77777777" w:rsidR="00E45522" w:rsidRDefault="00E45522" w:rsidP="001824F1">
      <w:pPr>
        <w:spacing w:line="360" w:lineRule="auto"/>
        <w:jc w:val="both"/>
        <w:rPr>
          <w:rFonts w:ascii="Palatino Linotype" w:hAnsi="Palatino Linotype" w:cs="Tahoma"/>
          <w:b/>
          <w:iCs/>
          <w:sz w:val="22"/>
          <w:szCs w:val="22"/>
        </w:rPr>
      </w:pPr>
    </w:p>
    <w:p w14:paraId="4FAAEA24" w14:textId="474C0A64" w:rsidR="00B24993" w:rsidRDefault="00E45522" w:rsidP="001824F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Asimismo, de acuerdo con el artículo 115 del Bando Municipal</w:t>
      </w:r>
      <w:r w:rsidR="001A4773">
        <w:rPr>
          <w:rFonts w:ascii="Palatino Linotype" w:hAnsi="Palatino Linotype" w:cs="Tahoma"/>
          <w:bCs/>
          <w:iCs/>
          <w:sz w:val="22"/>
          <w:szCs w:val="22"/>
        </w:rPr>
        <w:t>,</w:t>
      </w:r>
      <w:r w:rsidR="000B683B">
        <w:rPr>
          <w:rFonts w:ascii="Palatino Linotype" w:hAnsi="Palatino Linotype" w:cs="Tahoma"/>
          <w:bCs/>
          <w:iCs/>
          <w:sz w:val="22"/>
          <w:szCs w:val="22"/>
        </w:rPr>
        <w:t xml:space="preserve"> la Coordinación de Movilidad coadyuvará con la supervisión, operación y reordenamiento </w:t>
      </w:r>
      <w:r w:rsidR="00534193">
        <w:rPr>
          <w:rFonts w:ascii="Palatino Linotype" w:hAnsi="Palatino Linotype" w:cs="Tahoma"/>
          <w:bCs/>
          <w:iCs/>
          <w:sz w:val="22"/>
          <w:szCs w:val="22"/>
        </w:rPr>
        <w:t>del transporte público que estén asentados o circulen dentro del Municipio, así como la ejecución de programas relacionados con el transporte público</w:t>
      </w:r>
      <w:r w:rsidR="00AF039F">
        <w:rPr>
          <w:rFonts w:ascii="Palatino Linotype" w:hAnsi="Palatino Linotype" w:cs="Tahoma"/>
          <w:bCs/>
          <w:iCs/>
          <w:sz w:val="22"/>
          <w:szCs w:val="22"/>
        </w:rPr>
        <w:t xml:space="preserve">. </w:t>
      </w:r>
    </w:p>
    <w:p w14:paraId="33589782" w14:textId="41FB9BD1" w:rsidR="0002699B" w:rsidRDefault="0002699B" w:rsidP="001824F1">
      <w:pPr>
        <w:spacing w:line="360" w:lineRule="auto"/>
        <w:jc w:val="both"/>
        <w:rPr>
          <w:rFonts w:ascii="Palatino Linotype" w:hAnsi="Palatino Linotype" w:cs="Tahoma"/>
          <w:bCs/>
          <w:iCs/>
          <w:sz w:val="22"/>
          <w:szCs w:val="22"/>
        </w:rPr>
      </w:pPr>
    </w:p>
    <w:p w14:paraId="6C957BA9" w14:textId="6D4509E4" w:rsidR="00757FD0" w:rsidRDefault="00615B27" w:rsidP="001824F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los preceptos citados, se </w:t>
      </w:r>
      <w:r w:rsidR="00FB532A">
        <w:rPr>
          <w:rFonts w:ascii="Palatino Linotype" w:hAnsi="Palatino Linotype" w:cs="Tahoma"/>
          <w:bCs/>
          <w:iCs/>
          <w:sz w:val="22"/>
          <w:szCs w:val="22"/>
        </w:rPr>
        <w:t>colige</w:t>
      </w:r>
      <w:r>
        <w:rPr>
          <w:rFonts w:ascii="Palatino Linotype" w:hAnsi="Palatino Linotype" w:cs="Tahoma"/>
          <w:bCs/>
          <w:iCs/>
          <w:sz w:val="22"/>
          <w:szCs w:val="22"/>
        </w:rPr>
        <w:t xml:space="preserve"> que, </w:t>
      </w:r>
      <w:r w:rsidR="00CF7EBA">
        <w:rPr>
          <w:rFonts w:ascii="Palatino Linotype" w:hAnsi="Palatino Linotype" w:cs="Tahoma"/>
          <w:bCs/>
          <w:iCs/>
          <w:sz w:val="22"/>
          <w:szCs w:val="22"/>
        </w:rPr>
        <w:t>el derecho humano a la movilidad implica que el Gobierno Estatal y los municipios realicen un conjunto de acciones que procuren su debido ejercicio y contribuyan al desarrollo sustentable</w:t>
      </w:r>
      <w:r w:rsidR="00A37CA2">
        <w:rPr>
          <w:rFonts w:ascii="Palatino Linotype" w:hAnsi="Palatino Linotype" w:cs="Tahoma"/>
          <w:bCs/>
          <w:iCs/>
          <w:sz w:val="22"/>
          <w:szCs w:val="22"/>
        </w:rPr>
        <w:t>, ello a través de la planeación, regulación, gestión y fomento de la modalidad de las personas dentro del territorio</w:t>
      </w:r>
      <w:r w:rsidR="00C37E53">
        <w:rPr>
          <w:rFonts w:ascii="Palatino Linotype" w:hAnsi="Palatino Linotype" w:cs="Tahoma"/>
          <w:bCs/>
          <w:iCs/>
          <w:sz w:val="22"/>
          <w:szCs w:val="22"/>
        </w:rPr>
        <w:t xml:space="preserve">. En </w:t>
      </w:r>
      <w:r w:rsidR="00A10A90">
        <w:rPr>
          <w:rFonts w:ascii="Palatino Linotype" w:hAnsi="Palatino Linotype" w:cs="Tahoma"/>
          <w:bCs/>
          <w:iCs/>
          <w:sz w:val="22"/>
          <w:szCs w:val="22"/>
        </w:rPr>
        <w:t xml:space="preserve">el ámbito municipal, los municipios deberán realizar las funciones y prestar servicios que establezca la Ley de Movilidad y demás ordenamientos aplicables, por lo que, para el caso que nos ocupa, el Ayuntamiento de Villa del Carbón cuenta con una Coordinación de Movilidad, la cual </w:t>
      </w:r>
      <w:r w:rsidR="00C37E53">
        <w:rPr>
          <w:rFonts w:ascii="Palatino Linotype" w:hAnsi="Palatino Linotype" w:cs="Tahoma"/>
          <w:bCs/>
          <w:iCs/>
          <w:sz w:val="22"/>
          <w:szCs w:val="22"/>
        </w:rPr>
        <w:t>ejecutará los programas relacionados con el transporte público</w:t>
      </w:r>
      <w:r w:rsidR="002412A6">
        <w:rPr>
          <w:rFonts w:ascii="Palatino Linotype" w:hAnsi="Palatino Linotype" w:cs="Tahoma"/>
          <w:bCs/>
          <w:iCs/>
          <w:sz w:val="22"/>
          <w:szCs w:val="22"/>
        </w:rPr>
        <w:t>; esto además cobra relevancia porque se advierte que corresponde a mando medio o superior.</w:t>
      </w:r>
    </w:p>
    <w:p w14:paraId="355F664F" w14:textId="09B7980E" w:rsidR="00252638" w:rsidRPr="00EB3FEC" w:rsidRDefault="00C37E53" w:rsidP="001824F1">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lastRenderedPageBreak/>
        <w:t xml:space="preserve">Ahora bien, </w:t>
      </w:r>
      <w:r w:rsidR="00BB2047">
        <w:rPr>
          <w:rFonts w:ascii="Palatino Linotype" w:hAnsi="Palatino Linotype" w:cs="Tahoma"/>
          <w:bCs/>
          <w:iCs/>
          <w:sz w:val="22"/>
          <w:szCs w:val="22"/>
        </w:rPr>
        <w:t xml:space="preserve">establecido lo anterior y en atención a los agravios vertidos por el Solicitante en su Recurso de Revisión, se </w:t>
      </w:r>
      <w:r w:rsidR="00FB532A">
        <w:rPr>
          <w:rFonts w:ascii="Palatino Linotype" w:hAnsi="Palatino Linotype" w:cs="Tahoma"/>
          <w:bCs/>
          <w:iCs/>
          <w:sz w:val="22"/>
          <w:szCs w:val="22"/>
        </w:rPr>
        <w:t xml:space="preserve">tiene que </w:t>
      </w:r>
      <w:r w:rsidR="00A0237F">
        <w:rPr>
          <w:rFonts w:ascii="Palatino Linotype" w:hAnsi="Palatino Linotype" w:cs="Tahoma"/>
          <w:bCs/>
          <w:iCs/>
          <w:sz w:val="22"/>
          <w:szCs w:val="22"/>
        </w:rPr>
        <w:t xml:space="preserve">este se inconformó a la literalidad por lo siguiente: </w:t>
      </w:r>
      <w:r w:rsidR="00A0237F">
        <w:rPr>
          <w:rFonts w:ascii="Palatino Linotype" w:hAnsi="Palatino Linotype" w:cs="Tahoma"/>
          <w:bCs/>
          <w:i/>
          <w:sz w:val="22"/>
          <w:szCs w:val="22"/>
        </w:rPr>
        <w:t>“no se me esta otorgando el curriculum del servidor publico solicitado</w:t>
      </w:r>
      <w:r w:rsidR="00890BF6">
        <w:rPr>
          <w:rFonts w:ascii="Palatino Linotype" w:hAnsi="Palatino Linotype" w:cs="Tahoma"/>
          <w:bCs/>
          <w:i/>
          <w:sz w:val="22"/>
          <w:szCs w:val="22"/>
        </w:rPr>
        <w:t xml:space="preserve"> (…)” (sic)</w:t>
      </w:r>
      <w:r w:rsidR="00252638">
        <w:rPr>
          <w:rFonts w:ascii="Palatino Linotype" w:hAnsi="Palatino Linotype" w:cs="Tahoma"/>
          <w:bCs/>
          <w:iCs/>
          <w:sz w:val="22"/>
          <w:szCs w:val="22"/>
        </w:rPr>
        <w:t xml:space="preserve">, asimismo, no pasa desapercibido señalar que adjuntó un archivo que no puede ser visualizado, ya que no contiene </w:t>
      </w:r>
      <w:r w:rsidR="00EB3FEC">
        <w:rPr>
          <w:rFonts w:ascii="Palatino Linotype" w:hAnsi="Palatino Linotype" w:cs="Tahoma"/>
          <w:bCs/>
          <w:iCs/>
          <w:sz w:val="22"/>
          <w:szCs w:val="22"/>
        </w:rPr>
        <w:t xml:space="preserve">algún tipo de </w:t>
      </w:r>
      <w:r w:rsidR="00252638">
        <w:rPr>
          <w:rFonts w:ascii="Palatino Linotype" w:hAnsi="Palatino Linotype" w:cs="Tahoma"/>
          <w:bCs/>
          <w:iCs/>
          <w:sz w:val="22"/>
          <w:szCs w:val="22"/>
        </w:rPr>
        <w:t>extensión</w:t>
      </w:r>
      <w:r w:rsidR="00EB3FEC">
        <w:rPr>
          <w:rFonts w:ascii="Palatino Linotype" w:hAnsi="Palatino Linotype" w:cs="Tahoma"/>
          <w:bCs/>
          <w:iCs/>
          <w:sz w:val="22"/>
          <w:szCs w:val="22"/>
        </w:rPr>
        <w:t>, ya sea “</w:t>
      </w:r>
      <w:r w:rsidR="00252638">
        <w:rPr>
          <w:rFonts w:ascii="Palatino Linotype" w:hAnsi="Palatino Linotype" w:cs="Tahoma"/>
          <w:bCs/>
          <w:iCs/>
          <w:sz w:val="22"/>
          <w:szCs w:val="22"/>
        </w:rPr>
        <w:t>pdf, jpg, docx, xlsx o pptx</w:t>
      </w:r>
      <w:r w:rsidR="00EB3FEC">
        <w:rPr>
          <w:rFonts w:ascii="Palatino Linotype" w:hAnsi="Palatino Linotype" w:cs="Tahoma"/>
          <w:bCs/>
          <w:iCs/>
          <w:sz w:val="22"/>
          <w:szCs w:val="22"/>
        </w:rPr>
        <w:t>”</w:t>
      </w:r>
      <w:r w:rsidR="00252638">
        <w:rPr>
          <w:rFonts w:ascii="Palatino Linotype" w:hAnsi="Palatino Linotype" w:cs="Tahoma"/>
          <w:bCs/>
          <w:iCs/>
          <w:sz w:val="22"/>
          <w:szCs w:val="22"/>
        </w:rPr>
        <w:t xml:space="preserve">, por lo que, en este caso, el estudio de los agravios versará en aquellos que fueron vertidos en el </w:t>
      </w:r>
      <w:r w:rsidR="00252638" w:rsidRPr="00EB3FEC">
        <w:rPr>
          <w:rFonts w:ascii="Palatino Linotype" w:hAnsi="Palatino Linotype" w:cs="Tahoma"/>
          <w:b/>
          <w:bCs/>
          <w:iCs/>
          <w:sz w:val="22"/>
          <w:szCs w:val="22"/>
        </w:rPr>
        <w:t xml:space="preserve">formato de recurso de revisión. </w:t>
      </w:r>
    </w:p>
    <w:p w14:paraId="09C84FD7" w14:textId="77777777" w:rsidR="00252638" w:rsidRDefault="00252638" w:rsidP="001824F1">
      <w:pPr>
        <w:spacing w:line="360" w:lineRule="auto"/>
        <w:jc w:val="both"/>
        <w:rPr>
          <w:rFonts w:ascii="Palatino Linotype" w:hAnsi="Palatino Linotype" w:cs="Tahoma"/>
          <w:bCs/>
          <w:iCs/>
          <w:sz w:val="22"/>
          <w:szCs w:val="22"/>
        </w:rPr>
      </w:pPr>
    </w:p>
    <w:p w14:paraId="21C6A140" w14:textId="75ABE9DC" w:rsidR="0002699B" w:rsidRPr="00890BF6" w:rsidRDefault="00252638" w:rsidP="001824F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sentido, toda vez que el Recurrente se inconformó únicamente porque no se le proporcionó el currículum del servidor público, resulta necesario</w:t>
      </w:r>
      <w:r w:rsidR="00890BF6">
        <w:rPr>
          <w:rFonts w:ascii="Palatino Linotype" w:hAnsi="Palatino Linotype" w:cs="Tahoma"/>
          <w:bCs/>
          <w:iCs/>
          <w:sz w:val="22"/>
          <w:szCs w:val="22"/>
        </w:rPr>
        <w:t xml:space="preserve"> precisar que </w:t>
      </w:r>
      <w:r w:rsidR="00D0575F">
        <w:rPr>
          <w:rFonts w:ascii="Palatino Linotype" w:hAnsi="Palatino Linotype" w:cs="Tahoma"/>
          <w:bCs/>
          <w:iCs/>
          <w:sz w:val="22"/>
          <w:szCs w:val="22"/>
        </w:rPr>
        <w:t>cuando el solicitante no expresa razón o motivo de inconformidad en contra de todos los rubros de la respuesta, estos deben tenerse por ate</w:t>
      </w:r>
      <w:r w:rsidR="00845C87">
        <w:rPr>
          <w:rFonts w:ascii="Palatino Linotype" w:hAnsi="Palatino Linotype" w:cs="Tahoma"/>
          <w:bCs/>
          <w:iCs/>
          <w:sz w:val="22"/>
          <w:szCs w:val="22"/>
        </w:rPr>
        <w:t>ndidos, esto de conformidad con la Tesis Jurisprudencial Número 3ª./J.7/91 publicada en el Semanario Judicial de la Federación</w:t>
      </w:r>
      <w:r w:rsidR="00C87C7A">
        <w:rPr>
          <w:rFonts w:ascii="Palatino Linotype" w:hAnsi="Palatino Linotype" w:cs="Tahoma"/>
          <w:bCs/>
          <w:iCs/>
          <w:sz w:val="22"/>
          <w:szCs w:val="22"/>
        </w:rPr>
        <w:t xml:space="preserve"> que</w:t>
      </w:r>
      <w:r w:rsidR="006C3CB3">
        <w:rPr>
          <w:rFonts w:ascii="Palatino Linotype" w:hAnsi="Palatino Linotype" w:cs="Tahoma"/>
          <w:bCs/>
          <w:iCs/>
          <w:sz w:val="22"/>
          <w:szCs w:val="22"/>
        </w:rPr>
        <w:t xml:space="preserve"> por analogía,</w:t>
      </w:r>
      <w:r w:rsidR="00C87C7A">
        <w:rPr>
          <w:rFonts w:ascii="Palatino Linotype" w:hAnsi="Palatino Linotype" w:cs="Tahoma"/>
          <w:bCs/>
          <w:iCs/>
          <w:sz w:val="22"/>
          <w:szCs w:val="22"/>
        </w:rPr>
        <w:t xml:space="preserve"> </w:t>
      </w:r>
      <w:r w:rsidR="006663C7">
        <w:rPr>
          <w:rFonts w:ascii="Palatino Linotype" w:hAnsi="Palatino Linotype" w:cs="Tahoma"/>
          <w:bCs/>
          <w:iCs/>
          <w:sz w:val="22"/>
          <w:szCs w:val="22"/>
        </w:rPr>
        <w:t xml:space="preserve">establece lo siguiente: </w:t>
      </w:r>
    </w:p>
    <w:p w14:paraId="066A9C00" w14:textId="67DC89AC" w:rsidR="00AF039F" w:rsidRDefault="00AF039F" w:rsidP="001824F1">
      <w:pPr>
        <w:spacing w:line="360" w:lineRule="auto"/>
        <w:jc w:val="both"/>
        <w:rPr>
          <w:rFonts w:ascii="Palatino Linotype" w:hAnsi="Palatino Linotype" w:cs="Tahoma"/>
          <w:bCs/>
          <w:iCs/>
          <w:sz w:val="22"/>
          <w:szCs w:val="22"/>
        </w:rPr>
      </w:pPr>
    </w:p>
    <w:p w14:paraId="4C35E465" w14:textId="77777777" w:rsidR="00C87C7A" w:rsidRPr="00D922F3" w:rsidRDefault="00C87C7A" w:rsidP="00C87C7A">
      <w:pPr>
        <w:spacing w:line="360" w:lineRule="auto"/>
        <w:ind w:left="567" w:right="567"/>
        <w:jc w:val="both"/>
        <w:rPr>
          <w:rFonts w:ascii="Palatino Linotype" w:eastAsiaTheme="minorEastAsia" w:hAnsi="Palatino Linotype" w:cs="Arial"/>
          <w:i/>
          <w:lang w:eastAsia="es-MX"/>
        </w:rPr>
      </w:pPr>
      <w:r w:rsidRPr="00D922F3">
        <w:rPr>
          <w:rFonts w:ascii="Palatino Linotype" w:eastAsiaTheme="minorEastAsia" w:hAnsi="Palatino Linotype" w:cs="Arial"/>
          <w:b/>
          <w:i/>
          <w:lang w:eastAsia="es-MX"/>
        </w:rPr>
        <w:t>REVISIÓN EN AMPARO. LOS RESOLUTIVOS NO COMBATIDOS DEBEN DECLARARSE FIRMES</w:t>
      </w:r>
      <w:r w:rsidRPr="00D922F3">
        <w:rPr>
          <w:rFonts w:ascii="Palatino Linotype" w:eastAsiaTheme="minorEastAsia"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6900192" w14:textId="569371EE" w:rsidR="00AF039F" w:rsidRDefault="00AF039F" w:rsidP="001824F1">
      <w:pPr>
        <w:spacing w:line="360" w:lineRule="auto"/>
        <w:jc w:val="both"/>
        <w:rPr>
          <w:rFonts w:ascii="Palatino Linotype" w:hAnsi="Palatino Linotype" w:cs="Tahoma"/>
          <w:bCs/>
          <w:iCs/>
          <w:sz w:val="22"/>
          <w:szCs w:val="22"/>
        </w:rPr>
      </w:pPr>
    </w:p>
    <w:p w14:paraId="71868A41" w14:textId="4DF23D77" w:rsidR="00C87C7A" w:rsidRPr="001824F1" w:rsidRDefault="00C87C7A" w:rsidP="001824F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w:t>
      </w:r>
      <w:r w:rsidR="008456C2">
        <w:rPr>
          <w:rFonts w:ascii="Palatino Linotype" w:hAnsi="Palatino Linotype" w:cs="Tahoma"/>
          <w:bCs/>
          <w:iCs/>
          <w:sz w:val="22"/>
          <w:szCs w:val="22"/>
        </w:rPr>
        <w:t xml:space="preserve">tal forma que </w:t>
      </w:r>
      <w:r w:rsidR="008A4C6E">
        <w:rPr>
          <w:rFonts w:ascii="Palatino Linotype" w:hAnsi="Palatino Linotype" w:cs="Tahoma"/>
          <w:bCs/>
          <w:iCs/>
          <w:sz w:val="22"/>
          <w:szCs w:val="22"/>
        </w:rPr>
        <w:t>la parte de la solicit</w:t>
      </w:r>
      <w:r w:rsidR="00220F67">
        <w:rPr>
          <w:rFonts w:ascii="Palatino Linotype" w:hAnsi="Palatino Linotype" w:cs="Tahoma"/>
          <w:bCs/>
          <w:iCs/>
          <w:sz w:val="22"/>
          <w:szCs w:val="22"/>
        </w:rPr>
        <w:t>ud</w:t>
      </w:r>
      <w:r w:rsidR="008456C2">
        <w:rPr>
          <w:rFonts w:ascii="Palatino Linotype" w:hAnsi="Palatino Linotype" w:cs="Tahoma"/>
          <w:bCs/>
          <w:iCs/>
          <w:sz w:val="22"/>
          <w:szCs w:val="22"/>
        </w:rPr>
        <w:t xml:space="preserve"> sobre las que no se expresó inconformidad, deben declararse consentidas por el hoy Recurrente, ya que no pueden producirse efectos jurídicos tendientes a revocar, confirmar o modificar </w:t>
      </w:r>
      <w:r w:rsidR="008A4C6E">
        <w:rPr>
          <w:rFonts w:ascii="Palatino Linotype" w:hAnsi="Palatino Linotype" w:cs="Tahoma"/>
          <w:bCs/>
          <w:iCs/>
          <w:sz w:val="22"/>
          <w:szCs w:val="22"/>
        </w:rPr>
        <w:t xml:space="preserve">esta respuesta </w:t>
      </w:r>
      <w:r w:rsidR="001F62D1">
        <w:rPr>
          <w:rFonts w:ascii="Palatino Linotype" w:hAnsi="Palatino Linotype" w:cs="Tahoma"/>
          <w:bCs/>
          <w:iCs/>
          <w:sz w:val="22"/>
          <w:szCs w:val="22"/>
        </w:rPr>
        <w:t xml:space="preserve">ya que no fue motivo de disenso, </w:t>
      </w:r>
      <w:r w:rsidR="001F62D1">
        <w:rPr>
          <w:rFonts w:ascii="Palatino Linotype" w:hAnsi="Palatino Linotype" w:cs="Tahoma"/>
          <w:bCs/>
          <w:iCs/>
          <w:sz w:val="22"/>
          <w:szCs w:val="22"/>
        </w:rPr>
        <w:lastRenderedPageBreak/>
        <w:t xml:space="preserve">por lo que se infiere un consentimiento del Particular ante la falta de impugnación eficaz. Sirve de sustento a lo anterior, por analogía, la Tesis </w:t>
      </w:r>
      <w:r w:rsidR="006C3CB3">
        <w:rPr>
          <w:rFonts w:ascii="Palatino Linotype" w:hAnsi="Palatino Linotype" w:cs="Tahoma"/>
          <w:bCs/>
          <w:iCs/>
          <w:sz w:val="22"/>
          <w:szCs w:val="22"/>
        </w:rPr>
        <w:t xml:space="preserve">Jurisprudencial número VI.3º.C. J/60, publicada en el Semanario Judicial de la Federación, que a la letra dice: </w:t>
      </w:r>
    </w:p>
    <w:p w14:paraId="33E5FF63" w14:textId="77777777" w:rsidR="001824F1" w:rsidRPr="001824F1" w:rsidRDefault="001824F1" w:rsidP="001824F1">
      <w:pPr>
        <w:spacing w:line="360" w:lineRule="auto"/>
        <w:jc w:val="both"/>
        <w:rPr>
          <w:rFonts w:ascii="Palatino Linotype" w:hAnsi="Palatino Linotype" w:cs="Tahoma"/>
          <w:bCs/>
          <w:iCs/>
          <w:sz w:val="22"/>
          <w:szCs w:val="22"/>
        </w:rPr>
      </w:pPr>
    </w:p>
    <w:p w14:paraId="13133D90" w14:textId="0B40C24A" w:rsidR="006C3CB3" w:rsidRPr="00D922F3" w:rsidRDefault="006D5DFE" w:rsidP="006C3CB3">
      <w:pPr>
        <w:spacing w:line="360" w:lineRule="auto"/>
        <w:ind w:left="567" w:right="567"/>
        <w:jc w:val="both"/>
        <w:rPr>
          <w:rFonts w:ascii="Palatino Linotype" w:eastAsiaTheme="minorEastAsia" w:hAnsi="Palatino Linotype" w:cs="Arial"/>
          <w:i/>
          <w:lang w:eastAsia="es-MX"/>
        </w:rPr>
      </w:pPr>
      <w:r>
        <w:rPr>
          <w:rFonts w:ascii="Palatino Linotype" w:eastAsiaTheme="minorEastAsia" w:hAnsi="Palatino Linotype" w:cs="Arial"/>
          <w:b/>
          <w:i/>
          <w:lang w:eastAsia="es-MX"/>
        </w:rPr>
        <w:t>“</w:t>
      </w:r>
      <w:r w:rsidR="006C3CB3" w:rsidRPr="00D922F3">
        <w:rPr>
          <w:rFonts w:ascii="Palatino Linotype" w:eastAsiaTheme="minorEastAsia" w:hAnsi="Palatino Linotype" w:cs="Arial"/>
          <w:b/>
          <w:i/>
          <w:lang w:eastAsia="es-MX"/>
        </w:rPr>
        <w:t>ACTOS CONSENTIDOS. SON LOS QUE NO SE IMPUGNAN MEDIANTE EL RECURSO IDÓNEO</w:t>
      </w:r>
      <w:r w:rsidR="006C3CB3" w:rsidRPr="00D922F3">
        <w:rPr>
          <w:rFonts w:ascii="Palatino Linotype" w:eastAsiaTheme="minorEastAsia"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6AF6092" w14:textId="4E7BE5F4" w:rsidR="006D5DFE" w:rsidRDefault="006D5DFE" w:rsidP="004A2A45">
      <w:pPr>
        <w:spacing w:line="360" w:lineRule="auto"/>
        <w:jc w:val="both"/>
        <w:rPr>
          <w:rFonts w:ascii="Palatino Linotype" w:hAnsi="Palatino Linotype" w:cs="Tahoma"/>
          <w:bCs/>
          <w:iCs/>
          <w:sz w:val="22"/>
          <w:szCs w:val="22"/>
        </w:rPr>
      </w:pPr>
    </w:p>
    <w:p w14:paraId="4F75E842" w14:textId="0C995210" w:rsidR="00AA2BB4" w:rsidRDefault="006D5DFE"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lo anterior, se determina que el Recurrente </w:t>
      </w:r>
      <w:r w:rsidR="00EB3FEC">
        <w:rPr>
          <w:rFonts w:ascii="Palatino Linotype" w:hAnsi="Palatino Linotype" w:cs="Tahoma"/>
          <w:bCs/>
          <w:iCs/>
          <w:sz w:val="22"/>
          <w:szCs w:val="22"/>
        </w:rPr>
        <w:t>al únicamente inconformarse</w:t>
      </w:r>
      <w:r w:rsidR="00AA2BB4">
        <w:rPr>
          <w:rFonts w:ascii="Palatino Linotype" w:hAnsi="Palatino Linotype" w:cs="Tahoma"/>
          <w:bCs/>
          <w:iCs/>
          <w:sz w:val="22"/>
          <w:szCs w:val="22"/>
        </w:rPr>
        <w:t xml:space="preserve"> por la no entrega del Currículum Vitae del Coordinador de Movilidad</w:t>
      </w:r>
      <w:r w:rsidR="00985185">
        <w:rPr>
          <w:rFonts w:ascii="Palatino Linotype" w:hAnsi="Palatino Linotype" w:cs="Tahoma"/>
          <w:bCs/>
          <w:iCs/>
          <w:sz w:val="22"/>
          <w:szCs w:val="22"/>
        </w:rPr>
        <w:t xml:space="preserve">, toda vez que el Sujeto Obligado refirió </w:t>
      </w:r>
      <w:r w:rsidR="00EB3FEC">
        <w:rPr>
          <w:rFonts w:ascii="Palatino Linotype" w:hAnsi="Palatino Linotype" w:cs="Tahoma"/>
          <w:bCs/>
          <w:iCs/>
          <w:sz w:val="22"/>
          <w:szCs w:val="22"/>
        </w:rPr>
        <w:t xml:space="preserve">que dicha información no obra en sus archivos, el estudio del presente asunto versará sobre este punto, en razón de lo siguiente: </w:t>
      </w:r>
    </w:p>
    <w:p w14:paraId="07F66342" w14:textId="77777777" w:rsidR="00EB3FEC" w:rsidRDefault="00EB3FEC" w:rsidP="004A2A45">
      <w:pPr>
        <w:spacing w:line="360" w:lineRule="auto"/>
        <w:jc w:val="both"/>
        <w:rPr>
          <w:rFonts w:ascii="Palatino Linotype" w:hAnsi="Palatino Linotype" w:cs="Tahoma"/>
          <w:bCs/>
          <w:iCs/>
          <w:sz w:val="22"/>
          <w:szCs w:val="22"/>
        </w:rPr>
      </w:pPr>
    </w:p>
    <w:p w14:paraId="7BC3A4F6" w14:textId="0506856F" w:rsidR="00E3492E" w:rsidRPr="00E3492E" w:rsidRDefault="00E3492E" w:rsidP="00E3492E">
      <w:pPr>
        <w:pStyle w:val="Prrafodelista"/>
        <w:numPr>
          <w:ilvl w:val="0"/>
          <w:numId w:val="29"/>
        </w:numPr>
        <w:spacing w:line="360" w:lineRule="auto"/>
        <w:jc w:val="both"/>
        <w:rPr>
          <w:rFonts w:ascii="Palatino Linotype" w:hAnsi="Palatino Linotype" w:cs="Tahoma"/>
          <w:bCs/>
          <w:iCs/>
          <w:szCs w:val="22"/>
        </w:rPr>
      </w:pPr>
      <w:r>
        <w:rPr>
          <w:rFonts w:ascii="Palatino Linotype" w:hAnsi="Palatino Linotype" w:cs="Tahoma"/>
          <w:b/>
          <w:bCs/>
          <w:iCs/>
          <w:szCs w:val="22"/>
        </w:rPr>
        <w:t xml:space="preserve">Currículum Vitae. </w:t>
      </w:r>
    </w:p>
    <w:p w14:paraId="1B9C69B4" w14:textId="77777777" w:rsidR="00E3492E" w:rsidRDefault="00E3492E" w:rsidP="004A2A45">
      <w:pPr>
        <w:spacing w:line="360" w:lineRule="auto"/>
        <w:jc w:val="both"/>
        <w:rPr>
          <w:rFonts w:ascii="Palatino Linotype" w:hAnsi="Palatino Linotype" w:cs="Tahoma"/>
          <w:bCs/>
          <w:iCs/>
          <w:sz w:val="22"/>
          <w:szCs w:val="22"/>
        </w:rPr>
      </w:pPr>
    </w:p>
    <w:p w14:paraId="2976B4E9" w14:textId="70EDE861" w:rsidR="0079090D" w:rsidRPr="0079090D" w:rsidRDefault="00E3492E"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principio es de señalar</w:t>
      </w:r>
      <w:r w:rsidR="00D77D07">
        <w:rPr>
          <w:rFonts w:ascii="Palatino Linotype" w:hAnsi="Palatino Linotype" w:cs="Tahoma"/>
          <w:bCs/>
          <w:iCs/>
          <w:sz w:val="22"/>
          <w:szCs w:val="22"/>
        </w:rPr>
        <w:t xml:space="preserve"> que el </w:t>
      </w:r>
      <w:r w:rsidR="00D77D07">
        <w:rPr>
          <w:rFonts w:ascii="Palatino Linotype" w:hAnsi="Palatino Linotype" w:cs="Tahoma"/>
          <w:b/>
          <w:bCs/>
          <w:i/>
          <w:iCs/>
          <w:sz w:val="22"/>
          <w:szCs w:val="22"/>
        </w:rPr>
        <w:t xml:space="preserve">Currículum Vitae </w:t>
      </w:r>
      <w:r w:rsidR="0079090D">
        <w:rPr>
          <w:rFonts w:ascii="Palatino Linotype" w:hAnsi="Palatino Linotype" w:cs="Tahoma"/>
          <w:bCs/>
          <w:iCs/>
          <w:sz w:val="22"/>
          <w:szCs w:val="22"/>
        </w:rPr>
        <w:t xml:space="preserve">es una locución latina que literalmente significa </w:t>
      </w:r>
      <w:r w:rsidR="0079090D" w:rsidRPr="00EB3FEC">
        <w:rPr>
          <w:rFonts w:ascii="Palatino Linotype" w:hAnsi="Palatino Linotype" w:cs="Tahoma"/>
          <w:bCs/>
          <w:i/>
          <w:iCs/>
          <w:sz w:val="22"/>
          <w:szCs w:val="22"/>
        </w:rPr>
        <w:t>“carrera de vida”,</w:t>
      </w:r>
      <w:r w:rsidR="0079090D">
        <w:rPr>
          <w:rFonts w:ascii="Palatino Linotype" w:hAnsi="Palatino Linotype" w:cs="Tahoma"/>
          <w:bCs/>
          <w:iCs/>
          <w:sz w:val="22"/>
          <w:szCs w:val="22"/>
        </w:rPr>
        <w:t xml:space="preserve"> y que la Real Academia Española ha definido como </w:t>
      </w:r>
      <w:r w:rsidR="0079090D">
        <w:rPr>
          <w:rFonts w:ascii="Palatino Linotype" w:hAnsi="Palatino Linotype" w:cs="Tahoma"/>
          <w:bCs/>
          <w:i/>
          <w:iCs/>
          <w:sz w:val="22"/>
          <w:szCs w:val="22"/>
        </w:rPr>
        <w:t>“la relación de los títulos, honores, cargos, trabajo realizado y datos biográficos que califican a una persona”</w:t>
      </w:r>
      <w:r w:rsidR="0079090D">
        <w:rPr>
          <w:rFonts w:ascii="Palatino Linotype" w:hAnsi="Palatino Linotype" w:cs="Tahoma"/>
          <w:bCs/>
          <w:iCs/>
          <w:sz w:val="22"/>
          <w:szCs w:val="22"/>
        </w:rPr>
        <w:t xml:space="preserve">. En ese sentido, el currículum además de señalar datos personales refiere los estudios realizados y con ello, el nivel académico que se ostenta, así como la experiencia laboral que incluyen los cargos ocupados, periodo y funciones.  </w:t>
      </w:r>
    </w:p>
    <w:p w14:paraId="46BDEF8E" w14:textId="77777777" w:rsidR="0079090D" w:rsidRDefault="0079090D" w:rsidP="004A2A45">
      <w:pPr>
        <w:spacing w:line="360" w:lineRule="auto"/>
        <w:jc w:val="both"/>
        <w:rPr>
          <w:rFonts w:ascii="Palatino Linotype" w:hAnsi="Palatino Linotype" w:cs="Tahoma"/>
          <w:b/>
          <w:bCs/>
          <w:i/>
          <w:iCs/>
          <w:sz w:val="22"/>
          <w:szCs w:val="22"/>
        </w:rPr>
      </w:pPr>
    </w:p>
    <w:p w14:paraId="64775142" w14:textId="201C08B7" w:rsidR="00ED5B72" w:rsidRDefault="0079090D"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resumen, el Currículum Vitae </w:t>
      </w:r>
      <w:r w:rsidR="00D77D07">
        <w:rPr>
          <w:rFonts w:ascii="Palatino Linotype" w:hAnsi="Palatino Linotype" w:cs="Tahoma"/>
          <w:bCs/>
          <w:iCs/>
          <w:sz w:val="22"/>
          <w:szCs w:val="22"/>
        </w:rPr>
        <w:t>es aquel documento que las personas elaboran con los datos de identificación y contacto, preparación académica y experiencia p</w:t>
      </w:r>
      <w:r>
        <w:rPr>
          <w:rFonts w:ascii="Palatino Linotype" w:hAnsi="Palatino Linotype" w:cs="Tahoma"/>
          <w:bCs/>
          <w:iCs/>
          <w:sz w:val="22"/>
          <w:szCs w:val="22"/>
        </w:rPr>
        <w:t xml:space="preserve">rofesional, el cual es </w:t>
      </w:r>
      <w:r>
        <w:rPr>
          <w:rFonts w:ascii="Palatino Linotype" w:hAnsi="Palatino Linotype" w:cs="Tahoma"/>
          <w:bCs/>
          <w:iCs/>
          <w:sz w:val="22"/>
          <w:szCs w:val="22"/>
        </w:rPr>
        <w:lastRenderedPageBreak/>
        <w:t xml:space="preserve">presentado </w:t>
      </w:r>
      <w:r w:rsidR="00D77D07">
        <w:rPr>
          <w:rFonts w:ascii="Palatino Linotype" w:hAnsi="Palatino Linotype" w:cs="Tahoma"/>
          <w:bCs/>
          <w:iCs/>
          <w:sz w:val="22"/>
          <w:szCs w:val="22"/>
        </w:rPr>
        <w:t xml:space="preserve">ante un posible empleador, </w:t>
      </w:r>
      <w:r>
        <w:rPr>
          <w:rFonts w:ascii="Palatino Linotype" w:hAnsi="Palatino Linotype" w:cs="Tahoma"/>
          <w:bCs/>
          <w:iCs/>
          <w:sz w:val="22"/>
          <w:szCs w:val="22"/>
        </w:rPr>
        <w:t>quien podrá</w:t>
      </w:r>
      <w:r w:rsidR="00D77D07">
        <w:rPr>
          <w:rFonts w:ascii="Palatino Linotype" w:hAnsi="Palatino Linotype" w:cs="Tahoma"/>
          <w:bCs/>
          <w:iCs/>
          <w:sz w:val="22"/>
          <w:szCs w:val="22"/>
        </w:rPr>
        <w:t xml:space="preserve"> identificar el nivel de conocimientos de su titular, así como, s</w:t>
      </w:r>
      <w:r>
        <w:rPr>
          <w:rFonts w:ascii="Palatino Linotype" w:hAnsi="Palatino Linotype" w:cs="Tahoma"/>
          <w:bCs/>
          <w:iCs/>
          <w:sz w:val="22"/>
          <w:szCs w:val="22"/>
        </w:rPr>
        <w:t xml:space="preserve">u perfil profesional o laboral para el desempeño del cargo al que aspira. </w:t>
      </w:r>
    </w:p>
    <w:p w14:paraId="0380B389" w14:textId="77777777" w:rsidR="00D77D07" w:rsidRDefault="00D77D07" w:rsidP="004A2A45">
      <w:pPr>
        <w:spacing w:line="360" w:lineRule="auto"/>
        <w:jc w:val="both"/>
        <w:rPr>
          <w:rFonts w:ascii="Palatino Linotype" w:hAnsi="Palatino Linotype" w:cs="Tahoma"/>
          <w:bCs/>
          <w:iCs/>
          <w:sz w:val="22"/>
          <w:szCs w:val="22"/>
        </w:rPr>
      </w:pPr>
    </w:p>
    <w:p w14:paraId="7DB49348" w14:textId="6E872507" w:rsidR="00641F45" w:rsidRDefault="00641F45"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es de recordar que el Sujeto Obligado en respuesta precisó que no cuenta con el Currículum Vitae del servidor público solicitado, ya que la Ley no precisa un determinado perfil para ostentar este cargo, asimismo</w:t>
      </w:r>
      <w:r w:rsidR="0079090D">
        <w:rPr>
          <w:rFonts w:ascii="Palatino Linotype" w:hAnsi="Palatino Linotype" w:cs="Tahoma"/>
          <w:bCs/>
          <w:iCs/>
          <w:sz w:val="22"/>
          <w:szCs w:val="22"/>
        </w:rPr>
        <w:t>,</w:t>
      </w:r>
      <w:r>
        <w:rPr>
          <w:rFonts w:ascii="Palatino Linotype" w:hAnsi="Palatino Linotype" w:cs="Tahoma"/>
          <w:bCs/>
          <w:iCs/>
          <w:sz w:val="22"/>
          <w:szCs w:val="22"/>
        </w:rPr>
        <w:t xml:space="preserve"> mediante informe justificado señaló que no es necesario presentar un Currículum Vitae para ocupar el mismo, situación por la cual, en primer momento, es importante referir que si bien es cierto, la normatividad no prevé requisitos determinados que deban cubrirse para desempeñarse como Coordinador de Movilidad, también lo es que el Particular no solicitó los documentos que acrediten los requisitos para el mismo, sino que únicamente requirió conocer la información curricular el servidor público.</w:t>
      </w:r>
    </w:p>
    <w:p w14:paraId="63C54EC6" w14:textId="77777777" w:rsidR="00641F45" w:rsidRDefault="00641F45" w:rsidP="004A2A45">
      <w:pPr>
        <w:spacing w:line="360" w:lineRule="auto"/>
        <w:jc w:val="both"/>
        <w:rPr>
          <w:rFonts w:ascii="Palatino Linotype" w:hAnsi="Palatino Linotype" w:cs="Tahoma"/>
          <w:bCs/>
          <w:iCs/>
          <w:sz w:val="22"/>
          <w:szCs w:val="22"/>
        </w:rPr>
      </w:pPr>
    </w:p>
    <w:p w14:paraId="51A4617F" w14:textId="05C4904E" w:rsidR="0079090D" w:rsidRPr="00EB3FEC" w:rsidRDefault="00641F45"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otro lado,</w:t>
      </w:r>
      <w:r w:rsidR="0079090D">
        <w:rPr>
          <w:rFonts w:ascii="Palatino Linotype" w:hAnsi="Palatino Linotype" w:cs="Tahoma"/>
          <w:bCs/>
          <w:iCs/>
          <w:sz w:val="22"/>
          <w:szCs w:val="22"/>
        </w:rPr>
        <w:t xml:space="preserve"> es de subrayar que si bien es cierto, no existe norma jurídica que obligue a los servidores públicos a presentar su currículum ante la institución pública en la que prestan sus servicios, esto es, que no constituye requisito para desempeñar un empleo, cargo o comisión en la administración pública sea estatal o municipal, también lo es que; el Sujeto Obligado debe poseer y administrar un documento que dé cuenta de esta informaci</w:t>
      </w:r>
      <w:r w:rsidR="00EB3FEC">
        <w:rPr>
          <w:rFonts w:ascii="Palatino Linotype" w:hAnsi="Palatino Linotype" w:cs="Tahoma"/>
          <w:bCs/>
          <w:iCs/>
          <w:sz w:val="22"/>
          <w:szCs w:val="22"/>
        </w:rPr>
        <w:t xml:space="preserve">ón, que de </w:t>
      </w:r>
      <w:r w:rsidR="0079090D">
        <w:rPr>
          <w:rFonts w:ascii="Palatino Linotype" w:hAnsi="Palatino Linotype" w:cs="Tahoma"/>
          <w:bCs/>
          <w:iCs/>
          <w:sz w:val="22"/>
          <w:szCs w:val="22"/>
        </w:rPr>
        <w:t>manera enunciativa</w:t>
      </w:r>
      <w:r w:rsidR="00EB3FEC">
        <w:rPr>
          <w:rFonts w:ascii="Palatino Linotype" w:hAnsi="Palatino Linotype" w:cs="Tahoma"/>
          <w:bCs/>
          <w:iCs/>
          <w:sz w:val="22"/>
          <w:szCs w:val="22"/>
        </w:rPr>
        <w:t>,</w:t>
      </w:r>
      <w:r w:rsidR="0079090D">
        <w:rPr>
          <w:rFonts w:ascii="Palatino Linotype" w:hAnsi="Palatino Linotype" w:cs="Tahoma"/>
          <w:bCs/>
          <w:iCs/>
          <w:sz w:val="22"/>
          <w:szCs w:val="22"/>
        </w:rPr>
        <w:t xml:space="preserve"> m</w:t>
      </w:r>
      <w:r w:rsidR="00EB3FEC">
        <w:rPr>
          <w:rFonts w:ascii="Palatino Linotype" w:hAnsi="Palatino Linotype" w:cs="Tahoma"/>
          <w:bCs/>
          <w:iCs/>
          <w:sz w:val="22"/>
          <w:szCs w:val="22"/>
        </w:rPr>
        <w:t xml:space="preserve">ás no limitativa, </w:t>
      </w:r>
      <w:r w:rsidR="0079090D">
        <w:rPr>
          <w:rFonts w:ascii="Palatino Linotype" w:hAnsi="Palatino Linotype" w:cs="Tahoma"/>
          <w:bCs/>
          <w:iCs/>
          <w:sz w:val="22"/>
          <w:szCs w:val="22"/>
        </w:rPr>
        <w:t>podría ser la solicitud de empleo, ello en raz</w:t>
      </w:r>
      <w:r w:rsidR="00840652">
        <w:rPr>
          <w:rFonts w:ascii="Palatino Linotype" w:hAnsi="Palatino Linotype" w:cs="Tahoma"/>
          <w:bCs/>
          <w:iCs/>
          <w:sz w:val="22"/>
          <w:szCs w:val="22"/>
        </w:rPr>
        <w:t xml:space="preserve">ón de que la Ley del Trabajo de los Servidores Públicos del Estado de México, en su artículo 47 establece que para ingresar al servicio público se requiere </w:t>
      </w:r>
      <w:r w:rsidR="00840652">
        <w:rPr>
          <w:rFonts w:ascii="Palatino Linotype" w:hAnsi="Palatino Linotype" w:cs="Tahoma"/>
          <w:b/>
          <w:bCs/>
          <w:iCs/>
          <w:sz w:val="22"/>
          <w:szCs w:val="22"/>
        </w:rPr>
        <w:t xml:space="preserve">presentar una solicitud utilizando la forma oficial que se autorice por la institución pública o dependencia correspondiente. </w:t>
      </w:r>
    </w:p>
    <w:p w14:paraId="6EFCB8AB" w14:textId="77777777" w:rsidR="00840652" w:rsidRDefault="00840652" w:rsidP="004A2A45">
      <w:pPr>
        <w:spacing w:line="360" w:lineRule="auto"/>
        <w:jc w:val="both"/>
        <w:rPr>
          <w:rFonts w:ascii="Palatino Linotype" w:hAnsi="Palatino Linotype" w:cs="Tahoma"/>
          <w:b/>
          <w:bCs/>
          <w:iCs/>
          <w:sz w:val="22"/>
          <w:szCs w:val="22"/>
        </w:rPr>
      </w:pPr>
    </w:p>
    <w:p w14:paraId="70456690" w14:textId="142B5BE9" w:rsidR="00840652" w:rsidRPr="00840652" w:rsidRDefault="00840652"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tal forma que, se precisa que la solicitud de empleo necesariamente contiene apartados con información relativa a datos personales, formación académica, experiencia profesional, objetivos o aspiraciones personales, y otros, además de que se esta es exigida como requisito </w:t>
      </w:r>
      <w:r>
        <w:rPr>
          <w:rFonts w:ascii="Palatino Linotype" w:hAnsi="Palatino Linotype" w:cs="Tahoma"/>
          <w:bCs/>
          <w:iCs/>
          <w:sz w:val="22"/>
          <w:szCs w:val="22"/>
        </w:rPr>
        <w:lastRenderedPageBreak/>
        <w:t>para el ingreso al servicio público; de ahí que se concluye que de la solicitud de empleo se desprende información correspondiente a la trayectoria académica y profesional, es decir que contiene información que se asemeja al currículum vitae y la cual fue la solicitada por el ahora Recurrente.</w:t>
      </w:r>
    </w:p>
    <w:p w14:paraId="0A389FAC" w14:textId="77777777" w:rsidR="0079090D" w:rsidRDefault="0079090D" w:rsidP="004A2A45">
      <w:pPr>
        <w:spacing w:line="360" w:lineRule="auto"/>
        <w:jc w:val="both"/>
        <w:rPr>
          <w:rFonts w:ascii="Palatino Linotype" w:hAnsi="Palatino Linotype" w:cs="Tahoma"/>
          <w:bCs/>
          <w:iCs/>
          <w:sz w:val="22"/>
          <w:szCs w:val="22"/>
        </w:rPr>
      </w:pPr>
    </w:p>
    <w:p w14:paraId="55FB1971" w14:textId="5E71C64B" w:rsidR="00836047" w:rsidRDefault="0079090D"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Aunado a lo anterio</w:t>
      </w:r>
      <w:r w:rsidR="00840652">
        <w:rPr>
          <w:rFonts w:ascii="Palatino Linotype" w:hAnsi="Palatino Linotype" w:cs="Tahoma"/>
          <w:bCs/>
          <w:iCs/>
          <w:sz w:val="22"/>
          <w:szCs w:val="22"/>
        </w:rPr>
        <w:t>r</w:t>
      </w:r>
      <w:r>
        <w:rPr>
          <w:rFonts w:ascii="Palatino Linotype" w:hAnsi="Palatino Linotype" w:cs="Tahoma"/>
          <w:bCs/>
          <w:iCs/>
          <w:sz w:val="22"/>
          <w:szCs w:val="22"/>
        </w:rPr>
        <w:t xml:space="preserve">, </w:t>
      </w:r>
      <w:r w:rsidR="00641F45">
        <w:rPr>
          <w:rFonts w:ascii="Palatino Linotype" w:hAnsi="Palatino Linotype" w:cs="Tahoma"/>
          <w:bCs/>
          <w:iCs/>
          <w:sz w:val="22"/>
          <w:szCs w:val="22"/>
        </w:rPr>
        <w:t xml:space="preserve"> </w:t>
      </w:r>
      <w:r w:rsidR="00836047">
        <w:rPr>
          <w:rFonts w:ascii="Palatino Linotype" w:hAnsi="Palatino Linotype" w:cs="Tahoma"/>
          <w:bCs/>
          <w:iCs/>
          <w:sz w:val="22"/>
          <w:szCs w:val="22"/>
        </w:rPr>
        <w:t xml:space="preserve">la fracción XXI del artículo 92 de la Ley de Transparencia y Acceso a la Información Pública del Estado de México y Municipios, establece que la </w:t>
      </w:r>
      <w:r w:rsidR="00836047">
        <w:rPr>
          <w:rFonts w:ascii="Palatino Linotype" w:hAnsi="Palatino Linotype" w:cs="Tahoma"/>
          <w:b/>
          <w:bCs/>
          <w:iCs/>
          <w:sz w:val="22"/>
          <w:szCs w:val="22"/>
        </w:rPr>
        <w:t xml:space="preserve">información curricular </w:t>
      </w:r>
      <w:r w:rsidR="00836047">
        <w:rPr>
          <w:rFonts w:ascii="Palatino Linotype" w:hAnsi="Palatino Linotype" w:cs="Tahoma"/>
          <w:bCs/>
          <w:iCs/>
          <w:sz w:val="22"/>
          <w:szCs w:val="22"/>
        </w:rPr>
        <w:t xml:space="preserve">es información que el Sujeto Obligado debe poner a disposición del público, tal como se observa a continuación: </w:t>
      </w:r>
    </w:p>
    <w:p w14:paraId="6ACC5B4A" w14:textId="77777777" w:rsidR="00836047" w:rsidRDefault="00836047" w:rsidP="004A2A45">
      <w:pPr>
        <w:spacing w:line="360" w:lineRule="auto"/>
        <w:jc w:val="both"/>
        <w:rPr>
          <w:rFonts w:ascii="Palatino Linotype" w:hAnsi="Palatino Linotype" w:cs="Tahoma"/>
          <w:bCs/>
          <w:iCs/>
          <w:sz w:val="22"/>
          <w:szCs w:val="22"/>
        </w:rPr>
      </w:pPr>
    </w:p>
    <w:p w14:paraId="183410B2" w14:textId="361995B6" w:rsidR="00836047" w:rsidRPr="00836047" w:rsidRDefault="00836047" w:rsidP="00836047">
      <w:pPr>
        <w:spacing w:line="360" w:lineRule="auto"/>
        <w:ind w:left="567" w:right="539"/>
        <w:jc w:val="both"/>
        <w:rPr>
          <w:rFonts w:ascii="Palatino Linotype" w:hAnsi="Palatino Linotype"/>
          <w:i/>
        </w:rPr>
      </w:pPr>
      <w:r>
        <w:rPr>
          <w:rFonts w:ascii="Palatino Linotype" w:hAnsi="Palatino Linotype"/>
          <w:i/>
        </w:rPr>
        <w:t>“</w:t>
      </w:r>
      <w:r w:rsidRPr="00836047">
        <w:rPr>
          <w:rFonts w:ascii="Palatino Linotype" w:hAnsi="Palatino Linotype"/>
          <w:b/>
          <w:i/>
        </w:rPr>
        <w:t>Artículo 92.</w:t>
      </w:r>
      <w:r w:rsidRPr="00836047">
        <w:rPr>
          <w:rFonts w:ascii="Palatino Linotype" w:hAnsi="Palatino Linotype"/>
          <w:i/>
        </w:rPr>
        <w:t xml:space="preserve"> </w:t>
      </w:r>
      <w:r w:rsidRPr="00836047">
        <w:rPr>
          <w:rFonts w:ascii="Palatino Linotype" w:hAnsi="Palatino Linotype"/>
          <w:b/>
          <w:i/>
        </w:rPr>
        <w:t>Los sujetos obligados deberán poner a disposición del público de manera permanente y actualizada de forma sencilla, precisa y entendible</w:t>
      </w:r>
      <w:r w:rsidRPr="00836047">
        <w:rPr>
          <w:rFonts w:ascii="Palatino Linotype" w:hAnsi="Palatino Linotype"/>
          <w:i/>
        </w:rPr>
        <w:t xml:space="preserve">, en los respectivos medios electrónicos, de acuerdo con sus facultades, atribuciones, funciones u objeto social, según </w:t>
      </w:r>
      <w:r w:rsidRPr="00836047">
        <w:rPr>
          <w:rFonts w:ascii="Palatino Linotype" w:hAnsi="Palatino Linotype"/>
          <w:b/>
          <w:i/>
        </w:rPr>
        <w:t>corresponda, la información, por lo menos, de los temas, documentos y políticas que a continuación se señalan</w:t>
      </w:r>
      <w:r w:rsidRPr="00836047">
        <w:rPr>
          <w:rFonts w:ascii="Palatino Linotype" w:hAnsi="Palatino Linotype"/>
          <w:i/>
        </w:rPr>
        <w:t>:</w:t>
      </w:r>
    </w:p>
    <w:p w14:paraId="2DA544EC" w14:textId="77777777" w:rsidR="00836047" w:rsidRPr="00836047" w:rsidRDefault="00836047" w:rsidP="00836047">
      <w:pPr>
        <w:spacing w:line="360" w:lineRule="auto"/>
        <w:ind w:left="567" w:right="539"/>
        <w:jc w:val="both"/>
        <w:rPr>
          <w:rFonts w:ascii="Palatino Linotype" w:hAnsi="Palatino Linotype"/>
          <w:i/>
        </w:rPr>
      </w:pPr>
    </w:p>
    <w:p w14:paraId="63684C5D" w14:textId="10582CA5" w:rsidR="00836047" w:rsidRPr="00836047" w:rsidRDefault="00836047" w:rsidP="00836047">
      <w:pPr>
        <w:spacing w:line="360" w:lineRule="auto"/>
        <w:ind w:left="567" w:right="539"/>
        <w:jc w:val="both"/>
        <w:rPr>
          <w:rFonts w:ascii="Palatino Linotype" w:hAnsi="Palatino Linotype" w:cs="Tahoma"/>
          <w:bCs/>
          <w:i/>
          <w:iCs/>
        </w:rPr>
      </w:pPr>
      <w:r w:rsidRPr="00836047">
        <w:rPr>
          <w:rFonts w:ascii="Palatino Linotype" w:hAnsi="Palatino Linotype" w:cs="Tahoma"/>
          <w:bCs/>
          <w:i/>
          <w:iCs/>
        </w:rPr>
        <w:t>I al XX</w:t>
      </w:r>
    </w:p>
    <w:p w14:paraId="3CD720B1" w14:textId="7E838FE4" w:rsidR="00836047" w:rsidRPr="00836047" w:rsidRDefault="00836047" w:rsidP="00836047">
      <w:pPr>
        <w:spacing w:line="360" w:lineRule="auto"/>
        <w:ind w:left="567" w:right="539"/>
        <w:jc w:val="both"/>
        <w:rPr>
          <w:rFonts w:ascii="Palatino Linotype" w:hAnsi="Palatino Linotype"/>
          <w:i/>
        </w:rPr>
      </w:pPr>
      <w:r w:rsidRPr="00836047">
        <w:rPr>
          <w:rFonts w:ascii="Palatino Linotype" w:hAnsi="Palatino Linotype"/>
          <w:b/>
          <w:i/>
        </w:rPr>
        <w:t>XXI. La información curricular, desde el nivel de jefe de departamento o equivalente, hasta el titular del sujeto obligado, así como, en su caso, las sanciones administrativas de que haya sido objeto</w:t>
      </w:r>
      <w:r w:rsidRPr="00836047">
        <w:rPr>
          <w:rFonts w:ascii="Palatino Linotype" w:hAnsi="Palatino Linotype"/>
          <w:i/>
        </w:rPr>
        <w:t>;</w:t>
      </w:r>
    </w:p>
    <w:p w14:paraId="2F3C151C" w14:textId="47E5E2BA" w:rsidR="00836047" w:rsidRPr="00836047" w:rsidRDefault="00836047" w:rsidP="00836047">
      <w:pPr>
        <w:spacing w:line="360" w:lineRule="auto"/>
        <w:ind w:left="567" w:right="539"/>
        <w:jc w:val="both"/>
        <w:rPr>
          <w:rFonts w:ascii="Palatino Linotype" w:hAnsi="Palatino Linotype" w:cs="Tahoma"/>
          <w:bCs/>
          <w:i/>
          <w:iCs/>
        </w:rPr>
      </w:pPr>
      <w:r w:rsidRPr="00836047">
        <w:rPr>
          <w:rFonts w:ascii="Palatino Linotype" w:hAnsi="Palatino Linotype"/>
          <w:i/>
        </w:rPr>
        <w:t>XXII al LII</w:t>
      </w:r>
      <w:r>
        <w:rPr>
          <w:rFonts w:ascii="Palatino Linotype" w:hAnsi="Palatino Linotype"/>
          <w:i/>
        </w:rPr>
        <w:t xml:space="preserve">”. </w:t>
      </w:r>
    </w:p>
    <w:p w14:paraId="240DF50D" w14:textId="77777777" w:rsidR="00836047" w:rsidRDefault="00836047" w:rsidP="004A2A45">
      <w:pPr>
        <w:spacing w:line="360" w:lineRule="auto"/>
        <w:jc w:val="both"/>
        <w:rPr>
          <w:rFonts w:ascii="Palatino Linotype" w:hAnsi="Palatino Linotype" w:cs="Tahoma"/>
          <w:bCs/>
          <w:iCs/>
          <w:sz w:val="22"/>
          <w:szCs w:val="22"/>
        </w:rPr>
      </w:pPr>
    </w:p>
    <w:p w14:paraId="349FEDC3" w14:textId="09140553" w:rsidR="00D77D07" w:rsidRDefault="00836047"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el mismo orden de ideas, el formato 17 LGT_ART_70_Fr_XVII </w:t>
      </w:r>
      <w:r w:rsidR="00E3492E">
        <w:rPr>
          <w:rFonts w:ascii="Palatino Linotype" w:hAnsi="Palatino Linotype" w:cs="Tahoma"/>
          <w:bCs/>
          <w:iCs/>
          <w:sz w:val="22"/>
          <w:szCs w:val="22"/>
        </w:rPr>
        <w:t xml:space="preserve"> (Información curricular y las sanciones administrativas definitivas de los (as) servidores (as) públicas (os) y/o personas que desempeñen un empleo, cargo o comisión) de los Lineamientos técnicos generales para la publicación, homologación y estandarización de la información de las obligaciones establecidas en el título quinto </w:t>
      </w:r>
      <w:r w:rsidR="00E3492E" w:rsidRPr="00E3492E">
        <w:rPr>
          <w:rFonts w:ascii="Palatino Linotype" w:hAnsi="Palatino Linotype" w:cs="Tahoma"/>
          <w:bCs/>
          <w:iCs/>
          <w:sz w:val="22"/>
          <w:szCs w:val="22"/>
        </w:rPr>
        <w:t xml:space="preserve">y en la fracción IV del artículo 31 de la Ley General de </w:t>
      </w:r>
      <w:r w:rsidR="00E3492E" w:rsidRPr="00E3492E">
        <w:rPr>
          <w:rFonts w:ascii="Palatino Linotype" w:hAnsi="Palatino Linotype" w:cs="Tahoma"/>
          <w:bCs/>
          <w:iCs/>
          <w:sz w:val="22"/>
          <w:szCs w:val="22"/>
        </w:rPr>
        <w:lastRenderedPageBreak/>
        <w:t xml:space="preserve">Transparencia y Acceso a la Información Pública –Lineamientos Generales-, que deben de difundir los sujetos obligados en los portales de Internet y en la Plataforma Nacional de Transparencia, </w:t>
      </w:r>
      <w:r w:rsidR="00E3492E" w:rsidRPr="00836047">
        <w:rPr>
          <w:rFonts w:ascii="Palatino Linotype" w:hAnsi="Palatino Linotype" w:cs="Tahoma"/>
          <w:b/>
          <w:bCs/>
          <w:iCs/>
          <w:sz w:val="22"/>
          <w:szCs w:val="22"/>
        </w:rPr>
        <w:t>establece como datos a publicar, de los servidores públicos, el nivel máximo de estudios concluido y comprobable, así como la experiencia laboral, concerniente a los tres últimos empleos</w:t>
      </w:r>
      <w:r w:rsidR="00E3492E" w:rsidRPr="00836047">
        <w:rPr>
          <w:rFonts w:ascii="Palatino Linotype" w:hAnsi="Palatino Linotype" w:cs="Tahoma"/>
          <w:bCs/>
          <w:iCs/>
          <w:sz w:val="22"/>
          <w:szCs w:val="22"/>
        </w:rPr>
        <w:t>, tal como se muestra continuación:</w:t>
      </w:r>
    </w:p>
    <w:p w14:paraId="7E5CE464" w14:textId="3C2E4BA7" w:rsidR="00836047" w:rsidRDefault="004C5F95" w:rsidP="004A2A45">
      <w:pPr>
        <w:spacing w:line="360" w:lineRule="auto"/>
        <w:jc w:val="both"/>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59264" behindDoc="0" locked="0" layoutInCell="1" allowOverlap="1" wp14:anchorId="57191697" wp14:editId="7CE50DBA">
                <wp:simplePos x="0" y="0"/>
                <wp:positionH relativeFrom="column">
                  <wp:posOffset>39370</wp:posOffset>
                </wp:positionH>
                <wp:positionV relativeFrom="paragraph">
                  <wp:posOffset>167005</wp:posOffset>
                </wp:positionV>
                <wp:extent cx="5619750" cy="22193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19750"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ector recto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from="3.1pt,13.15pt" to="445.6pt,187.9pt" w14:anchorId="675E3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">
                <v:stroke joinstyle="miter"/>
              </v:line>
            </w:pict>
          </mc:Fallback>
        </mc:AlternateContent>
      </w:r>
    </w:p>
    <w:p w14:paraId="174DCF2F" w14:textId="5937D189" w:rsidR="00692FF4" w:rsidRDefault="00E3492E" w:rsidP="004A2A45">
      <w:pPr>
        <w:spacing w:line="360" w:lineRule="auto"/>
        <w:jc w:val="both"/>
        <w:rPr>
          <w:rFonts w:ascii="Palatino Linotype" w:hAnsi="Palatino Linotype" w:cs="Tahoma"/>
          <w:bCs/>
          <w:iCs/>
          <w:sz w:val="22"/>
          <w:szCs w:val="22"/>
        </w:rPr>
      </w:pPr>
      <w:r w:rsidRPr="004B2D7C">
        <w:rPr>
          <w:rFonts w:cs="Tahoma"/>
          <w:iCs/>
          <w:noProof/>
          <w:lang w:eastAsia="es-MX"/>
        </w:rPr>
        <w:drawing>
          <wp:inline distT="0" distB="0" distL="0" distR="0" wp14:anchorId="6EFF37F6" wp14:editId="2BA16F55">
            <wp:extent cx="5924550" cy="2638425"/>
            <wp:effectExtent l="0" t="0" r="0" b="9525"/>
            <wp:docPr id="2" name="Imagen 2"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417" cy="2645046"/>
                    </a:xfrm>
                    <a:prstGeom prst="rect">
                      <a:avLst/>
                    </a:prstGeom>
                    <a:noFill/>
                    <a:ln>
                      <a:noFill/>
                    </a:ln>
                  </pic:spPr>
                </pic:pic>
              </a:graphicData>
            </a:graphic>
          </wp:inline>
        </w:drawing>
      </w:r>
    </w:p>
    <w:p w14:paraId="4D6E580D" w14:textId="40E21E32" w:rsidR="00836047" w:rsidRDefault="00836047" w:rsidP="004A2A45">
      <w:pPr>
        <w:spacing w:line="360" w:lineRule="auto"/>
        <w:jc w:val="both"/>
        <w:rPr>
          <w:rFonts w:ascii="Palatino Linotype" w:hAnsi="Palatino Linotype" w:cs="Tahoma"/>
          <w:bCs/>
          <w:iCs/>
          <w:sz w:val="22"/>
          <w:szCs w:val="22"/>
        </w:rPr>
      </w:pPr>
    </w:p>
    <w:p w14:paraId="1D34B80D" w14:textId="3B7B3EAA" w:rsidR="00836047" w:rsidRDefault="00DF275E"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w:t>
      </w:r>
      <w:r w:rsidR="00840652" w:rsidRPr="00840652">
        <w:rPr>
          <w:rFonts w:ascii="Palatino Linotype" w:hAnsi="Palatino Linotype" w:cs="Tahoma"/>
          <w:bCs/>
          <w:iCs/>
          <w:sz w:val="22"/>
          <w:szCs w:val="22"/>
        </w:rPr>
        <w:t xml:space="preserve">es de señalar que es </w:t>
      </w:r>
      <w:r w:rsidR="00840652" w:rsidRPr="00DF275E">
        <w:rPr>
          <w:rFonts w:ascii="Palatino Linotype" w:hAnsi="Palatino Linotype" w:cs="Tahoma"/>
          <w:b/>
          <w:bCs/>
          <w:iCs/>
          <w:sz w:val="22"/>
          <w:szCs w:val="22"/>
          <w:u w:val="single"/>
        </w:rPr>
        <w:t>una obligación de transparencia el que los sujetos obligados pongan a disposición del público, la información relativa a la información curricular desde el jefe de departamento o equivalente, hasta el titular del sujeto obligado</w:t>
      </w:r>
      <w:r w:rsidR="00840652" w:rsidRPr="00840652">
        <w:rPr>
          <w:rFonts w:ascii="Palatino Linotype" w:hAnsi="Palatino Linotype" w:cs="Tahoma"/>
          <w:bCs/>
          <w:iCs/>
          <w:sz w:val="22"/>
          <w:szCs w:val="22"/>
        </w:rPr>
        <w:t>, y que de acuerdo con lo establecido por los Lineamientos técnicos generales para la publicación, homologación y estandarización de la información, los sujetos obligados deberán publicar diversos datos como el nivel máximo de estudios concluidos y comprobable, su experiencia laboral, entre otros.</w:t>
      </w:r>
    </w:p>
    <w:p w14:paraId="17773D0C" w14:textId="77777777" w:rsidR="003871D0" w:rsidRDefault="003871D0" w:rsidP="004A2A45">
      <w:pPr>
        <w:spacing w:line="360" w:lineRule="auto"/>
        <w:jc w:val="both"/>
        <w:rPr>
          <w:rFonts w:ascii="Palatino Linotype" w:hAnsi="Palatino Linotype" w:cs="Tahoma"/>
          <w:bCs/>
          <w:iCs/>
          <w:sz w:val="22"/>
          <w:szCs w:val="22"/>
        </w:rPr>
      </w:pPr>
    </w:p>
    <w:p w14:paraId="3E187A40" w14:textId="5D5BF453" w:rsidR="003871D0" w:rsidRDefault="003871D0"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otro rubro, es de precisar que de acuerdo con lo establecido en el artículo 46 del Bando Municipal de Villa del Carbón, este Ente cuenta con la Dirección de Administración, que </w:t>
      </w:r>
      <w:r w:rsidR="002412A6">
        <w:rPr>
          <w:rFonts w:ascii="Palatino Linotype" w:hAnsi="Palatino Linotype" w:cs="Tahoma"/>
          <w:bCs/>
          <w:iCs/>
          <w:sz w:val="22"/>
          <w:szCs w:val="22"/>
        </w:rPr>
        <w:t xml:space="preserve">debe </w:t>
      </w:r>
      <w:r w:rsidR="002412A6">
        <w:rPr>
          <w:rFonts w:ascii="Palatino Linotype" w:hAnsi="Palatino Linotype" w:cs="Tahoma"/>
          <w:bCs/>
          <w:iCs/>
          <w:sz w:val="22"/>
          <w:szCs w:val="22"/>
        </w:rPr>
        <w:lastRenderedPageBreak/>
        <w:t xml:space="preserve">integrar en sus archivos como parte de los documentos para dar de alta a un servidor público de mando medio o superior, la entrega del curriculum vitae o ficha curricular en virtud de que existe disposición legal de hacerla pública a través del Ipomex, además de que la relevancia de esta información es mucha ya que a través de este se puede verificar que el nivel profesional y la experiencia de la persona contratada es acorde con el cargo desempeñado, de tal serte que corresponde a información que debe obrar en los archivos del Sujeto Obligado. </w:t>
      </w:r>
    </w:p>
    <w:p w14:paraId="51A7703E" w14:textId="77777777" w:rsidR="003871D0" w:rsidRDefault="003871D0" w:rsidP="004A2A45">
      <w:pPr>
        <w:spacing w:line="360" w:lineRule="auto"/>
        <w:jc w:val="both"/>
        <w:rPr>
          <w:rFonts w:ascii="Palatino Linotype" w:hAnsi="Palatino Linotype" w:cs="Tahoma"/>
          <w:bCs/>
          <w:iCs/>
          <w:sz w:val="22"/>
          <w:szCs w:val="22"/>
        </w:rPr>
      </w:pPr>
    </w:p>
    <w:p w14:paraId="09003ECB" w14:textId="2E04C85B" w:rsidR="003871D0" w:rsidRPr="003871D0" w:rsidRDefault="003871D0"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tal forma que se determina ordenar nuevamente una búsqueda exhaustiva y razonable de la información relativa a la información curricular del Coordinador de Movilidad, </w:t>
      </w:r>
      <w:r w:rsidR="00EF535C">
        <w:rPr>
          <w:rFonts w:ascii="Palatino Linotype" w:hAnsi="Palatino Linotype" w:cs="Tahoma"/>
          <w:bCs/>
          <w:iCs/>
          <w:sz w:val="22"/>
          <w:szCs w:val="22"/>
        </w:rPr>
        <w:t>y ordenar su entrega de ser el caso en versión pública.</w:t>
      </w:r>
      <w:r>
        <w:rPr>
          <w:rFonts w:ascii="Palatino Linotype" w:hAnsi="Palatino Linotype" w:cs="Tahoma"/>
          <w:bCs/>
          <w:iCs/>
          <w:sz w:val="22"/>
          <w:szCs w:val="22"/>
        </w:rPr>
        <w:t xml:space="preserve"> </w:t>
      </w:r>
    </w:p>
    <w:p w14:paraId="164F30EC" w14:textId="77777777" w:rsidR="0079090D" w:rsidRDefault="0079090D" w:rsidP="004A2A45">
      <w:pPr>
        <w:spacing w:line="360" w:lineRule="auto"/>
        <w:jc w:val="both"/>
        <w:rPr>
          <w:rFonts w:ascii="Palatino Linotype" w:hAnsi="Palatino Linotype" w:cs="Tahoma"/>
          <w:b/>
          <w:bCs/>
          <w:iCs/>
          <w:sz w:val="22"/>
          <w:szCs w:val="22"/>
        </w:rPr>
      </w:pPr>
    </w:p>
    <w:p w14:paraId="0DCD8493" w14:textId="3F5E3517" w:rsidR="00692FF4" w:rsidRPr="00692FF4" w:rsidRDefault="00692FF4" w:rsidP="004A2A45">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SEXTO. VERSIÓN PÚBLICA. </w:t>
      </w:r>
    </w:p>
    <w:p w14:paraId="44A8F0DC" w14:textId="77777777" w:rsidR="002769C1" w:rsidRDefault="002769C1" w:rsidP="002769C1">
      <w:pPr>
        <w:spacing w:line="360" w:lineRule="auto"/>
        <w:jc w:val="both"/>
        <w:rPr>
          <w:rFonts w:ascii="Palatino Linotype" w:eastAsia="Calibri" w:hAnsi="Palatino Linotype" w:cs="Tahoma"/>
          <w:bCs/>
          <w:sz w:val="22"/>
          <w:szCs w:val="22"/>
        </w:rPr>
      </w:pPr>
    </w:p>
    <w:p w14:paraId="3C4FC4EC" w14:textId="5BC4EA59" w:rsidR="00E93753" w:rsidRDefault="00E93753" w:rsidP="00E93753">
      <w:pPr>
        <w:spacing w:line="360" w:lineRule="auto"/>
        <w:jc w:val="both"/>
        <w:rPr>
          <w:rFonts w:ascii="Palatino Linotype" w:eastAsia="Calibri" w:hAnsi="Palatino Linotype" w:cs="Tahoma"/>
          <w:bCs/>
          <w:sz w:val="22"/>
          <w:szCs w:val="22"/>
          <w:lang w:val="es-ES_tradnl"/>
        </w:rPr>
      </w:pPr>
      <w:r w:rsidRPr="00E93753">
        <w:rPr>
          <w:rFonts w:ascii="Palatino Linotype" w:eastAsia="Calibri" w:hAnsi="Palatino Linotype" w:cs="Tahoma"/>
          <w:bCs/>
          <w:sz w:val="22"/>
          <w:szCs w:val="22"/>
          <w:lang w:val="es-ES_tradnl"/>
        </w:rPr>
        <w:t xml:space="preserve">Ahora bien, no pasa desapercibido para este Instituto que </w:t>
      </w:r>
      <w:r w:rsidR="001C2CD5">
        <w:rPr>
          <w:rFonts w:ascii="Palatino Linotype" w:eastAsia="Calibri" w:hAnsi="Palatino Linotype" w:cs="Tahoma"/>
          <w:bCs/>
          <w:sz w:val="22"/>
          <w:szCs w:val="22"/>
          <w:lang w:val="es-ES_tradnl"/>
        </w:rPr>
        <w:t>el</w:t>
      </w:r>
      <w:r w:rsidRPr="00E93753">
        <w:rPr>
          <w:rFonts w:ascii="Palatino Linotype" w:eastAsia="Calibri" w:hAnsi="Palatino Linotype" w:cs="Tahoma"/>
          <w:bCs/>
          <w:sz w:val="22"/>
          <w:szCs w:val="22"/>
          <w:lang w:val="es-ES_tradnl"/>
        </w:rPr>
        <w:t xml:space="preserve"> documento que d</w:t>
      </w:r>
      <w:r w:rsidR="001C2CD5">
        <w:rPr>
          <w:rFonts w:ascii="Palatino Linotype" w:eastAsia="Calibri" w:hAnsi="Palatino Linotype" w:cs="Tahoma"/>
          <w:bCs/>
          <w:sz w:val="22"/>
          <w:szCs w:val="22"/>
          <w:lang w:val="es-ES_tradnl"/>
        </w:rPr>
        <w:t>é</w:t>
      </w:r>
      <w:r w:rsidRPr="00E93753">
        <w:rPr>
          <w:rFonts w:ascii="Palatino Linotype" w:eastAsia="Calibri" w:hAnsi="Palatino Linotype" w:cs="Tahoma"/>
          <w:bCs/>
          <w:sz w:val="22"/>
          <w:szCs w:val="22"/>
          <w:lang w:val="es-ES_tradnl"/>
        </w:rPr>
        <w:t xml:space="preserve"> cuenta de lo </w:t>
      </w:r>
      <w:r w:rsidR="00BC54C9" w:rsidRPr="00E93753">
        <w:rPr>
          <w:rFonts w:ascii="Palatino Linotype" w:eastAsia="Calibri" w:hAnsi="Palatino Linotype" w:cs="Tahoma"/>
          <w:bCs/>
          <w:sz w:val="22"/>
          <w:szCs w:val="22"/>
          <w:lang w:val="es-ES_tradnl"/>
        </w:rPr>
        <w:t>solicitado</w:t>
      </w:r>
      <w:r w:rsidRPr="00E93753">
        <w:rPr>
          <w:rFonts w:ascii="Palatino Linotype" w:eastAsia="Calibri" w:hAnsi="Palatino Linotype" w:cs="Tahoma"/>
          <w:bCs/>
          <w:sz w:val="22"/>
          <w:szCs w:val="22"/>
          <w:lang w:val="es-ES_tradnl"/>
        </w:rPr>
        <w:t xml:space="preserve"> pudiera contener datos </w:t>
      </w:r>
      <w:r>
        <w:rPr>
          <w:rFonts w:ascii="Palatino Linotype" w:eastAsia="Calibri" w:hAnsi="Palatino Linotype" w:cs="Tahoma"/>
          <w:bCs/>
          <w:sz w:val="22"/>
          <w:szCs w:val="22"/>
          <w:lang w:val="es-ES_tradnl"/>
        </w:rPr>
        <w:t xml:space="preserve">confidenciales, </w:t>
      </w:r>
      <w:r>
        <w:rPr>
          <w:rFonts w:ascii="Palatino Linotype" w:eastAsia="Calibri" w:hAnsi="Palatino Linotype" w:cs="Tahoma"/>
          <w:b/>
          <w:bCs/>
          <w:sz w:val="22"/>
          <w:szCs w:val="22"/>
          <w:lang w:val="es-ES_tradnl"/>
        </w:rPr>
        <w:t>de manera enunciativa, más no limitativa</w:t>
      </w:r>
      <w:r>
        <w:rPr>
          <w:rFonts w:ascii="Palatino Linotype" w:eastAsia="Calibri" w:hAnsi="Palatino Linotype" w:cs="Tahoma"/>
          <w:bCs/>
          <w:sz w:val="22"/>
          <w:szCs w:val="22"/>
          <w:lang w:val="es-ES_tradnl"/>
        </w:rPr>
        <w:t>, como; edad, teléfono particular, sexo, domicilio, Clave Única de Registro de Población, estado civil, condiciones de salud y hábitos personales, entre otros,</w:t>
      </w:r>
      <w:r w:rsidRPr="00E93753">
        <w:rPr>
          <w:rFonts w:ascii="Palatino Linotype" w:eastAsia="Calibri" w:hAnsi="Palatino Linotype" w:cs="Tahoma"/>
          <w:bCs/>
          <w:sz w:val="22"/>
          <w:szCs w:val="22"/>
          <w:lang w:val="es-ES_tradnl"/>
        </w:rPr>
        <w:t xml:space="preserve"> por</w:t>
      </w:r>
      <w:r>
        <w:rPr>
          <w:rFonts w:ascii="Palatino Linotype" w:eastAsia="Calibri" w:hAnsi="Palatino Linotype" w:cs="Tahoma"/>
          <w:bCs/>
          <w:sz w:val="22"/>
          <w:szCs w:val="22"/>
          <w:lang w:val="es-ES_tradnl"/>
        </w:rPr>
        <w:t xml:space="preserve"> lo que, en ese </w:t>
      </w:r>
      <w:r w:rsidRPr="00E93753">
        <w:rPr>
          <w:rFonts w:ascii="Palatino Linotype" w:eastAsia="Calibri" w:hAnsi="Palatino Linotype" w:cs="Tahoma"/>
          <w:bCs/>
          <w:sz w:val="22"/>
          <w:szCs w:val="22"/>
          <w:lang w:val="es-ES_tradnl"/>
        </w:rPr>
        <w:t xml:space="preserve">supuesto, </w:t>
      </w:r>
      <w:r>
        <w:rPr>
          <w:rFonts w:ascii="Palatino Linotype" w:eastAsia="Calibri" w:hAnsi="Palatino Linotype" w:cs="Tahoma"/>
          <w:bCs/>
          <w:sz w:val="22"/>
          <w:szCs w:val="22"/>
          <w:lang w:val="es-ES_tradnl"/>
        </w:rPr>
        <w:t xml:space="preserve">se </w:t>
      </w:r>
      <w:r w:rsidRPr="00E93753">
        <w:rPr>
          <w:rFonts w:ascii="Palatino Linotype" w:eastAsia="Calibri" w:hAnsi="Palatino Linotype" w:cs="Tahoma"/>
          <w:bCs/>
          <w:sz w:val="22"/>
          <w:szCs w:val="22"/>
          <w:lang w:val="es-ES_tradnl"/>
        </w:rPr>
        <w:t>deberá elaborar la versión pública respectiva.</w:t>
      </w:r>
    </w:p>
    <w:p w14:paraId="65666B7C" w14:textId="77777777" w:rsidR="00E93753" w:rsidRPr="00E93753" w:rsidRDefault="00E93753" w:rsidP="00E93753">
      <w:pPr>
        <w:spacing w:line="360" w:lineRule="auto"/>
        <w:jc w:val="both"/>
        <w:rPr>
          <w:rFonts w:ascii="Palatino Linotype" w:eastAsia="Calibri" w:hAnsi="Palatino Linotype" w:cs="Tahoma"/>
          <w:bCs/>
          <w:sz w:val="22"/>
          <w:szCs w:val="22"/>
          <w:lang w:val="es-ES_tradnl"/>
        </w:rPr>
      </w:pPr>
    </w:p>
    <w:p w14:paraId="5B42649B"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_tradnl"/>
        </w:rPr>
        <w:t>Sobre dicha circunstancia</w:t>
      </w:r>
      <w:r w:rsidRPr="00E93753">
        <w:rPr>
          <w:rFonts w:ascii="Palatino Linotype" w:eastAsia="Calibri" w:hAnsi="Palatino Linotype" w:cs="Tahoma"/>
          <w:bCs/>
          <w:sz w:val="22"/>
          <w:szCs w:val="22"/>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D1A641B"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p>
    <w:p w14:paraId="187F1276"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593A491" w14:textId="77777777" w:rsidR="00E93753" w:rsidRPr="002769C1" w:rsidRDefault="00E93753" w:rsidP="002769C1">
      <w:pPr>
        <w:spacing w:line="360" w:lineRule="auto"/>
        <w:jc w:val="both"/>
        <w:rPr>
          <w:rFonts w:ascii="Palatino Linotype" w:eastAsia="Calibri" w:hAnsi="Palatino Linotype" w:cs="Tahoma"/>
          <w:bCs/>
          <w:sz w:val="22"/>
          <w:szCs w:val="22"/>
        </w:rPr>
      </w:pPr>
    </w:p>
    <w:p w14:paraId="667C40F3" w14:textId="4CB7F8A0"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S</w:t>
      </w:r>
      <w:r w:rsidR="008774AA">
        <w:rPr>
          <w:rFonts w:ascii="Palatino Linotype" w:hAnsi="Palatino Linotype" w:cs="Tahoma"/>
          <w:b/>
          <w:sz w:val="22"/>
          <w:szCs w:val="22"/>
          <w:lang w:eastAsia="es-MX"/>
        </w:rPr>
        <w:t>ÉPTIMO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1601CA8" w14:textId="618BAF2C" w:rsidR="00606A84" w:rsidRPr="006D0954" w:rsidRDefault="00801872" w:rsidP="005B031E">
      <w:pPr>
        <w:spacing w:line="360" w:lineRule="auto"/>
        <w:jc w:val="both"/>
        <w:rPr>
          <w:rFonts w:ascii="Palatino Linotype" w:hAnsi="Palatino Linotype" w:cs="Tahoma"/>
          <w:b/>
          <w:bCs/>
          <w:iCs/>
          <w:sz w:val="22"/>
          <w:szCs w:val="22"/>
          <w:lang w:val="es-ES_tradnl"/>
        </w:rPr>
      </w:pPr>
      <w:r w:rsidRPr="00C938B6">
        <w:rPr>
          <w:rFonts w:ascii="Palatino Linotype" w:hAnsi="Palatino Linotype" w:cs="Tahoma"/>
          <w:sz w:val="22"/>
          <w:szCs w:val="22"/>
        </w:rPr>
        <w:t>Con fundamento en el artículo 186, fracción I</w:t>
      </w:r>
      <w:r w:rsidR="00483890">
        <w:rPr>
          <w:rFonts w:ascii="Palatino Linotype" w:hAnsi="Palatino Linotype" w:cs="Tahoma"/>
          <w:sz w:val="22"/>
          <w:szCs w:val="22"/>
        </w:rPr>
        <w:t>II</w:t>
      </w:r>
      <w:r w:rsidR="00AD5F62">
        <w:rPr>
          <w:rFonts w:ascii="Palatino Linotype" w:hAnsi="Palatino Linotype" w:cs="Tahoma"/>
          <w:sz w:val="22"/>
          <w:szCs w:val="22"/>
        </w:rPr>
        <w:t xml:space="preserve"> </w:t>
      </w:r>
      <w:r w:rsidRPr="00C938B6">
        <w:rPr>
          <w:rFonts w:ascii="Palatino Linotype" w:hAnsi="Palatino Linotype" w:cs="Tahoma"/>
          <w:sz w:val="22"/>
          <w:szCs w:val="22"/>
        </w:rPr>
        <w:t xml:space="preserve">de la Ley de Transparencia y Acceso a la Información Pública del Estado de México y Municipios, este Instituto considera procedente </w:t>
      </w:r>
      <w:r w:rsidR="00B504A5">
        <w:rPr>
          <w:rFonts w:ascii="Palatino Linotype" w:hAnsi="Palatino Linotype" w:cs="Tahoma"/>
          <w:b/>
          <w:bCs/>
          <w:iCs/>
          <w:sz w:val="22"/>
          <w:szCs w:val="22"/>
          <w:lang w:val="es-ES_tradnl"/>
        </w:rPr>
        <w:t>MODIFICAR</w:t>
      </w:r>
      <w:r w:rsidR="00745462">
        <w:rPr>
          <w:rFonts w:ascii="Palatino Linotype" w:hAnsi="Palatino Linotype" w:cs="Tahoma"/>
          <w:b/>
          <w:bCs/>
          <w:iCs/>
          <w:sz w:val="22"/>
          <w:szCs w:val="22"/>
          <w:lang w:val="es-ES_tradnl"/>
        </w:rPr>
        <w:t xml:space="preserve"> </w:t>
      </w:r>
      <w:r w:rsidR="00745462">
        <w:rPr>
          <w:rFonts w:ascii="Palatino Linotype" w:hAnsi="Palatino Linotype" w:cs="Tahoma"/>
          <w:iCs/>
          <w:sz w:val="22"/>
          <w:szCs w:val="22"/>
          <w:lang w:val="es-ES_tradnl"/>
        </w:rPr>
        <w:t>la respuesta del</w:t>
      </w:r>
      <w:r w:rsidR="00DB505F">
        <w:rPr>
          <w:rFonts w:ascii="Palatino Linotype" w:hAnsi="Palatino Linotype" w:cs="Tahoma"/>
          <w:iCs/>
          <w:sz w:val="22"/>
          <w:szCs w:val="22"/>
          <w:lang w:val="es-ES_tradnl"/>
        </w:rPr>
        <w:t xml:space="preserve"> Sujeto Obligado</w:t>
      </w:r>
      <w:r w:rsidR="00745462">
        <w:rPr>
          <w:rFonts w:ascii="Palatino Linotype" w:hAnsi="Palatino Linotype" w:cs="Tahoma"/>
          <w:iCs/>
          <w:sz w:val="22"/>
          <w:szCs w:val="22"/>
          <w:lang w:val="es-ES_tradnl"/>
        </w:rPr>
        <w:t xml:space="preserve"> y ordenar</w:t>
      </w:r>
      <w:r w:rsidR="00DB505F">
        <w:rPr>
          <w:rFonts w:ascii="Palatino Linotype" w:hAnsi="Palatino Linotype" w:cs="Tahoma"/>
          <w:iCs/>
          <w:sz w:val="22"/>
          <w:szCs w:val="22"/>
          <w:lang w:val="es-ES_tradnl"/>
        </w:rPr>
        <w:t xml:space="preserve"> que proporcione</w:t>
      </w:r>
      <w:r w:rsidR="00994A8C">
        <w:rPr>
          <w:rFonts w:ascii="Palatino Linotype" w:hAnsi="Palatino Linotype" w:cs="Tahoma"/>
          <w:iCs/>
          <w:sz w:val="22"/>
          <w:szCs w:val="22"/>
          <w:lang w:val="es-ES_tradnl"/>
        </w:rPr>
        <w:t xml:space="preserve">, </w:t>
      </w:r>
      <w:r w:rsidR="006D0954">
        <w:rPr>
          <w:rFonts w:ascii="Palatino Linotype" w:hAnsi="Palatino Linotype" w:cs="Tahoma"/>
          <w:iCs/>
          <w:sz w:val="22"/>
          <w:szCs w:val="22"/>
          <w:lang w:val="es-ES_tradnl"/>
        </w:rPr>
        <w:t xml:space="preserve">el </w:t>
      </w:r>
      <w:r w:rsidR="00E93753">
        <w:rPr>
          <w:rFonts w:ascii="Palatino Linotype" w:hAnsi="Palatino Linotype" w:cs="Tahoma"/>
          <w:b/>
          <w:bCs/>
          <w:iCs/>
          <w:sz w:val="22"/>
          <w:szCs w:val="22"/>
          <w:lang w:val="es-ES_tradnl"/>
        </w:rPr>
        <w:t xml:space="preserve">documento en el que conste la información curricular del Coordinador de Movilidad, actualizado al trece de enero de dos mil veintidós. </w:t>
      </w:r>
    </w:p>
    <w:p w14:paraId="7F9A066F" w14:textId="77777777" w:rsidR="0007377F" w:rsidRPr="0007377F" w:rsidRDefault="0007377F" w:rsidP="0007377F">
      <w:pPr>
        <w:spacing w:line="360" w:lineRule="auto"/>
        <w:jc w:val="both"/>
        <w:rPr>
          <w:rFonts w:ascii="Palatino Linotype" w:hAnsi="Palatino Linotype" w:cs="Tahoma"/>
          <w:iCs/>
          <w:sz w:val="22"/>
          <w:szCs w:val="22"/>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D0E089E" w14:textId="170E8BF4" w:rsidR="000737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3F5FB0">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concede</w:t>
      </w:r>
      <w:r w:rsidR="004978B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la razón</w:t>
      </w:r>
      <w:r w:rsidR="00943432">
        <w:rPr>
          <w:rFonts w:ascii="Palatino Linotype" w:eastAsia="Calibri" w:hAnsi="Palatino Linotype" w:cs="Tahoma"/>
          <w:bCs/>
          <w:iCs/>
          <w:sz w:val="22"/>
          <w:szCs w:val="22"/>
          <w:lang w:val="es-ES" w:eastAsia="en-US"/>
        </w:rPr>
        <w:t xml:space="preserve">, pues </w:t>
      </w:r>
      <w:r w:rsidR="0007377F">
        <w:rPr>
          <w:rFonts w:ascii="Palatino Linotype" w:eastAsia="Calibri" w:hAnsi="Palatino Linotype" w:cs="Tahoma"/>
          <w:bCs/>
          <w:iCs/>
          <w:sz w:val="22"/>
          <w:szCs w:val="22"/>
          <w:lang w:val="es-ES" w:eastAsia="en-US"/>
        </w:rPr>
        <w:t>el Sujeto Obligado</w:t>
      </w:r>
      <w:r w:rsidR="00A768A9">
        <w:rPr>
          <w:rFonts w:ascii="Palatino Linotype" w:eastAsia="Calibri" w:hAnsi="Palatino Linotype" w:cs="Tahoma"/>
          <w:bCs/>
          <w:iCs/>
          <w:sz w:val="22"/>
          <w:szCs w:val="22"/>
          <w:lang w:val="es-ES" w:eastAsia="en-US"/>
        </w:rPr>
        <w:t xml:space="preserve"> no le entregó la información relativa a la información curricular del servidor público solicitado</w:t>
      </w:r>
      <w:r w:rsidR="001C2CD5">
        <w:rPr>
          <w:rFonts w:ascii="Palatino Linotype" w:eastAsia="Calibri" w:hAnsi="Palatino Linotype" w:cs="Tahoma"/>
          <w:bCs/>
          <w:iCs/>
          <w:sz w:val="22"/>
          <w:szCs w:val="22"/>
          <w:lang w:val="es-ES" w:eastAsia="en-US"/>
        </w:rPr>
        <w:t xml:space="preserve"> y esta información debe obrar en sus archivos por disposición legal.</w:t>
      </w:r>
    </w:p>
    <w:p w14:paraId="62C2C788" w14:textId="77777777" w:rsidR="0001080D" w:rsidRPr="00CB4A69" w:rsidRDefault="0001080D" w:rsidP="005B031E">
      <w:pPr>
        <w:widowControl w:val="0"/>
        <w:spacing w:line="360" w:lineRule="auto"/>
        <w:jc w:val="both"/>
        <w:rPr>
          <w:rFonts w:ascii="Palatino Linotype" w:eastAsia="Calibri" w:hAnsi="Palatino Linotype" w:cs="Tahoma"/>
          <w:bCs/>
          <w:iCs/>
          <w:sz w:val="22"/>
          <w:szCs w:val="22"/>
          <w:lang w:val="es-ES" w:eastAsia="en-US"/>
        </w:rPr>
      </w:pPr>
    </w:p>
    <w:p w14:paraId="40DDFD7B" w14:textId="221FD80C" w:rsidR="001B6D3C" w:rsidRDefault="00F171E4" w:rsidP="00E73502">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3AB0185B" w14:textId="77777777" w:rsidR="00E73502" w:rsidRDefault="00E73502" w:rsidP="00E73502">
      <w:pPr>
        <w:spacing w:line="360" w:lineRule="auto"/>
        <w:jc w:val="both"/>
        <w:rPr>
          <w:rFonts w:ascii="Palatino Linotype" w:eastAsia="Calibri" w:hAnsi="Palatino Linotype" w:cs="Tahoma"/>
          <w:bCs/>
          <w:iCs/>
          <w:sz w:val="22"/>
          <w:szCs w:val="22"/>
          <w:lang w:eastAsia="en-US"/>
        </w:rPr>
      </w:pPr>
    </w:p>
    <w:p w14:paraId="7818318C" w14:textId="748FEFB2"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331D0C1"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6D025A79" w14:textId="241BCC09" w:rsidR="00E27FF5" w:rsidRDefault="00E27FF5" w:rsidP="004C5F95">
      <w:pPr>
        <w:widowControl w:val="0"/>
        <w:spacing w:line="360" w:lineRule="auto"/>
        <w:jc w:val="both"/>
        <w:rPr>
          <w:rFonts w:ascii="Palatino Linotype" w:eastAsia="Calibri" w:hAnsi="Palatino Linotype" w:cs="Tahoma"/>
          <w:sz w:val="22"/>
          <w:szCs w:val="22"/>
          <w:lang w:eastAsia="en-US"/>
        </w:rPr>
      </w:pPr>
      <w:bookmarkStart w:id="3" w:name="_Hlk92790075"/>
      <w:r w:rsidRPr="00E27FF5">
        <w:rPr>
          <w:rFonts w:ascii="Palatino Linotype" w:hAnsi="Palatino Linotype" w:cs="Tahoma"/>
          <w:b/>
          <w:bCs/>
          <w:sz w:val="22"/>
          <w:szCs w:val="22"/>
        </w:rPr>
        <w:lastRenderedPageBreak/>
        <w:t xml:space="preserve">PRIMERO. </w:t>
      </w:r>
      <w:r w:rsidR="00BF3EED">
        <w:rPr>
          <w:rFonts w:ascii="Palatino Linotype" w:eastAsia="Calibri" w:hAnsi="Palatino Linotype" w:cs="Tahoma"/>
          <w:bCs/>
          <w:sz w:val="22"/>
          <w:szCs w:val="22"/>
        </w:rPr>
        <w:t xml:space="preserve">Se </w:t>
      </w:r>
      <w:r w:rsidR="00B504A5">
        <w:rPr>
          <w:rFonts w:ascii="Palatino Linotype" w:eastAsia="Calibri" w:hAnsi="Palatino Linotype" w:cs="Tahoma"/>
          <w:b/>
          <w:sz w:val="22"/>
          <w:szCs w:val="22"/>
        </w:rPr>
        <w:t>MODIFICA</w:t>
      </w:r>
      <w:r w:rsidR="00BF3EED">
        <w:rPr>
          <w:rFonts w:ascii="Palatino Linotype" w:eastAsia="Calibri" w:hAnsi="Palatino Linotype" w:cs="Tahoma"/>
          <w:b/>
          <w:sz w:val="22"/>
          <w:szCs w:val="22"/>
        </w:rPr>
        <w:t xml:space="preserve"> </w:t>
      </w:r>
      <w:r w:rsidR="00BF3EED">
        <w:rPr>
          <w:rFonts w:ascii="Palatino Linotype" w:eastAsia="Calibri" w:hAnsi="Palatino Linotype" w:cs="Tahoma"/>
          <w:bCs/>
          <w:sz w:val="22"/>
          <w:szCs w:val="22"/>
        </w:rPr>
        <w:t xml:space="preserve">la respuesta entregada por el Ayuntamiento de </w:t>
      </w:r>
      <w:r w:rsidR="00A768A9">
        <w:rPr>
          <w:rFonts w:ascii="Palatino Linotype" w:eastAsia="Calibri" w:hAnsi="Palatino Linotype" w:cs="Tahoma"/>
          <w:bCs/>
          <w:sz w:val="22"/>
          <w:szCs w:val="22"/>
        </w:rPr>
        <w:t>Villa del Carbón</w:t>
      </w:r>
      <w:r w:rsidR="00BF3EED">
        <w:rPr>
          <w:rFonts w:ascii="Palatino Linotype" w:eastAsia="Calibri" w:hAnsi="Palatino Linotype" w:cs="Tahoma"/>
          <w:bCs/>
          <w:sz w:val="22"/>
          <w:szCs w:val="22"/>
        </w:rPr>
        <w:t xml:space="preserve"> a la solicitud de información</w:t>
      </w:r>
      <w:r w:rsidR="001529E7">
        <w:rPr>
          <w:rFonts w:ascii="Palatino Linotype" w:eastAsia="Calibri" w:hAnsi="Palatino Linotype" w:cs="Tahoma"/>
          <w:bCs/>
          <w:sz w:val="22"/>
          <w:szCs w:val="22"/>
        </w:rPr>
        <w:t xml:space="preserve"> </w:t>
      </w:r>
      <w:r w:rsidR="001529E7" w:rsidRPr="001529E7">
        <w:rPr>
          <w:rFonts w:ascii="Palatino Linotype" w:eastAsia="Calibri" w:hAnsi="Palatino Linotype" w:cs="Tahoma"/>
          <w:sz w:val="22"/>
          <w:szCs w:val="22"/>
          <w:lang w:eastAsia="en-US"/>
        </w:rPr>
        <w:t>00</w:t>
      </w:r>
      <w:r w:rsidR="00A768A9">
        <w:rPr>
          <w:rFonts w:ascii="Palatino Linotype" w:eastAsia="Calibri" w:hAnsi="Palatino Linotype" w:cs="Tahoma"/>
          <w:sz w:val="22"/>
          <w:szCs w:val="22"/>
          <w:lang w:eastAsia="en-US"/>
        </w:rPr>
        <w:t>008</w:t>
      </w:r>
      <w:r w:rsidR="001529E7" w:rsidRPr="001529E7">
        <w:rPr>
          <w:rFonts w:ascii="Palatino Linotype" w:eastAsia="Calibri" w:hAnsi="Palatino Linotype" w:cs="Tahoma"/>
          <w:sz w:val="22"/>
          <w:szCs w:val="22"/>
          <w:lang w:eastAsia="en-US"/>
        </w:rPr>
        <w:t>/</w:t>
      </w:r>
      <w:r w:rsidR="00A768A9">
        <w:rPr>
          <w:rFonts w:ascii="Palatino Linotype" w:eastAsia="Calibri" w:hAnsi="Palatino Linotype" w:cs="Tahoma"/>
          <w:sz w:val="22"/>
          <w:szCs w:val="22"/>
          <w:lang w:eastAsia="en-US"/>
        </w:rPr>
        <w:t>VICARBO</w:t>
      </w:r>
      <w:r w:rsidR="001529E7" w:rsidRPr="001529E7">
        <w:rPr>
          <w:rFonts w:ascii="Palatino Linotype" w:eastAsia="Calibri" w:hAnsi="Palatino Linotype" w:cs="Tahoma"/>
          <w:sz w:val="22"/>
          <w:szCs w:val="22"/>
          <w:lang w:eastAsia="en-US"/>
        </w:rPr>
        <w:t>/IP/2021 por</w:t>
      </w:r>
      <w:r w:rsidR="00A768A9">
        <w:rPr>
          <w:rFonts w:ascii="Palatino Linotype" w:eastAsia="Calibri" w:hAnsi="Palatino Linotype" w:cs="Tahoma"/>
          <w:sz w:val="22"/>
          <w:szCs w:val="22"/>
          <w:lang w:eastAsia="en-US"/>
        </w:rPr>
        <w:t xml:space="preserve"> resultar </w:t>
      </w:r>
      <w:r w:rsidR="001529E7">
        <w:rPr>
          <w:rFonts w:ascii="Palatino Linotype" w:eastAsia="Calibri" w:hAnsi="Palatino Linotype" w:cs="Tahoma"/>
          <w:b/>
          <w:bCs/>
          <w:sz w:val="22"/>
          <w:szCs w:val="22"/>
          <w:lang w:eastAsia="en-US"/>
        </w:rPr>
        <w:t xml:space="preserve">FUNDADOS </w:t>
      </w:r>
      <w:r w:rsidR="001529E7">
        <w:rPr>
          <w:rFonts w:ascii="Palatino Linotype" w:eastAsia="Calibri" w:hAnsi="Palatino Linotype" w:cs="Tahoma"/>
          <w:sz w:val="22"/>
          <w:szCs w:val="22"/>
          <w:lang w:eastAsia="en-US"/>
        </w:rPr>
        <w:t xml:space="preserve">los motivos de inconformidad vertidos por el Recurrente, en términos de los Considerandos </w:t>
      </w:r>
      <w:r w:rsidR="003D3A22">
        <w:rPr>
          <w:rFonts w:ascii="Palatino Linotype" w:eastAsia="Calibri" w:hAnsi="Palatino Linotype" w:cs="Tahoma"/>
          <w:b/>
          <w:bCs/>
          <w:sz w:val="22"/>
          <w:szCs w:val="22"/>
          <w:lang w:eastAsia="en-US"/>
        </w:rPr>
        <w:t>QUINTO</w:t>
      </w:r>
      <w:r w:rsidR="001529E7">
        <w:rPr>
          <w:rFonts w:ascii="Palatino Linotype" w:eastAsia="Calibri" w:hAnsi="Palatino Linotype" w:cs="Tahoma"/>
          <w:sz w:val="22"/>
          <w:szCs w:val="22"/>
          <w:lang w:eastAsia="en-US"/>
        </w:rPr>
        <w:t xml:space="preserve"> y </w:t>
      </w:r>
      <w:r w:rsidR="003D3A22">
        <w:rPr>
          <w:rFonts w:ascii="Palatino Linotype" w:eastAsia="Calibri" w:hAnsi="Palatino Linotype" w:cs="Tahoma"/>
          <w:b/>
          <w:bCs/>
          <w:sz w:val="22"/>
          <w:szCs w:val="22"/>
          <w:lang w:eastAsia="en-US"/>
        </w:rPr>
        <w:t>S</w:t>
      </w:r>
      <w:r w:rsidR="00A768A9">
        <w:rPr>
          <w:rFonts w:ascii="Palatino Linotype" w:eastAsia="Calibri" w:hAnsi="Palatino Linotype" w:cs="Tahoma"/>
          <w:b/>
          <w:bCs/>
          <w:sz w:val="22"/>
          <w:szCs w:val="22"/>
          <w:lang w:eastAsia="en-US"/>
        </w:rPr>
        <w:t>ÉPTIMO</w:t>
      </w:r>
      <w:r w:rsidR="003D3A22">
        <w:rPr>
          <w:rFonts w:ascii="Palatino Linotype" w:eastAsia="Calibri" w:hAnsi="Palatino Linotype" w:cs="Tahoma"/>
          <w:b/>
          <w:bCs/>
          <w:sz w:val="22"/>
          <w:szCs w:val="22"/>
          <w:lang w:eastAsia="en-US"/>
        </w:rPr>
        <w:t xml:space="preserve"> </w:t>
      </w:r>
      <w:r w:rsidR="001529E7">
        <w:rPr>
          <w:rFonts w:ascii="Palatino Linotype" w:eastAsia="Calibri" w:hAnsi="Palatino Linotype" w:cs="Tahoma"/>
          <w:sz w:val="22"/>
          <w:szCs w:val="22"/>
          <w:lang w:eastAsia="en-US"/>
        </w:rPr>
        <w:t xml:space="preserve">de la presente Resolución. </w:t>
      </w:r>
    </w:p>
    <w:p w14:paraId="596F382E" w14:textId="77777777" w:rsidR="001C2CD5" w:rsidRPr="004C5F95" w:rsidRDefault="001C2CD5" w:rsidP="004C5F95">
      <w:pPr>
        <w:widowControl w:val="0"/>
        <w:spacing w:line="360" w:lineRule="auto"/>
        <w:jc w:val="both"/>
        <w:rPr>
          <w:rFonts w:ascii="Palatino Linotype" w:eastAsia="Calibri" w:hAnsi="Palatino Linotype" w:cs="Tahoma"/>
          <w:sz w:val="22"/>
          <w:szCs w:val="22"/>
          <w:lang w:eastAsia="en-US"/>
        </w:rPr>
      </w:pPr>
    </w:p>
    <w:p w14:paraId="45C004BC" w14:textId="5115BC5E" w:rsidR="00A22180" w:rsidRDefault="00E27FF5" w:rsidP="00A768A9">
      <w:pPr>
        <w:spacing w:line="360" w:lineRule="auto"/>
        <w:ind w:right="-93"/>
        <w:jc w:val="both"/>
        <w:rPr>
          <w:rFonts w:ascii="Palatino Linotype" w:hAnsi="Palatino Linotype" w:cs="Tahoma"/>
          <w:b/>
          <w:bCs/>
          <w:iCs/>
          <w:sz w:val="22"/>
          <w:szCs w:val="22"/>
          <w:lang w:val="es-ES_tradnl"/>
        </w:rPr>
      </w:pPr>
      <w:r w:rsidRPr="00E27FF5">
        <w:rPr>
          <w:rFonts w:ascii="Palatino Linotype" w:eastAsia="Calibri" w:hAnsi="Palatino Linotype" w:cs="Tahoma"/>
          <w:b/>
          <w:bCs/>
          <w:sz w:val="22"/>
          <w:szCs w:val="22"/>
        </w:rPr>
        <w:t>SEGUNDO.</w:t>
      </w:r>
      <w:r w:rsidRPr="00E27FF5">
        <w:rPr>
          <w:rFonts w:ascii="Palatino Linotype" w:eastAsia="Calibri" w:hAnsi="Palatino Linotype" w:cs="Tahoma"/>
          <w:sz w:val="22"/>
          <w:szCs w:val="22"/>
          <w:lang w:eastAsia="es-MX"/>
        </w:rPr>
        <w:t xml:space="preserve"> Se </w:t>
      </w:r>
      <w:r w:rsidRPr="00E27FF5">
        <w:rPr>
          <w:rFonts w:ascii="Palatino Linotype" w:eastAsia="Calibri" w:hAnsi="Palatino Linotype" w:cs="Tahoma"/>
          <w:b/>
          <w:sz w:val="22"/>
          <w:szCs w:val="22"/>
          <w:lang w:eastAsia="es-MX"/>
        </w:rPr>
        <w:t xml:space="preserve">ORDENA </w:t>
      </w:r>
      <w:r w:rsidRPr="00E27FF5">
        <w:rPr>
          <w:rFonts w:ascii="Palatino Linotype" w:eastAsia="Calibri" w:hAnsi="Palatino Linotype" w:cs="Tahoma"/>
          <w:sz w:val="22"/>
          <w:szCs w:val="22"/>
          <w:lang w:eastAsia="es-MX"/>
        </w:rPr>
        <w:t xml:space="preserve">al Sujeto Obligado, </w:t>
      </w:r>
      <w:r w:rsidRPr="00E27FF5">
        <w:rPr>
          <w:rFonts w:ascii="Palatino Linotype" w:eastAsia="Calibri" w:hAnsi="Palatino Linotype" w:cs="Tahoma"/>
          <w:bCs/>
          <w:sz w:val="22"/>
          <w:szCs w:val="22"/>
        </w:rPr>
        <w:t>a efecto de que</w:t>
      </w:r>
      <w:r w:rsidR="00CD6D02">
        <w:rPr>
          <w:rFonts w:ascii="Palatino Linotype" w:hAnsi="Palatino Linotype" w:cs="Tahoma"/>
          <w:sz w:val="22"/>
          <w:szCs w:val="22"/>
        </w:rPr>
        <w:t xml:space="preserve"> </w:t>
      </w:r>
      <w:r w:rsidR="00725CAF">
        <w:rPr>
          <w:rFonts w:ascii="Palatino Linotype" w:hAnsi="Palatino Linotype" w:cs="Tahoma"/>
          <w:sz w:val="22"/>
          <w:szCs w:val="22"/>
        </w:rPr>
        <w:t xml:space="preserve">entregue a </w:t>
      </w:r>
      <w:r w:rsidR="00725CAF" w:rsidRPr="00E27FF5">
        <w:rPr>
          <w:rFonts w:ascii="Palatino Linotype" w:hAnsi="Palatino Linotype" w:cs="Tahoma"/>
          <w:sz w:val="22"/>
          <w:szCs w:val="22"/>
        </w:rPr>
        <w:t>través</w:t>
      </w:r>
      <w:r w:rsidRPr="00E27FF5">
        <w:rPr>
          <w:rFonts w:ascii="Palatino Linotype" w:hAnsi="Palatino Linotype" w:cs="Tahoma"/>
          <w:sz w:val="22"/>
          <w:szCs w:val="22"/>
        </w:rPr>
        <w:t xml:space="preserve"> del </w:t>
      </w:r>
      <w:r w:rsidRPr="00E27FF5">
        <w:rPr>
          <w:rFonts w:ascii="Palatino Linotype" w:hAnsi="Palatino Linotype" w:cs="Tahoma"/>
          <w:sz w:val="22"/>
          <w:szCs w:val="22"/>
          <w:lang w:val="es-ES"/>
        </w:rPr>
        <w:t>Sistema de Acceso a la Información Mexiquense (SAIMEX)</w:t>
      </w:r>
      <w:r w:rsidR="00744442">
        <w:rPr>
          <w:rFonts w:ascii="Palatino Linotype" w:hAnsi="Palatino Linotype" w:cs="Tahoma"/>
          <w:sz w:val="22"/>
          <w:szCs w:val="22"/>
        </w:rPr>
        <w:t>,</w:t>
      </w:r>
      <w:r w:rsidR="00744442" w:rsidRPr="00E27FF5">
        <w:rPr>
          <w:rFonts w:ascii="Palatino Linotype" w:hAnsi="Palatino Linotype" w:cs="Tahoma"/>
          <w:sz w:val="22"/>
          <w:szCs w:val="22"/>
          <w:lang w:val="es-ES"/>
        </w:rPr>
        <w:t xml:space="preserve"> </w:t>
      </w:r>
      <w:r w:rsidR="00A768A9">
        <w:rPr>
          <w:rFonts w:ascii="Palatino Linotype" w:hAnsi="Palatino Linotype" w:cs="Tahoma"/>
          <w:sz w:val="22"/>
          <w:szCs w:val="22"/>
          <w:lang w:val="es-ES"/>
        </w:rPr>
        <w:t xml:space="preserve">previa búsqueda exhaustiva y razonable, de ser procedente en versión pública, el </w:t>
      </w:r>
      <w:r w:rsidR="00A768A9" w:rsidRPr="00A768A9">
        <w:rPr>
          <w:rFonts w:ascii="Palatino Linotype" w:hAnsi="Palatino Linotype" w:cs="Tahoma"/>
          <w:b/>
          <w:bCs/>
          <w:iCs/>
          <w:sz w:val="22"/>
          <w:szCs w:val="22"/>
          <w:lang w:val="es-ES_tradnl"/>
        </w:rPr>
        <w:t xml:space="preserve">documento en el que conste la información curricular </w:t>
      </w:r>
      <w:r w:rsidR="001C2CD5">
        <w:rPr>
          <w:rFonts w:ascii="Palatino Linotype" w:hAnsi="Palatino Linotype" w:cs="Tahoma"/>
          <w:b/>
          <w:bCs/>
          <w:iCs/>
          <w:sz w:val="22"/>
          <w:szCs w:val="22"/>
          <w:lang w:val="es-ES_tradnl"/>
        </w:rPr>
        <w:t>(</w:t>
      </w:r>
      <w:r w:rsidR="001C2CD5" w:rsidRPr="001C2CD5">
        <w:rPr>
          <w:rFonts w:ascii="Palatino Linotype" w:hAnsi="Palatino Linotype" w:cs="Tahoma"/>
          <w:b/>
          <w:bCs/>
          <w:i/>
          <w:sz w:val="22"/>
          <w:szCs w:val="22"/>
          <w:lang w:val="es-ES_tradnl"/>
        </w:rPr>
        <w:t>curriculum vitae</w:t>
      </w:r>
      <w:r w:rsidR="001C2CD5">
        <w:rPr>
          <w:rFonts w:ascii="Palatino Linotype" w:hAnsi="Palatino Linotype" w:cs="Tahoma"/>
          <w:b/>
          <w:bCs/>
          <w:iCs/>
          <w:sz w:val="22"/>
          <w:szCs w:val="22"/>
          <w:lang w:val="es-ES_tradnl"/>
        </w:rPr>
        <w:t xml:space="preserve"> o ficha curricular) </w:t>
      </w:r>
      <w:r w:rsidR="00A768A9" w:rsidRPr="00A768A9">
        <w:rPr>
          <w:rFonts w:ascii="Palatino Linotype" w:hAnsi="Palatino Linotype" w:cs="Tahoma"/>
          <w:b/>
          <w:bCs/>
          <w:iCs/>
          <w:sz w:val="22"/>
          <w:szCs w:val="22"/>
          <w:lang w:val="es-ES_tradnl"/>
        </w:rPr>
        <w:t>de</w:t>
      </w:r>
      <w:r w:rsidR="001C2CD5">
        <w:rPr>
          <w:rFonts w:ascii="Palatino Linotype" w:hAnsi="Palatino Linotype" w:cs="Tahoma"/>
          <w:b/>
          <w:bCs/>
          <w:iCs/>
          <w:sz w:val="22"/>
          <w:szCs w:val="22"/>
          <w:lang w:val="es-ES_tradnl"/>
        </w:rPr>
        <w:t xml:space="preserve"> quien ocupa u ocupó el cargo de</w:t>
      </w:r>
      <w:r w:rsidR="00A768A9" w:rsidRPr="00A768A9">
        <w:rPr>
          <w:rFonts w:ascii="Palatino Linotype" w:hAnsi="Palatino Linotype" w:cs="Tahoma"/>
          <w:b/>
          <w:bCs/>
          <w:iCs/>
          <w:sz w:val="22"/>
          <w:szCs w:val="22"/>
          <w:lang w:val="es-ES_tradnl"/>
        </w:rPr>
        <w:t xml:space="preserve"> Coordinador de Movilidad</w:t>
      </w:r>
      <w:r w:rsidR="001C2CD5">
        <w:rPr>
          <w:rFonts w:ascii="Palatino Linotype" w:hAnsi="Palatino Linotype" w:cs="Tahoma"/>
          <w:b/>
          <w:bCs/>
          <w:iCs/>
          <w:sz w:val="22"/>
          <w:szCs w:val="22"/>
          <w:lang w:val="es-ES_tradnl"/>
        </w:rPr>
        <w:t xml:space="preserve">, </w:t>
      </w:r>
      <w:r w:rsidR="00A768A9" w:rsidRPr="00A768A9">
        <w:rPr>
          <w:rFonts w:ascii="Palatino Linotype" w:hAnsi="Palatino Linotype" w:cs="Tahoma"/>
          <w:b/>
          <w:bCs/>
          <w:iCs/>
          <w:sz w:val="22"/>
          <w:szCs w:val="22"/>
          <w:lang w:val="es-ES_tradnl"/>
        </w:rPr>
        <w:t>al trece de enero de dos mil veintidós.</w:t>
      </w:r>
    </w:p>
    <w:p w14:paraId="464C3615" w14:textId="77777777" w:rsidR="00A768A9" w:rsidRDefault="00A768A9" w:rsidP="00A768A9">
      <w:pPr>
        <w:spacing w:line="360" w:lineRule="auto"/>
        <w:ind w:right="-93"/>
        <w:jc w:val="both"/>
        <w:rPr>
          <w:rFonts w:ascii="Palatino Linotype" w:hAnsi="Palatino Linotype" w:cs="Tahoma"/>
          <w:sz w:val="22"/>
          <w:szCs w:val="22"/>
          <w:lang w:val="es-ES"/>
        </w:rPr>
      </w:pPr>
    </w:p>
    <w:p w14:paraId="368425BE" w14:textId="131DC23B" w:rsidR="00A768A9" w:rsidRPr="00A768A9" w:rsidRDefault="00A768A9" w:rsidP="00A768A9">
      <w:pPr>
        <w:spacing w:line="360" w:lineRule="auto"/>
        <w:ind w:right="-93"/>
        <w:jc w:val="both"/>
        <w:rPr>
          <w:rFonts w:ascii="Palatino Linotype" w:hAnsi="Palatino Linotype" w:cs="Tahoma"/>
          <w:sz w:val="22"/>
          <w:szCs w:val="22"/>
          <w:lang w:val="es-ES_tradnl"/>
        </w:rPr>
      </w:pPr>
      <w:r w:rsidRPr="00A768A9">
        <w:rPr>
          <w:rFonts w:ascii="Palatino Linotype" w:hAnsi="Palatino Linotype" w:cs="Tahoma"/>
          <w:sz w:val="22"/>
          <w:szCs w:val="22"/>
          <w:lang w:val="es-ES_tradnl"/>
        </w:rPr>
        <w:t xml:space="preserve">Además, </w:t>
      </w:r>
      <w:r w:rsidR="001C2CD5">
        <w:rPr>
          <w:rFonts w:ascii="Palatino Linotype" w:hAnsi="Palatino Linotype" w:cs="Tahoma"/>
          <w:sz w:val="22"/>
          <w:szCs w:val="22"/>
          <w:lang w:val="es-ES_tradnl"/>
        </w:rPr>
        <w:t>de ser necesaria la versión pública</w:t>
      </w:r>
      <w:r w:rsidRPr="00A768A9">
        <w:rPr>
          <w:rFonts w:ascii="Palatino Linotype" w:hAnsi="Palatino Linotype" w:cs="Tahoma"/>
          <w:sz w:val="22"/>
          <w:szCs w:val="22"/>
          <w:lang w:val="es-ES_tradnl"/>
        </w:rPr>
        <w:t>, deberá proporcionar el Acuerdo de Clasificación donde el Comité de Transparencia, que confirme la clasificación de los datos testados en términos de los artículos 49, fracción II y 132, fracción II</w:t>
      </w:r>
      <w:r w:rsidR="001C2CD5">
        <w:rPr>
          <w:rFonts w:ascii="Palatino Linotype" w:hAnsi="Palatino Linotype" w:cs="Tahoma"/>
          <w:sz w:val="22"/>
          <w:szCs w:val="22"/>
          <w:lang w:val="es-ES_tradnl"/>
        </w:rPr>
        <w:t>, 143, fracción I y 149</w:t>
      </w:r>
      <w:r w:rsidRPr="00A768A9">
        <w:rPr>
          <w:rFonts w:ascii="Palatino Linotype" w:hAnsi="Palatino Linotype" w:cs="Tahoma"/>
          <w:sz w:val="22"/>
          <w:szCs w:val="22"/>
          <w:lang w:val="es-ES_tradnl"/>
        </w:rPr>
        <w:t xml:space="preserve"> de la Ley de Transparencia y Acceso a la Información Pública del Estado de México y Municipios.</w:t>
      </w:r>
    </w:p>
    <w:p w14:paraId="3892F64B" w14:textId="77777777" w:rsidR="00A768A9" w:rsidRPr="00A768A9" w:rsidRDefault="00A768A9" w:rsidP="00A768A9">
      <w:pPr>
        <w:spacing w:line="360" w:lineRule="auto"/>
        <w:ind w:right="-93"/>
        <w:jc w:val="both"/>
        <w:rPr>
          <w:rFonts w:ascii="Palatino Linotype" w:hAnsi="Palatino Linotype" w:cs="Tahoma"/>
          <w:sz w:val="22"/>
          <w:szCs w:val="22"/>
          <w:lang w:val="es-ES"/>
        </w:rPr>
      </w:pPr>
    </w:p>
    <w:bookmarkEnd w:id="3"/>
    <w:p w14:paraId="6EDB290E" w14:textId="77777777" w:rsidR="00A22180" w:rsidRPr="00114865" w:rsidRDefault="00A22180" w:rsidP="00A22180">
      <w:pPr>
        <w:spacing w:line="360" w:lineRule="auto"/>
        <w:jc w:val="both"/>
        <w:rPr>
          <w:rFonts w:ascii="Palatino Linotype" w:hAnsi="Palatino Linotype" w:cs="Tahoma"/>
          <w:i/>
          <w:color w:val="000000"/>
          <w:sz w:val="22"/>
          <w:szCs w:val="22"/>
        </w:rPr>
      </w:pPr>
      <w:r w:rsidRPr="00C51D8E">
        <w:rPr>
          <w:rFonts w:ascii="Palatino Linotype" w:eastAsia="Calibri" w:hAnsi="Palatino Linotype" w:cs="Tahoma"/>
          <w:b/>
          <w:bCs/>
          <w:color w:val="000000"/>
          <w:sz w:val="22"/>
          <w:szCs w:val="22"/>
          <w:lang w:eastAsia="en-US"/>
        </w:rPr>
        <w:t xml:space="preserve">TERCERO. </w:t>
      </w:r>
      <w:r w:rsidRPr="00114865">
        <w:rPr>
          <w:rFonts w:ascii="Palatino Linotype" w:hAnsi="Palatino Linotype" w:cs="Tahoma"/>
          <w:b/>
          <w:color w:val="000000"/>
          <w:sz w:val="22"/>
          <w:szCs w:val="22"/>
        </w:rPr>
        <w:t xml:space="preserve">NOTIFÍQUESE </w:t>
      </w:r>
      <w:r w:rsidRPr="00114865">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114865">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14:paraId="68C2EF4D" w14:textId="77777777" w:rsidR="00A22180" w:rsidRDefault="00A22180" w:rsidP="00A22180">
      <w:pPr>
        <w:spacing w:line="360" w:lineRule="auto"/>
        <w:jc w:val="both"/>
        <w:rPr>
          <w:rFonts w:ascii="Palatino Linotype" w:eastAsia="Calibri" w:hAnsi="Palatino Linotype" w:cs="Tahoma"/>
          <w:sz w:val="22"/>
          <w:szCs w:val="22"/>
          <w:lang w:eastAsia="es-MX"/>
        </w:rPr>
      </w:pPr>
    </w:p>
    <w:p w14:paraId="1963487F" w14:textId="77777777" w:rsidR="00A22180" w:rsidRPr="00114865" w:rsidRDefault="00A22180" w:rsidP="00A22180">
      <w:pPr>
        <w:spacing w:line="360" w:lineRule="auto"/>
        <w:jc w:val="both"/>
        <w:rPr>
          <w:rFonts w:ascii="Palatino Linotype" w:eastAsia="Calibri" w:hAnsi="Palatino Linotype" w:cs="Tahoma"/>
          <w:sz w:val="22"/>
          <w:szCs w:val="22"/>
          <w:lang w:eastAsia="es-MX"/>
        </w:rPr>
      </w:pPr>
      <w:r w:rsidRPr="00114865">
        <w:rPr>
          <w:rFonts w:ascii="Palatino Linotype" w:eastAsia="Calibri" w:hAnsi="Palatino Linotype" w:cs="Tahoma"/>
          <w:sz w:val="22"/>
          <w:szCs w:val="22"/>
          <w:lang w:eastAsia="es-MX"/>
        </w:rPr>
        <w:t xml:space="preserve">De conformidad con el artículo 198 de la Ley de Transparencia y Acceso a la Información Pública del Estado de México y Municipios, de considerarlo procedente, el Sujeto Obligado de </w:t>
      </w:r>
      <w:r w:rsidRPr="00114865">
        <w:rPr>
          <w:rFonts w:ascii="Palatino Linotype" w:eastAsia="Calibri" w:hAnsi="Palatino Linotype" w:cs="Tahoma"/>
          <w:sz w:val="22"/>
          <w:szCs w:val="22"/>
          <w:lang w:eastAsia="es-MX"/>
        </w:rPr>
        <w:lastRenderedPageBreak/>
        <w:t>manera fundada y motivada, podrá solicitar una ampliación de plazo para el cumplimiento de la presente Resolución.</w:t>
      </w:r>
    </w:p>
    <w:p w14:paraId="10E0FCB7"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p>
    <w:p w14:paraId="224BC463"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r>
        <w:rPr>
          <w:rFonts w:ascii="Palatino Linotype" w:eastAsia="Calibri" w:hAnsi="Palatino Linotype" w:cs="Tahoma"/>
          <w:b/>
          <w:bCs/>
          <w:sz w:val="22"/>
          <w:szCs w:val="22"/>
          <w:lang w:eastAsia="es-MX"/>
        </w:rPr>
        <w:t>CUARTO</w:t>
      </w:r>
      <w:r w:rsidRPr="00CC253A">
        <w:rPr>
          <w:rFonts w:ascii="Palatino Linotype" w:eastAsia="Calibri" w:hAnsi="Palatino Linotype" w:cs="Tahoma"/>
          <w:b/>
          <w:bCs/>
          <w:sz w:val="22"/>
          <w:szCs w:val="22"/>
          <w:lang w:eastAsia="es-MX"/>
        </w:rPr>
        <w:t>. NOTIFÍQUESE</w:t>
      </w:r>
      <w:r w:rsidRPr="00CC253A">
        <w:rPr>
          <w:rFonts w:ascii="Palatino Linotype" w:eastAsia="Calibri" w:hAnsi="Palatino Linotype" w:cs="Tahoma"/>
          <w:sz w:val="22"/>
          <w:szCs w:val="22"/>
          <w:lang w:eastAsia="es-MX"/>
        </w:rPr>
        <w:t xml:space="preserve"> </w:t>
      </w:r>
      <w:r>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615BFC" w14:textId="77777777" w:rsidR="00A22180" w:rsidRDefault="00A22180" w:rsidP="005B031E">
      <w:pPr>
        <w:spacing w:line="360" w:lineRule="auto"/>
        <w:jc w:val="both"/>
        <w:rPr>
          <w:rFonts w:ascii="Palatino Linotype" w:hAnsi="Palatino Linotype" w:cs="Tahoma"/>
          <w:sz w:val="22"/>
          <w:szCs w:val="22"/>
          <w:lang w:eastAsia="es-MX"/>
        </w:rPr>
      </w:pPr>
    </w:p>
    <w:p w14:paraId="71584A6E" w14:textId="4CB5769C" w:rsidR="00801872" w:rsidRPr="00C938B6" w:rsidRDefault="00095091"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w:t>
      </w:r>
      <w:r>
        <w:rPr>
          <w:rFonts w:ascii="Palatino Linotype" w:hAnsi="Palatino Linotype" w:cs="Tahoma"/>
          <w:sz w:val="22"/>
          <w:szCs w:val="22"/>
          <w:lang w:eastAsia="es-MX"/>
        </w:rPr>
        <w:t>NOVENA SESIÓN ORDINARIA</w:t>
      </w:r>
      <w:r w:rsidRPr="00C938B6">
        <w:rPr>
          <w:rFonts w:ascii="Palatino Linotype" w:hAnsi="Palatino Linotype" w:cs="Tahoma"/>
          <w:sz w:val="22"/>
          <w:szCs w:val="22"/>
          <w:lang w:eastAsia="es-MX"/>
        </w:rPr>
        <w:t>, CELEBRADA EL</w:t>
      </w:r>
      <w:r>
        <w:rPr>
          <w:rFonts w:ascii="Palatino Linotype" w:hAnsi="Palatino Linotype" w:cs="Tahoma"/>
          <w:sz w:val="22"/>
          <w:szCs w:val="22"/>
          <w:lang w:eastAsia="es-MX"/>
        </w:rPr>
        <w:t xml:space="preserve"> NUEVE DE MARZO</w:t>
      </w:r>
      <w:r>
        <w:rPr>
          <w:rFonts w:ascii="Palatino Linotype" w:hAnsi="Palatino Linotype" w:cs="Tahoma"/>
          <w:bCs/>
          <w:sz w:val="22"/>
          <w:szCs w:val="22"/>
          <w:lang w:eastAsia="es-MX"/>
        </w:rPr>
        <w:t xml:space="preserve"> DE DOS MIL VEINTIDÓS</w:t>
      </w:r>
      <w:r w:rsidRPr="00C938B6">
        <w:rPr>
          <w:rFonts w:ascii="Palatino Linotype" w:hAnsi="Palatino Linotype" w:cs="Tahoma"/>
          <w:sz w:val="22"/>
          <w:szCs w:val="22"/>
          <w:lang w:eastAsia="es-MX"/>
        </w:rPr>
        <w:t>, ANTE EL SECRETARIO TÉCNICO DEL PLENO, ALEXIS TAPIA RAMÍREZ.</w:t>
      </w:r>
    </w:p>
    <w:p w14:paraId="6D10F8F2" w14:textId="52995C3D" w:rsidR="00187D85" w:rsidRDefault="00187D85">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607476A9"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9"/>
      <w:headerReference w:type="default" r:id="rId10"/>
      <w:footerReference w:type="default" r:id="rId11"/>
      <w:headerReference w:type="first" r:id="rId12"/>
      <w:footerReference w:type="first" r:id="rId13"/>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5CCBC" w14:textId="77777777" w:rsidR="0009077F" w:rsidRDefault="0009077F" w:rsidP="00801872">
      <w:r>
        <w:separator/>
      </w:r>
    </w:p>
  </w:endnote>
  <w:endnote w:type="continuationSeparator" w:id="0">
    <w:p w14:paraId="488903CA" w14:textId="77777777" w:rsidR="0009077F" w:rsidRDefault="0009077F"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EB3FEC" w:rsidRPr="00C13895" w:rsidRDefault="00EB3FEC">
            <w:pPr>
              <w:pStyle w:val="Piedepgina"/>
              <w:jc w:val="right"/>
              <w:rPr>
                <w:sz w:val="26"/>
                <w:szCs w:val="26"/>
              </w:rPr>
            </w:pPr>
          </w:p>
          <w:p w14:paraId="046BF6F6" w14:textId="77777777" w:rsidR="00EB3FEC" w:rsidRDefault="00EB3F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558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5580">
              <w:rPr>
                <w:b/>
                <w:bCs/>
                <w:noProof/>
              </w:rPr>
              <w:t>23</w:t>
            </w:r>
            <w:r>
              <w:rPr>
                <w:b/>
                <w:bCs/>
                <w:sz w:val="24"/>
                <w:szCs w:val="24"/>
              </w:rPr>
              <w:fldChar w:fldCharType="end"/>
            </w:r>
          </w:p>
        </w:sdtContent>
      </w:sdt>
    </w:sdtContent>
  </w:sdt>
  <w:p w14:paraId="3CEDE9D3" w14:textId="77777777" w:rsidR="00EB3FEC" w:rsidRDefault="00EB3F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EB3FEC" w:rsidRDefault="00EB3FEC">
            <w:pPr>
              <w:pStyle w:val="Piedepgina"/>
              <w:jc w:val="right"/>
            </w:pPr>
          </w:p>
          <w:p w14:paraId="1909745D" w14:textId="77777777" w:rsidR="00EB3FEC" w:rsidRDefault="00EB3FEC">
            <w:pPr>
              <w:pStyle w:val="Piedepgina"/>
              <w:jc w:val="right"/>
            </w:pPr>
          </w:p>
          <w:p w14:paraId="1AC1C7A3" w14:textId="77777777" w:rsidR="00EB3FEC" w:rsidRDefault="00EB3FEC">
            <w:pPr>
              <w:pStyle w:val="Piedepgina"/>
              <w:jc w:val="right"/>
            </w:pPr>
          </w:p>
          <w:p w14:paraId="1714865E" w14:textId="77777777" w:rsidR="00EB3FEC" w:rsidRDefault="00EB3F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558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5580">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E5F43" w14:textId="77777777" w:rsidR="0009077F" w:rsidRDefault="0009077F" w:rsidP="00801872">
      <w:r>
        <w:separator/>
      </w:r>
    </w:p>
  </w:footnote>
  <w:footnote w:type="continuationSeparator" w:id="0">
    <w:p w14:paraId="7A5FE331" w14:textId="77777777" w:rsidR="0009077F" w:rsidRDefault="0009077F" w:rsidP="00801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2E5E" w14:textId="77777777" w:rsidR="00EB3FEC" w:rsidRDefault="0009077F">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3F9D" w14:textId="0AEF3FF8" w:rsidR="00EB3FEC" w:rsidRPr="009E6858" w:rsidRDefault="0009077F"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EB3FEC" w:rsidRPr="005C106F" w14:paraId="63E08C3E" w14:textId="77777777" w:rsidTr="00070F27">
      <w:trPr>
        <w:trHeight w:val="70"/>
      </w:trPr>
      <w:tc>
        <w:tcPr>
          <w:tcW w:w="2977" w:type="dxa"/>
          <w:shd w:val="clear" w:color="auto" w:fill="auto"/>
        </w:tcPr>
        <w:p w14:paraId="08521BB7" w14:textId="77777777" w:rsidR="00EB3FEC" w:rsidRPr="005C106F" w:rsidRDefault="00EB3FEC" w:rsidP="00070F27">
          <w:pPr>
            <w:tabs>
              <w:tab w:val="right" w:pos="4273"/>
            </w:tabs>
            <w:rPr>
              <w:rFonts w:ascii="Garamond" w:eastAsia="Calibri" w:hAnsi="Garamond"/>
              <w:sz w:val="16"/>
              <w:szCs w:val="16"/>
            </w:rPr>
          </w:pPr>
        </w:p>
      </w:tc>
      <w:tc>
        <w:tcPr>
          <w:tcW w:w="7193" w:type="dxa"/>
          <w:shd w:val="clear" w:color="auto" w:fill="auto"/>
        </w:tcPr>
        <w:p w14:paraId="4C6F44B5" w14:textId="0FD5EF6D" w:rsidR="00EB3FEC" w:rsidRDefault="00EB3FEC"/>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EB3FEC" w14:paraId="1009EACB" w14:textId="77777777" w:rsidTr="00400954">
            <w:trPr>
              <w:trHeight w:val="329"/>
            </w:trPr>
            <w:tc>
              <w:tcPr>
                <w:tcW w:w="2404" w:type="dxa"/>
                <w:vAlign w:val="bottom"/>
              </w:tcPr>
              <w:p w14:paraId="50FDFF5D" w14:textId="69731127" w:rsidR="00EB3FEC" w:rsidRPr="008B41A2" w:rsidRDefault="00EB3FEC" w:rsidP="00A430C1">
                <w:pPr>
                  <w:tabs>
                    <w:tab w:val="right" w:pos="8838"/>
                  </w:tabs>
                  <w:ind w:right="-105"/>
                  <w:rPr>
                    <w:rFonts w:ascii="Palatino Linotype" w:eastAsia="Calibri" w:hAnsi="Palatino Linotype" w:cs="Tahoma"/>
                    <w:b/>
                    <w:sz w:val="22"/>
                    <w:szCs w:val="22"/>
                    <w:lang w:val="es-MX"/>
                  </w:rPr>
                </w:pPr>
                <w:bookmarkStart w:id="4" w:name="_Hlk93421933"/>
                <w:r w:rsidRPr="008B41A2">
                  <w:rPr>
                    <w:rFonts w:ascii="Palatino Linotype" w:eastAsia="Calibri" w:hAnsi="Palatino Linotype" w:cs="Tahoma"/>
                    <w:b/>
                    <w:sz w:val="22"/>
                    <w:szCs w:val="22"/>
                    <w:lang w:val="es-MX"/>
                  </w:rPr>
                  <w:t>Recurso de Revisión:</w:t>
                </w:r>
              </w:p>
            </w:tc>
            <w:tc>
              <w:tcPr>
                <w:tcW w:w="3686" w:type="dxa"/>
              </w:tcPr>
              <w:p w14:paraId="4EA7A24B" w14:textId="4E3C744F" w:rsidR="00EB3FEC" w:rsidRPr="00A430C1" w:rsidRDefault="00EB3FEC"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00486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EB3FEC" w14:paraId="12CFD000" w14:textId="77777777" w:rsidTr="00400954">
            <w:trPr>
              <w:trHeight w:val="244"/>
            </w:trPr>
            <w:tc>
              <w:tcPr>
                <w:tcW w:w="2404" w:type="dxa"/>
              </w:tcPr>
              <w:p w14:paraId="67813586" w14:textId="77777777" w:rsidR="00EB3FEC" w:rsidRPr="008B41A2" w:rsidRDefault="00EB3FEC"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2D36670C" w:rsidR="00EB3FEC" w:rsidRPr="00801872" w:rsidRDefault="00EB3FEC" w:rsidP="00CC5025">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Pr>
                    <w:rFonts w:ascii="Palatino Linotype" w:eastAsia="Calibri" w:hAnsi="Palatino Linotype" w:cs="Tahoma"/>
                    <w:bCs/>
                    <w:sz w:val="22"/>
                    <w:szCs w:val="22"/>
                    <w:lang w:val="es-MX"/>
                  </w:rPr>
                  <w:t xml:space="preserve"> Villa del Carbón</w:t>
                </w:r>
              </w:p>
            </w:tc>
          </w:tr>
          <w:tr w:rsidR="00EB3FEC" w14:paraId="364C666C" w14:textId="3B5932FE" w:rsidTr="00400954">
            <w:trPr>
              <w:trHeight w:val="244"/>
            </w:trPr>
            <w:tc>
              <w:tcPr>
                <w:tcW w:w="2404" w:type="dxa"/>
              </w:tcPr>
              <w:p w14:paraId="496B50AA" w14:textId="77777777" w:rsidR="00EB3FEC" w:rsidRPr="008B41A2" w:rsidRDefault="00EB3FEC"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EB3FEC" w:rsidRPr="008B41A2" w:rsidRDefault="00EB3FEC"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4"/>
        </w:tbl>
        <w:p w14:paraId="2C0200AC" w14:textId="77777777" w:rsidR="00EB3FEC" w:rsidRPr="005C106F" w:rsidRDefault="00EB3FEC" w:rsidP="00070F27">
          <w:pPr>
            <w:tabs>
              <w:tab w:val="right" w:pos="8838"/>
            </w:tabs>
            <w:ind w:left="-28"/>
            <w:rPr>
              <w:rFonts w:ascii="Arial" w:eastAsia="Calibri" w:hAnsi="Arial" w:cs="Arial"/>
              <w:b/>
            </w:rPr>
          </w:pPr>
        </w:p>
      </w:tc>
    </w:tr>
  </w:tbl>
  <w:p w14:paraId="3871047C" w14:textId="77777777" w:rsidR="00EB3FEC" w:rsidRPr="009E6858" w:rsidRDefault="00EB3FEC" w:rsidP="00070F27">
    <w:pPr>
      <w:tabs>
        <w:tab w:val="left" w:pos="3416"/>
      </w:tabs>
      <w:rPr>
        <w:sz w:val="22"/>
        <w:szCs w:val="22"/>
      </w:rPr>
    </w:pPr>
  </w:p>
  <w:p w14:paraId="62C5DA58" w14:textId="140B8139" w:rsidR="00EB3FEC" w:rsidRDefault="00EB3FEC" w:rsidP="00400954">
    <w:pPr>
      <w:pStyle w:val="Encabezado"/>
      <w:tabs>
        <w:tab w:val="clear" w:pos="4419"/>
        <w:tab w:val="clear" w:pos="8838"/>
        <w:tab w:val="left" w:pos="1425"/>
      </w:tabs>
      <w:rPr>
        <w:sz w:val="14"/>
      </w:rPr>
    </w:pPr>
    <w:r>
      <w:rPr>
        <w:sz w:val="14"/>
      </w:rPr>
      <w:tab/>
    </w:r>
  </w:p>
  <w:p w14:paraId="5B563EE1" w14:textId="77777777" w:rsidR="00EB3FEC" w:rsidRPr="00443C6B" w:rsidRDefault="00EB3FEC" w:rsidP="00070F2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EB3FEC" w:rsidRPr="00264223" w14:paraId="6494D751" w14:textId="77777777" w:rsidTr="3EE92B07">
      <w:trPr>
        <w:trHeight w:val="284"/>
      </w:trPr>
      <w:tc>
        <w:tcPr>
          <w:tcW w:w="2492" w:type="dxa"/>
        </w:tcPr>
        <w:p w14:paraId="64B4D5CB"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0977CFD6" w:rsidR="00EB3FEC" w:rsidRPr="00801872" w:rsidRDefault="00EB3FEC"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00486</w:t>
          </w:r>
          <w:r w:rsidRPr="00801872">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2</w:t>
          </w:r>
        </w:p>
      </w:tc>
    </w:tr>
    <w:tr w:rsidR="00EB3FEC" w:rsidRPr="00264223" w14:paraId="250F2B47" w14:textId="77777777" w:rsidTr="3EE92B07">
      <w:trPr>
        <w:trHeight w:val="104"/>
      </w:trPr>
      <w:tc>
        <w:tcPr>
          <w:tcW w:w="2492" w:type="dxa"/>
        </w:tcPr>
        <w:p w14:paraId="3D15303E"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45F49B29" w:rsidR="00EB3FEC" w:rsidRPr="00EE2A06" w:rsidRDefault="3EE92B07" w:rsidP="3EE92B07">
          <w:pPr>
            <w:tabs>
              <w:tab w:val="right" w:pos="8838"/>
            </w:tabs>
            <w:ind w:left="-28" w:right="318"/>
            <w:jc w:val="both"/>
            <w:rPr>
              <w:highlight w:val="black"/>
              <w:lang w:val="es-MX" w:eastAsia="en-US"/>
            </w:rPr>
          </w:pPr>
          <w:r w:rsidRPr="3EE92B07">
            <w:rPr>
              <w:rFonts w:ascii="Palatino Linotype" w:eastAsia="Calibri" w:hAnsi="Palatino Linotype" w:cs="Tahoma"/>
              <w:sz w:val="22"/>
              <w:szCs w:val="22"/>
              <w:highlight w:val="black"/>
              <w:lang w:val="es-MX" w:eastAsia="en-US"/>
            </w:rPr>
            <w:t>XXXXXXXXXXXXXXXXXXXXXX</w:t>
          </w:r>
        </w:p>
      </w:tc>
    </w:tr>
    <w:tr w:rsidR="00EB3FEC" w:rsidRPr="00264223" w14:paraId="180767EA" w14:textId="77777777" w:rsidTr="3EE92B07">
      <w:trPr>
        <w:trHeight w:val="234"/>
      </w:trPr>
      <w:tc>
        <w:tcPr>
          <w:tcW w:w="2492" w:type="dxa"/>
        </w:tcPr>
        <w:p w14:paraId="51FC15E3"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4990AB3B" w:rsidR="00EB3FEC" w:rsidRPr="00801872" w:rsidRDefault="00EB3FEC" w:rsidP="0032679F">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Villa del Carbón</w:t>
          </w:r>
        </w:p>
      </w:tc>
    </w:tr>
    <w:tr w:rsidR="00EB3FEC" w:rsidRPr="00264223" w14:paraId="0CF1E97B" w14:textId="77777777" w:rsidTr="3EE92B07">
      <w:trPr>
        <w:trHeight w:val="234"/>
      </w:trPr>
      <w:tc>
        <w:tcPr>
          <w:tcW w:w="2492" w:type="dxa"/>
        </w:tcPr>
        <w:p w14:paraId="6F2A2883"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EB3FEC" w:rsidRPr="00D3618F" w:rsidRDefault="00EB3FEC"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EB3FEC" w:rsidRDefault="0009077F"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EB3FEC">
      <w:tab/>
    </w:r>
  </w:p>
  <w:p w14:paraId="3B80ADB1" w14:textId="52942715" w:rsidR="00EB3FEC" w:rsidRDefault="00EB3FEC" w:rsidP="00AA77D7">
    <w:pPr>
      <w:tabs>
        <w:tab w:val="left" w:pos="18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5217DF7"/>
    <w:multiLevelType w:val="hybridMultilevel"/>
    <w:tmpl w:val="4E848A72"/>
    <w:lvl w:ilvl="0" w:tplc="6B96D7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E8B169E"/>
    <w:multiLevelType w:val="hybridMultilevel"/>
    <w:tmpl w:val="7982E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C42944"/>
    <w:multiLevelType w:val="hybridMultilevel"/>
    <w:tmpl w:val="885EE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FB52FE"/>
    <w:multiLevelType w:val="hybridMultilevel"/>
    <w:tmpl w:val="31E23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7">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BD91413"/>
    <w:multiLevelType w:val="hybridMultilevel"/>
    <w:tmpl w:val="A0A67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823671"/>
    <w:multiLevelType w:val="hybridMultilevel"/>
    <w:tmpl w:val="92B4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8067CA7"/>
    <w:multiLevelType w:val="hybridMultilevel"/>
    <w:tmpl w:val="B3F2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203AC"/>
    <w:multiLevelType w:val="hybridMultilevel"/>
    <w:tmpl w:val="2A74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EE0A95"/>
    <w:multiLevelType w:val="hybridMultilevel"/>
    <w:tmpl w:val="148CB84E"/>
    <w:lvl w:ilvl="0" w:tplc="AFD887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804482A"/>
    <w:multiLevelType w:val="hybridMultilevel"/>
    <w:tmpl w:val="5A2249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D7B77BD"/>
    <w:multiLevelType w:val="hybridMultilevel"/>
    <w:tmpl w:val="A9D04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64F144DE"/>
    <w:multiLevelType w:val="hybridMultilevel"/>
    <w:tmpl w:val="5798B8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5325666"/>
    <w:multiLevelType w:val="hybridMultilevel"/>
    <w:tmpl w:val="B3C04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9"/>
  </w:num>
  <w:num w:numId="4">
    <w:abstractNumId w:val="0"/>
  </w:num>
  <w:num w:numId="5">
    <w:abstractNumId w:val="28"/>
  </w:num>
  <w:num w:numId="6">
    <w:abstractNumId w:val="23"/>
  </w:num>
  <w:num w:numId="7">
    <w:abstractNumId w:val="16"/>
  </w:num>
  <w:num w:numId="8">
    <w:abstractNumId w:val="14"/>
  </w:num>
  <w:num w:numId="9">
    <w:abstractNumId w:val="25"/>
  </w:num>
  <w:num w:numId="10">
    <w:abstractNumId w:val="22"/>
  </w:num>
  <w:num w:numId="11">
    <w:abstractNumId w:val="13"/>
  </w:num>
  <w:num w:numId="12">
    <w:abstractNumId w:val="6"/>
  </w:num>
  <w:num w:numId="13">
    <w:abstractNumId w:val="21"/>
  </w:num>
  <w:num w:numId="14">
    <w:abstractNumId w:val="7"/>
  </w:num>
  <w:num w:numId="15">
    <w:abstractNumId w:val="1"/>
  </w:num>
  <w:num w:numId="16">
    <w:abstractNumId w:val="17"/>
  </w:num>
  <w:num w:numId="17">
    <w:abstractNumId w:val="5"/>
  </w:num>
  <w:num w:numId="18">
    <w:abstractNumId w:val="26"/>
  </w:num>
  <w:num w:numId="19">
    <w:abstractNumId w:val="20"/>
  </w:num>
  <w:num w:numId="20">
    <w:abstractNumId w:val="12"/>
  </w:num>
  <w:num w:numId="21">
    <w:abstractNumId w:val="2"/>
  </w:num>
  <w:num w:numId="22">
    <w:abstractNumId w:val="10"/>
  </w:num>
  <w:num w:numId="23">
    <w:abstractNumId w:val="4"/>
  </w:num>
  <w:num w:numId="24">
    <w:abstractNumId w:val="24"/>
  </w:num>
  <w:num w:numId="25">
    <w:abstractNumId w:val="15"/>
  </w:num>
  <w:num w:numId="26">
    <w:abstractNumId w:val="8"/>
  </w:num>
  <w:num w:numId="27">
    <w:abstractNumId w:val="9"/>
  </w:num>
  <w:num w:numId="28">
    <w:abstractNumId w:val="18"/>
  </w:num>
  <w:num w:numId="2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72"/>
    <w:rsid w:val="00003B49"/>
    <w:rsid w:val="000078E2"/>
    <w:rsid w:val="00007BEC"/>
    <w:rsid w:val="0001080D"/>
    <w:rsid w:val="00014012"/>
    <w:rsid w:val="00014458"/>
    <w:rsid w:val="00014FC8"/>
    <w:rsid w:val="00017C2F"/>
    <w:rsid w:val="000218E4"/>
    <w:rsid w:val="00023EA0"/>
    <w:rsid w:val="00024E7A"/>
    <w:rsid w:val="00025B49"/>
    <w:rsid w:val="0002699B"/>
    <w:rsid w:val="0003087D"/>
    <w:rsid w:val="00031CE2"/>
    <w:rsid w:val="00032E6F"/>
    <w:rsid w:val="000340E1"/>
    <w:rsid w:val="000343A4"/>
    <w:rsid w:val="0003468A"/>
    <w:rsid w:val="00034A73"/>
    <w:rsid w:val="00034FC0"/>
    <w:rsid w:val="00037E68"/>
    <w:rsid w:val="000417E9"/>
    <w:rsid w:val="00041F6E"/>
    <w:rsid w:val="00043737"/>
    <w:rsid w:val="00043EE9"/>
    <w:rsid w:val="000478D2"/>
    <w:rsid w:val="000525EA"/>
    <w:rsid w:val="00052B9E"/>
    <w:rsid w:val="00060B7A"/>
    <w:rsid w:val="00062E63"/>
    <w:rsid w:val="00065B2F"/>
    <w:rsid w:val="00066030"/>
    <w:rsid w:val="00070F27"/>
    <w:rsid w:val="00071E37"/>
    <w:rsid w:val="0007377F"/>
    <w:rsid w:val="00074739"/>
    <w:rsid w:val="00075A4B"/>
    <w:rsid w:val="000765CF"/>
    <w:rsid w:val="000802BA"/>
    <w:rsid w:val="000833D1"/>
    <w:rsid w:val="00084F35"/>
    <w:rsid w:val="0009077F"/>
    <w:rsid w:val="00092205"/>
    <w:rsid w:val="00095091"/>
    <w:rsid w:val="00096A9E"/>
    <w:rsid w:val="000A03BA"/>
    <w:rsid w:val="000A50FD"/>
    <w:rsid w:val="000A55A4"/>
    <w:rsid w:val="000B019D"/>
    <w:rsid w:val="000B1FB0"/>
    <w:rsid w:val="000B503C"/>
    <w:rsid w:val="000B683B"/>
    <w:rsid w:val="000C0E98"/>
    <w:rsid w:val="000C1535"/>
    <w:rsid w:val="000C40A6"/>
    <w:rsid w:val="000C51D5"/>
    <w:rsid w:val="000C52BE"/>
    <w:rsid w:val="000C5386"/>
    <w:rsid w:val="000C61E3"/>
    <w:rsid w:val="000C6B22"/>
    <w:rsid w:val="000C72C9"/>
    <w:rsid w:val="000D200B"/>
    <w:rsid w:val="000D258C"/>
    <w:rsid w:val="000D4A03"/>
    <w:rsid w:val="000D544B"/>
    <w:rsid w:val="000D7F89"/>
    <w:rsid w:val="000E1D07"/>
    <w:rsid w:val="000E2BE7"/>
    <w:rsid w:val="000E3C4D"/>
    <w:rsid w:val="000E6359"/>
    <w:rsid w:val="000F0ADC"/>
    <w:rsid w:val="000F35A3"/>
    <w:rsid w:val="000F5943"/>
    <w:rsid w:val="000F7848"/>
    <w:rsid w:val="00101876"/>
    <w:rsid w:val="0010299B"/>
    <w:rsid w:val="00103F66"/>
    <w:rsid w:val="00104021"/>
    <w:rsid w:val="001055DC"/>
    <w:rsid w:val="00106C3E"/>
    <w:rsid w:val="00107964"/>
    <w:rsid w:val="0011081F"/>
    <w:rsid w:val="00110EDE"/>
    <w:rsid w:val="001123D1"/>
    <w:rsid w:val="001136DA"/>
    <w:rsid w:val="00117EA5"/>
    <w:rsid w:val="001262B4"/>
    <w:rsid w:val="00127A9F"/>
    <w:rsid w:val="00130EE0"/>
    <w:rsid w:val="001336FA"/>
    <w:rsid w:val="001339AD"/>
    <w:rsid w:val="00133E30"/>
    <w:rsid w:val="00135C93"/>
    <w:rsid w:val="001435EF"/>
    <w:rsid w:val="001439DF"/>
    <w:rsid w:val="0014566F"/>
    <w:rsid w:val="001479ED"/>
    <w:rsid w:val="00150C6D"/>
    <w:rsid w:val="00152591"/>
    <w:rsid w:val="001529E7"/>
    <w:rsid w:val="00155313"/>
    <w:rsid w:val="001663C7"/>
    <w:rsid w:val="00171E9B"/>
    <w:rsid w:val="00172D7F"/>
    <w:rsid w:val="0017321F"/>
    <w:rsid w:val="00173D1E"/>
    <w:rsid w:val="00173F1D"/>
    <w:rsid w:val="001813C7"/>
    <w:rsid w:val="00181A32"/>
    <w:rsid w:val="001824F1"/>
    <w:rsid w:val="00182878"/>
    <w:rsid w:val="00186E47"/>
    <w:rsid w:val="001873B2"/>
    <w:rsid w:val="00187D85"/>
    <w:rsid w:val="001908AB"/>
    <w:rsid w:val="00191990"/>
    <w:rsid w:val="00195818"/>
    <w:rsid w:val="001A0B3D"/>
    <w:rsid w:val="001A17D0"/>
    <w:rsid w:val="001A1F1A"/>
    <w:rsid w:val="001A2454"/>
    <w:rsid w:val="001A44CE"/>
    <w:rsid w:val="001A4773"/>
    <w:rsid w:val="001A605C"/>
    <w:rsid w:val="001A6682"/>
    <w:rsid w:val="001B04D6"/>
    <w:rsid w:val="001B1857"/>
    <w:rsid w:val="001B4E85"/>
    <w:rsid w:val="001B6D3C"/>
    <w:rsid w:val="001B7EE6"/>
    <w:rsid w:val="001C146D"/>
    <w:rsid w:val="001C2CD5"/>
    <w:rsid w:val="001C5A10"/>
    <w:rsid w:val="001D1806"/>
    <w:rsid w:val="001D2966"/>
    <w:rsid w:val="001D488C"/>
    <w:rsid w:val="001D62DD"/>
    <w:rsid w:val="001E0071"/>
    <w:rsid w:val="001E3977"/>
    <w:rsid w:val="001E4A02"/>
    <w:rsid w:val="001E562B"/>
    <w:rsid w:val="001E78FC"/>
    <w:rsid w:val="001E7A14"/>
    <w:rsid w:val="001E7BB4"/>
    <w:rsid w:val="001E7C34"/>
    <w:rsid w:val="001F1E86"/>
    <w:rsid w:val="001F3EEC"/>
    <w:rsid w:val="001F62D1"/>
    <w:rsid w:val="001F71DD"/>
    <w:rsid w:val="001F7368"/>
    <w:rsid w:val="0020467A"/>
    <w:rsid w:val="00205699"/>
    <w:rsid w:val="00206854"/>
    <w:rsid w:val="00207963"/>
    <w:rsid w:val="0021023D"/>
    <w:rsid w:val="00211F5B"/>
    <w:rsid w:val="00213999"/>
    <w:rsid w:val="0021516F"/>
    <w:rsid w:val="002151CA"/>
    <w:rsid w:val="00217267"/>
    <w:rsid w:val="00220F67"/>
    <w:rsid w:val="00223701"/>
    <w:rsid w:val="0022400E"/>
    <w:rsid w:val="00226429"/>
    <w:rsid w:val="002265A6"/>
    <w:rsid w:val="00232848"/>
    <w:rsid w:val="002338DE"/>
    <w:rsid w:val="00235A8B"/>
    <w:rsid w:val="00236BC8"/>
    <w:rsid w:val="002378DE"/>
    <w:rsid w:val="002412A6"/>
    <w:rsid w:val="00243760"/>
    <w:rsid w:val="0025185F"/>
    <w:rsid w:val="00252638"/>
    <w:rsid w:val="00252C23"/>
    <w:rsid w:val="00253D2D"/>
    <w:rsid w:val="00256BB9"/>
    <w:rsid w:val="00256C03"/>
    <w:rsid w:val="002604AE"/>
    <w:rsid w:val="00262125"/>
    <w:rsid w:val="00262576"/>
    <w:rsid w:val="00264588"/>
    <w:rsid w:val="00271204"/>
    <w:rsid w:val="0027476B"/>
    <w:rsid w:val="002769C1"/>
    <w:rsid w:val="00276B1F"/>
    <w:rsid w:val="002825A6"/>
    <w:rsid w:val="002859A3"/>
    <w:rsid w:val="00287F11"/>
    <w:rsid w:val="00291B71"/>
    <w:rsid w:val="00291F59"/>
    <w:rsid w:val="00292718"/>
    <w:rsid w:val="00294619"/>
    <w:rsid w:val="002967C1"/>
    <w:rsid w:val="002A010F"/>
    <w:rsid w:val="002A4677"/>
    <w:rsid w:val="002A4971"/>
    <w:rsid w:val="002A4AA3"/>
    <w:rsid w:val="002A4D09"/>
    <w:rsid w:val="002A6956"/>
    <w:rsid w:val="002A7404"/>
    <w:rsid w:val="002A78DB"/>
    <w:rsid w:val="002A7B85"/>
    <w:rsid w:val="002B1A23"/>
    <w:rsid w:val="002B2C43"/>
    <w:rsid w:val="002B3241"/>
    <w:rsid w:val="002B6B16"/>
    <w:rsid w:val="002C0332"/>
    <w:rsid w:val="002C1ADC"/>
    <w:rsid w:val="002C6077"/>
    <w:rsid w:val="002C62E4"/>
    <w:rsid w:val="002C7AD5"/>
    <w:rsid w:val="002D0ADE"/>
    <w:rsid w:val="002D21BD"/>
    <w:rsid w:val="002D2674"/>
    <w:rsid w:val="002D46B4"/>
    <w:rsid w:val="002D47B2"/>
    <w:rsid w:val="002D4B8C"/>
    <w:rsid w:val="002D6AAD"/>
    <w:rsid w:val="002D6EE2"/>
    <w:rsid w:val="002D78E7"/>
    <w:rsid w:val="002E0D90"/>
    <w:rsid w:val="002E1B6D"/>
    <w:rsid w:val="002E1D16"/>
    <w:rsid w:val="002E32A1"/>
    <w:rsid w:val="002E708D"/>
    <w:rsid w:val="002F01FD"/>
    <w:rsid w:val="002F0FAA"/>
    <w:rsid w:val="002F1088"/>
    <w:rsid w:val="002F15AC"/>
    <w:rsid w:val="002F1CB3"/>
    <w:rsid w:val="002F364D"/>
    <w:rsid w:val="002F6C59"/>
    <w:rsid w:val="002F7785"/>
    <w:rsid w:val="00300F47"/>
    <w:rsid w:val="00301A50"/>
    <w:rsid w:val="0030378D"/>
    <w:rsid w:val="003066DC"/>
    <w:rsid w:val="00307F2A"/>
    <w:rsid w:val="0031221F"/>
    <w:rsid w:val="00312B28"/>
    <w:rsid w:val="00315DFF"/>
    <w:rsid w:val="0031635A"/>
    <w:rsid w:val="00321786"/>
    <w:rsid w:val="0032679F"/>
    <w:rsid w:val="00332413"/>
    <w:rsid w:val="00332D94"/>
    <w:rsid w:val="00341103"/>
    <w:rsid w:val="003416A4"/>
    <w:rsid w:val="00343F89"/>
    <w:rsid w:val="0034548C"/>
    <w:rsid w:val="003529A5"/>
    <w:rsid w:val="00353774"/>
    <w:rsid w:val="00354324"/>
    <w:rsid w:val="00355A9A"/>
    <w:rsid w:val="003563DE"/>
    <w:rsid w:val="00360711"/>
    <w:rsid w:val="00360CDC"/>
    <w:rsid w:val="003611B0"/>
    <w:rsid w:val="00362BD8"/>
    <w:rsid w:val="0036345D"/>
    <w:rsid w:val="003634F9"/>
    <w:rsid w:val="00364D96"/>
    <w:rsid w:val="003674EC"/>
    <w:rsid w:val="00371DC3"/>
    <w:rsid w:val="00376518"/>
    <w:rsid w:val="00376964"/>
    <w:rsid w:val="00384B58"/>
    <w:rsid w:val="003871D0"/>
    <w:rsid w:val="00387923"/>
    <w:rsid w:val="00387C7E"/>
    <w:rsid w:val="0039172D"/>
    <w:rsid w:val="00397521"/>
    <w:rsid w:val="0039798B"/>
    <w:rsid w:val="00397A89"/>
    <w:rsid w:val="003A25B4"/>
    <w:rsid w:val="003A3ADE"/>
    <w:rsid w:val="003A6650"/>
    <w:rsid w:val="003B04EE"/>
    <w:rsid w:val="003B28BE"/>
    <w:rsid w:val="003B7BCA"/>
    <w:rsid w:val="003C1F5C"/>
    <w:rsid w:val="003D1338"/>
    <w:rsid w:val="003D3A22"/>
    <w:rsid w:val="003E229F"/>
    <w:rsid w:val="003E3B5D"/>
    <w:rsid w:val="003E7E0F"/>
    <w:rsid w:val="003F0487"/>
    <w:rsid w:val="003F0EE7"/>
    <w:rsid w:val="003F176D"/>
    <w:rsid w:val="003F5FB0"/>
    <w:rsid w:val="003F6E48"/>
    <w:rsid w:val="004005B3"/>
    <w:rsid w:val="00400954"/>
    <w:rsid w:val="0040285C"/>
    <w:rsid w:val="0040451E"/>
    <w:rsid w:val="0040592C"/>
    <w:rsid w:val="0041020E"/>
    <w:rsid w:val="00411021"/>
    <w:rsid w:val="004125C3"/>
    <w:rsid w:val="004127BB"/>
    <w:rsid w:val="00412A1C"/>
    <w:rsid w:val="00414009"/>
    <w:rsid w:val="00414AA4"/>
    <w:rsid w:val="0041566E"/>
    <w:rsid w:val="00416ADD"/>
    <w:rsid w:val="004254E9"/>
    <w:rsid w:val="00432FE2"/>
    <w:rsid w:val="0043375F"/>
    <w:rsid w:val="00433B71"/>
    <w:rsid w:val="00437B8E"/>
    <w:rsid w:val="00444356"/>
    <w:rsid w:val="00446792"/>
    <w:rsid w:val="00446CFB"/>
    <w:rsid w:val="004473AD"/>
    <w:rsid w:val="0045005B"/>
    <w:rsid w:val="004507D2"/>
    <w:rsid w:val="00462751"/>
    <w:rsid w:val="004662AE"/>
    <w:rsid w:val="004716C6"/>
    <w:rsid w:val="00473E60"/>
    <w:rsid w:val="00474F5D"/>
    <w:rsid w:val="00475478"/>
    <w:rsid w:val="00475C22"/>
    <w:rsid w:val="00481B61"/>
    <w:rsid w:val="00483890"/>
    <w:rsid w:val="004846A0"/>
    <w:rsid w:val="0048491E"/>
    <w:rsid w:val="004859E4"/>
    <w:rsid w:val="004867A0"/>
    <w:rsid w:val="004872D8"/>
    <w:rsid w:val="00491CCB"/>
    <w:rsid w:val="00492A84"/>
    <w:rsid w:val="00494803"/>
    <w:rsid w:val="004953DE"/>
    <w:rsid w:val="004978B4"/>
    <w:rsid w:val="00497950"/>
    <w:rsid w:val="004A2A45"/>
    <w:rsid w:val="004A490D"/>
    <w:rsid w:val="004A5A0A"/>
    <w:rsid w:val="004A619B"/>
    <w:rsid w:val="004B3028"/>
    <w:rsid w:val="004C11C7"/>
    <w:rsid w:val="004C1C19"/>
    <w:rsid w:val="004C589E"/>
    <w:rsid w:val="004C5F95"/>
    <w:rsid w:val="004D02ED"/>
    <w:rsid w:val="004D470B"/>
    <w:rsid w:val="004D7A1F"/>
    <w:rsid w:val="004D7FB1"/>
    <w:rsid w:val="004E010F"/>
    <w:rsid w:val="004E1762"/>
    <w:rsid w:val="004E1F68"/>
    <w:rsid w:val="004E23E3"/>
    <w:rsid w:val="004E483B"/>
    <w:rsid w:val="004F60EC"/>
    <w:rsid w:val="004F6A5B"/>
    <w:rsid w:val="004F6EB7"/>
    <w:rsid w:val="005043E2"/>
    <w:rsid w:val="0050442C"/>
    <w:rsid w:val="00505F90"/>
    <w:rsid w:val="00515D69"/>
    <w:rsid w:val="00520981"/>
    <w:rsid w:val="00520C7D"/>
    <w:rsid w:val="00527F3B"/>
    <w:rsid w:val="00532DAE"/>
    <w:rsid w:val="00534193"/>
    <w:rsid w:val="00541D73"/>
    <w:rsid w:val="0054395F"/>
    <w:rsid w:val="00543C3E"/>
    <w:rsid w:val="00545FA5"/>
    <w:rsid w:val="0055145B"/>
    <w:rsid w:val="005515AA"/>
    <w:rsid w:val="005558F2"/>
    <w:rsid w:val="005567AB"/>
    <w:rsid w:val="0056157A"/>
    <w:rsid w:val="005615B0"/>
    <w:rsid w:val="0056199F"/>
    <w:rsid w:val="00564A6C"/>
    <w:rsid w:val="005675EE"/>
    <w:rsid w:val="00574420"/>
    <w:rsid w:val="00575188"/>
    <w:rsid w:val="005806C9"/>
    <w:rsid w:val="00582FC8"/>
    <w:rsid w:val="005840C3"/>
    <w:rsid w:val="00584958"/>
    <w:rsid w:val="00586853"/>
    <w:rsid w:val="005906DF"/>
    <w:rsid w:val="00590C97"/>
    <w:rsid w:val="00591B99"/>
    <w:rsid w:val="00593B21"/>
    <w:rsid w:val="00593C0F"/>
    <w:rsid w:val="005A2AA6"/>
    <w:rsid w:val="005A47EA"/>
    <w:rsid w:val="005A67B9"/>
    <w:rsid w:val="005B031E"/>
    <w:rsid w:val="005B2FFC"/>
    <w:rsid w:val="005B3F08"/>
    <w:rsid w:val="005B4FC7"/>
    <w:rsid w:val="005B55FD"/>
    <w:rsid w:val="005B666E"/>
    <w:rsid w:val="005B675E"/>
    <w:rsid w:val="005C1A87"/>
    <w:rsid w:val="005C3D07"/>
    <w:rsid w:val="005C6E51"/>
    <w:rsid w:val="005C7DFA"/>
    <w:rsid w:val="005D0D3F"/>
    <w:rsid w:val="005D3C1D"/>
    <w:rsid w:val="005D5DCD"/>
    <w:rsid w:val="005E0B88"/>
    <w:rsid w:val="005E1243"/>
    <w:rsid w:val="005E2557"/>
    <w:rsid w:val="005E5EB0"/>
    <w:rsid w:val="005F389E"/>
    <w:rsid w:val="005F411E"/>
    <w:rsid w:val="005F7783"/>
    <w:rsid w:val="00601767"/>
    <w:rsid w:val="00602761"/>
    <w:rsid w:val="0060539A"/>
    <w:rsid w:val="00606A00"/>
    <w:rsid w:val="00606A84"/>
    <w:rsid w:val="006112BF"/>
    <w:rsid w:val="0061170B"/>
    <w:rsid w:val="006131CF"/>
    <w:rsid w:val="00615B27"/>
    <w:rsid w:val="0061610F"/>
    <w:rsid w:val="00617385"/>
    <w:rsid w:val="00617629"/>
    <w:rsid w:val="00620612"/>
    <w:rsid w:val="00621AE4"/>
    <w:rsid w:val="006255F2"/>
    <w:rsid w:val="006324C2"/>
    <w:rsid w:val="00635C76"/>
    <w:rsid w:val="0063736C"/>
    <w:rsid w:val="006401A9"/>
    <w:rsid w:val="00640B63"/>
    <w:rsid w:val="00641A26"/>
    <w:rsid w:val="00641F45"/>
    <w:rsid w:val="00642623"/>
    <w:rsid w:val="0065161D"/>
    <w:rsid w:val="00652AA1"/>
    <w:rsid w:val="00653A8B"/>
    <w:rsid w:val="0065478B"/>
    <w:rsid w:val="00655632"/>
    <w:rsid w:val="006563FF"/>
    <w:rsid w:val="00657287"/>
    <w:rsid w:val="0065749C"/>
    <w:rsid w:val="006638B9"/>
    <w:rsid w:val="006663C7"/>
    <w:rsid w:val="0066668A"/>
    <w:rsid w:val="00670EBB"/>
    <w:rsid w:val="00674438"/>
    <w:rsid w:val="006800FB"/>
    <w:rsid w:val="006838F6"/>
    <w:rsid w:val="0068523B"/>
    <w:rsid w:val="00686689"/>
    <w:rsid w:val="00692640"/>
    <w:rsid w:val="00692FF4"/>
    <w:rsid w:val="0069308A"/>
    <w:rsid w:val="006A219F"/>
    <w:rsid w:val="006A288F"/>
    <w:rsid w:val="006A6D99"/>
    <w:rsid w:val="006B2037"/>
    <w:rsid w:val="006B350A"/>
    <w:rsid w:val="006B49F5"/>
    <w:rsid w:val="006B6131"/>
    <w:rsid w:val="006C3CB3"/>
    <w:rsid w:val="006C5426"/>
    <w:rsid w:val="006D0954"/>
    <w:rsid w:val="006D5DFE"/>
    <w:rsid w:val="006D5FEA"/>
    <w:rsid w:val="006E0CBD"/>
    <w:rsid w:val="006E20B5"/>
    <w:rsid w:val="006E338A"/>
    <w:rsid w:val="006E788D"/>
    <w:rsid w:val="006F32E9"/>
    <w:rsid w:val="006F5CA4"/>
    <w:rsid w:val="007031D0"/>
    <w:rsid w:val="007048EC"/>
    <w:rsid w:val="007100BC"/>
    <w:rsid w:val="00710DD3"/>
    <w:rsid w:val="00710F3D"/>
    <w:rsid w:val="007138AE"/>
    <w:rsid w:val="007179A7"/>
    <w:rsid w:val="007201D0"/>
    <w:rsid w:val="00723536"/>
    <w:rsid w:val="00723D2B"/>
    <w:rsid w:val="00725580"/>
    <w:rsid w:val="00725CAF"/>
    <w:rsid w:val="00726A4F"/>
    <w:rsid w:val="00733729"/>
    <w:rsid w:val="00740D4A"/>
    <w:rsid w:val="00741203"/>
    <w:rsid w:val="00741D97"/>
    <w:rsid w:val="00742B69"/>
    <w:rsid w:val="007432EF"/>
    <w:rsid w:val="00744442"/>
    <w:rsid w:val="00744C4C"/>
    <w:rsid w:val="00745462"/>
    <w:rsid w:val="00752B10"/>
    <w:rsid w:val="00752F66"/>
    <w:rsid w:val="00756681"/>
    <w:rsid w:val="007575DC"/>
    <w:rsid w:val="00757FD0"/>
    <w:rsid w:val="007614A8"/>
    <w:rsid w:val="0076749B"/>
    <w:rsid w:val="007713FF"/>
    <w:rsid w:val="00772848"/>
    <w:rsid w:val="00775734"/>
    <w:rsid w:val="00775D03"/>
    <w:rsid w:val="00776EAA"/>
    <w:rsid w:val="007772FA"/>
    <w:rsid w:val="0077787E"/>
    <w:rsid w:val="0078241B"/>
    <w:rsid w:val="00785E75"/>
    <w:rsid w:val="00787658"/>
    <w:rsid w:val="0079090D"/>
    <w:rsid w:val="00791C1E"/>
    <w:rsid w:val="007921D3"/>
    <w:rsid w:val="00792ACB"/>
    <w:rsid w:val="007949B9"/>
    <w:rsid w:val="0079752A"/>
    <w:rsid w:val="007A0544"/>
    <w:rsid w:val="007A067A"/>
    <w:rsid w:val="007A4D0C"/>
    <w:rsid w:val="007A73E5"/>
    <w:rsid w:val="007B2EDA"/>
    <w:rsid w:val="007B4AD4"/>
    <w:rsid w:val="007B597B"/>
    <w:rsid w:val="007B6CDB"/>
    <w:rsid w:val="007C01EA"/>
    <w:rsid w:val="007C19EF"/>
    <w:rsid w:val="007C207D"/>
    <w:rsid w:val="007C5D03"/>
    <w:rsid w:val="007D0D8E"/>
    <w:rsid w:val="007D1414"/>
    <w:rsid w:val="007D637D"/>
    <w:rsid w:val="007D7F2E"/>
    <w:rsid w:val="007E2BDA"/>
    <w:rsid w:val="007E5639"/>
    <w:rsid w:val="007E7B6E"/>
    <w:rsid w:val="007F4461"/>
    <w:rsid w:val="007F47DD"/>
    <w:rsid w:val="007F4ADF"/>
    <w:rsid w:val="007F55AA"/>
    <w:rsid w:val="0080119B"/>
    <w:rsid w:val="00801872"/>
    <w:rsid w:val="00801FA8"/>
    <w:rsid w:val="0080544A"/>
    <w:rsid w:val="0080782A"/>
    <w:rsid w:val="008156DF"/>
    <w:rsid w:val="008163AA"/>
    <w:rsid w:val="008164F6"/>
    <w:rsid w:val="00821CCF"/>
    <w:rsid w:val="00822030"/>
    <w:rsid w:val="00830541"/>
    <w:rsid w:val="008317C0"/>
    <w:rsid w:val="00836047"/>
    <w:rsid w:val="00840652"/>
    <w:rsid w:val="00840D3B"/>
    <w:rsid w:val="008433B3"/>
    <w:rsid w:val="008438C2"/>
    <w:rsid w:val="008450D2"/>
    <w:rsid w:val="008456C2"/>
    <w:rsid w:val="00845C87"/>
    <w:rsid w:val="00853CD1"/>
    <w:rsid w:val="00856A38"/>
    <w:rsid w:val="0086353F"/>
    <w:rsid w:val="00863CF4"/>
    <w:rsid w:val="00863EDC"/>
    <w:rsid w:val="00864775"/>
    <w:rsid w:val="008648CC"/>
    <w:rsid w:val="00866E63"/>
    <w:rsid w:val="00867038"/>
    <w:rsid w:val="00867749"/>
    <w:rsid w:val="00872DAC"/>
    <w:rsid w:val="0087388E"/>
    <w:rsid w:val="00875286"/>
    <w:rsid w:val="00875ADB"/>
    <w:rsid w:val="00876622"/>
    <w:rsid w:val="008770DB"/>
    <w:rsid w:val="008774AA"/>
    <w:rsid w:val="008775A2"/>
    <w:rsid w:val="00881057"/>
    <w:rsid w:val="0088106E"/>
    <w:rsid w:val="00881EBF"/>
    <w:rsid w:val="00883999"/>
    <w:rsid w:val="00886C64"/>
    <w:rsid w:val="008875EA"/>
    <w:rsid w:val="00890977"/>
    <w:rsid w:val="00890BF6"/>
    <w:rsid w:val="00891512"/>
    <w:rsid w:val="00893315"/>
    <w:rsid w:val="0089577F"/>
    <w:rsid w:val="008A3B30"/>
    <w:rsid w:val="008A4325"/>
    <w:rsid w:val="008A4C6E"/>
    <w:rsid w:val="008A673A"/>
    <w:rsid w:val="008A79F0"/>
    <w:rsid w:val="008B0BC7"/>
    <w:rsid w:val="008B0C71"/>
    <w:rsid w:val="008B3943"/>
    <w:rsid w:val="008B6C61"/>
    <w:rsid w:val="008C3A58"/>
    <w:rsid w:val="008C4347"/>
    <w:rsid w:val="008C4680"/>
    <w:rsid w:val="008C5511"/>
    <w:rsid w:val="008C7A2A"/>
    <w:rsid w:val="008D30CC"/>
    <w:rsid w:val="008E1696"/>
    <w:rsid w:val="008E3FFE"/>
    <w:rsid w:val="008E58C1"/>
    <w:rsid w:val="008E5FE9"/>
    <w:rsid w:val="008E7303"/>
    <w:rsid w:val="008F0397"/>
    <w:rsid w:val="008F1800"/>
    <w:rsid w:val="008F49ED"/>
    <w:rsid w:val="008F7168"/>
    <w:rsid w:val="008F7EB2"/>
    <w:rsid w:val="00901D31"/>
    <w:rsid w:val="00902436"/>
    <w:rsid w:val="00903608"/>
    <w:rsid w:val="00903B3F"/>
    <w:rsid w:val="00904765"/>
    <w:rsid w:val="00907F62"/>
    <w:rsid w:val="009108EE"/>
    <w:rsid w:val="00912F63"/>
    <w:rsid w:val="009155BC"/>
    <w:rsid w:val="00915E95"/>
    <w:rsid w:val="0092045C"/>
    <w:rsid w:val="00922FAF"/>
    <w:rsid w:val="0092444E"/>
    <w:rsid w:val="00930C20"/>
    <w:rsid w:val="0093156C"/>
    <w:rsid w:val="00932541"/>
    <w:rsid w:val="009331A4"/>
    <w:rsid w:val="00940BF3"/>
    <w:rsid w:val="00941919"/>
    <w:rsid w:val="009426D1"/>
    <w:rsid w:val="00942CBB"/>
    <w:rsid w:val="00943432"/>
    <w:rsid w:val="0094775E"/>
    <w:rsid w:val="00950A44"/>
    <w:rsid w:val="00954192"/>
    <w:rsid w:val="00957512"/>
    <w:rsid w:val="00966068"/>
    <w:rsid w:val="00967A2E"/>
    <w:rsid w:val="00974045"/>
    <w:rsid w:val="009810DE"/>
    <w:rsid w:val="0098115F"/>
    <w:rsid w:val="00984EC2"/>
    <w:rsid w:val="00985185"/>
    <w:rsid w:val="009856C6"/>
    <w:rsid w:val="00987E30"/>
    <w:rsid w:val="00991A0B"/>
    <w:rsid w:val="0099486F"/>
    <w:rsid w:val="00994A8C"/>
    <w:rsid w:val="00995B1A"/>
    <w:rsid w:val="00997388"/>
    <w:rsid w:val="009A05EF"/>
    <w:rsid w:val="009A0CB6"/>
    <w:rsid w:val="009A349E"/>
    <w:rsid w:val="009A36B3"/>
    <w:rsid w:val="009A4479"/>
    <w:rsid w:val="009A544E"/>
    <w:rsid w:val="009A7B33"/>
    <w:rsid w:val="009B07BB"/>
    <w:rsid w:val="009B0EFC"/>
    <w:rsid w:val="009B1346"/>
    <w:rsid w:val="009B1725"/>
    <w:rsid w:val="009B66AA"/>
    <w:rsid w:val="009B786C"/>
    <w:rsid w:val="009C181C"/>
    <w:rsid w:val="009C390B"/>
    <w:rsid w:val="009C4630"/>
    <w:rsid w:val="009C4FC2"/>
    <w:rsid w:val="009D0E79"/>
    <w:rsid w:val="009D255A"/>
    <w:rsid w:val="009D27F0"/>
    <w:rsid w:val="009D39E9"/>
    <w:rsid w:val="009D4DA2"/>
    <w:rsid w:val="009D4E62"/>
    <w:rsid w:val="009E0109"/>
    <w:rsid w:val="009E23B1"/>
    <w:rsid w:val="009E3BE1"/>
    <w:rsid w:val="009E4515"/>
    <w:rsid w:val="009E4654"/>
    <w:rsid w:val="009E5CD3"/>
    <w:rsid w:val="009E7C84"/>
    <w:rsid w:val="009F064B"/>
    <w:rsid w:val="009F383A"/>
    <w:rsid w:val="009F3A54"/>
    <w:rsid w:val="009F452B"/>
    <w:rsid w:val="009F646C"/>
    <w:rsid w:val="009F70D4"/>
    <w:rsid w:val="00A01FD6"/>
    <w:rsid w:val="00A0237F"/>
    <w:rsid w:val="00A02D95"/>
    <w:rsid w:val="00A02DF7"/>
    <w:rsid w:val="00A10A90"/>
    <w:rsid w:val="00A142F2"/>
    <w:rsid w:val="00A14307"/>
    <w:rsid w:val="00A1449B"/>
    <w:rsid w:val="00A14C32"/>
    <w:rsid w:val="00A21FFC"/>
    <w:rsid w:val="00A22180"/>
    <w:rsid w:val="00A25536"/>
    <w:rsid w:val="00A25E7F"/>
    <w:rsid w:val="00A26524"/>
    <w:rsid w:val="00A27AE2"/>
    <w:rsid w:val="00A27BAD"/>
    <w:rsid w:val="00A27DAA"/>
    <w:rsid w:val="00A30646"/>
    <w:rsid w:val="00A33AA3"/>
    <w:rsid w:val="00A33B1E"/>
    <w:rsid w:val="00A37CA2"/>
    <w:rsid w:val="00A37CB6"/>
    <w:rsid w:val="00A37DC1"/>
    <w:rsid w:val="00A40A52"/>
    <w:rsid w:val="00A430C1"/>
    <w:rsid w:val="00A4759C"/>
    <w:rsid w:val="00A505C7"/>
    <w:rsid w:val="00A527AA"/>
    <w:rsid w:val="00A52A2E"/>
    <w:rsid w:val="00A57DD1"/>
    <w:rsid w:val="00A57F99"/>
    <w:rsid w:val="00A60C77"/>
    <w:rsid w:val="00A649D5"/>
    <w:rsid w:val="00A71509"/>
    <w:rsid w:val="00A721E8"/>
    <w:rsid w:val="00A768A9"/>
    <w:rsid w:val="00A76D2C"/>
    <w:rsid w:val="00A811DF"/>
    <w:rsid w:val="00A81EBA"/>
    <w:rsid w:val="00A87A2A"/>
    <w:rsid w:val="00A934F5"/>
    <w:rsid w:val="00A9388D"/>
    <w:rsid w:val="00A960A9"/>
    <w:rsid w:val="00A9630F"/>
    <w:rsid w:val="00AA1491"/>
    <w:rsid w:val="00AA2BB4"/>
    <w:rsid w:val="00AA2F8F"/>
    <w:rsid w:val="00AA68C9"/>
    <w:rsid w:val="00AA77D7"/>
    <w:rsid w:val="00AB3C86"/>
    <w:rsid w:val="00AB3E93"/>
    <w:rsid w:val="00AB4C1B"/>
    <w:rsid w:val="00AB5B14"/>
    <w:rsid w:val="00AB5C2F"/>
    <w:rsid w:val="00AC16B9"/>
    <w:rsid w:val="00AC3A84"/>
    <w:rsid w:val="00AC612B"/>
    <w:rsid w:val="00AC68FD"/>
    <w:rsid w:val="00AD2C07"/>
    <w:rsid w:val="00AD31AD"/>
    <w:rsid w:val="00AD3B9A"/>
    <w:rsid w:val="00AD4B80"/>
    <w:rsid w:val="00AD5E5F"/>
    <w:rsid w:val="00AD5F62"/>
    <w:rsid w:val="00AD62F4"/>
    <w:rsid w:val="00AE0BAF"/>
    <w:rsid w:val="00AE141E"/>
    <w:rsid w:val="00AE588C"/>
    <w:rsid w:val="00AE72FD"/>
    <w:rsid w:val="00AE7C1B"/>
    <w:rsid w:val="00AF039F"/>
    <w:rsid w:val="00AF27EC"/>
    <w:rsid w:val="00AF483C"/>
    <w:rsid w:val="00AF6BDD"/>
    <w:rsid w:val="00B00156"/>
    <w:rsid w:val="00B03550"/>
    <w:rsid w:val="00B06594"/>
    <w:rsid w:val="00B07413"/>
    <w:rsid w:val="00B105B6"/>
    <w:rsid w:val="00B11030"/>
    <w:rsid w:val="00B11582"/>
    <w:rsid w:val="00B15A0A"/>
    <w:rsid w:val="00B168C9"/>
    <w:rsid w:val="00B20B5E"/>
    <w:rsid w:val="00B21C6C"/>
    <w:rsid w:val="00B23FD5"/>
    <w:rsid w:val="00B24993"/>
    <w:rsid w:val="00B24D28"/>
    <w:rsid w:val="00B313B1"/>
    <w:rsid w:val="00B313C5"/>
    <w:rsid w:val="00B33D64"/>
    <w:rsid w:val="00B352B3"/>
    <w:rsid w:val="00B36E9E"/>
    <w:rsid w:val="00B37587"/>
    <w:rsid w:val="00B437F1"/>
    <w:rsid w:val="00B44055"/>
    <w:rsid w:val="00B4561B"/>
    <w:rsid w:val="00B45CC3"/>
    <w:rsid w:val="00B46984"/>
    <w:rsid w:val="00B504A5"/>
    <w:rsid w:val="00B519AF"/>
    <w:rsid w:val="00B55AEE"/>
    <w:rsid w:val="00B56EB5"/>
    <w:rsid w:val="00B574DE"/>
    <w:rsid w:val="00B60549"/>
    <w:rsid w:val="00B611ED"/>
    <w:rsid w:val="00B61959"/>
    <w:rsid w:val="00B67758"/>
    <w:rsid w:val="00B678A1"/>
    <w:rsid w:val="00B71296"/>
    <w:rsid w:val="00B71ED2"/>
    <w:rsid w:val="00B7758C"/>
    <w:rsid w:val="00B814B8"/>
    <w:rsid w:val="00B82020"/>
    <w:rsid w:val="00B82D83"/>
    <w:rsid w:val="00B862EA"/>
    <w:rsid w:val="00B923AD"/>
    <w:rsid w:val="00B92714"/>
    <w:rsid w:val="00B94EEB"/>
    <w:rsid w:val="00BA1B3A"/>
    <w:rsid w:val="00BA2A4D"/>
    <w:rsid w:val="00BB0537"/>
    <w:rsid w:val="00BB1D38"/>
    <w:rsid w:val="00BB2047"/>
    <w:rsid w:val="00BB3364"/>
    <w:rsid w:val="00BB4905"/>
    <w:rsid w:val="00BB7253"/>
    <w:rsid w:val="00BC39B8"/>
    <w:rsid w:val="00BC54C9"/>
    <w:rsid w:val="00BD0806"/>
    <w:rsid w:val="00BD0E92"/>
    <w:rsid w:val="00BD1E55"/>
    <w:rsid w:val="00BD5BD1"/>
    <w:rsid w:val="00BD63AA"/>
    <w:rsid w:val="00BD7787"/>
    <w:rsid w:val="00BE0AC5"/>
    <w:rsid w:val="00BE0F47"/>
    <w:rsid w:val="00BE344F"/>
    <w:rsid w:val="00BE73E6"/>
    <w:rsid w:val="00BF0A51"/>
    <w:rsid w:val="00BF0B30"/>
    <w:rsid w:val="00BF2486"/>
    <w:rsid w:val="00BF3EED"/>
    <w:rsid w:val="00BF490F"/>
    <w:rsid w:val="00BF6AC0"/>
    <w:rsid w:val="00C03525"/>
    <w:rsid w:val="00C04196"/>
    <w:rsid w:val="00C10302"/>
    <w:rsid w:val="00C104D7"/>
    <w:rsid w:val="00C1079A"/>
    <w:rsid w:val="00C1317D"/>
    <w:rsid w:val="00C14A85"/>
    <w:rsid w:val="00C15DDB"/>
    <w:rsid w:val="00C206D3"/>
    <w:rsid w:val="00C21A95"/>
    <w:rsid w:val="00C21F9F"/>
    <w:rsid w:val="00C22BF7"/>
    <w:rsid w:val="00C23326"/>
    <w:rsid w:val="00C27FC7"/>
    <w:rsid w:val="00C33D34"/>
    <w:rsid w:val="00C347DE"/>
    <w:rsid w:val="00C37E53"/>
    <w:rsid w:val="00C42D9E"/>
    <w:rsid w:val="00C4395D"/>
    <w:rsid w:val="00C44163"/>
    <w:rsid w:val="00C44663"/>
    <w:rsid w:val="00C44E82"/>
    <w:rsid w:val="00C456D2"/>
    <w:rsid w:val="00C46F3B"/>
    <w:rsid w:val="00C54721"/>
    <w:rsid w:val="00C55496"/>
    <w:rsid w:val="00C611D0"/>
    <w:rsid w:val="00C63B99"/>
    <w:rsid w:val="00C6579A"/>
    <w:rsid w:val="00C67123"/>
    <w:rsid w:val="00C71402"/>
    <w:rsid w:val="00C7305E"/>
    <w:rsid w:val="00C730BB"/>
    <w:rsid w:val="00C74E9B"/>
    <w:rsid w:val="00C7559E"/>
    <w:rsid w:val="00C825FA"/>
    <w:rsid w:val="00C835DC"/>
    <w:rsid w:val="00C85169"/>
    <w:rsid w:val="00C8726A"/>
    <w:rsid w:val="00C87C7A"/>
    <w:rsid w:val="00C87D3C"/>
    <w:rsid w:val="00C91429"/>
    <w:rsid w:val="00C91619"/>
    <w:rsid w:val="00C938B6"/>
    <w:rsid w:val="00C96572"/>
    <w:rsid w:val="00C97226"/>
    <w:rsid w:val="00CA0034"/>
    <w:rsid w:val="00CA0E7F"/>
    <w:rsid w:val="00CA0F3A"/>
    <w:rsid w:val="00CA25E1"/>
    <w:rsid w:val="00CA3344"/>
    <w:rsid w:val="00CA598C"/>
    <w:rsid w:val="00CB046A"/>
    <w:rsid w:val="00CB0B0D"/>
    <w:rsid w:val="00CB4A69"/>
    <w:rsid w:val="00CB6F18"/>
    <w:rsid w:val="00CB6F34"/>
    <w:rsid w:val="00CC04B2"/>
    <w:rsid w:val="00CC0A2E"/>
    <w:rsid w:val="00CC29AB"/>
    <w:rsid w:val="00CC2C72"/>
    <w:rsid w:val="00CC5025"/>
    <w:rsid w:val="00CC5970"/>
    <w:rsid w:val="00CC5B7A"/>
    <w:rsid w:val="00CC5D88"/>
    <w:rsid w:val="00CC7082"/>
    <w:rsid w:val="00CD0A7E"/>
    <w:rsid w:val="00CD0ADE"/>
    <w:rsid w:val="00CD0FC6"/>
    <w:rsid w:val="00CD194C"/>
    <w:rsid w:val="00CD1EBA"/>
    <w:rsid w:val="00CD2317"/>
    <w:rsid w:val="00CD5370"/>
    <w:rsid w:val="00CD6D02"/>
    <w:rsid w:val="00CD7528"/>
    <w:rsid w:val="00CD7714"/>
    <w:rsid w:val="00CE08B0"/>
    <w:rsid w:val="00CE344A"/>
    <w:rsid w:val="00CE4306"/>
    <w:rsid w:val="00CE4AF7"/>
    <w:rsid w:val="00CE5080"/>
    <w:rsid w:val="00CE6228"/>
    <w:rsid w:val="00CF1624"/>
    <w:rsid w:val="00CF19C8"/>
    <w:rsid w:val="00CF4337"/>
    <w:rsid w:val="00CF560B"/>
    <w:rsid w:val="00CF7EBA"/>
    <w:rsid w:val="00D037F1"/>
    <w:rsid w:val="00D05586"/>
    <w:rsid w:val="00D0575F"/>
    <w:rsid w:val="00D07069"/>
    <w:rsid w:val="00D072E8"/>
    <w:rsid w:val="00D1294D"/>
    <w:rsid w:val="00D158DB"/>
    <w:rsid w:val="00D16C0D"/>
    <w:rsid w:val="00D22279"/>
    <w:rsid w:val="00D22825"/>
    <w:rsid w:val="00D24EFE"/>
    <w:rsid w:val="00D250FD"/>
    <w:rsid w:val="00D25A94"/>
    <w:rsid w:val="00D26D02"/>
    <w:rsid w:val="00D275D7"/>
    <w:rsid w:val="00D30983"/>
    <w:rsid w:val="00D32C58"/>
    <w:rsid w:val="00D36E27"/>
    <w:rsid w:val="00D42A57"/>
    <w:rsid w:val="00D43E9A"/>
    <w:rsid w:val="00D44C54"/>
    <w:rsid w:val="00D45E73"/>
    <w:rsid w:val="00D46A3F"/>
    <w:rsid w:val="00D47385"/>
    <w:rsid w:val="00D47F7F"/>
    <w:rsid w:val="00D47FCF"/>
    <w:rsid w:val="00D50137"/>
    <w:rsid w:val="00D51254"/>
    <w:rsid w:val="00D539E9"/>
    <w:rsid w:val="00D54923"/>
    <w:rsid w:val="00D555FD"/>
    <w:rsid w:val="00D557C6"/>
    <w:rsid w:val="00D55F3E"/>
    <w:rsid w:val="00D57AE6"/>
    <w:rsid w:val="00D60298"/>
    <w:rsid w:val="00D611AA"/>
    <w:rsid w:val="00D616D6"/>
    <w:rsid w:val="00D61A1B"/>
    <w:rsid w:val="00D61EF1"/>
    <w:rsid w:val="00D62084"/>
    <w:rsid w:val="00D6317A"/>
    <w:rsid w:val="00D65D0C"/>
    <w:rsid w:val="00D70982"/>
    <w:rsid w:val="00D735DA"/>
    <w:rsid w:val="00D742E6"/>
    <w:rsid w:val="00D77D07"/>
    <w:rsid w:val="00D818BE"/>
    <w:rsid w:val="00D8602C"/>
    <w:rsid w:val="00D866C1"/>
    <w:rsid w:val="00D867F3"/>
    <w:rsid w:val="00D941C4"/>
    <w:rsid w:val="00D944B3"/>
    <w:rsid w:val="00D96426"/>
    <w:rsid w:val="00DA0388"/>
    <w:rsid w:val="00DA0CD4"/>
    <w:rsid w:val="00DA2A90"/>
    <w:rsid w:val="00DA2D0F"/>
    <w:rsid w:val="00DA2FF2"/>
    <w:rsid w:val="00DA6DFB"/>
    <w:rsid w:val="00DB1FE3"/>
    <w:rsid w:val="00DB505F"/>
    <w:rsid w:val="00DB6364"/>
    <w:rsid w:val="00DC7066"/>
    <w:rsid w:val="00DD37A3"/>
    <w:rsid w:val="00DD525B"/>
    <w:rsid w:val="00DD6A81"/>
    <w:rsid w:val="00DD6AD6"/>
    <w:rsid w:val="00DE02EE"/>
    <w:rsid w:val="00DE0616"/>
    <w:rsid w:val="00DE12CB"/>
    <w:rsid w:val="00DE3317"/>
    <w:rsid w:val="00DE416D"/>
    <w:rsid w:val="00DE7266"/>
    <w:rsid w:val="00DF17F3"/>
    <w:rsid w:val="00DF1B80"/>
    <w:rsid w:val="00DF275E"/>
    <w:rsid w:val="00DF2C34"/>
    <w:rsid w:val="00DF30CB"/>
    <w:rsid w:val="00DF3A66"/>
    <w:rsid w:val="00DF7CA4"/>
    <w:rsid w:val="00E07083"/>
    <w:rsid w:val="00E15DE7"/>
    <w:rsid w:val="00E2632C"/>
    <w:rsid w:val="00E268B2"/>
    <w:rsid w:val="00E27FF5"/>
    <w:rsid w:val="00E30382"/>
    <w:rsid w:val="00E308F6"/>
    <w:rsid w:val="00E346C4"/>
    <w:rsid w:val="00E3492E"/>
    <w:rsid w:val="00E35162"/>
    <w:rsid w:val="00E36823"/>
    <w:rsid w:val="00E36B4D"/>
    <w:rsid w:val="00E4182F"/>
    <w:rsid w:val="00E41E78"/>
    <w:rsid w:val="00E4253A"/>
    <w:rsid w:val="00E45522"/>
    <w:rsid w:val="00E45DD2"/>
    <w:rsid w:val="00E4647A"/>
    <w:rsid w:val="00E46A1A"/>
    <w:rsid w:val="00E47196"/>
    <w:rsid w:val="00E53FD0"/>
    <w:rsid w:val="00E543DD"/>
    <w:rsid w:val="00E553BD"/>
    <w:rsid w:val="00E562F2"/>
    <w:rsid w:val="00E613B9"/>
    <w:rsid w:val="00E64745"/>
    <w:rsid w:val="00E647CA"/>
    <w:rsid w:val="00E65CE7"/>
    <w:rsid w:val="00E73502"/>
    <w:rsid w:val="00E757CE"/>
    <w:rsid w:val="00E80038"/>
    <w:rsid w:val="00E85AAD"/>
    <w:rsid w:val="00E85BA8"/>
    <w:rsid w:val="00E8606D"/>
    <w:rsid w:val="00E93753"/>
    <w:rsid w:val="00EB11D0"/>
    <w:rsid w:val="00EB3FEC"/>
    <w:rsid w:val="00EB4B0D"/>
    <w:rsid w:val="00EB7AE3"/>
    <w:rsid w:val="00EC2741"/>
    <w:rsid w:val="00EC4DCE"/>
    <w:rsid w:val="00EC557D"/>
    <w:rsid w:val="00EC59A5"/>
    <w:rsid w:val="00EC6AA2"/>
    <w:rsid w:val="00ED0F4E"/>
    <w:rsid w:val="00ED1C09"/>
    <w:rsid w:val="00ED29C0"/>
    <w:rsid w:val="00ED2A4C"/>
    <w:rsid w:val="00ED328D"/>
    <w:rsid w:val="00ED3EA7"/>
    <w:rsid w:val="00ED4337"/>
    <w:rsid w:val="00ED5A16"/>
    <w:rsid w:val="00ED5B72"/>
    <w:rsid w:val="00EE31F7"/>
    <w:rsid w:val="00EE6294"/>
    <w:rsid w:val="00EE6571"/>
    <w:rsid w:val="00EF0DBE"/>
    <w:rsid w:val="00EF3952"/>
    <w:rsid w:val="00EF3B94"/>
    <w:rsid w:val="00EF535C"/>
    <w:rsid w:val="00EF5F04"/>
    <w:rsid w:val="00EF6227"/>
    <w:rsid w:val="00EF7978"/>
    <w:rsid w:val="00F0534A"/>
    <w:rsid w:val="00F05D4F"/>
    <w:rsid w:val="00F10C35"/>
    <w:rsid w:val="00F11251"/>
    <w:rsid w:val="00F14BC8"/>
    <w:rsid w:val="00F16DED"/>
    <w:rsid w:val="00F171E4"/>
    <w:rsid w:val="00F2173B"/>
    <w:rsid w:val="00F22D69"/>
    <w:rsid w:val="00F230F4"/>
    <w:rsid w:val="00F259A0"/>
    <w:rsid w:val="00F25C11"/>
    <w:rsid w:val="00F30CE3"/>
    <w:rsid w:val="00F3173E"/>
    <w:rsid w:val="00F352AF"/>
    <w:rsid w:val="00F35577"/>
    <w:rsid w:val="00F373B4"/>
    <w:rsid w:val="00F4000A"/>
    <w:rsid w:val="00F40283"/>
    <w:rsid w:val="00F406A7"/>
    <w:rsid w:val="00F41820"/>
    <w:rsid w:val="00F473C4"/>
    <w:rsid w:val="00F5017D"/>
    <w:rsid w:val="00F51531"/>
    <w:rsid w:val="00F525A7"/>
    <w:rsid w:val="00F52FB0"/>
    <w:rsid w:val="00F54BF4"/>
    <w:rsid w:val="00F55834"/>
    <w:rsid w:val="00F55F11"/>
    <w:rsid w:val="00F56285"/>
    <w:rsid w:val="00F57C48"/>
    <w:rsid w:val="00F76246"/>
    <w:rsid w:val="00F7786E"/>
    <w:rsid w:val="00F80DD7"/>
    <w:rsid w:val="00F8196D"/>
    <w:rsid w:val="00F822DE"/>
    <w:rsid w:val="00F83809"/>
    <w:rsid w:val="00F9473D"/>
    <w:rsid w:val="00F95842"/>
    <w:rsid w:val="00F95C6A"/>
    <w:rsid w:val="00F9696F"/>
    <w:rsid w:val="00FA0668"/>
    <w:rsid w:val="00FA1EDD"/>
    <w:rsid w:val="00FA457E"/>
    <w:rsid w:val="00FA4909"/>
    <w:rsid w:val="00FA49D0"/>
    <w:rsid w:val="00FB1A26"/>
    <w:rsid w:val="00FB2C0C"/>
    <w:rsid w:val="00FB532A"/>
    <w:rsid w:val="00FB68E4"/>
    <w:rsid w:val="00FB6F19"/>
    <w:rsid w:val="00FB7C1A"/>
    <w:rsid w:val="00FB7EAB"/>
    <w:rsid w:val="00FC351F"/>
    <w:rsid w:val="00FC5646"/>
    <w:rsid w:val="00FC70C1"/>
    <w:rsid w:val="00FD0B61"/>
    <w:rsid w:val="00FD3FD7"/>
    <w:rsid w:val="00FD4868"/>
    <w:rsid w:val="00FD50FD"/>
    <w:rsid w:val="00FD70AC"/>
    <w:rsid w:val="00FE2760"/>
    <w:rsid w:val="00FE46FC"/>
    <w:rsid w:val="00FE66ED"/>
    <w:rsid w:val="00FE75C4"/>
    <w:rsid w:val="00FF104C"/>
    <w:rsid w:val="00FF1F58"/>
    <w:rsid w:val="00FF40B7"/>
    <w:rsid w:val="00FF5776"/>
    <w:rsid w:val="00FF6016"/>
    <w:rsid w:val="00FF744F"/>
    <w:rsid w:val="3EE92B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5594230">
      <w:bodyDiv w:val="1"/>
      <w:marLeft w:val="0"/>
      <w:marRight w:val="0"/>
      <w:marTop w:val="0"/>
      <w:marBottom w:val="0"/>
      <w:divBdr>
        <w:top w:val="none" w:sz="0" w:space="0" w:color="auto"/>
        <w:left w:val="none" w:sz="0" w:space="0" w:color="auto"/>
        <w:bottom w:val="none" w:sz="0" w:space="0" w:color="auto"/>
        <w:right w:val="none" w:sz="0" w:space="0" w:color="auto"/>
      </w:divBdr>
    </w:div>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568852597">
      <w:bodyDiv w:val="1"/>
      <w:marLeft w:val="0"/>
      <w:marRight w:val="0"/>
      <w:marTop w:val="0"/>
      <w:marBottom w:val="0"/>
      <w:divBdr>
        <w:top w:val="none" w:sz="0" w:space="0" w:color="auto"/>
        <w:left w:val="none" w:sz="0" w:space="0" w:color="auto"/>
        <w:bottom w:val="none" w:sz="0" w:space="0" w:color="auto"/>
        <w:right w:val="none" w:sz="0" w:space="0" w:color="auto"/>
      </w:divBdr>
    </w:div>
    <w:div w:id="571086068">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687367035">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54678905">
      <w:bodyDiv w:val="1"/>
      <w:marLeft w:val="0"/>
      <w:marRight w:val="0"/>
      <w:marTop w:val="0"/>
      <w:marBottom w:val="0"/>
      <w:divBdr>
        <w:top w:val="none" w:sz="0" w:space="0" w:color="auto"/>
        <w:left w:val="none" w:sz="0" w:space="0" w:color="auto"/>
        <w:bottom w:val="none" w:sz="0" w:space="0" w:color="auto"/>
        <w:right w:val="none" w:sz="0" w:space="0" w:color="auto"/>
      </w:divBdr>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04610916">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66627458">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B22951"/>
    <w:rsid w:val="00623B11"/>
    <w:rsid w:val="00B22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D8AE-82AD-4595-81C9-66067A02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5448</Words>
  <Characters>29969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2022-01-12T15:44:00Z</cp:lastPrinted>
  <dcterms:created xsi:type="dcterms:W3CDTF">2022-05-17T16:36:00Z</dcterms:created>
  <dcterms:modified xsi:type="dcterms:W3CDTF">2022-05-17T16:36:00Z</dcterms:modified>
</cp:coreProperties>
</file>