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92243D" w:rsidRDefault="009F09BC" w:rsidP="00855290">
      <w:pPr>
        <w:tabs>
          <w:tab w:val="left" w:pos="3465"/>
        </w:tabs>
        <w:spacing w:line="360" w:lineRule="auto"/>
        <w:jc w:val="both"/>
        <w:rPr>
          <w:rFonts w:ascii="Palatino Linotype" w:hAnsi="Palatino Linotype"/>
        </w:rPr>
      </w:pPr>
      <w:r w:rsidRPr="0092243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62AD1" w:rsidRPr="0092243D">
        <w:rPr>
          <w:rFonts w:ascii="Palatino Linotype" w:hAnsi="Palatino Linotype"/>
        </w:rPr>
        <w:t>veintisiete</w:t>
      </w:r>
      <w:r w:rsidR="006A04B6" w:rsidRPr="0092243D">
        <w:rPr>
          <w:rFonts w:ascii="Palatino Linotype" w:hAnsi="Palatino Linotype"/>
        </w:rPr>
        <w:t xml:space="preserve"> (</w:t>
      </w:r>
      <w:r w:rsidR="004525CB" w:rsidRPr="0092243D">
        <w:rPr>
          <w:rFonts w:ascii="Palatino Linotype" w:hAnsi="Palatino Linotype"/>
        </w:rPr>
        <w:t>2</w:t>
      </w:r>
      <w:r w:rsidR="00862AD1" w:rsidRPr="0092243D">
        <w:rPr>
          <w:rFonts w:ascii="Palatino Linotype" w:hAnsi="Palatino Linotype"/>
        </w:rPr>
        <w:t>7</w:t>
      </w:r>
      <w:r w:rsidRPr="0092243D">
        <w:rPr>
          <w:rFonts w:ascii="Palatino Linotype" w:hAnsi="Palatino Linotype"/>
        </w:rPr>
        <w:t xml:space="preserve">) de </w:t>
      </w:r>
      <w:r w:rsidR="004525CB" w:rsidRPr="0092243D">
        <w:rPr>
          <w:rFonts w:ascii="Palatino Linotype" w:hAnsi="Palatino Linotype"/>
        </w:rPr>
        <w:t>abril de dos mil veintidós</w:t>
      </w:r>
      <w:r w:rsidRPr="0092243D">
        <w:rPr>
          <w:rFonts w:ascii="Palatino Linotype" w:hAnsi="Palatino Linotype"/>
        </w:rPr>
        <w:t>.</w:t>
      </w:r>
    </w:p>
    <w:p w:rsidR="00A054B6" w:rsidRPr="0092243D" w:rsidRDefault="00A054B6" w:rsidP="00855290">
      <w:pPr>
        <w:tabs>
          <w:tab w:val="left" w:pos="3465"/>
        </w:tabs>
        <w:spacing w:line="360" w:lineRule="auto"/>
        <w:jc w:val="both"/>
        <w:rPr>
          <w:rFonts w:ascii="Palatino Linotype" w:hAnsi="Palatino Linotype"/>
        </w:rPr>
      </w:pPr>
    </w:p>
    <w:p w:rsidR="009F09BC" w:rsidRPr="0092243D" w:rsidRDefault="009F09BC" w:rsidP="00855290">
      <w:pPr>
        <w:spacing w:line="360" w:lineRule="auto"/>
        <w:jc w:val="both"/>
        <w:rPr>
          <w:rFonts w:ascii="Palatino Linotype" w:hAnsi="Palatino Linotype"/>
        </w:rPr>
      </w:pPr>
      <w:r w:rsidRPr="0092243D">
        <w:rPr>
          <w:rFonts w:ascii="Palatino Linotype" w:hAnsi="Palatino Linotype"/>
          <w:b/>
        </w:rPr>
        <w:t>VISTO</w:t>
      </w:r>
      <w:r w:rsidRPr="0092243D">
        <w:rPr>
          <w:rFonts w:ascii="Palatino Linotype" w:hAnsi="Palatino Linotype"/>
        </w:rPr>
        <w:t xml:space="preserve"> </w:t>
      </w:r>
      <w:r w:rsidR="008A699B" w:rsidRPr="0092243D">
        <w:rPr>
          <w:rFonts w:ascii="Palatino Linotype" w:hAnsi="Palatino Linotype"/>
        </w:rPr>
        <w:t>e</w:t>
      </w:r>
      <w:r w:rsidRPr="0092243D">
        <w:rPr>
          <w:rFonts w:ascii="Palatino Linotype" w:hAnsi="Palatino Linotype"/>
        </w:rPr>
        <w:t xml:space="preserve">l expediente electrónico formado con motivo del recurso de revisión </w:t>
      </w:r>
      <w:r w:rsidR="00297994" w:rsidRPr="0092243D">
        <w:rPr>
          <w:rFonts w:ascii="Palatino Linotype" w:hAnsi="Palatino Linotype"/>
          <w:b/>
        </w:rPr>
        <w:t>00173/INFOEM/IP/RR/2022</w:t>
      </w:r>
      <w:r w:rsidRPr="0092243D">
        <w:rPr>
          <w:rFonts w:ascii="Palatino Linotype" w:hAnsi="Palatino Linotype"/>
        </w:rPr>
        <w:t>,</w:t>
      </w:r>
      <w:r w:rsidRPr="0092243D">
        <w:rPr>
          <w:rFonts w:ascii="Palatino Linotype" w:hAnsi="Palatino Linotype" w:cs="Arial"/>
          <w:b/>
          <w:bCs/>
        </w:rPr>
        <w:t xml:space="preserve"> </w:t>
      </w:r>
      <w:r w:rsidRPr="0092243D">
        <w:rPr>
          <w:rFonts w:ascii="Palatino Linotype" w:hAnsi="Palatino Linotype"/>
        </w:rPr>
        <w:t xml:space="preserve">promovido por </w:t>
      </w:r>
      <w:r w:rsidR="008A699B" w:rsidRPr="0092243D">
        <w:rPr>
          <w:rFonts w:ascii="Palatino Linotype" w:hAnsi="Palatino Linotype"/>
          <w:b/>
        </w:rPr>
        <w:t>una persona que no dejó datos de registro</w:t>
      </w:r>
      <w:r w:rsidRPr="0092243D">
        <w:rPr>
          <w:rFonts w:ascii="Palatino Linotype" w:hAnsi="Palatino Linotype"/>
        </w:rPr>
        <w:t xml:space="preserve">, a quien en lo sucesivo se le identificará como </w:t>
      </w:r>
      <w:r w:rsidRPr="0092243D">
        <w:rPr>
          <w:rFonts w:ascii="Palatino Linotype" w:hAnsi="Palatino Linotype"/>
          <w:b/>
        </w:rPr>
        <w:t>EL RECURRENTE</w:t>
      </w:r>
      <w:r w:rsidRPr="0092243D">
        <w:rPr>
          <w:rFonts w:ascii="Palatino Linotype" w:hAnsi="Palatino Linotype" w:cs="Arial"/>
        </w:rPr>
        <w:t xml:space="preserve">, en contra de las respuestas del </w:t>
      </w:r>
      <w:r w:rsidR="00297994" w:rsidRPr="0092243D">
        <w:rPr>
          <w:rFonts w:ascii="Palatino Linotype" w:hAnsi="Palatino Linotype" w:cs="Arial"/>
          <w:b/>
        </w:rPr>
        <w:t>Ayuntamiento de Cuautitlán Izcalli</w:t>
      </w:r>
      <w:r w:rsidRPr="0092243D">
        <w:rPr>
          <w:rFonts w:ascii="Palatino Linotype" w:hAnsi="Palatino Linotype" w:cs="Arial"/>
          <w:b/>
        </w:rPr>
        <w:t>,</w:t>
      </w:r>
      <w:r w:rsidRPr="0092243D">
        <w:rPr>
          <w:rFonts w:ascii="Palatino Linotype" w:hAnsi="Palatino Linotype"/>
          <w:b/>
        </w:rPr>
        <w:t xml:space="preserve"> </w:t>
      </w:r>
      <w:r w:rsidRPr="0092243D">
        <w:rPr>
          <w:rFonts w:ascii="Palatino Linotype" w:hAnsi="Palatino Linotype"/>
        </w:rPr>
        <w:t>en lo sucesivo el</w:t>
      </w:r>
      <w:r w:rsidRPr="0092243D">
        <w:rPr>
          <w:rFonts w:ascii="Palatino Linotype" w:hAnsi="Palatino Linotype"/>
          <w:b/>
        </w:rPr>
        <w:t xml:space="preserve"> SUJETO OBLIGADO</w:t>
      </w:r>
      <w:r w:rsidRPr="0092243D">
        <w:rPr>
          <w:rFonts w:ascii="Palatino Linotype" w:hAnsi="Palatino Linotype"/>
        </w:rPr>
        <w:t>, se procede a dictar la presente resolución, con base en los siguientes:</w:t>
      </w:r>
    </w:p>
    <w:p w:rsidR="007C3761" w:rsidRPr="0092243D" w:rsidRDefault="007C3761" w:rsidP="00855290">
      <w:pPr>
        <w:spacing w:line="360" w:lineRule="auto"/>
        <w:jc w:val="both"/>
        <w:rPr>
          <w:rFonts w:ascii="Palatino Linotype" w:hAnsi="Palatino Linotype"/>
          <w:b/>
        </w:rPr>
      </w:pPr>
    </w:p>
    <w:p w:rsidR="009F09BC" w:rsidRPr="0092243D"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2243D">
        <w:rPr>
          <w:rFonts w:ascii="Palatino Linotype" w:hAnsi="Palatino Linotype"/>
          <w:b/>
          <w:color w:val="000000" w:themeColor="text1"/>
          <w:sz w:val="24"/>
          <w:szCs w:val="24"/>
        </w:rPr>
        <w:t>ANTECEDENTES</w:t>
      </w:r>
      <w:bookmarkEnd w:id="0"/>
      <w:bookmarkEnd w:id="1"/>
      <w:bookmarkEnd w:id="2"/>
    </w:p>
    <w:p w:rsidR="007C3761" w:rsidRPr="0092243D" w:rsidRDefault="007C3761" w:rsidP="00855290">
      <w:pPr>
        <w:spacing w:line="360" w:lineRule="auto"/>
        <w:rPr>
          <w:rFonts w:ascii="Palatino Linotype" w:hAnsi="Palatino Linotype"/>
        </w:rPr>
      </w:pPr>
    </w:p>
    <w:p w:rsidR="009F09BC" w:rsidRPr="0092243D" w:rsidRDefault="009F09BC" w:rsidP="00855290">
      <w:pPr>
        <w:pStyle w:val="Prrafodelista"/>
        <w:numPr>
          <w:ilvl w:val="0"/>
          <w:numId w:val="15"/>
        </w:numPr>
        <w:spacing w:line="360" w:lineRule="auto"/>
        <w:ind w:left="0" w:firstLine="0"/>
        <w:jc w:val="both"/>
        <w:rPr>
          <w:rFonts w:ascii="Palatino Linotype" w:eastAsia="Calibri" w:hAnsi="Palatino Linotype" w:cs="Arial"/>
          <w:lang w:val="es-ES"/>
        </w:rPr>
      </w:pPr>
      <w:r w:rsidRPr="0092243D">
        <w:rPr>
          <w:rFonts w:ascii="Palatino Linotype" w:eastAsia="Calibri" w:hAnsi="Palatino Linotype" w:cs="Arial"/>
          <w:lang w:val="es-ES"/>
        </w:rPr>
        <w:t xml:space="preserve">El día </w:t>
      </w:r>
      <w:r w:rsidR="003B15A3" w:rsidRPr="0092243D">
        <w:rPr>
          <w:rFonts w:ascii="Palatino Linotype" w:eastAsia="Calibri" w:hAnsi="Palatino Linotype" w:cs="Arial"/>
          <w:lang w:val="es-ES"/>
        </w:rPr>
        <w:t>di</w:t>
      </w:r>
      <w:r w:rsidR="00E56AF3" w:rsidRPr="0092243D">
        <w:rPr>
          <w:rFonts w:ascii="Palatino Linotype" w:eastAsia="Calibri" w:hAnsi="Palatino Linotype" w:cs="Arial"/>
          <w:lang w:val="es-ES"/>
        </w:rPr>
        <w:t>e</w:t>
      </w:r>
      <w:r w:rsidR="003B15A3" w:rsidRPr="0092243D">
        <w:rPr>
          <w:rFonts w:ascii="Palatino Linotype" w:eastAsia="Calibri" w:hAnsi="Palatino Linotype" w:cs="Arial"/>
          <w:lang w:val="es-ES"/>
        </w:rPr>
        <w:t>z</w:t>
      </w:r>
      <w:r w:rsidRPr="0092243D">
        <w:rPr>
          <w:rFonts w:ascii="Palatino Linotype" w:eastAsia="Calibri" w:hAnsi="Palatino Linotype" w:cs="Arial"/>
          <w:lang w:val="es-ES"/>
        </w:rPr>
        <w:t xml:space="preserve"> (</w:t>
      </w:r>
      <w:r w:rsidR="008A699B" w:rsidRPr="0092243D">
        <w:rPr>
          <w:rFonts w:ascii="Palatino Linotype" w:eastAsia="Calibri" w:hAnsi="Palatino Linotype" w:cs="Arial"/>
          <w:lang w:val="es-ES"/>
        </w:rPr>
        <w:t>1</w:t>
      </w:r>
      <w:r w:rsidR="003B15A3" w:rsidRPr="0092243D">
        <w:rPr>
          <w:rFonts w:ascii="Palatino Linotype" w:eastAsia="Calibri" w:hAnsi="Palatino Linotype" w:cs="Arial"/>
          <w:lang w:val="es-ES"/>
        </w:rPr>
        <w:t>0</w:t>
      </w:r>
      <w:r w:rsidRPr="0092243D">
        <w:rPr>
          <w:rFonts w:ascii="Palatino Linotype" w:eastAsia="Calibri" w:hAnsi="Palatino Linotype" w:cs="Arial"/>
          <w:lang w:val="es-ES"/>
        </w:rPr>
        <w:t xml:space="preserve">) de </w:t>
      </w:r>
      <w:r w:rsidR="003B15A3" w:rsidRPr="0092243D">
        <w:rPr>
          <w:rFonts w:ascii="Palatino Linotype" w:eastAsia="Calibri" w:hAnsi="Palatino Linotype" w:cs="Arial"/>
          <w:lang w:val="es-ES"/>
        </w:rPr>
        <w:t>enero</w:t>
      </w:r>
      <w:r w:rsidRPr="0092243D">
        <w:rPr>
          <w:rFonts w:ascii="Palatino Linotype" w:eastAsia="Calibri" w:hAnsi="Palatino Linotype" w:cs="Arial"/>
          <w:lang w:val="es-ES"/>
        </w:rPr>
        <w:t xml:space="preserve"> de dos mil </w:t>
      </w:r>
      <w:r w:rsidR="003B15A3" w:rsidRPr="0092243D">
        <w:rPr>
          <w:rFonts w:ascii="Palatino Linotype" w:eastAsia="Calibri" w:hAnsi="Palatino Linotype" w:cs="Arial"/>
          <w:lang w:val="es-ES"/>
        </w:rPr>
        <w:t>veintidós</w:t>
      </w:r>
      <w:r w:rsidRPr="0092243D">
        <w:rPr>
          <w:rFonts w:ascii="Palatino Linotype" w:hAnsi="Palatino Linotype"/>
          <w:b/>
        </w:rPr>
        <w:t xml:space="preserve">, </w:t>
      </w:r>
      <w:r w:rsidRPr="0092243D">
        <w:rPr>
          <w:rFonts w:ascii="Palatino Linotype" w:eastAsia="Calibri" w:hAnsi="Palatino Linotype" w:cs="Arial"/>
          <w:lang w:val="es-ES"/>
        </w:rPr>
        <w:t xml:space="preserve">se presentó ante el </w:t>
      </w:r>
      <w:r w:rsidRPr="0092243D">
        <w:rPr>
          <w:rFonts w:ascii="Palatino Linotype" w:eastAsia="Calibri" w:hAnsi="Palatino Linotype" w:cs="Arial"/>
          <w:b/>
          <w:lang w:val="es-ES"/>
        </w:rPr>
        <w:t>SUJETO OBLIGADO</w:t>
      </w:r>
      <w:r w:rsidRPr="0092243D">
        <w:rPr>
          <w:rFonts w:ascii="Palatino Linotype" w:eastAsia="Calibri" w:hAnsi="Palatino Linotype" w:cs="Arial"/>
        </w:rPr>
        <w:t xml:space="preserve"> vía </w:t>
      </w:r>
      <w:r w:rsidR="008A699B" w:rsidRPr="0092243D">
        <w:rPr>
          <w:rFonts w:ascii="Palatino Linotype" w:eastAsia="Calibri" w:hAnsi="Palatino Linotype" w:cs="Arial"/>
          <w:lang w:val="es-ES"/>
        </w:rPr>
        <w:t>SAIMEX, la solicitud</w:t>
      </w:r>
      <w:r w:rsidRPr="0092243D">
        <w:rPr>
          <w:rFonts w:ascii="Palatino Linotype" w:eastAsia="Calibri" w:hAnsi="Palatino Linotype" w:cs="Arial"/>
          <w:lang w:val="es-ES"/>
        </w:rPr>
        <w:t xml:space="preserve"> de información pública</w:t>
      </w:r>
      <w:r w:rsidR="008A699B" w:rsidRPr="0092243D">
        <w:rPr>
          <w:rFonts w:ascii="Palatino Linotype" w:eastAsia="Calibri" w:hAnsi="Palatino Linotype" w:cs="Arial"/>
          <w:lang w:val="es-ES"/>
        </w:rPr>
        <w:t xml:space="preserve"> registrada</w:t>
      </w:r>
      <w:r w:rsidRPr="0092243D">
        <w:rPr>
          <w:rFonts w:ascii="Palatino Linotype" w:eastAsia="Calibri" w:hAnsi="Palatino Linotype" w:cs="Arial"/>
          <w:lang w:val="es-ES"/>
        </w:rPr>
        <w:t xml:space="preserve"> con </w:t>
      </w:r>
      <w:r w:rsidR="008A699B" w:rsidRPr="0092243D">
        <w:rPr>
          <w:rFonts w:ascii="Palatino Linotype" w:eastAsia="Calibri" w:hAnsi="Palatino Linotype" w:cs="Arial"/>
          <w:lang w:val="es-ES"/>
        </w:rPr>
        <w:t xml:space="preserve">el </w:t>
      </w:r>
      <w:r w:rsidRPr="0092243D">
        <w:rPr>
          <w:rFonts w:ascii="Palatino Linotype" w:eastAsia="Calibri" w:hAnsi="Palatino Linotype" w:cs="Arial"/>
          <w:lang w:val="es-ES"/>
        </w:rPr>
        <w:t>número</w:t>
      </w:r>
      <w:r w:rsidRPr="0092243D">
        <w:rPr>
          <w:rFonts w:ascii="Palatino Linotype" w:hAnsi="Palatino Linotype"/>
          <w:b/>
          <w:bCs/>
          <w:color w:val="000000" w:themeColor="text1"/>
        </w:rPr>
        <w:t xml:space="preserve"> </w:t>
      </w:r>
      <w:r w:rsidR="003B15A3" w:rsidRPr="0092243D">
        <w:rPr>
          <w:rFonts w:ascii="Palatino Linotype" w:hAnsi="Palatino Linotype"/>
          <w:b/>
          <w:bCs/>
          <w:color w:val="000000" w:themeColor="text1"/>
        </w:rPr>
        <w:t>00001/CUAUTIZC/IP/2022</w:t>
      </w:r>
      <w:r w:rsidRPr="0092243D">
        <w:rPr>
          <w:rFonts w:ascii="Palatino Linotype" w:hAnsi="Palatino Linotype"/>
          <w:b/>
          <w:bCs/>
          <w:color w:val="000000" w:themeColor="text1"/>
        </w:rPr>
        <w:t xml:space="preserve">; </w:t>
      </w:r>
      <w:r w:rsidRPr="0092243D">
        <w:rPr>
          <w:rFonts w:ascii="Palatino Linotype" w:eastAsia="Calibri" w:hAnsi="Palatino Linotype" w:cs="Arial"/>
          <w:lang w:val="es-ES"/>
        </w:rPr>
        <w:t>mediante las cuales se solicitó la siguiente información:</w:t>
      </w:r>
    </w:p>
    <w:p w:rsidR="008A699B" w:rsidRPr="0092243D" w:rsidRDefault="008A699B" w:rsidP="00855290">
      <w:pPr>
        <w:pStyle w:val="Prrafodelista"/>
        <w:spacing w:line="360" w:lineRule="auto"/>
        <w:ind w:left="0"/>
        <w:jc w:val="both"/>
        <w:rPr>
          <w:rFonts w:ascii="Palatino Linotype" w:eastAsia="Calibri" w:hAnsi="Palatino Linotype" w:cs="Arial"/>
          <w:lang w:val="es-ES"/>
        </w:rPr>
      </w:pPr>
    </w:p>
    <w:p w:rsidR="009F09BC" w:rsidRPr="0092243D" w:rsidRDefault="008A699B" w:rsidP="00855290">
      <w:pPr>
        <w:pStyle w:val="Prrafodelista"/>
        <w:spacing w:line="360" w:lineRule="auto"/>
        <w:ind w:left="426" w:right="474"/>
        <w:jc w:val="both"/>
        <w:rPr>
          <w:rFonts w:ascii="Palatino Linotype" w:hAnsi="Palatino Linotype"/>
          <w:i/>
        </w:rPr>
      </w:pPr>
      <w:r w:rsidRPr="0092243D">
        <w:rPr>
          <w:rFonts w:ascii="Palatino Linotype" w:hAnsi="Palatino Linotype"/>
          <w:i/>
        </w:rPr>
        <w:t>“</w:t>
      </w:r>
      <w:r w:rsidR="003B15A3" w:rsidRPr="0092243D">
        <w:rPr>
          <w:rFonts w:ascii="Palatino Linotype" w:hAnsi="Palatino Linotype"/>
          <w:i/>
        </w:rPr>
        <w:t xml:space="preserve">Respecto de un terreno baldío con su propia cuenta catastral y con una superficie de 1,980m2, derivado de una operación de compra-venta con reserva de dominio la cual dio como resultado la adquisición de una fracción de ese terreno con una superficie de 125 m2, sin que previo a ello exista una subdivisión, lotificación etc. esto, en razón de que, solo se vendió una sola fracción, por lo tanto requiero: A) El fundamento legal y administrativo más los requisitos para tramitar la asignación de una nueva cuenta catastral para la fracción resultante de 125 m2; B) señale si </w:t>
      </w:r>
      <w:r w:rsidR="003B15A3" w:rsidRPr="0092243D">
        <w:rPr>
          <w:rFonts w:ascii="Palatino Linotype" w:hAnsi="Palatino Linotype"/>
          <w:i/>
        </w:rPr>
        <w:lastRenderedPageBreak/>
        <w:t>respecto de la totalidad del predio el área de catastro hace la modificación en sus sistemas respecto de la superficie del terreno principal, caso contrario, indique el procedimiento a seguir para tal efecto; C) El extracto del manual administrativo donde se advierta el procedimiento para la asignación de dicha cuenta catastral; y D) En su actual administracion cuántos expedientes se generaron derivado de aqueyos ciudadanos que adquirieron mediante compra-venta una fracción de predio la asignación de una nueva cuenta catastral para dicha fracción, en caso de no contar con la información, requiero el acta del comité de transparencia en la cual se declare la inexistencia de la información</w:t>
      </w:r>
      <w:r w:rsidRPr="0092243D">
        <w:rPr>
          <w:rFonts w:ascii="Palatino Linotype" w:hAnsi="Palatino Linotype"/>
          <w:i/>
        </w:rPr>
        <w:t>”</w:t>
      </w:r>
    </w:p>
    <w:p w:rsidR="008A699B" w:rsidRPr="0092243D" w:rsidRDefault="008A699B" w:rsidP="00855290">
      <w:pPr>
        <w:pStyle w:val="Prrafodelista"/>
        <w:spacing w:line="360" w:lineRule="auto"/>
        <w:ind w:left="851" w:right="34"/>
        <w:jc w:val="both"/>
        <w:rPr>
          <w:rFonts w:ascii="Palatino Linotype" w:hAnsi="Palatino Linotype"/>
        </w:rPr>
      </w:pPr>
    </w:p>
    <w:p w:rsidR="009F09BC" w:rsidRPr="0092243D" w:rsidRDefault="009F09BC" w:rsidP="00855290">
      <w:pPr>
        <w:pStyle w:val="Prrafodelista"/>
        <w:numPr>
          <w:ilvl w:val="0"/>
          <w:numId w:val="23"/>
        </w:numPr>
        <w:spacing w:line="360" w:lineRule="auto"/>
        <w:ind w:left="851" w:right="34"/>
        <w:jc w:val="both"/>
        <w:rPr>
          <w:rFonts w:ascii="Palatino Linotype" w:hAnsi="Palatino Linotype"/>
        </w:rPr>
      </w:pPr>
      <w:r w:rsidRPr="0092243D">
        <w:rPr>
          <w:rFonts w:ascii="Palatino Linotype" w:eastAsia="Times New Roman" w:hAnsi="Palatino Linotype" w:cs="Arial"/>
          <w:lang w:val="es-ES"/>
        </w:rPr>
        <w:t>Se eligió como modalidad de entrega de la información</w:t>
      </w:r>
      <w:r w:rsidRPr="0092243D">
        <w:rPr>
          <w:rFonts w:ascii="Palatino Linotype" w:hAnsi="Palatino Linotype"/>
        </w:rPr>
        <w:t xml:space="preserve">: A través del </w:t>
      </w:r>
      <w:r w:rsidRPr="0092243D">
        <w:rPr>
          <w:rFonts w:ascii="Palatino Linotype" w:hAnsi="Palatino Linotype"/>
          <w:b/>
        </w:rPr>
        <w:t>SAIMEX</w:t>
      </w:r>
    </w:p>
    <w:p w:rsidR="008A699B" w:rsidRPr="0092243D" w:rsidRDefault="008A699B" w:rsidP="00855290">
      <w:pPr>
        <w:pStyle w:val="Prrafodelista"/>
        <w:spacing w:line="360" w:lineRule="auto"/>
        <w:ind w:left="851" w:right="34"/>
        <w:jc w:val="both"/>
        <w:rPr>
          <w:rFonts w:ascii="Palatino Linotype" w:hAnsi="Palatino Linotype"/>
        </w:rPr>
      </w:pPr>
    </w:p>
    <w:p w:rsidR="002C4997" w:rsidRPr="0092243D" w:rsidRDefault="004525CB"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92243D">
        <w:rPr>
          <w:rFonts w:ascii="Palatino Linotype" w:hAnsi="Palatino Linotype" w:cs="Arial"/>
          <w:color w:val="000000" w:themeColor="text1"/>
        </w:rPr>
        <w:t xml:space="preserve">El </w:t>
      </w:r>
      <w:r w:rsidR="003B15A3" w:rsidRPr="0092243D">
        <w:rPr>
          <w:rFonts w:ascii="Palatino Linotype" w:hAnsi="Palatino Linotype" w:cs="Arial"/>
          <w:color w:val="000000" w:themeColor="text1"/>
        </w:rPr>
        <w:t>dieciocho</w:t>
      </w:r>
      <w:r w:rsidR="009F09BC" w:rsidRPr="0092243D">
        <w:rPr>
          <w:rFonts w:ascii="Palatino Linotype" w:hAnsi="Palatino Linotype" w:cs="Arial"/>
          <w:color w:val="000000" w:themeColor="text1"/>
        </w:rPr>
        <w:t xml:space="preserve"> (</w:t>
      </w:r>
      <w:r w:rsidR="00843EFF" w:rsidRPr="0092243D">
        <w:rPr>
          <w:rFonts w:ascii="Palatino Linotype" w:hAnsi="Palatino Linotype" w:cs="Arial"/>
          <w:color w:val="000000" w:themeColor="text1"/>
        </w:rPr>
        <w:t>1</w:t>
      </w:r>
      <w:r w:rsidR="003B15A3" w:rsidRPr="0092243D">
        <w:rPr>
          <w:rFonts w:ascii="Palatino Linotype" w:hAnsi="Palatino Linotype" w:cs="Arial"/>
          <w:color w:val="000000" w:themeColor="text1"/>
        </w:rPr>
        <w:t>8</w:t>
      </w:r>
      <w:r w:rsidR="009F09BC" w:rsidRPr="0092243D">
        <w:rPr>
          <w:rFonts w:ascii="Palatino Linotype" w:hAnsi="Palatino Linotype" w:cs="Arial"/>
          <w:color w:val="000000" w:themeColor="text1"/>
        </w:rPr>
        <w:t xml:space="preserve">) de </w:t>
      </w:r>
      <w:r w:rsidR="002C4997" w:rsidRPr="0092243D">
        <w:rPr>
          <w:rFonts w:ascii="Palatino Linotype" w:hAnsi="Palatino Linotype" w:cs="Arial"/>
          <w:color w:val="000000" w:themeColor="text1"/>
        </w:rPr>
        <w:t>enero de dos mil veintidós</w:t>
      </w:r>
      <w:r w:rsidR="009F09BC" w:rsidRPr="0092243D">
        <w:rPr>
          <w:rFonts w:ascii="Palatino Linotype" w:hAnsi="Palatino Linotype" w:cs="Arial"/>
          <w:color w:val="000000" w:themeColor="text1"/>
        </w:rPr>
        <w:t xml:space="preserve">, el </w:t>
      </w:r>
      <w:r w:rsidR="009F09BC" w:rsidRPr="0092243D">
        <w:rPr>
          <w:rFonts w:ascii="Palatino Linotype" w:hAnsi="Palatino Linotype" w:cs="Arial"/>
          <w:b/>
          <w:color w:val="000000" w:themeColor="text1"/>
        </w:rPr>
        <w:t>SUJETO OBLIGADO,</w:t>
      </w:r>
      <w:r w:rsidR="009F09BC" w:rsidRPr="0092243D">
        <w:rPr>
          <w:rFonts w:ascii="Palatino Linotype" w:hAnsi="Palatino Linotype" w:cs="Arial"/>
          <w:color w:val="000000" w:themeColor="text1"/>
        </w:rPr>
        <w:t xml:space="preserve"> dio respuesta </w:t>
      </w:r>
      <w:r w:rsidR="001A1658" w:rsidRPr="0092243D">
        <w:rPr>
          <w:rFonts w:ascii="Palatino Linotype" w:hAnsi="Palatino Linotype" w:cs="Arial"/>
          <w:color w:val="000000" w:themeColor="text1"/>
        </w:rPr>
        <w:t>a través del siguiente escrito</w:t>
      </w:r>
      <w:r w:rsidR="00041972" w:rsidRPr="0092243D">
        <w:rPr>
          <w:rFonts w:ascii="Palatino Linotype" w:hAnsi="Palatino Linotype" w:cs="Arial"/>
          <w:color w:val="000000" w:themeColor="text1"/>
        </w:rPr>
        <w:t xml:space="preserve"> y archivo respectivamente</w:t>
      </w:r>
      <w:r w:rsidR="00B47955" w:rsidRPr="0092243D">
        <w:rPr>
          <w:rFonts w:ascii="Palatino Linotype" w:hAnsi="Palatino Linotype" w:cs="Arial"/>
          <w:color w:val="000000" w:themeColor="text1"/>
        </w:rPr>
        <w:t>:</w:t>
      </w:r>
    </w:p>
    <w:p w:rsidR="001A1658" w:rsidRPr="0092243D" w:rsidRDefault="001A1658" w:rsidP="001A1658">
      <w:pPr>
        <w:pStyle w:val="Prrafodelista"/>
        <w:tabs>
          <w:tab w:val="left" w:pos="0"/>
        </w:tabs>
        <w:spacing w:line="360" w:lineRule="auto"/>
        <w:ind w:left="0" w:right="49"/>
        <w:jc w:val="both"/>
        <w:rPr>
          <w:rFonts w:ascii="Palatino Linotype" w:hAnsi="Palatino Linotype" w:cs="Arial"/>
          <w:i/>
          <w:color w:val="000000" w:themeColor="text1"/>
        </w:rPr>
      </w:pPr>
    </w:p>
    <w:p w:rsidR="00B47955" w:rsidRPr="0092243D" w:rsidRDefault="001A1658" w:rsidP="001A1658">
      <w:pPr>
        <w:pStyle w:val="Prrafodelista"/>
        <w:spacing w:line="360" w:lineRule="auto"/>
        <w:ind w:left="426" w:right="474"/>
        <w:jc w:val="both"/>
        <w:rPr>
          <w:rFonts w:ascii="Palatino Linotype" w:hAnsi="Palatino Linotype" w:cs="Arial"/>
          <w:i/>
          <w:color w:val="000000" w:themeColor="text1"/>
        </w:rPr>
      </w:pPr>
      <w:r w:rsidRPr="0092243D">
        <w:rPr>
          <w:rFonts w:ascii="Palatino Linotype" w:hAnsi="Palatino Linotype" w:cs="Arial"/>
          <w:i/>
          <w:color w:val="000000" w:themeColor="text1"/>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(1)Tesorería Municipal. 1.- “Por medio del presente reciba un cordial saludo y con fundamento </w:t>
      </w:r>
      <w:r w:rsidRPr="0092243D">
        <w:rPr>
          <w:rFonts w:ascii="Palatino Linotype" w:hAnsi="Palatino Linotype" w:cs="Arial"/>
          <w:i/>
          <w:color w:val="000000" w:themeColor="text1"/>
        </w:rPr>
        <w:lastRenderedPageBreak/>
        <w:t xml:space="preserve">en los artículos 8 de la Constitución Política de los Estados Unidos Mexicanos; con fundamento en lo previsto en los artículos 2, 37, 120 y 135 segundo párrafo del Código de Procedimientos Administrativos del Estado de México, 171 fracción XVII y 173 del Código Financiero del Estado de México y Municipios; 4, 11, 12 y 23 fracción IV, 59 fracciones I, II y III de la Ley de Transparencia y Acceso a la Información Pública del Estado de México y Municipios, le informo lo siguiente: Como se puede apreciar en la solicitud de información con número de folio 0001/CUAUTIZC/IP/2022, la que a la letra señala: “Respecto de un terreno baldío, con su propia cuenta catastral y con una superficie 1980m2 derivado de una operación de compra-venta con reserva de dominio la cual dio como resultado la adquisición de una fracción de ese terreno con una superficie de 125m2 sin que previo a ello exista una subdivisión , lotificación etc. esto, en razón de que, solo se vendió un fracción, por lo tanto requiero: A) El fundamento legal y administrativo más los requisitos para tramitar la asignación de una nueva cuenta catastral para la fracción resultante de 125m2; B) Señale si respecto de la totalidad del predio el área de catastro hace la modificación en sus sistemas con respecto de la superficie del terreno principal, caso contrario indica el procedimiento a seguir para tal efecto ; C) El extracto del manual administrativo donde se advierta el procedimiento para la asignación de dicha cuenta catastral, D) En su actual administración cuantos expedientes se generaron derivado de aquellos ciudadanas que adquirieron mediante compra-venta una fracción de predio la asignación de una nueva cuenta de clave catastral para dicha fracción, en caso de no contar con la información, requiero el acta del comité de transparencia en la cual se declare la existencia de la información ”. El solicitante anexa un cuestionario, no así una solicitud de acceso a la información que pueda ser atendida mediante un documento en el cual se haya </w:t>
      </w:r>
      <w:r w:rsidRPr="0092243D">
        <w:rPr>
          <w:rFonts w:ascii="Palatino Linotype" w:hAnsi="Palatino Linotype" w:cs="Arial"/>
          <w:i/>
          <w:color w:val="000000" w:themeColor="text1"/>
        </w:rPr>
        <w:lastRenderedPageBreak/>
        <w:t xml:space="preserve">ejercido alguna atribución al respecto, de conformidad con lo establecido en los artículos 2 fracción II, 3 fracción XI, y 18 de la Ley de Transparencia y Acceso a la Información Pública del Estado de México y Municipios, donde señalan, que uno de los objetivos es garantizar el derecho a la información pública, respecto de los documentos que son, expedientes, deportes, estudios, actas, resoluciones, convenios, instructivos, notas, estadísticas o cualquier registro que documente el ejercicio de facultades y competencias de los sujetos obligados, así mismo, refiere que los sujetos obligados deberán documentar todo acto que derive de sus facultades, competencias o funciones. Derivado de lo anterior y con fundamento en los artículos 12, 24 último párrafo y 160 de la citada Ley, hago de su conocimiento, que, la información pública que se requiera, deberá versar sobre aquella que conste en documentos que obren en posesión de los sujetos obligados, no estando obligados a procesarla, resumirla, efectuar cálculos o practicar investigaciones, por lo que en ese orden de ideas esta tesorería no se encuentra en posibilidad de atender su solicitud en los términos en que los solicita. Sin perjuicio de lo anterior, se le hace una cordial invitación para acudir al área de Catastro para poder brindarle la información requerida, lo anterior con fundamento en el artículo 5 fracción I y 21 del reglamento del título quinto del Código Financiero del Estado de México y Municipios denominados “Del Catastro”; Apartado 1 denominado “ATENCIÓN AL PÚBLICO Y CONTROL DE GESTIÓN PARA LA PRESTACIÓN DE SERVICIOS Y GENERACIÓN DE PRODUCTOS CATASTRALES”, sub-apartado 1.3 denominado “POLÍTICAS GENERALES”, indicativos ACGC001, ACGC002, ACGC004, ACGC006, ACGC007 y ACGC008 del Manual Catastral del Estado de México, para otorgar la prestación de ejercicios catastrales. ”SIC De lo anteriormente expuesto y fundado a Usted, en términos de los artículos 11, 41, 46 y demás aplicables de la Ley de </w:t>
      </w:r>
      <w:r w:rsidRPr="0092243D">
        <w:rPr>
          <w:rFonts w:ascii="Palatino Linotype" w:hAnsi="Palatino Linotype" w:cs="Arial"/>
          <w:i/>
          <w:color w:val="000000" w:themeColor="text1"/>
        </w:rPr>
        <w:lastRenderedPageBreak/>
        <w:t>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041972" w:rsidRPr="0092243D" w:rsidRDefault="00041972" w:rsidP="001A1658">
      <w:pPr>
        <w:pStyle w:val="Prrafodelista"/>
        <w:spacing w:line="360" w:lineRule="auto"/>
        <w:ind w:left="426" w:right="474"/>
        <w:jc w:val="both"/>
        <w:rPr>
          <w:rFonts w:ascii="Palatino Linotype" w:hAnsi="Palatino Linotype" w:cs="Arial"/>
          <w:i/>
          <w:color w:val="000000" w:themeColor="text1"/>
        </w:rPr>
      </w:pPr>
    </w:p>
    <w:p w:rsidR="00041972" w:rsidRPr="0092243D" w:rsidRDefault="00041972" w:rsidP="00041972">
      <w:pPr>
        <w:pStyle w:val="Prrafodelista"/>
        <w:numPr>
          <w:ilvl w:val="0"/>
          <w:numId w:val="23"/>
        </w:numPr>
        <w:spacing w:line="360" w:lineRule="auto"/>
        <w:ind w:left="709" w:right="474"/>
        <w:jc w:val="both"/>
        <w:rPr>
          <w:rFonts w:ascii="Palatino Linotype" w:hAnsi="Palatino Linotype" w:cs="Arial"/>
          <w:b/>
          <w:color w:val="000000" w:themeColor="text1"/>
        </w:rPr>
      </w:pPr>
      <w:r w:rsidRPr="0092243D">
        <w:rPr>
          <w:rFonts w:ascii="Palatino Linotype" w:hAnsi="Palatino Linotype" w:cs="Arial"/>
          <w:b/>
          <w:color w:val="000000" w:themeColor="text1"/>
        </w:rPr>
        <w:t>01.pdf</w:t>
      </w:r>
      <w:r w:rsidRPr="0092243D">
        <w:rPr>
          <w:rFonts w:ascii="Palatino Linotype" w:hAnsi="Palatino Linotype" w:cs="Arial"/>
          <w:color w:val="000000" w:themeColor="text1"/>
        </w:rPr>
        <w:t>, cuyo contenido es el siguiente:</w:t>
      </w:r>
    </w:p>
    <w:p w:rsidR="00041972" w:rsidRPr="0092243D" w:rsidRDefault="00041972" w:rsidP="00041972">
      <w:pPr>
        <w:pStyle w:val="Prrafodelista"/>
        <w:spacing w:line="360" w:lineRule="auto"/>
        <w:ind w:left="709" w:right="474"/>
        <w:jc w:val="both"/>
        <w:rPr>
          <w:rFonts w:ascii="Palatino Linotype" w:hAnsi="Palatino Linotype" w:cs="Arial"/>
          <w:b/>
          <w:color w:val="000000" w:themeColor="text1"/>
        </w:rPr>
      </w:pPr>
    </w:p>
    <w:p w:rsidR="001A1658" w:rsidRPr="0092243D" w:rsidRDefault="00041972" w:rsidP="00041972">
      <w:pPr>
        <w:pStyle w:val="Prrafodelista"/>
        <w:tabs>
          <w:tab w:val="left" w:pos="0"/>
        </w:tabs>
        <w:spacing w:line="360" w:lineRule="auto"/>
        <w:ind w:left="0" w:right="49"/>
        <w:jc w:val="center"/>
        <w:rPr>
          <w:rFonts w:ascii="Palatino Linotype" w:hAnsi="Palatino Linotype" w:cs="Arial"/>
          <w:i/>
          <w:color w:val="000000" w:themeColor="text1"/>
        </w:rPr>
      </w:pPr>
      <w:r w:rsidRPr="0092243D">
        <w:rPr>
          <w:rFonts w:ascii="Palatino Linotype" w:hAnsi="Palatino Linotype" w:cs="Arial"/>
          <w:i/>
          <w:noProof/>
          <w:color w:val="000000" w:themeColor="text1"/>
          <w:lang w:val="es-MX" w:eastAsia="es-MX"/>
        </w:rPr>
        <w:drawing>
          <wp:inline distT="0" distB="0" distL="0" distR="0">
            <wp:extent cx="4279900" cy="5020652"/>
            <wp:effectExtent l="19050" t="19050" r="2540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4791" cy="5026390"/>
                    </a:xfrm>
                    <a:prstGeom prst="rect">
                      <a:avLst/>
                    </a:prstGeom>
                    <a:noFill/>
                    <a:ln>
                      <a:solidFill>
                        <a:schemeClr val="tx1"/>
                      </a:solidFill>
                    </a:ln>
                  </pic:spPr>
                </pic:pic>
              </a:graphicData>
            </a:graphic>
          </wp:inline>
        </w:drawing>
      </w:r>
    </w:p>
    <w:p w:rsidR="00041972" w:rsidRPr="0092243D" w:rsidRDefault="00041972" w:rsidP="00041972">
      <w:pPr>
        <w:pStyle w:val="Prrafodelista"/>
        <w:tabs>
          <w:tab w:val="left" w:pos="0"/>
        </w:tabs>
        <w:spacing w:line="360" w:lineRule="auto"/>
        <w:ind w:left="0" w:right="49"/>
        <w:jc w:val="center"/>
        <w:rPr>
          <w:rFonts w:ascii="Palatino Linotype" w:hAnsi="Palatino Linotype" w:cs="Arial"/>
          <w:i/>
          <w:color w:val="000000" w:themeColor="text1"/>
        </w:rPr>
      </w:pPr>
      <w:r w:rsidRPr="0092243D">
        <w:rPr>
          <w:rFonts w:ascii="Palatino Linotype" w:hAnsi="Palatino Linotype" w:cs="Arial"/>
          <w:i/>
          <w:noProof/>
          <w:color w:val="000000" w:themeColor="text1"/>
          <w:lang w:val="es-MX" w:eastAsia="es-MX"/>
        </w:rPr>
        <w:lastRenderedPageBreak/>
        <w:drawing>
          <wp:inline distT="0" distB="0" distL="0" distR="0">
            <wp:extent cx="4349750" cy="4229895"/>
            <wp:effectExtent l="19050" t="19050" r="12700"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270" cy="4238180"/>
                    </a:xfrm>
                    <a:prstGeom prst="rect">
                      <a:avLst/>
                    </a:prstGeom>
                    <a:noFill/>
                    <a:ln>
                      <a:solidFill>
                        <a:schemeClr val="tx1"/>
                      </a:solidFill>
                    </a:ln>
                  </pic:spPr>
                </pic:pic>
              </a:graphicData>
            </a:graphic>
          </wp:inline>
        </w:drawing>
      </w:r>
    </w:p>
    <w:p w:rsidR="00041972" w:rsidRPr="0092243D" w:rsidRDefault="00041972" w:rsidP="00041972">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92243D" w:rsidRDefault="009F09BC"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92243D">
        <w:rPr>
          <w:rFonts w:ascii="Palatino Linotype" w:eastAsia="Times New Roman" w:hAnsi="Palatino Linotype" w:cs="Arial"/>
          <w:color w:val="000000" w:themeColor="text1"/>
          <w:lang w:val="es-ES"/>
        </w:rPr>
        <w:t>E</w:t>
      </w:r>
      <w:r w:rsidR="002C4997" w:rsidRPr="0092243D">
        <w:rPr>
          <w:rFonts w:ascii="Palatino Linotype" w:eastAsia="Times New Roman" w:hAnsi="Palatino Linotype" w:cs="Arial"/>
          <w:color w:val="000000" w:themeColor="text1"/>
          <w:lang w:val="es-ES"/>
        </w:rPr>
        <w:t xml:space="preserve">l </w:t>
      </w:r>
      <w:r w:rsidR="00306BC0" w:rsidRPr="0092243D">
        <w:rPr>
          <w:rFonts w:ascii="Palatino Linotype" w:eastAsia="Times New Roman" w:hAnsi="Palatino Linotype" w:cs="Arial"/>
          <w:color w:val="000000" w:themeColor="text1"/>
          <w:lang w:val="es-ES"/>
        </w:rPr>
        <w:t>dieciocho</w:t>
      </w:r>
      <w:r w:rsidR="00C23EB6" w:rsidRPr="0092243D">
        <w:rPr>
          <w:rFonts w:ascii="Palatino Linotype" w:eastAsia="Times New Roman" w:hAnsi="Palatino Linotype" w:cs="Arial"/>
          <w:color w:val="000000" w:themeColor="text1"/>
          <w:lang w:val="es-ES"/>
        </w:rPr>
        <w:t xml:space="preserve"> (1</w:t>
      </w:r>
      <w:r w:rsidR="00306BC0" w:rsidRPr="0092243D">
        <w:rPr>
          <w:rFonts w:ascii="Palatino Linotype" w:eastAsia="Times New Roman" w:hAnsi="Palatino Linotype" w:cs="Arial"/>
          <w:color w:val="000000" w:themeColor="text1"/>
          <w:lang w:val="es-ES"/>
        </w:rPr>
        <w:t>8</w:t>
      </w:r>
      <w:r w:rsidR="00C23EB6" w:rsidRPr="0092243D">
        <w:rPr>
          <w:rFonts w:ascii="Palatino Linotype" w:eastAsia="Times New Roman" w:hAnsi="Palatino Linotype" w:cs="Arial"/>
          <w:color w:val="000000" w:themeColor="text1"/>
          <w:lang w:val="es-ES"/>
        </w:rPr>
        <w:t>)</w:t>
      </w:r>
      <w:r w:rsidRPr="0092243D">
        <w:rPr>
          <w:rFonts w:ascii="Palatino Linotype" w:eastAsia="Times New Roman" w:hAnsi="Palatino Linotype" w:cs="Arial"/>
          <w:color w:val="000000" w:themeColor="text1"/>
          <w:lang w:val="es-ES"/>
        </w:rPr>
        <w:t xml:space="preserve"> de </w:t>
      </w:r>
      <w:r w:rsidR="002C4997" w:rsidRPr="0092243D">
        <w:rPr>
          <w:rFonts w:ascii="Palatino Linotype" w:eastAsia="Times New Roman" w:hAnsi="Palatino Linotype" w:cs="Arial"/>
          <w:color w:val="000000" w:themeColor="text1"/>
          <w:lang w:val="es-ES"/>
        </w:rPr>
        <w:t>ener</w:t>
      </w:r>
      <w:r w:rsidRPr="0092243D">
        <w:rPr>
          <w:rFonts w:ascii="Palatino Linotype" w:eastAsia="Times New Roman" w:hAnsi="Palatino Linotype" w:cs="Arial"/>
          <w:color w:val="000000" w:themeColor="text1"/>
          <w:lang w:val="es-ES"/>
        </w:rPr>
        <w:t xml:space="preserve">o de </w:t>
      </w:r>
      <w:r w:rsidR="007C3761" w:rsidRPr="0092243D">
        <w:rPr>
          <w:rFonts w:ascii="Palatino Linotype" w:eastAsia="Times New Roman" w:hAnsi="Palatino Linotype" w:cs="Arial"/>
          <w:color w:val="000000" w:themeColor="text1"/>
          <w:lang w:val="es-ES"/>
        </w:rPr>
        <w:t>dos mil veintidós</w:t>
      </w:r>
      <w:r w:rsidRPr="0092243D">
        <w:rPr>
          <w:rFonts w:ascii="Palatino Linotype" w:eastAsia="Times New Roman" w:hAnsi="Palatino Linotype" w:cs="Arial"/>
          <w:color w:val="000000" w:themeColor="text1"/>
          <w:lang w:val="es-ES"/>
        </w:rPr>
        <w:t xml:space="preserve">, el particular interpuso </w:t>
      </w:r>
      <w:r w:rsidR="002C4997" w:rsidRPr="0092243D">
        <w:rPr>
          <w:rFonts w:ascii="Palatino Linotype" w:eastAsia="Times New Roman" w:hAnsi="Palatino Linotype" w:cs="Arial"/>
          <w:color w:val="000000" w:themeColor="text1"/>
          <w:lang w:val="es-ES"/>
        </w:rPr>
        <w:t>e</w:t>
      </w:r>
      <w:r w:rsidRPr="0092243D">
        <w:rPr>
          <w:rFonts w:ascii="Palatino Linotype" w:eastAsia="Times New Roman" w:hAnsi="Palatino Linotype" w:cs="Arial"/>
          <w:color w:val="000000" w:themeColor="text1"/>
          <w:lang w:val="es-ES"/>
        </w:rPr>
        <w:t xml:space="preserve">l recurso de revisión en contra de la respuesta, </w:t>
      </w:r>
      <w:r w:rsidR="00306BC0" w:rsidRPr="0092243D">
        <w:rPr>
          <w:rFonts w:ascii="Palatino Linotype" w:eastAsia="Times New Roman" w:hAnsi="Palatino Linotype" w:cs="Arial"/>
          <w:color w:val="000000" w:themeColor="text1"/>
          <w:lang w:val="es-ES"/>
        </w:rPr>
        <w:t>con</w:t>
      </w:r>
      <w:r w:rsidRPr="0092243D">
        <w:rPr>
          <w:rFonts w:ascii="Palatino Linotype" w:eastAsia="Times New Roman" w:hAnsi="Palatino Linotype" w:cs="Arial"/>
          <w:color w:val="000000" w:themeColor="text1"/>
          <w:lang w:val="es-ES"/>
        </w:rPr>
        <w:t xml:space="preserve"> l</w:t>
      </w:r>
      <w:r w:rsidR="002C4997" w:rsidRPr="0092243D">
        <w:rPr>
          <w:rFonts w:ascii="Palatino Linotype" w:eastAsia="Times New Roman" w:hAnsi="Palatino Linotype" w:cs="Arial"/>
          <w:color w:val="000000" w:themeColor="text1"/>
          <w:lang w:val="es-ES"/>
        </w:rPr>
        <w:t>a</w:t>
      </w:r>
      <w:r w:rsidRPr="0092243D">
        <w:rPr>
          <w:rFonts w:ascii="Palatino Linotype" w:eastAsia="Times New Roman" w:hAnsi="Palatino Linotype" w:cs="Arial"/>
          <w:color w:val="000000" w:themeColor="text1"/>
          <w:lang w:val="es-ES"/>
        </w:rPr>
        <w:t xml:space="preserve">s </w:t>
      </w:r>
      <w:r w:rsidR="002C4997" w:rsidRPr="0092243D">
        <w:rPr>
          <w:rFonts w:ascii="Palatino Linotype" w:eastAsia="Times New Roman" w:hAnsi="Palatino Linotype" w:cs="Arial"/>
          <w:color w:val="000000" w:themeColor="text1"/>
          <w:lang w:val="es-ES"/>
        </w:rPr>
        <w:t>siguientes</w:t>
      </w:r>
      <w:r w:rsidRPr="0092243D">
        <w:rPr>
          <w:rFonts w:ascii="Palatino Linotype" w:eastAsia="Times New Roman" w:hAnsi="Palatino Linotype" w:cs="Arial"/>
          <w:color w:val="000000" w:themeColor="text1"/>
          <w:lang w:val="es-ES"/>
        </w:rPr>
        <w:t xml:space="preserve"> razones o motivos de inconformidad:</w:t>
      </w:r>
    </w:p>
    <w:p w:rsidR="009F09BC" w:rsidRPr="0092243D"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92243D" w:rsidRDefault="009F09BC" w:rsidP="009A1104">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2243D">
        <w:rPr>
          <w:rStyle w:val="Ttulo2Car"/>
          <w:rFonts w:ascii="Palatino Linotype" w:hAnsi="Palatino Linotype"/>
          <w:b/>
          <w:color w:val="auto"/>
          <w:sz w:val="24"/>
          <w:szCs w:val="24"/>
        </w:rPr>
        <w:t>Acto impugnado</w:t>
      </w:r>
      <w:bookmarkEnd w:id="3"/>
      <w:r w:rsidRPr="0092243D">
        <w:rPr>
          <w:rStyle w:val="Ttulo2Car"/>
          <w:rFonts w:ascii="Palatino Linotype" w:hAnsi="Palatino Linotype"/>
          <w:b/>
          <w:color w:val="000000" w:themeColor="text1"/>
          <w:sz w:val="24"/>
          <w:szCs w:val="24"/>
        </w:rPr>
        <w:t xml:space="preserve">: </w:t>
      </w:r>
      <w:r w:rsidRPr="0092243D">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9A1104" w:rsidRPr="0092243D">
        <w:rPr>
          <w:rStyle w:val="Ttulo2Car"/>
          <w:rFonts w:ascii="Palatino Linotype" w:hAnsi="Palatino Linotype"/>
          <w:i/>
          <w:color w:val="000000" w:themeColor="text1"/>
          <w:sz w:val="24"/>
          <w:szCs w:val="24"/>
        </w:rPr>
        <w:t xml:space="preserve">Impugno la absurda respuesta por parte de la unidad administrativa, a mi no me interesa si son competentes o no, la unidad de transparencia tiene la obligación de turnar las solicitudes a todas las áreas que pudieran detentar la información y en caso de que un área declare la no competencia tiene la obligación de señalar que área es la encargada de dar atención, </w:t>
      </w:r>
      <w:r w:rsidR="009A1104" w:rsidRPr="0092243D">
        <w:rPr>
          <w:rStyle w:val="Ttulo2Car"/>
          <w:rFonts w:ascii="Palatino Linotype" w:hAnsi="Palatino Linotype"/>
          <w:i/>
          <w:color w:val="000000" w:themeColor="text1"/>
          <w:sz w:val="24"/>
          <w:szCs w:val="24"/>
        </w:rPr>
        <w:lastRenderedPageBreak/>
        <w:t>por lo tanto la unidad administrativa debe canalizar la solicitud a esa área competente a efecto de dar respuesta, por lo tanto impugno la respuesta emitida en virtud de que no guarda ninguna relación con la solicitud.</w:t>
      </w:r>
      <w:r w:rsidRPr="0092243D">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92243D" w:rsidRDefault="009F09BC" w:rsidP="00855290">
      <w:pPr>
        <w:pStyle w:val="Prrafodelista"/>
        <w:spacing w:line="360" w:lineRule="auto"/>
        <w:ind w:left="1004"/>
        <w:jc w:val="both"/>
        <w:rPr>
          <w:rFonts w:ascii="Palatino Linotype" w:hAnsi="Palatino Linotype"/>
          <w:i/>
          <w:color w:val="000000" w:themeColor="text1"/>
        </w:rPr>
      </w:pPr>
    </w:p>
    <w:p w:rsidR="009F09BC" w:rsidRPr="0092243D" w:rsidRDefault="009F09BC" w:rsidP="00306BC0">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92243D">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92243D">
        <w:rPr>
          <w:rFonts w:ascii="Palatino Linotype" w:hAnsi="Palatino Linotype"/>
          <w:b/>
          <w:color w:val="000000" w:themeColor="text1"/>
        </w:rPr>
        <w:t xml:space="preserve"> </w:t>
      </w:r>
      <w:r w:rsidRPr="0092243D">
        <w:rPr>
          <w:rFonts w:ascii="Palatino Linotype" w:hAnsi="Palatino Linotype"/>
          <w:i/>
          <w:color w:val="000000" w:themeColor="text1"/>
        </w:rPr>
        <w:t>“</w:t>
      </w:r>
      <w:r w:rsidR="00306BC0" w:rsidRPr="0092243D">
        <w:rPr>
          <w:rFonts w:ascii="Palatino Linotype" w:hAnsi="Palatino Linotype"/>
          <w:i/>
          <w:color w:val="000000" w:themeColor="text1"/>
        </w:rPr>
        <w:t>Se viola mi derecho humano a la información pública.</w:t>
      </w:r>
      <w:r w:rsidRPr="0092243D">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F09BC" w:rsidRPr="0092243D" w:rsidRDefault="009F09BC" w:rsidP="00855290">
      <w:pPr>
        <w:pStyle w:val="Prrafodelista"/>
        <w:spacing w:line="360" w:lineRule="auto"/>
        <w:ind w:left="1004"/>
        <w:jc w:val="both"/>
        <w:rPr>
          <w:rFonts w:ascii="Palatino Linotype" w:hAnsi="Palatino Linotype"/>
          <w:i/>
          <w:color w:val="000000" w:themeColor="text1"/>
        </w:rPr>
      </w:pPr>
    </w:p>
    <w:p w:rsidR="009F09BC" w:rsidRPr="0092243D" w:rsidRDefault="00CC5B2F" w:rsidP="00855290">
      <w:pPr>
        <w:pStyle w:val="Prrafodelista"/>
        <w:numPr>
          <w:ilvl w:val="0"/>
          <w:numId w:val="15"/>
        </w:numPr>
        <w:spacing w:line="360" w:lineRule="auto"/>
        <w:ind w:left="0" w:firstLine="0"/>
        <w:jc w:val="both"/>
        <w:rPr>
          <w:rFonts w:ascii="Palatino Linotype" w:hAnsi="Palatino Linotype"/>
          <w:i/>
        </w:rPr>
      </w:pPr>
      <w:r w:rsidRPr="0092243D">
        <w:rPr>
          <w:rFonts w:ascii="Palatino Linotype" w:eastAsia="Calibri" w:hAnsi="Palatino Linotype" w:cs="Arial"/>
          <w:lang w:val="es-ES"/>
        </w:rPr>
        <w:t>La Comisionada</w:t>
      </w:r>
      <w:r w:rsidR="009F09BC" w:rsidRPr="0092243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06BC0" w:rsidRPr="0092243D">
        <w:rPr>
          <w:rFonts w:ascii="Palatino Linotype" w:eastAsia="Calibri" w:hAnsi="Palatino Linotype" w:cs="Arial"/>
          <w:lang w:val="es-ES"/>
        </w:rPr>
        <w:t>veintiuno</w:t>
      </w:r>
      <w:r w:rsidR="009F09BC" w:rsidRPr="0092243D">
        <w:rPr>
          <w:rFonts w:ascii="Palatino Linotype" w:eastAsia="Calibri" w:hAnsi="Palatino Linotype" w:cs="Arial"/>
          <w:lang w:val="es-ES"/>
        </w:rPr>
        <w:t xml:space="preserve"> (</w:t>
      </w:r>
      <w:r w:rsidR="00306BC0" w:rsidRPr="0092243D">
        <w:rPr>
          <w:rFonts w:ascii="Palatino Linotype" w:eastAsia="Calibri" w:hAnsi="Palatino Linotype" w:cs="Arial"/>
          <w:lang w:val="es-ES"/>
        </w:rPr>
        <w:t>21</w:t>
      </w:r>
      <w:r w:rsidR="009F09BC" w:rsidRPr="0092243D">
        <w:rPr>
          <w:rFonts w:ascii="Palatino Linotype" w:eastAsia="Calibri" w:hAnsi="Palatino Linotype" w:cs="Arial"/>
          <w:lang w:val="es-ES"/>
        </w:rPr>
        <w:t xml:space="preserve">) de </w:t>
      </w:r>
      <w:r w:rsidR="009A1104" w:rsidRPr="0092243D">
        <w:rPr>
          <w:rFonts w:ascii="Palatino Linotype" w:eastAsia="Calibri" w:hAnsi="Palatino Linotype" w:cs="Arial"/>
          <w:lang w:val="es-ES"/>
        </w:rPr>
        <w:t>ener</w:t>
      </w:r>
      <w:r w:rsidR="00DA782E" w:rsidRPr="0092243D">
        <w:rPr>
          <w:rFonts w:ascii="Palatino Linotype" w:eastAsia="Calibri" w:hAnsi="Palatino Linotype" w:cs="Arial"/>
          <w:lang w:val="es-ES"/>
        </w:rPr>
        <w:t>o</w:t>
      </w:r>
      <w:r w:rsidR="009F09BC" w:rsidRPr="0092243D">
        <w:rPr>
          <w:rFonts w:ascii="Palatino Linotype" w:eastAsia="Calibri" w:hAnsi="Palatino Linotype" w:cs="Arial"/>
          <w:lang w:val="es-ES"/>
        </w:rPr>
        <w:t xml:space="preserve"> del año en curso, </w:t>
      </w:r>
      <w:r w:rsidR="00DA782E" w:rsidRPr="0092243D">
        <w:rPr>
          <w:rFonts w:ascii="Palatino Linotype" w:eastAsia="Calibri" w:hAnsi="Palatino Linotype" w:cs="Arial"/>
          <w:lang w:val="es-ES"/>
        </w:rPr>
        <w:t xml:space="preserve">se </w:t>
      </w:r>
      <w:r w:rsidR="009F09BC" w:rsidRPr="0092243D">
        <w:rPr>
          <w:rFonts w:ascii="Palatino Linotype" w:eastAsia="Calibri" w:hAnsi="Palatino Linotype" w:cs="Arial"/>
          <w:lang w:val="es-ES"/>
        </w:rPr>
        <w:t xml:space="preserve">puso a disposición de las partes el expediente electrónico </w:t>
      </w:r>
      <w:r w:rsidR="009F09BC" w:rsidRPr="0092243D">
        <w:rPr>
          <w:rFonts w:ascii="Palatino Linotype" w:eastAsia="Calibri" w:hAnsi="Palatino Linotype" w:cs="Arial"/>
        </w:rPr>
        <w:t xml:space="preserve">vía </w:t>
      </w:r>
      <w:r w:rsidR="009F09BC" w:rsidRPr="0092243D">
        <w:rPr>
          <w:rFonts w:ascii="Palatino Linotype" w:eastAsia="Calibri" w:hAnsi="Palatino Linotype" w:cs="Arial"/>
          <w:b/>
          <w:lang w:val="es-ES"/>
        </w:rPr>
        <w:t xml:space="preserve">SAIMEX </w:t>
      </w:r>
      <w:r w:rsidR="009F09BC" w:rsidRPr="0092243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2243D">
        <w:rPr>
          <w:rFonts w:ascii="Palatino Linotype" w:eastAsia="Calibri" w:hAnsi="Palatino Linotype" w:cs="Arial"/>
          <w:b/>
          <w:lang w:val="es-ES"/>
        </w:rPr>
        <w:t>SUJETO OBLIGADO</w:t>
      </w:r>
      <w:r w:rsidR="009F09BC" w:rsidRPr="0092243D">
        <w:rPr>
          <w:rFonts w:ascii="Palatino Linotype" w:eastAsia="Calibri" w:hAnsi="Palatino Linotype" w:cs="Arial"/>
          <w:lang w:val="es-ES"/>
        </w:rPr>
        <w:t xml:space="preserve"> presentará el Informe Justificado procedente.</w:t>
      </w:r>
    </w:p>
    <w:p w:rsidR="009F09BC" w:rsidRPr="0092243D" w:rsidRDefault="009F09BC" w:rsidP="00855290">
      <w:pPr>
        <w:pStyle w:val="Prrafodelista"/>
        <w:spacing w:line="360" w:lineRule="auto"/>
        <w:ind w:left="0"/>
        <w:jc w:val="both"/>
        <w:rPr>
          <w:rFonts w:ascii="Palatino Linotype" w:hAnsi="Palatino Linotype"/>
        </w:rPr>
      </w:pPr>
    </w:p>
    <w:p w:rsidR="009F09BC" w:rsidRPr="0092243D" w:rsidRDefault="009F09BC" w:rsidP="00855290">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color w:val="000000"/>
        </w:rPr>
        <w:t xml:space="preserve">El </w:t>
      </w:r>
      <w:r w:rsidRPr="0092243D">
        <w:rPr>
          <w:rFonts w:ascii="Palatino Linotype" w:hAnsi="Palatino Linotype"/>
          <w:b/>
          <w:color w:val="000000"/>
        </w:rPr>
        <w:t>SUJETO OBLIGADO</w:t>
      </w:r>
      <w:r w:rsidR="007A6A1A" w:rsidRPr="0092243D">
        <w:rPr>
          <w:rFonts w:ascii="Palatino Linotype" w:hAnsi="Palatino Linotype"/>
          <w:color w:val="000000"/>
        </w:rPr>
        <w:t xml:space="preserve"> </w:t>
      </w:r>
      <w:r w:rsidR="00DA782E" w:rsidRPr="0092243D">
        <w:rPr>
          <w:rFonts w:ascii="Palatino Linotype" w:hAnsi="Palatino Linotype"/>
          <w:color w:val="000000"/>
        </w:rPr>
        <w:t xml:space="preserve">en fecha </w:t>
      </w:r>
      <w:r w:rsidR="009A1104" w:rsidRPr="0092243D">
        <w:rPr>
          <w:rFonts w:ascii="Palatino Linotype" w:hAnsi="Palatino Linotype"/>
          <w:color w:val="000000"/>
        </w:rPr>
        <w:t>veinti</w:t>
      </w:r>
      <w:r w:rsidR="00DA782E" w:rsidRPr="0092243D">
        <w:rPr>
          <w:rFonts w:ascii="Palatino Linotype" w:hAnsi="Palatino Linotype"/>
          <w:color w:val="000000"/>
        </w:rPr>
        <w:t>ocho (</w:t>
      </w:r>
      <w:r w:rsidR="009A1104" w:rsidRPr="0092243D">
        <w:rPr>
          <w:rFonts w:ascii="Palatino Linotype" w:hAnsi="Palatino Linotype"/>
          <w:color w:val="000000"/>
        </w:rPr>
        <w:t>28) de ener</w:t>
      </w:r>
      <w:r w:rsidR="00DA782E" w:rsidRPr="0092243D">
        <w:rPr>
          <w:rFonts w:ascii="Palatino Linotype" w:hAnsi="Palatino Linotype"/>
          <w:color w:val="000000"/>
        </w:rPr>
        <w:t xml:space="preserve">o del año en curso rindió su informe justificado, el cual, se puso a disposición del ahora </w:t>
      </w:r>
      <w:r w:rsidR="00DA782E" w:rsidRPr="0092243D">
        <w:rPr>
          <w:rFonts w:ascii="Palatino Linotype" w:hAnsi="Palatino Linotype"/>
          <w:b/>
          <w:color w:val="000000"/>
        </w:rPr>
        <w:t>RECURRENTE</w:t>
      </w:r>
      <w:r w:rsidR="00DA782E" w:rsidRPr="0092243D">
        <w:rPr>
          <w:rFonts w:ascii="Palatino Linotype" w:hAnsi="Palatino Linotype"/>
          <w:color w:val="000000"/>
        </w:rPr>
        <w:t xml:space="preserve"> </w:t>
      </w:r>
      <w:r w:rsidR="009A1104" w:rsidRPr="0092243D">
        <w:rPr>
          <w:rFonts w:ascii="Palatino Linotype" w:hAnsi="Palatino Linotype"/>
          <w:color w:val="000000"/>
        </w:rPr>
        <w:t>mediante acuerdo de fecha veintidós (22) de febrero del mismo año</w:t>
      </w:r>
      <w:r w:rsidR="002C4997" w:rsidRPr="0092243D">
        <w:rPr>
          <w:rFonts w:ascii="Palatino Linotype" w:hAnsi="Palatino Linotype"/>
          <w:color w:val="000000"/>
        </w:rPr>
        <w:t xml:space="preserve">. </w:t>
      </w:r>
      <w:r w:rsidRPr="0092243D">
        <w:rPr>
          <w:rFonts w:ascii="Palatino Linotype" w:hAnsi="Palatino Linotype"/>
          <w:color w:val="000000"/>
        </w:rPr>
        <w:t xml:space="preserve">Por su parte </w:t>
      </w:r>
      <w:r w:rsidRPr="0092243D">
        <w:rPr>
          <w:rFonts w:ascii="Palatino Linotype" w:hAnsi="Palatino Linotype"/>
          <w:b/>
          <w:color w:val="000000"/>
        </w:rPr>
        <w:t xml:space="preserve">EL PARTICULAR </w:t>
      </w:r>
      <w:r w:rsidRPr="0092243D">
        <w:rPr>
          <w:rFonts w:ascii="Palatino Linotype" w:hAnsi="Palatino Linotype"/>
          <w:color w:val="000000"/>
        </w:rPr>
        <w:t>dejó de realizar manifestaciones que a su derecho conviniera y asistiera.</w:t>
      </w:r>
    </w:p>
    <w:p w:rsidR="00ED6E75" w:rsidRPr="0092243D" w:rsidRDefault="00ED6E75" w:rsidP="00855290">
      <w:pPr>
        <w:pStyle w:val="Prrafodelista"/>
        <w:spacing w:line="360" w:lineRule="auto"/>
        <w:ind w:left="0"/>
        <w:jc w:val="both"/>
        <w:rPr>
          <w:rFonts w:ascii="Palatino Linotype" w:hAnsi="Palatino Linotype"/>
        </w:rPr>
      </w:pPr>
    </w:p>
    <w:p w:rsidR="009F09BC" w:rsidRPr="0092243D" w:rsidRDefault="0001674C" w:rsidP="0085529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92243D">
        <w:rPr>
          <w:rFonts w:ascii="Palatino Linotype" w:hAnsi="Palatino Linotype"/>
        </w:rPr>
        <w:t xml:space="preserve">El </w:t>
      </w:r>
      <w:r w:rsidR="009A1104" w:rsidRPr="0092243D">
        <w:rPr>
          <w:rFonts w:ascii="Palatino Linotype" w:hAnsi="Palatino Linotype"/>
        </w:rPr>
        <w:t>quince</w:t>
      </w:r>
      <w:r w:rsidRPr="0092243D">
        <w:rPr>
          <w:rFonts w:ascii="Palatino Linotype" w:hAnsi="Palatino Linotype"/>
        </w:rPr>
        <w:t xml:space="preserve"> (</w:t>
      </w:r>
      <w:r w:rsidR="009A1104" w:rsidRPr="0092243D">
        <w:rPr>
          <w:rFonts w:ascii="Palatino Linotype" w:hAnsi="Palatino Linotype"/>
        </w:rPr>
        <w:t>15</w:t>
      </w:r>
      <w:r w:rsidRPr="0092243D">
        <w:rPr>
          <w:rFonts w:ascii="Palatino Linotype" w:hAnsi="Palatino Linotype"/>
        </w:rPr>
        <w:t xml:space="preserve">) de </w:t>
      </w:r>
      <w:r w:rsidR="009A1104" w:rsidRPr="0092243D">
        <w:rPr>
          <w:rFonts w:ascii="Palatino Linotype" w:hAnsi="Palatino Linotype"/>
        </w:rPr>
        <w:t>marzo</w:t>
      </w:r>
      <w:r w:rsidRPr="0092243D">
        <w:rPr>
          <w:rFonts w:ascii="Palatino Linotype" w:hAnsi="Palatino Linotype"/>
        </w:rPr>
        <w:t xml:space="preserve"> de</w:t>
      </w:r>
      <w:r w:rsidR="00933A28" w:rsidRPr="0092243D">
        <w:rPr>
          <w:rFonts w:ascii="Palatino Linotype" w:hAnsi="Palatino Linotype"/>
        </w:rPr>
        <w:t xml:space="preserve"> dos mil veintidós</w:t>
      </w:r>
      <w:r w:rsidRPr="0092243D">
        <w:rPr>
          <w:rFonts w:ascii="Palatino Linotype" w:hAnsi="Palatino Linotype"/>
        </w:rPr>
        <w:t xml:space="preserve">, </w:t>
      </w:r>
      <w:r w:rsidR="00933A28" w:rsidRPr="0092243D">
        <w:rPr>
          <w:rFonts w:ascii="Palatino Linotype" w:hAnsi="Palatino Linotype"/>
        </w:rPr>
        <w:t xml:space="preserve">se </w:t>
      </w:r>
      <w:r w:rsidR="007210B9" w:rsidRPr="0092243D">
        <w:rPr>
          <w:rFonts w:ascii="Palatino Linotype" w:hAnsi="Palatino Linotype"/>
        </w:rPr>
        <w:t>amplió</w:t>
      </w:r>
      <w:r w:rsidR="00933A28" w:rsidRPr="0092243D">
        <w:rPr>
          <w:rFonts w:ascii="Palatino Linotype" w:hAnsi="Palatino Linotype"/>
        </w:rPr>
        <w:t xml:space="preserve"> el termino para resolver; posteriormente mediante acuerdo de misma fecha </w:t>
      </w:r>
      <w:r w:rsidRPr="0092243D">
        <w:rPr>
          <w:rFonts w:ascii="Palatino Linotype" w:hAnsi="Palatino Linotype"/>
        </w:rPr>
        <w:t xml:space="preserve">se decretó el cierre de instrucción, </w:t>
      </w:r>
      <w:r w:rsidR="009F09BC" w:rsidRPr="0092243D">
        <w:rPr>
          <w:rFonts w:ascii="Palatino Linotype" w:hAnsi="Palatino Linotype" w:cs="Arial"/>
        </w:rPr>
        <w:t>por lo que no habiendo más que hacer constar, y --------------------------</w:t>
      </w:r>
      <w:r w:rsidRPr="0092243D">
        <w:rPr>
          <w:rFonts w:ascii="Palatino Linotype" w:hAnsi="Palatino Linotype" w:cs="Arial"/>
        </w:rPr>
        <w:t>---</w:t>
      </w:r>
    </w:p>
    <w:p w:rsidR="00933A28" w:rsidRPr="0092243D" w:rsidRDefault="00933A28" w:rsidP="00855290">
      <w:pPr>
        <w:pStyle w:val="Prrafodelista"/>
        <w:spacing w:line="360" w:lineRule="auto"/>
        <w:rPr>
          <w:rFonts w:ascii="Palatino Linotype" w:hAnsi="Palatino Linotype"/>
          <w:b/>
          <w:color w:val="000000" w:themeColor="text1"/>
        </w:rPr>
      </w:pPr>
    </w:p>
    <w:p w:rsidR="009F09BC" w:rsidRPr="0092243D"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92243D">
        <w:rPr>
          <w:rFonts w:ascii="Palatino Linotype" w:hAnsi="Palatino Linotype"/>
          <w:b/>
          <w:color w:val="000000" w:themeColor="text1"/>
          <w:sz w:val="24"/>
          <w:szCs w:val="24"/>
        </w:rPr>
        <w:lastRenderedPageBreak/>
        <w:t>CONSIDERANDO</w:t>
      </w:r>
      <w:bookmarkEnd w:id="133"/>
      <w:bookmarkEnd w:id="134"/>
    </w:p>
    <w:p w:rsidR="009F09BC" w:rsidRPr="0092243D" w:rsidRDefault="009F09BC" w:rsidP="00855290">
      <w:pPr>
        <w:spacing w:line="360" w:lineRule="auto"/>
        <w:rPr>
          <w:rFonts w:ascii="Palatino Linotype" w:hAnsi="Palatino Linotype"/>
          <w:lang w:val="es-MX" w:eastAsia="en-US"/>
        </w:rPr>
      </w:pPr>
    </w:p>
    <w:p w:rsidR="009F09BC" w:rsidRPr="0092243D"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92243D">
        <w:rPr>
          <w:rFonts w:ascii="Palatino Linotype" w:hAnsi="Palatino Linotype"/>
          <w:b/>
          <w:color w:val="auto"/>
          <w:sz w:val="24"/>
          <w:szCs w:val="24"/>
        </w:rPr>
        <w:t>PRIMERO. De la competencia</w:t>
      </w:r>
      <w:bookmarkEnd w:id="135"/>
      <w:bookmarkEnd w:id="136"/>
    </w:p>
    <w:p w:rsidR="009F09BC" w:rsidRPr="0092243D" w:rsidRDefault="009F09BC" w:rsidP="00855290">
      <w:pPr>
        <w:spacing w:line="360" w:lineRule="auto"/>
        <w:rPr>
          <w:rFonts w:ascii="Palatino Linotype" w:hAnsi="Palatino Linotype"/>
          <w:lang w:val="es-MX" w:eastAsia="en-US"/>
        </w:rPr>
      </w:pPr>
    </w:p>
    <w:p w:rsidR="00353F1D" w:rsidRPr="0092243D" w:rsidRDefault="00353F1D" w:rsidP="00855290">
      <w:pPr>
        <w:pStyle w:val="Prrafodelista"/>
        <w:numPr>
          <w:ilvl w:val="0"/>
          <w:numId w:val="15"/>
        </w:numPr>
        <w:spacing w:line="360" w:lineRule="auto"/>
        <w:ind w:left="0" w:firstLine="0"/>
        <w:jc w:val="both"/>
        <w:rPr>
          <w:rFonts w:ascii="Palatino Linotype" w:hAnsi="Palatino Linotype"/>
          <w:color w:val="000000" w:themeColor="text1"/>
        </w:rPr>
      </w:pPr>
      <w:r w:rsidRPr="0092243D">
        <w:rPr>
          <w:rFonts w:ascii="Palatino Linotype" w:hAnsi="Palatino Linotype"/>
          <w:color w:val="000000" w:themeColor="text1"/>
        </w:rPr>
        <w:t xml:space="preserve">El </w:t>
      </w:r>
      <w:r w:rsidRPr="0092243D">
        <w:rPr>
          <w:rFonts w:ascii="Palatino Linotype" w:hAnsi="Palatino Linotype"/>
        </w:rPr>
        <w:t>Instituto</w:t>
      </w:r>
      <w:r w:rsidRPr="0092243D">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92243D" w:rsidRDefault="007210B9" w:rsidP="007210B9">
      <w:pPr>
        <w:pStyle w:val="Prrafodelista"/>
        <w:spacing w:line="360" w:lineRule="auto"/>
        <w:ind w:left="0"/>
        <w:jc w:val="both"/>
        <w:rPr>
          <w:rFonts w:ascii="Palatino Linotype" w:hAnsi="Palatino Linotype"/>
          <w:color w:val="000000" w:themeColor="text1"/>
        </w:rPr>
      </w:pPr>
    </w:p>
    <w:p w:rsidR="009F09BC" w:rsidRPr="0092243D"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92243D">
        <w:rPr>
          <w:rFonts w:ascii="Palatino Linotype" w:hAnsi="Palatino Linotype"/>
          <w:b/>
          <w:color w:val="auto"/>
          <w:sz w:val="24"/>
          <w:szCs w:val="24"/>
        </w:rPr>
        <w:t>SEGUNDO. De la oportunidad y procedencia.</w:t>
      </w:r>
      <w:bookmarkEnd w:id="137"/>
      <w:bookmarkEnd w:id="138"/>
    </w:p>
    <w:p w:rsidR="009F09BC" w:rsidRPr="0092243D" w:rsidRDefault="009F09BC" w:rsidP="00855290">
      <w:pPr>
        <w:spacing w:line="360" w:lineRule="auto"/>
        <w:rPr>
          <w:rFonts w:ascii="Palatino Linotype" w:hAnsi="Palatino Linotype"/>
          <w:lang w:val="es-MX" w:eastAsia="en-US"/>
        </w:rPr>
      </w:pPr>
    </w:p>
    <w:p w:rsidR="009F09BC" w:rsidRPr="0092243D" w:rsidRDefault="00425842" w:rsidP="00855290">
      <w:pPr>
        <w:pStyle w:val="Prrafodelista"/>
        <w:numPr>
          <w:ilvl w:val="0"/>
          <w:numId w:val="15"/>
        </w:numPr>
        <w:spacing w:line="360" w:lineRule="auto"/>
        <w:ind w:left="0" w:firstLine="0"/>
        <w:jc w:val="both"/>
        <w:rPr>
          <w:rFonts w:ascii="Palatino Linotype" w:hAnsi="Palatino Linotype"/>
        </w:rPr>
      </w:pPr>
      <w:r w:rsidRPr="0092243D">
        <w:rPr>
          <w:rFonts w:ascii="Palatino Linotype" w:eastAsia="Calibri" w:hAnsi="Palatino Linotype" w:cs="Arial"/>
        </w:rPr>
        <w:t>El</w:t>
      </w:r>
      <w:r w:rsidR="00AD63B4" w:rsidRPr="0092243D">
        <w:rPr>
          <w:rFonts w:ascii="Palatino Linotype" w:eastAsia="Calibri" w:hAnsi="Palatino Linotype" w:cs="Arial"/>
        </w:rPr>
        <w:t xml:space="preserve"> </w:t>
      </w:r>
      <w:r w:rsidR="009F09BC" w:rsidRPr="0092243D">
        <w:rPr>
          <w:rFonts w:ascii="Palatino Linotype" w:eastAsia="Calibri" w:hAnsi="Palatino Linotype" w:cs="Arial"/>
        </w:rPr>
        <w:t xml:space="preserve">medio de impugnación fue presentado a través del </w:t>
      </w:r>
      <w:r w:rsidR="009F09BC" w:rsidRPr="0092243D">
        <w:rPr>
          <w:rFonts w:ascii="Palatino Linotype" w:eastAsia="Calibri" w:hAnsi="Palatino Linotype" w:cs="Arial"/>
          <w:b/>
        </w:rPr>
        <w:t>SAIMEX,</w:t>
      </w:r>
      <w:r w:rsidR="009F09BC" w:rsidRPr="0092243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2243D">
        <w:rPr>
          <w:rFonts w:ascii="Palatino Linotype" w:eastAsia="Calibri" w:hAnsi="Palatino Linotype" w:cs="Arial"/>
          <w:b/>
        </w:rPr>
        <w:t>SUJETO OBLIGADO</w:t>
      </w:r>
      <w:r w:rsidRPr="0092243D">
        <w:rPr>
          <w:rFonts w:ascii="Palatino Linotype" w:eastAsia="Calibri" w:hAnsi="Palatino Linotype" w:cs="Arial"/>
        </w:rPr>
        <w:t xml:space="preserve"> entregó su</w:t>
      </w:r>
      <w:r w:rsidR="009F09BC" w:rsidRPr="0092243D">
        <w:rPr>
          <w:rFonts w:ascii="Palatino Linotype" w:eastAsia="Calibri" w:hAnsi="Palatino Linotype" w:cs="Arial"/>
        </w:rPr>
        <w:t xml:space="preserve"> respuesta </w:t>
      </w:r>
      <w:r w:rsidRPr="0092243D">
        <w:rPr>
          <w:rFonts w:ascii="Palatino Linotype" w:eastAsia="Calibri" w:hAnsi="Palatino Linotype" w:cs="Arial"/>
        </w:rPr>
        <w:t>e</w:t>
      </w:r>
      <w:r w:rsidR="009F09BC" w:rsidRPr="0092243D">
        <w:rPr>
          <w:rFonts w:ascii="Palatino Linotype" w:eastAsia="Calibri" w:hAnsi="Palatino Linotype" w:cs="Arial"/>
        </w:rPr>
        <w:t xml:space="preserve">l </w:t>
      </w:r>
      <w:r w:rsidR="00933A28" w:rsidRPr="0092243D">
        <w:rPr>
          <w:rFonts w:ascii="Palatino Linotype" w:eastAsia="Calibri" w:hAnsi="Palatino Linotype" w:cs="Arial"/>
        </w:rPr>
        <w:t>dieci</w:t>
      </w:r>
      <w:r w:rsidR="009A1104" w:rsidRPr="0092243D">
        <w:rPr>
          <w:rFonts w:ascii="Palatino Linotype" w:eastAsia="Calibri" w:hAnsi="Palatino Linotype" w:cs="Arial"/>
        </w:rPr>
        <w:t>ocho</w:t>
      </w:r>
      <w:r w:rsidRPr="0092243D">
        <w:rPr>
          <w:rFonts w:ascii="Palatino Linotype" w:eastAsia="Calibri" w:hAnsi="Palatino Linotype" w:cs="Arial"/>
        </w:rPr>
        <w:t xml:space="preserve"> (</w:t>
      </w:r>
      <w:r w:rsidR="00933A28" w:rsidRPr="0092243D">
        <w:rPr>
          <w:rFonts w:ascii="Palatino Linotype" w:eastAsia="Calibri" w:hAnsi="Palatino Linotype" w:cs="Arial"/>
        </w:rPr>
        <w:t>1</w:t>
      </w:r>
      <w:r w:rsidR="009A1104" w:rsidRPr="0092243D">
        <w:rPr>
          <w:rFonts w:ascii="Palatino Linotype" w:eastAsia="Calibri" w:hAnsi="Palatino Linotype" w:cs="Arial"/>
        </w:rPr>
        <w:t>8</w:t>
      </w:r>
      <w:r w:rsidR="009F09BC" w:rsidRPr="0092243D">
        <w:rPr>
          <w:rFonts w:ascii="Palatino Linotype" w:eastAsia="Calibri" w:hAnsi="Palatino Linotype" w:cs="Arial"/>
        </w:rPr>
        <w:t xml:space="preserve">) de </w:t>
      </w:r>
      <w:r w:rsidRPr="0092243D">
        <w:rPr>
          <w:rFonts w:ascii="Palatino Linotype" w:eastAsia="Calibri" w:hAnsi="Palatino Linotype" w:cs="Arial"/>
        </w:rPr>
        <w:t>enero de dos mil veintidós</w:t>
      </w:r>
      <w:r w:rsidR="009F09BC" w:rsidRPr="0092243D">
        <w:rPr>
          <w:rFonts w:ascii="Palatino Linotype" w:eastAsia="Calibri" w:hAnsi="Palatino Linotype" w:cs="Arial"/>
        </w:rPr>
        <w:t xml:space="preserve">, </w:t>
      </w:r>
      <w:r w:rsidR="009F09BC" w:rsidRPr="0092243D">
        <w:rPr>
          <w:rFonts w:ascii="Palatino Linotype" w:hAnsi="Palatino Linotype" w:cs="Arial"/>
        </w:rPr>
        <w:t xml:space="preserve">de tal forma que </w:t>
      </w:r>
      <w:r w:rsidRPr="0092243D">
        <w:rPr>
          <w:rFonts w:ascii="Palatino Linotype" w:hAnsi="Palatino Linotype" w:cs="Arial"/>
        </w:rPr>
        <w:t>e</w:t>
      </w:r>
      <w:r w:rsidR="009F09BC" w:rsidRPr="0092243D">
        <w:rPr>
          <w:rFonts w:ascii="Palatino Linotype" w:hAnsi="Palatino Linotype" w:cs="Arial"/>
        </w:rPr>
        <w:t xml:space="preserve">l plazo para interponer </w:t>
      </w:r>
      <w:r w:rsidRPr="0092243D">
        <w:rPr>
          <w:rFonts w:ascii="Palatino Linotype" w:hAnsi="Palatino Linotype" w:cs="Arial"/>
        </w:rPr>
        <w:t>e</w:t>
      </w:r>
      <w:r w:rsidR="009F09BC" w:rsidRPr="0092243D">
        <w:rPr>
          <w:rFonts w:ascii="Palatino Linotype" w:hAnsi="Palatino Linotype" w:cs="Arial"/>
        </w:rPr>
        <w:t xml:space="preserve">l recurso de revisión </w:t>
      </w:r>
      <w:r w:rsidRPr="0092243D">
        <w:rPr>
          <w:rFonts w:ascii="Palatino Linotype" w:hAnsi="Palatino Linotype" w:cs="Arial"/>
        </w:rPr>
        <w:t>transcurrió</w:t>
      </w:r>
      <w:r w:rsidR="009F09BC" w:rsidRPr="0092243D">
        <w:rPr>
          <w:rFonts w:ascii="Palatino Linotype" w:hAnsi="Palatino Linotype" w:cs="Arial"/>
        </w:rPr>
        <w:t xml:space="preserve"> del día </w:t>
      </w:r>
      <w:r w:rsidR="001634DC" w:rsidRPr="0092243D">
        <w:rPr>
          <w:rFonts w:ascii="Palatino Linotype" w:hAnsi="Palatino Linotype" w:cs="Arial"/>
        </w:rPr>
        <w:t>diecinueve</w:t>
      </w:r>
      <w:r w:rsidRPr="0092243D">
        <w:rPr>
          <w:rFonts w:ascii="Palatino Linotype" w:hAnsi="Palatino Linotype" w:cs="Arial"/>
        </w:rPr>
        <w:t xml:space="preserve"> </w:t>
      </w:r>
      <w:r w:rsidRPr="0092243D">
        <w:rPr>
          <w:rFonts w:ascii="Palatino Linotype" w:hAnsi="Palatino Linotype" w:cs="Arial"/>
        </w:rPr>
        <w:lastRenderedPageBreak/>
        <w:t>(</w:t>
      </w:r>
      <w:r w:rsidR="001634DC" w:rsidRPr="0092243D">
        <w:rPr>
          <w:rFonts w:ascii="Palatino Linotype" w:hAnsi="Palatino Linotype" w:cs="Arial"/>
        </w:rPr>
        <w:t>19</w:t>
      </w:r>
      <w:r w:rsidR="009F09BC" w:rsidRPr="0092243D">
        <w:rPr>
          <w:rFonts w:ascii="Palatino Linotype" w:hAnsi="Palatino Linotype" w:cs="Arial"/>
        </w:rPr>
        <w:t xml:space="preserve">) de </w:t>
      </w:r>
      <w:r w:rsidRPr="0092243D">
        <w:rPr>
          <w:rFonts w:ascii="Palatino Linotype" w:hAnsi="Palatino Linotype" w:cs="Arial"/>
        </w:rPr>
        <w:t>enero</w:t>
      </w:r>
      <w:r w:rsidR="006F3EF7" w:rsidRPr="0092243D">
        <w:rPr>
          <w:rFonts w:ascii="Palatino Linotype" w:hAnsi="Palatino Linotype" w:cs="Arial"/>
        </w:rPr>
        <w:t xml:space="preserve"> al </w:t>
      </w:r>
      <w:r w:rsidR="001634DC" w:rsidRPr="0092243D">
        <w:rPr>
          <w:rFonts w:ascii="Palatino Linotype" w:hAnsi="Palatino Linotype" w:cs="Arial"/>
        </w:rPr>
        <w:t>nueve</w:t>
      </w:r>
      <w:r w:rsidR="009F09BC" w:rsidRPr="0092243D">
        <w:rPr>
          <w:rFonts w:ascii="Palatino Linotype" w:hAnsi="Palatino Linotype" w:cs="Arial"/>
        </w:rPr>
        <w:t xml:space="preserve"> (</w:t>
      </w:r>
      <w:r w:rsidR="00933A28" w:rsidRPr="0092243D">
        <w:rPr>
          <w:rFonts w:ascii="Palatino Linotype" w:hAnsi="Palatino Linotype" w:cs="Arial"/>
        </w:rPr>
        <w:t>0</w:t>
      </w:r>
      <w:r w:rsidR="001634DC" w:rsidRPr="0092243D">
        <w:rPr>
          <w:rFonts w:ascii="Palatino Linotype" w:hAnsi="Palatino Linotype" w:cs="Arial"/>
        </w:rPr>
        <w:t>9</w:t>
      </w:r>
      <w:r w:rsidR="009F09BC" w:rsidRPr="0092243D">
        <w:rPr>
          <w:rFonts w:ascii="Palatino Linotype" w:hAnsi="Palatino Linotype" w:cs="Arial"/>
        </w:rPr>
        <w:t>)</w:t>
      </w:r>
      <w:r w:rsidR="0001674C" w:rsidRPr="0092243D">
        <w:rPr>
          <w:rFonts w:ascii="Palatino Linotype" w:hAnsi="Palatino Linotype" w:cs="Arial"/>
        </w:rPr>
        <w:t xml:space="preserve"> de </w:t>
      </w:r>
      <w:r w:rsidRPr="0092243D">
        <w:rPr>
          <w:rFonts w:ascii="Palatino Linotype" w:hAnsi="Palatino Linotype" w:cs="Arial"/>
        </w:rPr>
        <w:t>febrero</w:t>
      </w:r>
      <w:r w:rsidR="0001674C" w:rsidRPr="0092243D">
        <w:rPr>
          <w:rFonts w:ascii="Palatino Linotype" w:hAnsi="Palatino Linotype" w:cs="Arial"/>
        </w:rPr>
        <w:t xml:space="preserve"> de dos mil </w:t>
      </w:r>
      <w:r w:rsidRPr="0092243D">
        <w:rPr>
          <w:rFonts w:ascii="Palatino Linotype" w:hAnsi="Palatino Linotype" w:cs="Arial"/>
        </w:rPr>
        <w:t>veintidós</w:t>
      </w:r>
      <w:r w:rsidR="0001674C" w:rsidRPr="0092243D">
        <w:rPr>
          <w:rFonts w:ascii="Palatino Linotype" w:hAnsi="Palatino Linotype" w:cs="Arial"/>
        </w:rPr>
        <w:t>; e</w:t>
      </w:r>
      <w:r w:rsidR="009F09BC" w:rsidRPr="0092243D">
        <w:rPr>
          <w:rFonts w:ascii="Palatino Linotype" w:hAnsi="Palatino Linotype" w:cs="Arial"/>
        </w:rPr>
        <w:t xml:space="preserve">n consecuencia, el ahora </w:t>
      </w:r>
      <w:r w:rsidR="009F09BC" w:rsidRPr="0092243D">
        <w:rPr>
          <w:rFonts w:ascii="Palatino Linotype" w:hAnsi="Palatino Linotype" w:cs="Arial"/>
          <w:b/>
        </w:rPr>
        <w:t>RECURRENTE</w:t>
      </w:r>
      <w:r w:rsidR="009F09BC" w:rsidRPr="0092243D">
        <w:rPr>
          <w:rFonts w:ascii="Palatino Linotype" w:hAnsi="Palatino Linotype" w:cs="Arial"/>
        </w:rPr>
        <w:t xml:space="preserve"> presentó </w:t>
      </w:r>
      <w:r w:rsidR="00CA1063" w:rsidRPr="0092243D">
        <w:rPr>
          <w:rFonts w:ascii="Palatino Linotype" w:hAnsi="Palatino Linotype" w:cs="Arial"/>
        </w:rPr>
        <w:t xml:space="preserve">su inconformidad el día </w:t>
      </w:r>
      <w:r w:rsidR="001634DC" w:rsidRPr="0092243D">
        <w:rPr>
          <w:rFonts w:ascii="Palatino Linotype" w:hAnsi="Palatino Linotype" w:cs="Arial"/>
        </w:rPr>
        <w:t>dieciocho</w:t>
      </w:r>
      <w:r w:rsidR="009F09BC" w:rsidRPr="0092243D">
        <w:rPr>
          <w:rFonts w:ascii="Palatino Linotype" w:hAnsi="Palatino Linotype" w:cs="Arial"/>
        </w:rPr>
        <w:t xml:space="preserve"> (</w:t>
      </w:r>
      <w:r w:rsidR="001634DC" w:rsidRPr="0092243D">
        <w:rPr>
          <w:rFonts w:ascii="Palatino Linotype" w:hAnsi="Palatino Linotype" w:cs="Arial"/>
        </w:rPr>
        <w:t>18</w:t>
      </w:r>
      <w:r w:rsidR="009F09BC" w:rsidRPr="0092243D">
        <w:rPr>
          <w:rFonts w:ascii="Palatino Linotype" w:hAnsi="Palatino Linotype" w:cs="Arial"/>
        </w:rPr>
        <w:t xml:space="preserve">) de </w:t>
      </w:r>
      <w:r w:rsidR="006F3EF7" w:rsidRPr="0092243D">
        <w:rPr>
          <w:rFonts w:ascii="Palatino Linotype" w:hAnsi="Palatino Linotype" w:cs="Arial"/>
        </w:rPr>
        <w:t>enero de dos mil veintidós</w:t>
      </w:r>
      <w:r w:rsidR="009F09BC" w:rsidRPr="0092243D">
        <w:rPr>
          <w:rFonts w:ascii="Palatino Linotype" w:hAnsi="Palatino Linotype" w:cs="Arial"/>
        </w:rPr>
        <w:t xml:space="preserve">; </w:t>
      </w:r>
      <w:r w:rsidR="001634DC" w:rsidRPr="0092243D">
        <w:rPr>
          <w:rFonts w:ascii="Palatino Linotype" w:hAnsi="Palatino Linotype" w:cs="Arial"/>
        </w:rPr>
        <w:t xml:space="preserve">es decir, antes de que iniciara </w:t>
      </w:r>
      <w:r w:rsidR="009F09BC" w:rsidRPr="0092243D">
        <w:rPr>
          <w:rFonts w:ascii="Palatino Linotype" w:hAnsi="Palatino Linotype" w:cs="Arial"/>
        </w:rPr>
        <w:t>el lapso legalmente establecido para tal efecto.</w:t>
      </w:r>
    </w:p>
    <w:p w:rsidR="009F09BC" w:rsidRPr="0092243D" w:rsidRDefault="009F09BC" w:rsidP="00855290">
      <w:pPr>
        <w:pStyle w:val="Prrafodelista"/>
        <w:spacing w:line="360" w:lineRule="auto"/>
        <w:rPr>
          <w:rFonts w:ascii="Palatino Linotype" w:hAnsi="Palatino Linotype"/>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92243D">
        <w:rPr>
          <w:rFonts w:ascii="Palatino Linotype" w:hAnsi="Palatino Linotype" w:cs="Arial"/>
        </w:rPr>
        <w:t xml:space="preserve">Al </w:t>
      </w:r>
      <w:r w:rsidRPr="0092243D">
        <w:rPr>
          <w:rFonts w:ascii="Palatino Linotype" w:eastAsia="Calibri" w:hAnsi="Palatino Linotype" w:cs="Arial"/>
        </w:rPr>
        <w:t>respecto</w:t>
      </w:r>
      <w:r w:rsidRPr="0092243D">
        <w:rPr>
          <w:rFonts w:ascii="Palatino Linotype" w:hAnsi="Palatino Linotype" w:cs="Arial"/>
        </w:rPr>
        <w:t xml:space="preserve"> </w:t>
      </w:r>
      <w:r w:rsidRPr="0092243D">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634DC" w:rsidRPr="0092243D" w:rsidRDefault="001634DC" w:rsidP="001634DC">
      <w:pPr>
        <w:pStyle w:val="Prrafodelista"/>
        <w:ind w:left="360" w:hanging="360"/>
        <w:rPr>
          <w:rFonts w:ascii="Palatino Linotype" w:hAnsi="Palatino Linotype" w:cs="Arial"/>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92243D">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1634DC" w:rsidRPr="0092243D" w:rsidRDefault="001634DC" w:rsidP="001634DC">
      <w:pPr>
        <w:pStyle w:val="Prrafodelista"/>
        <w:ind w:left="360" w:hanging="360"/>
        <w:rPr>
          <w:rFonts w:ascii="Palatino Linotype" w:hAnsi="Palatino Linotype" w:cs="Arial"/>
          <w:bCs/>
          <w:color w:val="555555"/>
          <w:lang w:eastAsia="es-MX"/>
        </w:rPr>
      </w:pP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b/>
          <w:i/>
        </w:rPr>
        <w:t>RECURSO DE RECLAMACIÓN. SU INTERPOSICIÓN NO ES EXTEMPORÁNEA SI SE REALIZA ANTES DE QUE INICIE EL PLAZO PARA HACERLO</w:t>
      </w:r>
      <w:r w:rsidRPr="0092243D">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w:t>
      </w:r>
      <w:r w:rsidRPr="0092243D">
        <w:rPr>
          <w:rFonts w:ascii="Palatino Linotype" w:hAnsi="Palatino Linotype" w:cs="Arial"/>
          <w:i/>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 1a./J. 41/2015 (10a.)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Recurso de reclamación 1164/2014. Paula Abascal Valdez. 18 de febrero de 2015. Cinco votos de los Ministros Arturo Zaldívar Lelo de Larrea, José Ramón Cossío </w:t>
      </w:r>
      <w:r w:rsidRPr="0092243D">
        <w:rPr>
          <w:rFonts w:ascii="Palatino Linotype" w:hAnsi="Palatino Linotype" w:cs="Arial"/>
          <w:i/>
        </w:rPr>
        <w:lastRenderedPageBreak/>
        <w:t xml:space="preserve">Díaz, Jorge Mario Pardo Rebolledo, Olga Sánchez Cordero de García Villegas y Alfredo Gutiérrez Ortiz Mena. Ponente: José Ramón Cossío Díaz. Secretaria: Lorena Goslinga Remírez.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1634DC" w:rsidRPr="0092243D" w:rsidRDefault="001634DC" w:rsidP="001634DC">
      <w:pPr>
        <w:spacing w:before="240" w:after="240" w:line="360" w:lineRule="auto"/>
        <w:ind w:left="426" w:right="616"/>
        <w:contextualSpacing/>
        <w:jc w:val="both"/>
        <w:rPr>
          <w:rFonts w:ascii="Palatino Linotype" w:hAnsi="Palatino Linotype" w:cs="Arial"/>
          <w:i/>
        </w:rPr>
      </w:pPr>
      <w:r w:rsidRPr="0092243D">
        <w:rPr>
          <w:rFonts w:ascii="Palatino Linotype" w:hAnsi="Palatino Linotype" w:cs="Arial"/>
          <w:i/>
        </w:rPr>
        <w:t>Tesis de jurisprudencia 41/2015 (10a.). Aprobada por la Primera Sala de este Alto Tribunal, en sesión privada de veintisiete de mayo de dos mil quince.</w:t>
      </w:r>
    </w:p>
    <w:p w:rsidR="001634DC" w:rsidRPr="0092243D" w:rsidRDefault="001634DC" w:rsidP="001634DC">
      <w:pPr>
        <w:pStyle w:val="Prrafodelista"/>
        <w:numPr>
          <w:ilvl w:val="0"/>
          <w:numId w:val="15"/>
        </w:numPr>
        <w:spacing w:line="360" w:lineRule="auto"/>
        <w:ind w:left="0" w:firstLine="0"/>
        <w:jc w:val="both"/>
        <w:rPr>
          <w:rFonts w:ascii="Palatino Linotype" w:hAnsi="Palatino Linotype" w:cs="Arial"/>
          <w:i/>
        </w:rPr>
      </w:pPr>
      <w:r w:rsidRPr="0092243D">
        <w:rPr>
          <w:rFonts w:ascii="Palatino Linotype" w:hAnsi="Palatino Linotype" w:cs="Arial"/>
        </w:rPr>
        <w:t>Esto</w:t>
      </w:r>
      <w:r w:rsidRPr="0092243D">
        <w:rPr>
          <w:rFonts w:ascii="Palatino Linotype" w:hAnsi="Palatino Linotype"/>
        </w:rPr>
        <w:t xml:space="preserve"> es así porque en primer lugar es necesario que el recurrente conozca el acto que le provoca agravio y a partir de ahí formular su recurso de revisión </w:t>
      </w:r>
      <w:r w:rsidRPr="0092243D">
        <w:rPr>
          <w:rFonts w:ascii="Palatino Linotype" w:hAnsi="Palatino Linotype" w:cs="Arial"/>
        </w:rPr>
        <w:t>señalando</w:t>
      </w:r>
      <w:r w:rsidRPr="0092243D">
        <w:rPr>
          <w:rFonts w:ascii="Palatino Linotype" w:hAnsi="Palatino Linotype"/>
        </w:rPr>
        <w:t xml:space="preserve"> </w:t>
      </w:r>
      <w:r w:rsidRPr="0092243D">
        <w:rPr>
          <w:rFonts w:ascii="Palatino Linotype" w:hAnsi="Palatino Linotype" w:cs="Arial"/>
        </w:rPr>
        <w:t>tanto</w:t>
      </w:r>
      <w:r w:rsidRPr="0092243D">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634DC" w:rsidRPr="0092243D" w:rsidRDefault="001634DC" w:rsidP="001634DC">
      <w:pPr>
        <w:pStyle w:val="Prrafodelista"/>
        <w:tabs>
          <w:tab w:val="left" w:pos="0"/>
        </w:tabs>
        <w:spacing w:line="360" w:lineRule="auto"/>
        <w:ind w:left="360" w:right="49" w:hanging="360"/>
        <w:jc w:val="both"/>
        <w:rPr>
          <w:rFonts w:ascii="Palatino Linotype" w:hAnsi="Palatino Linotype" w:cs="Arial"/>
          <w:i/>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cs="Arial"/>
          <w:i/>
        </w:rPr>
      </w:pPr>
      <w:r w:rsidRPr="0092243D">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634DC" w:rsidRPr="0092243D" w:rsidRDefault="001634DC" w:rsidP="001634DC">
      <w:pPr>
        <w:pStyle w:val="Prrafodelista"/>
        <w:ind w:left="360" w:hanging="360"/>
        <w:rPr>
          <w:rFonts w:ascii="Palatino Linotype" w:hAnsi="Palatino Linotype"/>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cs="Arial"/>
          <w:i/>
        </w:rPr>
      </w:pPr>
      <w:r w:rsidRPr="0092243D">
        <w:rPr>
          <w:rFonts w:ascii="Palatino Linotype" w:hAnsi="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92243D">
        <w:rPr>
          <w:rFonts w:ascii="Palatino Linotype" w:hAnsi="Palatino Linotype"/>
          <w:b/>
        </w:rPr>
        <w:t>SUJETO OBLIGADO.</w:t>
      </w:r>
    </w:p>
    <w:p w:rsidR="001634DC" w:rsidRPr="0092243D" w:rsidRDefault="001634DC" w:rsidP="001634DC">
      <w:pPr>
        <w:pStyle w:val="Prrafodelista"/>
        <w:rPr>
          <w:rFonts w:ascii="Palatino Linotype" w:hAnsi="Palatino Linotype" w:cs="Arial"/>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rPr>
        <w:t xml:space="preserve">Asimismo, de la revisión al expediente electrónico del SAIMEX se desprende que la </w:t>
      </w:r>
      <w:r w:rsidRPr="0092243D">
        <w:rPr>
          <w:rFonts w:ascii="Palatino Linotype" w:eastAsia="Calibri" w:hAnsi="Palatino Linotype" w:cs="Arial"/>
        </w:rPr>
        <w:t>parte</w:t>
      </w:r>
      <w:r w:rsidRPr="0092243D">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634DC" w:rsidRPr="0092243D" w:rsidRDefault="001634DC" w:rsidP="001634DC">
      <w:pPr>
        <w:pStyle w:val="Prrafodelista"/>
        <w:spacing w:line="360" w:lineRule="auto"/>
        <w:ind w:left="0"/>
        <w:jc w:val="both"/>
        <w:rPr>
          <w:rFonts w:ascii="Palatino Linotype" w:hAnsi="Palatino Linotype"/>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634DC" w:rsidRPr="0092243D" w:rsidRDefault="001634DC" w:rsidP="001634DC">
      <w:pPr>
        <w:pStyle w:val="Prrafodelista"/>
        <w:rPr>
          <w:rFonts w:ascii="Palatino Linotype" w:hAnsi="Palatino Linotype"/>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634DC" w:rsidRPr="0092243D" w:rsidRDefault="001634DC" w:rsidP="001634DC">
      <w:pPr>
        <w:pStyle w:val="Prrafodelista"/>
        <w:rPr>
          <w:rFonts w:ascii="Palatino Linotype" w:hAnsi="Palatino Linotype"/>
        </w:rPr>
      </w:pPr>
    </w:p>
    <w:p w:rsidR="001634DC" w:rsidRPr="0092243D" w:rsidRDefault="001634DC" w:rsidP="001634DC">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634DC" w:rsidRPr="0092243D" w:rsidRDefault="001634DC" w:rsidP="001634DC">
      <w:pPr>
        <w:pStyle w:val="Prrafodelista"/>
        <w:rPr>
          <w:rFonts w:ascii="Palatino Linotype" w:hAnsi="Palatino Linotype"/>
        </w:rPr>
      </w:pPr>
    </w:p>
    <w:p w:rsidR="007C3761" w:rsidRPr="0092243D" w:rsidRDefault="001634DC" w:rsidP="001634DC">
      <w:pPr>
        <w:pStyle w:val="Prrafodelista"/>
        <w:numPr>
          <w:ilvl w:val="0"/>
          <w:numId w:val="15"/>
        </w:numPr>
        <w:spacing w:line="360" w:lineRule="auto"/>
        <w:ind w:left="0" w:firstLine="0"/>
        <w:jc w:val="both"/>
        <w:rPr>
          <w:rFonts w:ascii="Palatino Linotype" w:hAnsi="Palatino Linotype"/>
        </w:rPr>
      </w:pPr>
      <w:r w:rsidRPr="0092243D">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7C3761" w:rsidRPr="0092243D" w:rsidRDefault="007C3761" w:rsidP="00855290">
      <w:pPr>
        <w:pStyle w:val="Prrafodelista"/>
        <w:spacing w:line="360" w:lineRule="auto"/>
        <w:rPr>
          <w:rFonts w:ascii="Palatino Linotype" w:eastAsia="Calibri" w:hAnsi="Palatino Linotype" w:cs="Arial"/>
        </w:rPr>
      </w:pPr>
    </w:p>
    <w:p w:rsidR="009F09BC" w:rsidRPr="0092243D" w:rsidRDefault="009F09BC" w:rsidP="00855290">
      <w:pPr>
        <w:pStyle w:val="Prrafodelista"/>
        <w:numPr>
          <w:ilvl w:val="0"/>
          <w:numId w:val="15"/>
        </w:numPr>
        <w:spacing w:line="360" w:lineRule="auto"/>
        <w:ind w:left="0" w:firstLine="0"/>
        <w:jc w:val="both"/>
        <w:rPr>
          <w:rFonts w:ascii="Palatino Linotype" w:hAnsi="Palatino Linotype"/>
        </w:rPr>
      </w:pPr>
      <w:r w:rsidRPr="0092243D">
        <w:rPr>
          <w:rFonts w:ascii="Palatino Linotype" w:eastAsia="Calibri" w:hAnsi="Palatino Linotype" w:cs="Arial"/>
        </w:rPr>
        <w:t xml:space="preserve">Asimismo, </w:t>
      </w:r>
      <w:r w:rsidR="00CF0D2B" w:rsidRPr="0092243D">
        <w:rPr>
          <w:rFonts w:ascii="Palatino Linotype" w:eastAsia="Calibri" w:hAnsi="Palatino Linotype" w:cs="Arial"/>
        </w:rPr>
        <w:t>e</w:t>
      </w:r>
      <w:r w:rsidRPr="0092243D">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70E5B" w:rsidRPr="0092243D" w:rsidRDefault="009F09BC" w:rsidP="00C70E5B">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2243D">
        <w:rPr>
          <w:rFonts w:ascii="Palatino Linotype" w:hAnsi="Palatino Linotype"/>
          <w:b/>
          <w:color w:val="000000" w:themeColor="text1"/>
          <w:sz w:val="24"/>
          <w:szCs w:val="24"/>
        </w:rPr>
        <w:lastRenderedPageBreak/>
        <w:t xml:space="preserve">TERCERO. </w:t>
      </w:r>
      <w:bookmarkEnd w:id="139"/>
      <w:bookmarkEnd w:id="140"/>
      <w:bookmarkEnd w:id="141"/>
      <w:bookmarkEnd w:id="142"/>
      <w:r w:rsidR="00C70E5B" w:rsidRPr="0092243D">
        <w:rPr>
          <w:rFonts w:ascii="Palatino Linotype" w:hAnsi="Palatino Linotype"/>
          <w:b/>
          <w:color w:val="000000" w:themeColor="text1"/>
          <w:sz w:val="24"/>
          <w:szCs w:val="24"/>
        </w:rPr>
        <w:t>De</w:t>
      </w:r>
      <w:r w:rsidR="008F08B6" w:rsidRPr="0092243D">
        <w:rPr>
          <w:rFonts w:ascii="Palatino Linotype" w:hAnsi="Palatino Linotype"/>
          <w:b/>
          <w:color w:val="000000" w:themeColor="text1"/>
          <w:sz w:val="24"/>
          <w:szCs w:val="24"/>
        </w:rPr>
        <w:t xml:space="preserve"> las causales de sobreseimiento.</w:t>
      </w:r>
    </w:p>
    <w:p w:rsidR="009F09BC" w:rsidRPr="0092243D" w:rsidRDefault="009F09BC" w:rsidP="00855290">
      <w:pPr>
        <w:spacing w:line="360" w:lineRule="auto"/>
        <w:rPr>
          <w:rFonts w:ascii="Palatino Linotype" w:hAnsi="Palatino Linotype"/>
          <w:lang w:val="es-MX" w:eastAsia="en-US"/>
        </w:rPr>
      </w:pPr>
    </w:p>
    <w:p w:rsidR="009F09BC" w:rsidRPr="0092243D" w:rsidRDefault="009F09BC" w:rsidP="00855290">
      <w:pPr>
        <w:pStyle w:val="Prrafodelista"/>
        <w:numPr>
          <w:ilvl w:val="0"/>
          <w:numId w:val="15"/>
        </w:numPr>
        <w:spacing w:line="360" w:lineRule="auto"/>
        <w:ind w:left="0" w:firstLine="0"/>
        <w:jc w:val="both"/>
        <w:rPr>
          <w:rFonts w:ascii="Palatino Linotype" w:hAnsi="Palatino Linotype" w:cs="Arial"/>
        </w:rPr>
      </w:pPr>
      <w:r w:rsidRPr="0092243D">
        <w:rPr>
          <w:rFonts w:ascii="Palatino Linotype" w:hAnsi="Palatino Linotype" w:cs="Arial"/>
        </w:rPr>
        <w:t xml:space="preserve">Se </w:t>
      </w:r>
      <w:r w:rsidRPr="0092243D">
        <w:rPr>
          <w:rFonts w:ascii="Palatino Linotype" w:eastAsia="Calibri" w:hAnsi="Palatino Linotype" w:cs="Arial"/>
        </w:rPr>
        <w:t>solicitó</w:t>
      </w:r>
      <w:r w:rsidRPr="0092243D">
        <w:rPr>
          <w:rFonts w:ascii="Palatino Linotype" w:hAnsi="Palatino Linotype" w:cs="Arial"/>
        </w:rPr>
        <w:t xml:space="preserve"> </w:t>
      </w:r>
      <w:r w:rsidR="00AD63B4" w:rsidRPr="0092243D">
        <w:rPr>
          <w:rFonts w:ascii="Palatino Linotype" w:hAnsi="Palatino Linotype" w:cs="Arial"/>
        </w:rPr>
        <w:t xml:space="preserve">tener acceso, a la </w:t>
      </w:r>
      <w:r w:rsidRPr="0092243D">
        <w:rPr>
          <w:rFonts w:ascii="Palatino Linotype" w:hAnsi="Palatino Linotype" w:cs="Arial"/>
        </w:rPr>
        <w:t>información que a continuación se desagrega:</w:t>
      </w:r>
    </w:p>
    <w:p w:rsidR="009F09BC" w:rsidRPr="0092243D" w:rsidRDefault="009F09BC" w:rsidP="00855290">
      <w:pPr>
        <w:pStyle w:val="Prrafodelista"/>
        <w:spacing w:line="360" w:lineRule="auto"/>
        <w:ind w:left="0"/>
        <w:jc w:val="both"/>
        <w:rPr>
          <w:rFonts w:ascii="Palatino Linotype" w:hAnsi="Palatino Linotype" w:cs="Arial"/>
        </w:rPr>
      </w:pPr>
    </w:p>
    <w:p w:rsidR="00113D9A" w:rsidRPr="0092243D" w:rsidRDefault="00113D9A" w:rsidP="00113D9A">
      <w:pPr>
        <w:pStyle w:val="Prrafodelista"/>
        <w:numPr>
          <w:ilvl w:val="1"/>
          <w:numId w:val="27"/>
        </w:numPr>
        <w:spacing w:line="360" w:lineRule="auto"/>
        <w:ind w:left="993"/>
        <w:jc w:val="both"/>
        <w:rPr>
          <w:rFonts w:ascii="Palatino Linotype" w:hAnsi="Palatino Linotype" w:cs="Arial"/>
          <w:b/>
        </w:rPr>
      </w:pPr>
      <w:r w:rsidRPr="0092243D">
        <w:rPr>
          <w:rFonts w:ascii="Palatino Linotype" w:hAnsi="Palatino Linotype" w:cs="Arial"/>
          <w:b/>
        </w:rPr>
        <w:t>Fundamento legal y administrativo, así como los requisitos, para tramitar la asignación de una nueva cuenta catastral de una fracción;</w:t>
      </w:r>
    </w:p>
    <w:p w:rsidR="00113D9A" w:rsidRPr="0092243D" w:rsidRDefault="00113D9A" w:rsidP="00113D9A">
      <w:pPr>
        <w:pStyle w:val="Prrafodelista"/>
        <w:spacing w:line="360" w:lineRule="auto"/>
        <w:ind w:left="993"/>
        <w:jc w:val="both"/>
        <w:rPr>
          <w:rFonts w:ascii="Palatino Linotype" w:hAnsi="Palatino Linotype" w:cs="Arial"/>
          <w:b/>
        </w:rPr>
      </w:pPr>
    </w:p>
    <w:p w:rsidR="00113D9A" w:rsidRPr="0092243D" w:rsidRDefault="00113D9A" w:rsidP="00113D9A">
      <w:pPr>
        <w:pStyle w:val="Prrafodelista"/>
        <w:numPr>
          <w:ilvl w:val="1"/>
          <w:numId w:val="27"/>
        </w:numPr>
        <w:spacing w:line="360" w:lineRule="auto"/>
        <w:ind w:left="993"/>
        <w:jc w:val="both"/>
        <w:rPr>
          <w:rFonts w:ascii="Palatino Linotype" w:hAnsi="Palatino Linotype" w:cs="Arial"/>
          <w:b/>
        </w:rPr>
      </w:pPr>
      <w:r w:rsidRPr="0092243D">
        <w:rPr>
          <w:rFonts w:ascii="Palatino Linotype" w:hAnsi="Palatino Linotype" w:cs="Arial"/>
          <w:b/>
        </w:rPr>
        <w:t>Conocer si respecto de la totalidad de un predio el área de catastro, realiza la modificación en sus sistemas respecto de la superficie del terreno principal, caso contrario, indicar el procedimiento a seguir para tal efecto;</w:t>
      </w:r>
    </w:p>
    <w:p w:rsidR="00113D9A" w:rsidRPr="0092243D" w:rsidRDefault="00113D9A" w:rsidP="00113D9A">
      <w:pPr>
        <w:pStyle w:val="Prrafodelista"/>
        <w:rPr>
          <w:rFonts w:ascii="Palatino Linotype" w:hAnsi="Palatino Linotype" w:cs="Arial"/>
          <w:b/>
        </w:rPr>
      </w:pPr>
    </w:p>
    <w:p w:rsidR="00113D9A" w:rsidRPr="0092243D" w:rsidRDefault="00113D9A" w:rsidP="00113D9A">
      <w:pPr>
        <w:pStyle w:val="Prrafodelista"/>
        <w:numPr>
          <w:ilvl w:val="1"/>
          <w:numId w:val="27"/>
        </w:numPr>
        <w:spacing w:line="360" w:lineRule="auto"/>
        <w:ind w:left="993"/>
        <w:jc w:val="both"/>
        <w:rPr>
          <w:rFonts w:ascii="Palatino Linotype" w:hAnsi="Palatino Linotype" w:cs="Arial"/>
          <w:b/>
        </w:rPr>
      </w:pPr>
      <w:r w:rsidRPr="0092243D">
        <w:rPr>
          <w:rFonts w:ascii="Palatino Linotype" w:hAnsi="Palatino Linotype" w:cs="Arial"/>
          <w:b/>
        </w:rPr>
        <w:t xml:space="preserve">Extracto del manual administrativo donde se advierta el procedimiento para la asignación de una cuenta catastral; y </w:t>
      </w:r>
    </w:p>
    <w:p w:rsidR="00113D9A" w:rsidRPr="0092243D" w:rsidRDefault="00113D9A" w:rsidP="00113D9A">
      <w:pPr>
        <w:pStyle w:val="Prrafodelista"/>
        <w:rPr>
          <w:rFonts w:ascii="Palatino Linotype" w:hAnsi="Palatino Linotype" w:cs="Arial"/>
          <w:b/>
        </w:rPr>
      </w:pPr>
    </w:p>
    <w:p w:rsidR="006972C5" w:rsidRPr="0092243D" w:rsidRDefault="00113D9A" w:rsidP="00113D9A">
      <w:pPr>
        <w:pStyle w:val="Prrafodelista"/>
        <w:numPr>
          <w:ilvl w:val="1"/>
          <w:numId w:val="27"/>
        </w:numPr>
        <w:spacing w:line="360" w:lineRule="auto"/>
        <w:ind w:left="993"/>
        <w:jc w:val="both"/>
        <w:rPr>
          <w:rFonts w:ascii="Palatino Linotype" w:hAnsi="Palatino Linotype" w:cs="Arial"/>
          <w:b/>
        </w:rPr>
      </w:pPr>
      <w:r w:rsidRPr="0092243D">
        <w:rPr>
          <w:rFonts w:ascii="Palatino Linotype" w:hAnsi="Palatino Linotype" w:cs="Arial"/>
          <w:b/>
        </w:rPr>
        <w:t>En la actual administración, número de expedientes generados derivado de la compra-venta de una fracción de predio, la asignación de una nueva cuenta catastral para dicha fracción, en caso de no contar con la información, entregar el acta del Comité de Transparencia que declare la inexistencia de la información.</w:t>
      </w:r>
    </w:p>
    <w:p w:rsidR="006972C5" w:rsidRPr="0092243D" w:rsidRDefault="006972C5" w:rsidP="00855290">
      <w:pPr>
        <w:pStyle w:val="Prrafodelista"/>
        <w:spacing w:line="360" w:lineRule="auto"/>
        <w:rPr>
          <w:rFonts w:ascii="Palatino Linotype" w:hAnsi="Palatino Linotype" w:cs="Arial"/>
          <w:b/>
        </w:rPr>
      </w:pPr>
    </w:p>
    <w:p w:rsidR="006F3EF7" w:rsidRPr="0092243D" w:rsidRDefault="006F3EF7" w:rsidP="00855290">
      <w:pPr>
        <w:numPr>
          <w:ilvl w:val="0"/>
          <w:numId w:val="15"/>
        </w:numPr>
        <w:spacing w:line="360" w:lineRule="auto"/>
        <w:ind w:left="0" w:firstLine="0"/>
        <w:contextualSpacing/>
        <w:jc w:val="both"/>
        <w:rPr>
          <w:rFonts w:ascii="Palatino Linotype" w:hAnsi="Palatino Linotype" w:cs="Arial"/>
        </w:rPr>
      </w:pPr>
      <w:r w:rsidRPr="0092243D">
        <w:rPr>
          <w:rFonts w:ascii="Palatino Linotype" w:hAnsi="Palatino Linotype" w:cs="Arial"/>
        </w:rPr>
        <w:t xml:space="preserve">En respuesta, el </w:t>
      </w:r>
      <w:r w:rsidRPr="0092243D">
        <w:rPr>
          <w:rFonts w:ascii="Palatino Linotype" w:hAnsi="Palatino Linotype" w:cs="Arial"/>
          <w:b/>
        </w:rPr>
        <w:t>SUJETO OBLIGADO</w:t>
      </w:r>
      <w:r w:rsidRPr="0092243D">
        <w:rPr>
          <w:rFonts w:ascii="Palatino Linotype" w:hAnsi="Palatino Linotype" w:cs="Arial"/>
        </w:rPr>
        <w:t xml:space="preserve"> </w:t>
      </w:r>
      <w:r w:rsidR="009A1604" w:rsidRPr="0092243D">
        <w:rPr>
          <w:rFonts w:ascii="Palatino Linotype" w:hAnsi="Palatino Linotype" w:cs="Arial"/>
        </w:rPr>
        <w:t xml:space="preserve">señaló que lo requerido corresponde a </w:t>
      </w:r>
      <w:r w:rsidR="00113D9A" w:rsidRPr="0092243D">
        <w:rPr>
          <w:rFonts w:ascii="Palatino Linotype" w:hAnsi="Palatino Linotype" w:cs="Arial"/>
        </w:rPr>
        <w:t>un cuestionario, el cual no implica una solicitud de acceso a la información</w:t>
      </w:r>
      <w:r w:rsidR="00EF522A" w:rsidRPr="0092243D">
        <w:rPr>
          <w:rFonts w:ascii="Palatino Linotype" w:hAnsi="Palatino Linotype" w:cs="Arial"/>
        </w:rPr>
        <w:t>, por lo cual no tiene la obligación de practicar investigaciones para atender la solicitud de información</w:t>
      </w:r>
      <w:r w:rsidRPr="0092243D">
        <w:rPr>
          <w:rFonts w:ascii="Palatino Linotype" w:hAnsi="Palatino Linotype" w:cs="Arial"/>
        </w:rPr>
        <w:t>.</w:t>
      </w:r>
    </w:p>
    <w:p w:rsidR="009F09BC" w:rsidRPr="0092243D" w:rsidRDefault="009F09BC" w:rsidP="00EF522A">
      <w:pPr>
        <w:numPr>
          <w:ilvl w:val="0"/>
          <w:numId w:val="15"/>
        </w:numPr>
        <w:spacing w:line="360" w:lineRule="auto"/>
        <w:ind w:left="0" w:firstLine="0"/>
        <w:contextualSpacing/>
        <w:jc w:val="both"/>
        <w:rPr>
          <w:rFonts w:ascii="Palatino Linotype" w:hAnsi="Palatino Linotype" w:cs="Arial"/>
        </w:rPr>
      </w:pPr>
      <w:r w:rsidRPr="0092243D">
        <w:rPr>
          <w:rFonts w:ascii="Palatino Linotype" w:hAnsi="Palatino Linotype" w:cs="Arial"/>
          <w:b/>
        </w:rPr>
        <w:lastRenderedPageBreak/>
        <w:t>EL PARTICULAR</w:t>
      </w:r>
      <w:r w:rsidR="00112D7E" w:rsidRPr="0092243D">
        <w:rPr>
          <w:rFonts w:ascii="Palatino Linotype" w:hAnsi="Palatino Linotype" w:cs="Arial"/>
          <w:b/>
        </w:rPr>
        <w:t>,</w:t>
      </w:r>
      <w:r w:rsidRPr="0092243D">
        <w:rPr>
          <w:rFonts w:ascii="Palatino Linotype" w:hAnsi="Palatino Linotype" w:cs="Arial"/>
          <w:b/>
        </w:rPr>
        <w:t xml:space="preserve"> </w:t>
      </w:r>
      <w:r w:rsidRPr="0092243D">
        <w:rPr>
          <w:rFonts w:ascii="Palatino Linotype" w:hAnsi="Palatino Linotype" w:cs="Arial"/>
        </w:rPr>
        <w:t>inconforme con la respuesta</w:t>
      </w:r>
      <w:r w:rsidR="00402466" w:rsidRPr="0092243D">
        <w:rPr>
          <w:rFonts w:ascii="Palatino Linotype" w:hAnsi="Palatino Linotype" w:cs="Arial"/>
        </w:rPr>
        <w:t xml:space="preserve"> interpuso recurso de revisión</w:t>
      </w:r>
      <w:r w:rsidRPr="0092243D">
        <w:rPr>
          <w:rFonts w:ascii="Palatino Linotype" w:hAnsi="Palatino Linotype" w:cs="Arial"/>
        </w:rPr>
        <w:t xml:space="preserve">, </w:t>
      </w:r>
      <w:r w:rsidR="00402466" w:rsidRPr="0092243D">
        <w:rPr>
          <w:rFonts w:ascii="Palatino Linotype" w:hAnsi="Palatino Linotype" w:cs="Arial"/>
        </w:rPr>
        <w:t>señalando</w:t>
      </w:r>
      <w:r w:rsidRPr="0092243D">
        <w:rPr>
          <w:rFonts w:ascii="Palatino Linotype" w:hAnsi="Palatino Linotype" w:cs="Arial"/>
        </w:rPr>
        <w:t xml:space="preserve"> </w:t>
      </w:r>
      <w:r w:rsidR="00CF0D2B" w:rsidRPr="0092243D">
        <w:rPr>
          <w:rFonts w:ascii="Palatino Linotype" w:hAnsi="Palatino Linotype" w:cs="Arial"/>
          <w:i/>
        </w:rPr>
        <w:t>grosso modo</w:t>
      </w:r>
      <w:r w:rsidR="00CF0D2B" w:rsidRPr="0092243D">
        <w:rPr>
          <w:rFonts w:ascii="Palatino Linotype" w:hAnsi="Palatino Linotype" w:cs="Arial"/>
        </w:rPr>
        <w:t xml:space="preserve"> </w:t>
      </w:r>
      <w:r w:rsidR="00402466" w:rsidRPr="0092243D">
        <w:rPr>
          <w:rFonts w:ascii="Palatino Linotype" w:hAnsi="Palatino Linotype" w:cs="Arial"/>
        </w:rPr>
        <w:t xml:space="preserve">que </w:t>
      </w:r>
      <w:r w:rsidR="00EF522A" w:rsidRPr="0092243D">
        <w:rPr>
          <w:rFonts w:ascii="Palatino Linotype" w:hAnsi="Palatino Linotype" w:cs="Arial"/>
        </w:rPr>
        <w:t xml:space="preserve">no le interesa conocer si son competentes, ya que el </w:t>
      </w:r>
      <w:r w:rsidR="00C70E5B" w:rsidRPr="0092243D">
        <w:rPr>
          <w:rFonts w:ascii="Palatino Linotype" w:hAnsi="Palatino Linotype" w:cs="Arial"/>
        </w:rPr>
        <w:t>deber de</w:t>
      </w:r>
      <w:r w:rsidR="00EF522A" w:rsidRPr="0092243D">
        <w:rPr>
          <w:rFonts w:ascii="Palatino Linotype" w:hAnsi="Palatino Linotype" w:cs="Arial"/>
        </w:rPr>
        <w:t xml:space="preserve"> la unidad de transparencia es el de turnar la solicitud a todas las áreas que eventualmente pudieran detentar la información, por lo que la respuesta no guarda ninguna relación con lo solicitado, violando su derecho humano de acceso a la información pública.</w:t>
      </w:r>
    </w:p>
    <w:p w:rsidR="009F09BC" w:rsidRPr="0092243D" w:rsidRDefault="009F09BC" w:rsidP="00855290">
      <w:pPr>
        <w:pStyle w:val="Prrafodelista"/>
        <w:spacing w:line="360" w:lineRule="auto"/>
        <w:rPr>
          <w:rFonts w:ascii="Palatino Linotype" w:hAnsi="Palatino Linotype" w:cs="Arial"/>
        </w:rPr>
      </w:pPr>
    </w:p>
    <w:p w:rsidR="009F09BC" w:rsidRPr="0092243D" w:rsidRDefault="009F09BC" w:rsidP="00C70E5B">
      <w:pPr>
        <w:numPr>
          <w:ilvl w:val="0"/>
          <w:numId w:val="15"/>
        </w:numPr>
        <w:spacing w:line="360" w:lineRule="auto"/>
        <w:ind w:left="0" w:firstLine="0"/>
        <w:contextualSpacing/>
        <w:jc w:val="both"/>
        <w:rPr>
          <w:rFonts w:ascii="Palatino Linotype" w:eastAsia="MS Mincho" w:hAnsi="Palatino Linotype" w:cs="Arial"/>
        </w:rPr>
      </w:pPr>
      <w:r w:rsidRPr="0092243D">
        <w:rPr>
          <w:rFonts w:ascii="Palatino Linotype" w:eastAsia="MS Mincho" w:hAnsi="Palatino Linotype" w:cs="Arial"/>
        </w:rPr>
        <w:t xml:space="preserve">En </w:t>
      </w:r>
      <w:r w:rsidRPr="0092243D">
        <w:rPr>
          <w:rFonts w:ascii="Palatino Linotype" w:hAnsi="Palatino Linotype" w:cs="Arial"/>
          <w:lang w:eastAsia="es-MX"/>
        </w:rPr>
        <w:t>dichas</w:t>
      </w:r>
      <w:r w:rsidRPr="0092243D">
        <w:rPr>
          <w:rFonts w:ascii="Palatino Linotype" w:eastAsia="Times New Roman" w:hAnsi="Palatino Linotype" w:cs="Arial"/>
        </w:rPr>
        <w:t xml:space="preserve"> condiciones, la </w:t>
      </w:r>
      <w:r w:rsidRPr="0092243D">
        <w:rPr>
          <w:rFonts w:ascii="Palatino Linotype" w:eastAsia="Times New Roman" w:hAnsi="Palatino Linotype" w:cs="Arial"/>
          <w:i/>
        </w:rPr>
        <w:t>Litis</w:t>
      </w:r>
      <w:r w:rsidRPr="0092243D">
        <w:rPr>
          <w:rFonts w:ascii="Palatino Linotype" w:eastAsia="Times New Roman" w:hAnsi="Palatino Linotype" w:cs="Arial"/>
        </w:rPr>
        <w:t xml:space="preserve"> a resolver en este recurso se circunscribe a determinar </w:t>
      </w:r>
      <w:r w:rsidRPr="0092243D">
        <w:rPr>
          <w:rFonts w:ascii="Palatino Linotype" w:hAnsi="Palatino Linotype" w:cs="Arial"/>
          <w:b/>
        </w:rPr>
        <w:t>si</w:t>
      </w:r>
      <w:r w:rsidRPr="0092243D">
        <w:rPr>
          <w:rFonts w:ascii="Palatino Linotype" w:eastAsia="Times New Roman" w:hAnsi="Palatino Linotype" w:cs="Arial"/>
        </w:rPr>
        <w:t xml:space="preserve"> </w:t>
      </w:r>
      <w:r w:rsidR="009A1604" w:rsidRPr="0092243D">
        <w:rPr>
          <w:rFonts w:ascii="Palatino Linotype" w:eastAsia="MS Mincho" w:hAnsi="Palatino Linotype" w:cs="Arial"/>
        </w:rPr>
        <w:t>se actualizan la causal</w:t>
      </w:r>
      <w:r w:rsidRPr="0092243D">
        <w:rPr>
          <w:rFonts w:ascii="Palatino Linotype" w:eastAsia="MS Mincho" w:hAnsi="Palatino Linotype" w:cs="Arial"/>
        </w:rPr>
        <w:t xml:space="preserve"> de procedencia prevista en el artículo 179, fracción </w:t>
      </w:r>
      <w:r w:rsidR="00C70E5B" w:rsidRPr="0092243D">
        <w:rPr>
          <w:rFonts w:ascii="Palatino Linotype" w:eastAsia="MS Mincho" w:hAnsi="Palatino Linotype" w:cs="Arial"/>
        </w:rPr>
        <w:t>I</w:t>
      </w:r>
      <w:r w:rsidR="00EF522A" w:rsidRPr="0092243D">
        <w:rPr>
          <w:rFonts w:ascii="Palatino Linotype" w:eastAsia="MS Mincho" w:hAnsi="Palatino Linotype" w:cs="Arial"/>
        </w:rPr>
        <w:t xml:space="preserve">V </w:t>
      </w:r>
      <w:r w:rsidRPr="0092243D">
        <w:rPr>
          <w:rFonts w:ascii="Palatino Linotype" w:eastAsia="MS Mincho" w:hAnsi="Palatino Linotype" w:cs="Arial"/>
        </w:rPr>
        <w:t xml:space="preserve">de la </w:t>
      </w:r>
      <w:r w:rsidRPr="0092243D">
        <w:rPr>
          <w:rFonts w:ascii="Palatino Linotype" w:eastAsia="MS Mincho" w:hAnsi="Palatino Linotype" w:cs="Arial"/>
          <w:b/>
        </w:rPr>
        <w:t>Ley de Transparencia y Acceso a la Información Pública del Estado de México y Municipios</w:t>
      </w:r>
      <w:r w:rsidRPr="0092243D">
        <w:rPr>
          <w:rFonts w:ascii="Palatino Linotype" w:eastAsia="MS Mincho" w:hAnsi="Palatino Linotype" w:cs="Arial"/>
        </w:rPr>
        <w:t xml:space="preserve">; </w:t>
      </w:r>
      <w:r w:rsidR="009A1604" w:rsidRPr="0092243D">
        <w:rPr>
          <w:rFonts w:ascii="Palatino Linotype" w:eastAsia="Times New Roman" w:hAnsi="Palatino Linotype" w:cs="Arial"/>
          <w:color w:val="000000" w:themeColor="text1"/>
          <w:lang w:val="es-ES" w:eastAsia="es-MX"/>
        </w:rPr>
        <w:t>fracción</w:t>
      </w:r>
      <w:r w:rsidRPr="0092243D">
        <w:rPr>
          <w:rFonts w:ascii="Palatino Linotype" w:eastAsia="Times New Roman" w:hAnsi="Palatino Linotype" w:cs="Arial"/>
          <w:color w:val="000000" w:themeColor="text1"/>
          <w:lang w:val="es-ES" w:eastAsia="es-MX"/>
        </w:rPr>
        <w:t xml:space="preserve"> que determina </w:t>
      </w:r>
      <w:r w:rsidR="009A1604" w:rsidRPr="0092243D">
        <w:rPr>
          <w:rFonts w:ascii="Palatino Linotype" w:eastAsia="Times New Roman" w:hAnsi="Palatino Linotype" w:cs="Arial"/>
          <w:color w:val="000000" w:themeColor="text1"/>
          <w:lang w:val="es-ES" w:eastAsia="es-MX"/>
        </w:rPr>
        <w:t>la hipótesis jurídica</w:t>
      </w:r>
      <w:r w:rsidRPr="0092243D">
        <w:rPr>
          <w:rFonts w:ascii="Palatino Linotype" w:eastAsia="Times New Roman" w:hAnsi="Palatino Linotype" w:cs="Arial"/>
          <w:color w:val="000000" w:themeColor="text1"/>
          <w:lang w:val="es-ES" w:eastAsia="es-MX"/>
        </w:rPr>
        <w:t xml:space="preserve"> </w:t>
      </w:r>
      <w:r w:rsidR="00402466" w:rsidRPr="0092243D">
        <w:rPr>
          <w:rFonts w:ascii="Palatino Linotype" w:eastAsia="Times New Roman" w:hAnsi="Palatino Linotype" w:cs="Arial"/>
          <w:color w:val="000000" w:themeColor="text1"/>
          <w:lang w:val="es-ES" w:eastAsia="es-MX"/>
        </w:rPr>
        <w:t xml:space="preserve">de la </w:t>
      </w:r>
      <w:r w:rsidR="00C70E5B" w:rsidRPr="0092243D">
        <w:rPr>
          <w:rFonts w:ascii="Palatino Linotype" w:hAnsi="Palatino Linotype" w:cs="Arial"/>
          <w:b/>
        </w:rPr>
        <w:t>declaración</w:t>
      </w:r>
      <w:r w:rsidR="00C70E5B" w:rsidRPr="0092243D">
        <w:rPr>
          <w:rFonts w:ascii="Palatino Linotype" w:eastAsia="Times New Roman" w:hAnsi="Palatino Linotype" w:cs="Arial"/>
          <w:color w:val="000000" w:themeColor="text1"/>
          <w:lang w:val="es-ES" w:eastAsia="es-MX"/>
        </w:rPr>
        <w:t xml:space="preserve"> de incompetencia por el sujeto obligado</w:t>
      </w:r>
      <w:r w:rsidRPr="0092243D">
        <w:rPr>
          <w:rFonts w:ascii="Palatino Linotype" w:eastAsia="Times New Roman" w:hAnsi="Palatino Linotype" w:cs="Arial"/>
          <w:color w:val="000000" w:themeColor="text1"/>
          <w:lang w:val="es-ES" w:eastAsia="es-MX"/>
        </w:rPr>
        <w:t xml:space="preserve">; </w:t>
      </w:r>
      <w:r w:rsidRPr="0092243D">
        <w:rPr>
          <w:rFonts w:ascii="Palatino Linotype" w:eastAsia="MS Mincho" w:hAnsi="Palatino Linotype" w:cs="Arial"/>
        </w:rPr>
        <w:t xml:space="preserve">contexto del cual se dolió </w:t>
      </w:r>
      <w:r w:rsidRPr="0092243D">
        <w:rPr>
          <w:rFonts w:ascii="Palatino Linotype" w:eastAsia="MS Mincho" w:hAnsi="Palatino Linotype" w:cs="Arial"/>
          <w:b/>
        </w:rPr>
        <w:t xml:space="preserve">EL RECURRENTE </w:t>
      </w:r>
      <w:r w:rsidRPr="0092243D">
        <w:rPr>
          <w:rFonts w:ascii="Palatino Linotype" w:eastAsia="MS Mincho" w:hAnsi="Palatino Linotype" w:cs="Arial"/>
        </w:rPr>
        <w:t>al momento de interponer su inconformidad.</w:t>
      </w:r>
      <w:r w:rsidRPr="0092243D">
        <w:rPr>
          <w:rFonts w:ascii="Palatino Linotype" w:eastAsia="Times New Roman" w:hAnsi="Palatino Linotype" w:cs="Arial"/>
          <w:color w:val="000000" w:themeColor="text1"/>
          <w:lang w:val="es-ES" w:eastAsia="es-MX"/>
        </w:rPr>
        <w:t xml:space="preserve"> De modo tal </w:t>
      </w:r>
      <w:r w:rsidRPr="0092243D">
        <w:rPr>
          <w:rFonts w:ascii="Palatino Linotype" w:hAnsi="Palatino Linotype" w:cs="Arial"/>
          <w:color w:val="000000" w:themeColor="text1"/>
        </w:rPr>
        <w:t xml:space="preserve">que el presente recurso de revisión se abocara en determinar si el </w:t>
      </w:r>
      <w:r w:rsidRPr="0092243D">
        <w:rPr>
          <w:rFonts w:ascii="Palatino Linotype" w:hAnsi="Palatino Linotype" w:cs="Arial"/>
          <w:b/>
          <w:color w:val="000000" w:themeColor="text1"/>
        </w:rPr>
        <w:t>SUJETO</w:t>
      </w:r>
      <w:r w:rsidRPr="0092243D">
        <w:rPr>
          <w:rFonts w:ascii="Palatino Linotype" w:hAnsi="Palatino Linotype" w:cs="Arial"/>
          <w:color w:val="000000" w:themeColor="text1"/>
        </w:rPr>
        <w:t xml:space="preserve"> </w:t>
      </w:r>
      <w:r w:rsidRPr="0092243D">
        <w:rPr>
          <w:rFonts w:ascii="Palatino Linotype" w:hAnsi="Palatino Linotype" w:cs="Arial"/>
          <w:b/>
          <w:color w:val="000000" w:themeColor="text1"/>
        </w:rPr>
        <w:t>OBLIGADO</w:t>
      </w:r>
      <w:r w:rsidRPr="0092243D">
        <w:rPr>
          <w:rFonts w:ascii="Palatino Linotype" w:hAnsi="Palatino Linotype" w:cs="Arial"/>
          <w:color w:val="000000" w:themeColor="text1"/>
        </w:rPr>
        <w:t xml:space="preserve"> con su respuesta ciertamente </w:t>
      </w:r>
      <w:r w:rsidRPr="0092243D">
        <w:rPr>
          <w:rFonts w:ascii="Palatino Linotype" w:eastAsia="Times New Roman" w:hAnsi="Palatino Linotype"/>
          <w:color w:val="000000" w:themeColor="text1"/>
        </w:rPr>
        <w:t>actualiza la causal de procedencia</w:t>
      </w:r>
      <w:r w:rsidRPr="0092243D">
        <w:rPr>
          <w:rFonts w:ascii="Palatino Linotype" w:eastAsia="Times New Roman" w:hAnsi="Palatino Linotype"/>
          <w:b/>
          <w:color w:val="000000" w:themeColor="text1"/>
        </w:rPr>
        <w:t xml:space="preserve"> </w:t>
      </w:r>
      <w:r w:rsidRPr="0092243D">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7210B9" w:rsidRPr="0092243D" w:rsidRDefault="007210B9" w:rsidP="007210B9">
      <w:pPr>
        <w:pStyle w:val="Prrafodelista"/>
        <w:rPr>
          <w:rFonts w:ascii="Palatino Linotype" w:eastAsia="MS Mincho" w:hAnsi="Palatino Linotype" w:cs="Arial"/>
        </w:rPr>
      </w:pPr>
    </w:p>
    <w:p w:rsidR="00B54047" w:rsidRPr="0092243D" w:rsidRDefault="008F08B6" w:rsidP="00855290">
      <w:pPr>
        <w:numPr>
          <w:ilvl w:val="0"/>
          <w:numId w:val="15"/>
        </w:numPr>
        <w:spacing w:line="360" w:lineRule="auto"/>
        <w:ind w:left="0" w:firstLine="0"/>
        <w:contextualSpacing/>
        <w:jc w:val="both"/>
        <w:rPr>
          <w:rFonts w:ascii="Palatino Linotype" w:hAnsi="Palatino Linotype"/>
          <w:color w:val="000000" w:themeColor="text1"/>
        </w:rPr>
      </w:pPr>
      <w:r w:rsidRPr="0092243D">
        <w:rPr>
          <w:rFonts w:ascii="Palatino Linotype" w:hAnsi="Palatino Linotype"/>
          <w:color w:val="000000" w:themeColor="text1"/>
        </w:rPr>
        <w:t>Ahora bien, p</w:t>
      </w:r>
      <w:r w:rsidR="00B54047" w:rsidRPr="0092243D">
        <w:rPr>
          <w:rFonts w:ascii="Palatino Linotype" w:hAnsi="Palatino Linotype"/>
          <w:color w:val="000000" w:themeColor="text1"/>
        </w:rPr>
        <w:t>rimeramente es menester precisar</w:t>
      </w:r>
      <w:r w:rsidR="00B54047" w:rsidRPr="0092243D">
        <w:rPr>
          <w:rFonts w:ascii="Palatino Linotype" w:hAnsi="Palatino Linotype"/>
          <w:bCs/>
          <w:color w:val="000000" w:themeColor="text1"/>
          <w:lang w:val="es-MX"/>
        </w:rPr>
        <w:t xml:space="preserve"> que </w:t>
      </w:r>
      <w:r w:rsidR="00B54047" w:rsidRPr="0092243D">
        <w:rPr>
          <w:rFonts w:ascii="Palatino Linotype" w:hAnsi="Palatino Linotype"/>
          <w:bCs/>
          <w:color w:val="000000" w:themeColor="text1"/>
        </w:rPr>
        <w:t xml:space="preserve">este Órgano Garante parte del hecho que el </w:t>
      </w:r>
      <w:r w:rsidR="00B54047" w:rsidRPr="0092243D">
        <w:rPr>
          <w:rFonts w:ascii="Palatino Linotype" w:eastAsia="MS Mincho" w:hAnsi="Palatino Linotype" w:cs="Arial"/>
        </w:rPr>
        <w:t>Derecho</w:t>
      </w:r>
      <w:r w:rsidR="00B54047" w:rsidRPr="0092243D">
        <w:rPr>
          <w:rFonts w:ascii="Palatino Linotype" w:hAnsi="Palatino Linotype"/>
          <w:bCs/>
          <w:color w:val="000000" w:themeColor="text1"/>
        </w:rPr>
        <w:t xml:space="preserve"> de </w:t>
      </w:r>
      <w:r w:rsidR="00B54047" w:rsidRPr="0092243D">
        <w:rPr>
          <w:rFonts w:ascii="Palatino Linotype" w:eastAsia="MS Mincho" w:hAnsi="Palatino Linotype" w:cs="Arial"/>
        </w:rPr>
        <w:t>Acceso</w:t>
      </w:r>
      <w:r w:rsidR="00B54047" w:rsidRPr="0092243D">
        <w:rPr>
          <w:rFonts w:ascii="Palatino Linotype" w:hAnsi="Palatino Linotype"/>
          <w:bCs/>
          <w:color w:val="000000" w:themeColor="text1"/>
        </w:rPr>
        <w:t xml:space="preserve"> a la Información Pública, es un derecho humano </w:t>
      </w:r>
      <w:r w:rsidR="00B54047" w:rsidRPr="0092243D">
        <w:rPr>
          <w:rFonts w:ascii="Palatino Linotype" w:eastAsia="MS Mincho" w:hAnsi="Palatino Linotype" w:cs="Arial"/>
        </w:rPr>
        <w:t>reconocido</w:t>
      </w:r>
      <w:r w:rsidR="00B54047" w:rsidRPr="0092243D">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B54047" w:rsidRPr="0092243D">
        <w:rPr>
          <w:rFonts w:ascii="Palatino Linotype" w:hAnsi="Palatino Linotype"/>
          <w:b/>
          <w:bCs/>
          <w:color w:val="000000" w:themeColor="text1"/>
        </w:rPr>
        <w:t>SUJETO OBLIGADO</w:t>
      </w:r>
      <w:r w:rsidR="00B54047" w:rsidRPr="0092243D">
        <w:rPr>
          <w:rFonts w:ascii="Palatino Linotype" w:hAnsi="Palatino Linotype"/>
          <w:bCs/>
          <w:color w:val="000000" w:themeColor="text1"/>
        </w:rPr>
        <w:t xml:space="preserve"> debe ser cuidadoso del debido cumplimiento de las </w:t>
      </w:r>
      <w:r w:rsidR="00B54047" w:rsidRPr="0092243D">
        <w:rPr>
          <w:rFonts w:ascii="Palatino Linotype" w:hAnsi="Palatino Linotype"/>
          <w:bCs/>
          <w:color w:val="000000" w:themeColor="text1"/>
        </w:rPr>
        <w:lastRenderedPageBreak/>
        <w:t xml:space="preserve">obligaciones constitucionales que se le imponen, en consecuencia, a todas las autoridades, en el ámbito de su competencia, según lo dispone el tercer párrafo del artículo primero de la </w:t>
      </w:r>
      <w:r w:rsidR="00B54047" w:rsidRPr="0092243D">
        <w:rPr>
          <w:rFonts w:ascii="Palatino Linotype" w:hAnsi="Palatino Linotype"/>
          <w:b/>
          <w:bCs/>
          <w:color w:val="000000" w:themeColor="text1"/>
        </w:rPr>
        <w:t xml:space="preserve">Constitución Política de los Estados Unidos Mexicanos </w:t>
      </w:r>
      <w:r w:rsidR="00B54047" w:rsidRPr="0092243D">
        <w:rPr>
          <w:rFonts w:ascii="Palatino Linotype" w:hAnsi="Palatino Linotype"/>
          <w:bCs/>
          <w:color w:val="000000" w:themeColor="text1"/>
        </w:rPr>
        <w:t xml:space="preserve">al señalar la obligación de “promover, respetar, proteger y </w:t>
      </w:r>
      <w:r w:rsidR="00B54047" w:rsidRPr="0092243D">
        <w:rPr>
          <w:rFonts w:ascii="Palatino Linotype" w:hAnsi="Palatino Linotype"/>
          <w:b/>
          <w:bCs/>
          <w:color w:val="000000" w:themeColor="text1"/>
        </w:rPr>
        <w:t>garantizar</w:t>
      </w:r>
      <w:r w:rsidR="00B54047" w:rsidRPr="0092243D">
        <w:rPr>
          <w:rFonts w:ascii="Palatino Linotype" w:hAnsi="Palatino Linotype"/>
          <w:bCs/>
          <w:color w:val="000000" w:themeColor="text1"/>
        </w:rPr>
        <w:t xml:space="preserve"> los derechos humanos”, entre los cuales se encuentra dicho derecho.</w:t>
      </w:r>
    </w:p>
    <w:p w:rsidR="00AE7AEB" w:rsidRPr="0092243D" w:rsidRDefault="00AE7AEB" w:rsidP="00AE7AEB">
      <w:pPr>
        <w:spacing w:line="360" w:lineRule="auto"/>
        <w:contextualSpacing/>
        <w:jc w:val="both"/>
        <w:rPr>
          <w:rFonts w:ascii="Palatino Linotype" w:hAnsi="Palatino Linotype"/>
          <w:color w:val="000000" w:themeColor="text1"/>
        </w:rPr>
      </w:pPr>
    </w:p>
    <w:p w:rsidR="00B54047" w:rsidRPr="0092243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2243D">
        <w:rPr>
          <w:rFonts w:ascii="Palatino Linotype" w:hAnsi="Palatino Linotype"/>
          <w:color w:val="000000" w:themeColor="text1"/>
        </w:rPr>
        <w:t xml:space="preserve">Por </w:t>
      </w:r>
      <w:r w:rsidRPr="0092243D">
        <w:rPr>
          <w:rFonts w:ascii="Palatino Linotype" w:hAnsi="Palatino Linotype"/>
          <w:color w:val="000000" w:themeColor="text1"/>
          <w:lang w:val="es-MX"/>
        </w:rPr>
        <w:t xml:space="preserve">lo anterior, se deduce que el derecho de acceso a la información pública es un </w:t>
      </w:r>
      <w:r w:rsidRPr="0092243D">
        <w:rPr>
          <w:rFonts w:ascii="Palatino Linotype" w:hAnsi="Palatino Linotype"/>
          <w:color w:val="000000" w:themeColor="text1"/>
        </w:rPr>
        <w:t>derecho</w:t>
      </w:r>
      <w:r w:rsidRPr="0092243D">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B54047" w:rsidRPr="0092243D" w:rsidRDefault="00B54047" w:rsidP="00855290">
      <w:pPr>
        <w:spacing w:line="360" w:lineRule="auto"/>
        <w:rPr>
          <w:rFonts w:ascii="Palatino Linotype" w:hAnsi="Palatino Linotype"/>
          <w:color w:val="000000" w:themeColor="text1"/>
        </w:rPr>
      </w:pPr>
    </w:p>
    <w:p w:rsidR="00B54047" w:rsidRPr="0092243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2243D">
        <w:rPr>
          <w:rFonts w:ascii="Palatino Linotype" w:hAnsi="Palatino Linotype"/>
          <w:color w:val="000000" w:themeColor="text1"/>
        </w:rPr>
        <w:t xml:space="preserve">Así las cosas, </w:t>
      </w:r>
      <w:r w:rsidRPr="0092243D">
        <w:rPr>
          <w:rFonts w:ascii="Palatino Linotype" w:hAnsi="Palatino Linotype"/>
          <w:color w:val="000000" w:themeColor="text1"/>
          <w:lang w:val="es-MX"/>
        </w:rPr>
        <w:t xml:space="preserve">podemos definir el Derecho de Acceso a la Información Pública </w:t>
      </w:r>
      <w:r w:rsidRPr="0092243D">
        <w:rPr>
          <w:rFonts w:ascii="Palatino Linotype" w:hAnsi="Palatino Linotype"/>
          <w:color w:val="000000" w:themeColor="text1"/>
        </w:rPr>
        <w:t>como</w:t>
      </w:r>
      <w:r w:rsidRPr="0092243D">
        <w:rPr>
          <w:rFonts w:ascii="Palatino Linotype" w:hAnsi="Palatino Linotype"/>
          <w:color w:val="000000" w:themeColor="text1"/>
          <w:lang w:val="es-MX"/>
        </w:rPr>
        <w:t xml:space="preserve">: </w:t>
      </w:r>
      <w:r w:rsidRPr="0092243D">
        <w:rPr>
          <w:rFonts w:ascii="Palatino Linotype" w:hAnsi="Palatino Linotype"/>
          <w:i/>
          <w:color w:val="000000" w:themeColor="text1"/>
          <w:lang w:val="es-MX"/>
        </w:rPr>
        <w:t xml:space="preserve">La </w:t>
      </w:r>
      <w:r w:rsidRPr="0092243D">
        <w:rPr>
          <w:rFonts w:ascii="Palatino Linotype" w:hAnsi="Palatino Linotype"/>
          <w:color w:val="000000" w:themeColor="text1"/>
        </w:rPr>
        <w:t>igualdad</w:t>
      </w:r>
      <w:r w:rsidRPr="0092243D">
        <w:rPr>
          <w:rFonts w:ascii="Palatino Linotype" w:hAnsi="Palatino Linotype"/>
          <w:i/>
          <w:color w:val="000000" w:themeColor="text1"/>
          <w:lang w:val="es-MX"/>
        </w:rPr>
        <w:t xml:space="preserve"> de oportunidades para recibir, buscar e impartir información</w:t>
      </w:r>
      <w:r w:rsidRPr="0092243D">
        <w:rPr>
          <w:rFonts w:ascii="Palatino Linotype" w:hAnsi="Palatino Linotype"/>
          <w:i/>
          <w:color w:val="000000" w:themeColor="text1"/>
          <w:vertAlign w:val="superscript"/>
          <w:lang w:val="es-MX"/>
        </w:rPr>
        <w:footnoteReference w:id="1"/>
      </w:r>
      <w:r w:rsidRPr="0092243D">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243D">
        <w:rPr>
          <w:rFonts w:ascii="Palatino Linotype" w:hAnsi="Palatino Linotype"/>
          <w:i/>
          <w:color w:val="000000" w:themeColor="text1"/>
          <w:vertAlign w:val="superscript"/>
          <w:lang w:val="es-MX"/>
        </w:rPr>
        <w:footnoteReference w:id="2"/>
      </w:r>
      <w:r w:rsidRPr="0092243D">
        <w:rPr>
          <w:rFonts w:ascii="Palatino Linotype" w:hAnsi="Palatino Linotype"/>
          <w:color w:val="000000" w:themeColor="text1"/>
          <w:lang w:val="es-MX"/>
        </w:rPr>
        <w:t>que se constituye como una herramienta fundamental para ejercer</w:t>
      </w:r>
      <w:r w:rsidRPr="0092243D">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2243D">
        <w:rPr>
          <w:rFonts w:ascii="Palatino Linotype" w:hAnsi="Palatino Linotype"/>
          <w:i/>
          <w:color w:val="000000" w:themeColor="text1"/>
          <w:vertAlign w:val="superscript"/>
          <w:lang w:val="es-MX"/>
        </w:rPr>
        <w:footnoteReference w:id="3"/>
      </w:r>
      <w:r w:rsidRPr="0092243D">
        <w:rPr>
          <w:rFonts w:ascii="Palatino Linotype" w:hAnsi="Palatino Linotype"/>
          <w:i/>
          <w:color w:val="000000" w:themeColor="text1"/>
          <w:lang w:val="es-MX"/>
        </w:rPr>
        <w:t xml:space="preserve"> </w:t>
      </w:r>
      <w:r w:rsidRPr="0092243D">
        <w:rPr>
          <w:rFonts w:ascii="Palatino Linotype" w:hAnsi="Palatino Linotype"/>
          <w:color w:val="000000" w:themeColor="text1"/>
          <w:lang w:val="es-MX"/>
        </w:rPr>
        <w:t>fomentando</w:t>
      </w:r>
      <w:r w:rsidRPr="0092243D">
        <w:rPr>
          <w:rFonts w:ascii="Palatino Linotype" w:hAnsi="Palatino Linotype"/>
          <w:i/>
          <w:color w:val="000000" w:themeColor="text1"/>
          <w:lang w:val="es-MX"/>
        </w:rPr>
        <w:t xml:space="preserve"> la transparencia de las actividades estatales y </w:t>
      </w:r>
      <w:r w:rsidRPr="0092243D">
        <w:rPr>
          <w:rFonts w:ascii="Palatino Linotype" w:hAnsi="Palatino Linotype"/>
          <w:color w:val="000000" w:themeColor="text1"/>
          <w:lang w:val="es-MX"/>
        </w:rPr>
        <w:t>promoviendo</w:t>
      </w:r>
      <w:r w:rsidRPr="0092243D">
        <w:rPr>
          <w:rFonts w:ascii="Palatino Linotype" w:hAnsi="Palatino Linotype"/>
          <w:i/>
          <w:color w:val="000000" w:themeColor="text1"/>
          <w:lang w:val="es-MX"/>
        </w:rPr>
        <w:t xml:space="preserve"> la responsabilidad de los funcionarios sobre su gestión </w:t>
      </w:r>
      <w:r w:rsidRPr="0092243D">
        <w:rPr>
          <w:rFonts w:ascii="Palatino Linotype" w:hAnsi="Palatino Linotype"/>
          <w:i/>
          <w:color w:val="000000" w:themeColor="text1"/>
          <w:lang w:val="es-MX"/>
        </w:rPr>
        <w:lastRenderedPageBreak/>
        <w:t>pública,</w:t>
      </w:r>
      <w:r w:rsidRPr="0092243D">
        <w:rPr>
          <w:rFonts w:ascii="Palatino Linotype" w:hAnsi="Palatino Linotype"/>
          <w:i/>
          <w:color w:val="000000" w:themeColor="text1"/>
          <w:vertAlign w:val="superscript"/>
          <w:lang w:val="es-MX"/>
        </w:rPr>
        <w:footnoteReference w:id="4"/>
      </w:r>
      <w:r w:rsidRPr="0092243D">
        <w:rPr>
          <w:rFonts w:ascii="Palatino Linotype" w:hAnsi="Palatino Linotype"/>
          <w:color w:val="000000" w:themeColor="text1"/>
          <w:lang w:val="es-MX"/>
        </w:rPr>
        <w:t>que permite</w:t>
      </w:r>
      <w:r w:rsidRPr="0092243D">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B54047" w:rsidRPr="0092243D" w:rsidRDefault="00B54047" w:rsidP="00855290">
      <w:pPr>
        <w:pStyle w:val="Prrafodelista"/>
        <w:spacing w:line="360" w:lineRule="auto"/>
        <w:rPr>
          <w:rFonts w:ascii="Palatino Linotype" w:hAnsi="Palatino Linotype"/>
          <w:color w:val="000000" w:themeColor="text1"/>
        </w:rPr>
      </w:pPr>
    </w:p>
    <w:p w:rsidR="00B54047" w:rsidRPr="0092243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2243D">
        <w:rPr>
          <w:rFonts w:ascii="Palatino Linotype" w:hAnsi="Palatino Linotype"/>
          <w:color w:val="000000" w:themeColor="text1"/>
        </w:rPr>
        <w:t xml:space="preserve">Por otro lado, </w:t>
      </w:r>
      <w:r w:rsidRPr="0092243D">
        <w:rPr>
          <w:rFonts w:ascii="Palatino Linotype" w:hAnsi="Palatino Linotype"/>
          <w:color w:val="000000" w:themeColor="text1"/>
          <w:lang w:val="es-MX"/>
        </w:rPr>
        <w:t xml:space="preserve">la Ley de Transparencia y Acceso a la Información Pública del Estado de </w:t>
      </w:r>
      <w:r w:rsidRPr="0092243D">
        <w:rPr>
          <w:rFonts w:ascii="Palatino Linotype" w:hAnsi="Palatino Linotype"/>
          <w:color w:val="000000" w:themeColor="text1"/>
        </w:rPr>
        <w:t>México</w:t>
      </w:r>
      <w:r w:rsidRPr="0092243D">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92243D" w:rsidRDefault="00B54047" w:rsidP="00855290">
      <w:pPr>
        <w:pStyle w:val="Prrafodelista"/>
        <w:spacing w:line="360" w:lineRule="auto"/>
        <w:ind w:left="0"/>
        <w:jc w:val="both"/>
        <w:rPr>
          <w:rFonts w:ascii="Palatino Linotype" w:eastAsia="MS Mincho" w:hAnsi="Palatino Linotype" w:cs="Arial"/>
        </w:rPr>
      </w:pPr>
    </w:p>
    <w:p w:rsidR="00041972" w:rsidRPr="0092243D" w:rsidRDefault="00B54047" w:rsidP="00855290">
      <w:pPr>
        <w:numPr>
          <w:ilvl w:val="0"/>
          <w:numId w:val="15"/>
        </w:numPr>
        <w:spacing w:line="360" w:lineRule="auto"/>
        <w:ind w:left="0" w:firstLine="0"/>
        <w:contextualSpacing/>
        <w:jc w:val="both"/>
        <w:rPr>
          <w:rFonts w:ascii="Palatino Linotype" w:hAnsi="Palatino Linotype"/>
          <w:color w:val="000000"/>
        </w:rPr>
      </w:pPr>
      <w:r w:rsidRPr="0092243D">
        <w:rPr>
          <w:rFonts w:ascii="Palatino Linotype" w:hAnsi="Palatino Linotype"/>
          <w:color w:val="000000" w:themeColor="text1"/>
        </w:rPr>
        <w:t>Acotado</w:t>
      </w:r>
      <w:r w:rsidRPr="0092243D">
        <w:rPr>
          <w:rFonts w:ascii="Palatino Linotype" w:hAnsi="Palatino Linotype"/>
          <w:color w:val="000000"/>
        </w:rPr>
        <w:t xml:space="preserve"> lo anterior, es dable primeramente señalar, que como se </w:t>
      </w:r>
      <w:r w:rsidR="00F03D89" w:rsidRPr="0092243D">
        <w:rPr>
          <w:rFonts w:ascii="Palatino Linotype" w:hAnsi="Palatino Linotype"/>
          <w:color w:val="000000"/>
        </w:rPr>
        <w:t>refiri</w:t>
      </w:r>
      <w:r w:rsidR="002F7469" w:rsidRPr="0092243D">
        <w:rPr>
          <w:rFonts w:ascii="Palatino Linotype" w:hAnsi="Palatino Linotype"/>
          <w:color w:val="000000"/>
        </w:rPr>
        <w:t>ó en párrafos anteriores</w:t>
      </w:r>
      <w:r w:rsidR="00F03D89" w:rsidRPr="0092243D">
        <w:rPr>
          <w:rFonts w:ascii="Palatino Linotype" w:hAnsi="Palatino Linotype"/>
          <w:i/>
          <w:color w:val="000000"/>
        </w:rPr>
        <w:t xml:space="preserve">, </w:t>
      </w:r>
      <w:r w:rsidR="00F03D89" w:rsidRPr="0092243D">
        <w:rPr>
          <w:rFonts w:ascii="Palatino Linotype" w:hAnsi="Palatino Linotype"/>
          <w:color w:val="000000"/>
        </w:rPr>
        <w:t xml:space="preserve">la contestación del </w:t>
      </w:r>
      <w:r w:rsidR="00F03D89" w:rsidRPr="0092243D">
        <w:rPr>
          <w:rFonts w:ascii="Palatino Linotype" w:hAnsi="Palatino Linotype"/>
          <w:b/>
          <w:color w:val="000000"/>
        </w:rPr>
        <w:t>SUJETO OBLIGADO</w:t>
      </w:r>
      <w:r w:rsidR="00F03D89" w:rsidRPr="0092243D">
        <w:rPr>
          <w:rFonts w:ascii="Palatino Linotype" w:hAnsi="Palatino Linotype"/>
          <w:color w:val="000000"/>
        </w:rPr>
        <w:t xml:space="preserve"> fue encaminada a no dar observancia a los planteamientos del particular, toda vez </w:t>
      </w:r>
      <w:r w:rsidR="009E61CA" w:rsidRPr="0092243D">
        <w:rPr>
          <w:rFonts w:ascii="Palatino Linotype" w:hAnsi="Palatino Linotype"/>
          <w:color w:val="000000"/>
        </w:rPr>
        <w:t>que</w:t>
      </w:r>
      <w:r w:rsidR="00F03D89" w:rsidRPr="0092243D">
        <w:rPr>
          <w:rFonts w:ascii="Palatino Linotype" w:hAnsi="Palatino Linotype"/>
          <w:color w:val="000000"/>
        </w:rPr>
        <w:t xml:space="preserve"> </w:t>
      </w:r>
      <w:r w:rsidR="009E61CA" w:rsidRPr="0092243D">
        <w:rPr>
          <w:rFonts w:ascii="Palatino Linotype" w:hAnsi="Palatino Linotype"/>
          <w:color w:val="000000"/>
        </w:rPr>
        <w:t>-a su decir-</w:t>
      </w:r>
      <w:r w:rsidR="00F03D89" w:rsidRPr="0092243D">
        <w:rPr>
          <w:rFonts w:ascii="Palatino Linotype" w:hAnsi="Palatino Linotype"/>
          <w:color w:val="000000"/>
        </w:rPr>
        <w:t xml:space="preserve"> no correspondían al ejercicio del derecho de acceso a la información; sino a un cuestionario lo que es equivalente a realizar una investigación y a lo cual no se encuentra obligado para satisfacer las pretensiones particulares del solicitante.</w:t>
      </w:r>
    </w:p>
    <w:p w:rsidR="008F08B6" w:rsidRPr="0092243D" w:rsidRDefault="008F08B6" w:rsidP="008F08B6">
      <w:pPr>
        <w:pStyle w:val="Prrafodelista"/>
        <w:rPr>
          <w:rFonts w:ascii="Palatino Linotype" w:hAnsi="Palatino Linotype"/>
          <w:color w:val="000000"/>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color w:val="000000" w:themeColor="text1"/>
        </w:rPr>
      </w:pPr>
      <w:r w:rsidRPr="0092243D">
        <w:rPr>
          <w:rFonts w:ascii="Palatino Linotype" w:hAnsi="Palatino Linotype"/>
          <w:color w:val="000000"/>
        </w:rPr>
        <w:t xml:space="preserve">En ese sentido es dable mencionar que </w:t>
      </w:r>
      <w:r w:rsidRPr="0092243D">
        <w:rPr>
          <w:rFonts w:ascii="Palatino Linotype" w:hAnsi="Palatino Linotype"/>
        </w:rPr>
        <w:t xml:space="preserve">el derecho de acceso a la información, es un derecho que versa </w:t>
      </w:r>
      <w:r w:rsidRPr="0092243D">
        <w:rPr>
          <w:rFonts w:ascii="Palatino Linotype" w:hAnsi="Palatino Linotype"/>
          <w:color w:val="000000" w:themeColor="text1"/>
        </w:rPr>
        <w:t>sobre</w:t>
      </w:r>
      <w:r w:rsidRPr="0092243D">
        <w:rPr>
          <w:rFonts w:ascii="Palatino Linotype" w:hAnsi="Palatino Linotype"/>
        </w:rPr>
        <w:t xml:space="preserve"> documentos, por lo que realizar preguntas, </w:t>
      </w:r>
      <w:r w:rsidRPr="0092243D">
        <w:rPr>
          <w:rFonts w:ascii="Palatino Linotype" w:hAnsi="Palatino Linotype"/>
        </w:rPr>
        <w:lastRenderedPageBreak/>
        <w:t xml:space="preserve">ciertamente </w:t>
      </w:r>
      <w:r w:rsidRPr="0092243D">
        <w:rPr>
          <w:rFonts w:ascii="Palatino Linotype" w:hAnsi="Palatino Linotype" w:cs="Arial"/>
          <w:color w:val="000000" w:themeColor="text1"/>
        </w:rPr>
        <w:t>debe entenderse por derecho de petición y no por derecho de acceso a la información pública.</w:t>
      </w:r>
    </w:p>
    <w:p w:rsidR="00F03D89" w:rsidRPr="0092243D" w:rsidRDefault="00F03D89" w:rsidP="00F03D89">
      <w:pPr>
        <w:pStyle w:val="Prrafodelista"/>
        <w:rPr>
          <w:rFonts w:ascii="Palatino Linotype" w:hAnsi="Palatino Linotype" w:cs="Arial"/>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i/>
          <w:color w:val="000000" w:themeColor="text1"/>
        </w:rPr>
      </w:pPr>
      <w:r w:rsidRPr="0092243D">
        <w:rPr>
          <w:rFonts w:ascii="Palatino Linotype" w:hAnsi="Palatino Linotype"/>
        </w:rPr>
        <w:t>Por</w:t>
      </w:r>
      <w:r w:rsidRPr="0092243D">
        <w:rPr>
          <w:rFonts w:ascii="Palatino Linotype" w:hAnsi="Palatino Linotype" w:cs="Arial"/>
          <w:color w:val="000000" w:themeColor="text1"/>
        </w:rPr>
        <w:t xml:space="preserve"> lo que respecta a la definición de derecho de petición, el Maestro Ignacio Burgoa </w:t>
      </w:r>
      <w:r w:rsidRPr="0092243D">
        <w:rPr>
          <w:rFonts w:ascii="Palatino Linotype" w:hAnsi="Palatino Linotype"/>
          <w:color w:val="000000"/>
        </w:rPr>
        <w:t>Orihuela</w:t>
      </w:r>
      <w:r w:rsidRPr="0092243D">
        <w:rPr>
          <w:rFonts w:ascii="Palatino Linotype" w:hAnsi="Palatino Linotype" w:cs="Arial"/>
          <w:color w:val="000000" w:themeColor="text1"/>
        </w:rPr>
        <w:t xml:space="preserve"> refiere: “…</w:t>
      </w:r>
      <w:r w:rsidRPr="0092243D">
        <w:rPr>
          <w:rFonts w:ascii="Palatino Linotype" w:hAnsi="Palatino Linotype" w:cs="Arial"/>
          <w:i/>
          <w:color w:val="000000" w:themeColor="text1"/>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2243D">
        <w:rPr>
          <w:rStyle w:val="Refdenotaalpie"/>
          <w:rFonts w:ascii="Palatino Linotype" w:hAnsi="Palatino Linotype"/>
          <w:i/>
          <w:color w:val="000000" w:themeColor="text1"/>
        </w:rPr>
        <w:t xml:space="preserve"> </w:t>
      </w:r>
      <w:r w:rsidRPr="0092243D">
        <w:rPr>
          <w:rStyle w:val="Refdenotaalpie"/>
          <w:rFonts w:ascii="Palatino Linotype" w:hAnsi="Palatino Linotype"/>
          <w:i/>
          <w:color w:val="000000" w:themeColor="text1"/>
        </w:rPr>
        <w:footnoteReference w:id="5"/>
      </w:r>
      <w:r w:rsidRPr="0092243D">
        <w:rPr>
          <w:rFonts w:ascii="Palatino Linotype" w:hAnsi="Palatino Linotype"/>
          <w:i/>
          <w:color w:val="000000" w:themeColor="text1"/>
        </w:rPr>
        <w:t>“</w:t>
      </w:r>
      <w:r w:rsidRPr="0092243D">
        <w:rPr>
          <w:rFonts w:ascii="Palatino Linotype" w:hAnsi="Palatino Linotype" w:cs="Arial"/>
          <w:i/>
          <w:color w:val="000000" w:themeColor="text1"/>
        </w:rPr>
        <w:t xml:space="preserve"> (Sic)</w:t>
      </w:r>
    </w:p>
    <w:p w:rsidR="00F03D89" w:rsidRPr="0092243D" w:rsidRDefault="00F03D89" w:rsidP="00F03D89">
      <w:pPr>
        <w:pStyle w:val="Prrafodelista"/>
        <w:rPr>
          <w:rFonts w:ascii="Palatino Linotype" w:hAnsi="Palatino Linotype" w:cs="Arial"/>
          <w:i/>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i/>
          <w:color w:val="000000" w:themeColor="text1"/>
        </w:rPr>
      </w:pPr>
      <w:r w:rsidRPr="0092243D">
        <w:rPr>
          <w:rFonts w:ascii="Palatino Linotype" w:hAnsi="Palatino Linotype" w:cs="Arial"/>
          <w:color w:val="000000" w:themeColor="text1"/>
        </w:rPr>
        <w:t xml:space="preserve">Por </w:t>
      </w:r>
      <w:r w:rsidRPr="0092243D">
        <w:rPr>
          <w:rFonts w:ascii="Palatino Linotype" w:hAnsi="Palatino Linotype"/>
        </w:rPr>
        <w:t>su</w:t>
      </w:r>
      <w:r w:rsidRPr="0092243D">
        <w:rPr>
          <w:rFonts w:ascii="Palatino Linotype" w:hAnsi="Palatino Linotype" w:cs="Arial"/>
          <w:color w:val="000000" w:themeColor="text1"/>
        </w:rPr>
        <w:t xml:space="preserve"> parte, David Cienfuegos Salgado, concibe al derecho de petición como </w:t>
      </w:r>
      <w:r w:rsidRPr="0092243D">
        <w:rPr>
          <w:rFonts w:ascii="Palatino Linotype" w:hAnsi="Palatino Linotype" w:cs="Arial"/>
          <w:i/>
          <w:color w:val="000000" w:themeColor="text1"/>
        </w:rPr>
        <w:t xml:space="preserve">“el </w:t>
      </w:r>
      <w:r w:rsidRPr="0092243D">
        <w:rPr>
          <w:rFonts w:ascii="Palatino Linotype" w:hAnsi="Palatino Linotype"/>
        </w:rPr>
        <w:t>derecho</w:t>
      </w:r>
      <w:r w:rsidRPr="0092243D">
        <w:rPr>
          <w:rFonts w:ascii="Palatino Linotype" w:hAnsi="Palatino Linotype" w:cs="Arial"/>
          <w:i/>
          <w:color w:val="000000" w:themeColor="text1"/>
        </w:rPr>
        <w:t xml:space="preserve"> de toda persona a ser escuchado por quienes ejercen el poder público.</w:t>
      </w:r>
      <w:r w:rsidRPr="0092243D">
        <w:rPr>
          <w:rStyle w:val="Refdenotaalpie"/>
          <w:rFonts w:ascii="Palatino Linotype" w:hAnsi="Palatino Linotype"/>
          <w:i/>
          <w:color w:val="000000" w:themeColor="text1"/>
        </w:rPr>
        <w:t xml:space="preserve"> </w:t>
      </w:r>
      <w:r w:rsidRPr="0092243D">
        <w:rPr>
          <w:rStyle w:val="Refdenotaalpie"/>
          <w:rFonts w:ascii="Palatino Linotype" w:hAnsi="Palatino Linotype"/>
          <w:i/>
          <w:color w:val="000000" w:themeColor="text1"/>
        </w:rPr>
        <w:footnoteReference w:id="6"/>
      </w:r>
      <w:r w:rsidRPr="0092243D">
        <w:rPr>
          <w:rFonts w:ascii="Palatino Linotype" w:hAnsi="Palatino Linotype" w:cs="Arial"/>
          <w:i/>
          <w:color w:val="000000" w:themeColor="text1"/>
        </w:rPr>
        <w:t xml:space="preserve">” </w:t>
      </w:r>
    </w:p>
    <w:p w:rsidR="00F03D89" w:rsidRPr="0092243D" w:rsidRDefault="00F03D89" w:rsidP="00F03D89">
      <w:pPr>
        <w:pStyle w:val="Prrafodelista"/>
        <w:rPr>
          <w:rFonts w:ascii="Palatino Linotype" w:hAnsi="Palatino Linotype" w:cs="Arial"/>
          <w:i/>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i/>
          <w:color w:val="000000" w:themeColor="text1"/>
        </w:rPr>
      </w:pPr>
      <w:r w:rsidRPr="0092243D">
        <w:rPr>
          <w:rFonts w:ascii="Palatino Linotype" w:hAnsi="Palatino Linotype" w:cs="Arial"/>
          <w:color w:val="000000" w:themeColor="text1"/>
        </w:rPr>
        <w:t xml:space="preserve">A este respecto, y para diferenciar el derecho de petición al derecho de acceso a la información, resulta conducente señalar que José Guadalupe Robles, conceptualiza el derecho a la información como </w:t>
      </w:r>
      <w:r w:rsidRPr="0092243D">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2243D">
        <w:rPr>
          <w:rStyle w:val="Refdenotaalpie"/>
          <w:rFonts w:ascii="Palatino Linotype" w:hAnsi="Palatino Linotype"/>
          <w:i/>
          <w:color w:val="000000" w:themeColor="text1"/>
        </w:rPr>
        <w:t xml:space="preserve"> </w:t>
      </w:r>
      <w:r w:rsidRPr="0092243D">
        <w:rPr>
          <w:rStyle w:val="Refdenotaalpie"/>
          <w:rFonts w:ascii="Palatino Linotype" w:hAnsi="Palatino Linotype"/>
          <w:i/>
          <w:color w:val="000000" w:themeColor="text1"/>
        </w:rPr>
        <w:footnoteReference w:id="7"/>
      </w:r>
      <w:r w:rsidRPr="0092243D">
        <w:rPr>
          <w:rFonts w:ascii="Palatino Linotype" w:hAnsi="Palatino Linotype" w:cs="Arial"/>
          <w:i/>
          <w:color w:val="000000" w:themeColor="text1"/>
        </w:rPr>
        <w:t xml:space="preserve">“(Sic) </w:t>
      </w:r>
    </w:p>
    <w:p w:rsidR="00F03D89" w:rsidRPr="0092243D" w:rsidRDefault="00F03D89" w:rsidP="00F03D89">
      <w:pPr>
        <w:pStyle w:val="Prrafodelista"/>
        <w:rPr>
          <w:rFonts w:ascii="Palatino Linotype" w:hAnsi="Palatino Linotype" w:cs="Arial"/>
          <w:i/>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i/>
          <w:color w:val="000000" w:themeColor="text1"/>
        </w:rPr>
      </w:pPr>
      <w:r w:rsidRPr="0092243D">
        <w:rPr>
          <w:rFonts w:ascii="Palatino Linotype" w:hAnsi="Palatino Linotype" w:cs="Arial"/>
          <w:color w:val="000000" w:themeColor="text1"/>
        </w:rPr>
        <w:lastRenderedPageBreak/>
        <w:t>Además</w:t>
      </w:r>
      <w:r w:rsidRPr="0092243D">
        <w:rPr>
          <w:rFonts w:ascii="Palatino Linotype" w:hAnsi="Palatino Linotype" w:cs="Arial"/>
          <w:color w:val="000000" w:themeColor="text1"/>
          <w:lang w:eastAsia="es-MX"/>
        </w:rPr>
        <w:t xml:space="preserve">, el derecho a la información constituye una prerrogativa a acceder a </w:t>
      </w:r>
      <w:r w:rsidRPr="0092243D">
        <w:rPr>
          <w:rFonts w:ascii="Palatino Linotype" w:hAnsi="Palatino Linotype" w:cs="Arial"/>
          <w:color w:val="000000" w:themeColor="text1"/>
        </w:rPr>
        <w:t>documentación</w:t>
      </w:r>
      <w:r w:rsidRPr="0092243D">
        <w:rPr>
          <w:rFonts w:ascii="Palatino Linotype" w:hAnsi="Palatino Linotype" w:cs="Arial"/>
          <w:color w:val="000000" w:themeColor="text1"/>
          <w:lang w:eastAsia="es-MX"/>
        </w:rPr>
        <w:t xml:space="preserve"> en poder de los Sujetos Obligados, no así a realizar cuestionamientos, o manifestaciones subjetivas. Sirve de apoyo a lo anterior la definición de derecho a la información de Ernesto Villanueva Villanueva que dice: “</w:t>
      </w:r>
      <w:r w:rsidRPr="0092243D">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92243D">
        <w:rPr>
          <w:rStyle w:val="Refdenotaalpie"/>
          <w:rFonts w:ascii="Palatino Linotype" w:hAnsi="Palatino Linotype" w:cs="Arial"/>
          <w:i/>
          <w:color w:val="000000" w:themeColor="text1"/>
          <w:lang w:eastAsia="es-MX"/>
        </w:rPr>
        <w:footnoteReference w:id="8"/>
      </w:r>
    </w:p>
    <w:p w:rsidR="00F03D89" w:rsidRPr="0092243D" w:rsidRDefault="00F03D89" w:rsidP="00F03D89">
      <w:pPr>
        <w:pStyle w:val="Prrafodelista"/>
        <w:rPr>
          <w:rFonts w:ascii="Palatino Linotype" w:hAnsi="Palatino Linotype" w:cs="Arial"/>
          <w:i/>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s="Arial"/>
          <w:color w:val="000000" w:themeColor="text1"/>
        </w:rPr>
      </w:pPr>
      <w:r w:rsidRPr="0092243D">
        <w:rPr>
          <w:rFonts w:ascii="Palatino Linotype" w:hAnsi="Palatino Linotype" w:cs="Arial"/>
          <w:color w:val="000000" w:themeColor="text1"/>
          <w:lang w:eastAsia="es-MX"/>
        </w:rPr>
        <w:t>Ahora</w:t>
      </w:r>
      <w:r w:rsidRPr="0092243D">
        <w:rPr>
          <w:rFonts w:ascii="Palatino Linotype" w:hAnsi="Palatino Linotype" w:cs="Arial"/>
          <w:color w:val="000000" w:themeColor="text1"/>
        </w:rPr>
        <w:t xml:space="preserve"> </w:t>
      </w:r>
      <w:r w:rsidR="00E069C1" w:rsidRPr="0092243D">
        <w:rPr>
          <w:rFonts w:ascii="Palatino Linotype" w:hAnsi="Palatino Linotype" w:cs="Arial"/>
          <w:color w:val="000000" w:themeColor="text1"/>
        </w:rPr>
        <w:t>bien,</w:t>
      </w:r>
      <w:r w:rsidRPr="0092243D">
        <w:rPr>
          <w:rFonts w:ascii="Palatino Linotype" w:hAnsi="Palatino Linotype" w:cs="Arial"/>
          <w:color w:val="000000" w:themeColor="text1"/>
        </w:rPr>
        <w:t xml:space="preserve"> para entender los alcances de la información pública se considera </w:t>
      </w:r>
      <w:r w:rsidRPr="0092243D">
        <w:rPr>
          <w:rFonts w:ascii="Palatino Linotype" w:hAnsi="Palatino Linotype" w:cs="Arial"/>
          <w:color w:val="000000" w:themeColor="text1"/>
          <w:lang w:eastAsia="es-MX"/>
        </w:rPr>
        <w:t>importante</w:t>
      </w:r>
      <w:r w:rsidRPr="0092243D">
        <w:rPr>
          <w:rFonts w:ascii="Palatino Linotype" w:hAnsi="Palatino Linotype" w:cs="Arial"/>
          <w:color w:val="000000" w:themeColor="text1"/>
        </w:rPr>
        <w:t xml:space="preserve"> citar el criterio </w:t>
      </w:r>
      <w:r w:rsidRPr="0092243D">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2243D">
        <w:rPr>
          <w:rFonts w:ascii="Palatino Linotype" w:hAnsi="Palatino Linotype" w:cs="Arial"/>
          <w:color w:val="000000" w:themeColor="text1"/>
        </w:rPr>
        <w:t>cuyo rubro y texto dispone:</w:t>
      </w:r>
    </w:p>
    <w:p w:rsidR="00F03D89" w:rsidRPr="0092243D" w:rsidRDefault="00F03D89" w:rsidP="00F03D89">
      <w:pPr>
        <w:autoSpaceDE w:val="0"/>
        <w:autoSpaceDN w:val="0"/>
        <w:adjustRightInd w:val="0"/>
        <w:spacing w:before="240" w:after="240" w:line="360" w:lineRule="auto"/>
        <w:ind w:left="567" w:right="567"/>
        <w:jc w:val="both"/>
        <w:rPr>
          <w:rFonts w:ascii="Palatino Linotype" w:hAnsi="Palatino Linotype" w:cs="Arial"/>
          <w:b/>
          <w:i/>
          <w:color w:val="000000" w:themeColor="text1"/>
        </w:rPr>
      </w:pPr>
      <w:r w:rsidRPr="0092243D">
        <w:rPr>
          <w:rFonts w:ascii="Palatino Linotype" w:hAnsi="Palatino Linotype" w:cs="Arial"/>
          <w:b/>
          <w:i/>
          <w:color w:val="000000" w:themeColor="text1"/>
        </w:rPr>
        <w:t>“CRITERIO 0002-11</w:t>
      </w:r>
    </w:p>
    <w:p w:rsidR="00F03D89" w:rsidRPr="0092243D" w:rsidRDefault="00F03D89" w:rsidP="00F03D89">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2243D">
        <w:rPr>
          <w:rFonts w:ascii="Palatino Linotype" w:hAnsi="Palatino Linotype" w:cs="Arial"/>
          <w:b/>
          <w:i/>
          <w:color w:val="000000" w:themeColor="text1"/>
        </w:rPr>
        <w:t xml:space="preserve">INFORMACIÓN PÚBLICA, CONCEPTO DE, EN MATERIA DE TRANSPARENCIA. INTERPRETACIÓN TEMÁTICA DE LOS ARTÍCULOS 2, FRACCIÓN </w:t>
      </w:r>
      <w:r w:rsidRPr="0092243D">
        <w:rPr>
          <w:rFonts w:ascii="Palatino Linotype" w:hAnsi="Palatino Linotype" w:cs="Arial"/>
          <w:b/>
          <w:bCs/>
          <w:i/>
          <w:color w:val="000000" w:themeColor="text1"/>
        </w:rPr>
        <w:t xml:space="preserve">V, XV, Y XVI, </w:t>
      </w:r>
      <w:r w:rsidRPr="0092243D">
        <w:rPr>
          <w:rFonts w:ascii="Palatino Linotype" w:hAnsi="Palatino Linotype" w:cs="Arial"/>
          <w:b/>
          <w:i/>
          <w:color w:val="000000" w:themeColor="text1"/>
        </w:rPr>
        <w:t>32, 4,11 Y 41.</w:t>
      </w:r>
      <w:r w:rsidRPr="0092243D">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92243D">
        <w:rPr>
          <w:rFonts w:ascii="Palatino Linotype" w:hAnsi="Palatino Linotype" w:cs="Arial"/>
          <w:i/>
          <w:color w:val="000000" w:themeColor="text1"/>
        </w:rPr>
        <w:lastRenderedPageBreak/>
        <w:t>órganos u organismos públicos, en virtud del ejercicio de sus funciones de derecho público, sin importar su fuente, soporte o fecha de elaboración.</w:t>
      </w:r>
    </w:p>
    <w:p w:rsidR="00F03D89" w:rsidRPr="0092243D" w:rsidRDefault="00F03D89" w:rsidP="00F03D89">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2243D">
        <w:rPr>
          <w:rFonts w:ascii="Palatino Linotype" w:hAnsi="Palatino Linotype" w:cs="Arial"/>
          <w:i/>
          <w:color w:val="000000" w:themeColor="text1"/>
        </w:rPr>
        <w:t>En consecuencia el acceso a la información se refiere a que se cumplan cualquiera de los siguientes tres supuestos:</w:t>
      </w:r>
    </w:p>
    <w:p w:rsidR="00F03D89" w:rsidRPr="0092243D" w:rsidRDefault="00F03D89" w:rsidP="00F03D89">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2243D">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F03D89" w:rsidRPr="0092243D" w:rsidRDefault="00F03D89" w:rsidP="00F03D89">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2243D">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F03D89" w:rsidRPr="0092243D" w:rsidRDefault="00F03D89" w:rsidP="00F03D89">
      <w:pPr>
        <w:autoSpaceDE w:val="0"/>
        <w:autoSpaceDN w:val="0"/>
        <w:adjustRightInd w:val="0"/>
        <w:spacing w:line="360" w:lineRule="auto"/>
        <w:ind w:left="567" w:right="567"/>
        <w:jc w:val="both"/>
        <w:rPr>
          <w:rFonts w:ascii="Palatino Linotype" w:hAnsi="Palatino Linotype" w:cs="Arial"/>
          <w:i/>
          <w:color w:val="000000" w:themeColor="text1"/>
        </w:rPr>
      </w:pPr>
      <w:r w:rsidRPr="0092243D">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F03D89" w:rsidRPr="0092243D" w:rsidRDefault="00F03D89" w:rsidP="00F03D89">
      <w:pPr>
        <w:autoSpaceDE w:val="0"/>
        <w:autoSpaceDN w:val="0"/>
        <w:adjustRightInd w:val="0"/>
        <w:spacing w:line="360" w:lineRule="auto"/>
        <w:ind w:left="567" w:right="567"/>
        <w:jc w:val="both"/>
        <w:rPr>
          <w:rFonts w:ascii="Palatino Linotype" w:hAnsi="Palatino Linotype" w:cs="Arial"/>
          <w:i/>
          <w:color w:val="000000" w:themeColor="text1"/>
        </w:rPr>
      </w:pPr>
    </w:p>
    <w:p w:rsidR="00F03D89" w:rsidRPr="0092243D" w:rsidRDefault="00F03D89" w:rsidP="00F03D89">
      <w:pPr>
        <w:numPr>
          <w:ilvl w:val="0"/>
          <w:numId w:val="15"/>
        </w:numPr>
        <w:spacing w:line="360" w:lineRule="auto"/>
        <w:ind w:left="0" w:firstLine="0"/>
        <w:contextualSpacing/>
        <w:jc w:val="both"/>
        <w:rPr>
          <w:rFonts w:ascii="Palatino Linotype" w:hAnsi="Palatino Linotype"/>
          <w:color w:val="000000" w:themeColor="text1"/>
        </w:rPr>
      </w:pPr>
      <w:r w:rsidRPr="0092243D">
        <w:rPr>
          <w:rFonts w:ascii="Palatino Linotype" w:hAnsi="Palatino Linotype" w:cs="Arial"/>
          <w:color w:val="000000" w:themeColor="text1"/>
        </w:rPr>
        <w:t xml:space="preserve">De </w:t>
      </w:r>
      <w:r w:rsidRPr="0092243D">
        <w:rPr>
          <w:rFonts w:ascii="Palatino Linotype" w:hAnsi="Palatino Linotype" w:cs="Arial"/>
          <w:color w:val="000000" w:themeColor="text1"/>
          <w:lang w:eastAsia="es-MX"/>
        </w:rPr>
        <w:t>lo</w:t>
      </w:r>
      <w:r w:rsidRPr="0092243D">
        <w:rPr>
          <w:rFonts w:ascii="Palatino Linotype" w:hAnsi="Palatino Linotype" w:cs="Arial"/>
          <w:color w:val="000000" w:themeColor="text1"/>
        </w:rPr>
        <w:t xml:space="preserve"> anterior, se puede concluir que la distinción entre el derecho de petición y el </w:t>
      </w:r>
      <w:r w:rsidRPr="0092243D">
        <w:rPr>
          <w:rFonts w:ascii="Palatino Linotype" w:hAnsi="Palatino Linotype" w:cs="Arial"/>
          <w:color w:val="000000" w:themeColor="text1"/>
          <w:lang w:eastAsia="es-MX"/>
        </w:rPr>
        <w:t>derecho</w:t>
      </w:r>
      <w:r w:rsidRPr="0092243D">
        <w:rPr>
          <w:rFonts w:ascii="Palatino Linotype" w:hAnsi="Palatino Linotype" w:cs="Arial"/>
          <w:color w:val="000000" w:themeColor="text1"/>
        </w:rPr>
        <w:t xml:space="preserve"> de acceso a la información estriba, principalmente, en que en el primero de ellos </w:t>
      </w:r>
      <w:r w:rsidRPr="0092243D">
        <w:rPr>
          <w:rFonts w:ascii="Palatino Linotype" w:hAnsi="Palatino Linotype" w:cs="Arial"/>
          <w:color w:val="000000" w:themeColor="text1"/>
          <w:lang w:eastAsia="es-MX"/>
        </w:rPr>
        <w:t xml:space="preserve">la pretensión del peticionario consiste generalmente en obligar a la autoridad responsable a que </w:t>
      </w:r>
      <w:r w:rsidRPr="0092243D">
        <w:rPr>
          <w:rFonts w:ascii="Palatino Linotype" w:hAnsi="Palatino Linotype" w:cs="Arial"/>
          <w:b/>
          <w:color w:val="000000" w:themeColor="text1"/>
          <w:u w:val="single"/>
          <w:lang w:eastAsia="es-MX"/>
        </w:rPr>
        <w:t>actúe en el sentido de contestar lo solicitado</w:t>
      </w:r>
      <w:r w:rsidRPr="0092243D">
        <w:rPr>
          <w:rFonts w:ascii="Palatino Linotype" w:hAnsi="Palatino Linotype" w:cs="Arial"/>
          <w:color w:val="000000" w:themeColor="text1"/>
          <w:lang w:eastAsia="es-MX"/>
        </w:rPr>
        <w:t xml:space="preserve">; mientras que en el </w:t>
      </w:r>
      <w:r w:rsidRPr="0092243D">
        <w:rPr>
          <w:rFonts w:ascii="Palatino Linotype" w:hAnsi="Palatino Linotype" w:cs="Arial"/>
          <w:bCs/>
          <w:color w:val="000000" w:themeColor="text1"/>
          <w:lang w:eastAsia="es-CO"/>
        </w:rPr>
        <w:t>segundo supuesto, la petición se encamina primordialmente a</w:t>
      </w:r>
      <w:r w:rsidRPr="0092243D">
        <w:rPr>
          <w:rFonts w:ascii="Palatino Linotype" w:hAnsi="Palatino Linotype" w:cs="Arial"/>
          <w:color w:val="000000" w:themeColor="text1"/>
        </w:rPr>
        <w:t xml:space="preserve"> permitir el </w:t>
      </w:r>
      <w:r w:rsidRPr="0092243D">
        <w:rPr>
          <w:rFonts w:ascii="Palatino Linotype" w:hAnsi="Palatino Linotype" w:cs="Arial"/>
          <w:color w:val="000000" w:themeColor="text1"/>
          <w:lang w:eastAsia="es-CO"/>
        </w:rPr>
        <w:t xml:space="preserve">acceso a datos, registros y todo tipo de información pública </w:t>
      </w:r>
      <w:r w:rsidRPr="0092243D">
        <w:rPr>
          <w:rFonts w:ascii="Palatino Linotype" w:hAnsi="Palatino Linotype" w:cs="Arial"/>
          <w:b/>
          <w:color w:val="000000" w:themeColor="text1"/>
          <w:lang w:eastAsia="es-CO"/>
        </w:rPr>
        <w:t>que conste en documentos</w:t>
      </w:r>
      <w:r w:rsidRPr="0092243D">
        <w:rPr>
          <w:rFonts w:ascii="Palatino Linotype" w:hAnsi="Palatino Linotype" w:cs="Arial"/>
          <w:color w:val="000000" w:themeColor="text1"/>
          <w:lang w:eastAsia="es-CO"/>
        </w:rPr>
        <w:t xml:space="preserve">, sea generada o se encuentre en posesión de </w:t>
      </w:r>
      <w:r w:rsidR="00C70E5B" w:rsidRPr="0092243D">
        <w:rPr>
          <w:rFonts w:ascii="Palatino Linotype" w:hAnsi="Palatino Linotype" w:cs="Arial"/>
          <w:color w:val="000000" w:themeColor="text1"/>
        </w:rPr>
        <w:t>la autoridad.</w:t>
      </w:r>
    </w:p>
    <w:p w:rsidR="00C70E5B" w:rsidRPr="0092243D" w:rsidRDefault="00C70E5B" w:rsidP="00C70E5B">
      <w:pPr>
        <w:spacing w:line="360" w:lineRule="auto"/>
        <w:contextualSpacing/>
        <w:jc w:val="both"/>
        <w:rPr>
          <w:rFonts w:ascii="Palatino Linotype" w:hAnsi="Palatino Linotype"/>
          <w:color w:val="000000" w:themeColor="text1"/>
        </w:rPr>
      </w:pPr>
    </w:p>
    <w:p w:rsidR="00E069C1" w:rsidRPr="0092243D" w:rsidRDefault="00E069C1" w:rsidP="00E75651">
      <w:pPr>
        <w:numPr>
          <w:ilvl w:val="0"/>
          <w:numId w:val="15"/>
        </w:numPr>
        <w:spacing w:line="360" w:lineRule="auto"/>
        <w:ind w:left="0" w:firstLine="0"/>
        <w:contextualSpacing/>
        <w:jc w:val="both"/>
        <w:rPr>
          <w:rFonts w:ascii="Palatino Linotype" w:hAnsi="Palatino Linotype" w:cs="Arial"/>
          <w:color w:val="000000" w:themeColor="text1"/>
        </w:rPr>
      </w:pPr>
      <w:r w:rsidRPr="0092243D">
        <w:rPr>
          <w:rFonts w:ascii="Palatino Linotype" w:hAnsi="Palatino Linotype" w:cs="Arial"/>
          <w:color w:val="000000" w:themeColor="text1"/>
        </w:rPr>
        <w:t xml:space="preserve">Por otro lado, de la respuesta se desprende que el </w:t>
      </w:r>
      <w:r w:rsidRPr="0092243D">
        <w:rPr>
          <w:rFonts w:ascii="Palatino Linotype" w:hAnsi="Palatino Linotype" w:cs="Arial"/>
          <w:b/>
          <w:color w:val="000000" w:themeColor="text1"/>
        </w:rPr>
        <w:t>SUJETO OBLIGADO</w:t>
      </w:r>
      <w:r w:rsidRPr="0092243D">
        <w:rPr>
          <w:rFonts w:ascii="Palatino Linotype" w:hAnsi="Palatino Linotype" w:cs="Arial"/>
          <w:color w:val="000000" w:themeColor="text1"/>
        </w:rPr>
        <w:t xml:space="preserve"> realiza un</w:t>
      </w:r>
      <w:r w:rsidR="009E61CA" w:rsidRPr="0092243D">
        <w:rPr>
          <w:rFonts w:ascii="Palatino Linotype" w:hAnsi="Palatino Linotype" w:cs="Arial"/>
          <w:color w:val="000000" w:themeColor="text1"/>
        </w:rPr>
        <w:t xml:space="preserve"> pretendido</w:t>
      </w:r>
      <w:r w:rsidRPr="0092243D">
        <w:rPr>
          <w:rFonts w:ascii="Palatino Linotype" w:hAnsi="Palatino Linotype" w:cs="Arial"/>
          <w:color w:val="000000" w:themeColor="text1"/>
        </w:rPr>
        <w:t xml:space="preserve"> cambio de modalidad de entrega de la información a consulta </w:t>
      </w:r>
      <w:r w:rsidRPr="0092243D">
        <w:rPr>
          <w:rFonts w:ascii="Palatino Linotype" w:hAnsi="Palatino Linotype" w:cs="Arial"/>
          <w:color w:val="000000" w:themeColor="text1"/>
        </w:rPr>
        <w:lastRenderedPageBreak/>
        <w:t>directa</w:t>
      </w:r>
      <w:r w:rsidR="009B0D6B" w:rsidRPr="0092243D">
        <w:rPr>
          <w:rFonts w:ascii="Palatino Linotype" w:hAnsi="Palatino Linotype" w:cs="Arial"/>
          <w:color w:val="000000" w:themeColor="text1"/>
        </w:rPr>
        <w:t xml:space="preserve"> (</w:t>
      </w:r>
      <w:r w:rsidR="009B0D6B" w:rsidRPr="0092243D">
        <w:rPr>
          <w:rFonts w:ascii="Palatino Linotype" w:hAnsi="Palatino Linotype" w:cs="Arial"/>
          <w:b/>
          <w:i/>
          <w:color w:val="000000" w:themeColor="text1"/>
        </w:rPr>
        <w:t>In situ</w:t>
      </w:r>
      <w:r w:rsidR="009B0D6B" w:rsidRPr="0092243D">
        <w:rPr>
          <w:rFonts w:ascii="Palatino Linotype" w:hAnsi="Palatino Linotype" w:cs="Arial"/>
          <w:color w:val="000000" w:themeColor="text1"/>
        </w:rPr>
        <w:t>)</w:t>
      </w:r>
      <w:r w:rsidRPr="0092243D">
        <w:rPr>
          <w:rFonts w:ascii="Palatino Linotype" w:hAnsi="Palatino Linotype" w:cs="Arial"/>
          <w:color w:val="000000" w:themeColor="text1"/>
        </w:rPr>
        <w:t>, al realizar una invitación al particula</w:t>
      </w:r>
      <w:r w:rsidR="0068269C" w:rsidRPr="0092243D">
        <w:rPr>
          <w:rFonts w:ascii="Palatino Linotype" w:hAnsi="Palatino Linotype" w:cs="Arial"/>
          <w:color w:val="000000" w:themeColor="text1"/>
        </w:rPr>
        <w:t>r a</w:t>
      </w:r>
      <w:r w:rsidRPr="0092243D">
        <w:rPr>
          <w:rFonts w:ascii="Palatino Linotype" w:hAnsi="Palatino Linotype" w:cs="Arial"/>
          <w:color w:val="000000" w:themeColor="text1"/>
        </w:rPr>
        <w:t xml:space="preserve"> las oficinas que ocupan el área de catastro, cambio de modalidad que a todas luces resulta improcedente en virtud de que carece de los requisitos mínimos que establece la normatividad aplicable y consecuentemente de</w:t>
      </w:r>
      <w:r w:rsidRPr="0092243D">
        <w:rPr>
          <w:rFonts w:ascii="Palatino Linotype" w:hAnsi="Palatino Linotype" w:cs="Arial"/>
        </w:rPr>
        <w:t xml:space="preserve"> la fundamentación y motivación consiste en la obligación que tiene todo </w:t>
      </w:r>
      <w:r w:rsidRPr="0092243D">
        <w:rPr>
          <w:rFonts w:ascii="Palatino Linotype" w:hAnsi="Palatino Linotype"/>
        </w:rPr>
        <w:t>ente</w:t>
      </w:r>
      <w:r w:rsidRPr="0092243D">
        <w:rPr>
          <w:rFonts w:ascii="Palatino Linotype" w:hAnsi="Palatino Linotype" w:cs="Arial"/>
        </w:rPr>
        <w:t xml:space="preserve"> público de expresar los preceptos jurídicos aplicables al asunto motivo del acto y las razones o argumentos de su actuar.</w:t>
      </w:r>
    </w:p>
    <w:p w:rsidR="00E069C1" w:rsidRPr="0092243D" w:rsidRDefault="00E069C1" w:rsidP="00E069C1">
      <w:pPr>
        <w:pStyle w:val="Prrafodelista"/>
        <w:rPr>
          <w:rFonts w:ascii="Palatino Linotype" w:hAnsi="Palatino Linotype"/>
          <w:color w:val="000000"/>
        </w:rPr>
      </w:pPr>
    </w:p>
    <w:p w:rsidR="00E75651" w:rsidRPr="0092243D" w:rsidRDefault="00E069C1" w:rsidP="00E75651">
      <w:pPr>
        <w:numPr>
          <w:ilvl w:val="0"/>
          <w:numId w:val="15"/>
        </w:numPr>
        <w:spacing w:line="360" w:lineRule="auto"/>
        <w:ind w:left="0" w:firstLine="0"/>
        <w:contextualSpacing/>
        <w:jc w:val="both"/>
        <w:rPr>
          <w:rFonts w:ascii="Palatino Linotype" w:hAnsi="Palatino Linotype" w:cs="Arial"/>
          <w:color w:val="000000" w:themeColor="text1"/>
        </w:rPr>
      </w:pPr>
      <w:r w:rsidRPr="0092243D">
        <w:rPr>
          <w:rFonts w:ascii="Palatino Linotype" w:hAnsi="Palatino Linotype"/>
          <w:color w:val="000000"/>
        </w:rPr>
        <w:t>No obstante lo anterior</w:t>
      </w:r>
      <w:r w:rsidR="00F03D89" w:rsidRPr="0092243D">
        <w:rPr>
          <w:rFonts w:ascii="Palatino Linotype" w:hAnsi="Palatino Linotype"/>
          <w:color w:val="000000"/>
        </w:rPr>
        <w:t xml:space="preserve">, </w:t>
      </w:r>
      <w:r w:rsidR="0068269C" w:rsidRPr="0092243D">
        <w:rPr>
          <w:rFonts w:ascii="Palatino Linotype" w:hAnsi="Palatino Linotype"/>
          <w:color w:val="000000"/>
        </w:rPr>
        <w:t xml:space="preserve">se omite un análisis pormenorizado al respecto, ya que </w:t>
      </w:r>
      <w:r w:rsidR="00F03D89" w:rsidRPr="0092243D">
        <w:rPr>
          <w:rFonts w:ascii="Palatino Linotype" w:hAnsi="Palatino Linotype"/>
          <w:color w:val="000000"/>
        </w:rPr>
        <w:t xml:space="preserve">como se advierte de las constancias que obran en el expediente electrónico en que se actúa, se </w:t>
      </w:r>
      <w:r w:rsidR="009B0D6B" w:rsidRPr="0092243D">
        <w:rPr>
          <w:rFonts w:ascii="Palatino Linotype" w:hAnsi="Palatino Linotype"/>
          <w:color w:val="000000"/>
        </w:rPr>
        <w:t xml:space="preserve">observa </w:t>
      </w:r>
      <w:r w:rsidR="00F03D89" w:rsidRPr="0092243D">
        <w:rPr>
          <w:rFonts w:ascii="Palatino Linotype" w:hAnsi="Palatino Linotype"/>
          <w:color w:val="000000"/>
        </w:rPr>
        <w:t xml:space="preserve">con claridad que </w:t>
      </w:r>
      <w:r w:rsidR="009B0D6B" w:rsidRPr="0092243D">
        <w:rPr>
          <w:rFonts w:ascii="Palatino Linotype" w:hAnsi="Palatino Linotype"/>
          <w:color w:val="000000"/>
        </w:rPr>
        <w:t xml:space="preserve">los agravios planteados no guardan relación con la respuesta emitida, pues </w:t>
      </w:r>
      <w:r w:rsidR="0068269C" w:rsidRPr="0092243D">
        <w:rPr>
          <w:rFonts w:ascii="Palatino Linotype" w:hAnsi="Palatino Linotype"/>
          <w:color w:val="000000"/>
        </w:rPr>
        <w:t>la inconformidad versa en una pretendida</w:t>
      </w:r>
      <w:r w:rsidR="00F03D89" w:rsidRPr="0092243D">
        <w:rPr>
          <w:rFonts w:ascii="Palatino Linotype" w:hAnsi="Palatino Linotype"/>
          <w:color w:val="000000"/>
        </w:rPr>
        <w:t xml:space="preserve"> declinación de competencia, </w:t>
      </w:r>
      <w:r w:rsidR="0068269C" w:rsidRPr="0092243D">
        <w:rPr>
          <w:rFonts w:ascii="Palatino Linotype" w:hAnsi="Palatino Linotype"/>
          <w:color w:val="000000"/>
        </w:rPr>
        <w:t>la cual</w:t>
      </w:r>
      <w:r w:rsidR="00E75651" w:rsidRPr="0092243D">
        <w:rPr>
          <w:rFonts w:ascii="Palatino Linotype" w:hAnsi="Palatino Linotype"/>
          <w:color w:val="000000"/>
        </w:rPr>
        <w:t xml:space="preserve"> c</w:t>
      </w:r>
      <w:r w:rsidR="00E75651" w:rsidRPr="0092243D">
        <w:rPr>
          <w:rFonts w:ascii="Palatino Linotype" w:hAnsi="Palatino Linotype" w:cs="Arial"/>
          <w:color w:val="000000" w:themeColor="text1"/>
        </w:rPr>
        <w:t>omo ha quedado demostrado</w:t>
      </w:r>
      <w:r w:rsidR="0068269C" w:rsidRPr="0092243D">
        <w:rPr>
          <w:rFonts w:ascii="Palatino Linotype" w:hAnsi="Palatino Linotype" w:cs="Arial"/>
          <w:color w:val="000000" w:themeColor="text1"/>
        </w:rPr>
        <w:t>,</w:t>
      </w:r>
      <w:r w:rsidR="00E75651" w:rsidRPr="0092243D">
        <w:rPr>
          <w:rFonts w:ascii="Palatino Linotype" w:hAnsi="Palatino Linotype" w:cs="Arial"/>
          <w:color w:val="000000" w:themeColor="text1"/>
        </w:rPr>
        <w:t xml:space="preserve"> la respuesta del </w:t>
      </w:r>
      <w:r w:rsidR="00E75651" w:rsidRPr="0092243D">
        <w:rPr>
          <w:rFonts w:ascii="Palatino Linotype" w:hAnsi="Palatino Linotype" w:cs="Arial"/>
          <w:b/>
          <w:color w:val="000000" w:themeColor="text1"/>
        </w:rPr>
        <w:t>SUJETO OBLIGADO,</w:t>
      </w:r>
      <w:r w:rsidR="00E75651" w:rsidRPr="0092243D">
        <w:rPr>
          <w:rFonts w:ascii="Palatino Linotype" w:hAnsi="Palatino Linotype" w:cs="Arial"/>
          <w:color w:val="000000" w:themeColor="text1"/>
        </w:rPr>
        <w:t xml:space="preserve"> fue encaminada en un sentido diverso, a lo planteado por el hoy </w:t>
      </w:r>
      <w:r w:rsidR="00E75651" w:rsidRPr="0092243D">
        <w:rPr>
          <w:rFonts w:ascii="Palatino Linotype" w:hAnsi="Palatino Linotype" w:cs="Arial"/>
          <w:b/>
          <w:color w:val="000000" w:themeColor="text1"/>
        </w:rPr>
        <w:t>RECURRENTE</w:t>
      </w:r>
      <w:r w:rsidR="00E75651" w:rsidRPr="0092243D">
        <w:rPr>
          <w:rFonts w:ascii="Palatino Linotype" w:hAnsi="Palatino Linotype" w:cs="Arial"/>
          <w:color w:val="000000" w:themeColor="text1"/>
        </w:rPr>
        <w:t xml:space="preserve">¸ </w:t>
      </w:r>
      <w:r w:rsidR="00814271" w:rsidRPr="0092243D">
        <w:rPr>
          <w:rFonts w:ascii="Palatino Linotype" w:hAnsi="Palatino Linotype" w:cs="Arial"/>
          <w:color w:val="000000" w:themeColor="text1"/>
        </w:rPr>
        <w:t>quien</w:t>
      </w:r>
      <w:r w:rsidR="00814271" w:rsidRPr="0092243D">
        <w:rPr>
          <w:rFonts w:ascii="Palatino Linotype" w:hAnsi="Palatino Linotype" w:cs="Arial"/>
          <w:b/>
          <w:color w:val="000000" w:themeColor="text1"/>
        </w:rPr>
        <w:t xml:space="preserve"> </w:t>
      </w:r>
      <w:r w:rsidR="00E75651" w:rsidRPr="0092243D">
        <w:rPr>
          <w:rFonts w:ascii="Palatino Linotype" w:hAnsi="Palatino Linotype" w:cs="Arial"/>
          <w:color w:val="000000" w:themeColor="text1"/>
        </w:rPr>
        <w:t>invoc</w:t>
      </w:r>
      <w:r w:rsidR="00814271" w:rsidRPr="0092243D">
        <w:rPr>
          <w:rFonts w:ascii="Palatino Linotype" w:hAnsi="Palatino Linotype" w:cs="Arial"/>
          <w:color w:val="000000" w:themeColor="text1"/>
        </w:rPr>
        <w:t>ó</w:t>
      </w:r>
      <w:r w:rsidR="00E75651" w:rsidRPr="0092243D">
        <w:rPr>
          <w:rFonts w:ascii="Palatino Linotype" w:hAnsi="Palatino Linotype" w:cs="Arial"/>
          <w:color w:val="000000" w:themeColor="text1"/>
        </w:rPr>
        <w:t xml:space="preserve"> como agravio de manera textual: “</w:t>
      </w:r>
      <w:r w:rsidR="00E75651" w:rsidRPr="0092243D">
        <w:rPr>
          <w:rFonts w:ascii="Palatino Linotype" w:hAnsi="Palatino Linotype" w:cs="Arial"/>
          <w:i/>
          <w:color w:val="000000" w:themeColor="text1"/>
        </w:rPr>
        <w:t>Impugno la absurda respuesta por parte de la unidad administrativa, a mi no me interesa si son competentes o no, la unidad de transparencia tiene la obligación de turnar las solicitudes a todas las áreas que pudieran detentar la información y en caso de que un área declare la no competencia tiene la obligación de señalar que área es la encargada de dar atención, por lo tanto la unidad administrativa debe canalizar la solicitud a esa área competente a efecto de dar respuesta, por lo tanto impugno la respuesta emitida en virtud de que no guarda ninguna relación con la solicitud.”</w:t>
      </w:r>
    </w:p>
    <w:p w:rsidR="00E75651" w:rsidRPr="0092243D" w:rsidRDefault="00E75651" w:rsidP="00E75651">
      <w:pPr>
        <w:pStyle w:val="Prrafodelista"/>
        <w:rPr>
          <w:rFonts w:ascii="Palatino Linotype" w:hAnsi="Palatino Linotype" w:cs="Arial"/>
          <w:color w:val="000000" w:themeColor="text1"/>
          <w:lang w:eastAsia="es-MX"/>
        </w:rPr>
      </w:pPr>
    </w:p>
    <w:p w:rsidR="00345F0A" w:rsidRPr="0092243D" w:rsidRDefault="009E61CA" w:rsidP="00C70E5B">
      <w:pPr>
        <w:pStyle w:val="Prrafodelista"/>
        <w:numPr>
          <w:ilvl w:val="0"/>
          <w:numId w:val="15"/>
        </w:numPr>
        <w:spacing w:line="360" w:lineRule="auto"/>
        <w:ind w:left="0" w:firstLine="0"/>
        <w:jc w:val="both"/>
        <w:rPr>
          <w:rFonts w:ascii="Palatino Linotype" w:hAnsi="Palatino Linotype" w:cs="Arial"/>
        </w:rPr>
      </w:pPr>
      <w:r w:rsidRPr="0092243D">
        <w:rPr>
          <w:rFonts w:ascii="Palatino Linotype" w:hAnsi="Palatino Linotype" w:cs="Arial"/>
        </w:rPr>
        <w:t>No obstante p</w:t>
      </w:r>
      <w:r w:rsidR="00345F0A" w:rsidRPr="0092243D">
        <w:rPr>
          <w:rFonts w:ascii="Palatino Linotype" w:hAnsi="Palatino Linotype" w:cs="Arial"/>
        </w:rPr>
        <w:t xml:space="preserve">or otro lado, se señaló que </w:t>
      </w:r>
      <w:r w:rsidRPr="0092243D">
        <w:rPr>
          <w:rFonts w:ascii="Palatino Linotype" w:hAnsi="Palatino Linotype" w:cs="Arial"/>
        </w:rPr>
        <w:t xml:space="preserve">a consideración del recurrente </w:t>
      </w:r>
      <w:r w:rsidR="00345F0A" w:rsidRPr="0092243D">
        <w:rPr>
          <w:rFonts w:ascii="Palatino Linotype" w:hAnsi="Palatino Linotype" w:cs="Arial"/>
        </w:rPr>
        <w:t xml:space="preserve">existió una omisión por parte del Titular de la Unidad de Transparencia, por no turnar la solicitud de información ante las unidades administrativas que de acuerdo a sus </w:t>
      </w:r>
      <w:r w:rsidR="00345F0A" w:rsidRPr="0092243D">
        <w:rPr>
          <w:rFonts w:ascii="Palatino Linotype" w:hAnsi="Palatino Linotype" w:cs="Arial"/>
        </w:rPr>
        <w:lastRenderedPageBreak/>
        <w:t>facultades y atribuciones eventualmente generen, posean o administren la información de referencia.</w:t>
      </w:r>
    </w:p>
    <w:p w:rsidR="00345F0A" w:rsidRPr="0092243D" w:rsidRDefault="00345F0A" w:rsidP="00345F0A">
      <w:pPr>
        <w:pStyle w:val="Prrafodelista"/>
        <w:spacing w:line="360" w:lineRule="auto"/>
        <w:ind w:left="0"/>
        <w:jc w:val="both"/>
        <w:rPr>
          <w:rFonts w:ascii="Palatino Linotype" w:hAnsi="Palatino Linotype" w:cs="Arial"/>
        </w:rPr>
      </w:pPr>
    </w:p>
    <w:p w:rsidR="00345F0A" w:rsidRPr="0092243D" w:rsidRDefault="00345F0A" w:rsidP="00345F0A">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92243D">
        <w:rPr>
          <w:rFonts w:ascii="Palatino Linotype" w:hAnsi="Palatino Linotype"/>
          <w:color w:val="000000"/>
        </w:rPr>
        <w:t xml:space="preserve">Del caso concreto, </w:t>
      </w:r>
      <w:r w:rsidRPr="0092243D">
        <w:rPr>
          <w:rFonts w:ascii="Palatino Linotype" w:eastAsia="Palatino Linotype" w:hAnsi="Palatino Linotype" w:cs="Palatino Linotype"/>
          <w:color w:val="000000"/>
        </w:rPr>
        <w:t>se advierte</w:t>
      </w:r>
      <w:r w:rsidR="003E5390" w:rsidRPr="0092243D">
        <w:rPr>
          <w:rFonts w:ascii="Palatino Linotype" w:eastAsia="Palatino Linotype" w:hAnsi="Palatino Linotype" w:cs="Palatino Linotype"/>
          <w:color w:val="000000"/>
        </w:rPr>
        <w:t xml:space="preserve"> que resulta parcialmente fundado el motivo de inconformidad de que no</w:t>
      </w:r>
      <w:r w:rsidRPr="0092243D">
        <w:rPr>
          <w:rFonts w:ascii="Palatino Linotype" w:eastAsia="Palatino Linotype" w:hAnsi="Palatino Linotype" w:cs="Palatino Linotype"/>
          <w:color w:val="000000"/>
        </w:rPr>
        <w:t xml:space="preserve"> se otorgó el debido tratamiento de atención a la solicitud de información que nos ocupa, toda vez que se insiste, la tarea primordial del Titular, es la de turnar la solicitud a los servidores públicos habilitados competentes y poner a disposición de los solic</w:t>
      </w:r>
      <w:r w:rsidR="003E5390" w:rsidRPr="0092243D">
        <w:rPr>
          <w:rFonts w:ascii="Palatino Linotype" w:eastAsia="Palatino Linotype" w:hAnsi="Palatino Linotype" w:cs="Palatino Linotype"/>
          <w:color w:val="000000"/>
        </w:rPr>
        <w:t>itantes las respuestas emitidas, hecho que en el presente caso</w:t>
      </w:r>
      <w:r w:rsidR="009E61CA" w:rsidRPr="0092243D">
        <w:rPr>
          <w:rFonts w:ascii="Palatino Linotype" w:eastAsia="Palatino Linotype" w:hAnsi="Palatino Linotype" w:cs="Palatino Linotype"/>
          <w:color w:val="000000"/>
        </w:rPr>
        <w:t>,</w:t>
      </w:r>
      <w:r w:rsidR="003E5390" w:rsidRPr="0092243D">
        <w:rPr>
          <w:rFonts w:ascii="Palatino Linotype" w:eastAsia="Palatino Linotype" w:hAnsi="Palatino Linotype" w:cs="Palatino Linotype"/>
          <w:color w:val="000000"/>
        </w:rPr>
        <w:t>si ocurrió</w:t>
      </w:r>
    </w:p>
    <w:p w:rsidR="00345F0A" w:rsidRPr="0092243D" w:rsidRDefault="00345F0A" w:rsidP="00345F0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345F0A" w:rsidRPr="0092243D" w:rsidRDefault="00345F0A" w:rsidP="00345F0A">
      <w:pPr>
        <w:numPr>
          <w:ilvl w:val="0"/>
          <w:numId w:val="15"/>
        </w:numPr>
        <w:spacing w:line="360" w:lineRule="auto"/>
        <w:ind w:left="0" w:firstLine="0"/>
        <w:contextualSpacing/>
        <w:jc w:val="both"/>
        <w:rPr>
          <w:rFonts w:ascii="Palatino Linotype" w:eastAsia="MS Mincho" w:hAnsi="Palatino Linotype" w:cs="Arial"/>
        </w:rPr>
      </w:pPr>
      <w:r w:rsidRPr="0092243D">
        <w:rPr>
          <w:rFonts w:ascii="Palatino Linotype" w:eastAsia="MS Mincho" w:hAnsi="Palatino Linotype" w:cs="Arial"/>
        </w:rPr>
        <w:t xml:space="preserve">Al respecto, el procedimiento de acceso a la información pública, descrito en el Título </w:t>
      </w:r>
      <w:r w:rsidRPr="0092243D">
        <w:rPr>
          <w:rFonts w:ascii="Palatino Linotype" w:eastAsia="Palatino Linotype" w:hAnsi="Palatino Linotype" w:cs="Palatino Linotype"/>
          <w:color w:val="000000"/>
        </w:rPr>
        <w:t>Séptimo</w:t>
      </w:r>
      <w:r w:rsidRPr="0092243D">
        <w:rPr>
          <w:rFonts w:ascii="Palatino Linotype" w:eastAsia="MS Mincho" w:hAnsi="Palatino Linotype" w:cs="Arial"/>
        </w:rPr>
        <w:t xml:space="preserve"> de </w:t>
      </w:r>
      <w:r w:rsidRPr="0092243D">
        <w:rPr>
          <w:rFonts w:ascii="Palatino Linotype" w:hAnsi="Palatino Linotype"/>
          <w:color w:val="000000"/>
        </w:rPr>
        <w:t>la</w:t>
      </w:r>
      <w:r w:rsidRPr="0092243D">
        <w:rPr>
          <w:rFonts w:ascii="Palatino Linotype" w:eastAsia="MS Mincho" w:hAnsi="Palatino Linotype" w:cs="Arial"/>
        </w:rPr>
        <w:t xml:space="preserve"> Ley de Transparencia describe los pasos que debe seguir la autoridad para atender las solicitudes que presenten las personas en ejercicio de su derecho, entre los cuales se encuentra el deber de las unidades de transparencia de turnar </w:t>
      </w:r>
      <w:r w:rsidRPr="0092243D">
        <w:rPr>
          <w:rFonts w:ascii="Palatino Linotype" w:eastAsia="MS Mincho" w:hAnsi="Palatino Linotype" w:cs="Arial"/>
          <w:i/>
        </w:rPr>
        <w:t xml:space="preserve">a todas las áreas competentes que cuenten con la información o deban tenerla de acuerdo a sus facultades, competencias y funciones, </w:t>
      </w:r>
      <w:r w:rsidRPr="0092243D">
        <w:rPr>
          <w:rFonts w:ascii="Palatino Linotype" w:eastAsia="MS Mincho" w:hAnsi="Palatino Linotype" w:cs="Arial"/>
          <w:b/>
          <w:i/>
          <w:u w:val="single"/>
        </w:rPr>
        <w:t>con el objeto de que realicen una búsqueda exhaustiva y razonable de la información solicitada</w:t>
      </w:r>
      <w:r w:rsidRPr="0092243D">
        <w:rPr>
          <w:rFonts w:ascii="Palatino Linotype" w:eastAsia="MS Mincho" w:hAnsi="Palatino Linotype" w:cs="Arial"/>
          <w:i/>
        </w:rPr>
        <w:t>,</w:t>
      </w:r>
      <w:r w:rsidRPr="0092243D">
        <w:rPr>
          <w:rFonts w:ascii="Palatino Linotype" w:eastAsia="MS Mincho" w:hAnsi="Palatino Linotype" w:cs="Arial"/>
        </w:rPr>
        <w:t xml:space="preserve"> según se asienta en el artículo 162, a saber:</w:t>
      </w:r>
    </w:p>
    <w:p w:rsidR="00345F0A" w:rsidRPr="0092243D" w:rsidRDefault="00345F0A" w:rsidP="00345F0A">
      <w:pPr>
        <w:spacing w:line="360" w:lineRule="auto"/>
        <w:contextualSpacing/>
        <w:jc w:val="both"/>
        <w:rPr>
          <w:rFonts w:ascii="Palatino Linotype" w:eastAsia="MS Mincho" w:hAnsi="Palatino Linotype" w:cs="Arial"/>
        </w:rPr>
      </w:pPr>
    </w:p>
    <w:p w:rsidR="00345F0A" w:rsidRPr="0092243D" w:rsidRDefault="00345F0A" w:rsidP="00345F0A">
      <w:pPr>
        <w:spacing w:line="360" w:lineRule="auto"/>
        <w:ind w:left="426" w:right="474"/>
        <w:contextualSpacing/>
        <w:jc w:val="both"/>
        <w:rPr>
          <w:rFonts w:ascii="Palatino Linotype" w:eastAsia="MS Mincho" w:hAnsi="Palatino Linotype" w:cs="Arial"/>
          <w:i/>
        </w:rPr>
      </w:pPr>
      <w:r w:rsidRPr="0092243D">
        <w:rPr>
          <w:rFonts w:ascii="Palatino Linotype" w:eastAsia="MS Mincho" w:hAnsi="Palatino Linotype" w:cs="Arial"/>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F08B6" w:rsidRPr="0092243D" w:rsidRDefault="008F08B6" w:rsidP="008F08B6">
      <w:pPr>
        <w:spacing w:line="360" w:lineRule="auto"/>
        <w:ind w:right="474"/>
        <w:contextualSpacing/>
        <w:jc w:val="both"/>
        <w:rPr>
          <w:rFonts w:ascii="Palatino Linotype" w:eastAsia="MS Mincho" w:hAnsi="Palatino Linotype" w:cs="Arial"/>
          <w:i/>
        </w:rPr>
      </w:pPr>
    </w:p>
    <w:p w:rsidR="00345F0A" w:rsidRPr="0092243D" w:rsidRDefault="00345F0A" w:rsidP="00345F0A">
      <w:pPr>
        <w:numPr>
          <w:ilvl w:val="0"/>
          <w:numId w:val="15"/>
        </w:numPr>
        <w:spacing w:line="360" w:lineRule="auto"/>
        <w:ind w:left="0" w:firstLine="0"/>
        <w:contextualSpacing/>
        <w:jc w:val="both"/>
        <w:rPr>
          <w:rFonts w:ascii="Palatino Linotype" w:eastAsia="MS Mincho" w:hAnsi="Palatino Linotype" w:cs="Arial"/>
        </w:rPr>
      </w:pPr>
      <w:r w:rsidRPr="0092243D">
        <w:rPr>
          <w:rFonts w:ascii="Palatino Linotype" w:eastAsia="MS Mincho" w:hAnsi="Palatino Linotype" w:cs="Arial"/>
        </w:rPr>
        <w:lastRenderedPageBreak/>
        <w:t xml:space="preserve">Por </w:t>
      </w:r>
      <w:r w:rsidRPr="0092243D">
        <w:rPr>
          <w:rFonts w:ascii="Palatino Linotype" w:eastAsia="Palatino Linotype" w:hAnsi="Palatino Linotype" w:cs="Palatino Linotype"/>
          <w:color w:val="000000"/>
        </w:rPr>
        <w:t>lo</w:t>
      </w:r>
      <w:r w:rsidRPr="0092243D">
        <w:rPr>
          <w:rFonts w:ascii="Palatino Linotype" w:eastAsia="MS Mincho" w:hAnsi="Palatino Linotype" w:cs="Arial"/>
        </w:rPr>
        <w:t xml:space="preserve">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rsidR="00345F0A" w:rsidRPr="0092243D" w:rsidRDefault="00345F0A" w:rsidP="00345F0A">
      <w:pPr>
        <w:spacing w:line="360" w:lineRule="auto"/>
        <w:jc w:val="both"/>
        <w:rPr>
          <w:rFonts w:ascii="Palatino Linotype" w:eastAsia="MS Mincho" w:hAnsi="Palatino Linotype" w:cs="Arial"/>
        </w:rPr>
      </w:pPr>
    </w:p>
    <w:p w:rsidR="00345F0A" w:rsidRPr="0092243D" w:rsidRDefault="00345F0A" w:rsidP="00345F0A">
      <w:pPr>
        <w:numPr>
          <w:ilvl w:val="0"/>
          <w:numId w:val="15"/>
        </w:numPr>
        <w:spacing w:line="360" w:lineRule="auto"/>
        <w:ind w:left="0" w:firstLine="0"/>
        <w:contextualSpacing/>
        <w:jc w:val="both"/>
        <w:rPr>
          <w:rFonts w:ascii="Palatino Linotype" w:eastAsia="MS Mincho" w:hAnsi="Palatino Linotype" w:cs="Arial"/>
        </w:rPr>
      </w:pPr>
      <w:r w:rsidRPr="0092243D">
        <w:rPr>
          <w:rFonts w:ascii="Palatino Linotype" w:eastAsia="MS Mincho" w:hAnsi="Palatino Linotype" w:cs="Arial"/>
        </w:rPr>
        <w:t xml:space="preserve">En consecuencia, el artículo 162 de la Ley de Transparencia y Acceso a la </w:t>
      </w:r>
      <w:r w:rsidRPr="0092243D">
        <w:rPr>
          <w:rFonts w:ascii="Palatino Linotype" w:eastAsia="Palatino Linotype" w:hAnsi="Palatino Linotype" w:cs="Palatino Linotype"/>
          <w:color w:val="000000"/>
        </w:rPr>
        <w:t>Información</w:t>
      </w:r>
      <w:r w:rsidRPr="0092243D">
        <w:rPr>
          <w:rFonts w:ascii="Palatino Linotype" w:eastAsia="MS Mincho" w:hAnsi="Palatino Linotype" w:cs="Arial"/>
        </w:rPr>
        <w:t xml:space="preserve">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w:t>
      </w:r>
    </w:p>
    <w:p w:rsidR="00345F0A" w:rsidRPr="0092243D" w:rsidRDefault="00345F0A" w:rsidP="00345F0A">
      <w:pPr>
        <w:spacing w:line="360" w:lineRule="auto"/>
        <w:contextualSpacing/>
        <w:jc w:val="both"/>
        <w:rPr>
          <w:rFonts w:ascii="Palatino Linotype" w:eastAsia="MS Mincho" w:hAnsi="Palatino Linotype" w:cs="Arial"/>
        </w:rPr>
      </w:pPr>
    </w:p>
    <w:p w:rsidR="00345F0A" w:rsidRPr="0092243D" w:rsidRDefault="00345F0A" w:rsidP="00345F0A">
      <w:pPr>
        <w:numPr>
          <w:ilvl w:val="0"/>
          <w:numId w:val="15"/>
        </w:numPr>
        <w:spacing w:line="360" w:lineRule="auto"/>
        <w:ind w:left="0" w:firstLine="0"/>
        <w:contextualSpacing/>
        <w:jc w:val="both"/>
        <w:rPr>
          <w:rFonts w:ascii="Palatino Linotype" w:hAnsi="Palatino Linotype"/>
        </w:rPr>
      </w:pPr>
      <w:r w:rsidRPr="0092243D">
        <w:rPr>
          <w:rFonts w:ascii="Palatino Linotype" w:hAnsi="Palatino Linotype"/>
        </w:rPr>
        <w:t xml:space="preserve">El </w:t>
      </w:r>
      <w:r w:rsidRPr="0092243D">
        <w:rPr>
          <w:rFonts w:ascii="Palatino Linotype" w:eastAsia="MS Mincho" w:hAnsi="Palatino Linotype" w:cs="Arial"/>
        </w:rPr>
        <w:t>Titular</w:t>
      </w:r>
      <w:r w:rsidRPr="0092243D">
        <w:rPr>
          <w:rFonts w:ascii="Palatino Linotype" w:hAnsi="Palatino Linotype"/>
        </w:rPr>
        <w:t xml:space="preserve"> de la Unidad de Transparencia tiene la obligación de cumplir con lo que dispone la normatividad aplicable que, en primera instancia implica que solicite a </w:t>
      </w:r>
      <w:r w:rsidRPr="0092243D">
        <w:rPr>
          <w:rFonts w:ascii="Palatino Linotype" w:eastAsia="Palatino Linotype" w:hAnsi="Palatino Linotype" w:cs="Palatino Linotype"/>
          <w:color w:val="000000"/>
        </w:rPr>
        <w:t>todas</w:t>
      </w:r>
      <w:r w:rsidRPr="0092243D">
        <w:rPr>
          <w:rFonts w:ascii="Palatino Linotype" w:hAnsi="Palatino Linotype"/>
        </w:rPr>
        <w:t xml:space="preserve"> las áreas que pudieron haber generado o administrado la información requerida, en ese sentido de la verificación realizada al expediente electrónico integrado en el SAIMEX se aprecia que el Titular de la Unidad de Transparencia no realizó requerimiento a todas las áreas de su estructura orgánica que de acuerdo a sus facultades y atribuciones eventualmente generen, posean o administren la información; tal y como se muestra en la imagen de referencia:</w:t>
      </w:r>
    </w:p>
    <w:p w:rsidR="00345F0A" w:rsidRPr="0092243D" w:rsidRDefault="00345F0A" w:rsidP="00345F0A">
      <w:pPr>
        <w:rPr>
          <w:rFonts w:ascii="Palatino Linotype" w:hAnsi="Palatino Linotype"/>
        </w:rPr>
      </w:pPr>
    </w:p>
    <w:p w:rsidR="00345F0A" w:rsidRPr="0092243D" w:rsidRDefault="003E5390" w:rsidP="00345F0A">
      <w:pPr>
        <w:rPr>
          <w:rFonts w:ascii="Palatino Linotype" w:hAnsi="Palatino Linotype"/>
        </w:rPr>
      </w:pPr>
      <w:r w:rsidRPr="0092243D">
        <w:rPr>
          <w:rFonts w:ascii="Palatino Linotype" w:hAnsi="Palatino Linotype"/>
          <w:noProof/>
          <w:lang w:val="es-MX" w:eastAsia="es-MX"/>
        </w:rPr>
        <w:lastRenderedPageBreak/>
        <w:drawing>
          <wp:inline distT="0" distB="0" distL="0" distR="0">
            <wp:extent cx="5602605" cy="629285"/>
            <wp:effectExtent l="19050" t="19050" r="1714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605" cy="629285"/>
                    </a:xfrm>
                    <a:prstGeom prst="rect">
                      <a:avLst/>
                    </a:prstGeom>
                    <a:noFill/>
                    <a:ln>
                      <a:solidFill>
                        <a:schemeClr val="tx1"/>
                      </a:solidFill>
                    </a:ln>
                  </pic:spPr>
                </pic:pic>
              </a:graphicData>
            </a:graphic>
          </wp:inline>
        </w:drawing>
      </w:r>
    </w:p>
    <w:p w:rsidR="00345F0A" w:rsidRPr="0092243D" w:rsidRDefault="00345F0A" w:rsidP="00345F0A">
      <w:pPr>
        <w:spacing w:line="360" w:lineRule="auto"/>
        <w:contextualSpacing/>
        <w:jc w:val="both"/>
        <w:rPr>
          <w:rFonts w:ascii="Palatino Linotype" w:hAnsi="Palatino Linotype"/>
        </w:rPr>
      </w:pPr>
    </w:p>
    <w:p w:rsidR="00345F0A" w:rsidRPr="0092243D" w:rsidRDefault="003E5390" w:rsidP="00C70E5B">
      <w:pPr>
        <w:pStyle w:val="Prrafodelista"/>
        <w:numPr>
          <w:ilvl w:val="0"/>
          <w:numId w:val="15"/>
        </w:numPr>
        <w:spacing w:line="360" w:lineRule="auto"/>
        <w:ind w:left="0" w:firstLine="0"/>
        <w:jc w:val="both"/>
        <w:rPr>
          <w:rFonts w:ascii="Palatino Linotype" w:hAnsi="Palatino Linotype" w:cs="Arial"/>
        </w:rPr>
      </w:pPr>
      <w:r w:rsidRPr="0092243D">
        <w:rPr>
          <w:rFonts w:ascii="Palatino Linotype" w:hAnsi="Palatino Linotype" w:cs="Arial"/>
        </w:rPr>
        <w:t>Como se aprecia, la solicitud de información fue turnada a la Tesorería Municipal, en virtud de ser el servidor público habilitado el Tesorero Municipal, por estar adscrita a dicha unidad administrativa la Coordinación de Catastro, como se observa:</w:t>
      </w:r>
    </w:p>
    <w:p w:rsidR="003E5390" w:rsidRPr="0092243D" w:rsidRDefault="003E5390" w:rsidP="003E5390">
      <w:pPr>
        <w:pStyle w:val="Prrafodelista"/>
        <w:spacing w:line="360" w:lineRule="auto"/>
        <w:ind w:left="0"/>
        <w:jc w:val="center"/>
        <w:rPr>
          <w:rFonts w:ascii="Palatino Linotype" w:hAnsi="Palatino Linotype" w:cs="Arial"/>
        </w:rPr>
      </w:pPr>
      <w:r w:rsidRPr="0092243D">
        <w:rPr>
          <w:rFonts w:ascii="Palatino Linotype" w:hAnsi="Palatino Linotype" w:cs="Arial"/>
          <w:noProof/>
          <w:lang w:val="es-MX" w:eastAsia="es-MX"/>
        </w:rPr>
        <w:drawing>
          <wp:inline distT="0" distB="0" distL="0" distR="0">
            <wp:extent cx="3673457" cy="2752493"/>
            <wp:effectExtent l="19050" t="19050" r="2286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880" cy="2757306"/>
                    </a:xfrm>
                    <a:prstGeom prst="rect">
                      <a:avLst/>
                    </a:prstGeom>
                    <a:noFill/>
                    <a:ln>
                      <a:solidFill>
                        <a:schemeClr val="tx1"/>
                      </a:solidFill>
                    </a:ln>
                  </pic:spPr>
                </pic:pic>
              </a:graphicData>
            </a:graphic>
          </wp:inline>
        </w:drawing>
      </w:r>
    </w:p>
    <w:p w:rsidR="00345F0A" w:rsidRPr="0092243D" w:rsidRDefault="00345F0A" w:rsidP="00345F0A">
      <w:pPr>
        <w:pStyle w:val="Prrafodelista"/>
        <w:spacing w:line="360" w:lineRule="auto"/>
        <w:ind w:left="0"/>
        <w:jc w:val="both"/>
        <w:rPr>
          <w:rFonts w:ascii="Palatino Linotype" w:hAnsi="Palatino Linotype" w:cs="Arial"/>
        </w:rPr>
      </w:pPr>
    </w:p>
    <w:p w:rsidR="003E5390" w:rsidRPr="0092243D" w:rsidRDefault="003E5390" w:rsidP="00C70E5B">
      <w:pPr>
        <w:pStyle w:val="Prrafodelista"/>
        <w:numPr>
          <w:ilvl w:val="0"/>
          <w:numId w:val="15"/>
        </w:numPr>
        <w:spacing w:line="360" w:lineRule="auto"/>
        <w:ind w:left="0" w:firstLine="0"/>
        <w:jc w:val="both"/>
        <w:rPr>
          <w:rFonts w:ascii="Palatino Linotype" w:hAnsi="Palatino Linotype" w:cs="Arial"/>
        </w:rPr>
      </w:pPr>
      <w:r w:rsidRPr="0092243D">
        <w:rPr>
          <w:rFonts w:ascii="Palatino Linotype" w:hAnsi="Palatino Linotype" w:cs="Arial"/>
        </w:rPr>
        <w:t xml:space="preserve">Empero, como se aprecia de los antecedentes del presente proveído, se señala que no se puede dar atención a la solicitud de información por corresponder a un cuestionario al tiempo que se realiza una invitación para acudir al área de catastro para brindar la información, lo cual es improcedente, toda vez que </w:t>
      </w:r>
      <w:r w:rsidR="009E61CA" w:rsidRPr="0092243D">
        <w:rPr>
          <w:rFonts w:ascii="Palatino Linotype" w:hAnsi="Palatino Linotype" w:cs="Arial"/>
        </w:rPr>
        <w:t xml:space="preserve">se insiste, </w:t>
      </w:r>
      <w:r w:rsidRPr="0092243D">
        <w:rPr>
          <w:rFonts w:ascii="Palatino Linotype" w:hAnsi="Palatino Linotype" w:cs="Arial"/>
        </w:rPr>
        <w:t>no se cumple ninguno de los requisitos que establece la ley de la materia para un pretendido cambio de modalidad de entrega de la información a consulta directa.</w:t>
      </w:r>
    </w:p>
    <w:p w:rsidR="003E5390" w:rsidRPr="0092243D" w:rsidRDefault="003E5390" w:rsidP="003E5390">
      <w:pPr>
        <w:pStyle w:val="Prrafodelista"/>
        <w:spacing w:line="360" w:lineRule="auto"/>
        <w:ind w:left="0"/>
        <w:jc w:val="both"/>
        <w:rPr>
          <w:rFonts w:ascii="Palatino Linotype" w:hAnsi="Palatino Linotype" w:cs="Arial"/>
        </w:rPr>
      </w:pPr>
    </w:p>
    <w:p w:rsidR="003E5390" w:rsidRPr="0092243D" w:rsidRDefault="003E5390" w:rsidP="00C70E5B">
      <w:pPr>
        <w:pStyle w:val="Prrafodelista"/>
        <w:numPr>
          <w:ilvl w:val="0"/>
          <w:numId w:val="15"/>
        </w:numPr>
        <w:spacing w:line="360" w:lineRule="auto"/>
        <w:ind w:left="0" w:firstLine="0"/>
        <w:jc w:val="both"/>
        <w:rPr>
          <w:rFonts w:ascii="Palatino Linotype" w:hAnsi="Palatino Linotype" w:cs="Arial"/>
        </w:rPr>
      </w:pPr>
      <w:r w:rsidRPr="0092243D">
        <w:rPr>
          <w:rFonts w:ascii="Palatino Linotype" w:hAnsi="Palatino Linotype" w:cs="Arial"/>
        </w:rPr>
        <w:lastRenderedPageBreak/>
        <w:t>No obstante, en un hecho posterior a la interposición del recurso de revisión co</w:t>
      </w:r>
      <w:r w:rsidR="00DC2A2B" w:rsidRPr="0092243D">
        <w:rPr>
          <w:rFonts w:ascii="Palatino Linotype" w:hAnsi="Palatino Linotype" w:cs="Arial"/>
        </w:rPr>
        <w:t xml:space="preserve">mo lo es el informe justificado, el </w:t>
      </w:r>
      <w:r w:rsidR="00DC2A2B" w:rsidRPr="0092243D">
        <w:rPr>
          <w:rFonts w:ascii="Palatino Linotype" w:hAnsi="Palatino Linotype" w:cs="Arial"/>
          <w:b/>
        </w:rPr>
        <w:t>SUJETO OBLIGADO</w:t>
      </w:r>
      <w:r w:rsidR="00DC2A2B" w:rsidRPr="0092243D">
        <w:rPr>
          <w:rFonts w:ascii="Palatino Linotype" w:hAnsi="Palatino Linotype" w:cs="Arial"/>
        </w:rPr>
        <w:t xml:space="preserve"> da contestación a cada uno de los requerimientos que conformaron la solicitud de información inicial, como se aprecia:</w:t>
      </w:r>
    </w:p>
    <w:p w:rsidR="00DC2A2B" w:rsidRPr="0092243D" w:rsidRDefault="00DC2A2B" w:rsidP="00DC2A2B">
      <w:pPr>
        <w:pStyle w:val="Prrafodelista"/>
        <w:rPr>
          <w:rFonts w:ascii="Palatino Linotype" w:hAnsi="Palatino Linotype" w:cs="Arial"/>
        </w:rPr>
      </w:pPr>
    </w:p>
    <w:p w:rsidR="00DC2A2B" w:rsidRPr="0092243D" w:rsidRDefault="00DC2A2B" w:rsidP="00DC2A2B">
      <w:pPr>
        <w:pStyle w:val="Prrafodelista"/>
        <w:spacing w:line="360" w:lineRule="auto"/>
        <w:ind w:left="0"/>
        <w:jc w:val="center"/>
        <w:rPr>
          <w:rFonts w:ascii="Palatino Linotype" w:hAnsi="Palatino Linotype" w:cs="Arial"/>
        </w:rPr>
      </w:pPr>
      <w:r w:rsidRPr="0092243D">
        <w:rPr>
          <w:rFonts w:ascii="Palatino Linotype" w:hAnsi="Palatino Linotype" w:cs="Arial"/>
          <w:noProof/>
          <w:lang w:val="es-MX" w:eastAsia="es-MX"/>
        </w:rPr>
        <w:drawing>
          <wp:inline distT="0" distB="0" distL="0" distR="0">
            <wp:extent cx="5185124" cy="3671232"/>
            <wp:effectExtent l="19050" t="19050" r="15875"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0302" cy="3674898"/>
                    </a:xfrm>
                    <a:prstGeom prst="rect">
                      <a:avLst/>
                    </a:prstGeom>
                    <a:noFill/>
                    <a:ln>
                      <a:solidFill>
                        <a:schemeClr val="tx1"/>
                      </a:solidFill>
                    </a:ln>
                  </pic:spPr>
                </pic:pic>
              </a:graphicData>
            </a:graphic>
          </wp:inline>
        </w:drawing>
      </w:r>
    </w:p>
    <w:p w:rsidR="003E5390" w:rsidRPr="0092243D" w:rsidRDefault="003E5390" w:rsidP="003E5390">
      <w:pPr>
        <w:pStyle w:val="Prrafodelista"/>
        <w:spacing w:line="360" w:lineRule="auto"/>
        <w:ind w:left="0"/>
        <w:jc w:val="both"/>
        <w:rPr>
          <w:rFonts w:ascii="Palatino Linotype" w:hAnsi="Palatino Linotype" w:cs="Arial"/>
        </w:rPr>
      </w:pPr>
    </w:p>
    <w:p w:rsidR="006365DB" w:rsidRPr="0092243D" w:rsidRDefault="006365DB" w:rsidP="006365DB">
      <w:pPr>
        <w:pStyle w:val="Prrafodelista"/>
        <w:rPr>
          <w:rFonts w:ascii="Palatino Linotype" w:eastAsia="Calibri" w:hAnsi="Palatino Linotype" w:cs="Arial"/>
        </w:rPr>
      </w:pP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hAnsi="Palatino Linotype"/>
        </w:rPr>
      </w:pPr>
      <w:r w:rsidRPr="0092243D">
        <w:rPr>
          <w:rFonts w:ascii="Palatino Linotype" w:hAnsi="Palatino Linotype" w:cs="Arial"/>
        </w:rPr>
        <w:t xml:space="preserve">Informe que fue puesto a la vista del particular para que manifestara lo que a su derecho conviniera y asistiera; empero no existió pronunciamiento alguno. Asimismo respecto de dichas respuesta se debe señalar </w:t>
      </w:r>
      <w:r w:rsidRPr="0092243D">
        <w:rPr>
          <w:rFonts w:ascii="Palatino Linotype" w:eastAsia="Palatino Linotype" w:hAnsi="Palatino Linotype" w:cs="Palatino Linotype"/>
          <w:color w:val="000000"/>
        </w:rPr>
        <w:t xml:space="preserve">que este Instituto no está facultado para dudar de la veracidad de las respuestas ni de las documentales que ponen a disposición de los solicitantes, </w:t>
      </w:r>
      <w:r w:rsidRPr="0092243D">
        <w:rPr>
          <w:rFonts w:ascii="Palatino Linotype" w:hAnsi="Palatino Linotype" w:cs="Arial"/>
        </w:rPr>
        <w:t xml:space="preserve">situación que se aleja de las atribuciones de este Instituto </w:t>
      </w:r>
      <w:r w:rsidRPr="0092243D">
        <w:rPr>
          <w:rFonts w:ascii="Palatino Linotype" w:hAnsi="Palatino Linotype"/>
          <w:i/>
          <w:color w:val="000000"/>
        </w:rPr>
        <w:t>máxime</w:t>
      </w:r>
      <w:r w:rsidRPr="0092243D">
        <w:rPr>
          <w:rFonts w:ascii="Palatino Linotype" w:hAnsi="Palatino Linotype"/>
          <w:color w:val="000000"/>
        </w:rPr>
        <w:t xml:space="preserve"> que al momento que ponen a disposición ésta, la misma tiene </w:t>
      </w:r>
      <w:r w:rsidRPr="0092243D">
        <w:rPr>
          <w:rFonts w:ascii="Palatino Linotype" w:hAnsi="Palatino Linotype"/>
          <w:color w:val="000000"/>
        </w:rPr>
        <w:lastRenderedPageBreak/>
        <w:t>el carácter oficial y se presume veraz, tan es así que la misma queda registrada en el Sistema de Acceso a la Información Mexiquense (SAIMEX).</w:t>
      </w:r>
    </w:p>
    <w:p w:rsidR="00DC2A2B" w:rsidRPr="0092243D" w:rsidRDefault="00DC2A2B" w:rsidP="00DC2A2B">
      <w:pPr>
        <w:pStyle w:val="Prrafodelista"/>
        <w:spacing w:line="360" w:lineRule="auto"/>
        <w:rPr>
          <w:rFonts w:ascii="Palatino Linotype" w:hAnsi="Palatino Linotype"/>
        </w:rPr>
      </w:pP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hAnsi="Palatino Linotype"/>
        </w:rPr>
      </w:pPr>
      <w:r w:rsidRPr="0092243D">
        <w:rPr>
          <w:rFonts w:ascii="Palatino Linotype" w:hAnsi="Palatino Linotype" w:cs="Arial"/>
        </w:rPr>
        <w:t>Sirviendo</w:t>
      </w:r>
      <w:r w:rsidRPr="0092243D">
        <w:rPr>
          <w:rFonts w:ascii="Palatino Linotype" w:hAnsi="Palatino Linotype"/>
        </w:rPr>
        <w:t xml:space="preserve"> de apoyo a lo anterior por analogía, el criterio 31-10 emitido por el ahora Instituto </w:t>
      </w:r>
      <w:r w:rsidRPr="0092243D">
        <w:rPr>
          <w:rFonts w:ascii="Palatino Linotype" w:eastAsia="Palatino Linotype" w:hAnsi="Palatino Linotype" w:cs="Palatino Linotype"/>
          <w:color w:val="000000"/>
        </w:rPr>
        <w:t>Nacional</w:t>
      </w:r>
      <w:r w:rsidRPr="0092243D">
        <w:rPr>
          <w:rFonts w:ascii="Palatino Linotype" w:hAnsi="Palatino Linotype"/>
        </w:rPr>
        <w:t xml:space="preserve"> de Transparencia, Acceso a la Información y Protección de Datos Personales, que a la letra dice:</w:t>
      </w:r>
    </w:p>
    <w:p w:rsidR="00DC2A2B" w:rsidRPr="0092243D" w:rsidRDefault="00DC2A2B" w:rsidP="00DC2A2B">
      <w:pPr>
        <w:pStyle w:val="Prrafodelista"/>
        <w:rPr>
          <w:rFonts w:ascii="Palatino Linotype" w:hAnsi="Palatino Linotype"/>
        </w:rPr>
      </w:pPr>
    </w:p>
    <w:p w:rsidR="00DC2A2B" w:rsidRPr="0092243D" w:rsidRDefault="00DC2A2B" w:rsidP="00DC2A2B">
      <w:pPr>
        <w:pStyle w:val="Default"/>
        <w:spacing w:line="360" w:lineRule="auto"/>
        <w:ind w:left="851" w:right="850"/>
        <w:jc w:val="both"/>
        <w:rPr>
          <w:rFonts w:ascii="Palatino Linotype" w:hAnsi="Palatino Linotype"/>
          <w:i/>
        </w:rPr>
      </w:pPr>
      <w:r w:rsidRPr="0092243D">
        <w:rPr>
          <w:rFonts w:ascii="Palatino Linotype" w:hAnsi="Palatino Linotype"/>
          <w:i/>
        </w:rPr>
        <w:t xml:space="preserve">“El Instituto Federal de Acceso a la Información y Protección de Datos </w:t>
      </w:r>
      <w:r w:rsidRPr="0092243D">
        <w:rPr>
          <w:rFonts w:ascii="Palatino Linotype" w:hAnsi="Palatino Linotype"/>
          <w:b/>
          <w:i/>
        </w:rPr>
        <w:t>no cuenta con facultades para pronunciarse respecto de la veracidad de los documentos proporcionados por los sujetos obligados.</w:t>
      </w:r>
      <w:r w:rsidRPr="0092243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hAnsi="Palatino Linotype"/>
          <w:i/>
        </w:rPr>
      </w:pPr>
      <w:r w:rsidRPr="0092243D">
        <w:rPr>
          <w:rFonts w:ascii="Palatino Linotype" w:hAnsi="Palatino Linotype" w:cs="Arial"/>
        </w:rPr>
        <w:lastRenderedPageBreak/>
        <w:t>Así como lo dispuesto por</w:t>
      </w:r>
      <w:r w:rsidRPr="0092243D">
        <w:rPr>
          <w:rFonts w:ascii="Palatino Linotype" w:hAnsi="Palatino Linotype"/>
        </w:rPr>
        <w:t xml:space="preserve"> la </w:t>
      </w:r>
      <w:r w:rsidRPr="0092243D">
        <w:rPr>
          <w:rFonts w:ascii="Palatino Linotype" w:hAnsi="Palatino Linotype"/>
          <w:b/>
        </w:rPr>
        <w:t xml:space="preserve">Ley de Transparencia y Acceso a la Información Pública del </w:t>
      </w:r>
      <w:r w:rsidRPr="0092243D">
        <w:rPr>
          <w:rFonts w:ascii="Palatino Linotype" w:hAnsi="Palatino Linotype" w:cs="Arial"/>
        </w:rPr>
        <w:t>Estado</w:t>
      </w:r>
      <w:r w:rsidRPr="0092243D">
        <w:rPr>
          <w:rFonts w:ascii="Palatino Linotype" w:hAnsi="Palatino Linotype"/>
          <w:b/>
        </w:rPr>
        <w:t xml:space="preserve"> de México y Municipios</w:t>
      </w:r>
      <w:r w:rsidRPr="0092243D">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C2A2B" w:rsidRPr="0092243D" w:rsidRDefault="00DC2A2B" w:rsidP="00DC2A2B">
      <w:pPr>
        <w:pStyle w:val="Prrafodelista"/>
        <w:spacing w:line="360" w:lineRule="auto"/>
        <w:ind w:left="851" w:right="902"/>
        <w:jc w:val="both"/>
        <w:rPr>
          <w:rFonts w:ascii="Palatino Linotype" w:hAnsi="Palatino Linotype" w:cs="Arial"/>
          <w:i/>
        </w:rPr>
      </w:pPr>
    </w:p>
    <w:p w:rsidR="00DC2A2B" w:rsidRPr="0092243D" w:rsidRDefault="00DC2A2B" w:rsidP="00DC2A2B">
      <w:pPr>
        <w:pStyle w:val="Prrafodelista"/>
        <w:spacing w:line="360" w:lineRule="auto"/>
        <w:ind w:left="567" w:right="680"/>
        <w:jc w:val="both"/>
        <w:rPr>
          <w:rFonts w:ascii="Palatino Linotype" w:hAnsi="Palatino Linotype" w:cs="Arial"/>
          <w:b/>
          <w:i/>
        </w:rPr>
      </w:pPr>
      <w:r w:rsidRPr="0092243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2243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DC2A2B" w:rsidRPr="0092243D" w:rsidRDefault="00DC2A2B" w:rsidP="00DC2A2B">
      <w:pPr>
        <w:pStyle w:val="Prrafodelista"/>
        <w:spacing w:line="360" w:lineRule="auto"/>
        <w:ind w:left="851" w:right="902"/>
        <w:jc w:val="both"/>
        <w:rPr>
          <w:rFonts w:ascii="Palatino Linotype" w:hAnsi="Palatino Linotype" w:cs="Arial"/>
          <w:b/>
          <w:i/>
        </w:rPr>
      </w:pP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92243D">
        <w:rPr>
          <w:rFonts w:ascii="Palatino Linotype" w:hAnsi="Palatino Linotype" w:cs="Arial"/>
        </w:rPr>
        <w:t>Numerales</w:t>
      </w:r>
      <w:r w:rsidRPr="0092243D">
        <w:rPr>
          <w:rFonts w:ascii="Palatino Linotype" w:hAnsi="Palatino Linotype" w:cs="Arial"/>
          <w:noProof/>
          <w:lang w:eastAsia="es-MX"/>
        </w:rPr>
        <w:t xml:space="preserve"> que compelen al </w:t>
      </w:r>
      <w:r w:rsidRPr="0092243D">
        <w:rPr>
          <w:rFonts w:ascii="Palatino Linotype" w:hAnsi="Palatino Linotype" w:cs="Arial"/>
          <w:b/>
          <w:noProof/>
          <w:lang w:eastAsia="es-MX"/>
        </w:rPr>
        <w:t>SUJETO OBLIGADO</w:t>
      </w:r>
      <w:r w:rsidRPr="0092243D">
        <w:rPr>
          <w:rFonts w:ascii="Palatino Linotype" w:hAnsi="Palatino Linotype" w:cs="Arial"/>
          <w:noProof/>
          <w:lang w:eastAsia="es-MX"/>
        </w:rPr>
        <w:t xml:space="preserve"> apegarse en todo momento a los </w:t>
      </w:r>
      <w:r w:rsidRPr="0092243D">
        <w:rPr>
          <w:rFonts w:ascii="Palatino Linotype" w:hAnsi="Palatino Linotype"/>
        </w:rPr>
        <w:t>criterios</w:t>
      </w:r>
      <w:r w:rsidRPr="0092243D">
        <w:rPr>
          <w:rFonts w:ascii="Palatino Linotype" w:hAnsi="Palatino Linotype" w:cs="Arial"/>
          <w:noProof/>
          <w:lang w:eastAsia="es-MX"/>
        </w:rPr>
        <w:t xml:space="preserve"> ya expuestos, impidiendo a este Órgano Colegiado cuestionar la veracidad de la información;</w:t>
      </w:r>
      <w:r w:rsidRPr="0092243D">
        <w:rPr>
          <w:rFonts w:ascii="Palatino Linotype" w:eastAsia="Palatino Linotype" w:hAnsi="Palatino Linotype" w:cs="Palatino Linotype"/>
          <w:color w:val="000000"/>
        </w:rPr>
        <w:t xml:space="preserve"> luego entonces, se tiene por colmado el punto en comento.</w:t>
      </w:r>
    </w:p>
    <w:p w:rsidR="00DC2A2B" w:rsidRPr="0092243D" w:rsidRDefault="00DC2A2B" w:rsidP="00DC2A2B">
      <w:pPr>
        <w:pStyle w:val="Prrafodelista"/>
        <w:tabs>
          <w:tab w:val="left" w:pos="426"/>
        </w:tabs>
        <w:spacing w:before="240" w:after="240" w:line="360" w:lineRule="auto"/>
        <w:ind w:left="0" w:right="51"/>
        <w:jc w:val="both"/>
        <w:rPr>
          <w:rFonts w:ascii="Palatino Linotype" w:eastAsia="Palatino Linotype" w:hAnsi="Palatino Linotype" w:cs="Palatino Linotype"/>
          <w:color w:val="000000"/>
        </w:rPr>
      </w:pP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hAnsi="Palatino Linotype" w:cs="Arial"/>
          <w:i/>
          <w:lang w:eastAsia="es-MX"/>
        </w:rPr>
      </w:pPr>
      <w:r w:rsidRPr="0092243D">
        <w:rPr>
          <w:rFonts w:ascii="Palatino Linotype" w:hAnsi="Palatino Linotype" w:cs="Arial"/>
        </w:rPr>
        <w:t xml:space="preserve">Por otro lado, se aprecia que para dar atención a las pretensiones del hoy </w:t>
      </w:r>
      <w:r w:rsidRPr="0092243D">
        <w:rPr>
          <w:rFonts w:ascii="Palatino Linotype" w:hAnsi="Palatino Linotype" w:cs="Arial"/>
          <w:b/>
        </w:rPr>
        <w:t>RECURRENTE</w:t>
      </w:r>
      <w:r w:rsidRPr="0092243D">
        <w:rPr>
          <w:rFonts w:ascii="Palatino Linotype" w:hAnsi="Palatino Linotype" w:cs="Arial"/>
        </w:rPr>
        <w:t xml:space="preserve"> se recurrió a la elaboración de un documento </w:t>
      </w:r>
      <w:r w:rsidRPr="0092243D">
        <w:rPr>
          <w:rFonts w:ascii="Palatino Linotype" w:hAnsi="Palatino Linotype" w:cs="Arial"/>
          <w:i/>
        </w:rPr>
        <w:t>ad hoc</w:t>
      </w:r>
      <w:r w:rsidRPr="0092243D">
        <w:rPr>
          <w:rFonts w:ascii="Palatino Linotype" w:hAnsi="Palatino Linotype" w:cs="Arial"/>
        </w:rPr>
        <w:t>, a los cuales no están obligados los sujetos obligados a generar</w:t>
      </w:r>
      <w:bookmarkStart w:id="143" w:name="_Toc531859121"/>
      <w:bookmarkStart w:id="144" w:name="_Toc532385645"/>
      <w:bookmarkStart w:id="145" w:name="_Toc954273"/>
      <w:bookmarkStart w:id="146" w:name="_Toc16107112"/>
      <w:bookmarkStart w:id="147" w:name="_Toc20246254"/>
      <w:bookmarkStart w:id="148" w:name="_Toc22660660"/>
      <w:bookmarkStart w:id="149" w:name="_Toc22811631"/>
      <w:bookmarkStart w:id="150" w:name="_Toc23930218"/>
      <w:bookmarkStart w:id="151" w:name="_Toc24023251"/>
      <w:bookmarkStart w:id="152" w:name="_Toc26461370"/>
      <w:bookmarkStart w:id="153" w:name="_Toc29481475"/>
      <w:bookmarkStart w:id="154" w:name="_Toc32516346"/>
      <w:bookmarkStart w:id="155" w:name="_Toc32517191"/>
      <w:bookmarkStart w:id="156" w:name="_Toc34932770"/>
      <w:bookmarkStart w:id="157" w:name="_Toc49985087"/>
      <w:bookmarkStart w:id="158" w:name="_Toc54138954"/>
      <w:bookmarkStart w:id="159" w:name="_Toc54267078"/>
      <w:bookmarkStart w:id="160" w:name="_Toc61462051"/>
      <w:bookmarkStart w:id="161" w:name="_Toc62081320"/>
      <w:bookmarkStart w:id="162" w:name="_Toc62765913"/>
      <w:bookmarkStart w:id="163" w:name="_Toc63932074"/>
      <w:bookmarkStart w:id="164" w:name="_Toc69949960"/>
      <w:bookmarkStart w:id="165" w:name="_Toc69950241"/>
      <w:bookmarkStart w:id="166" w:name="_Toc69981699"/>
      <w:bookmarkStart w:id="167" w:name="_Toc69983082"/>
      <w:r w:rsidRPr="0092243D">
        <w:rPr>
          <w:rFonts w:ascii="Palatino Linotype" w:hAnsi="Palatino Linotype" w:cs="Arial"/>
          <w:noProof/>
          <w:lang w:val="es-MX" w:eastAsia="es-MX"/>
        </w:rPr>
        <w:t xml:space="preserve">, </w:t>
      </w:r>
      <w:r w:rsidRPr="0092243D">
        <w:rPr>
          <w:rFonts w:ascii="Palatino Linotype" w:eastAsia="MS Mincho" w:hAnsi="Palatino Linotype" w:cs="Arial"/>
        </w:rPr>
        <w:t>c</w:t>
      </w:r>
      <w:r w:rsidRPr="0092243D">
        <w:rPr>
          <w:rFonts w:ascii="Palatino Linotype" w:hAnsi="Palatino Linotype" w:cs="Arial"/>
        </w:rPr>
        <w:t xml:space="preserve">omo apoyo a lo anterior, es </w:t>
      </w:r>
      <w:r w:rsidRPr="0092243D">
        <w:rPr>
          <w:rFonts w:ascii="Palatino Linotype" w:hAnsi="Palatino Linotype" w:cs="Arial"/>
        </w:rPr>
        <w:lastRenderedPageBreak/>
        <w:t xml:space="preserve">aplicable por analogía el </w:t>
      </w:r>
      <w:r w:rsidRPr="0092243D">
        <w:rPr>
          <w:rFonts w:ascii="Palatino Linotype" w:hAnsi="Palatino Linotype" w:cs="Arial"/>
          <w:b/>
        </w:rPr>
        <w:t>Criterio 03/17</w:t>
      </w:r>
      <w:r w:rsidRPr="0092243D">
        <w:rPr>
          <w:rFonts w:ascii="Palatino Linotype" w:hAnsi="Palatino Linotype" w:cs="Arial"/>
        </w:rPr>
        <w:t>, emitido por el Pleno del Instituto Nacional de Transparencia, Acceso a la Información y Protección de Datos Personales (INAI)</w:t>
      </w:r>
      <w:r w:rsidRPr="0092243D">
        <w:rPr>
          <w:rFonts w:ascii="Palatino Linotype" w:hAnsi="Palatino Linotype" w:cs="Arial"/>
          <w:bCs/>
        </w:rPr>
        <w:t>, que a la letra dice:</w:t>
      </w:r>
    </w:p>
    <w:p w:rsidR="00DC2A2B" w:rsidRPr="0092243D" w:rsidRDefault="00DC2A2B" w:rsidP="00DC2A2B">
      <w:pPr>
        <w:pStyle w:val="Prrafodelista"/>
        <w:spacing w:line="360" w:lineRule="auto"/>
        <w:rPr>
          <w:rFonts w:ascii="Palatino Linotype" w:hAnsi="Palatino Linotype" w:cs="Arial"/>
          <w:i/>
          <w:lang w:eastAsia="es-MX"/>
        </w:rPr>
      </w:pPr>
    </w:p>
    <w:p w:rsidR="00DC2A2B" w:rsidRPr="0092243D" w:rsidRDefault="00DC2A2B" w:rsidP="00DC2A2B">
      <w:pPr>
        <w:pStyle w:val="Prrafodelista"/>
        <w:spacing w:line="360" w:lineRule="auto"/>
        <w:ind w:left="567" w:right="616"/>
        <w:jc w:val="both"/>
        <w:rPr>
          <w:rFonts w:ascii="Palatino Linotype" w:hAnsi="Palatino Linotype" w:cs="Arial"/>
          <w:bCs/>
          <w:i/>
        </w:rPr>
      </w:pPr>
      <w:r w:rsidRPr="0092243D">
        <w:rPr>
          <w:rFonts w:ascii="Palatino Linotype" w:hAnsi="Palatino Linotype" w:cs="Arial"/>
          <w:b/>
          <w:bCs/>
          <w:i/>
        </w:rPr>
        <w:t xml:space="preserve">“No existe obligación de elaborar documentos ad hoc para atender las solicitudes de acceso a la información. </w:t>
      </w:r>
      <w:r w:rsidRPr="0092243D">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C2A2B" w:rsidRPr="0092243D" w:rsidRDefault="00DC2A2B" w:rsidP="00DC2A2B">
      <w:pPr>
        <w:pStyle w:val="Prrafodelista"/>
        <w:spacing w:line="360" w:lineRule="auto"/>
        <w:ind w:left="567" w:right="616"/>
        <w:jc w:val="both"/>
        <w:rPr>
          <w:rFonts w:ascii="Palatino Linotype" w:hAnsi="Palatino Linotype" w:cs="Arial"/>
          <w:bCs/>
          <w:i/>
        </w:rPr>
      </w:pPr>
    </w:p>
    <w:p w:rsidR="00DC2A2B" w:rsidRPr="0092243D" w:rsidRDefault="00DC2A2B" w:rsidP="00DC2A2B">
      <w:pPr>
        <w:pStyle w:val="Prrafodelista"/>
        <w:spacing w:line="360" w:lineRule="auto"/>
        <w:ind w:left="567" w:right="616"/>
        <w:jc w:val="both"/>
        <w:rPr>
          <w:rFonts w:ascii="Palatino Linotype" w:hAnsi="Palatino Linotype" w:cs="Arial"/>
          <w:b/>
          <w:bCs/>
          <w:i/>
        </w:rPr>
      </w:pPr>
      <w:r w:rsidRPr="0092243D">
        <w:rPr>
          <w:rFonts w:ascii="Palatino Linotype" w:hAnsi="Palatino Linotype" w:cs="Arial"/>
          <w:b/>
          <w:bCs/>
          <w:i/>
        </w:rPr>
        <w:t>Resoluciones:</w:t>
      </w:r>
    </w:p>
    <w:p w:rsidR="00DC2A2B" w:rsidRPr="0092243D" w:rsidRDefault="00DC2A2B" w:rsidP="00DC2A2B">
      <w:pPr>
        <w:pStyle w:val="Prrafodelista"/>
        <w:spacing w:line="360" w:lineRule="auto"/>
        <w:ind w:left="567" w:right="618"/>
        <w:jc w:val="both"/>
        <w:rPr>
          <w:rFonts w:ascii="Palatino Linotype" w:hAnsi="Palatino Linotype" w:cs="Arial"/>
          <w:bCs/>
          <w:i/>
        </w:rPr>
      </w:pPr>
      <w:r w:rsidRPr="0092243D">
        <w:rPr>
          <w:rFonts w:ascii="Palatino Linotype" w:hAnsi="Palatino Linotype" w:cs="Arial"/>
          <w:bCs/>
          <w:i/>
        </w:rPr>
        <w:t>RRA 0050/16. Instituto Nacional para la Evaluación de la Educación. 13 julio de 2016. Por unanimidad. Comisionado Ponente: Francisco Javier Acuña Llamas.</w:t>
      </w:r>
    </w:p>
    <w:p w:rsidR="00DC2A2B" w:rsidRPr="0092243D" w:rsidRDefault="00DC2A2B" w:rsidP="00DC2A2B">
      <w:pPr>
        <w:pStyle w:val="Prrafodelista"/>
        <w:spacing w:line="360" w:lineRule="auto"/>
        <w:ind w:left="567" w:right="618"/>
        <w:jc w:val="both"/>
        <w:rPr>
          <w:rFonts w:ascii="Palatino Linotype" w:hAnsi="Palatino Linotype" w:cs="Arial"/>
          <w:bCs/>
          <w:i/>
        </w:rPr>
      </w:pPr>
      <w:r w:rsidRPr="0092243D">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rsidR="00DC2A2B" w:rsidRPr="0092243D" w:rsidRDefault="00DC2A2B" w:rsidP="00DC2A2B">
      <w:pPr>
        <w:pStyle w:val="Prrafodelista"/>
        <w:spacing w:line="360" w:lineRule="auto"/>
        <w:ind w:left="567" w:right="618"/>
        <w:jc w:val="both"/>
        <w:rPr>
          <w:rFonts w:ascii="Palatino Linotype" w:hAnsi="Palatino Linotype" w:cs="Arial"/>
          <w:bCs/>
          <w:i/>
        </w:rPr>
      </w:pPr>
      <w:r w:rsidRPr="0092243D">
        <w:rPr>
          <w:rFonts w:ascii="Palatino Linotype" w:hAnsi="Palatino Linotype" w:cs="Arial"/>
          <w:bCs/>
          <w:i/>
        </w:rPr>
        <w:lastRenderedPageBreak/>
        <w:t>RRA 1889/16. Secretaría de Hacienda y Crédito Público. 05 de octubre de 2016. Por unanimidad. Comisionada Ponente. Ximena Puente de la Mora.”</w:t>
      </w:r>
    </w:p>
    <w:p w:rsidR="00DC2A2B" w:rsidRPr="0092243D" w:rsidRDefault="00DC2A2B" w:rsidP="00DC2A2B">
      <w:pPr>
        <w:pStyle w:val="Prrafodelista"/>
        <w:spacing w:line="360" w:lineRule="auto"/>
        <w:ind w:left="567" w:right="618"/>
        <w:jc w:val="both"/>
        <w:rPr>
          <w:rFonts w:ascii="Palatino Linotype" w:hAnsi="Palatino Linotype" w:cs="Arial"/>
          <w:bCs/>
          <w:i/>
        </w:rPr>
      </w:pPr>
    </w:p>
    <w:p w:rsidR="00DC2A2B" w:rsidRPr="0092243D" w:rsidRDefault="00DC2A2B" w:rsidP="00DC2A2B">
      <w:pPr>
        <w:pStyle w:val="Prrafodelista"/>
        <w:numPr>
          <w:ilvl w:val="0"/>
          <w:numId w:val="15"/>
        </w:numPr>
        <w:tabs>
          <w:tab w:val="left" w:pos="426"/>
        </w:tabs>
        <w:spacing w:before="240" w:after="240" w:line="360" w:lineRule="auto"/>
        <w:ind w:left="0" w:right="51" w:firstLine="0"/>
        <w:jc w:val="both"/>
        <w:rPr>
          <w:rFonts w:ascii="Palatino Linotype" w:eastAsia="Calibri" w:hAnsi="Palatino Linotype"/>
        </w:rPr>
      </w:pPr>
      <w:r w:rsidRPr="0092243D">
        <w:rPr>
          <w:rFonts w:ascii="Palatino Linotype" w:eastAsia="MS Mincho" w:hAnsi="Palatino Linotype" w:cs="Arial"/>
        </w:rPr>
        <w:t xml:space="preserve">En esa tesitura la ley de la materia establece que es el documento que obre en los </w:t>
      </w:r>
      <w:r w:rsidRPr="0092243D">
        <w:rPr>
          <w:rFonts w:ascii="Palatino Linotype" w:hAnsi="Palatino Linotype" w:cs="Arial"/>
        </w:rPr>
        <w:t>archivos</w:t>
      </w:r>
      <w:r w:rsidRPr="0092243D">
        <w:rPr>
          <w:rFonts w:ascii="Palatino Linotype" w:eastAsia="MS Mincho" w:hAnsi="Palatino Linotype" w:cs="Arial"/>
        </w:rPr>
        <w:t xml:space="preserve"> de los sujetos obligados es el que se entregara; es decir que no tiene razón de ser elaborar un documento </w:t>
      </w:r>
      <w:r w:rsidRPr="0092243D">
        <w:rPr>
          <w:rFonts w:ascii="Palatino Linotype" w:eastAsia="MS Mincho" w:hAnsi="Palatino Linotype" w:cs="Arial"/>
          <w:b/>
          <w:i/>
        </w:rPr>
        <w:t xml:space="preserve">ad hoc </w:t>
      </w:r>
      <w:r w:rsidRPr="0092243D">
        <w:rPr>
          <w:rFonts w:ascii="Palatino Linotype" w:eastAsia="MS Mincho" w:hAnsi="Palatino Linotype" w:cs="Arial"/>
        </w:rPr>
        <w:t xml:space="preserve">como el que se señaló en respuesta, sino debe remitirse el soporte documental donde conste o se advierta la información como la posea en sus archivos, no obstante lo anterior, también lo es que la Ley </w:t>
      </w:r>
      <w:r w:rsidRPr="0092243D">
        <w:rPr>
          <w:rFonts w:ascii="Palatino Linotype" w:eastAsia="MS Mincho" w:hAnsi="Palatino Linotype" w:cs="Arial"/>
          <w:b/>
        </w:rPr>
        <w:t>no prohíbe el generar ese tipo de documentos.</w:t>
      </w: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De este modo, cuando el </w:t>
      </w:r>
      <w:r w:rsidRPr="0092243D">
        <w:rPr>
          <w:rFonts w:ascii="Palatino Linotype" w:eastAsia="Calibri" w:hAnsi="Palatino Linotype"/>
          <w:b/>
        </w:rPr>
        <w:t xml:space="preserve">SUJETO OBLIGADO, </w:t>
      </w:r>
      <w:r w:rsidRPr="0092243D">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92243D">
        <w:rPr>
          <w:rFonts w:ascii="Palatino Linotype" w:eastAsia="Calibri" w:hAnsi="Palatino Linotype"/>
          <w:i/>
        </w:rPr>
        <w:t>Litis</w:t>
      </w:r>
      <w:r w:rsidRPr="0092243D">
        <w:rPr>
          <w:rFonts w:ascii="Palatino Linotype" w:eastAsia="Calibri" w:hAnsi="Palatino Linotype"/>
        </w:rPr>
        <w:t xml:space="preserve"> planteada, debido a que la afectación en su esfera de derechos fue restituida por la propia autoridad que emitió el acto motivo de impugnación.</w:t>
      </w:r>
    </w:p>
    <w:p w:rsidR="008F08B6" w:rsidRPr="0092243D" w:rsidRDefault="008F08B6" w:rsidP="008F08B6">
      <w:pPr>
        <w:pStyle w:val="Prrafodelista"/>
        <w:spacing w:line="360" w:lineRule="auto"/>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Sirve de sustento a lo anterior la siguiente jurisprudencia por contradicción, cuyo rubro, texto y datos de identificación son los siguientes:</w:t>
      </w:r>
    </w:p>
    <w:p w:rsidR="008F08B6" w:rsidRPr="0092243D" w:rsidRDefault="008F08B6" w:rsidP="008F08B6">
      <w:pPr>
        <w:pStyle w:val="Prrafodelista"/>
        <w:spacing w:line="360" w:lineRule="auto"/>
        <w:rPr>
          <w:rFonts w:ascii="Palatino Linotype" w:hAnsi="Palatino Linotype"/>
        </w:rPr>
      </w:pPr>
    </w:p>
    <w:p w:rsidR="008F08B6" w:rsidRPr="0092243D" w:rsidRDefault="008F08B6" w:rsidP="008F08B6">
      <w:pPr>
        <w:spacing w:line="360" w:lineRule="auto"/>
        <w:ind w:left="567" w:right="616"/>
        <w:contextualSpacing/>
        <w:jc w:val="both"/>
        <w:rPr>
          <w:rFonts w:ascii="Palatino Linotype" w:eastAsia="Calibri" w:hAnsi="Palatino Linotype"/>
          <w:i/>
        </w:rPr>
      </w:pPr>
      <w:r w:rsidRPr="0092243D">
        <w:rPr>
          <w:rFonts w:ascii="Palatino Linotype" w:eastAsia="Calibri" w:hAnsi="Palatino Linotype"/>
          <w:b/>
          <w:i/>
        </w:rPr>
        <w:t xml:space="preserve">CESACIÓN DE EFECTOS DEL ACTO RECLAMADO POR VIOLACIÓN AL ARTÍCULO 8o. DE LA CONSTITUCIÓN POLÍTICA DE LOS ESTADOS UNIDOS MEXICANOS. OPERA CUANDO LA AUTORIDAD RESPONSABLE AL RENDIR SU INFORME </w:t>
      </w:r>
      <w:r w:rsidRPr="0092243D">
        <w:rPr>
          <w:rFonts w:ascii="Palatino Linotype" w:eastAsia="Calibri" w:hAnsi="Palatino Linotype"/>
          <w:b/>
          <w:i/>
        </w:rPr>
        <w:lastRenderedPageBreak/>
        <w:t>JUSTIFICADO EXHIBE LA CONTESTACIÓN A LA PETICIÓN FORMULADA, QUEDANDO EXPEDITOS LOS DERECHOS DEL QUEJOSO PARA AMPLIAR SU DEMANDA INICIAL, PROMOVER OTRO JUICIO DE AMPARO O EL MEDIO ORDINARIO DE DEFENSA QUE PROCEDA.</w:t>
      </w:r>
      <w:r w:rsidRPr="0092243D">
        <w:rPr>
          <w:rFonts w:ascii="Palatino Linotype" w:eastAsia="Calibri"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8F08B6" w:rsidRPr="0092243D" w:rsidRDefault="008F08B6" w:rsidP="008F08B6">
      <w:pPr>
        <w:pStyle w:val="Prrafodelista"/>
        <w:spacing w:line="360" w:lineRule="auto"/>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La anterior jurisprudencia resulta aplicable al presente asunto, en dos aspectos:</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pStyle w:val="Prrafodelista"/>
        <w:numPr>
          <w:ilvl w:val="0"/>
          <w:numId w:val="44"/>
        </w:numPr>
        <w:spacing w:line="360" w:lineRule="auto"/>
        <w:ind w:right="616"/>
        <w:jc w:val="both"/>
        <w:rPr>
          <w:rFonts w:ascii="Palatino Linotype" w:eastAsia="Calibri" w:hAnsi="Palatino Linotype"/>
        </w:rPr>
      </w:pPr>
      <w:r w:rsidRPr="0092243D">
        <w:rPr>
          <w:rFonts w:ascii="Palatino Linotype" w:eastAsia="Calibri" w:hAnsi="Palatino Linotype"/>
          <w:b/>
        </w:rPr>
        <w:t>La cesación de los efectos perniciosos del acto de autoridad:</w:t>
      </w:r>
      <w:r w:rsidRPr="0092243D">
        <w:rPr>
          <w:rFonts w:ascii="Palatino Linotype" w:eastAsia="Calibri" w:hAnsi="Palatino Linotype"/>
        </w:rPr>
        <w:t xml:space="preserve"> Al respecto, la Ley de Transparencia contempla la figura jurídica del </w:t>
      </w:r>
      <w:r w:rsidRPr="0092243D">
        <w:rPr>
          <w:rFonts w:ascii="Palatino Linotype" w:eastAsia="Calibri" w:hAnsi="Palatino Linotype"/>
        </w:rPr>
        <w:lastRenderedPageBreak/>
        <w:t xml:space="preserve">sobreseimiento cuando el </w:t>
      </w:r>
      <w:r w:rsidRPr="0092243D">
        <w:rPr>
          <w:rFonts w:ascii="Palatino Linotype" w:eastAsia="Calibri" w:hAnsi="Palatino Linotype"/>
          <w:b/>
        </w:rPr>
        <w:t>SUJETO OBLIGADO</w:t>
      </w:r>
      <w:r w:rsidRPr="0092243D">
        <w:rPr>
          <w:rFonts w:ascii="Palatino Linotype" w:eastAsia="Calibri" w:hAnsi="Palatino Linotype"/>
        </w:rPr>
        <w:t xml:space="preserve"> de </w:t>
      </w:r>
      <w:r w:rsidRPr="0092243D">
        <w:rPr>
          <w:rFonts w:ascii="Palatino Linotype" w:eastAsia="Calibri" w:hAnsi="Palatino Linotype"/>
          <w:i/>
        </w:rPr>
        <w:t>motu proprio</w:t>
      </w:r>
      <w:r w:rsidRPr="0092243D">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8F08B6" w:rsidRPr="0092243D" w:rsidRDefault="008F08B6" w:rsidP="008F08B6">
      <w:pPr>
        <w:pStyle w:val="Prrafodelista"/>
        <w:spacing w:line="360" w:lineRule="auto"/>
        <w:ind w:left="1080" w:right="616"/>
        <w:jc w:val="both"/>
        <w:rPr>
          <w:rFonts w:ascii="Palatino Linotype" w:eastAsia="Calibri" w:hAnsi="Palatino Linotype"/>
        </w:rPr>
      </w:pPr>
    </w:p>
    <w:p w:rsidR="008F08B6" w:rsidRPr="0092243D" w:rsidRDefault="008F08B6" w:rsidP="008F08B6">
      <w:pPr>
        <w:pStyle w:val="Prrafodelista"/>
        <w:numPr>
          <w:ilvl w:val="0"/>
          <w:numId w:val="44"/>
        </w:numPr>
        <w:spacing w:line="360" w:lineRule="auto"/>
        <w:ind w:right="616"/>
        <w:jc w:val="both"/>
        <w:rPr>
          <w:rFonts w:ascii="Palatino Linotype" w:eastAsia="Calibri" w:hAnsi="Palatino Linotype"/>
        </w:rPr>
      </w:pPr>
      <w:r w:rsidRPr="0092243D">
        <w:rPr>
          <w:rFonts w:ascii="Palatino Linotype" w:eastAsia="Calibri" w:hAnsi="Palatino Linotype"/>
          <w:b/>
        </w:rPr>
        <w:t>El momento procesal para modificar el acto impugnado:</w:t>
      </w:r>
      <w:r w:rsidRPr="0092243D">
        <w:rPr>
          <w:rFonts w:ascii="Palatino Linotype" w:eastAsia="Calibri" w:hAnsi="Palatino Linotype"/>
        </w:rPr>
        <w:t xml:space="preserve"> Para que se actualice el sobreseimiento de un recurso de revisión, el </w:t>
      </w:r>
      <w:r w:rsidRPr="0092243D">
        <w:rPr>
          <w:rFonts w:ascii="Palatino Linotype" w:eastAsia="Calibri" w:hAnsi="Palatino Linotype"/>
          <w:b/>
        </w:rPr>
        <w:t>SUJETO OBLIGADO</w:t>
      </w:r>
      <w:r w:rsidRPr="0092243D">
        <w:rPr>
          <w:rFonts w:ascii="Palatino Linotype" w:eastAsia="Calibri" w:hAnsi="Palatino Linotype"/>
        </w:rPr>
        <w:t xml:space="preserve"> puede entregar o completar la información al momento de rendir su informe de justificación o </w:t>
      </w:r>
      <w:r w:rsidRPr="0092243D">
        <w:rPr>
          <w:rFonts w:ascii="Palatino Linotype" w:eastAsia="Calibri" w:hAnsi="Palatino Linotype"/>
          <w:b/>
          <w:u w:val="single"/>
        </w:rPr>
        <w:t>posteriormente</w:t>
      </w:r>
      <w:r w:rsidRPr="0092243D">
        <w:rPr>
          <w:rFonts w:ascii="Palatino Linotype" w:eastAsia="Calibri" w:hAnsi="Palatino Linotype"/>
        </w:rPr>
        <w:t xml:space="preserve"> a éste, siempre y cuando el Pleno del Instituto no haya dictado resolución definitiva.</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Además, de acuerdo con el procesalista Niceto Alcalá-Zamora y Castillo en su obra </w:t>
      </w:r>
      <w:r w:rsidRPr="0092243D">
        <w:rPr>
          <w:rFonts w:ascii="Palatino Linotype" w:eastAsia="Calibri" w:hAnsi="Palatino Linotype"/>
          <w:i/>
        </w:rPr>
        <w:t>“Cuestiones de Terminología Procesal”</w:t>
      </w:r>
      <w:r w:rsidRPr="0092243D">
        <w:rPr>
          <w:rFonts w:ascii="Palatino Linotype" w:eastAsia="Calibri" w:hAnsi="Palatino Linotype"/>
        </w:rPr>
        <w:t xml:space="preserve">, el sobreseimiento es </w:t>
      </w:r>
      <w:r w:rsidRPr="0092243D">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Eduardo Pallares, en su artículo </w:t>
      </w:r>
      <w:r w:rsidRPr="0092243D">
        <w:rPr>
          <w:rFonts w:ascii="Palatino Linotype" w:eastAsia="Calibri" w:hAnsi="Palatino Linotype"/>
          <w:i/>
        </w:rPr>
        <w:t>“La caducidad y el sobreseimiento en el amparo”</w:t>
      </w:r>
      <w:r w:rsidRPr="0092243D">
        <w:rPr>
          <w:rFonts w:ascii="Palatino Linotype" w:eastAsia="Calibri" w:hAnsi="Palatino Linotype"/>
        </w:rPr>
        <w:t xml:space="preserve">, cita la definición de Aguilera Paz, aduciendo que se </w:t>
      </w:r>
      <w:r w:rsidRPr="0092243D">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92243D">
        <w:rPr>
          <w:rFonts w:ascii="Palatino Linotype" w:eastAsia="Calibri" w:hAnsi="Palatino Linotype"/>
        </w:rPr>
        <w:t>. Asimismo señala que existe el sobreseimiento provisional y el definitivo</w:t>
      </w:r>
      <w:r w:rsidRPr="0092243D">
        <w:rPr>
          <w:rFonts w:ascii="Palatino Linotype" w:eastAsia="Calibri" w:hAnsi="Palatino Linotype"/>
          <w:i/>
        </w:rPr>
        <w:t xml:space="preserve">: “...el definitivo es una verdadera sentencia que pone fin al juicio, y que una vez </w:t>
      </w:r>
      <w:r w:rsidRPr="0092243D">
        <w:rPr>
          <w:rFonts w:ascii="Palatino Linotype" w:eastAsia="Calibri" w:hAnsi="Palatino Linotype"/>
          <w:i/>
        </w:rPr>
        <w:lastRenderedPageBreak/>
        <w:t>dictada, produce cosa juzgada, mientras que el provisorio tiene por efectos suspender la prosecución de la causa...”</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Así, para la doctrina el sobreseimiento provoca que un procedimiento se suspenda o se resuelva en definitiva </w:t>
      </w:r>
      <w:r w:rsidRPr="0092243D">
        <w:rPr>
          <w:rFonts w:ascii="Palatino Linotype" w:eastAsia="Calibri" w:hAnsi="Palatino Linotype"/>
          <w:b/>
          <w:u w:val="single"/>
        </w:rPr>
        <w:t xml:space="preserve">sin que se entre al estudio de los agravios o motivos de inconformidad. </w:t>
      </w:r>
      <w:r w:rsidRPr="0092243D">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rsidR="008F08B6" w:rsidRPr="0092243D" w:rsidRDefault="008F08B6" w:rsidP="008F08B6">
      <w:pPr>
        <w:spacing w:line="360" w:lineRule="auto"/>
        <w:rPr>
          <w:rFonts w:ascii="Palatino Linotype" w:hAnsi="Palatino Linotype"/>
        </w:rPr>
      </w:pPr>
    </w:p>
    <w:p w:rsidR="008F08B6" w:rsidRPr="0092243D" w:rsidRDefault="008F08B6" w:rsidP="008F08B6">
      <w:pPr>
        <w:spacing w:line="360" w:lineRule="auto"/>
        <w:ind w:left="567" w:right="616"/>
        <w:contextualSpacing/>
        <w:jc w:val="both"/>
        <w:rPr>
          <w:rFonts w:ascii="Palatino Linotype" w:eastAsia="Calibri" w:hAnsi="Palatino Linotype"/>
          <w:i/>
          <w:lang w:val="es-AR"/>
        </w:rPr>
      </w:pPr>
      <w:r w:rsidRPr="0092243D">
        <w:rPr>
          <w:rFonts w:ascii="Palatino Linotype" w:eastAsia="Calibri" w:hAnsi="Palatino Linotype"/>
          <w:b/>
          <w:i/>
          <w:lang w:val="es-AR"/>
        </w:rPr>
        <w:t>SOBRESEIMIENTO EN EL JUICIO DE AMPARO DIRECTO. IMPIDE EL ESTUDIO DE LAS VIOLACIONES PROCESALES PLANTEADAS EN LOS CONCEPTOS DE VIOLACIÓN. El sobreseimiento</w:t>
      </w:r>
      <w:r w:rsidRPr="0092243D">
        <w:rPr>
          <w:rFonts w:ascii="Palatino Linotype" w:eastAsia="Calibri" w:hAnsi="Palatino Linotype"/>
          <w:i/>
          <w:lang w:val="es-AR"/>
        </w:rPr>
        <w:t xml:space="preserve"> en el juicio de amparo directo </w:t>
      </w:r>
      <w:r w:rsidRPr="0092243D">
        <w:rPr>
          <w:rFonts w:ascii="Palatino Linotype" w:eastAsia="Calibri" w:hAnsi="Palatino Linotype"/>
          <w:b/>
          <w:i/>
          <w:lang w:val="es-AR"/>
        </w:rPr>
        <w:t>provoca la terminación de la controversia planteada</w:t>
      </w:r>
      <w:r w:rsidRPr="0092243D">
        <w:rPr>
          <w:rFonts w:ascii="Palatino Linotype" w:eastAsia="Calibri" w:hAnsi="Palatino Linotype"/>
          <w:i/>
          <w:lang w:val="es-AR"/>
        </w:rPr>
        <w:t xml:space="preserve"> por el quejoso en la demanda de amparo</w:t>
      </w:r>
      <w:r w:rsidRPr="0092243D">
        <w:rPr>
          <w:rFonts w:ascii="Palatino Linotype" w:eastAsia="Calibri" w:hAnsi="Palatino Linotype"/>
          <w:b/>
          <w:i/>
          <w:lang w:val="es-AR"/>
        </w:rPr>
        <w:t>, sin hacer un pronunciamiento de fondo sobre la legalidad o ilegalidad de la sentencia reclamada</w:t>
      </w:r>
      <w:r w:rsidRPr="0092243D">
        <w:rPr>
          <w:rFonts w:ascii="Palatino Linotype" w:eastAsia="Calibri" w:hAnsi="Palatino Linotype"/>
          <w:i/>
          <w:lang w:val="es-AR"/>
        </w:rPr>
        <w:t xml:space="preserve">. </w:t>
      </w:r>
      <w:r w:rsidRPr="0092243D">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2243D">
        <w:rPr>
          <w:rFonts w:ascii="Palatino Linotype" w:eastAsia="Calibri" w:hAnsi="Palatino Linotype"/>
          <w:i/>
          <w:lang w:val="es-AR"/>
        </w:rPr>
        <w:t>.</w:t>
      </w:r>
    </w:p>
    <w:p w:rsidR="008F08B6" w:rsidRPr="0092243D" w:rsidRDefault="008F08B6" w:rsidP="008F08B6">
      <w:pPr>
        <w:spacing w:line="360" w:lineRule="auto"/>
        <w:ind w:left="567" w:right="616"/>
        <w:contextualSpacing/>
        <w:jc w:val="both"/>
        <w:rPr>
          <w:rFonts w:ascii="Palatino Linotype" w:eastAsia="Calibri" w:hAnsi="Palatino Linotype"/>
          <w:i/>
          <w:lang w:val="es-AR"/>
        </w:rPr>
      </w:pPr>
      <w:r w:rsidRPr="0092243D">
        <w:rPr>
          <w:rFonts w:ascii="Palatino Linotype" w:eastAsia="Calibri" w:hAnsi="Palatino Linotype"/>
          <w:i/>
          <w:lang w:val="es-AR"/>
        </w:rPr>
        <w:t>SÉPTIMO TRIBUNAL COLEGIADO EN MATERIA CIVIL DEL PRIMER CIRCUITO.</w:t>
      </w:r>
    </w:p>
    <w:p w:rsidR="008F08B6" w:rsidRPr="0092243D" w:rsidRDefault="008F08B6" w:rsidP="008F08B6">
      <w:pPr>
        <w:spacing w:line="360" w:lineRule="auto"/>
        <w:ind w:left="567" w:right="616"/>
        <w:contextualSpacing/>
        <w:jc w:val="both"/>
        <w:rPr>
          <w:rFonts w:ascii="Palatino Linotype" w:eastAsia="Calibri" w:hAnsi="Palatino Linotype"/>
          <w:b/>
          <w:i/>
          <w:lang w:val="es-AR"/>
        </w:rPr>
      </w:pPr>
      <w:r w:rsidRPr="0092243D">
        <w:rPr>
          <w:rFonts w:ascii="Palatino Linotype" w:eastAsia="Calibri" w:hAnsi="Palatino Linotype"/>
          <w:i/>
          <w:lang w:val="es-AR"/>
        </w:rPr>
        <w:lastRenderedPageBreak/>
        <w:t>Amparo directo 699/2008. Mariana Leticia González Steele. 13 de noviembre de 2008. Unanimidad de votos. Ponente: Sara Judith Montalvo Trejo. Secretario: Arnulfo Mateos García.</w:t>
      </w:r>
    </w:p>
    <w:p w:rsidR="008F08B6" w:rsidRPr="0092243D" w:rsidRDefault="008F08B6" w:rsidP="008F08B6">
      <w:pPr>
        <w:spacing w:line="360" w:lineRule="auto"/>
        <w:ind w:left="567" w:right="616"/>
        <w:contextualSpacing/>
        <w:jc w:val="both"/>
        <w:rPr>
          <w:rFonts w:ascii="Palatino Linotype" w:eastAsia="Calibri" w:hAnsi="Palatino Linotype"/>
          <w:i/>
          <w:lang w:val="es-AR"/>
        </w:rPr>
      </w:pPr>
    </w:p>
    <w:p w:rsidR="008F08B6" w:rsidRPr="0092243D" w:rsidRDefault="008F08B6" w:rsidP="008F08B6">
      <w:pPr>
        <w:spacing w:line="360" w:lineRule="auto"/>
        <w:ind w:left="567" w:right="616"/>
        <w:contextualSpacing/>
        <w:jc w:val="both"/>
        <w:rPr>
          <w:rFonts w:ascii="Palatino Linotype" w:eastAsia="Calibri" w:hAnsi="Palatino Linotype"/>
          <w:lang w:val="es-AR"/>
        </w:rPr>
      </w:pPr>
      <w:r w:rsidRPr="0092243D">
        <w:rPr>
          <w:rFonts w:ascii="Palatino Linotype" w:eastAsia="Calibri" w:hAnsi="Palatino Linotype"/>
          <w:lang w:val="es-AR"/>
        </w:rPr>
        <w:t>(Énfasis añadido)</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Por lo que para que se actualice el sobreseimiento de un recurso de revisión, el </w:t>
      </w:r>
      <w:r w:rsidRPr="0092243D">
        <w:rPr>
          <w:rFonts w:ascii="Palatino Linotype" w:eastAsia="Calibri" w:hAnsi="Palatino Linotype"/>
          <w:b/>
        </w:rPr>
        <w:t>SUJETO OBLIGADO</w:t>
      </w:r>
      <w:r w:rsidRPr="0092243D">
        <w:rPr>
          <w:rFonts w:ascii="Palatino Linotype" w:eastAsia="Calibri"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rsidR="008F08B6" w:rsidRPr="0092243D" w:rsidRDefault="008F08B6" w:rsidP="008F08B6">
      <w:pPr>
        <w:pStyle w:val="Prrafodelista"/>
        <w:spacing w:line="360" w:lineRule="auto"/>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hAnsi="Palatino Linotype"/>
        </w:rPr>
        <w:t xml:space="preserve">Bajo ese tenor y en términos del artículo 186 fracción I este Pleno determina el </w:t>
      </w:r>
      <w:r w:rsidRPr="0092243D">
        <w:rPr>
          <w:rFonts w:ascii="Palatino Linotype" w:hAnsi="Palatino Linotype"/>
          <w:b/>
        </w:rPr>
        <w:t>SOBRESEIMIENTO</w:t>
      </w:r>
      <w:r w:rsidRPr="0092243D">
        <w:rPr>
          <w:rFonts w:ascii="Palatino Linotype" w:hAnsi="Palatino Linotype"/>
        </w:rPr>
        <w:t xml:space="preserve"> del presente recurso de revisión, toda vez que la afectación al derecho de acceso a la información pública establecido constitucionalmente a favor del particular, ha sido resarcida.</w:t>
      </w:r>
    </w:p>
    <w:p w:rsidR="008F08B6" w:rsidRPr="0092243D" w:rsidRDefault="008F08B6" w:rsidP="008F08B6">
      <w:pPr>
        <w:spacing w:line="360" w:lineRule="auto"/>
        <w:ind w:right="49"/>
        <w:contextualSpacing/>
        <w:jc w:val="both"/>
        <w:rPr>
          <w:rFonts w:ascii="Palatino Linotype" w:hAnsi="Palatino Linotype"/>
        </w:rPr>
      </w:pPr>
    </w:p>
    <w:p w:rsidR="008F08B6" w:rsidRPr="0092243D" w:rsidRDefault="008F08B6" w:rsidP="008F08B6">
      <w:pPr>
        <w:numPr>
          <w:ilvl w:val="0"/>
          <w:numId w:val="15"/>
        </w:numPr>
        <w:spacing w:line="360" w:lineRule="auto"/>
        <w:ind w:left="0" w:right="49" w:firstLine="0"/>
        <w:contextualSpacing/>
        <w:jc w:val="both"/>
        <w:rPr>
          <w:rFonts w:ascii="Palatino Linotype" w:hAnsi="Palatino Linotype"/>
        </w:rPr>
      </w:pPr>
      <w:r w:rsidRPr="0092243D">
        <w:rPr>
          <w:rFonts w:ascii="Palatino Linotype" w:eastAsia="Calibri" w:hAnsi="Palatino Linotype"/>
        </w:rPr>
        <w:t xml:space="preserve">Por lo anteriormente expuesto y fundado, este </w:t>
      </w:r>
      <w:r w:rsidRPr="0092243D">
        <w:rPr>
          <w:rFonts w:ascii="Palatino Linotype" w:eastAsia="Calibri" w:hAnsi="Palatino Linotype"/>
          <w:b/>
          <w:bCs/>
        </w:rPr>
        <w:t>ÓRGANO GARANTE</w:t>
      </w:r>
      <w:r w:rsidRPr="0092243D">
        <w:rPr>
          <w:rFonts w:ascii="Palatino Linotype" w:eastAsia="Calibri" w:hAnsi="Palatino Linotype"/>
        </w:rPr>
        <w:t xml:space="preserve"> emite los siguientes:</w:t>
      </w:r>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6365DB" w:rsidRPr="0092243D" w:rsidRDefault="006365DB" w:rsidP="00C70E5B">
      <w:pPr>
        <w:spacing w:line="360" w:lineRule="auto"/>
        <w:contextualSpacing/>
        <w:jc w:val="both"/>
        <w:rPr>
          <w:rFonts w:ascii="Palatino Linotype" w:hAnsi="Palatino Linotype"/>
          <w:color w:val="000000" w:themeColor="text1"/>
        </w:rPr>
      </w:pPr>
    </w:p>
    <w:p w:rsidR="00C70E5B" w:rsidRPr="0092243D" w:rsidRDefault="00C70E5B" w:rsidP="00C70E5B">
      <w:pPr>
        <w:pStyle w:val="Ttulo1"/>
        <w:spacing w:before="0" w:line="360" w:lineRule="auto"/>
        <w:jc w:val="center"/>
        <w:rPr>
          <w:rFonts w:ascii="Palatino Linotype" w:eastAsia="Calibri" w:hAnsi="Palatino Linotype"/>
          <w:b/>
          <w:color w:val="000000" w:themeColor="text1"/>
          <w:sz w:val="24"/>
          <w:szCs w:val="24"/>
          <w:lang w:val="es-ES"/>
        </w:rPr>
      </w:pPr>
      <w:bookmarkStart w:id="168" w:name="_Toc504500693"/>
      <w:bookmarkStart w:id="169" w:name="_Toc534742545"/>
      <w:bookmarkStart w:id="170" w:name="_Toc2248738"/>
      <w:bookmarkStart w:id="171" w:name="_Toc34819440"/>
      <w:bookmarkStart w:id="172" w:name="_Toc51259595"/>
      <w:bookmarkStart w:id="173" w:name="_Toc82611052"/>
      <w:r w:rsidRPr="0092243D">
        <w:rPr>
          <w:rFonts w:ascii="Palatino Linotype" w:eastAsia="Calibri" w:hAnsi="Palatino Linotype"/>
          <w:b/>
          <w:color w:val="000000" w:themeColor="text1"/>
          <w:sz w:val="24"/>
          <w:szCs w:val="24"/>
          <w:lang w:val="es-ES"/>
        </w:rPr>
        <w:lastRenderedPageBreak/>
        <w:t>R E S O L U T I V O S</w:t>
      </w:r>
      <w:bookmarkEnd w:id="168"/>
      <w:bookmarkEnd w:id="169"/>
      <w:bookmarkEnd w:id="170"/>
      <w:bookmarkEnd w:id="171"/>
      <w:bookmarkEnd w:id="172"/>
      <w:bookmarkEnd w:id="173"/>
      <w:r w:rsidRPr="0092243D">
        <w:rPr>
          <w:rFonts w:ascii="Palatino Linotype" w:eastAsia="Calibri" w:hAnsi="Palatino Linotype"/>
          <w:b/>
          <w:color w:val="000000" w:themeColor="text1"/>
          <w:sz w:val="24"/>
          <w:szCs w:val="24"/>
          <w:lang w:val="es-ES"/>
        </w:rPr>
        <w:t xml:space="preserve"> </w:t>
      </w:r>
    </w:p>
    <w:p w:rsidR="00C70E5B" w:rsidRPr="0092243D" w:rsidRDefault="00C70E5B" w:rsidP="00C70E5B">
      <w:pPr>
        <w:rPr>
          <w:lang w:val="es-ES"/>
        </w:rPr>
      </w:pPr>
    </w:p>
    <w:p w:rsidR="008F08B6" w:rsidRPr="0092243D" w:rsidRDefault="008F08B6" w:rsidP="008F08B6">
      <w:pPr>
        <w:pStyle w:val="Sinespaciado"/>
        <w:spacing w:line="360" w:lineRule="auto"/>
        <w:jc w:val="both"/>
        <w:rPr>
          <w:rFonts w:ascii="Palatino Linotype" w:eastAsia="Times New Roman" w:hAnsi="Palatino Linotype"/>
          <w:lang w:val="es-MX"/>
        </w:rPr>
      </w:pPr>
      <w:r w:rsidRPr="0092243D">
        <w:rPr>
          <w:rFonts w:ascii="Palatino Linotype" w:hAnsi="Palatino Linotype"/>
          <w:b/>
        </w:rPr>
        <w:t xml:space="preserve">PRIMERO. </w:t>
      </w:r>
      <w:r w:rsidRPr="0092243D">
        <w:rPr>
          <w:rFonts w:ascii="Palatino Linotype" w:hAnsi="Palatino Linotype"/>
        </w:rPr>
        <w:t xml:space="preserve">Se </w:t>
      </w:r>
      <w:r w:rsidRPr="0092243D">
        <w:rPr>
          <w:rFonts w:ascii="Palatino Linotype" w:hAnsi="Palatino Linotype"/>
          <w:b/>
        </w:rPr>
        <w:t>SOBRESEE</w:t>
      </w:r>
      <w:r w:rsidRPr="0092243D">
        <w:rPr>
          <w:rFonts w:ascii="Palatino Linotype" w:hAnsi="Palatino Linotype"/>
        </w:rPr>
        <w:t xml:space="preserve"> el recurso de revisión número </w:t>
      </w:r>
      <w:r w:rsidRPr="0092243D">
        <w:rPr>
          <w:rFonts w:ascii="Palatino Linotype" w:hAnsi="Palatino Linotype" w:cs="Arial"/>
          <w:b/>
          <w:bCs/>
        </w:rPr>
        <w:t>00173/INFOEM/IP/RR/2022</w:t>
      </w:r>
      <w:r w:rsidRPr="0092243D">
        <w:rPr>
          <w:rFonts w:ascii="Palatino Linotype" w:hAnsi="Palatino Linotype"/>
        </w:rPr>
        <w:t xml:space="preserve">, porque al modificar la respuesta el recurso de revisión quedó sin materia en términos del  Considerando </w:t>
      </w:r>
      <w:r w:rsidRPr="0092243D">
        <w:rPr>
          <w:rFonts w:ascii="Palatino Linotype" w:hAnsi="Palatino Linotype"/>
          <w:b/>
        </w:rPr>
        <w:t>TERCERO</w:t>
      </w:r>
      <w:r w:rsidRPr="0092243D">
        <w:rPr>
          <w:rFonts w:ascii="Palatino Linotype" w:hAnsi="Palatino Linotype"/>
        </w:rPr>
        <w:t xml:space="preserve"> de la presente resolución</w:t>
      </w:r>
    </w:p>
    <w:p w:rsidR="006365DB" w:rsidRPr="0092243D" w:rsidRDefault="006365DB" w:rsidP="006365DB">
      <w:pPr>
        <w:spacing w:line="360" w:lineRule="auto"/>
        <w:jc w:val="both"/>
        <w:rPr>
          <w:rFonts w:ascii="Palatino Linotype" w:hAnsi="Palatino Linotype"/>
        </w:rPr>
      </w:pPr>
    </w:p>
    <w:p w:rsidR="00C70E5B" w:rsidRPr="0092243D" w:rsidRDefault="00C70E5B" w:rsidP="006365DB">
      <w:pPr>
        <w:pStyle w:val="Sinespaciado"/>
        <w:spacing w:line="360" w:lineRule="auto"/>
        <w:jc w:val="both"/>
        <w:rPr>
          <w:rFonts w:ascii="Palatino Linotype" w:eastAsia="Calibri" w:hAnsi="Palatino Linotype" w:cs="Arial"/>
          <w:b/>
          <w:bCs/>
          <w:lang w:val="es-ES"/>
        </w:rPr>
      </w:pPr>
      <w:r w:rsidRPr="0092243D">
        <w:rPr>
          <w:rFonts w:ascii="Palatino Linotype" w:eastAsia="Calibri" w:hAnsi="Palatino Linotype" w:cs="Arial"/>
          <w:b/>
          <w:bCs/>
          <w:lang w:val="es-ES"/>
        </w:rPr>
        <w:t xml:space="preserve">SEGUNDO. REMÍTASE </w:t>
      </w:r>
      <w:r w:rsidRPr="0092243D">
        <w:rPr>
          <w:rFonts w:ascii="Palatino Linotype" w:eastAsia="Calibri" w:hAnsi="Palatino Linotype" w:cs="Arial"/>
          <w:bCs/>
          <w:lang w:val="es-ES"/>
        </w:rPr>
        <w:t xml:space="preserve">a través del Sistema de Acceso a la Información Mexiquense </w:t>
      </w:r>
      <w:r w:rsidRPr="0092243D">
        <w:rPr>
          <w:rFonts w:ascii="Palatino Linotype" w:eastAsia="Calibri" w:hAnsi="Palatino Linotype" w:cs="Arial"/>
          <w:b/>
          <w:bCs/>
          <w:lang w:val="es-ES"/>
        </w:rPr>
        <w:t xml:space="preserve">(SAIMEX) </w:t>
      </w:r>
      <w:r w:rsidRPr="0092243D">
        <w:rPr>
          <w:rFonts w:ascii="Palatino Linotype" w:eastAsia="Calibri" w:hAnsi="Palatino Linotype" w:cs="Arial"/>
          <w:bCs/>
          <w:lang w:val="es-ES"/>
        </w:rPr>
        <w:t>la presente resolución al Titular de la Unidad de Transparencia del</w:t>
      </w:r>
      <w:r w:rsidRPr="0092243D">
        <w:rPr>
          <w:rFonts w:ascii="Palatino Linotype" w:eastAsia="Calibri" w:hAnsi="Palatino Linotype" w:cs="Arial"/>
          <w:b/>
          <w:bCs/>
          <w:lang w:val="es-ES"/>
        </w:rPr>
        <w:t xml:space="preserve"> SUJETO OBLIGADO. </w:t>
      </w:r>
    </w:p>
    <w:p w:rsidR="006365DB" w:rsidRPr="0092243D" w:rsidRDefault="006365DB" w:rsidP="006365DB">
      <w:pPr>
        <w:pStyle w:val="Sinespaciado"/>
        <w:spacing w:line="360" w:lineRule="auto"/>
        <w:jc w:val="both"/>
        <w:rPr>
          <w:rFonts w:ascii="Palatino Linotype" w:eastAsia="Calibri" w:hAnsi="Palatino Linotype" w:cs="Arial"/>
          <w:b/>
          <w:bCs/>
          <w:lang w:val="es-ES"/>
        </w:rPr>
      </w:pPr>
    </w:p>
    <w:p w:rsidR="00C70E5B" w:rsidRPr="0092243D" w:rsidRDefault="00C70E5B" w:rsidP="006365DB">
      <w:pPr>
        <w:pStyle w:val="Sinespaciado"/>
        <w:spacing w:line="360" w:lineRule="auto"/>
        <w:jc w:val="both"/>
        <w:rPr>
          <w:rFonts w:ascii="Palatino Linotype" w:eastAsia="Times New Roman" w:hAnsi="Palatino Linotype" w:cs="Times New Roman"/>
          <w:b/>
          <w:color w:val="222222"/>
          <w:lang w:val="es-ES" w:eastAsia="es-MX"/>
        </w:rPr>
      </w:pPr>
      <w:r w:rsidRPr="0092243D">
        <w:rPr>
          <w:rFonts w:ascii="Palatino Linotype" w:eastAsia="Times New Roman" w:hAnsi="Palatino Linotype" w:cs="Arial"/>
          <w:b/>
        </w:rPr>
        <w:t xml:space="preserve">TERCERO. </w:t>
      </w:r>
      <w:r w:rsidRPr="0092243D">
        <w:rPr>
          <w:rFonts w:ascii="Palatino Linotype" w:eastAsia="Times New Roman" w:hAnsi="Palatino Linotype" w:cs="Times New Roman"/>
          <w:b/>
          <w:bCs/>
          <w:lang w:val="es-ES"/>
        </w:rPr>
        <w:t xml:space="preserve">Notifíquese </w:t>
      </w:r>
      <w:r w:rsidRPr="0092243D">
        <w:rPr>
          <w:rFonts w:ascii="Palatino Linotype" w:eastAsia="Times New Roman" w:hAnsi="Palatino Linotype" w:cs="Times New Roman"/>
          <w:bCs/>
          <w:color w:val="222222"/>
          <w:lang w:val="es-ES"/>
        </w:rPr>
        <w:t xml:space="preserve">al </w:t>
      </w:r>
      <w:r w:rsidRPr="0092243D">
        <w:rPr>
          <w:rFonts w:ascii="Palatino Linotype" w:hAnsi="Palatino Linotype"/>
          <w:b/>
        </w:rPr>
        <w:t xml:space="preserve">RECURRENTE </w:t>
      </w:r>
      <w:r w:rsidRPr="0092243D">
        <w:rPr>
          <w:rFonts w:ascii="Palatino Linotype" w:eastAsia="Times New Roman" w:hAnsi="Palatino Linotype" w:cs="Times New Roman"/>
          <w:color w:val="222222"/>
          <w:lang w:val="es-ES" w:eastAsia="es-MX"/>
        </w:rPr>
        <w:t xml:space="preserve">la presente resolución a través del </w:t>
      </w:r>
      <w:r w:rsidRPr="0092243D">
        <w:rPr>
          <w:rFonts w:ascii="Palatino Linotype" w:eastAsia="Times New Roman" w:hAnsi="Palatino Linotype" w:cs="Times New Roman"/>
          <w:b/>
          <w:color w:val="222222"/>
          <w:lang w:val="es-ES" w:eastAsia="es-MX"/>
        </w:rPr>
        <w:t>SAIMEX.</w:t>
      </w:r>
    </w:p>
    <w:p w:rsidR="006365DB" w:rsidRPr="0092243D" w:rsidRDefault="006365DB" w:rsidP="006365DB">
      <w:pPr>
        <w:pStyle w:val="Sinespaciado"/>
        <w:spacing w:line="360" w:lineRule="auto"/>
        <w:jc w:val="both"/>
        <w:rPr>
          <w:rFonts w:ascii="Palatino Linotype" w:eastAsia="Times New Roman" w:hAnsi="Palatino Linotype" w:cs="Times New Roman"/>
          <w:color w:val="222222"/>
          <w:lang w:val="es-ES" w:eastAsia="es-MX"/>
        </w:rPr>
      </w:pPr>
    </w:p>
    <w:p w:rsidR="00C70E5B" w:rsidRPr="0092243D" w:rsidRDefault="00C70E5B" w:rsidP="006365DB">
      <w:pPr>
        <w:pStyle w:val="Prrafodelista"/>
        <w:spacing w:line="360" w:lineRule="auto"/>
        <w:ind w:left="0"/>
        <w:jc w:val="both"/>
        <w:rPr>
          <w:rFonts w:ascii="Palatino Linotype" w:eastAsia="MS Mincho" w:hAnsi="Palatino Linotype"/>
          <w:lang w:val="es-ES"/>
        </w:rPr>
      </w:pPr>
      <w:r w:rsidRPr="0092243D">
        <w:rPr>
          <w:rFonts w:ascii="Palatino Linotype" w:eastAsia="MS Mincho" w:hAnsi="Palatino Linotype"/>
          <w:b/>
        </w:rPr>
        <w:t>CUARTO.</w:t>
      </w:r>
      <w:r w:rsidRPr="0092243D">
        <w:rPr>
          <w:rFonts w:ascii="Palatino Linotype" w:eastAsia="MS Mincho" w:hAnsi="Palatino Linotype"/>
        </w:rPr>
        <w:t xml:space="preserve"> </w:t>
      </w:r>
      <w:r w:rsidRPr="0092243D">
        <w:rPr>
          <w:rFonts w:ascii="Palatino Linotype" w:eastAsia="MS Mincho" w:hAnsi="Palatino Linotype"/>
          <w:lang w:val="es-ES"/>
        </w:rPr>
        <w:t xml:space="preserve">Se hace del conocimiento de la </w:t>
      </w:r>
      <w:r w:rsidRPr="0092243D">
        <w:rPr>
          <w:rFonts w:ascii="Palatino Linotype" w:hAnsi="Palatino Linotype"/>
          <w:b/>
        </w:rPr>
        <w:t xml:space="preserve">RECURRENTE </w:t>
      </w:r>
      <w:r w:rsidRPr="0092243D">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92243D">
        <w:rPr>
          <w:rFonts w:ascii="Palatino Linotype" w:eastAsia="MS Mincho" w:hAnsi="Palatino Linotype"/>
          <w:bCs/>
          <w:lang w:val="es-ES"/>
        </w:rPr>
        <w:t xml:space="preserve">vía juicio de amparo </w:t>
      </w:r>
      <w:r w:rsidRPr="0092243D">
        <w:rPr>
          <w:rFonts w:ascii="Palatino Linotype" w:eastAsia="MS Mincho" w:hAnsi="Palatino Linotype"/>
          <w:lang w:val="es-ES"/>
        </w:rPr>
        <w:t>en los términos de las leyes aplicables.</w:t>
      </w:r>
    </w:p>
    <w:p w:rsidR="006365DB" w:rsidRPr="0092243D" w:rsidRDefault="006365DB" w:rsidP="006365DB">
      <w:pPr>
        <w:pStyle w:val="Prrafodelista"/>
        <w:spacing w:line="360" w:lineRule="auto"/>
        <w:ind w:left="0"/>
        <w:jc w:val="both"/>
        <w:rPr>
          <w:rFonts w:ascii="Palatino Linotype" w:eastAsia="MS Mincho" w:hAnsi="Palatino Linotype"/>
          <w:lang w:val="es-ES"/>
        </w:rPr>
      </w:pPr>
    </w:p>
    <w:p w:rsidR="0092243D" w:rsidRPr="00624AAD" w:rsidRDefault="0092243D" w:rsidP="0092243D">
      <w:pPr>
        <w:spacing w:before="240" w:after="240" w:line="360" w:lineRule="auto"/>
        <w:ind w:firstLine="1"/>
        <w:jc w:val="both"/>
        <w:rPr>
          <w:rFonts w:ascii="Palatino Linotype" w:hAnsi="Palatino Linotype"/>
        </w:rPr>
      </w:pPr>
      <w:bookmarkStart w:id="174" w:name="_Hlk99014733"/>
      <w:r w:rsidRPr="0092243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92243D">
        <w:rPr>
          <w:rFonts w:ascii="Palatino Linotype" w:hAnsi="Palatino Linotype"/>
        </w:rPr>
        <w:lastRenderedPageBreak/>
        <w:t>VILCHIS; MARÍA DEL ROSARIO MEJÍA AYALA; SHARON CRISTINA MORALES MARTÍNEZ; LUIS GUSTAVO PARRA NORIEGA Y GUADALUPE RAMÍREZ PEÑA EN LA DÉCIMA QUINTA SESIÓN ORDINARIA CELEBRADA EL VEINTISIETE (27) DE ABRIL DE DOS MIL VEINTIDÓS, ANTE EL SECRETARIO TÉCNICO DEL PLENO ALEXIS TAPIA RAMÍREZ.</w:t>
      </w:r>
      <w:r w:rsidRPr="00624AAD">
        <w:rPr>
          <w:rFonts w:ascii="Palatino Linotype" w:hAnsi="Palatino Linotype"/>
        </w:rPr>
        <w:t xml:space="preserve"> </w:t>
      </w:r>
    </w:p>
    <w:bookmarkEnd w:id="174"/>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bookmarkStart w:id="175" w:name="_GoBack"/>
      <w:bookmarkEnd w:id="175"/>
    </w:p>
    <w:sectPr w:rsidR="007C3761" w:rsidRPr="00855290" w:rsidSect="002F7469">
      <w:headerReference w:type="even" r:id="rId13"/>
      <w:headerReference w:type="default" r:id="rId14"/>
      <w:footerReference w:type="default" r:id="rId15"/>
      <w:headerReference w:type="first" r:id="rId16"/>
      <w:footerReference w:type="first" r:id="rId17"/>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746" w:rsidRDefault="00874746" w:rsidP="003B7751">
      <w:r>
        <w:separator/>
      </w:r>
    </w:p>
  </w:endnote>
  <w:endnote w:type="continuationSeparator" w:id="0">
    <w:p w:rsidR="00874746" w:rsidRDefault="0087474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403A" w:rsidRPr="002D6DD8"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243D">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2243D">
              <w:rPr>
                <w:rFonts w:ascii="Palatino Linotype" w:hAnsi="Palatino Linotype"/>
                <w:bCs/>
                <w:noProof/>
                <w:sz w:val="20"/>
              </w:rPr>
              <w:t>36</w:t>
            </w:r>
            <w:r>
              <w:rPr>
                <w:rFonts w:ascii="Palatino Linotype" w:hAnsi="Palatino Linotype"/>
                <w:bCs/>
                <w:noProof/>
                <w:sz w:val="20"/>
              </w:rPr>
              <w:fldChar w:fldCharType="end"/>
            </w:r>
          </w:p>
        </w:sdtContent>
      </w:sdt>
    </w:sdtContent>
  </w:sdt>
  <w:p w:rsidR="00D4403A" w:rsidRDefault="00D4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Pr="000B69FA"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24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2243D">
      <w:rPr>
        <w:rFonts w:ascii="Palatino Linotype" w:hAnsi="Palatino Linotype"/>
        <w:bCs/>
        <w:noProof/>
        <w:sz w:val="20"/>
      </w:rPr>
      <w:t>36</w:t>
    </w:r>
    <w:r>
      <w:rPr>
        <w:rFonts w:ascii="Palatino Linotype" w:hAnsi="Palatino Linotype"/>
        <w:bCs/>
        <w:noProof/>
        <w:sz w:val="20"/>
      </w:rPr>
      <w:fldChar w:fldCharType="end"/>
    </w:r>
  </w:p>
  <w:p w:rsidR="00D4403A" w:rsidRDefault="00D44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746" w:rsidRDefault="00874746" w:rsidP="003B7751">
      <w:r>
        <w:separator/>
      </w:r>
    </w:p>
  </w:footnote>
  <w:footnote w:type="continuationSeparator" w:id="0">
    <w:p w:rsidR="00874746" w:rsidRDefault="00874746" w:rsidP="003B7751">
      <w:r>
        <w:continuationSeparator/>
      </w:r>
    </w:p>
  </w:footnote>
  <w:footnote w:id="1">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D4403A" w:rsidRDefault="00D4403A"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F03D89" w:rsidRPr="00E70844" w:rsidRDefault="00F03D89" w:rsidP="00F03D89">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6">
    <w:p w:rsidR="00F03D89" w:rsidRPr="009064F6" w:rsidRDefault="00F03D89" w:rsidP="00F03D89">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7">
    <w:p w:rsidR="00F03D89" w:rsidRPr="00E70844" w:rsidRDefault="00F03D89" w:rsidP="00F03D89">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8">
    <w:p w:rsidR="00F03D89" w:rsidRPr="00E70844" w:rsidRDefault="00F03D89" w:rsidP="00F03D89">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rsidR="00F03D89" w:rsidRPr="00CE236E" w:rsidRDefault="00F03D89" w:rsidP="00F03D89">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Default="0087474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403A" w:rsidTr="006A04B6">
      <w:trPr>
        <w:trHeight w:val="227"/>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403A" w:rsidRPr="00485ED8" w:rsidRDefault="00297994" w:rsidP="003E66D2">
          <w:pPr>
            <w:pStyle w:val="Encabezado"/>
            <w:rPr>
              <w:rFonts w:ascii="Palatino Linotype" w:hAnsi="Palatino Linotype"/>
              <w:b/>
              <w:sz w:val="22"/>
              <w:szCs w:val="22"/>
            </w:rPr>
          </w:pPr>
          <w:r>
            <w:rPr>
              <w:rFonts w:ascii="Palatino Linotype" w:hAnsi="Palatino Linotype" w:cs="Arial"/>
              <w:b/>
              <w:bCs/>
              <w:sz w:val="22"/>
              <w:szCs w:val="22"/>
              <w:lang w:eastAsia="es-MX"/>
            </w:rPr>
            <w:t>0017</w:t>
          </w:r>
          <w:r w:rsidR="00D4403A">
            <w:rPr>
              <w:rFonts w:ascii="Palatino Linotype" w:hAnsi="Palatino Linotype" w:cs="Arial"/>
              <w:b/>
              <w:bCs/>
              <w:sz w:val="22"/>
              <w:szCs w:val="22"/>
              <w:lang w:eastAsia="es-MX"/>
            </w:rPr>
            <w:t>3</w:t>
          </w:r>
          <w:r w:rsidR="00D4403A" w:rsidRPr="00485ED8">
            <w:rPr>
              <w:rFonts w:ascii="Palatino Linotype" w:hAnsi="Palatino Linotype" w:cs="Arial"/>
              <w:b/>
              <w:bCs/>
              <w:sz w:val="22"/>
              <w:szCs w:val="22"/>
              <w:lang w:eastAsia="es-MX"/>
            </w:rPr>
            <w:t>/INFOEM/IP/RR/202</w:t>
          </w:r>
          <w:r w:rsidR="00D4403A">
            <w:rPr>
              <w:rFonts w:ascii="Palatino Linotype" w:hAnsi="Palatino Linotype" w:cs="Arial"/>
              <w:b/>
              <w:bCs/>
              <w:sz w:val="22"/>
              <w:szCs w:val="22"/>
              <w:lang w:eastAsia="es-MX"/>
            </w:rPr>
            <w:t>2</w:t>
          </w:r>
        </w:p>
      </w:tc>
    </w:tr>
    <w:tr w:rsidR="00D4403A" w:rsidTr="006A04B6">
      <w:trPr>
        <w:trHeight w:val="2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403A" w:rsidRPr="00485ED8" w:rsidRDefault="00297994" w:rsidP="009F09BC">
          <w:pPr>
            <w:pStyle w:val="Encabezado"/>
            <w:jc w:val="both"/>
            <w:rPr>
              <w:rFonts w:ascii="Palatino Linotype" w:hAnsi="Palatino Linotype"/>
              <w:b/>
              <w:sz w:val="22"/>
              <w:szCs w:val="22"/>
            </w:rPr>
          </w:pPr>
          <w:r w:rsidRPr="00297994">
            <w:rPr>
              <w:rFonts w:ascii="Palatino Linotype" w:hAnsi="Palatino Linotype"/>
              <w:b/>
              <w:bCs/>
              <w:color w:val="000000"/>
              <w:sz w:val="22"/>
              <w:szCs w:val="22"/>
            </w:rPr>
            <w:t>Ayuntamiento de Cuautitlán Izcalli</w:t>
          </w:r>
        </w:p>
      </w:tc>
    </w:tr>
    <w:tr w:rsidR="00D4403A" w:rsidTr="006A04B6">
      <w:trPr>
        <w:trHeight w:val="3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D4403A" w:rsidRPr="00485ED8" w:rsidRDefault="00D4403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403A" w:rsidRPr="00AE046A" w:rsidRDefault="00874746"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403A" w:rsidTr="006A04B6">
      <w:trPr>
        <w:trHeight w:val="227"/>
      </w:trPr>
      <w:tc>
        <w:tcPr>
          <w:tcW w:w="2977" w:type="dxa"/>
          <w:vAlign w:val="center"/>
          <w:hideMark/>
        </w:tcPr>
        <w:p w:rsidR="00D4403A" w:rsidRPr="00674A46" w:rsidRDefault="00D4403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403A" w:rsidRPr="00485ED8" w:rsidRDefault="00D4403A" w:rsidP="00C674FC">
          <w:pPr>
            <w:pStyle w:val="Encabezado"/>
            <w:rPr>
              <w:rFonts w:ascii="Palatino Linotype" w:hAnsi="Palatino Linotype"/>
              <w:b/>
              <w:sz w:val="22"/>
              <w:szCs w:val="22"/>
            </w:rPr>
          </w:pPr>
          <w:r>
            <w:rPr>
              <w:rFonts w:ascii="Palatino Linotype" w:hAnsi="Palatino Linotype" w:cs="Arial"/>
              <w:b/>
              <w:bCs/>
              <w:sz w:val="22"/>
              <w:szCs w:val="22"/>
              <w:lang w:eastAsia="es-MX"/>
            </w:rPr>
            <w:t>00</w:t>
          </w:r>
          <w:r w:rsidR="00297994">
            <w:rPr>
              <w:rFonts w:ascii="Palatino Linotype" w:hAnsi="Palatino Linotype" w:cs="Arial"/>
              <w:b/>
              <w:bCs/>
              <w:sz w:val="22"/>
              <w:szCs w:val="22"/>
              <w:lang w:eastAsia="es-MX"/>
            </w:rPr>
            <w:t>17</w:t>
          </w:r>
          <w:r w:rsidR="00C674FC">
            <w:rPr>
              <w:rFonts w:ascii="Palatino Linotype" w:hAnsi="Palatino Linotype" w:cs="Arial"/>
              <w:b/>
              <w:bCs/>
              <w:sz w:val="22"/>
              <w:szCs w:val="22"/>
              <w:lang w:eastAsia="es-MX"/>
            </w:rPr>
            <w:t>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D4403A" w:rsidTr="006A04B6">
      <w:trPr>
        <w:trHeight w:val="242"/>
      </w:trPr>
      <w:tc>
        <w:tcPr>
          <w:tcW w:w="2977" w:type="dxa"/>
          <w:vAlign w:val="center"/>
          <w:hideMark/>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403A" w:rsidRPr="00B75F20" w:rsidRDefault="00D4403A" w:rsidP="009F09BC">
          <w:pPr>
            <w:pStyle w:val="Encabezado"/>
            <w:tabs>
              <w:tab w:val="left" w:pos="521"/>
            </w:tabs>
            <w:rPr>
              <w:rFonts w:ascii="Palatino Linotype" w:hAnsi="Palatino Linotype"/>
              <w:b/>
              <w:sz w:val="22"/>
              <w:szCs w:val="22"/>
            </w:rPr>
          </w:pP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403A" w:rsidRPr="00674A46" w:rsidRDefault="00297994" w:rsidP="009F09BC">
          <w:pPr>
            <w:pStyle w:val="Encabezado"/>
            <w:jc w:val="both"/>
            <w:rPr>
              <w:rFonts w:ascii="Palatino Linotype" w:hAnsi="Palatino Linotype"/>
              <w:b/>
              <w:sz w:val="22"/>
              <w:szCs w:val="22"/>
            </w:rPr>
          </w:pPr>
          <w:r w:rsidRPr="00297994">
            <w:rPr>
              <w:rFonts w:ascii="Palatino Linotype" w:hAnsi="Palatino Linotype"/>
              <w:b/>
              <w:bCs/>
              <w:color w:val="000000"/>
              <w:sz w:val="22"/>
              <w:szCs w:val="22"/>
            </w:rPr>
            <w:t>Ayuntamiento de Cuautitlán Izcalli</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403A" w:rsidRPr="00674A46" w:rsidRDefault="00D4403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403A" w:rsidRPr="00C222C0" w:rsidRDefault="00874746">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
  </w:num>
  <w:num w:numId="8">
    <w:abstractNumId w:val="1"/>
  </w:num>
  <w:num w:numId="9">
    <w:abstractNumId w:val="35"/>
  </w:num>
  <w:num w:numId="10">
    <w:abstractNumId w:val="22"/>
  </w:num>
  <w:num w:numId="11">
    <w:abstractNumId w:val="16"/>
  </w:num>
  <w:num w:numId="12">
    <w:abstractNumId w:val="25"/>
  </w:num>
  <w:num w:numId="13">
    <w:abstractNumId w:val="36"/>
  </w:num>
  <w:num w:numId="14">
    <w:abstractNumId w:val="6"/>
  </w:num>
  <w:num w:numId="15">
    <w:abstractNumId w:val="19"/>
  </w:num>
  <w:num w:numId="16">
    <w:abstractNumId w:val="32"/>
  </w:num>
  <w:num w:numId="17">
    <w:abstractNumId w:val="12"/>
  </w:num>
  <w:num w:numId="18">
    <w:abstractNumId w:val="27"/>
  </w:num>
  <w:num w:numId="19">
    <w:abstractNumId w:val="37"/>
  </w:num>
  <w:num w:numId="20">
    <w:abstractNumId w:val="20"/>
  </w:num>
  <w:num w:numId="21">
    <w:abstractNumId w:val="24"/>
  </w:num>
  <w:num w:numId="22">
    <w:abstractNumId w:val="17"/>
  </w:num>
  <w:num w:numId="23">
    <w:abstractNumId w:val="39"/>
  </w:num>
  <w:num w:numId="24">
    <w:abstractNumId w:val="9"/>
  </w:num>
  <w:num w:numId="25">
    <w:abstractNumId w:val="33"/>
  </w:num>
  <w:num w:numId="26">
    <w:abstractNumId w:val="23"/>
  </w:num>
  <w:num w:numId="27">
    <w:abstractNumId w:val="7"/>
  </w:num>
  <w:num w:numId="28">
    <w:abstractNumId w:val="34"/>
  </w:num>
  <w:num w:numId="29">
    <w:abstractNumId w:val="31"/>
  </w:num>
  <w:num w:numId="30">
    <w:abstractNumId w:val="26"/>
  </w:num>
  <w:num w:numId="31">
    <w:abstractNumId w:val="38"/>
  </w:num>
  <w:num w:numId="32">
    <w:abstractNumId w:val="21"/>
  </w:num>
  <w:num w:numId="33">
    <w:abstractNumId w:val="10"/>
  </w:num>
  <w:num w:numId="34">
    <w:abstractNumId w:val="15"/>
  </w:num>
  <w:num w:numId="35">
    <w:abstractNumId w:val="8"/>
  </w:num>
  <w:num w:numId="36">
    <w:abstractNumId w:val="30"/>
  </w:num>
  <w:num w:numId="37">
    <w:abstractNumId w:val="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29"/>
  </w:num>
  <w:num w:numId="43">
    <w:abstractNumId w:val="1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674C"/>
    <w:rsid w:val="00020780"/>
    <w:rsid w:val="00030FBC"/>
    <w:rsid w:val="000373F6"/>
    <w:rsid w:val="00040869"/>
    <w:rsid w:val="00041972"/>
    <w:rsid w:val="00051287"/>
    <w:rsid w:val="0008243D"/>
    <w:rsid w:val="000E1A02"/>
    <w:rsid w:val="000E4891"/>
    <w:rsid w:val="00112D7E"/>
    <w:rsid w:val="00113D9A"/>
    <w:rsid w:val="00114502"/>
    <w:rsid w:val="00126C85"/>
    <w:rsid w:val="001352F5"/>
    <w:rsid w:val="00140817"/>
    <w:rsid w:val="00161BBF"/>
    <w:rsid w:val="001634DC"/>
    <w:rsid w:val="001A1658"/>
    <w:rsid w:val="001A18E7"/>
    <w:rsid w:val="001C4290"/>
    <w:rsid w:val="001D23C1"/>
    <w:rsid w:val="001D373F"/>
    <w:rsid w:val="001D5404"/>
    <w:rsid w:val="00223C06"/>
    <w:rsid w:val="00246A14"/>
    <w:rsid w:val="00272CA2"/>
    <w:rsid w:val="00277FAC"/>
    <w:rsid w:val="002901F4"/>
    <w:rsid w:val="00291500"/>
    <w:rsid w:val="00297994"/>
    <w:rsid w:val="002C0D3C"/>
    <w:rsid w:val="002C40FB"/>
    <w:rsid w:val="002C4997"/>
    <w:rsid w:val="002F7469"/>
    <w:rsid w:val="0030094A"/>
    <w:rsid w:val="00306BC0"/>
    <w:rsid w:val="00310233"/>
    <w:rsid w:val="00312281"/>
    <w:rsid w:val="00323FFD"/>
    <w:rsid w:val="003437D9"/>
    <w:rsid w:val="00345F0A"/>
    <w:rsid w:val="003522EE"/>
    <w:rsid w:val="00353F1D"/>
    <w:rsid w:val="00372672"/>
    <w:rsid w:val="00375B0E"/>
    <w:rsid w:val="003833B3"/>
    <w:rsid w:val="003A15C8"/>
    <w:rsid w:val="003B15A3"/>
    <w:rsid w:val="003B7751"/>
    <w:rsid w:val="003C13F1"/>
    <w:rsid w:val="003E5390"/>
    <w:rsid w:val="003E66D2"/>
    <w:rsid w:val="00402466"/>
    <w:rsid w:val="00407FDA"/>
    <w:rsid w:val="004118FA"/>
    <w:rsid w:val="004208F3"/>
    <w:rsid w:val="00425842"/>
    <w:rsid w:val="00437672"/>
    <w:rsid w:val="004525CB"/>
    <w:rsid w:val="00456CFF"/>
    <w:rsid w:val="0046395B"/>
    <w:rsid w:val="00486BCF"/>
    <w:rsid w:val="004A4393"/>
    <w:rsid w:val="004C139A"/>
    <w:rsid w:val="004E4EE6"/>
    <w:rsid w:val="004E6CE4"/>
    <w:rsid w:val="004F34D1"/>
    <w:rsid w:val="005432D0"/>
    <w:rsid w:val="00546076"/>
    <w:rsid w:val="00547ACE"/>
    <w:rsid w:val="005507B0"/>
    <w:rsid w:val="00554A21"/>
    <w:rsid w:val="00556E0A"/>
    <w:rsid w:val="00563F2E"/>
    <w:rsid w:val="0057514F"/>
    <w:rsid w:val="00582AC4"/>
    <w:rsid w:val="00592F5C"/>
    <w:rsid w:val="005B076D"/>
    <w:rsid w:val="005B3B95"/>
    <w:rsid w:val="005C5021"/>
    <w:rsid w:val="005D2F1C"/>
    <w:rsid w:val="005D4C57"/>
    <w:rsid w:val="00614B85"/>
    <w:rsid w:val="006365DB"/>
    <w:rsid w:val="00647F7C"/>
    <w:rsid w:val="006569AA"/>
    <w:rsid w:val="00657639"/>
    <w:rsid w:val="0068269C"/>
    <w:rsid w:val="006972C5"/>
    <w:rsid w:val="006A04B6"/>
    <w:rsid w:val="006A6390"/>
    <w:rsid w:val="006D15D0"/>
    <w:rsid w:val="006D6CC1"/>
    <w:rsid w:val="006E237E"/>
    <w:rsid w:val="006E7397"/>
    <w:rsid w:val="006E7C94"/>
    <w:rsid w:val="006F3EF7"/>
    <w:rsid w:val="00705EFD"/>
    <w:rsid w:val="00711062"/>
    <w:rsid w:val="00716BCA"/>
    <w:rsid w:val="00720371"/>
    <w:rsid w:val="007210B9"/>
    <w:rsid w:val="0073654B"/>
    <w:rsid w:val="00742823"/>
    <w:rsid w:val="00775EB2"/>
    <w:rsid w:val="00782A12"/>
    <w:rsid w:val="007851DB"/>
    <w:rsid w:val="007A6A1A"/>
    <w:rsid w:val="007C095D"/>
    <w:rsid w:val="007C3761"/>
    <w:rsid w:val="00814271"/>
    <w:rsid w:val="00831B89"/>
    <w:rsid w:val="00843EFF"/>
    <w:rsid w:val="008526F4"/>
    <w:rsid w:val="00855290"/>
    <w:rsid w:val="008563C8"/>
    <w:rsid w:val="008573BF"/>
    <w:rsid w:val="0086288E"/>
    <w:rsid w:val="00862AD1"/>
    <w:rsid w:val="0086792A"/>
    <w:rsid w:val="00873EB6"/>
    <w:rsid w:val="00874746"/>
    <w:rsid w:val="008A699B"/>
    <w:rsid w:val="008B0637"/>
    <w:rsid w:val="008C1ED7"/>
    <w:rsid w:val="008E330F"/>
    <w:rsid w:val="008E6050"/>
    <w:rsid w:val="008E6574"/>
    <w:rsid w:val="008F08B6"/>
    <w:rsid w:val="008F6D18"/>
    <w:rsid w:val="009072B7"/>
    <w:rsid w:val="00911A75"/>
    <w:rsid w:val="009126F1"/>
    <w:rsid w:val="0092243D"/>
    <w:rsid w:val="009335F9"/>
    <w:rsid w:val="00933A28"/>
    <w:rsid w:val="00945135"/>
    <w:rsid w:val="009A1104"/>
    <w:rsid w:val="009A1604"/>
    <w:rsid w:val="009A2251"/>
    <w:rsid w:val="009B0D6B"/>
    <w:rsid w:val="009C30BF"/>
    <w:rsid w:val="009D5A32"/>
    <w:rsid w:val="009D65DE"/>
    <w:rsid w:val="009E61CA"/>
    <w:rsid w:val="009F09BC"/>
    <w:rsid w:val="00A054B6"/>
    <w:rsid w:val="00A23E82"/>
    <w:rsid w:val="00A626EB"/>
    <w:rsid w:val="00A8787D"/>
    <w:rsid w:val="00AA0C54"/>
    <w:rsid w:val="00AD316E"/>
    <w:rsid w:val="00AD63B4"/>
    <w:rsid w:val="00AE7AEB"/>
    <w:rsid w:val="00AF4BBC"/>
    <w:rsid w:val="00AF4EB9"/>
    <w:rsid w:val="00B07BF8"/>
    <w:rsid w:val="00B47955"/>
    <w:rsid w:val="00B54047"/>
    <w:rsid w:val="00B964BE"/>
    <w:rsid w:val="00BF3FB5"/>
    <w:rsid w:val="00C0715F"/>
    <w:rsid w:val="00C105CC"/>
    <w:rsid w:val="00C14F2A"/>
    <w:rsid w:val="00C21FAE"/>
    <w:rsid w:val="00C23EB6"/>
    <w:rsid w:val="00C41B2B"/>
    <w:rsid w:val="00C54D99"/>
    <w:rsid w:val="00C5781C"/>
    <w:rsid w:val="00C674FC"/>
    <w:rsid w:val="00C70E5B"/>
    <w:rsid w:val="00C85E64"/>
    <w:rsid w:val="00C87396"/>
    <w:rsid w:val="00C90814"/>
    <w:rsid w:val="00C91F0F"/>
    <w:rsid w:val="00CA1063"/>
    <w:rsid w:val="00CA3A63"/>
    <w:rsid w:val="00CC5B2F"/>
    <w:rsid w:val="00CF0D2B"/>
    <w:rsid w:val="00CF1B6E"/>
    <w:rsid w:val="00D021A5"/>
    <w:rsid w:val="00D06ECC"/>
    <w:rsid w:val="00D16FC7"/>
    <w:rsid w:val="00D4403A"/>
    <w:rsid w:val="00D47231"/>
    <w:rsid w:val="00D6224B"/>
    <w:rsid w:val="00D81329"/>
    <w:rsid w:val="00DA6538"/>
    <w:rsid w:val="00DA6D37"/>
    <w:rsid w:val="00DA782E"/>
    <w:rsid w:val="00DB507B"/>
    <w:rsid w:val="00DB753F"/>
    <w:rsid w:val="00DC2A2B"/>
    <w:rsid w:val="00E02175"/>
    <w:rsid w:val="00E069C1"/>
    <w:rsid w:val="00E118BA"/>
    <w:rsid w:val="00E17429"/>
    <w:rsid w:val="00E43FC8"/>
    <w:rsid w:val="00E56172"/>
    <w:rsid w:val="00E5636B"/>
    <w:rsid w:val="00E566C9"/>
    <w:rsid w:val="00E56AF3"/>
    <w:rsid w:val="00E61DA9"/>
    <w:rsid w:val="00E75651"/>
    <w:rsid w:val="00E819F3"/>
    <w:rsid w:val="00E92E04"/>
    <w:rsid w:val="00EA3B95"/>
    <w:rsid w:val="00ED1D6B"/>
    <w:rsid w:val="00ED3A35"/>
    <w:rsid w:val="00ED6E75"/>
    <w:rsid w:val="00EF522A"/>
    <w:rsid w:val="00F03D89"/>
    <w:rsid w:val="00F24A04"/>
    <w:rsid w:val="00F30E97"/>
    <w:rsid w:val="00F35B0C"/>
    <w:rsid w:val="00F42ADB"/>
    <w:rsid w:val="00F7371C"/>
    <w:rsid w:val="00F81B92"/>
    <w:rsid w:val="00F946B5"/>
    <w:rsid w:val="00FC0A83"/>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8842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1EA2E-AABC-4F23-9D5C-91F0BE8A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36</Pages>
  <Words>7443</Words>
  <Characters>40941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15</cp:revision>
  <dcterms:created xsi:type="dcterms:W3CDTF">2022-04-19T19:32:00Z</dcterms:created>
  <dcterms:modified xsi:type="dcterms:W3CDTF">2022-04-27T19:00:00Z</dcterms:modified>
</cp:coreProperties>
</file>