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0688A" w:rsidP="008D7D0A" w:rsidRDefault="0020688A" w14:paraId="326FA6D7" w14:textId="77777777">
      <w:pPr>
        <w:tabs>
          <w:tab w:val="left" w:pos="8931"/>
        </w:tabs>
        <w:spacing w:after="0" w:line="360" w:lineRule="auto"/>
        <w:rPr>
          <w:rFonts w:cs="Tahoma"/>
          <w:bCs/>
        </w:rPr>
      </w:pPr>
    </w:p>
    <w:p w:rsidRPr="0072696E" w:rsidR="00051642" w:rsidP="008D7D0A" w:rsidRDefault="00051642" w14:paraId="5F6FE23B" w14:textId="5403D783">
      <w:pPr>
        <w:tabs>
          <w:tab w:val="left" w:pos="8931"/>
        </w:tabs>
        <w:spacing w:after="0" w:line="360" w:lineRule="auto"/>
        <w:rPr>
          <w:rFonts w:eastAsia="Calibri" w:cs="Tahoma"/>
          <w:lang w:val="es-ES"/>
        </w:rPr>
      </w:pPr>
      <w:r w:rsidRPr="0072696E">
        <w:rPr>
          <w:rFonts w:cs="Tahoma"/>
          <w:bCs/>
        </w:rPr>
        <w:t xml:space="preserve">Resolución del Pleno del Instituto de Transparencia, Acceso a la Información Pública y Protección de Datos Personales del Estado de México y Municipios, con domicilio en Metepec, </w:t>
      </w:r>
      <w:r w:rsidRPr="0072696E">
        <w:rPr>
          <w:rFonts w:eastAsia="Calibri" w:cs="Tahoma"/>
          <w:lang w:val="es-ES"/>
        </w:rPr>
        <w:t xml:space="preserve">Estado de México, de fecha </w:t>
      </w:r>
      <w:r w:rsidRPr="0072696E" w:rsidR="008714BA">
        <w:rPr>
          <w:rFonts w:eastAsia="Calibri" w:cs="Tahoma"/>
          <w:lang w:val="es-ES"/>
        </w:rPr>
        <w:t>diez</w:t>
      </w:r>
      <w:r w:rsidRPr="0072696E" w:rsidR="006364F0">
        <w:rPr>
          <w:rFonts w:eastAsia="Calibri" w:cs="Tahoma"/>
          <w:lang w:val="es-ES"/>
        </w:rPr>
        <w:t xml:space="preserve"> de agosto</w:t>
      </w:r>
      <w:r w:rsidRPr="0072696E">
        <w:rPr>
          <w:rFonts w:eastAsia="Calibri" w:cs="Tahoma"/>
          <w:lang w:val="es-ES"/>
        </w:rPr>
        <w:t xml:space="preserve"> de dos mil veinti</w:t>
      </w:r>
      <w:r w:rsidRPr="0072696E" w:rsidR="00E64AB0">
        <w:rPr>
          <w:rFonts w:eastAsia="Calibri" w:cs="Tahoma"/>
          <w:lang w:val="es-ES"/>
        </w:rPr>
        <w:t>dós</w:t>
      </w:r>
      <w:r w:rsidRPr="0072696E">
        <w:rPr>
          <w:rFonts w:eastAsia="Calibri" w:cs="Tahoma"/>
          <w:lang w:val="es-ES"/>
        </w:rPr>
        <w:t xml:space="preserve">. </w:t>
      </w:r>
    </w:p>
    <w:p w:rsidRPr="0072696E" w:rsidR="00051642" w:rsidP="008D7D0A" w:rsidRDefault="00051642" w14:paraId="6246E0DA" w14:textId="77777777">
      <w:pPr>
        <w:spacing w:after="0" w:line="360" w:lineRule="auto"/>
        <w:rPr>
          <w:rFonts w:eastAsia="Calibri" w:cs="Tahoma"/>
          <w:b/>
          <w:bCs/>
          <w:lang w:val="es-ES"/>
        </w:rPr>
      </w:pPr>
    </w:p>
    <w:p w:rsidRPr="0072696E" w:rsidR="00051642" w:rsidP="067B4947" w:rsidRDefault="00051642" w14:paraId="542CE8DB" w14:textId="11AAAC4F">
      <w:pPr>
        <w:spacing w:after="0" w:line="360" w:lineRule="auto"/>
        <w:rPr>
          <w:rFonts w:cs="Tahoma"/>
          <w:color w:val="0D0D0D" w:themeColor="text1" w:themeTint="F2"/>
        </w:rPr>
      </w:pPr>
      <w:r w:rsidRPr="067B4947" w:rsidR="067B4947">
        <w:rPr>
          <w:rFonts w:eastAsia="Calibri" w:cs="Tahoma"/>
          <w:b w:val="1"/>
          <w:bCs w:val="1"/>
          <w:lang w:val="es-ES"/>
        </w:rPr>
        <w:t xml:space="preserve">VISTO </w:t>
      </w:r>
      <w:r w:rsidRPr="067B4947" w:rsidR="067B4947">
        <w:rPr>
          <w:rFonts w:eastAsia="Calibri" w:cs="Tahoma"/>
          <w:lang w:val="es-ES"/>
        </w:rPr>
        <w:t xml:space="preserve">el expediente conformado con motivo de los Recursos de Revisión </w:t>
      </w:r>
      <w:bookmarkStart w:name="_Hlk94093986" w:id="0"/>
      <w:r w:rsidRPr="067B4947" w:rsidR="067B4947">
        <w:rPr>
          <w:rFonts w:eastAsia="Calibri" w:cs="Tahoma"/>
        </w:rPr>
        <w:t xml:space="preserve">10301/INFOEM/IP/RR/2022 y </w:t>
      </w:r>
      <w:bookmarkEnd w:id="0"/>
      <w:r w:rsidRPr="067B4947" w:rsidR="067B4947">
        <w:rPr>
          <w:rFonts w:eastAsia="Calibri" w:cs="Tahoma"/>
        </w:rPr>
        <w:t xml:space="preserve">10303/INFOEM/IP/RR/2022, interpuestos por </w:t>
      </w:r>
      <w:r w:rsidRPr="067B4947" w:rsidR="067B4947">
        <w:rPr>
          <w:rFonts w:eastAsia="Calibri" w:cs="Tahoma"/>
          <w:highlight w:val="black"/>
        </w:rPr>
        <w:t>XXXXX</w:t>
      </w:r>
      <w:r w:rsidRPr="067B4947" w:rsidR="067B4947">
        <w:rPr>
          <w:rFonts w:eastAsia="Calibri" w:cs="Tahoma"/>
        </w:rPr>
        <w:t xml:space="preserve"> </w:t>
      </w:r>
      <w:r w:rsidRPr="067B4947" w:rsidR="067B4947">
        <w:rPr>
          <w:rFonts w:eastAsia="Calibri" w:cs="Tahoma"/>
          <w:highlight w:val="black"/>
        </w:rPr>
        <w:t>XXXXXXXXXXXXXXX</w:t>
      </w:r>
      <w:r w:rsidRPr="067B4947" w:rsidR="067B4947">
        <w:rPr>
          <w:rFonts w:eastAsia="Calibri" w:cs="Tahoma"/>
        </w:rPr>
        <w:t xml:space="preserve">, en lo sucesivo, </w:t>
      </w:r>
      <w:r w:rsidRPr="067B4947" w:rsidR="067B4947">
        <w:rPr>
          <w:rFonts w:cs="Tahoma"/>
          <w:color w:val="0D0D0D" w:themeColor="text1" w:themeTint="F2" w:themeShade="FF"/>
        </w:rPr>
        <w:t>Recurrente o Particular, en contra de la respuesta del Sujeto Obligado, Ayuntamiento de Tenancingo, a las solicitudes de acceso a la información pública 00398/TENANCIN/IP/2022 y 00403/TENANCIN/IP/2022, se emite la presente Resolución, con base en los Antecedentes y Considerandos que se exponen a continuación:</w:t>
      </w:r>
    </w:p>
    <w:p w:rsidRPr="0072696E" w:rsidR="005369D0" w:rsidP="008D7D0A" w:rsidRDefault="005369D0" w14:paraId="5A1C6FC2" w14:textId="77777777">
      <w:pPr>
        <w:spacing w:after="0" w:line="360" w:lineRule="auto"/>
        <w:rPr>
          <w:rFonts w:cs="Tahoma"/>
          <w:color w:val="0D0D0D" w:themeColor="text1" w:themeTint="F2"/>
        </w:rPr>
      </w:pPr>
    </w:p>
    <w:p w:rsidRPr="0072696E" w:rsidR="00051642" w:rsidP="008D7D0A" w:rsidRDefault="00051642" w14:paraId="18EA1E5E" w14:textId="77777777">
      <w:pPr>
        <w:spacing w:after="0" w:line="360" w:lineRule="auto"/>
        <w:jc w:val="center"/>
        <w:rPr>
          <w:rFonts w:eastAsia="Calibri" w:cs="Tahoma"/>
          <w:b/>
          <w:bCs/>
          <w:lang w:val="es-ES"/>
        </w:rPr>
      </w:pPr>
      <w:r w:rsidRPr="0072696E">
        <w:rPr>
          <w:rFonts w:eastAsia="Calibri" w:cs="Tahoma"/>
          <w:b/>
          <w:bCs/>
          <w:lang w:val="es-ES"/>
        </w:rPr>
        <w:t>A N T E C E D E N T E S:</w:t>
      </w:r>
    </w:p>
    <w:p w:rsidRPr="0072696E" w:rsidR="00051642" w:rsidP="008D7D0A" w:rsidRDefault="00051642" w14:paraId="689BB71D" w14:textId="77777777">
      <w:pPr>
        <w:spacing w:after="0" w:line="360" w:lineRule="auto"/>
        <w:rPr>
          <w:lang w:val="es-ES"/>
        </w:rPr>
      </w:pPr>
    </w:p>
    <w:p w:rsidRPr="0072696E" w:rsidR="00051642" w:rsidP="008D7D0A" w:rsidRDefault="00051642" w14:paraId="38CCD1DD" w14:textId="532F98C1">
      <w:pPr>
        <w:spacing w:after="0" w:line="360" w:lineRule="auto"/>
        <w:rPr>
          <w:rFonts w:eastAsia="Calibri" w:cs="Tahoma"/>
          <w:b/>
          <w:bCs/>
          <w:lang w:val="es-ES"/>
        </w:rPr>
      </w:pPr>
      <w:r w:rsidRPr="0072696E">
        <w:rPr>
          <w:rFonts w:eastAsia="Calibri" w:cs="Tahoma"/>
          <w:b/>
          <w:bCs/>
          <w:lang w:val="es-ES"/>
        </w:rPr>
        <w:t>I. Presentación de la</w:t>
      </w:r>
      <w:r w:rsidRPr="0072696E" w:rsidR="008567E8">
        <w:rPr>
          <w:rFonts w:eastAsia="Calibri" w:cs="Tahoma"/>
          <w:b/>
          <w:bCs/>
          <w:lang w:val="es-ES"/>
        </w:rPr>
        <w:t>s</w:t>
      </w:r>
      <w:r w:rsidRPr="0072696E">
        <w:rPr>
          <w:rFonts w:eastAsia="Calibri" w:cs="Tahoma"/>
          <w:b/>
          <w:bCs/>
          <w:lang w:val="es-ES"/>
        </w:rPr>
        <w:t xml:space="preserve"> solicitud</w:t>
      </w:r>
      <w:r w:rsidRPr="0072696E" w:rsidR="008567E8">
        <w:rPr>
          <w:rFonts w:eastAsia="Calibri" w:cs="Tahoma"/>
          <w:b/>
          <w:bCs/>
          <w:lang w:val="es-ES"/>
        </w:rPr>
        <w:t>es</w:t>
      </w:r>
      <w:r w:rsidRPr="0072696E">
        <w:rPr>
          <w:rFonts w:eastAsia="Calibri" w:cs="Tahoma"/>
          <w:b/>
          <w:bCs/>
          <w:lang w:val="es-ES"/>
        </w:rPr>
        <w:t xml:space="preserve"> de información.</w:t>
      </w:r>
    </w:p>
    <w:p w:rsidRPr="0072696E" w:rsidR="00051642" w:rsidP="008D7D0A" w:rsidRDefault="00051642" w14:paraId="249BEE91" w14:textId="77777777">
      <w:pPr>
        <w:spacing w:after="0" w:line="360" w:lineRule="auto"/>
        <w:rPr>
          <w:rFonts w:eastAsia="Calibri" w:cs="Tahoma"/>
          <w:b/>
          <w:bCs/>
          <w:lang w:val="es-ES"/>
        </w:rPr>
      </w:pPr>
    </w:p>
    <w:p w:rsidRPr="0072696E" w:rsidR="005369D0" w:rsidP="008D7D0A" w:rsidRDefault="005369D0" w14:paraId="6DD77042" w14:textId="4267B081">
      <w:pPr>
        <w:autoSpaceDE w:val="0"/>
        <w:autoSpaceDN w:val="0"/>
        <w:adjustRightInd w:val="0"/>
        <w:spacing w:after="0" w:line="360" w:lineRule="auto"/>
        <w:rPr>
          <w:rFonts w:cs="Tahoma"/>
          <w:bCs/>
        </w:rPr>
      </w:pPr>
      <w:r w:rsidRPr="0072696E">
        <w:rPr>
          <w:rFonts w:cs="Tahoma"/>
        </w:rPr>
        <w:t xml:space="preserve">Con fecha </w:t>
      </w:r>
      <w:r w:rsidRPr="0072696E" w:rsidR="00B42191">
        <w:rPr>
          <w:rFonts w:cs="Tahoma"/>
        </w:rPr>
        <w:t>ocho</w:t>
      </w:r>
      <w:r w:rsidRPr="0072696E" w:rsidR="00003741">
        <w:rPr>
          <w:rFonts w:cs="Tahoma"/>
        </w:rPr>
        <w:t xml:space="preserve"> de </w:t>
      </w:r>
      <w:r w:rsidRPr="0072696E" w:rsidR="00B42191">
        <w:rPr>
          <w:rFonts w:cs="Tahoma"/>
        </w:rPr>
        <w:t>abril</w:t>
      </w:r>
      <w:r w:rsidRPr="0072696E">
        <w:rPr>
          <w:rFonts w:cs="Tahoma"/>
        </w:rPr>
        <w:t xml:space="preserve"> de dos mil veintiuno, el Particular presentó </w:t>
      </w:r>
      <w:r w:rsidRPr="0072696E" w:rsidR="008567E8">
        <w:rPr>
          <w:rFonts w:cs="Tahoma"/>
        </w:rPr>
        <w:t>dos solicitudes</w:t>
      </w:r>
      <w:r w:rsidRPr="0072696E">
        <w:rPr>
          <w:rFonts w:cs="Tahoma"/>
        </w:rPr>
        <w:t xml:space="preserve"> de acceso a la información pública</w:t>
      </w:r>
      <w:r w:rsidRPr="0072696E" w:rsidR="00003741">
        <w:rPr>
          <w:rFonts w:cs="Tahoma"/>
        </w:rPr>
        <w:t>, respectivamente</w:t>
      </w:r>
      <w:r w:rsidRPr="0072696E">
        <w:rPr>
          <w:rFonts w:cs="Tahoma"/>
        </w:rPr>
        <w:t xml:space="preserve">, a través del Sistema de Acceso a la Información Mexiquense (SAIMEX), ante </w:t>
      </w:r>
      <w:r w:rsidRPr="0072696E" w:rsidR="00D679B6">
        <w:rPr>
          <w:rFonts w:cs="Tahoma"/>
        </w:rPr>
        <w:t>el</w:t>
      </w:r>
      <w:r w:rsidRPr="0072696E">
        <w:rPr>
          <w:rFonts w:cs="Tahoma"/>
        </w:rPr>
        <w:t xml:space="preserve"> </w:t>
      </w:r>
      <w:r w:rsidRPr="0072696E" w:rsidR="006364F0">
        <w:rPr>
          <w:rFonts w:cs="Tahoma"/>
          <w:bCs/>
        </w:rPr>
        <w:t>Ayuntamiento de Tenancingo</w:t>
      </w:r>
      <w:r w:rsidRPr="0072696E">
        <w:rPr>
          <w:rFonts w:cs="Tahoma"/>
          <w:bCs/>
        </w:rPr>
        <w:t>, en los siguientes términos:</w:t>
      </w:r>
    </w:p>
    <w:p w:rsidRPr="0072696E" w:rsidR="002A2C08" w:rsidP="008D7D0A" w:rsidRDefault="002A2C08" w14:paraId="514850CA" w14:textId="77777777">
      <w:pPr>
        <w:spacing w:after="0" w:line="360" w:lineRule="auto"/>
        <w:ind w:left="567" w:right="567"/>
        <w:rPr>
          <w:rFonts w:cs="Tahoma"/>
          <w:b/>
          <w:bCs/>
        </w:rPr>
      </w:pPr>
    </w:p>
    <w:p w:rsidRPr="0072696E" w:rsidR="00B42191" w:rsidP="00B42191" w:rsidRDefault="002A2C08" w14:paraId="29098C19" w14:textId="77777777">
      <w:pPr>
        <w:spacing w:after="0" w:line="360" w:lineRule="auto"/>
        <w:ind w:left="567" w:right="567"/>
        <w:rPr>
          <w:rFonts w:cs="Tahoma"/>
          <w:b/>
          <w:bCs/>
          <w:sz w:val="20"/>
          <w:szCs w:val="20"/>
        </w:rPr>
      </w:pPr>
      <w:bookmarkStart w:name="_Hlk86067858" w:id="1"/>
      <w:bookmarkStart w:name="_Hlk94083321" w:id="2"/>
      <w:r w:rsidRPr="0072696E">
        <w:rPr>
          <w:rFonts w:cs="Tahoma"/>
          <w:b/>
          <w:bCs/>
          <w:sz w:val="20"/>
          <w:szCs w:val="20"/>
        </w:rPr>
        <w:t xml:space="preserve">Solicitud de Información </w:t>
      </w:r>
      <w:bookmarkEnd w:id="1"/>
      <w:bookmarkEnd w:id="2"/>
      <w:r w:rsidRPr="0072696E" w:rsidR="00B42191">
        <w:rPr>
          <w:rFonts w:cs="Tahoma"/>
          <w:b/>
          <w:bCs/>
          <w:sz w:val="20"/>
          <w:szCs w:val="20"/>
        </w:rPr>
        <w:t xml:space="preserve">00398/TENANCIN/IP/2022 </w:t>
      </w:r>
    </w:p>
    <w:p w:rsidRPr="0072696E" w:rsidR="002A2C08" w:rsidP="00B42191" w:rsidRDefault="006606A5" w14:paraId="553643A9" w14:textId="06EF6530">
      <w:pPr>
        <w:spacing w:after="0" w:line="360" w:lineRule="auto"/>
        <w:ind w:left="567" w:right="567"/>
        <w:rPr>
          <w:rFonts w:cs="Tahoma"/>
          <w:b/>
          <w:bCs/>
          <w:i/>
          <w:sz w:val="20"/>
          <w:szCs w:val="20"/>
        </w:rPr>
      </w:pPr>
      <w:r w:rsidRPr="0072696E">
        <w:rPr>
          <w:rFonts w:cs="Tahoma"/>
          <w:b/>
          <w:bCs/>
          <w:i/>
          <w:sz w:val="20"/>
          <w:szCs w:val="20"/>
        </w:rPr>
        <w:t>“</w:t>
      </w:r>
      <w:r w:rsidRPr="0072696E" w:rsidR="002A2C08">
        <w:rPr>
          <w:rFonts w:cs="Tahoma"/>
          <w:b/>
          <w:bCs/>
          <w:i/>
          <w:sz w:val="20"/>
          <w:szCs w:val="20"/>
        </w:rPr>
        <w:t>DESCRIPCIÓN CLARA Y PRECISA DE LA INFORMACIÓN SOLICITADA</w:t>
      </w:r>
    </w:p>
    <w:p w:rsidRPr="0072696E" w:rsidR="002A2C08" w:rsidP="008D7D0A" w:rsidRDefault="00B42191" w14:paraId="1DCE85F6" w14:textId="34103D54">
      <w:pPr>
        <w:tabs>
          <w:tab w:val="left" w:pos="4667"/>
        </w:tabs>
        <w:spacing w:after="0" w:line="360" w:lineRule="auto"/>
        <w:ind w:left="567" w:right="567"/>
        <w:rPr>
          <w:rFonts w:cs="Tahoma"/>
          <w:bCs/>
          <w:i/>
          <w:sz w:val="20"/>
          <w:szCs w:val="20"/>
        </w:rPr>
      </w:pPr>
      <w:r w:rsidRPr="0072696E">
        <w:rPr>
          <w:rFonts w:cs="Tahoma"/>
          <w:bCs/>
          <w:i/>
          <w:sz w:val="20"/>
          <w:szCs w:val="20"/>
        </w:rPr>
        <w:t xml:space="preserve">LA CANTIDAD DE DINERO QUE EL AYUNTAMIENTO DE TENANCINGO, MÉXICO HA RECAUDADO DE LOS BAÑOS PÚBLICOS QUE SE ENCUENTRAN EN EL MERCADO MUNICIPAL RIVA PALACIO DE LA CIUDAD DE TENANCINGO, MÉXICO. DESDE EL DÍA PRIMERO DE ENERO DE 2022, HASTA EL DIA OCHO DE ABRIL DE 2022, INFORMACION QUE SOLICITO SEA PRESENTADA POR SEPARADO DE </w:t>
      </w:r>
      <w:r w:rsidRPr="0072696E">
        <w:rPr>
          <w:rFonts w:cs="Tahoma"/>
          <w:bCs/>
          <w:i/>
          <w:sz w:val="20"/>
          <w:szCs w:val="20"/>
        </w:rPr>
        <w:lastRenderedPageBreak/>
        <w:t>MANERA MENSUAL, ES DECIR, CUANTO SE RECAUDO EN EL MES DE ENERO DE 2022, CUANTO EN EL MES DE FEBRERO DE 2022, CUANTO EN EL MES DE MARZO DE 2022 Y CUANTO EN EL MES DE ABRIL DE 2022. PARA EL CASO DE QUE ESTEN CONCESIONADOS , EL NOMBRE Y DOMICILIO DE LA PERSONA FÍSICA O MORAL A QUIEN SE LE OTORGÓ LA CONCESIÓN, ASI COMO LA FECHA Y PROCEDIMIENTO QUE SE LLEVO A CABO PARA OTORGAR LA CONCESIÓN Y EN SU CASO EL ACTA DE CABILDO EN QUE SE HAYA AUTORIZADO DICHA CONCESION.</w:t>
      </w:r>
      <w:r w:rsidRPr="0072696E" w:rsidR="006606A5">
        <w:rPr>
          <w:rFonts w:cs="Tahoma"/>
          <w:bCs/>
          <w:i/>
          <w:sz w:val="20"/>
          <w:szCs w:val="20"/>
        </w:rPr>
        <w:t>”</w:t>
      </w:r>
      <w:r w:rsidRPr="0072696E" w:rsidR="00375CC2">
        <w:rPr>
          <w:rFonts w:cs="Tahoma"/>
          <w:bCs/>
          <w:i/>
          <w:sz w:val="20"/>
          <w:szCs w:val="20"/>
        </w:rPr>
        <w:t xml:space="preserve"> </w:t>
      </w:r>
      <w:r w:rsidRPr="0072696E" w:rsidR="002A2C08">
        <w:rPr>
          <w:rFonts w:cs="Tahoma"/>
          <w:bCs/>
          <w:i/>
          <w:sz w:val="20"/>
          <w:szCs w:val="20"/>
        </w:rPr>
        <w:t>(Sic.)</w:t>
      </w:r>
    </w:p>
    <w:p w:rsidRPr="0072696E" w:rsidR="002A2C08" w:rsidP="008D7D0A" w:rsidRDefault="002A2C08" w14:paraId="77E32122" w14:textId="6026FAAD">
      <w:pPr>
        <w:spacing w:after="0" w:line="360" w:lineRule="auto"/>
        <w:ind w:left="567" w:right="567"/>
        <w:rPr>
          <w:rFonts w:cs="Tahoma"/>
          <w:b/>
          <w:bCs/>
        </w:rPr>
      </w:pPr>
    </w:p>
    <w:p w:rsidRPr="0072696E" w:rsidR="002A2C08" w:rsidP="008D7D0A" w:rsidRDefault="002A2C08" w14:paraId="38245033" w14:textId="77777777">
      <w:pPr>
        <w:tabs>
          <w:tab w:val="left" w:pos="4667"/>
        </w:tabs>
        <w:spacing w:after="0" w:line="360" w:lineRule="auto"/>
        <w:ind w:left="567" w:right="567"/>
        <w:rPr>
          <w:rFonts w:eastAsia="Times New Roman" w:cs="Tahoma"/>
          <w:b/>
          <w:bCs/>
          <w:i/>
          <w:iCs/>
          <w:color w:val="auto"/>
          <w:sz w:val="20"/>
          <w:lang w:eastAsia="es-ES"/>
        </w:rPr>
      </w:pPr>
      <w:r w:rsidRPr="0072696E">
        <w:rPr>
          <w:rFonts w:eastAsia="Times New Roman" w:cs="Tahoma"/>
          <w:b/>
          <w:bCs/>
          <w:i/>
          <w:iCs/>
          <w:color w:val="auto"/>
          <w:sz w:val="20"/>
          <w:lang w:eastAsia="es-ES"/>
        </w:rPr>
        <w:t>MODALIDAD DE ENTREGA</w:t>
      </w:r>
    </w:p>
    <w:p w:rsidRPr="0072696E" w:rsidR="002A2C08" w:rsidP="008D7D0A" w:rsidRDefault="002A2C08" w14:paraId="526BA7E5" w14:textId="385E6602">
      <w:pPr>
        <w:spacing w:after="0" w:line="360" w:lineRule="auto"/>
        <w:ind w:left="567" w:right="567"/>
        <w:rPr>
          <w:rFonts w:eastAsia="Times New Roman" w:cs="Arial"/>
          <w:bCs/>
          <w:i/>
          <w:iCs/>
          <w:color w:val="auto"/>
          <w:sz w:val="20"/>
          <w:lang w:eastAsia="es-ES"/>
        </w:rPr>
      </w:pPr>
      <w:r w:rsidRPr="0072696E">
        <w:rPr>
          <w:rFonts w:eastAsia="Times New Roman" w:cs="Arial"/>
          <w:bCs/>
          <w:i/>
          <w:iCs/>
          <w:color w:val="auto"/>
          <w:sz w:val="20"/>
          <w:lang w:eastAsia="es-ES"/>
        </w:rPr>
        <w:t>A través del SAIMEX. (Sic)</w:t>
      </w:r>
    </w:p>
    <w:p w:rsidRPr="0072696E" w:rsidR="0031732A" w:rsidP="008D7D0A" w:rsidRDefault="0031732A" w14:paraId="187C2967" w14:textId="77777777">
      <w:pPr>
        <w:spacing w:after="0" w:line="360" w:lineRule="auto"/>
        <w:ind w:left="567" w:right="567"/>
        <w:rPr>
          <w:rFonts w:eastAsia="Times New Roman" w:cs="Arial"/>
          <w:bCs/>
          <w:i/>
          <w:iCs/>
          <w:color w:val="auto"/>
          <w:sz w:val="20"/>
          <w:lang w:eastAsia="es-ES"/>
        </w:rPr>
      </w:pPr>
    </w:p>
    <w:p w:rsidRPr="0072696E" w:rsidR="002A2C08" w:rsidP="008D7D0A" w:rsidRDefault="002A2C08" w14:paraId="1732B99D" w14:textId="4276E8B3">
      <w:pPr>
        <w:spacing w:after="0" w:line="360" w:lineRule="auto"/>
        <w:ind w:left="567" w:right="567"/>
        <w:rPr>
          <w:rFonts w:cs="Tahoma"/>
          <w:b/>
          <w:bCs/>
          <w:sz w:val="20"/>
          <w:szCs w:val="20"/>
        </w:rPr>
      </w:pPr>
      <w:r w:rsidRPr="0072696E">
        <w:rPr>
          <w:rFonts w:cs="Tahoma"/>
          <w:b/>
          <w:bCs/>
          <w:sz w:val="20"/>
          <w:szCs w:val="20"/>
        </w:rPr>
        <w:t xml:space="preserve">Solicitud de Información </w:t>
      </w:r>
      <w:r w:rsidRPr="0072696E" w:rsidR="003341F9">
        <w:rPr>
          <w:rFonts w:cs="Tahoma"/>
          <w:b/>
          <w:bCs/>
          <w:sz w:val="20"/>
          <w:szCs w:val="20"/>
        </w:rPr>
        <w:t>00403/TENANCIN/IP/2022</w:t>
      </w:r>
    </w:p>
    <w:p w:rsidRPr="0072696E" w:rsidR="003341F9" w:rsidP="003341F9" w:rsidRDefault="00C014AD" w14:paraId="7EC2AB6E" w14:textId="29960897">
      <w:pPr>
        <w:tabs>
          <w:tab w:val="left" w:pos="4667"/>
        </w:tabs>
        <w:spacing w:after="0" w:line="360" w:lineRule="auto"/>
        <w:ind w:left="567" w:right="567"/>
        <w:rPr>
          <w:rFonts w:cs="Tahoma"/>
          <w:b/>
          <w:bCs/>
          <w:i/>
          <w:sz w:val="20"/>
          <w:szCs w:val="20"/>
        </w:rPr>
      </w:pPr>
      <w:r w:rsidRPr="0072696E">
        <w:rPr>
          <w:rFonts w:cs="Tahoma"/>
          <w:b/>
          <w:bCs/>
          <w:i/>
          <w:sz w:val="20"/>
          <w:szCs w:val="20"/>
        </w:rPr>
        <w:t>“</w:t>
      </w:r>
      <w:r w:rsidRPr="0072696E" w:rsidR="00051642">
        <w:rPr>
          <w:rFonts w:cs="Tahoma"/>
          <w:b/>
          <w:bCs/>
          <w:i/>
          <w:sz w:val="20"/>
          <w:szCs w:val="20"/>
        </w:rPr>
        <w:t>DESCRIPCIÓN CLARA Y PRECISA DE LA INFORMACIÓN SOLICITADA</w:t>
      </w:r>
      <w:r w:rsidRPr="0072696E" w:rsidR="003341F9">
        <w:rPr>
          <w:rFonts w:cs="Tahoma"/>
          <w:bCs/>
          <w:i/>
          <w:sz w:val="20"/>
          <w:szCs w:val="20"/>
        </w:rPr>
        <w:tab/>
      </w:r>
    </w:p>
    <w:p w:rsidRPr="0072696E" w:rsidR="00051642" w:rsidP="003341F9" w:rsidRDefault="003341F9" w14:paraId="33F43E51" w14:textId="0D379D31">
      <w:pPr>
        <w:tabs>
          <w:tab w:val="left" w:pos="4667"/>
        </w:tabs>
        <w:spacing w:after="0" w:line="360" w:lineRule="auto"/>
        <w:ind w:left="567" w:right="567"/>
        <w:rPr>
          <w:rFonts w:cs="Tahoma"/>
          <w:bCs/>
          <w:i/>
          <w:sz w:val="20"/>
          <w:szCs w:val="20"/>
        </w:rPr>
      </w:pPr>
      <w:bookmarkStart w:name="_Hlk110259446" w:id="3"/>
      <w:r w:rsidRPr="0072696E">
        <w:rPr>
          <w:rFonts w:cs="Tahoma"/>
          <w:bCs/>
          <w:i/>
          <w:sz w:val="20"/>
          <w:szCs w:val="20"/>
        </w:rPr>
        <w:t>LA CANTIDAD DE DINERO QUE EL AYUNTAMIENTO DE TENANCINGO, MÉXICO HA RECAUDADO DE LOS BAÑOS PÚBLICOS QUE SE ENCUENTRAN EN EL INTERIOR DEL MERCADO DE LA FLOR XOCHIQUETZAL UBICADO EN CALLE JUAREZ, TENANCINGO, MEXICO. DESDE EL DIA PRIMERO DE ENERO DE 2022, HASTA EL DIA OCHO DE ABRIL DE 2022, INFORMACION QUE SOLICITO SEA PRESENTADA POR SEPARADO DE MANERA MENSUAL, ES DECIR, CUANTO SE RECAUDO EN EL MES DE ENERO DE 2022, CUANTO EN EL MES DE FEBRERO DE 2022, CUANTO EN EL MES DE MARZO DE 2022 Y CUANTO EN EL MES DE ABRIL DE 2022.. PARA EL CASO DE QUE ESTEN CONCESIONADOS , EL NOMBRE Y DOMICILIO DE LA PERSONA FÍSICA O MORAL A QUIEN SE LE OTORGÓ LA CONCESIÓN, ASI COMO LA FECHA Y PROCEDIMIENTO QUE SE LLEVO A CABO PARA OTORGAR LA CONCESIÓN Y EN SU CASO EL ACTA DE CABILDO EN QUE SE HAYA AUTORIZADO DICHA CONCESION.</w:t>
      </w:r>
      <w:bookmarkEnd w:id="3"/>
      <w:r w:rsidRPr="0072696E" w:rsidR="00C014AD">
        <w:rPr>
          <w:rFonts w:cs="Tahoma"/>
          <w:bCs/>
          <w:i/>
          <w:sz w:val="20"/>
          <w:szCs w:val="20"/>
        </w:rPr>
        <w:t xml:space="preserve">” </w:t>
      </w:r>
      <w:r w:rsidRPr="0072696E" w:rsidR="00051642">
        <w:rPr>
          <w:rFonts w:cs="Tahoma"/>
          <w:bCs/>
          <w:i/>
          <w:sz w:val="20"/>
          <w:szCs w:val="20"/>
        </w:rPr>
        <w:t>(Sic.)</w:t>
      </w:r>
    </w:p>
    <w:p w:rsidRPr="0072696E" w:rsidR="00051642" w:rsidP="008D7D0A" w:rsidRDefault="00051642" w14:paraId="3C0781D7" w14:textId="77777777">
      <w:pPr>
        <w:tabs>
          <w:tab w:val="left" w:pos="4667"/>
        </w:tabs>
        <w:spacing w:after="0" w:line="360" w:lineRule="auto"/>
        <w:ind w:left="567" w:right="567"/>
        <w:rPr>
          <w:rFonts w:cs="Tahoma"/>
          <w:bCs/>
          <w:i/>
          <w:sz w:val="20"/>
          <w:szCs w:val="20"/>
        </w:rPr>
      </w:pPr>
    </w:p>
    <w:p w:rsidRPr="0072696E" w:rsidR="00051642" w:rsidP="008D7D0A" w:rsidRDefault="00C014AD" w14:paraId="070CFBD6" w14:textId="34475474">
      <w:pPr>
        <w:tabs>
          <w:tab w:val="left" w:pos="4667"/>
        </w:tabs>
        <w:spacing w:after="0" w:line="360" w:lineRule="auto"/>
        <w:ind w:left="567" w:right="567"/>
        <w:rPr>
          <w:rFonts w:eastAsia="Times New Roman" w:cs="Tahoma"/>
          <w:b/>
          <w:bCs/>
          <w:i/>
          <w:iCs/>
          <w:color w:val="auto"/>
          <w:sz w:val="20"/>
          <w:lang w:eastAsia="es-ES"/>
        </w:rPr>
      </w:pPr>
      <w:bookmarkStart w:name="_Hlk86067762" w:id="4"/>
      <w:r w:rsidRPr="0072696E">
        <w:rPr>
          <w:rFonts w:eastAsia="Times New Roman" w:cs="Tahoma"/>
          <w:b/>
          <w:bCs/>
          <w:i/>
          <w:iCs/>
          <w:color w:val="auto"/>
          <w:sz w:val="20"/>
          <w:lang w:eastAsia="es-ES"/>
        </w:rPr>
        <w:t>“</w:t>
      </w:r>
      <w:r w:rsidRPr="0072696E" w:rsidR="00051642">
        <w:rPr>
          <w:rFonts w:eastAsia="Times New Roman" w:cs="Tahoma"/>
          <w:b/>
          <w:bCs/>
          <w:i/>
          <w:iCs/>
          <w:color w:val="auto"/>
          <w:sz w:val="20"/>
          <w:lang w:eastAsia="es-ES"/>
        </w:rPr>
        <w:t>MODALIDAD DE ENTREGA</w:t>
      </w:r>
    </w:p>
    <w:p w:rsidRPr="0072696E" w:rsidR="00FA1130" w:rsidP="008D7D0A" w:rsidRDefault="00051642" w14:paraId="778DD31C" w14:textId="0133EB85">
      <w:pPr>
        <w:spacing w:after="0" w:line="360" w:lineRule="auto"/>
        <w:ind w:left="567" w:right="567"/>
        <w:rPr>
          <w:rFonts w:eastAsia="Times New Roman" w:cs="Arial"/>
          <w:bCs/>
          <w:i/>
          <w:iCs/>
          <w:color w:val="auto"/>
          <w:sz w:val="20"/>
          <w:lang w:eastAsia="es-ES"/>
        </w:rPr>
      </w:pPr>
      <w:r w:rsidRPr="0072696E">
        <w:rPr>
          <w:rFonts w:eastAsia="Times New Roman" w:cs="Arial"/>
          <w:bCs/>
          <w:i/>
          <w:iCs/>
          <w:color w:val="auto"/>
          <w:sz w:val="20"/>
          <w:lang w:eastAsia="es-ES"/>
        </w:rPr>
        <w:t>A través del SAIMEX.</w:t>
      </w:r>
      <w:r w:rsidRPr="0072696E" w:rsidR="00C014AD">
        <w:rPr>
          <w:rFonts w:eastAsia="Times New Roman" w:cs="Arial"/>
          <w:bCs/>
          <w:i/>
          <w:iCs/>
          <w:color w:val="auto"/>
          <w:sz w:val="20"/>
          <w:lang w:eastAsia="es-ES"/>
        </w:rPr>
        <w:t>”</w:t>
      </w:r>
      <w:r w:rsidRPr="0072696E">
        <w:rPr>
          <w:rFonts w:eastAsia="Times New Roman" w:cs="Arial"/>
          <w:bCs/>
          <w:i/>
          <w:iCs/>
          <w:color w:val="auto"/>
          <w:sz w:val="20"/>
          <w:lang w:eastAsia="es-ES"/>
        </w:rPr>
        <w:t xml:space="preserve"> (Sic)</w:t>
      </w:r>
    </w:p>
    <w:bookmarkEnd w:id="4"/>
    <w:p w:rsidRPr="0072696E" w:rsidR="00AB63B4" w:rsidP="008D7D0A" w:rsidRDefault="00AB63B4" w14:paraId="499DF2DC" w14:textId="77777777">
      <w:pPr>
        <w:spacing w:after="0" w:line="360" w:lineRule="auto"/>
        <w:ind w:right="567"/>
        <w:rPr>
          <w:rFonts w:eastAsia="Times New Roman" w:cs="Arial"/>
          <w:bCs/>
          <w:color w:val="auto"/>
          <w:szCs w:val="24"/>
          <w:lang w:eastAsia="es-ES"/>
        </w:rPr>
      </w:pPr>
    </w:p>
    <w:p w:rsidRPr="0072696E" w:rsidR="00906C97" w:rsidP="00906C97" w:rsidRDefault="00906C97" w14:paraId="1AA287CD" w14:textId="3EB2B95C">
      <w:pPr>
        <w:spacing w:line="360" w:lineRule="auto"/>
        <w:rPr>
          <w:b/>
        </w:rPr>
      </w:pPr>
      <w:r w:rsidRPr="0072696E">
        <w:rPr>
          <w:b/>
        </w:rPr>
        <w:lastRenderedPageBreak/>
        <w:t>II. Respuesta del Sujeto Obligado.</w:t>
      </w:r>
    </w:p>
    <w:p w:rsidRPr="0072696E" w:rsidR="00906C97" w:rsidP="00BA2498" w:rsidRDefault="00906C97" w14:paraId="0F9B31DD" w14:textId="61686BAB">
      <w:pPr>
        <w:autoSpaceDE w:val="0"/>
        <w:autoSpaceDN w:val="0"/>
        <w:adjustRightInd w:val="0"/>
        <w:spacing w:after="0" w:line="360" w:lineRule="auto"/>
        <w:rPr>
          <w:rFonts w:cs="Tahoma"/>
          <w:lang w:val="es-ES_tradnl"/>
        </w:rPr>
      </w:pPr>
      <w:bookmarkStart w:name="_Hlk105056550" w:id="5"/>
      <w:r w:rsidRPr="0072696E">
        <w:rPr>
          <w:rFonts w:cs="Tahoma"/>
        </w:rPr>
        <w:t>Con fecha nueve de mayo de dos mil veintidós, mediante el Sistema de Acceso a la Información Mexiquense (SAIMEX), el Ayuntamiento de Tenancingo, notificó al Particular la respuesta a su</w:t>
      </w:r>
      <w:r w:rsidRPr="0072696E" w:rsidR="007E000B">
        <w:rPr>
          <w:rFonts w:cs="Tahoma"/>
        </w:rPr>
        <w:t xml:space="preserve"> solicitud</w:t>
      </w:r>
      <w:r w:rsidRPr="0072696E">
        <w:rPr>
          <w:rFonts w:cs="Tahoma"/>
        </w:rPr>
        <w:t xml:space="preserve"> de acceso a la información, por medio de</w:t>
      </w:r>
      <w:r w:rsidRPr="0072696E" w:rsidR="007E000B">
        <w:rPr>
          <w:rFonts w:cs="Tahoma"/>
        </w:rPr>
        <w:t xml:space="preserve">l oficio </w:t>
      </w:r>
      <w:r w:rsidRPr="0072696E" w:rsidR="00BA2498">
        <w:rPr>
          <w:rFonts w:cs="Tahoma"/>
          <w:lang w:val="es-ES_tradnl"/>
        </w:rPr>
        <w:t>PTM058/ST/CT/SI/00242/2022</w:t>
      </w:r>
      <w:r w:rsidRPr="0072696E" w:rsidR="0057643D">
        <w:rPr>
          <w:rFonts w:cs="Tahoma"/>
          <w:lang w:val="es-ES_tradnl"/>
        </w:rPr>
        <w:t>,</w:t>
      </w:r>
      <w:r w:rsidRPr="0072696E">
        <w:rPr>
          <w:rFonts w:cs="Tahoma"/>
          <w:lang w:val="es-ES_tradnl"/>
        </w:rPr>
        <w:t xml:space="preserve"> del </w:t>
      </w:r>
      <w:r w:rsidRPr="0072696E" w:rsidR="00BA2498">
        <w:rPr>
          <w:rFonts w:cs="Tahoma"/>
          <w:lang w:val="es-ES_tradnl"/>
        </w:rPr>
        <w:t>dieciocho de abril</w:t>
      </w:r>
      <w:r w:rsidRPr="0072696E">
        <w:rPr>
          <w:rFonts w:cs="Tahoma"/>
          <w:lang w:val="es-ES_tradnl"/>
        </w:rPr>
        <w:t xml:space="preserve"> de dos mil veintidós, suscrito</w:t>
      </w:r>
      <w:r w:rsidRPr="0072696E" w:rsidR="0057643D">
        <w:rPr>
          <w:rFonts w:cs="Tahoma"/>
          <w:lang w:val="es-ES_tradnl"/>
        </w:rPr>
        <w:t>s</w:t>
      </w:r>
      <w:r w:rsidRPr="0072696E" w:rsidR="00BA2498">
        <w:rPr>
          <w:rFonts w:cs="Tahoma"/>
          <w:lang w:val="es-ES_tradnl"/>
        </w:rPr>
        <w:t xml:space="preserve"> </w:t>
      </w:r>
      <w:r w:rsidRPr="0072696E">
        <w:rPr>
          <w:rFonts w:cs="Tahoma"/>
          <w:lang w:val="es-ES_tradnl"/>
        </w:rPr>
        <w:t xml:space="preserve">por el </w:t>
      </w:r>
      <w:r w:rsidRPr="0072696E" w:rsidR="00BA2498">
        <w:rPr>
          <w:rFonts w:cs="Tahoma"/>
          <w:lang w:val="es-ES_tradnl"/>
        </w:rPr>
        <w:t>Tesorero Municipal</w:t>
      </w:r>
      <w:r w:rsidRPr="0072696E">
        <w:rPr>
          <w:rFonts w:cs="Tahoma"/>
        </w:rPr>
        <w:t xml:space="preserve"> </w:t>
      </w:r>
      <w:r w:rsidRPr="0072696E">
        <w:rPr>
          <w:rFonts w:cs="Tahoma"/>
          <w:lang w:val="es-ES_tradnl"/>
        </w:rPr>
        <w:t>y dirigid</w:t>
      </w:r>
      <w:r w:rsidRPr="0072696E" w:rsidR="00BA2498">
        <w:rPr>
          <w:rFonts w:cs="Tahoma"/>
          <w:lang w:val="es-ES_tradnl"/>
        </w:rPr>
        <w:t>os</w:t>
      </w:r>
      <w:r w:rsidRPr="0072696E">
        <w:rPr>
          <w:rFonts w:cs="Tahoma"/>
          <w:lang w:val="es-ES_tradnl"/>
        </w:rPr>
        <w:t xml:space="preserve"> a</w:t>
      </w:r>
      <w:r w:rsidRPr="0072696E" w:rsidR="00BA2498">
        <w:rPr>
          <w:rFonts w:cs="Tahoma"/>
          <w:lang w:val="es-ES_tradnl"/>
        </w:rPr>
        <w:t xml:space="preserve">l Coordinador </w:t>
      </w:r>
      <w:r w:rsidRPr="0072696E">
        <w:rPr>
          <w:rFonts w:cs="Tahoma"/>
          <w:lang w:val="es-ES_tradnl"/>
        </w:rPr>
        <w:t>de Transparencia</w:t>
      </w:r>
      <w:r w:rsidRPr="0072696E" w:rsidR="00BA2498">
        <w:rPr>
          <w:rFonts w:cs="Tahoma"/>
          <w:lang w:val="es-ES_tradnl"/>
        </w:rPr>
        <w:t xml:space="preserve"> y Acceso a la Información Pública</w:t>
      </w:r>
      <w:r w:rsidRPr="0072696E">
        <w:rPr>
          <w:rFonts w:cs="Tahoma"/>
          <w:lang w:val="es-ES_tradnl"/>
        </w:rPr>
        <w:t>, en los siguientes términos:</w:t>
      </w:r>
    </w:p>
    <w:p w:rsidRPr="0072696E" w:rsidR="00BA2498" w:rsidP="00BA2498" w:rsidRDefault="00BA2498" w14:paraId="797BA379" w14:textId="77777777">
      <w:pPr>
        <w:autoSpaceDE w:val="0"/>
        <w:autoSpaceDN w:val="0"/>
        <w:adjustRightInd w:val="0"/>
        <w:spacing w:after="0" w:line="360" w:lineRule="auto"/>
        <w:rPr>
          <w:rFonts w:cs="Tahoma"/>
          <w:lang w:val="es-ES_tradnl"/>
        </w:rPr>
      </w:pPr>
    </w:p>
    <w:p w:rsidRPr="0072696E" w:rsidR="00906C97" w:rsidP="00906C97" w:rsidRDefault="00906C97" w14:paraId="0ADE34A3" w14:textId="77777777">
      <w:pPr>
        <w:tabs>
          <w:tab w:val="left" w:pos="567"/>
        </w:tabs>
        <w:spacing w:after="0" w:line="360" w:lineRule="auto"/>
        <w:ind w:left="567" w:right="567"/>
        <w:contextualSpacing/>
        <w:rPr>
          <w:rFonts w:eastAsia="Times New Roman" w:cs="Tahoma"/>
          <w:b/>
          <w:bCs/>
          <w:i/>
          <w:iCs/>
          <w:color w:val="auto"/>
          <w:sz w:val="20"/>
          <w:szCs w:val="20"/>
          <w:lang w:eastAsia="es-ES"/>
        </w:rPr>
      </w:pPr>
      <w:r w:rsidRPr="0072696E">
        <w:rPr>
          <w:rFonts w:eastAsia="Times New Roman" w:cs="Tahoma"/>
          <w:i/>
          <w:iCs/>
          <w:sz w:val="20"/>
          <w:szCs w:val="20"/>
          <w:lang w:val="es-ES_tradnl" w:eastAsia="es-ES"/>
        </w:rPr>
        <w:t>“…</w:t>
      </w:r>
      <w:bookmarkStart w:name="_Hlk105056771" w:id="6"/>
    </w:p>
    <w:p w:rsidRPr="0072696E" w:rsidR="00BA2498" w:rsidP="00BA2498" w:rsidRDefault="00BA2498" w14:paraId="64F9296F" w14:textId="77777777">
      <w:pPr>
        <w:spacing w:after="0" w:line="360" w:lineRule="auto"/>
        <w:ind w:left="567" w:right="567"/>
        <w:rPr>
          <w:i/>
          <w:sz w:val="20"/>
          <w:szCs w:val="20"/>
        </w:rPr>
      </w:pPr>
      <w:r w:rsidRPr="0072696E">
        <w:rPr>
          <w:i/>
          <w:sz w:val="20"/>
          <w:szCs w:val="20"/>
        </w:rPr>
        <w:t xml:space="preserve">Por lo anteriormente expuesto es importante señalar lo establecido por el </w:t>
      </w:r>
      <w:r w:rsidRPr="0072696E">
        <w:rPr>
          <w:b/>
          <w:bCs/>
          <w:i/>
          <w:sz w:val="20"/>
          <w:szCs w:val="20"/>
        </w:rPr>
        <w:t>artículo 158 de la Ley de Transparencia estatal que a la letra estipula lo siguiente:</w:t>
      </w:r>
    </w:p>
    <w:p w:rsidRPr="0072696E" w:rsidR="00BA2498" w:rsidP="00BA2498" w:rsidRDefault="00BA2498" w14:paraId="45B77F96" w14:textId="77777777">
      <w:pPr>
        <w:spacing w:after="0" w:line="360" w:lineRule="auto"/>
        <w:ind w:left="567" w:right="567"/>
        <w:rPr>
          <w:i/>
          <w:sz w:val="20"/>
          <w:szCs w:val="20"/>
        </w:rPr>
      </w:pPr>
      <w:r w:rsidRPr="0072696E">
        <w:rPr>
          <w:i/>
          <w:sz w:val="20"/>
          <w:szCs w:val="20"/>
        </w:rPr>
        <w:t>…</w:t>
      </w:r>
    </w:p>
    <w:p w:rsidRPr="0072696E" w:rsidR="00BA2498" w:rsidP="00BA2498" w:rsidRDefault="00BA2498" w14:paraId="2BA6656D" w14:textId="77777777">
      <w:pPr>
        <w:spacing w:after="0" w:line="360" w:lineRule="auto"/>
        <w:ind w:left="567" w:right="567"/>
        <w:rPr>
          <w:i/>
          <w:sz w:val="20"/>
          <w:szCs w:val="20"/>
        </w:rPr>
      </w:pPr>
      <w:r w:rsidRPr="0072696E">
        <w:rPr>
          <w:i/>
          <w:sz w:val="20"/>
          <w:szCs w:val="20"/>
        </w:rPr>
        <w:t>Igualmente, para robustecer lo anterior, es conveniente citar a continuación el Criterio 008/2013 del hoy Instituto Nacional de Acceso a la Información y Protección de Datos Personales:</w:t>
      </w:r>
    </w:p>
    <w:p w:rsidRPr="0072696E" w:rsidR="00BA2498" w:rsidP="00BA2498" w:rsidRDefault="00BA2498" w14:paraId="298DC876" w14:textId="77777777">
      <w:pPr>
        <w:spacing w:after="0" w:line="360" w:lineRule="auto"/>
        <w:ind w:left="567" w:right="567"/>
        <w:rPr>
          <w:i/>
          <w:sz w:val="20"/>
          <w:szCs w:val="20"/>
        </w:rPr>
      </w:pPr>
      <w:r w:rsidRPr="0072696E">
        <w:rPr>
          <w:i/>
          <w:sz w:val="20"/>
          <w:szCs w:val="20"/>
        </w:rPr>
        <w:t>…</w:t>
      </w:r>
    </w:p>
    <w:p w:rsidRPr="0072696E" w:rsidR="00BA2498" w:rsidP="00BA2498" w:rsidRDefault="00BA2498" w14:paraId="3F5023BE" w14:textId="77777777">
      <w:pPr>
        <w:spacing w:after="0" w:line="360" w:lineRule="auto"/>
        <w:ind w:left="567" w:right="567"/>
        <w:rPr>
          <w:i/>
          <w:sz w:val="20"/>
          <w:szCs w:val="20"/>
        </w:rPr>
      </w:pPr>
      <w:r w:rsidRPr="0072696E">
        <w:rPr>
          <w:b/>
          <w:bCs/>
          <w:i/>
          <w:sz w:val="20"/>
          <w:szCs w:val="20"/>
        </w:rPr>
        <w:t>Este servidor público habilitado NO NIEGA LA EXISTENCIA DE LA INFORMACIÓN</w:t>
      </w:r>
      <w:r w:rsidRPr="0072696E">
        <w:rPr>
          <w:i/>
          <w:sz w:val="20"/>
          <w:szCs w:val="20"/>
        </w:rPr>
        <w:t xml:space="preserve">, pero como ya se mencionó anteriormente, nos encontramos en la imposibilidad de entregar al solicitante la información en la modalidad que éste señala, por lo cual se realiza un cambio de modalidad a </w:t>
      </w:r>
      <w:r w:rsidRPr="0072696E">
        <w:rPr>
          <w:b/>
          <w:bCs/>
          <w:i/>
          <w:sz w:val="20"/>
          <w:szCs w:val="20"/>
        </w:rPr>
        <w:t>"CONSULTA DIRECTA"</w:t>
      </w:r>
      <w:r w:rsidRPr="0072696E">
        <w:rPr>
          <w:i/>
          <w:sz w:val="20"/>
          <w:szCs w:val="20"/>
        </w:rPr>
        <w:t>; ello con fundamento en lo dispuesto por el artículo 164 de la Ley de Transparencia Local, que a la letra señala:</w:t>
      </w:r>
    </w:p>
    <w:p w:rsidRPr="0072696E" w:rsidR="00BA2498" w:rsidP="00BA2498" w:rsidRDefault="00BA2498" w14:paraId="007817CE" w14:textId="77777777">
      <w:pPr>
        <w:spacing w:after="0" w:line="360" w:lineRule="auto"/>
        <w:ind w:left="567" w:right="567"/>
        <w:rPr>
          <w:b/>
          <w:bCs/>
          <w:i/>
          <w:sz w:val="20"/>
          <w:szCs w:val="20"/>
        </w:rPr>
      </w:pPr>
      <w:r w:rsidRPr="0072696E">
        <w:rPr>
          <w:b/>
          <w:bCs/>
          <w:i/>
          <w:sz w:val="20"/>
          <w:szCs w:val="20"/>
        </w:rPr>
        <w:t>…</w:t>
      </w:r>
    </w:p>
    <w:p w:rsidRPr="0072696E" w:rsidR="00BA2498" w:rsidP="00BA2498" w:rsidRDefault="00BA2498" w14:paraId="1A35DCE8" w14:textId="77777777">
      <w:pPr>
        <w:spacing w:after="0" w:line="360" w:lineRule="auto"/>
        <w:ind w:left="567" w:right="567"/>
        <w:rPr>
          <w:i/>
          <w:sz w:val="20"/>
          <w:szCs w:val="20"/>
        </w:rPr>
      </w:pPr>
      <w:r w:rsidRPr="0072696E">
        <w:rPr>
          <w:b/>
          <w:bCs/>
          <w:i/>
          <w:sz w:val="20"/>
          <w:szCs w:val="20"/>
        </w:rPr>
        <w:t>POR LO ANTERIORMENTE FUNDADO Y MOTIVADO SE PONEN A DISPOSICIÓN DEL SOLICTANTE LOS DOCUMENTOS REQUERIDOS EN SU SOLICITUD, PARA CONSULTA DIRECTA, BAJO LOS SIGUIENTES RUBROS, DE CONFORMIDAD CON LO ESTABLECIDO EN LOS LINEAMIENTOS GENERALES EN MATERIA DE CLASIFICACIÓN Y DESCLASIFICACIÓN DE LA INFORMACIÓN, ASÍ COMO PARA LA ELABORACIÓN DE VERSIONES PÚBLICAS LINEAMIENTO SEPTUAGÉSIMO;</w:t>
      </w:r>
      <w:r w:rsidRPr="0072696E">
        <w:rPr>
          <w:i/>
          <w:sz w:val="20"/>
          <w:szCs w:val="20"/>
        </w:rPr>
        <w:t xml:space="preserve"> el cual señala lo siguiente:</w:t>
      </w:r>
    </w:p>
    <w:p w:rsidRPr="0072696E" w:rsidR="00BA2498" w:rsidP="00BA2498" w:rsidRDefault="00BA2498" w14:paraId="1F68640F" w14:textId="77777777">
      <w:pPr>
        <w:spacing w:after="0" w:line="360" w:lineRule="auto"/>
        <w:ind w:left="567" w:right="567"/>
        <w:rPr>
          <w:i/>
          <w:sz w:val="20"/>
          <w:szCs w:val="20"/>
        </w:rPr>
      </w:pPr>
      <w:r w:rsidRPr="0072696E">
        <w:rPr>
          <w:i/>
          <w:sz w:val="20"/>
          <w:szCs w:val="20"/>
        </w:rPr>
        <w:t>…</w:t>
      </w:r>
    </w:p>
    <w:p w:rsidRPr="0072696E" w:rsidR="00BA2498" w:rsidP="00BA2498" w:rsidRDefault="00BA2498" w14:paraId="02D36623" w14:textId="1FC353A5">
      <w:pPr>
        <w:spacing w:after="0" w:line="360" w:lineRule="auto"/>
        <w:ind w:left="567" w:right="567"/>
        <w:rPr>
          <w:i/>
          <w:sz w:val="20"/>
          <w:szCs w:val="20"/>
        </w:rPr>
      </w:pPr>
      <w:r w:rsidRPr="0072696E">
        <w:rPr>
          <w:i/>
          <w:sz w:val="20"/>
          <w:szCs w:val="20"/>
        </w:rPr>
        <w:lastRenderedPageBreak/>
        <w:t xml:space="preserve">El lugar será la Tesorería de la Presidencia Municipal, ubicada en Morelos número 101, Colonia Centro, Tenancingo, Estado de México, el día de la consulta se circunscribe al plazo de sesenta días de la presente anualidad en </w:t>
      </w:r>
      <w:r w:rsidRPr="0072696E" w:rsidR="007E000B">
        <w:rPr>
          <w:i/>
          <w:sz w:val="20"/>
          <w:szCs w:val="20"/>
        </w:rPr>
        <w:t>días</w:t>
      </w:r>
      <w:r w:rsidRPr="0072696E">
        <w:rPr>
          <w:i/>
          <w:sz w:val="20"/>
          <w:szCs w:val="20"/>
        </w:rPr>
        <w:t xml:space="preserve"> y horas hábiles del día hábil siguiente de que se haya notificado, en un horario de 10:00 a 14:00 horas.</w:t>
      </w:r>
    </w:p>
    <w:p w:rsidRPr="0072696E" w:rsidR="00BA2498" w:rsidP="00BA2498" w:rsidRDefault="00BA2498" w14:paraId="0301FDE9" w14:textId="77777777">
      <w:pPr>
        <w:spacing w:after="0" w:line="360" w:lineRule="auto"/>
        <w:ind w:left="567" w:right="567"/>
        <w:rPr>
          <w:i/>
          <w:sz w:val="20"/>
          <w:szCs w:val="20"/>
        </w:rPr>
      </w:pPr>
    </w:p>
    <w:p w:rsidRPr="0072696E" w:rsidR="00BA2498" w:rsidP="00BA2498" w:rsidRDefault="00BA2498" w14:paraId="7E767D6A" w14:textId="77777777">
      <w:pPr>
        <w:spacing w:after="0" w:line="360" w:lineRule="auto"/>
        <w:ind w:left="567" w:right="567"/>
        <w:rPr>
          <w:b/>
          <w:bCs/>
          <w:i/>
          <w:sz w:val="20"/>
          <w:szCs w:val="20"/>
        </w:rPr>
      </w:pPr>
      <w:r w:rsidRPr="0072696E">
        <w:rPr>
          <w:i/>
          <w:sz w:val="20"/>
          <w:szCs w:val="20"/>
        </w:rPr>
        <w:t xml:space="preserve">Se le dará el acceso a los archivos que contienen la información sobre </w:t>
      </w:r>
      <w:r w:rsidRPr="0072696E">
        <w:rPr>
          <w:b/>
          <w:bCs/>
          <w:i/>
          <w:sz w:val="20"/>
          <w:szCs w:val="20"/>
        </w:rPr>
        <w:t>(LA CANTIDAD DE DINERO QUE EL AYUNTAMIENTO DE TENANCINGO, MÉXICO HA RECAUDADO DE LOS BAÑOS PÚBLICOS QUE SE ENCUNTRAN EN EL MERCADO RIVA PALACIO DE LA CIUDAD DE TENANCINGO, MÉXICO. DESDE EL DÍA PRIMERO DE ENERO DE 2022, HASTA EL DIA OCHO DE ABRIL DE 2022, INFORMACIÓN QUE SOLICITO SEA PRESENTADA POR SEPARADO DE MANERA MENSUAL, ES DECIR, CUANTO SEA RECAUDADO EN EL MES DE ENERO DE 2022, CUANTO EN EL MES DE FEBRERO DE 2022, CUANTO EN EL MES DE MARZO DE 2022 Y CUANTO EN EL MES DE ABRIL DE 2022. PARA EL CASO DE QUE ESTEN CONCESIONADOS, EL NOMBRE Y DOMICLIO DE LA PERSONA FÍSICA O MORAL, A QUIEN SE LE OTORGO LA CONCESIÓN, ASI COMO LA FECHA Y PROCEDIMIENTO QUE SE LLEVO A CABO PARA OTORGAR LA CONCESIÓN Y EN SU CASO EL ACTA DE CABILDO EN QUE SE HAYA AUTORIZADO DICHA CONCESIÓN)</w:t>
      </w:r>
    </w:p>
    <w:p w:rsidRPr="0072696E" w:rsidR="00BA2498" w:rsidP="00BA2498" w:rsidRDefault="00BA2498" w14:paraId="22B659AF" w14:textId="77777777">
      <w:pPr>
        <w:spacing w:after="0" w:line="360" w:lineRule="auto"/>
        <w:ind w:left="567" w:right="567"/>
        <w:rPr>
          <w:i/>
          <w:sz w:val="20"/>
          <w:szCs w:val="20"/>
        </w:rPr>
      </w:pPr>
    </w:p>
    <w:p w:rsidRPr="0072696E" w:rsidR="00BA2498" w:rsidP="00BA2498" w:rsidRDefault="00BA2498" w14:paraId="489B40B3" w14:textId="77777777">
      <w:pPr>
        <w:spacing w:after="0" w:line="360" w:lineRule="auto"/>
        <w:ind w:left="567" w:right="567"/>
        <w:rPr>
          <w:i/>
          <w:sz w:val="20"/>
          <w:szCs w:val="20"/>
        </w:rPr>
      </w:pPr>
      <w:r w:rsidRPr="0072696E">
        <w:rPr>
          <w:i/>
          <w:sz w:val="20"/>
          <w:szCs w:val="20"/>
        </w:rPr>
        <w:t>• El Ayuntamiento de Tenancingo, Estado de México acondicionará dentro de sus capacidades económicas y técnicas, un espacio para dar la consulta de los archivos.</w:t>
      </w:r>
    </w:p>
    <w:p w:rsidRPr="0072696E" w:rsidR="00BA2498" w:rsidP="00BA2498" w:rsidRDefault="00BA2498" w14:paraId="070E00BA" w14:textId="77777777">
      <w:pPr>
        <w:spacing w:after="0" w:line="360" w:lineRule="auto"/>
        <w:ind w:left="567" w:right="567"/>
        <w:rPr>
          <w:i/>
          <w:sz w:val="20"/>
          <w:szCs w:val="20"/>
        </w:rPr>
      </w:pPr>
    </w:p>
    <w:p w:rsidRPr="0072696E" w:rsidR="00BA2498" w:rsidP="00BA2498" w:rsidRDefault="00BA2498" w14:paraId="3F3E900D" w14:textId="77777777">
      <w:pPr>
        <w:spacing w:after="0" w:line="360" w:lineRule="auto"/>
        <w:ind w:left="567" w:right="567"/>
        <w:rPr>
          <w:i/>
          <w:sz w:val="20"/>
          <w:szCs w:val="20"/>
        </w:rPr>
      </w:pPr>
      <w:r w:rsidRPr="0072696E">
        <w:rPr>
          <w:i/>
          <w:sz w:val="20"/>
          <w:szCs w:val="20"/>
        </w:rPr>
        <w:t>El Ayuntamiento de Tenancingo, Estado de México, cuenta con un sistema de video vigilancia automatizado mediante cámaras de seguridad, además de contar con guardias de seguridad en sus accesos y salidas, todo ello para resguardar la integridad y seguridad del solicitante.</w:t>
      </w:r>
    </w:p>
    <w:p w:rsidRPr="0072696E" w:rsidR="00BA2498" w:rsidP="00BA2498" w:rsidRDefault="00BA2498" w14:paraId="5E290A34" w14:textId="77777777">
      <w:pPr>
        <w:spacing w:after="0" w:line="360" w:lineRule="auto"/>
        <w:ind w:right="567"/>
        <w:rPr>
          <w:i/>
          <w:sz w:val="20"/>
          <w:szCs w:val="20"/>
        </w:rPr>
      </w:pPr>
    </w:p>
    <w:p w:rsidRPr="0072696E" w:rsidR="00BA2498" w:rsidP="00BA2498" w:rsidRDefault="00BA2498" w14:paraId="677951AB" w14:textId="77777777">
      <w:pPr>
        <w:spacing w:after="0" w:line="360" w:lineRule="auto"/>
        <w:ind w:left="567" w:right="567"/>
        <w:rPr>
          <w:i/>
          <w:sz w:val="20"/>
          <w:szCs w:val="20"/>
        </w:rPr>
      </w:pPr>
      <w:r w:rsidRPr="0072696E">
        <w:rPr>
          <w:i/>
          <w:sz w:val="20"/>
          <w:szCs w:val="20"/>
        </w:rPr>
        <w:t>Se cuenta con extintores de gas inocuo de conformidad con la normatividad aplicable en la materia.</w:t>
      </w:r>
    </w:p>
    <w:p w:rsidRPr="0072696E" w:rsidR="00BA2498" w:rsidP="00BA2498" w:rsidRDefault="00BA2498" w14:paraId="343EF2BA" w14:textId="77777777">
      <w:pPr>
        <w:spacing w:after="0" w:line="360" w:lineRule="auto"/>
        <w:ind w:left="567" w:right="567"/>
        <w:rPr>
          <w:i/>
          <w:sz w:val="20"/>
          <w:szCs w:val="20"/>
        </w:rPr>
      </w:pPr>
    </w:p>
    <w:p w:rsidRPr="0072696E" w:rsidR="00BA2498" w:rsidP="00BA2498" w:rsidRDefault="00BA2498" w14:paraId="6DF288BB" w14:textId="77777777">
      <w:pPr>
        <w:spacing w:after="0" w:line="360" w:lineRule="auto"/>
        <w:ind w:left="567" w:right="567"/>
        <w:rPr>
          <w:i/>
          <w:sz w:val="20"/>
          <w:szCs w:val="20"/>
        </w:rPr>
      </w:pPr>
      <w:r w:rsidRPr="0072696E">
        <w:rPr>
          <w:i/>
          <w:sz w:val="20"/>
          <w:szCs w:val="20"/>
        </w:rPr>
        <w:t xml:space="preserve">Se cuenta con un registro de ingreso e identificación, por ello antes de iniciar la consulta, se solicitará identificación oficial al solicitante, </w:t>
      </w:r>
      <w:r w:rsidRPr="0072696E">
        <w:rPr>
          <w:b/>
          <w:bCs/>
          <w:i/>
          <w:sz w:val="20"/>
          <w:szCs w:val="20"/>
        </w:rPr>
        <w:t>NO PARA ACREDITAR INTERES ALGUNO</w:t>
      </w:r>
      <w:r w:rsidRPr="0072696E">
        <w:rPr>
          <w:i/>
          <w:sz w:val="20"/>
          <w:szCs w:val="20"/>
        </w:rPr>
        <w:t xml:space="preserve">, </w:t>
      </w:r>
      <w:r w:rsidRPr="0072696E">
        <w:rPr>
          <w:i/>
          <w:sz w:val="20"/>
          <w:szCs w:val="20"/>
        </w:rPr>
        <w:lastRenderedPageBreak/>
        <w:t>sino para acreditar la personalidad y la identidad del solicitante con la persona que se presenta a realizar la consulta directa.</w:t>
      </w:r>
    </w:p>
    <w:p w:rsidRPr="0072696E" w:rsidR="00BA2498" w:rsidP="00BA2498" w:rsidRDefault="00BA2498" w14:paraId="0C7472DC" w14:textId="77777777">
      <w:pPr>
        <w:spacing w:after="0" w:line="360" w:lineRule="auto"/>
        <w:ind w:left="567" w:right="567"/>
        <w:rPr>
          <w:i/>
          <w:sz w:val="20"/>
          <w:szCs w:val="20"/>
        </w:rPr>
      </w:pPr>
    </w:p>
    <w:p w:rsidRPr="0072696E" w:rsidR="00BA2498" w:rsidP="00BA2498" w:rsidRDefault="00BA2498" w14:paraId="6A671E63" w14:textId="77777777">
      <w:pPr>
        <w:spacing w:after="0" w:line="360" w:lineRule="auto"/>
        <w:ind w:left="567" w:right="567"/>
        <w:rPr>
          <w:b/>
          <w:bCs/>
          <w:i/>
          <w:sz w:val="20"/>
          <w:szCs w:val="20"/>
        </w:rPr>
      </w:pPr>
      <w:r w:rsidRPr="0072696E">
        <w:rPr>
          <w:b/>
          <w:bCs/>
          <w:i/>
          <w:sz w:val="20"/>
          <w:szCs w:val="20"/>
        </w:rPr>
        <w:t>Se especifican los rubros anteriores para que el solicitante tenga conocimiento de las reglas que deberá observar durante la consulta directa a realizar.</w:t>
      </w:r>
    </w:p>
    <w:p w:rsidRPr="0072696E" w:rsidR="00BA2498" w:rsidP="00BA2498" w:rsidRDefault="00BA2498" w14:paraId="1105AC36" w14:textId="4A3CACC3">
      <w:pPr>
        <w:spacing w:after="0" w:line="360" w:lineRule="auto"/>
        <w:ind w:left="567" w:right="567"/>
        <w:rPr>
          <w:i/>
          <w:sz w:val="20"/>
          <w:szCs w:val="20"/>
        </w:rPr>
      </w:pPr>
    </w:p>
    <w:p w:rsidRPr="0072696E" w:rsidR="00BA2498" w:rsidP="00BA2498" w:rsidRDefault="00BA2498" w14:paraId="21AC4AD7" w14:textId="77777777">
      <w:pPr>
        <w:spacing w:line="360" w:lineRule="auto"/>
        <w:ind w:left="567" w:right="567"/>
        <w:rPr>
          <w:i/>
          <w:sz w:val="20"/>
          <w:szCs w:val="20"/>
        </w:rPr>
      </w:pPr>
      <w:r w:rsidRPr="0072696E">
        <w:rPr>
          <w:i/>
          <w:sz w:val="20"/>
          <w:szCs w:val="20"/>
        </w:rPr>
        <w:t xml:space="preserve">Por lo anteriormente expuesto y fundado se remite la propuesta </w:t>
      </w:r>
      <w:r w:rsidRPr="0072696E">
        <w:rPr>
          <w:b/>
          <w:bCs/>
          <w:i/>
          <w:sz w:val="20"/>
          <w:szCs w:val="20"/>
        </w:rPr>
        <w:t xml:space="preserve">CAMBIO DE MODALIDAD </w:t>
      </w:r>
      <w:r w:rsidRPr="0072696E">
        <w:rPr>
          <w:i/>
          <w:sz w:val="20"/>
          <w:szCs w:val="20"/>
        </w:rPr>
        <w:t xml:space="preserve">de la información solicitada a </w:t>
      </w:r>
      <w:r w:rsidRPr="0072696E">
        <w:rPr>
          <w:b/>
          <w:bCs/>
          <w:i/>
          <w:sz w:val="20"/>
          <w:szCs w:val="20"/>
        </w:rPr>
        <w:t>"CONSULTA DIRECTA",</w:t>
      </w:r>
      <w:r w:rsidRPr="0072696E">
        <w:rPr>
          <w:i/>
          <w:sz w:val="20"/>
          <w:szCs w:val="20"/>
        </w:rPr>
        <w:t xml:space="preserve"> de la solicitud con folio </w:t>
      </w:r>
      <w:r w:rsidRPr="0072696E">
        <w:rPr>
          <w:b/>
          <w:bCs/>
          <w:i/>
          <w:sz w:val="20"/>
          <w:szCs w:val="20"/>
        </w:rPr>
        <w:t>00398/TENANCIN/IP/2022</w:t>
      </w:r>
      <w:r w:rsidRPr="0072696E">
        <w:rPr>
          <w:i/>
          <w:sz w:val="20"/>
          <w:szCs w:val="20"/>
        </w:rPr>
        <w:t>.” (Sic.)</w:t>
      </w:r>
    </w:p>
    <w:p w:rsidRPr="0072696E" w:rsidR="00906C97" w:rsidP="00906C97" w:rsidRDefault="00906C97" w14:paraId="6BF2E029" w14:textId="77777777">
      <w:pPr>
        <w:tabs>
          <w:tab w:val="left" w:pos="567"/>
        </w:tabs>
        <w:spacing w:after="0" w:line="360" w:lineRule="auto"/>
        <w:ind w:right="567"/>
        <w:rPr>
          <w:rFonts w:eastAsia="Times New Roman" w:cs="Tahoma"/>
          <w:color w:val="auto"/>
          <w:sz w:val="20"/>
          <w:szCs w:val="20"/>
          <w:lang w:eastAsia="es-ES"/>
        </w:rPr>
      </w:pPr>
    </w:p>
    <w:bookmarkEnd w:id="6"/>
    <w:p w:rsidRPr="0072696E" w:rsidR="00906C97" w:rsidP="00906C97" w:rsidRDefault="00906C97" w14:paraId="5F8E68EC" w14:textId="77777777">
      <w:pPr>
        <w:spacing w:after="0" w:line="360" w:lineRule="auto"/>
        <w:ind w:right="539"/>
        <w:rPr>
          <w:rFonts w:eastAsia="Times New Roman" w:cs="Tahoma"/>
          <w:bCs/>
          <w:iCs/>
          <w:lang w:eastAsia="es-ES"/>
        </w:rPr>
      </w:pPr>
      <w:r w:rsidRPr="0072696E">
        <w:rPr>
          <w:rFonts w:eastAsia="Times New Roman" w:cs="Tahoma"/>
          <w:bCs/>
          <w:iCs/>
          <w:lang w:eastAsia="es-ES"/>
        </w:rPr>
        <w:t>El Sujeto Obligado adjuntó la digitalización de los siguientes documentos:</w:t>
      </w:r>
    </w:p>
    <w:p w:rsidRPr="0072696E" w:rsidR="00906C97" w:rsidP="00906C97" w:rsidRDefault="00906C97" w14:paraId="755C1274" w14:textId="77777777">
      <w:pPr>
        <w:spacing w:after="0" w:line="360" w:lineRule="auto"/>
        <w:ind w:right="539"/>
        <w:rPr>
          <w:rFonts w:eastAsia="Times New Roman" w:cs="Tahoma"/>
          <w:bCs/>
          <w:iCs/>
          <w:lang w:eastAsia="es-ES"/>
        </w:rPr>
      </w:pPr>
    </w:p>
    <w:p w:rsidRPr="0072696E" w:rsidR="00906C97" w:rsidP="00906C97" w:rsidRDefault="00906C97" w14:paraId="683CDB7B" w14:textId="7DF76565">
      <w:pPr>
        <w:spacing w:after="0" w:line="360" w:lineRule="auto"/>
        <w:ind w:right="539"/>
        <w:rPr>
          <w:rFonts w:eastAsia="Times New Roman" w:cs="Tahoma"/>
          <w:lang w:val="es-ES_tradnl" w:eastAsia="es-ES"/>
        </w:rPr>
      </w:pPr>
      <w:r w:rsidRPr="0072696E">
        <w:rPr>
          <w:rFonts w:eastAsia="Times New Roman" w:cs="Tahoma"/>
          <w:bCs/>
          <w:iCs/>
          <w:lang w:eastAsia="es-ES"/>
        </w:rPr>
        <w:t>i)</w:t>
      </w:r>
      <w:r w:rsidRPr="0072696E" w:rsidR="007E000B">
        <w:rPr>
          <w:rFonts w:eastAsia="Times New Roman" w:cs="Tahoma"/>
          <w:bCs/>
          <w:iCs/>
          <w:lang w:eastAsia="es-ES"/>
        </w:rPr>
        <w:t xml:space="preserve"> </w:t>
      </w:r>
      <w:r w:rsidRPr="0072696E" w:rsidR="00B4096D">
        <w:rPr>
          <w:rFonts w:cs="Tahoma"/>
        </w:rPr>
        <w:t>O</w:t>
      </w:r>
      <w:r w:rsidRPr="0072696E" w:rsidR="007E000B">
        <w:rPr>
          <w:rFonts w:cs="Tahoma"/>
        </w:rPr>
        <w:t xml:space="preserve">ficio </w:t>
      </w:r>
      <w:r w:rsidRPr="0072696E" w:rsidR="007E000B">
        <w:rPr>
          <w:rFonts w:cs="Tahoma"/>
          <w:lang w:val="es-ES_tradnl"/>
        </w:rPr>
        <w:t>PTM058/ST/CT/SI/00242/2022 del dieciocho de abril de dos mil veintidós, suscrito por el Tesorero Municipal</w:t>
      </w:r>
      <w:r w:rsidRPr="0072696E" w:rsidR="007E000B">
        <w:rPr>
          <w:rFonts w:cs="Tahoma"/>
        </w:rPr>
        <w:t xml:space="preserve">, </w:t>
      </w:r>
      <w:r w:rsidRPr="0072696E" w:rsidR="007E000B">
        <w:rPr>
          <w:rFonts w:cs="Tahoma"/>
          <w:lang w:val="es-ES_tradnl"/>
        </w:rPr>
        <w:t>y dirigidos al Coordinador de Transparencia y Acceso a la Información Pública</w:t>
      </w:r>
      <w:r w:rsidRPr="0072696E">
        <w:rPr>
          <w:rFonts w:eastAsia="Times New Roman" w:cs="Tahoma"/>
          <w:lang w:val="es-ES_tradnl" w:eastAsia="es-ES"/>
        </w:rPr>
        <w:t>, que contiene lo siguiente:</w:t>
      </w:r>
    </w:p>
    <w:p w:rsidRPr="0072696E" w:rsidR="0057643D" w:rsidP="00906C97" w:rsidRDefault="0057643D" w14:paraId="16F9D193" w14:textId="77777777">
      <w:pPr>
        <w:spacing w:after="0" w:line="360" w:lineRule="auto"/>
        <w:ind w:right="539"/>
        <w:rPr>
          <w:rFonts w:eastAsia="Times New Roman" w:cs="Tahoma"/>
          <w:bCs/>
          <w:iCs/>
          <w:lang w:eastAsia="es-ES"/>
        </w:rPr>
      </w:pPr>
    </w:p>
    <w:p w:rsidRPr="0072696E" w:rsidR="00A45DDD" w:rsidP="00A45DDD" w:rsidRDefault="00A45DDD" w14:paraId="22410673" w14:textId="77777777">
      <w:pPr>
        <w:tabs>
          <w:tab w:val="left" w:pos="567"/>
        </w:tabs>
        <w:spacing w:after="0" w:line="360" w:lineRule="auto"/>
        <w:ind w:left="567" w:right="567"/>
        <w:contextualSpacing/>
        <w:rPr>
          <w:rFonts w:eastAsia="Times New Roman" w:cs="Tahoma"/>
          <w:b/>
          <w:bCs/>
          <w:i/>
          <w:iCs/>
          <w:color w:val="auto"/>
          <w:sz w:val="20"/>
          <w:szCs w:val="20"/>
          <w:lang w:eastAsia="es-ES"/>
        </w:rPr>
      </w:pPr>
      <w:r w:rsidRPr="0072696E">
        <w:rPr>
          <w:rFonts w:eastAsia="Times New Roman" w:cs="Tahoma"/>
          <w:i/>
          <w:iCs/>
          <w:sz w:val="20"/>
          <w:szCs w:val="20"/>
          <w:lang w:val="es-ES_tradnl" w:eastAsia="es-ES"/>
        </w:rPr>
        <w:t>“…</w:t>
      </w:r>
    </w:p>
    <w:p w:rsidRPr="0072696E" w:rsidR="00A45DDD" w:rsidP="00A45DDD" w:rsidRDefault="00A45DDD" w14:paraId="33A1201A" w14:textId="77777777">
      <w:pPr>
        <w:spacing w:after="0" w:line="360" w:lineRule="auto"/>
        <w:ind w:left="567" w:right="567"/>
        <w:rPr>
          <w:i/>
          <w:sz w:val="20"/>
          <w:szCs w:val="20"/>
        </w:rPr>
      </w:pPr>
      <w:r w:rsidRPr="0072696E">
        <w:rPr>
          <w:i/>
          <w:sz w:val="20"/>
          <w:szCs w:val="20"/>
        </w:rPr>
        <w:t xml:space="preserve">Por lo anteriormente expuesto es importante señalar lo establecido por el </w:t>
      </w:r>
      <w:r w:rsidRPr="0072696E">
        <w:rPr>
          <w:b/>
          <w:bCs/>
          <w:i/>
          <w:sz w:val="20"/>
          <w:szCs w:val="20"/>
        </w:rPr>
        <w:t>artículo 158 de la Ley de Transparencia estatal que a la letra estipula lo siguiente:</w:t>
      </w:r>
    </w:p>
    <w:p w:rsidRPr="0072696E" w:rsidR="00A45DDD" w:rsidP="00A45DDD" w:rsidRDefault="00A45DDD" w14:paraId="4759535F" w14:textId="77777777">
      <w:pPr>
        <w:spacing w:after="0" w:line="360" w:lineRule="auto"/>
        <w:ind w:left="567" w:right="567"/>
        <w:rPr>
          <w:i/>
          <w:sz w:val="20"/>
          <w:szCs w:val="20"/>
        </w:rPr>
      </w:pPr>
      <w:r w:rsidRPr="0072696E">
        <w:rPr>
          <w:i/>
          <w:sz w:val="20"/>
          <w:szCs w:val="20"/>
        </w:rPr>
        <w:t>…</w:t>
      </w:r>
    </w:p>
    <w:p w:rsidRPr="0072696E" w:rsidR="00A45DDD" w:rsidP="00A45DDD" w:rsidRDefault="00A45DDD" w14:paraId="48E039C1" w14:textId="77777777">
      <w:pPr>
        <w:spacing w:after="0" w:line="360" w:lineRule="auto"/>
        <w:ind w:left="567" w:right="567"/>
        <w:rPr>
          <w:i/>
          <w:sz w:val="20"/>
          <w:szCs w:val="20"/>
        </w:rPr>
      </w:pPr>
      <w:r w:rsidRPr="0072696E">
        <w:rPr>
          <w:i/>
          <w:sz w:val="20"/>
          <w:szCs w:val="20"/>
        </w:rPr>
        <w:t>Igualmente, para robustecer lo anterior, es conveniente citar a continuación el Criterio 008/2013 del hoy Instituto Nacional de Acceso a la Información y Protección de Datos Personales:</w:t>
      </w:r>
    </w:p>
    <w:p w:rsidRPr="0072696E" w:rsidR="00A45DDD" w:rsidP="00A45DDD" w:rsidRDefault="00A45DDD" w14:paraId="5D147D93" w14:textId="77777777">
      <w:pPr>
        <w:spacing w:after="0" w:line="360" w:lineRule="auto"/>
        <w:ind w:left="567" w:right="567"/>
        <w:rPr>
          <w:i/>
          <w:sz w:val="20"/>
          <w:szCs w:val="20"/>
        </w:rPr>
      </w:pPr>
      <w:r w:rsidRPr="0072696E">
        <w:rPr>
          <w:i/>
          <w:sz w:val="20"/>
          <w:szCs w:val="20"/>
        </w:rPr>
        <w:t>…</w:t>
      </w:r>
    </w:p>
    <w:p w:rsidRPr="0072696E" w:rsidR="00A45DDD" w:rsidP="00A45DDD" w:rsidRDefault="00A45DDD" w14:paraId="76224FC8" w14:textId="77777777">
      <w:pPr>
        <w:spacing w:after="0" w:line="360" w:lineRule="auto"/>
        <w:ind w:left="567" w:right="567"/>
        <w:rPr>
          <w:i/>
          <w:sz w:val="20"/>
          <w:szCs w:val="20"/>
        </w:rPr>
      </w:pPr>
      <w:r w:rsidRPr="0072696E">
        <w:rPr>
          <w:b/>
          <w:bCs/>
          <w:i/>
          <w:sz w:val="20"/>
          <w:szCs w:val="20"/>
        </w:rPr>
        <w:t>Este servidor público habilitado NO NIEGA LA EXISTENCIA DE LA INFORMACIÓN</w:t>
      </w:r>
      <w:r w:rsidRPr="0072696E">
        <w:rPr>
          <w:i/>
          <w:sz w:val="20"/>
          <w:szCs w:val="20"/>
        </w:rPr>
        <w:t xml:space="preserve">, pero como ya se mencionó anteriormente, nos encontramos en la imposibilidad de entregar al solicitante la información en la modalidad que éste señala, por lo cual se realiza un cambio de modalidad a </w:t>
      </w:r>
      <w:r w:rsidRPr="0072696E">
        <w:rPr>
          <w:b/>
          <w:bCs/>
          <w:i/>
          <w:sz w:val="20"/>
          <w:szCs w:val="20"/>
        </w:rPr>
        <w:t>"CONSULTA DIRECTA"</w:t>
      </w:r>
      <w:r w:rsidRPr="0072696E">
        <w:rPr>
          <w:i/>
          <w:sz w:val="20"/>
          <w:szCs w:val="20"/>
        </w:rPr>
        <w:t>; ello con fundamento en lo dispuesto por el artículo 164 de la Ley de Transparencia Local, que a la letra señala:</w:t>
      </w:r>
    </w:p>
    <w:p w:rsidRPr="0072696E" w:rsidR="00A45DDD" w:rsidP="00A45DDD" w:rsidRDefault="00A45DDD" w14:paraId="1D5BB4A1" w14:textId="77777777">
      <w:pPr>
        <w:spacing w:after="0" w:line="360" w:lineRule="auto"/>
        <w:ind w:left="567" w:right="567"/>
        <w:rPr>
          <w:b/>
          <w:bCs/>
          <w:i/>
          <w:sz w:val="20"/>
          <w:szCs w:val="20"/>
        </w:rPr>
      </w:pPr>
      <w:r w:rsidRPr="0072696E">
        <w:rPr>
          <w:b/>
          <w:bCs/>
          <w:i/>
          <w:sz w:val="20"/>
          <w:szCs w:val="20"/>
        </w:rPr>
        <w:t>…</w:t>
      </w:r>
    </w:p>
    <w:p w:rsidRPr="0072696E" w:rsidR="00A45DDD" w:rsidP="00A45DDD" w:rsidRDefault="00A45DDD" w14:paraId="622D3976" w14:textId="77777777">
      <w:pPr>
        <w:spacing w:after="0" w:line="360" w:lineRule="auto"/>
        <w:ind w:left="567" w:right="567"/>
        <w:rPr>
          <w:i/>
          <w:sz w:val="20"/>
          <w:szCs w:val="20"/>
        </w:rPr>
      </w:pPr>
      <w:r w:rsidRPr="0072696E">
        <w:rPr>
          <w:b/>
          <w:bCs/>
          <w:i/>
          <w:sz w:val="20"/>
          <w:szCs w:val="20"/>
        </w:rPr>
        <w:lastRenderedPageBreak/>
        <w:t>POR LO ANTERIORMENTE FUNDADO Y MOTIVADO SE PONEN A DISPOSICIÓN DEL SOLICTANTE LOS DOCUMENTOS REQUERIDOS EN SU SOLICITUD, PARA CONSULTA DIRECTA, BAJO LOS SIGUIENTES RUBROS, DE CONFORMIDAD CON LO ESTABLECIDO EN LOS LINEAMIENTOS GENERALES EN MATERIA DE CLASIFICACIÓN Y DESCLASIFICACIÓN DE LA INFORMACIÓN, ASÍ COMO PARA LA ELABORACIÓN DE VERSIONES PÚBLICAS LINEAMIENTO SEPTUAGÉSIMO;</w:t>
      </w:r>
      <w:r w:rsidRPr="0072696E">
        <w:rPr>
          <w:i/>
          <w:sz w:val="20"/>
          <w:szCs w:val="20"/>
        </w:rPr>
        <w:t xml:space="preserve"> el cual señala lo siguiente:</w:t>
      </w:r>
    </w:p>
    <w:p w:rsidRPr="0072696E" w:rsidR="00A45DDD" w:rsidP="00A45DDD" w:rsidRDefault="00A45DDD" w14:paraId="7C024DD0" w14:textId="77777777">
      <w:pPr>
        <w:spacing w:after="0" w:line="360" w:lineRule="auto"/>
        <w:ind w:left="567" w:right="567"/>
        <w:rPr>
          <w:i/>
          <w:sz w:val="20"/>
          <w:szCs w:val="20"/>
        </w:rPr>
      </w:pPr>
      <w:r w:rsidRPr="0072696E">
        <w:rPr>
          <w:i/>
          <w:sz w:val="20"/>
          <w:szCs w:val="20"/>
        </w:rPr>
        <w:t>…</w:t>
      </w:r>
    </w:p>
    <w:p w:rsidRPr="0072696E" w:rsidR="00A45DDD" w:rsidP="00A45DDD" w:rsidRDefault="00A45DDD" w14:paraId="7F701E9E" w14:textId="77777777">
      <w:pPr>
        <w:spacing w:after="0" w:line="360" w:lineRule="auto"/>
        <w:ind w:left="567" w:right="567"/>
        <w:rPr>
          <w:i/>
          <w:sz w:val="20"/>
          <w:szCs w:val="20"/>
        </w:rPr>
      </w:pPr>
      <w:r w:rsidRPr="0072696E">
        <w:rPr>
          <w:i/>
          <w:sz w:val="20"/>
          <w:szCs w:val="20"/>
        </w:rPr>
        <w:t>El lugar será la Tesorería de la Presidencia Municipal, ubicada en Morelos número 101, Colonia Centro, Tenancingo, Estado de México, el día de la consulta se circunscribe al plazo de sesenta días de la presente anualidad en días y horas hábiles del día hábil siguiente de que se haya notificado, en un horario de 10:00 a 14:00 horas.</w:t>
      </w:r>
    </w:p>
    <w:p w:rsidRPr="0072696E" w:rsidR="00A45DDD" w:rsidP="00A45DDD" w:rsidRDefault="00A45DDD" w14:paraId="0B538F8F" w14:textId="77777777">
      <w:pPr>
        <w:spacing w:after="0" w:line="360" w:lineRule="auto"/>
        <w:ind w:left="567" w:right="567"/>
        <w:rPr>
          <w:i/>
          <w:sz w:val="20"/>
          <w:szCs w:val="20"/>
        </w:rPr>
      </w:pPr>
    </w:p>
    <w:p w:rsidRPr="0072696E" w:rsidR="00A45DDD" w:rsidP="00A45DDD" w:rsidRDefault="00A45DDD" w14:paraId="1FB713AE" w14:textId="2C93DB6D">
      <w:pPr>
        <w:spacing w:after="0" w:line="360" w:lineRule="auto"/>
        <w:ind w:left="567" w:right="567"/>
        <w:rPr>
          <w:b/>
          <w:bCs/>
          <w:i/>
          <w:sz w:val="20"/>
          <w:szCs w:val="20"/>
        </w:rPr>
      </w:pPr>
      <w:r w:rsidRPr="0072696E">
        <w:rPr>
          <w:i/>
          <w:sz w:val="20"/>
          <w:szCs w:val="20"/>
        </w:rPr>
        <w:t xml:space="preserve">Se le dará el acceso a los archivos que contienen la información sobre </w:t>
      </w:r>
      <w:r w:rsidRPr="0072696E">
        <w:rPr>
          <w:b/>
          <w:bCs/>
          <w:i/>
          <w:sz w:val="20"/>
          <w:szCs w:val="20"/>
        </w:rPr>
        <w:t>(LA CANTIDAD DE DINERO QUE EL AYUNTAMIENTO DE TENANCINGO, MÉXICO HA RECAUDADO DE LOS BAÑOS PÚBLICOS QUE SE ENCUENTRAN EN EL INTERIOR DEL MERCADO DE LA FLOR XOCHIQUETZAL UBICADO EN CALLE JUAREZ, TENANCINGO, MEXICO. DESDE EL DIA PRIMERO DE ENERO DE 2022, HASTA EL DIA OCHO DE ABRIL DE 2022, INFORMACION QUE SOLICITO SEA PRESENTADA POR SEPARADO DE MANERA MENSUAL, ES DECIR, CUANTO SE RECAUDO EN EL MES DE ENERO DE 2022, CUANTO EN EL MES DE FEBRERO DE 2022, CUANTO EN EL MES DE MARZO DE 2022 Y CUANTO EN EL MES DE ABRIL DE 2022. PARA EL CASO DE QUE ESTEN CONCESIONADOS, EL NOMBRE Y DOMICILIO DE LA PERSONA FÍSICA O MORAL A QUIEN SE LE OTORGÓ LA CONCESIÓN, ASI COMO LA FECHA Y PROCEDIMIENTO QUE SE LLEVO A CABO PARA OTORGAR LA CONCESIÓN Y EN SU CASO EL ACTA DE CABILDO EN QUE SE HAYA AUTORIZADO DICHA CONCESION)</w:t>
      </w:r>
    </w:p>
    <w:p w:rsidRPr="0072696E" w:rsidR="00A45DDD" w:rsidP="00A45DDD" w:rsidRDefault="00A45DDD" w14:paraId="4D7AAC90" w14:textId="77777777">
      <w:pPr>
        <w:spacing w:after="0" w:line="360" w:lineRule="auto"/>
        <w:ind w:left="567" w:right="567"/>
        <w:rPr>
          <w:i/>
          <w:sz w:val="20"/>
          <w:szCs w:val="20"/>
        </w:rPr>
      </w:pPr>
    </w:p>
    <w:p w:rsidRPr="0072696E" w:rsidR="00A45DDD" w:rsidP="00A45DDD" w:rsidRDefault="00A45DDD" w14:paraId="763AEC8C" w14:textId="77777777">
      <w:pPr>
        <w:spacing w:after="0" w:line="360" w:lineRule="auto"/>
        <w:ind w:left="567" w:right="567"/>
        <w:rPr>
          <w:i/>
          <w:sz w:val="20"/>
          <w:szCs w:val="20"/>
        </w:rPr>
      </w:pPr>
      <w:r w:rsidRPr="0072696E">
        <w:rPr>
          <w:i/>
          <w:sz w:val="20"/>
          <w:szCs w:val="20"/>
        </w:rPr>
        <w:t>• El Ayuntamiento de Tenancingo, Estado de México acondicionará dentro de sus capacidades económicas y técnicas, un espacio para dar la consulta de los archivos.</w:t>
      </w:r>
    </w:p>
    <w:p w:rsidRPr="0072696E" w:rsidR="00A45DDD" w:rsidP="00A45DDD" w:rsidRDefault="00A45DDD" w14:paraId="4D91A7B3" w14:textId="77777777">
      <w:pPr>
        <w:spacing w:after="0" w:line="360" w:lineRule="auto"/>
        <w:ind w:left="567" w:right="567"/>
        <w:rPr>
          <w:i/>
          <w:sz w:val="20"/>
          <w:szCs w:val="20"/>
        </w:rPr>
      </w:pPr>
    </w:p>
    <w:p w:rsidRPr="0072696E" w:rsidR="00A45DDD" w:rsidP="00A45DDD" w:rsidRDefault="00A45DDD" w14:paraId="67DB6D25" w14:textId="77777777">
      <w:pPr>
        <w:spacing w:after="0" w:line="360" w:lineRule="auto"/>
        <w:ind w:left="567" w:right="567"/>
        <w:rPr>
          <w:i/>
          <w:sz w:val="20"/>
          <w:szCs w:val="20"/>
        </w:rPr>
      </w:pPr>
      <w:r w:rsidRPr="0072696E">
        <w:rPr>
          <w:i/>
          <w:sz w:val="20"/>
          <w:szCs w:val="20"/>
        </w:rPr>
        <w:t>El Ayuntamiento de Tenancingo, Estado de México, cuenta con un sistema de video vigilancia automatizado mediante cámaras de seguridad, además de contar con guardias de seguridad en sus accesos y salidas, todo ello para resguardar la integridad y seguridad del solicitante.</w:t>
      </w:r>
    </w:p>
    <w:p w:rsidRPr="0072696E" w:rsidR="00A45DDD" w:rsidP="00A45DDD" w:rsidRDefault="00A45DDD" w14:paraId="67F70C97" w14:textId="77777777">
      <w:pPr>
        <w:spacing w:after="0" w:line="360" w:lineRule="auto"/>
        <w:ind w:right="567"/>
        <w:rPr>
          <w:i/>
          <w:sz w:val="20"/>
          <w:szCs w:val="20"/>
        </w:rPr>
      </w:pPr>
    </w:p>
    <w:p w:rsidRPr="0072696E" w:rsidR="00A45DDD" w:rsidP="00A45DDD" w:rsidRDefault="00A45DDD" w14:paraId="0BAAE921" w14:textId="77777777">
      <w:pPr>
        <w:spacing w:after="0" w:line="360" w:lineRule="auto"/>
        <w:ind w:left="567" w:right="567"/>
        <w:rPr>
          <w:i/>
          <w:sz w:val="20"/>
          <w:szCs w:val="20"/>
        </w:rPr>
      </w:pPr>
      <w:r w:rsidRPr="0072696E">
        <w:rPr>
          <w:i/>
          <w:sz w:val="20"/>
          <w:szCs w:val="20"/>
        </w:rPr>
        <w:t>Se cuenta con extintores de gas inocuo de conformidad con la normatividad aplicable en la materia.</w:t>
      </w:r>
    </w:p>
    <w:p w:rsidRPr="0072696E" w:rsidR="00A45DDD" w:rsidP="00A45DDD" w:rsidRDefault="00A45DDD" w14:paraId="36BE5C86" w14:textId="77777777">
      <w:pPr>
        <w:spacing w:after="0" w:line="360" w:lineRule="auto"/>
        <w:ind w:left="567" w:right="567"/>
        <w:rPr>
          <w:i/>
          <w:sz w:val="20"/>
          <w:szCs w:val="20"/>
        </w:rPr>
      </w:pPr>
    </w:p>
    <w:p w:rsidRPr="0072696E" w:rsidR="00A45DDD" w:rsidP="00A45DDD" w:rsidRDefault="00A45DDD" w14:paraId="3FF049BC" w14:textId="77777777">
      <w:pPr>
        <w:spacing w:after="0" w:line="360" w:lineRule="auto"/>
        <w:ind w:left="567" w:right="567"/>
        <w:rPr>
          <w:i/>
          <w:sz w:val="20"/>
          <w:szCs w:val="20"/>
        </w:rPr>
      </w:pPr>
      <w:r w:rsidRPr="0072696E">
        <w:rPr>
          <w:i/>
          <w:sz w:val="20"/>
          <w:szCs w:val="20"/>
        </w:rPr>
        <w:t xml:space="preserve">Se cuenta con un registro de ingreso e identificación, por ello antes de iniciar la consulta, se solicitará identificación oficial al solicitante, </w:t>
      </w:r>
      <w:r w:rsidRPr="0072696E">
        <w:rPr>
          <w:b/>
          <w:bCs/>
          <w:i/>
          <w:sz w:val="20"/>
          <w:szCs w:val="20"/>
        </w:rPr>
        <w:t>NO PARA ACREDITAR INTERES ALGUNO</w:t>
      </w:r>
      <w:r w:rsidRPr="0072696E">
        <w:rPr>
          <w:i/>
          <w:sz w:val="20"/>
          <w:szCs w:val="20"/>
        </w:rPr>
        <w:t>, sino para acreditar la personalidad y la identidad del solicitante con la persona que se presenta a realizar la consulta directa.</w:t>
      </w:r>
    </w:p>
    <w:p w:rsidRPr="0072696E" w:rsidR="00A45DDD" w:rsidP="00A45DDD" w:rsidRDefault="00A45DDD" w14:paraId="00498EF6" w14:textId="77777777">
      <w:pPr>
        <w:spacing w:after="0" w:line="360" w:lineRule="auto"/>
        <w:ind w:left="567" w:right="567"/>
        <w:rPr>
          <w:i/>
          <w:sz w:val="20"/>
          <w:szCs w:val="20"/>
        </w:rPr>
      </w:pPr>
    </w:p>
    <w:p w:rsidRPr="0072696E" w:rsidR="00A45DDD" w:rsidP="00A45DDD" w:rsidRDefault="00A45DDD" w14:paraId="20FE28CB" w14:textId="77777777">
      <w:pPr>
        <w:spacing w:after="0" w:line="360" w:lineRule="auto"/>
        <w:ind w:left="567" w:right="567"/>
        <w:rPr>
          <w:b/>
          <w:bCs/>
          <w:i/>
          <w:sz w:val="20"/>
          <w:szCs w:val="20"/>
        </w:rPr>
      </w:pPr>
      <w:r w:rsidRPr="0072696E">
        <w:rPr>
          <w:b/>
          <w:bCs/>
          <w:i/>
          <w:sz w:val="20"/>
          <w:szCs w:val="20"/>
        </w:rPr>
        <w:t>Se especifican los rubros anteriores para que el solicitante tenga conocimiento de las reglas que deberá observar durante la consulta directa a realizar.</w:t>
      </w:r>
    </w:p>
    <w:p w:rsidRPr="0072696E" w:rsidR="00A45DDD" w:rsidP="00A45DDD" w:rsidRDefault="00A45DDD" w14:paraId="516FBAC7" w14:textId="77777777">
      <w:pPr>
        <w:spacing w:after="0" w:line="360" w:lineRule="auto"/>
        <w:ind w:left="567" w:right="567"/>
        <w:rPr>
          <w:i/>
          <w:sz w:val="20"/>
          <w:szCs w:val="20"/>
        </w:rPr>
      </w:pPr>
    </w:p>
    <w:p w:rsidRPr="0072696E" w:rsidR="00906C97" w:rsidP="00A45DDD" w:rsidRDefault="00A45DDD" w14:paraId="5CC2DCBF" w14:textId="3C98318F">
      <w:pPr>
        <w:spacing w:line="360" w:lineRule="auto"/>
        <w:ind w:left="567" w:right="567"/>
        <w:rPr>
          <w:i/>
          <w:sz w:val="20"/>
          <w:szCs w:val="20"/>
        </w:rPr>
      </w:pPr>
      <w:r w:rsidRPr="0072696E">
        <w:rPr>
          <w:i/>
          <w:sz w:val="20"/>
          <w:szCs w:val="20"/>
        </w:rPr>
        <w:t xml:space="preserve">Por lo anteriormente expuesto y fundado se remite la propuesta </w:t>
      </w:r>
      <w:r w:rsidRPr="0072696E">
        <w:rPr>
          <w:b/>
          <w:bCs/>
          <w:i/>
          <w:sz w:val="20"/>
          <w:szCs w:val="20"/>
        </w:rPr>
        <w:t xml:space="preserve">CAMBIO DE MODALIDAD </w:t>
      </w:r>
      <w:r w:rsidRPr="0072696E">
        <w:rPr>
          <w:i/>
          <w:sz w:val="20"/>
          <w:szCs w:val="20"/>
        </w:rPr>
        <w:t xml:space="preserve">de la información solicitada a </w:t>
      </w:r>
      <w:r w:rsidRPr="0072696E">
        <w:rPr>
          <w:b/>
          <w:bCs/>
          <w:i/>
          <w:sz w:val="20"/>
          <w:szCs w:val="20"/>
        </w:rPr>
        <w:t>"CONSULTA DIRECTA",</w:t>
      </w:r>
      <w:r w:rsidRPr="0072696E">
        <w:rPr>
          <w:i/>
          <w:sz w:val="20"/>
          <w:szCs w:val="20"/>
        </w:rPr>
        <w:t xml:space="preserve"> de la solicitud con folio </w:t>
      </w:r>
      <w:r w:rsidRPr="0072696E">
        <w:rPr>
          <w:b/>
          <w:bCs/>
          <w:i/>
          <w:sz w:val="20"/>
          <w:szCs w:val="20"/>
        </w:rPr>
        <w:t>00398/TENANCIN/IP/2022</w:t>
      </w:r>
      <w:r w:rsidRPr="0072696E">
        <w:rPr>
          <w:i/>
          <w:sz w:val="20"/>
          <w:szCs w:val="20"/>
        </w:rPr>
        <w:t>.” (Sic.)</w:t>
      </w:r>
    </w:p>
    <w:p w:rsidRPr="0072696E" w:rsidR="00A45DDD" w:rsidP="00A45DDD" w:rsidRDefault="00A45DDD" w14:paraId="35B21B62" w14:textId="77777777">
      <w:pPr>
        <w:spacing w:after="0" w:line="360" w:lineRule="auto"/>
        <w:ind w:right="567"/>
        <w:rPr>
          <w:iCs/>
          <w:sz w:val="20"/>
          <w:szCs w:val="20"/>
        </w:rPr>
      </w:pPr>
    </w:p>
    <w:bookmarkEnd w:id="5"/>
    <w:p w:rsidRPr="0072696E" w:rsidR="00A45DDD" w:rsidP="00A45DDD" w:rsidRDefault="00A45DDD" w14:paraId="78670132" w14:textId="52B847A1">
      <w:pPr>
        <w:spacing w:line="360" w:lineRule="auto"/>
        <w:rPr>
          <w:rFonts w:cs="Tahoma"/>
        </w:rPr>
      </w:pPr>
      <w:r w:rsidRPr="0072696E">
        <w:rPr>
          <w:rFonts w:cs="Tahoma"/>
          <w:bCs/>
          <w:iCs/>
        </w:rPr>
        <w:t xml:space="preserve">ii) </w:t>
      </w:r>
      <w:r w:rsidRPr="0072696E">
        <w:rPr>
          <w:rFonts w:cs="Tahoma"/>
          <w:lang w:val="es-ES_tradnl"/>
        </w:rPr>
        <w:t>Acuerdo de la Novena Sesión Extraordinaria, signado por el Comité de Transparencia Municipal del</w:t>
      </w:r>
      <w:r w:rsidRPr="0072696E">
        <w:rPr>
          <w:rFonts w:cs="Tahoma"/>
        </w:rPr>
        <w:t xml:space="preserve"> Ayuntamiento de </w:t>
      </w:r>
      <w:r w:rsidRPr="0072696E" w:rsidR="0040587A">
        <w:rPr>
          <w:rFonts w:cs="Tahoma"/>
        </w:rPr>
        <w:t xml:space="preserve">Tenancingo, </w:t>
      </w:r>
      <w:r w:rsidRPr="0072696E" w:rsidR="0057643D">
        <w:rPr>
          <w:rFonts w:cs="Tahoma"/>
        </w:rPr>
        <w:t>del</w:t>
      </w:r>
      <w:r w:rsidRPr="0072696E">
        <w:rPr>
          <w:rFonts w:cs="Tahoma"/>
        </w:rPr>
        <w:t xml:space="preserve"> </w:t>
      </w:r>
      <w:r w:rsidRPr="0072696E" w:rsidR="0040587A">
        <w:rPr>
          <w:rFonts w:cs="Tahoma"/>
        </w:rPr>
        <w:t>nueve de mayo</w:t>
      </w:r>
      <w:r w:rsidRPr="0072696E">
        <w:rPr>
          <w:rFonts w:cs="Tahoma"/>
        </w:rPr>
        <w:t xml:space="preserve"> de dos mil veinti</w:t>
      </w:r>
      <w:r w:rsidRPr="0072696E" w:rsidR="0040587A">
        <w:rPr>
          <w:rFonts w:cs="Tahoma"/>
        </w:rPr>
        <w:t>dós</w:t>
      </w:r>
      <w:r w:rsidRPr="0072696E">
        <w:rPr>
          <w:rFonts w:cs="Tahoma"/>
        </w:rPr>
        <w:t xml:space="preserve">, mediante el cual se </w:t>
      </w:r>
      <w:r w:rsidRPr="0072696E" w:rsidR="0040587A">
        <w:rPr>
          <w:rFonts w:cs="Tahoma"/>
        </w:rPr>
        <w:t>aprueba por unanimidad de votos, el cambio de modalidad de entrega de la información a consulta directa</w:t>
      </w:r>
      <w:r w:rsidRPr="0072696E">
        <w:rPr>
          <w:rFonts w:cs="Tahoma"/>
        </w:rPr>
        <w:t>, en los siguientes términos:</w:t>
      </w:r>
    </w:p>
    <w:p w:rsidRPr="0072696E" w:rsidR="00A45DDD" w:rsidP="0040587A" w:rsidRDefault="00A45DDD" w14:paraId="1941EBA0" w14:textId="22A5CE9F">
      <w:pPr>
        <w:spacing w:after="0" w:line="360" w:lineRule="auto"/>
        <w:ind w:right="539"/>
        <w:rPr>
          <w:rFonts w:cs="Tahoma"/>
        </w:rPr>
      </w:pPr>
    </w:p>
    <w:p w:rsidRPr="0072696E" w:rsidR="001D49B5" w:rsidP="00A45DDD" w:rsidRDefault="00A45DDD" w14:paraId="667631FC" w14:textId="77777777">
      <w:pPr>
        <w:spacing w:after="0" w:line="360" w:lineRule="auto"/>
        <w:ind w:left="567" w:right="567"/>
        <w:rPr>
          <w:i/>
          <w:sz w:val="20"/>
          <w:szCs w:val="20"/>
        </w:rPr>
      </w:pPr>
      <w:r w:rsidRPr="0072696E">
        <w:rPr>
          <w:i/>
          <w:sz w:val="20"/>
          <w:szCs w:val="20"/>
        </w:rPr>
        <w:t>“…</w:t>
      </w:r>
    </w:p>
    <w:p w:rsidRPr="0072696E" w:rsidR="001D49B5" w:rsidP="001D49B5" w:rsidRDefault="001D49B5" w14:paraId="31368675" w14:textId="77777777">
      <w:pPr>
        <w:spacing w:after="0" w:line="360" w:lineRule="auto"/>
        <w:ind w:left="567" w:right="567"/>
        <w:jc w:val="center"/>
        <w:rPr>
          <w:i/>
          <w:sz w:val="20"/>
          <w:szCs w:val="20"/>
        </w:rPr>
      </w:pPr>
      <w:r w:rsidRPr="0072696E">
        <w:rPr>
          <w:i/>
          <w:sz w:val="20"/>
          <w:szCs w:val="20"/>
        </w:rPr>
        <w:t>ACUERDO</w:t>
      </w:r>
    </w:p>
    <w:p w:rsidRPr="0072696E" w:rsidR="00A45DDD" w:rsidP="00A45DDD" w:rsidRDefault="001D49B5" w14:paraId="00087E84" w14:textId="3CB38D3C">
      <w:pPr>
        <w:spacing w:after="0" w:line="360" w:lineRule="auto"/>
        <w:ind w:left="567" w:right="567"/>
        <w:rPr>
          <w:i/>
          <w:sz w:val="20"/>
          <w:szCs w:val="20"/>
        </w:rPr>
      </w:pPr>
      <w:r w:rsidRPr="0072696E">
        <w:rPr>
          <w:i/>
          <w:sz w:val="20"/>
          <w:szCs w:val="20"/>
        </w:rPr>
        <w:t xml:space="preserve">PRIMERO. Se aprueba por unanimidad de votos, el cambio de modalidad de entrega de la información a CONSULTA DIRECTA de las solicitudes de la información 00396/TENANCIN/IP/2022 y 00413/TENANCIN/IP/2022, en términos de lo establecido por los </w:t>
      </w:r>
      <w:r w:rsidRPr="0072696E">
        <w:rPr>
          <w:i/>
          <w:sz w:val="20"/>
          <w:szCs w:val="20"/>
        </w:rPr>
        <w:lastRenderedPageBreak/>
        <w:t>artículos 4, 158 y 164 de la Ley de Trasparencia y Acceso a la Información Pública del Estado de México y Municipios, y el numeral septuagésimo de los Lineamientos Generales en Materia de Clasificación y Desclasificación de la Información, así como para la Elaboración de Versiones Públicas, a fin de dar respuesta a las solicitudes de información en comento recibidas a través de SAIMEX.</w:t>
      </w:r>
    </w:p>
    <w:p w:rsidRPr="0072696E" w:rsidR="001D49B5" w:rsidP="00A45DDD" w:rsidRDefault="001D49B5" w14:paraId="48A1A877" w14:textId="39801B8C">
      <w:pPr>
        <w:spacing w:after="0" w:line="360" w:lineRule="auto"/>
        <w:ind w:left="567" w:right="567"/>
        <w:rPr>
          <w:i/>
          <w:sz w:val="20"/>
          <w:szCs w:val="20"/>
        </w:rPr>
      </w:pPr>
      <w:r w:rsidRPr="0072696E">
        <w:rPr>
          <w:i/>
          <w:sz w:val="20"/>
          <w:szCs w:val="20"/>
        </w:rPr>
        <w:t>…</w:t>
      </w:r>
    </w:p>
    <w:p w:rsidRPr="0072696E" w:rsidR="001D49B5" w:rsidP="00A45DDD" w:rsidRDefault="001D49B5" w14:paraId="02AD90BF" w14:textId="709738D3">
      <w:pPr>
        <w:spacing w:after="0" w:line="360" w:lineRule="auto"/>
        <w:ind w:left="567" w:right="567"/>
        <w:rPr>
          <w:i/>
          <w:sz w:val="20"/>
          <w:szCs w:val="20"/>
        </w:rPr>
      </w:pPr>
      <w:r w:rsidRPr="0072696E">
        <w:rPr>
          <w:i/>
          <w:sz w:val="20"/>
          <w:szCs w:val="20"/>
        </w:rPr>
        <w:t>SEGUNDO. Se aprueba por unanimidad de votos, el cambio de modalidad de entrega de la información a CONSULTA DIRECTA de las solicitudes de la información 00392/TENANCIN/IP/2022, 00395/TENANCIN/IP/2022 00403/TENANCIN/IP/2022, al 00399/TENANCIN/IP/2022, 00402/TENANCIN/IP/2022, 00412/TENANCIN/IP/2022 al 00414/TENANCIN/IP/2022. 00421/TENANCIN/IP/2022, 00436/TENANCIN/IP/2022 y 00444/TENANCIN/IP/2022, en términos de lo establecido por los artículos 4, 158 y 164 de la Ley de Trasparencia y Acceso a la Información Pública del Estado de México y Municipios, y el numeral septuagésimo de los Lineamientos Generales en Materia de Clasificación y Desclasificación de la Información, así como para la Elaboración de Versiones Públicas, a fin de dar respuesta a las solicitudes de información en comento recibidas a través de SAIMEX.</w:t>
      </w:r>
    </w:p>
    <w:p w:rsidRPr="0072696E" w:rsidR="001D49B5" w:rsidP="00A45DDD" w:rsidRDefault="001D49B5" w14:paraId="746BE16C" w14:textId="549261AD">
      <w:pPr>
        <w:spacing w:after="0" w:line="360" w:lineRule="auto"/>
        <w:ind w:left="567" w:right="567"/>
        <w:rPr>
          <w:i/>
          <w:sz w:val="20"/>
          <w:szCs w:val="20"/>
        </w:rPr>
      </w:pPr>
      <w:r w:rsidRPr="0072696E">
        <w:rPr>
          <w:i/>
          <w:sz w:val="20"/>
          <w:szCs w:val="20"/>
        </w:rPr>
        <w:t>…</w:t>
      </w:r>
    </w:p>
    <w:p w:rsidRPr="0072696E" w:rsidR="001D49B5" w:rsidP="00A45DDD" w:rsidRDefault="001D49B5" w14:paraId="0EBA1F43" w14:textId="452A3BEA">
      <w:pPr>
        <w:spacing w:after="0" w:line="360" w:lineRule="auto"/>
        <w:ind w:left="567" w:right="567"/>
        <w:rPr>
          <w:i/>
          <w:sz w:val="20"/>
          <w:szCs w:val="20"/>
        </w:rPr>
      </w:pPr>
      <w:r w:rsidRPr="0072696E">
        <w:rPr>
          <w:i/>
          <w:sz w:val="20"/>
          <w:szCs w:val="20"/>
        </w:rPr>
        <w:t>TERCERO. Se aprueba por unanimidad de votos, el cambio de modalidad de entrega de la información a CONSULTA DIRECTA de las solicitudes de la información 00406/TENANCIN/IP/2022, 00407/TENANCIN/IP/2022, 00421/TENANCIN/IP/2022 y 00438/TENANCIN/IP/2022, en términos de lo establecido por los artículos 4, 158 y 164 de la Ley de Trasparencia y Acceso a la Información Pública del Estado de México y Municipios, y el numeral septuagésimo de los Lineamientos Generales en Materia de Clasificación y Desclasificación de la Información, así como para la Elaboración de Versiones Públicas, a fin de dar respuesta a las solicitudes de información en comento recibidas a través de SAIMEX.</w:t>
      </w:r>
    </w:p>
    <w:p w:rsidRPr="0072696E" w:rsidR="001D49B5" w:rsidP="00A45DDD" w:rsidRDefault="001D49B5" w14:paraId="004967F0" w14:textId="42336268">
      <w:pPr>
        <w:spacing w:after="0" w:line="360" w:lineRule="auto"/>
        <w:ind w:left="567" w:right="567"/>
        <w:rPr>
          <w:i/>
          <w:sz w:val="20"/>
          <w:szCs w:val="20"/>
        </w:rPr>
      </w:pPr>
      <w:r w:rsidRPr="0072696E">
        <w:rPr>
          <w:i/>
          <w:sz w:val="20"/>
          <w:szCs w:val="20"/>
        </w:rPr>
        <w:t>…</w:t>
      </w:r>
    </w:p>
    <w:p w:rsidRPr="0072696E" w:rsidR="001D49B5" w:rsidP="00A45DDD" w:rsidRDefault="001D49B5" w14:paraId="48530799" w14:textId="139592BC">
      <w:pPr>
        <w:spacing w:after="0" w:line="360" w:lineRule="auto"/>
        <w:ind w:left="567" w:right="567"/>
        <w:rPr>
          <w:i/>
          <w:sz w:val="20"/>
          <w:szCs w:val="20"/>
        </w:rPr>
      </w:pPr>
      <w:r w:rsidRPr="0072696E">
        <w:rPr>
          <w:i/>
          <w:sz w:val="20"/>
          <w:szCs w:val="20"/>
        </w:rPr>
        <w:t xml:space="preserve">CUARTA. Se aprueba por unanimidad de votos, el cambio de modalidad de entrega de la información a CONSULTA DIRECTA de la solicitud de la información 00393/TENANCIN/IP/2022, en términos de lo establecido por los artículos 4, 158 y 164 de la Ley de Trasparencia y Acceso a la Información Pública del Estado de México y Municipios, y el </w:t>
      </w:r>
      <w:r w:rsidRPr="0072696E">
        <w:rPr>
          <w:i/>
          <w:sz w:val="20"/>
          <w:szCs w:val="20"/>
        </w:rPr>
        <w:lastRenderedPageBreak/>
        <w:t>numeral septuagésimo de los Lineamientos Generales en Materia de Clasificación y Desclasificación de la Información, así como para la Elaboración de Versiones Públicas, a fin de dar respuesta a la solicitud de información en comento recibida a través de SAIMEX.</w:t>
      </w:r>
    </w:p>
    <w:p w:rsidRPr="0072696E" w:rsidR="00B54351" w:rsidP="00B54351" w:rsidRDefault="00B54351" w14:paraId="6BE91131" w14:textId="77777777">
      <w:pPr>
        <w:spacing w:after="0" w:line="360" w:lineRule="auto"/>
        <w:ind w:left="567" w:right="567"/>
        <w:rPr>
          <w:i/>
          <w:sz w:val="20"/>
          <w:szCs w:val="20"/>
        </w:rPr>
      </w:pPr>
      <w:r w:rsidRPr="0072696E">
        <w:rPr>
          <w:i/>
          <w:sz w:val="20"/>
          <w:szCs w:val="20"/>
        </w:rPr>
        <w:t>…” (Sic.)</w:t>
      </w:r>
    </w:p>
    <w:p w:rsidRPr="0072696E" w:rsidR="00B54351" w:rsidP="00B54351" w:rsidRDefault="00B54351" w14:paraId="718503AD" w14:textId="77777777">
      <w:pPr>
        <w:spacing w:after="0" w:line="360" w:lineRule="auto"/>
        <w:ind w:right="567"/>
        <w:rPr>
          <w:iCs/>
        </w:rPr>
      </w:pPr>
    </w:p>
    <w:p w:rsidRPr="0072696E" w:rsidR="00051642" w:rsidP="00B54351" w:rsidRDefault="00E7170C" w14:paraId="53B5A077" w14:textId="67458826">
      <w:pPr>
        <w:spacing w:after="0" w:line="360" w:lineRule="auto"/>
        <w:ind w:right="567"/>
        <w:rPr>
          <w:i/>
          <w:sz w:val="20"/>
          <w:szCs w:val="20"/>
        </w:rPr>
      </w:pPr>
      <w:r w:rsidRPr="0072696E">
        <w:rPr>
          <w:rFonts w:eastAsia="Calibri" w:cs="Tahoma"/>
          <w:b/>
          <w:bCs/>
        </w:rPr>
        <w:t>III</w:t>
      </w:r>
      <w:r w:rsidRPr="0072696E" w:rsidR="00051642">
        <w:rPr>
          <w:rFonts w:eastAsia="Calibri" w:cs="Tahoma"/>
          <w:b/>
          <w:bCs/>
        </w:rPr>
        <w:t>. Interposición de</w:t>
      </w:r>
      <w:r w:rsidRPr="0072696E" w:rsidR="008567E8">
        <w:rPr>
          <w:rFonts w:eastAsia="Calibri" w:cs="Tahoma"/>
          <w:b/>
          <w:bCs/>
        </w:rPr>
        <w:t xml:space="preserve"> </w:t>
      </w:r>
      <w:r w:rsidRPr="0072696E" w:rsidR="00051642">
        <w:rPr>
          <w:rFonts w:eastAsia="Calibri" w:cs="Tahoma"/>
          <w:b/>
          <w:bCs/>
        </w:rPr>
        <w:t>l</w:t>
      </w:r>
      <w:r w:rsidRPr="0072696E" w:rsidR="008567E8">
        <w:rPr>
          <w:rFonts w:eastAsia="Calibri" w:cs="Tahoma"/>
          <w:b/>
          <w:bCs/>
        </w:rPr>
        <w:t>os</w:t>
      </w:r>
      <w:r w:rsidRPr="0072696E" w:rsidR="00051642">
        <w:rPr>
          <w:rFonts w:eastAsia="Calibri" w:cs="Tahoma"/>
          <w:b/>
          <w:bCs/>
        </w:rPr>
        <w:t xml:space="preserve"> Recurso</w:t>
      </w:r>
      <w:r w:rsidRPr="0072696E" w:rsidR="008567E8">
        <w:rPr>
          <w:rFonts w:eastAsia="Calibri" w:cs="Tahoma"/>
          <w:b/>
          <w:bCs/>
        </w:rPr>
        <w:t>s</w:t>
      </w:r>
      <w:r w:rsidRPr="0072696E" w:rsidR="00051642">
        <w:rPr>
          <w:rFonts w:eastAsia="Calibri" w:cs="Tahoma"/>
          <w:b/>
          <w:bCs/>
        </w:rPr>
        <w:t xml:space="preserve"> de Revisión. </w:t>
      </w:r>
    </w:p>
    <w:p w:rsidRPr="0072696E" w:rsidR="00051642" w:rsidP="008D7D0A" w:rsidRDefault="00051642" w14:paraId="79D9CE18" w14:textId="77777777">
      <w:pPr>
        <w:spacing w:after="0" w:line="360" w:lineRule="auto"/>
        <w:rPr>
          <w:rFonts w:eastAsia="Times New Roman" w:cs="Tahoma"/>
          <w:bCs/>
          <w:color w:val="auto"/>
          <w:lang w:eastAsia="es-ES"/>
        </w:rPr>
      </w:pPr>
    </w:p>
    <w:p w:rsidRPr="0072696E" w:rsidR="00051642" w:rsidP="008D7D0A" w:rsidRDefault="00051642" w14:paraId="33C458E5" w14:textId="6F916427">
      <w:pPr>
        <w:spacing w:after="0" w:line="360" w:lineRule="auto"/>
        <w:rPr>
          <w:rFonts w:eastAsia="Times New Roman" w:cs="Tahoma"/>
          <w:bCs/>
          <w:color w:val="auto"/>
          <w:lang w:eastAsia="es-ES"/>
        </w:rPr>
      </w:pPr>
      <w:r w:rsidRPr="0072696E">
        <w:rPr>
          <w:rFonts w:eastAsia="Times New Roman" w:cs="Tahoma"/>
          <w:bCs/>
          <w:color w:val="auto"/>
          <w:lang w:val="es-ES" w:eastAsia="es-ES"/>
        </w:rPr>
        <w:t>Con fecha</w:t>
      </w:r>
      <w:r w:rsidRPr="0072696E" w:rsidR="001D49B5">
        <w:rPr>
          <w:rFonts w:eastAsia="Times New Roman" w:cs="Tahoma"/>
          <w:bCs/>
          <w:color w:val="auto"/>
          <w:lang w:val="es-ES" w:eastAsia="es-ES"/>
        </w:rPr>
        <w:t xml:space="preserve"> treinta de mayo</w:t>
      </w:r>
      <w:r w:rsidRPr="0072696E">
        <w:rPr>
          <w:rFonts w:eastAsia="Times New Roman" w:cs="Tahoma"/>
          <w:bCs/>
          <w:color w:val="auto"/>
          <w:lang w:val="es-ES" w:eastAsia="es-ES"/>
        </w:rPr>
        <w:t xml:space="preserve"> </w:t>
      </w:r>
      <w:r w:rsidRPr="0072696E" w:rsidR="00DA6918">
        <w:rPr>
          <w:rFonts w:eastAsia="Times New Roman" w:cs="Tahoma"/>
          <w:bCs/>
          <w:color w:val="auto"/>
          <w:lang w:val="es-ES" w:eastAsia="es-ES"/>
        </w:rPr>
        <w:t>de dos mil veintidós</w:t>
      </w:r>
      <w:r w:rsidRPr="0072696E" w:rsidR="008567E8">
        <w:rPr>
          <w:rFonts w:eastAsia="Times New Roman" w:cs="Tahoma"/>
          <w:bCs/>
          <w:color w:val="auto"/>
          <w:lang w:val="es-ES" w:eastAsia="es-ES"/>
        </w:rPr>
        <w:t>,</w:t>
      </w:r>
      <w:r w:rsidRPr="0072696E">
        <w:rPr>
          <w:rFonts w:eastAsia="Times New Roman" w:cs="Tahoma"/>
          <w:bCs/>
          <w:color w:val="auto"/>
          <w:lang w:val="es-ES" w:eastAsia="es-ES"/>
        </w:rPr>
        <w:t xml:space="preserve"> </w:t>
      </w:r>
      <w:r w:rsidRPr="0072696E">
        <w:rPr>
          <w:rFonts w:eastAsia="Times New Roman" w:cs="Tahoma"/>
          <w:bCs/>
          <w:color w:val="auto"/>
          <w:lang w:eastAsia="es-ES"/>
        </w:rPr>
        <w:t xml:space="preserve">se recibió en este Instituto, a través del </w:t>
      </w:r>
      <w:r w:rsidRPr="0072696E">
        <w:rPr>
          <w:rFonts w:eastAsia="Times New Roman" w:cs="Tahoma"/>
          <w:bCs/>
          <w:color w:val="auto"/>
          <w:lang w:val="es-ES" w:eastAsia="es-ES"/>
        </w:rPr>
        <w:t>Sistema de Acceso a la Información Mexiquense (SAIMEX)</w:t>
      </w:r>
      <w:r w:rsidRPr="0072696E">
        <w:rPr>
          <w:rFonts w:eastAsia="Times New Roman" w:cs="Tahoma"/>
          <w:bCs/>
          <w:color w:val="auto"/>
          <w:lang w:eastAsia="es-ES"/>
        </w:rPr>
        <w:t xml:space="preserve">, </w:t>
      </w:r>
      <w:r w:rsidRPr="0072696E" w:rsidR="008567E8">
        <w:rPr>
          <w:rFonts w:eastAsia="Times New Roman" w:cs="Tahoma"/>
          <w:bCs/>
          <w:color w:val="auto"/>
          <w:lang w:eastAsia="es-ES"/>
        </w:rPr>
        <w:t>dos</w:t>
      </w:r>
      <w:r w:rsidRPr="0072696E">
        <w:rPr>
          <w:rFonts w:eastAsia="Times New Roman" w:cs="Tahoma"/>
          <w:bCs/>
          <w:color w:val="auto"/>
          <w:lang w:eastAsia="es-ES"/>
        </w:rPr>
        <w:t xml:space="preserve"> Recurso</w:t>
      </w:r>
      <w:r w:rsidRPr="0072696E" w:rsidR="002A2C08">
        <w:rPr>
          <w:rFonts w:eastAsia="Times New Roman" w:cs="Tahoma"/>
          <w:bCs/>
          <w:color w:val="auto"/>
          <w:lang w:eastAsia="es-ES"/>
        </w:rPr>
        <w:t>s</w:t>
      </w:r>
      <w:r w:rsidRPr="0072696E">
        <w:rPr>
          <w:rFonts w:eastAsia="Times New Roman" w:cs="Tahoma"/>
          <w:bCs/>
          <w:color w:val="auto"/>
          <w:lang w:eastAsia="es-ES"/>
        </w:rPr>
        <w:t xml:space="preserve"> de Revisión</w:t>
      </w:r>
      <w:r w:rsidRPr="0072696E" w:rsidR="006606A5">
        <w:rPr>
          <w:rFonts w:eastAsia="Times New Roman" w:cs="Tahoma"/>
          <w:bCs/>
          <w:color w:val="auto"/>
          <w:lang w:eastAsia="es-ES"/>
        </w:rPr>
        <w:t>,</w:t>
      </w:r>
      <w:r w:rsidRPr="0072696E">
        <w:rPr>
          <w:rFonts w:eastAsia="Times New Roman" w:cs="Tahoma"/>
          <w:bCs/>
          <w:color w:val="auto"/>
          <w:lang w:eastAsia="es-ES"/>
        </w:rPr>
        <w:t xml:space="preserve"> interpuesto por la parte Recurrente</w:t>
      </w:r>
      <w:r w:rsidRPr="0072696E" w:rsidR="005369D0">
        <w:rPr>
          <w:rFonts w:eastAsia="Times New Roman" w:cs="Tahoma"/>
          <w:bCs/>
          <w:color w:val="auto"/>
          <w:lang w:eastAsia="es-ES"/>
        </w:rPr>
        <w:t>,</w:t>
      </w:r>
      <w:r w:rsidRPr="0072696E">
        <w:rPr>
          <w:rFonts w:eastAsia="Times New Roman" w:cs="Tahoma"/>
          <w:bCs/>
          <w:color w:val="auto"/>
          <w:lang w:eastAsia="es-ES"/>
        </w:rPr>
        <w:t xml:space="preserve"> en contra de la falta de respuesta del Sujeto </w:t>
      </w:r>
      <w:r w:rsidRPr="0072696E" w:rsidR="001D49B5">
        <w:rPr>
          <w:rFonts w:eastAsia="Times New Roman" w:cs="Tahoma"/>
          <w:bCs/>
          <w:color w:val="auto"/>
          <w:lang w:eastAsia="es-ES"/>
        </w:rPr>
        <w:t>Obligado, en</w:t>
      </w:r>
      <w:r w:rsidRPr="0072696E">
        <w:rPr>
          <w:rFonts w:eastAsia="Times New Roman" w:cs="Tahoma"/>
          <w:bCs/>
          <w:color w:val="auto"/>
          <w:lang w:eastAsia="es-ES"/>
        </w:rPr>
        <w:t xml:space="preserve"> los siguientes términos:</w:t>
      </w:r>
    </w:p>
    <w:p w:rsidRPr="0072696E" w:rsidR="00DA6918" w:rsidP="008D7D0A" w:rsidRDefault="00DA6918" w14:paraId="6D6B69AB" w14:textId="77777777">
      <w:pPr>
        <w:spacing w:after="0" w:line="360" w:lineRule="auto"/>
        <w:rPr>
          <w:rFonts w:eastAsia="Times New Roman" w:cs="Tahoma"/>
          <w:bCs/>
          <w:color w:val="auto"/>
          <w:lang w:val="es-ES" w:eastAsia="es-ES"/>
        </w:rPr>
      </w:pPr>
    </w:p>
    <w:p w:rsidRPr="0072696E" w:rsidR="00C76834" w:rsidP="00C76834" w:rsidRDefault="00C76834" w14:paraId="7991FFC6" w14:textId="69C5591E">
      <w:pPr>
        <w:spacing w:after="0" w:line="360" w:lineRule="auto"/>
        <w:ind w:left="567" w:right="567"/>
        <w:rPr>
          <w:rFonts w:cs="Tahoma"/>
          <w:b/>
          <w:bCs/>
          <w:sz w:val="20"/>
          <w:szCs w:val="20"/>
        </w:rPr>
      </w:pPr>
      <w:r w:rsidRPr="0072696E">
        <w:rPr>
          <w:rFonts w:cs="Tahoma"/>
          <w:b/>
          <w:bCs/>
          <w:sz w:val="20"/>
          <w:szCs w:val="20"/>
        </w:rPr>
        <w:t xml:space="preserve">Solicitud de Información </w:t>
      </w:r>
      <w:r w:rsidRPr="0072696E" w:rsidR="001D49B5">
        <w:rPr>
          <w:rFonts w:cs="Tahoma"/>
          <w:b/>
          <w:bCs/>
          <w:sz w:val="20"/>
          <w:szCs w:val="20"/>
        </w:rPr>
        <w:t>00398/TENANCIN/IP/2022</w:t>
      </w:r>
    </w:p>
    <w:p w:rsidRPr="0072696E" w:rsidR="00DA6918" w:rsidP="00DA6918" w:rsidRDefault="00DA6918" w14:paraId="64014FD9" w14:textId="77777777">
      <w:pPr>
        <w:spacing w:after="0" w:line="360" w:lineRule="auto"/>
        <w:ind w:left="567" w:right="567"/>
        <w:rPr>
          <w:rFonts w:eastAsia="Times New Roman" w:cs="Tahoma"/>
          <w:b/>
          <w:bCs/>
          <w:i/>
          <w:color w:val="auto"/>
          <w:sz w:val="20"/>
          <w:szCs w:val="20"/>
          <w:lang w:eastAsia="es-ES"/>
        </w:rPr>
      </w:pPr>
      <w:r w:rsidRPr="0072696E">
        <w:rPr>
          <w:rFonts w:eastAsia="Times New Roman" w:cs="Tahoma"/>
          <w:b/>
          <w:bCs/>
          <w:i/>
          <w:color w:val="auto"/>
          <w:sz w:val="20"/>
          <w:szCs w:val="20"/>
          <w:lang w:eastAsia="es-ES"/>
        </w:rPr>
        <w:t>“ACTO IMPUGNADO</w:t>
      </w:r>
    </w:p>
    <w:p w:rsidRPr="0072696E" w:rsidR="00DA6918" w:rsidP="00DA6918" w:rsidRDefault="001D49B5" w14:paraId="21611A11" w14:textId="33394064">
      <w:pPr>
        <w:spacing w:after="0" w:line="360" w:lineRule="auto"/>
        <w:ind w:left="567" w:right="567"/>
        <w:rPr>
          <w:rFonts w:eastAsia="Times New Roman" w:cs="Tahoma"/>
          <w:bCs/>
          <w:i/>
          <w:color w:val="auto"/>
          <w:sz w:val="20"/>
          <w:szCs w:val="20"/>
          <w:lang w:eastAsia="es-ES"/>
        </w:rPr>
      </w:pPr>
      <w:r w:rsidRPr="0072696E">
        <w:rPr>
          <w:i/>
          <w:color w:val="000000"/>
          <w:sz w:val="20"/>
          <w:szCs w:val="20"/>
        </w:rPr>
        <w:t>Resolución del sujeto obligado que me fuera notificada en fecha nueve de mayo de 2022 a través de la plataforma SAIMEX, en relación a la solicitud de información pública número 00398/TENANCIN/IP/2022</w:t>
      </w:r>
      <w:r w:rsidRPr="0072696E" w:rsidR="00DA6918">
        <w:rPr>
          <w:i/>
          <w:color w:val="000000"/>
          <w:sz w:val="20"/>
          <w:szCs w:val="20"/>
        </w:rPr>
        <w:t xml:space="preserve">” </w:t>
      </w:r>
      <w:r w:rsidRPr="0072696E" w:rsidR="00DA6918">
        <w:rPr>
          <w:rFonts w:eastAsia="Times New Roman" w:cs="Tahoma"/>
          <w:bCs/>
          <w:i/>
          <w:color w:val="auto"/>
          <w:sz w:val="20"/>
          <w:szCs w:val="20"/>
          <w:lang w:eastAsia="es-ES"/>
        </w:rPr>
        <w:t>(Sic.)</w:t>
      </w:r>
    </w:p>
    <w:p w:rsidRPr="0072696E" w:rsidR="00DA6918" w:rsidP="00DA6918" w:rsidRDefault="00DA6918" w14:paraId="2531B6AC" w14:textId="77777777">
      <w:pPr>
        <w:spacing w:after="0" w:line="360" w:lineRule="auto"/>
        <w:ind w:left="567" w:right="567"/>
        <w:rPr>
          <w:rFonts w:eastAsia="Times New Roman" w:cs="Tahoma"/>
          <w:bCs/>
          <w:i/>
          <w:color w:val="auto"/>
          <w:sz w:val="20"/>
          <w:szCs w:val="20"/>
          <w:lang w:eastAsia="es-ES"/>
        </w:rPr>
      </w:pPr>
    </w:p>
    <w:p w:rsidRPr="0072696E" w:rsidR="00DA6918" w:rsidP="00DA6918" w:rsidRDefault="00DA6918" w14:paraId="7F39BCAC" w14:textId="77777777">
      <w:pPr>
        <w:spacing w:after="0" w:line="360" w:lineRule="auto"/>
        <w:ind w:left="567" w:right="567"/>
        <w:rPr>
          <w:rFonts w:eastAsia="Times New Roman" w:cs="Tahoma"/>
          <w:b/>
          <w:bCs/>
          <w:i/>
          <w:color w:val="auto"/>
          <w:sz w:val="20"/>
          <w:szCs w:val="20"/>
          <w:lang w:eastAsia="es-ES"/>
        </w:rPr>
      </w:pPr>
      <w:r w:rsidRPr="0072696E">
        <w:rPr>
          <w:rFonts w:eastAsia="Times New Roman" w:cs="Tahoma"/>
          <w:b/>
          <w:bCs/>
          <w:i/>
          <w:color w:val="auto"/>
          <w:sz w:val="20"/>
          <w:szCs w:val="20"/>
          <w:lang w:eastAsia="es-ES"/>
        </w:rPr>
        <w:t>“RAZONES O MOTIVOS DE LA INCONFORMIDAD</w:t>
      </w:r>
    </w:p>
    <w:p w:rsidRPr="0072696E" w:rsidR="00DA6918" w:rsidP="00DA6918" w:rsidRDefault="001D49B5" w14:paraId="65080AAB" w14:textId="749B7158">
      <w:pPr>
        <w:spacing w:after="0" w:line="360" w:lineRule="auto"/>
        <w:ind w:left="567" w:right="567"/>
        <w:rPr>
          <w:rFonts w:eastAsia="Times New Roman" w:cs="Tahoma"/>
          <w:bCs/>
          <w:color w:val="auto"/>
          <w:sz w:val="20"/>
          <w:szCs w:val="20"/>
          <w:lang w:eastAsia="es-ES"/>
        </w:rPr>
      </w:pPr>
      <w:r w:rsidRPr="0072696E">
        <w:rPr>
          <w:i/>
          <w:color w:val="000000"/>
          <w:sz w:val="20"/>
          <w:szCs w:val="20"/>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w:t>
      </w:r>
      <w:r w:rsidRPr="0072696E">
        <w:rPr>
          <w:i/>
          <w:color w:val="000000"/>
          <w:sz w:val="20"/>
          <w:szCs w:val="20"/>
        </w:rPr>
        <w:lastRenderedPageBreak/>
        <w:t>fundada y motivada, no basta con que el sujeto obligado transcriba el articulo antes citado, para que esté debidamente fundada y motivada su determinación. Ya que no establece cuantas fojas o paginas consta el legajo de entrega de la información en la manera solicitada, para que puedan señalar de manera fundada y motivada que sobrepasa los 250 MB que tolera el sistema SAIMEX, además de que debo manifestar que realice diversas solicitudes de información por separado precisamente para evitar que argumentaran que estaba muy pesados los archivos, pero se insiste no señalan de cuantas fojas cuenta el archivo o legajo de la información solicitada para que válidamente puedan argumentar lo pesado del archivo. Razón por la cual no está debidamente fundado y motivado el cambio de modalidad a consulta directa que determina el sujeto obligado. Máxime que como lo establece el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Por lo que la determinación del sujeto obligado solo es una práctica o táctica dilatoria para evitar que el suscrito acceda a la información pública solicitada. Bajo este contexto se debe declarar procedente el recurso de revisión interpuesto y ordenar al sujeto obligado haga entrega de la información pública en los términos solicitados.</w:t>
      </w:r>
      <w:r w:rsidRPr="0072696E" w:rsidR="00DA6918">
        <w:rPr>
          <w:i/>
          <w:color w:val="000000"/>
          <w:sz w:val="20"/>
          <w:szCs w:val="20"/>
        </w:rPr>
        <w:t xml:space="preserve">” </w:t>
      </w:r>
      <w:r w:rsidRPr="0072696E" w:rsidR="00DA6918">
        <w:rPr>
          <w:rFonts w:eastAsia="Times New Roman" w:cs="Tahoma"/>
          <w:bCs/>
          <w:i/>
          <w:color w:val="auto"/>
          <w:sz w:val="20"/>
          <w:szCs w:val="20"/>
          <w:lang w:eastAsia="es-ES"/>
        </w:rPr>
        <w:t>(Sic)</w:t>
      </w:r>
    </w:p>
    <w:p w:rsidRPr="0072696E" w:rsidR="00C76834" w:rsidP="00C76834" w:rsidRDefault="00C76834" w14:paraId="56989709" w14:textId="77777777">
      <w:pPr>
        <w:spacing w:after="0" w:line="360" w:lineRule="auto"/>
        <w:ind w:left="567" w:right="567"/>
        <w:rPr>
          <w:rFonts w:cs="Tahoma"/>
          <w:b/>
          <w:bCs/>
          <w:sz w:val="20"/>
          <w:szCs w:val="20"/>
        </w:rPr>
      </w:pPr>
    </w:p>
    <w:p w:rsidRPr="0072696E" w:rsidR="00C76834" w:rsidP="00C76834" w:rsidRDefault="00C76834" w14:paraId="6445BE51" w14:textId="495C0DC3">
      <w:pPr>
        <w:spacing w:after="0" w:line="360" w:lineRule="auto"/>
        <w:ind w:left="567" w:right="567"/>
        <w:rPr>
          <w:rFonts w:cs="Tahoma"/>
          <w:b/>
          <w:bCs/>
          <w:sz w:val="20"/>
          <w:szCs w:val="20"/>
        </w:rPr>
      </w:pPr>
      <w:r w:rsidRPr="0072696E">
        <w:rPr>
          <w:rFonts w:cs="Tahoma"/>
          <w:b/>
          <w:bCs/>
          <w:sz w:val="20"/>
          <w:szCs w:val="20"/>
        </w:rPr>
        <w:t>Solicitud de Información</w:t>
      </w:r>
      <w:r w:rsidRPr="0072696E" w:rsidR="008E7AAB">
        <w:rPr>
          <w:rFonts w:cs="Tahoma"/>
          <w:b/>
          <w:bCs/>
          <w:sz w:val="20"/>
          <w:szCs w:val="20"/>
        </w:rPr>
        <w:t> 00403/TENANCIN/IP/2022</w:t>
      </w:r>
    </w:p>
    <w:p w:rsidRPr="0072696E" w:rsidR="002A2C08" w:rsidP="008D7D0A" w:rsidRDefault="00C76834" w14:paraId="14508806" w14:textId="5C006DEC">
      <w:pPr>
        <w:spacing w:after="0" w:line="360" w:lineRule="auto"/>
        <w:ind w:left="567" w:right="567"/>
        <w:rPr>
          <w:rFonts w:eastAsia="Times New Roman" w:cs="Tahoma"/>
          <w:b/>
          <w:bCs/>
          <w:i/>
          <w:color w:val="auto"/>
          <w:sz w:val="20"/>
          <w:szCs w:val="20"/>
          <w:lang w:eastAsia="es-ES"/>
        </w:rPr>
      </w:pPr>
      <w:r w:rsidRPr="0072696E">
        <w:rPr>
          <w:rFonts w:eastAsia="Times New Roman" w:cs="Tahoma"/>
          <w:b/>
          <w:bCs/>
          <w:i/>
          <w:color w:val="auto"/>
          <w:sz w:val="20"/>
          <w:szCs w:val="20"/>
          <w:lang w:eastAsia="es-ES"/>
        </w:rPr>
        <w:t>“</w:t>
      </w:r>
      <w:r w:rsidRPr="0072696E" w:rsidR="002A2C08">
        <w:rPr>
          <w:rFonts w:eastAsia="Times New Roman" w:cs="Tahoma"/>
          <w:b/>
          <w:bCs/>
          <w:i/>
          <w:color w:val="auto"/>
          <w:sz w:val="20"/>
          <w:szCs w:val="20"/>
          <w:lang w:eastAsia="es-ES"/>
        </w:rPr>
        <w:t>ACTO IMPUGNADO</w:t>
      </w:r>
    </w:p>
    <w:p w:rsidRPr="0072696E" w:rsidR="002A2C08" w:rsidP="008D7D0A" w:rsidRDefault="00580372" w14:paraId="707EFF8E" w14:textId="123E2682">
      <w:pPr>
        <w:spacing w:after="0" w:line="360" w:lineRule="auto"/>
        <w:ind w:left="567" w:right="567"/>
        <w:rPr>
          <w:rFonts w:eastAsia="Times New Roman" w:cs="Tahoma"/>
          <w:bCs/>
          <w:i/>
          <w:color w:val="auto"/>
          <w:sz w:val="20"/>
          <w:szCs w:val="20"/>
          <w:lang w:eastAsia="es-ES"/>
        </w:rPr>
      </w:pPr>
      <w:r w:rsidRPr="0072696E">
        <w:rPr>
          <w:i/>
          <w:color w:val="000000"/>
          <w:sz w:val="20"/>
          <w:szCs w:val="20"/>
        </w:rPr>
        <w:lastRenderedPageBreak/>
        <w:t>Resolución dictada por el sujeto obligado misma que me fuera notificada en fecha nueve de mayo de 2022 a través de la plataforma SAIMEX, en relación a la solicitud de información con folio 00403/TENANCIN/IP/2022</w:t>
      </w:r>
      <w:r w:rsidRPr="0072696E" w:rsidR="00C76834">
        <w:rPr>
          <w:i/>
          <w:color w:val="000000"/>
          <w:sz w:val="20"/>
          <w:szCs w:val="20"/>
        </w:rPr>
        <w:t>”</w:t>
      </w:r>
      <w:r w:rsidRPr="0072696E" w:rsidR="008758BA">
        <w:rPr>
          <w:i/>
          <w:color w:val="000000"/>
          <w:sz w:val="20"/>
          <w:szCs w:val="20"/>
        </w:rPr>
        <w:t xml:space="preserve"> </w:t>
      </w:r>
      <w:r w:rsidRPr="0072696E" w:rsidR="002A2C08">
        <w:rPr>
          <w:rFonts w:eastAsia="Times New Roman" w:cs="Tahoma"/>
          <w:bCs/>
          <w:i/>
          <w:color w:val="auto"/>
          <w:sz w:val="20"/>
          <w:szCs w:val="20"/>
          <w:lang w:eastAsia="es-ES"/>
        </w:rPr>
        <w:t>(Sic.)</w:t>
      </w:r>
    </w:p>
    <w:p w:rsidRPr="0072696E" w:rsidR="006606A5" w:rsidP="008D7D0A" w:rsidRDefault="006606A5" w14:paraId="712ED449" w14:textId="77777777">
      <w:pPr>
        <w:spacing w:after="0" w:line="360" w:lineRule="auto"/>
        <w:ind w:left="567" w:right="567"/>
        <w:rPr>
          <w:rFonts w:eastAsia="Times New Roman" w:cs="Tahoma"/>
          <w:bCs/>
          <w:i/>
          <w:color w:val="auto"/>
          <w:sz w:val="20"/>
          <w:szCs w:val="20"/>
          <w:lang w:eastAsia="es-ES"/>
        </w:rPr>
      </w:pPr>
    </w:p>
    <w:p w:rsidRPr="0072696E" w:rsidR="002A2C08" w:rsidP="008D7D0A" w:rsidRDefault="00C76834" w14:paraId="626A4CFD" w14:textId="67DE881C">
      <w:pPr>
        <w:spacing w:after="0" w:line="360" w:lineRule="auto"/>
        <w:ind w:left="567" w:right="567"/>
        <w:rPr>
          <w:rFonts w:eastAsia="Times New Roman" w:cs="Tahoma"/>
          <w:b/>
          <w:bCs/>
          <w:i/>
          <w:color w:val="auto"/>
          <w:sz w:val="20"/>
          <w:szCs w:val="20"/>
          <w:lang w:eastAsia="es-ES"/>
        </w:rPr>
      </w:pPr>
      <w:r w:rsidRPr="0072696E">
        <w:rPr>
          <w:rFonts w:eastAsia="Times New Roman" w:cs="Tahoma"/>
          <w:b/>
          <w:bCs/>
          <w:i/>
          <w:color w:val="auto"/>
          <w:sz w:val="20"/>
          <w:szCs w:val="20"/>
          <w:lang w:eastAsia="es-ES"/>
        </w:rPr>
        <w:t>“</w:t>
      </w:r>
      <w:r w:rsidRPr="0072696E" w:rsidR="002A2C08">
        <w:rPr>
          <w:rFonts w:eastAsia="Times New Roman" w:cs="Tahoma"/>
          <w:b/>
          <w:bCs/>
          <w:i/>
          <w:color w:val="auto"/>
          <w:sz w:val="20"/>
          <w:szCs w:val="20"/>
          <w:lang w:eastAsia="es-ES"/>
        </w:rPr>
        <w:t>RAZONES O MOTIVOS DE LA INCONFORMIDAD</w:t>
      </w:r>
    </w:p>
    <w:p w:rsidRPr="0072696E" w:rsidR="002A2C08" w:rsidP="008D7D0A" w:rsidRDefault="00580372" w14:paraId="23187DF3" w14:textId="0F8B43E3">
      <w:pPr>
        <w:spacing w:after="0" w:line="360" w:lineRule="auto"/>
        <w:ind w:left="567" w:right="567"/>
        <w:rPr>
          <w:rFonts w:eastAsia="Times New Roman" w:cs="Tahoma"/>
          <w:bCs/>
          <w:color w:val="auto"/>
          <w:sz w:val="20"/>
          <w:szCs w:val="20"/>
          <w:lang w:eastAsia="es-ES"/>
        </w:rPr>
      </w:pPr>
      <w:r w:rsidRPr="0072696E">
        <w:rPr>
          <w:i/>
          <w:color w:val="000000"/>
          <w:sz w:val="20"/>
          <w:szCs w:val="20"/>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transcriba el articulo antes citado, para que esté debidamente fundada y motivada su determinación. Ya que no establece cuantas fojas o paginas consta el legajo de entrega de la información en la manera solicitada, para que puedan señalar de manera fundada y motivada que sobrepasa los 250 MB que tolera el sistema SAIMEX, además de que debo manifestar que realice diversas solicitudes de información por separado precisamente para evitar que argumentaran que estaba muy pesados los archivos, pero se insiste no señalan de cuantas fojas cuenta el archivo o legajo de la información solicitada para que válidamente puedan argumentar lo pesado del archivo. Razón por la cual no está debidamente fundado y motivado el cambio de modalidad a consulta directa que determina el sujeto obligado. Máxime que como lo establece el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w:t>
      </w:r>
      <w:r w:rsidRPr="0072696E">
        <w:rPr>
          <w:i/>
          <w:color w:val="000000"/>
          <w:sz w:val="20"/>
          <w:szCs w:val="20"/>
        </w:rPr>
        <w:lastRenderedPageBreak/>
        <w:t>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Por lo que la determinación del sujeto obligado solo es una práctica o táctica dilatoria para evitar que el suscrito acceda a la información pública solicitada. Bajo este contexto se debe declarar procedente el recurso de revisión interpuesto y ordenar al sujeto obligado haga entrega de la información pública en los términos solicitados.</w:t>
      </w:r>
      <w:r w:rsidRPr="0072696E" w:rsidR="00C76834">
        <w:rPr>
          <w:i/>
          <w:color w:val="000000"/>
          <w:sz w:val="20"/>
          <w:szCs w:val="20"/>
        </w:rPr>
        <w:t>”</w:t>
      </w:r>
      <w:r w:rsidRPr="0072696E" w:rsidR="002A2C08">
        <w:rPr>
          <w:i/>
          <w:color w:val="000000"/>
          <w:sz w:val="20"/>
          <w:szCs w:val="20"/>
        </w:rPr>
        <w:t xml:space="preserve"> </w:t>
      </w:r>
      <w:r w:rsidRPr="0072696E" w:rsidR="002A2C08">
        <w:rPr>
          <w:rFonts w:eastAsia="Times New Roman" w:cs="Tahoma"/>
          <w:bCs/>
          <w:i/>
          <w:color w:val="auto"/>
          <w:sz w:val="20"/>
          <w:szCs w:val="20"/>
          <w:lang w:eastAsia="es-ES"/>
        </w:rPr>
        <w:t>(Sic)</w:t>
      </w:r>
    </w:p>
    <w:p w:rsidRPr="0072696E" w:rsidR="00051642" w:rsidP="008D7D0A" w:rsidRDefault="00051642" w14:paraId="1CE91750" w14:textId="77777777">
      <w:pPr>
        <w:spacing w:after="0" w:line="360" w:lineRule="auto"/>
        <w:rPr>
          <w:rFonts w:eastAsia="Times New Roman" w:cs="Tahoma"/>
          <w:bCs/>
          <w:color w:val="auto"/>
          <w:lang w:eastAsia="es-ES"/>
        </w:rPr>
      </w:pPr>
    </w:p>
    <w:p w:rsidRPr="0072696E" w:rsidR="00051642" w:rsidP="008D7D0A" w:rsidRDefault="00AC2906" w14:paraId="35300BB0" w14:textId="77BDEAE3">
      <w:pPr>
        <w:spacing w:after="0" w:line="360" w:lineRule="auto"/>
        <w:rPr>
          <w:rFonts w:eastAsia="Batang" w:cs="Tahoma"/>
          <w:b/>
          <w:bCs/>
          <w:color w:val="000000"/>
        </w:rPr>
      </w:pPr>
      <w:r w:rsidRPr="0072696E">
        <w:rPr>
          <w:rFonts w:eastAsia="Calibri" w:cs="Tahoma"/>
          <w:b/>
          <w:color w:val="000000"/>
        </w:rPr>
        <w:t>I</w:t>
      </w:r>
      <w:r w:rsidRPr="0072696E" w:rsidR="005369D0">
        <w:rPr>
          <w:rFonts w:eastAsia="Calibri" w:cs="Tahoma"/>
          <w:b/>
          <w:color w:val="000000"/>
        </w:rPr>
        <w:t>V</w:t>
      </w:r>
      <w:r w:rsidRPr="0072696E" w:rsidR="00051642">
        <w:rPr>
          <w:rFonts w:eastAsia="Calibri" w:cs="Tahoma"/>
          <w:b/>
          <w:color w:val="000000"/>
        </w:rPr>
        <w:t xml:space="preserve">. </w:t>
      </w:r>
      <w:r w:rsidRPr="0072696E" w:rsidR="00051642">
        <w:rPr>
          <w:rFonts w:eastAsia="Batang" w:cs="Tahoma"/>
          <w:b/>
          <w:bCs/>
          <w:color w:val="000000"/>
        </w:rPr>
        <w:t>Trámite de</w:t>
      </w:r>
      <w:r w:rsidRPr="0072696E" w:rsidR="00DA6918">
        <w:rPr>
          <w:rFonts w:eastAsia="Batang" w:cs="Tahoma"/>
          <w:b/>
          <w:bCs/>
          <w:color w:val="000000"/>
        </w:rPr>
        <w:t xml:space="preserve"> </w:t>
      </w:r>
      <w:r w:rsidRPr="0072696E" w:rsidR="00051642">
        <w:rPr>
          <w:rFonts w:eastAsia="Batang" w:cs="Tahoma"/>
          <w:b/>
          <w:bCs/>
          <w:color w:val="000000"/>
        </w:rPr>
        <w:t>l</w:t>
      </w:r>
      <w:r w:rsidRPr="0072696E" w:rsidR="00DA6918">
        <w:rPr>
          <w:rFonts w:eastAsia="Batang" w:cs="Tahoma"/>
          <w:b/>
          <w:bCs/>
          <w:color w:val="000000"/>
        </w:rPr>
        <w:t>os</w:t>
      </w:r>
      <w:r w:rsidRPr="0072696E" w:rsidR="00051642">
        <w:rPr>
          <w:rFonts w:eastAsia="Batang" w:cs="Tahoma"/>
          <w:b/>
          <w:bCs/>
          <w:color w:val="000000"/>
        </w:rPr>
        <w:t xml:space="preserve"> Recurso</w:t>
      </w:r>
      <w:r w:rsidRPr="0072696E" w:rsidR="00DA6918">
        <w:rPr>
          <w:rFonts w:eastAsia="Batang" w:cs="Tahoma"/>
          <w:b/>
          <w:bCs/>
          <w:color w:val="000000"/>
        </w:rPr>
        <w:t>s</w:t>
      </w:r>
      <w:r w:rsidRPr="0072696E" w:rsidR="00051642">
        <w:rPr>
          <w:rFonts w:eastAsia="Batang" w:cs="Tahoma"/>
          <w:b/>
          <w:bCs/>
          <w:color w:val="000000"/>
        </w:rPr>
        <w:t xml:space="preserve"> de Revisión</w:t>
      </w:r>
      <w:r w:rsidRPr="0072696E" w:rsidR="00051642">
        <w:rPr>
          <w:rFonts w:eastAsia="Calibri" w:cs="Tahoma"/>
          <w:b/>
          <w:color w:val="000000"/>
        </w:rPr>
        <w:t xml:space="preserve"> </w:t>
      </w:r>
      <w:r w:rsidRPr="0072696E" w:rsidR="00051642">
        <w:rPr>
          <w:rFonts w:eastAsia="Batang" w:cs="Tahoma"/>
          <w:b/>
          <w:bCs/>
          <w:color w:val="000000"/>
        </w:rPr>
        <w:t>ante este Instituto.</w:t>
      </w:r>
    </w:p>
    <w:p w:rsidRPr="0072696E" w:rsidR="00051642" w:rsidP="008D7D0A" w:rsidRDefault="00051642" w14:paraId="0F3D3E8D" w14:textId="77777777">
      <w:pPr>
        <w:spacing w:after="0" w:line="360" w:lineRule="auto"/>
        <w:rPr>
          <w:rFonts w:eastAsia="Batang" w:cs="Tahoma"/>
          <w:bCs/>
          <w:color w:val="000000"/>
        </w:rPr>
      </w:pPr>
    </w:p>
    <w:p w:rsidRPr="0072696E" w:rsidR="00051642" w:rsidP="008D7D0A" w:rsidRDefault="00051642" w14:paraId="3B955202" w14:textId="7A98990C">
      <w:pPr>
        <w:spacing w:after="0" w:line="360" w:lineRule="auto"/>
        <w:rPr>
          <w:rFonts w:eastAsia="Batang" w:cs="Tahoma"/>
          <w:b/>
          <w:bCs/>
          <w:color w:val="000000"/>
        </w:rPr>
      </w:pPr>
      <w:r w:rsidRPr="0072696E">
        <w:rPr>
          <w:rFonts w:eastAsia="Batang" w:cs="Tahoma"/>
          <w:b/>
          <w:bCs/>
          <w:color w:val="000000"/>
        </w:rPr>
        <w:t xml:space="preserve">a) Turno del Medio de Impugnación. </w:t>
      </w:r>
      <w:r w:rsidRPr="0072696E">
        <w:rPr>
          <w:rFonts w:eastAsia="Batang" w:cs="Tahoma"/>
          <w:bCs/>
          <w:color w:val="000000"/>
        </w:rPr>
        <w:t xml:space="preserve">El </w:t>
      </w:r>
      <w:r w:rsidRPr="0072696E" w:rsidR="00580372">
        <w:rPr>
          <w:rFonts w:eastAsia="Times New Roman" w:cs="Tahoma"/>
          <w:bCs/>
          <w:color w:val="auto"/>
          <w:lang w:val="es-ES" w:eastAsia="es-ES"/>
        </w:rPr>
        <w:t>treinta de mayo</w:t>
      </w:r>
      <w:r w:rsidRPr="0072696E" w:rsidR="00DB12DB">
        <w:rPr>
          <w:rFonts w:eastAsia="Times New Roman" w:cs="Tahoma"/>
          <w:bCs/>
          <w:color w:val="auto"/>
          <w:lang w:val="es-ES" w:eastAsia="es-ES"/>
        </w:rPr>
        <w:t xml:space="preserve"> </w:t>
      </w:r>
      <w:r w:rsidRPr="0072696E">
        <w:rPr>
          <w:rFonts w:eastAsia="Times New Roman" w:cs="Tahoma"/>
          <w:bCs/>
          <w:color w:val="auto"/>
          <w:lang w:val="es-ES" w:eastAsia="es-ES"/>
        </w:rPr>
        <w:t>de dos mil veintiuno</w:t>
      </w:r>
      <w:r w:rsidRPr="0072696E">
        <w:rPr>
          <w:rFonts w:eastAsia="Batang" w:cs="Tahoma"/>
          <w:bCs/>
          <w:color w:val="000000"/>
        </w:rPr>
        <w:t xml:space="preserve">, el </w:t>
      </w:r>
      <w:r w:rsidRPr="0072696E">
        <w:rPr>
          <w:rFonts w:eastAsia="Calibri" w:cs="Tahoma"/>
          <w:color w:val="000000"/>
          <w:lang w:val="es-ES"/>
        </w:rPr>
        <w:t>Sistema de Acceso a la Información Mexiquense (SAIMEX),</w:t>
      </w:r>
      <w:r w:rsidRPr="0072696E">
        <w:rPr>
          <w:rFonts w:eastAsia="Batang" w:cs="Tahoma"/>
          <w:bCs/>
          <w:color w:val="000000"/>
        </w:rPr>
        <w:t xml:space="preserve"> asignó el número de expediente </w:t>
      </w:r>
      <w:r w:rsidRPr="0072696E" w:rsidR="00580372">
        <w:rPr>
          <w:rFonts w:eastAsia="Batang" w:cs="Tahoma"/>
          <w:b/>
          <w:bCs/>
          <w:color w:val="000000"/>
        </w:rPr>
        <w:t xml:space="preserve">10301/INFOEM/IP/RR/2022 </w:t>
      </w:r>
      <w:r w:rsidRPr="0072696E" w:rsidR="00580372">
        <w:rPr>
          <w:rFonts w:eastAsia="Batang" w:cs="Tahoma"/>
          <w:color w:val="000000"/>
        </w:rPr>
        <w:t>y</w:t>
      </w:r>
      <w:r w:rsidRPr="0072696E" w:rsidR="00580372">
        <w:rPr>
          <w:rFonts w:eastAsia="Batang" w:cs="Tahoma"/>
          <w:b/>
          <w:bCs/>
          <w:color w:val="000000"/>
        </w:rPr>
        <w:t xml:space="preserve"> 10303/INFOEM/IP/RR/2022</w:t>
      </w:r>
      <w:r w:rsidRPr="0072696E">
        <w:rPr>
          <w:rFonts w:eastAsia="Batang" w:cs="Tahoma"/>
          <w:bCs/>
          <w:color w:val="000000"/>
        </w:rPr>
        <w:t>, a</w:t>
      </w:r>
      <w:r w:rsidRPr="0072696E" w:rsidR="00DB5D3F">
        <w:rPr>
          <w:rFonts w:eastAsia="Batang" w:cs="Tahoma"/>
          <w:bCs/>
          <w:color w:val="000000"/>
        </w:rPr>
        <w:t xml:space="preserve"> </w:t>
      </w:r>
      <w:r w:rsidRPr="0072696E">
        <w:rPr>
          <w:rFonts w:eastAsia="Batang" w:cs="Tahoma"/>
          <w:bCs/>
          <w:color w:val="000000"/>
        </w:rPr>
        <w:t>l</w:t>
      </w:r>
      <w:r w:rsidRPr="0072696E" w:rsidR="00DB5D3F">
        <w:rPr>
          <w:rFonts w:eastAsia="Batang" w:cs="Tahoma"/>
          <w:bCs/>
          <w:color w:val="000000"/>
        </w:rPr>
        <w:t>os M</w:t>
      </w:r>
      <w:r w:rsidRPr="0072696E">
        <w:rPr>
          <w:rFonts w:eastAsia="Batang" w:cs="Tahoma"/>
          <w:bCs/>
          <w:color w:val="000000"/>
        </w:rPr>
        <w:t xml:space="preserve">edio de </w:t>
      </w:r>
      <w:r w:rsidRPr="0072696E" w:rsidR="00DB5D3F">
        <w:rPr>
          <w:rFonts w:eastAsia="Batang" w:cs="Tahoma"/>
          <w:bCs/>
          <w:color w:val="000000"/>
        </w:rPr>
        <w:t>I</w:t>
      </w:r>
      <w:r w:rsidRPr="0072696E">
        <w:rPr>
          <w:rFonts w:eastAsia="Batang" w:cs="Tahoma"/>
          <w:bCs/>
          <w:color w:val="000000"/>
        </w:rPr>
        <w:t xml:space="preserve">mpugnación que nos ocupa, con base en el sistema aprobado por el Pleno de este Órgano Garante y lo turnó </w:t>
      </w:r>
      <w:r w:rsidRPr="0072696E" w:rsidR="00382A3B">
        <w:rPr>
          <w:rFonts w:eastAsia="Batang" w:cs="Tahoma"/>
          <w:bCs/>
          <w:color w:val="000000"/>
        </w:rPr>
        <w:t>al Comisionado</w:t>
      </w:r>
      <w:r w:rsidRPr="0072696E" w:rsidR="007F211F">
        <w:rPr>
          <w:rFonts w:eastAsia="Batang" w:cs="Tahoma"/>
          <w:bCs/>
          <w:color w:val="000000"/>
        </w:rPr>
        <w:t xml:space="preserve"> </w:t>
      </w:r>
      <w:r w:rsidRPr="0072696E" w:rsidR="00382A3B">
        <w:rPr>
          <w:rFonts w:eastAsia="Batang" w:cs="Tahoma"/>
          <w:bCs/>
          <w:color w:val="000000"/>
        </w:rPr>
        <w:t>Luis Gustavo Parra Noriega</w:t>
      </w:r>
      <w:r w:rsidRPr="0072696E">
        <w:rPr>
          <w:rFonts w:eastAsia="Batang" w:cs="Tahoma"/>
          <w:bCs/>
          <w:color w:val="000000"/>
        </w:rPr>
        <w:t>, para los efectos del artículo 185, fracción I de la Ley de Transparencia y Acceso a la Información Pública del Estado de México y Municipios.</w:t>
      </w:r>
    </w:p>
    <w:p w:rsidRPr="0072696E" w:rsidR="00051642" w:rsidP="008D7D0A" w:rsidRDefault="00051642" w14:paraId="6A77E5B3" w14:textId="77777777">
      <w:pPr>
        <w:spacing w:after="0" w:line="360" w:lineRule="auto"/>
        <w:rPr>
          <w:rFonts w:eastAsia="Batang" w:cs="Tahoma"/>
          <w:bCs/>
          <w:color w:val="000000"/>
        </w:rPr>
      </w:pPr>
    </w:p>
    <w:p w:rsidRPr="0072696E" w:rsidR="00051642" w:rsidP="008D7D0A" w:rsidRDefault="00051642" w14:paraId="14B3EF1A" w14:textId="0368124E">
      <w:pPr>
        <w:spacing w:after="0" w:line="360" w:lineRule="auto"/>
        <w:rPr>
          <w:rFonts w:eastAsia="Times New Roman" w:cs="Tahoma"/>
          <w:b/>
          <w:bCs/>
          <w:color w:val="auto"/>
          <w:lang w:eastAsia="es-ES"/>
        </w:rPr>
      </w:pPr>
      <w:r w:rsidRPr="0072696E">
        <w:rPr>
          <w:rFonts w:eastAsia="Times New Roman" w:cs="Tahoma"/>
          <w:b/>
          <w:bCs/>
          <w:color w:val="auto"/>
          <w:lang w:eastAsia="es-ES"/>
        </w:rPr>
        <w:t>b) Admisión de</w:t>
      </w:r>
      <w:r w:rsidRPr="0072696E" w:rsidR="00DB5D3F">
        <w:rPr>
          <w:rFonts w:eastAsia="Times New Roman" w:cs="Tahoma"/>
          <w:b/>
          <w:bCs/>
          <w:color w:val="auto"/>
          <w:lang w:eastAsia="es-ES"/>
        </w:rPr>
        <w:t xml:space="preserve"> </w:t>
      </w:r>
      <w:r w:rsidRPr="0072696E">
        <w:rPr>
          <w:rFonts w:eastAsia="Times New Roman" w:cs="Tahoma"/>
          <w:b/>
          <w:bCs/>
          <w:color w:val="auto"/>
          <w:lang w:eastAsia="es-ES"/>
        </w:rPr>
        <w:t>l</w:t>
      </w:r>
      <w:r w:rsidRPr="0072696E" w:rsidR="00DB5D3F">
        <w:rPr>
          <w:rFonts w:eastAsia="Times New Roman" w:cs="Tahoma"/>
          <w:b/>
          <w:bCs/>
          <w:color w:val="auto"/>
          <w:lang w:eastAsia="es-ES"/>
        </w:rPr>
        <w:t>os</w:t>
      </w:r>
      <w:r w:rsidRPr="0072696E">
        <w:rPr>
          <w:rFonts w:eastAsia="Times New Roman" w:cs="Tahoma"/>
          <w:b/>
          <w:bCs/>
          <w:color w:val="auto"/>
          <w:lang w:eastAsia="es-ES"/>
        </w:rPr>
        <w:t xml:space="preserve"> Recurso</w:t>
      </w:r>
      <w:r w:rsidRPr="0072696E" w:rsidR="00DB5D3F">
        <w:rPr>
          <w:rFonts w:eastAsia="Times New Roman" w:cs="Tahoma"/>
          <w:b/>
          <w:bCs/>
          <w:color w:val="auto"/>
          <w:lang w:eastAsia="es-ES"/>
        </w:rPr>
        <w:t>s</w:t>
      </w:r>
      <w:r w:rsidRPr="0072696E">
        <w:rPr>
          <w:rFonts w:eastAsia="Times New Roman" w:cs="Tahoma"/>
          <w:b/>
          <w:bCs/>
          <w:color w:val="auto"/>
          <w:lang w:eastAsia="es-ES"/>
        </w:rPr>
        <w:t xml:space="preserve"> de Revisión</w:t>
      </w:r>
      <w:r w:rsidRPr="0072696E">
        <w:rPr>
          <w:rFonts w:eastAsia="Times New Roman" w:cs="Tahoma"/>
          <w:b/>
          <w:bCs/>
          <w:color w:val="auto"/>
          <w:lang w:val="es-ES_tradnl" w:eastAsia="es-ES"/>
        </w:rPr>
        <w:t xml:space="preserve">. </w:t>
      </w:r>
      <w:r w:rsidRPr="0072696E">
        <w:rPr>
          <w:rFonts w:eastAsia="Batang" w:cs="Tahoma"/>
          <w:bCs/>
          <w:color w:val="000000"/>
        </w:rPr>
        <w:t xml:space="preserve">El </w:t>
      </w:r>
      <w:r w:rsidRPr="0072696E" w:rsidR="00C17186">
        <w:rPr>
          <w:rFonts w:eastAsia="Batang" w:cs="Tahoma"/>
          <w:bCs/>
          <w:color w:val="000000"/>
        </w:rPr>
        <w:t>dos</w:t>
      </w:r>
      <w:r w:rsidRPr="0072696E" w:rsidR="00580372">
        <w:rPr>
          <w:rFonts w:eastAsia="Batang" w:cs="Tahoma"/>
          <w:bCs/>
          <w:color w:val="000000"/>
        </w:rPr>
        <w:t xml:space="preserve"> de junio </w:t>
      </w:r>
      <w:r w:rsidRPr="0072696E" w:rsidR="00DA6918">
        <w:rPr>
          <w:rFonts w:eastAsia="Batang" w:cs="Tahoma"/>
          <w:bCs/>
          <w:color w:val="000000"/>
        </w:rPr>
        <w:t>de dos mil veintidós</w:t>
      </w:r>
      <w:r w:rsidRPr="0072696E">
        <w:rPr>
          <w:rFonts w:eastAsia="Times New Roman" w:cs="Tahoma"/>
          <w:bCs/>
          <w:color w:val="auto"/>
          <w:lang w:val="es-ES_tradnl" w:eastAsia="es-ES"/>
        </w:rPr>
        <w:t>, se acordó</w:t>
      </w:r>
      <w:r w:rsidRPr="0072696E" w:rsidR="00DB5D3F">
        <w:rPr>
          <w:rFonts w:eastAsia="Times New Roman" w:cs="Tahoma"/>
          <w:bCs/>
          <w:color w:val="auto"/>
          <w:lang w:val="es-ES_tradnl" w:eastAsia="es-ES"/>
        </w:rPr>
        <w:t xml:space="preserve"> respectivamente,</w:t>
      </w:r>
      <w:r w:rsidRPr="0072696E">
        <w:rPr>
          <w:rFonts w:eastAsia="Times New Roman" w:cs="Tahoma"/>
          <w:bCs/>
          <w:color w:val="auto"/>
          <w:lang w:val="es-ES_tradnl" w:eastAsia="es-ES"/>
        </w:rPr>
        <w:t xml:space="preserve"> la admisión de</w:t>
      </w:r>
      <w:r w:rsidRPr="0072696E" w:rsidR="004640F3">
        <w:rPr>
          <w:rFonts w:eastAsia="Times New Roman" w:cs="Tahoma"/>
          <w:bCs/>
          <w:color w:val="auto"/>
          <w:lang w:val="es-ES_tradnl" w:eastAsia="es-ES"/>
        </w:rPr>
        <w:t xml:space="preserve"> </w:t>
      </w:r>
      <w:r w:rsidRPr="0072696E">
        <w:rPr>
          <w:rFonts w:eastAsia="Times New Roman" w:cs="Tahoma"/>
          <w:bCs/>
          <w:color w:val="auto"/>
          <w:lang w:val="es-ES_tradnl" w:eastAsia="es-ES"/>
        </w:rPr>
        <w:t>l</w:t>
      </w:r>
      <w:r w:rsidRPr="0072696E" w:rsidR="004640F3">
        <w:rPr>
          <w:rFonts w:eastAsia="Times New Roman" w:cs="Tahoma"/>
          <w:bCs/>
          <w:color w:val="auto"/>
          <w:lang w:val="es-ES_tradnl" w:eastAsia="es-ES"/>
        </w:rPr>
        <w:t>os</w:t>
      </w:r>
      <w:r w:rsidRPr="0072696E">
        <w:rPr>
          <w:rFonts w:eastAsia="Times New Roman" w:cs="Tahoma"/>
          <w:bCs/>
          <w:color w:val="auto"/>
          <w:lang w:val="es-ES_tradnl" w:eastAsia="es-ES"/>
        </w:rPr>
        <w:t xml:space="preserve"> Recurso</w:t>
      </w:r>
      <w:r w:rsidRPr="0072696E" w:rsidR="004640F3">
        <w:rPr>
          <w:rFonts w:eastAsia="Times New Roman" w:cs="Tahoma"/>
          <w:bCs/>
          <w:color w:val="auto"/>
          <w:lang w:val="es-ES_tradnl" w:eastAsia="es-ES"/>
        </w:rPr>
        <w:t>s</w:t>
      </w:r>
      <w:r w:rsidRPr="0072696E">
        <w:rPr>
          <w:rFonts w:eastAsia="Times New Roman" w:cs="Tahoma"/>
          <w:bCs/>
          <w:color w:val="auto"/>
          <w:lang w:val="es-ES_tradnl" w:eastAsia="es-ES"/>
        </w:rPr>
        <w:t xml:space="preserve"> de Revisión interpuesto</w:t>
      </w:r>
      <w:r w:rsidRPr="0072696E" w:rsidR="00DB5D3F">
        <w:rPr>
          <w:rFonts w:eastAsia="Times New Roman" w:cs="Tahoma"/>
          <w:bCs/>
          <w:color w:val="auto"/>
          <w:lang w:val="es-ES_tradnl" w:eastAsia="es-ES"/>
        </w:rPr>
        <w:t>s</w:t>
      </w:r>
      <w:r w:rsidRPr="0072696E">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 el</w:t>
      </w:r>
      <w:r w:rsidRPr="0072696E" w:rsidR="00C17186">
        <w:rPr>
          <w:rFonts w:eastAsia="Times New Roman" w:cs="Tahoma"/>
          <w:bCs/>
          <w:color w:val="auto"/>
          <w:lang w:val="es-ES_tradnl" w:eastAsia="es-ES"/>
        </w:rPr>
        <w:t xml:space="preserve"> seis y dos </w:t>
      </w:r>
      <w:r w:rsidRPr="0072696E" w:rsidR="00141E35">
        <w:rPr>
          <w:rFonts w:eastAsia="Times New Roman" w:cs="Tahoma"/>
          <w:bCs/>
          <w:color w:val="auto"/>
          <w:lang w:val="es-ES_tradnl" w:eastAsia="es-ES"/>
        </w:rPr>
        <w:t>del mismo mes y año</w:t>
      </w:r>
      <w:r w:rsidRPr="0072696E" w:rsidR="00DB5D3F">
        <w:rPr>
          <w:rFonts w:eastAsia="Times New Roman" w:cs="Tahoma"/>
          <w:bCs/>
          <w:color w:val="auto"/>
          <w:lang w:val="es-ES_tradnl" w:eastAsia="es-ES"/>
        </w:rPr>
        <w:t>, respectivamente</w:t>
      </w:r>
      <w:r w:rsidRPr="0072696E">
        <w:rPr>
          <w:rFonts w:eastAsia="Times New Roman" w:cs="Tahoma"/>
          <w:bCs/>
          <w:color w:val="auto"/>
          <w:lang w:val="es-ES_tradnl" w:eastAsia="es-ES"/>
        </w:rPr>
        <w:t xml:space="preserve">, a través del Sistema de Acceso a la Información Mexiquense (SAIMEX), en el que se les otorgó un plazo </w:t>
      </w:r>
      <w:r w:rsidRPr="0072696E">
        <w:rPr>
          <w:rFonts w:eastAsia="Times New Roman" w:cs="Tahoma"/>
          <w:bCs/>
          <w:color w:val="auto"/>
          <w:lang w:val="es-ES_tradnl" w:eastAsia="es-ES"/>
        </w:rPr>
        <w:lastRenderedPageBreak/>
        <w:t xml:space="preserve">de siete días hábiles posteriores a la misma, para que manifestaran lo que a su derecho conviniera y formularan alegatos. </w:t>
      </w:r>
    </w:p>
    <w:p w:rsidRPr="0072696E" w:rsidR="00051642" w:rsidP="008D7D0A" w:rsidRDefault="00051642" w14:paraId="55E88193" w14:textId="77777777">
      <w:pPr>
        <w:spacing w:after="0" w:line="360" w:lineRule="auto"/>
        <w:rPr>
          <w:rFonts w:cs="Tahoma"/>
        </w:rPr>
      </w:pPr>
    </w:p>
    <w:p w:rsidRPr="0072696E" w:rsidR="00051642" w:rsidP="008D7D0A" w:rsidRDefault="00051642" w14:paraId="53BFC908" w14:textId="4A955ED8">
      <w:pPr>
        <w:spacing w:after="0" w:line="360" w:lineRule="auto"/>
        <w:rPr>
          <w:rFonts w:cs="Tahoma"/>
          <w:lang w:val="es-ES_tradnl"/>
        </w:rPr>
      </w:pPr>
      <w:r w:rsidRPr="0072696E">
        <w:rPr>
          <w:rFonts w:eastAsia="Times New Roman" w:cs="Tahoma"/>
          <w:b/>
          <w:bCs/>
          <w:color w:val="auto"/>
          <w:lang w:eastAsia="es-ES"/>
        </w:rPr>
        <w:t xml:space="preserve">c) </w:t>
      </w:r>
      <w:r w:rsidRPr="0072696E">
        <w:rPr>
          <w:rFonts w:cs="Tahoma"/>
          <w:b/>
          <w:lang w:val="es-ES_tradnl"/>
        </w:rPr>
        <w:t xml:space="preserve">Informe Justificado o Manifestaciones. </w:t>
      </w:r>
      <w:r w:rsidRPr="0072696E">
        <w:rPr>
          <w:rFonts w:cs="Tahoma"/>
          <w:lang w:val="es-ES_tradnl"/>
        </w:rPr>
        <w:t>Las partes fueron omisas en emitir manifestaciones o alegatos.</w:t>
      </w:r>
    </w:p>
    <w:p w:rsidRPr="0072696E" w:rsidR="004640F3" w:rsidP="008D7D0A" w:rsidRDefault="004640F3" w14:paraId="5F646FD7" w14:textId="2B23701C">
      <w:pPr>
        <w:spacing w:after="0" w:line="360" w:lineRule="auto"/>
        <w:rPr>
          <w:rFonts w:cs="Tahoma"/>
          <w:lang w:val="es-ES_tradnl"/>
        </w:rPr>
      </w:pPr>
    </w:p>
    <w:p w:rsidRPr="0072696E" w:rsidR="00DA6918" w:rsidP="008D7D0A" w:rsidRDefault="00B821D5" w14:paraId="1087327D" w14:textId="068BEA60">
      <w:pPr>
        <w:spacing w:after="0" w:line="360" w:lineRule="auto"/>
        <w:rPr>
          <w:rFonts w:eastAsia="Times New Roman" w:cs="Tahoma"/>
          <w:b/>
          <w:iCs/>
          <w:color w:val="auto"/>
          <w:lang w:val="es-ES" w:eastAsia="es-ES"/>
        </w:rPr>
      </w:pPr>
      <w:r w:rsidRPr="0072696E">
        <w:rPr>
          <w:rFonts w:eastAsia="Times New Roman" w:cs="Tahoma"/>
          <w:b/>
          <w:iCs/>
          <w:color w:val="auto"/>
          <w:lang w:val="es-ES" w:eastAsia="es-ES"/>
        </w:rPr>
        <w:t xml:space="preserve">d) </w:t>
      </w:r>
      <w:r w:rsidRPr="0072696E" w:rsidR="00206DE6">
        <w:rPr>
          <w:rFonts w:eastAsia="Times New Roman" w:cs="Tahoma"/>
          <w:b/>
          <w:color w:val="auto"/>
          <w:lang w:eastAsia="es-ES"/>
        </w:rPr>
        <w:t xml:space="preserve">Recurso de Revisión Desistido. </w:t>
      </w:r>
      <w:r w:rsidRPr="0072696E" w:rsidR="00206DE6">
        <w:rPr>
          <w:rFonts w:eastAsia="Times New Roman" w:cs="Tahoma"/>
          <w:color w:val="auto"/>
          <w:lang w:eastAsia="es-ES"/>
        </w:rPr>
        <w:t xml:space="preserve">El </w:t>
      </w:r>
      <w:r w:rsidRPr="0072696E" w:rsidR="00C17186">
        <w:rPr>
          <w:rFonts w:eastAsia="Times New Roman" w:cs="Tahoma"/>
          <w:color w:val="auto"/>
          <w:lang w:eastAsia="es-ES"/>
        </w:rPr>
        <w:t>veinti</w:t>
      </w:r>
      <w:r w:rsidRPr="0072696E" w:rsidR="002C735A">
        <w:rPr>
          <w:rFonts w:eastAsia="Times New Roman" w:cs="Tahoma"/>
          <w:color w:val="auto"/>
          <w:lang w:eastAsia="es-ES"/>
        </w:rPr>
        <w:t>uno</w:t>
      </w:r>
      <w:r w:rsidRPr="0072696E" w:rsidR="00C17186">
        <w:rPr>
          <w:rFonts w:eastAsia="Times New Roman" w:cs="Tahoma"/>
          <w:color w:val="auto"/>
          <w:lang w:eastAsia="es-ES"/>
        </w:rPr>
        <w:t xml:space="preserve"> de julio</w:t>
      </w:r>
      <w:r w:rsidRPr="0072696E" w:rsidR="00206DE6">
        <w:rPr>
          <w:rFonts w:eastAsia="Times New Roman" w:cs="Tahoma"/>
          <w:color w:val="auto"/>
          <w:lang w:eastAsia="es-ES"/>
        </w:rPr>
        <w:t xml:space="preserve"> de dos mil veinti</w:t>
      </w:r>
      <w:r w:rsidRPr="0072696E" w:rsidR="00C17186">
        <w:rPr>
          <w:rFonts w:eastAsia="Times New Roman" w:cs="Tahoma"/>
          <w:color w:val="auto"/>
          <w:lang w:eastAsia="es-ES"/>
        </w:rPr>
        <w:t>dós</w:t>
      </w:r>
      <w:r w:rsidRPr="0072696E" w:rsidR="00206DE6">
        <w:rPr>
          <w:rFonts w:eastAsia="Times New Roman" w:cs="Tahoma"/>
          <w:color w:val="auto"/>
          <w:lang w:eastAsia="es-ES"/>
        </w:rPr>
        <w:t>, el Recurrente, a través del Sistema de Acceso a la Información Mexiquense (SAIMEX), se desistió de los Recursos de Revisión y señaló, en</w:t>
      </w:r>
      <w:r w:rsidRPr="0072696E" w:rsidR="00052717">
        <w:rPr>
          <w:rFonts w:eastAsia="Times New Roman" w:cs="Tahoma"/>
          <w:color w:val="auto"/>
          <w:lang w:eastAsia="es-ES"/>
        </w:rPr>
        <w:t xml:space="preserve"> ambos</w:t>
      </w:r>
      <w:r w:rsidRPr="0072696E" w:rsidR="00206DE6">
        <w:rPr>
          <w:rFonts w:eastAsia="Times New Roman" w:cs="Tahoma"/>
          <w:color w:val="auto"/>
          <w:lang w:eastAsia="es-ES"/>
        </w:rPr>
        <w:t xml:space="preserve"> expedientes, como razón de dicha situación la siguiente: </w:t>
      </w:r>
      <w:r w:rsidRPr="0072696E" w:rsidR="00206DE6">
        <w:rPr>
          <w:rFonts w:eastAsia="Times New Roman" w:cs="Tahoma"/>
          <w:i/>
          <w:color w:val="auto"/>
          <w:lang w:eastAsia="es-ES"/>
        </w:rPr>
        <w:t>“</w:t>
      </w:r>
      <w:r w:rsidRPr="0072696E" w:rsidR="00C17186">
        <w:rPr>
          <w:rFonts w:eastAsia="Times New Roman" w:cs="Tahoma"/>
          <w:i/>
          <w:color w:val="auto"/>
          <w:lang w:eastAsia="es-ES"/>
        </w:rPr>
        <w:t>Por así convenir a mis intereses personales</w:t>
      </w:r>
      <w:r w:rsidRPr="0072696E" w:rsidR="00206DE6">
        <w:rPr>
          <w:rFonts w:eastAsia="Times New Roman" w:cs="Tahoma"/>
          <w:i/>
          <w:color w:val="auto"/>
          <w:lang w:eastAsia="es-ES"/>
        </w:rPr>
        <w:t>”</w:t>
      </w:r>
    </w:p>
    <w:p w:rsidRPr="0072696E" w:rsidR="00DA6918" w:rsidP="008D7D0A" w:rsidRDefault="00DA6918" w14:paraId="390C41FB" w14:textId="77777777">
      <w:pPr>
        <w:spacing w:after="0" w:line="360" w:lineRule="auto"/>
        <w:rPr>
          <w:rFonts w:eastAsia="Times New Roman" w:cs="Tahoma"/>
          <w:b/>
          <w:iCs/>
          <w:color w:val="auto"/>
          <w:lang w:val="es-ES" w:eastAsia="es-ES"/>
        </w:rPr>
      </w:pPr>
    </w:p>
    <w:p w:rsidRPr="0072696E" w:rsidR="004640F3" w:rsidP="008D7D0A" w:rsidRDefault="009751AB" w14:paraId="0990B652" w14:textId="6B08AF15">
      <w:pPr>
        <w:spacing w:after="0" w:line="360" w:lineRule="auto"/>
        <w:rPr>
          <w:rFonts w:eastAsia="Times New Roman" w:cs="Tahoma"/>
          <w:bCs/>
          <w:iCs/>
          <w:color w:val="auto"/>
          <w:lang w:val="es-ES" w:eastAsia="es-ES"/>
        </w:rPr>
      </w:pPr>
      <w:r w:rsidRPr="0072696E">
        <w:rPr>
          <w:rFonts w:eastAsia="Times New Roman" w:cs="Tahoma"/>
          <w:b/>
          <w:iCs/>
          <w:color w:val="auto"/>
          <w:lang w:val="es-ES" w:eastAsia="es-ES"/>
        </w:rPr>
        <w:t xml:space="preserve">e) </w:t>
      </w:r>
      <w:r w:rsidRPr="0072696E" w:rsidR="00B821D5">
        <w:rPr>
          <w:rFonts w:eastAsia="Times New Roman" w:cs="Tahoma"/>
          <w:b/>
          <w:iCs/>
          <w:color w:val="auto"/>
          <w:lang w:val="es-ES" w:eastAsia="es-ES"/>
        </w:rPr>
        <w:t>Acumulación de los asuntos.</w:t>
      </w:r>
      <w:r w:rsidRPr="0072696E" w:rsidR="00B821D5">
        <w:rPr>
          <w:rFonts w:eastAsia="Times New Roman" w:cs="Tahoma"/>
          <w:bCs/>
          <w:iCs/>
          <w:color w:val="auto"/>
          <w:lang w:val="es-ES" w:eastAsia="es-ES"/>
        </w:rPr>
        <w:t xml:space="preserve"> El</w:t>
      </w:r>
      <w:r w:rsidRPr="0072696E" w:rsidR="004B4850">
        <w:rPr>
          <w:rFonts w:eastAsia="Times New Roman" w:cs="Tahoma"/>
          <w:bCs/>
          <w:iCs/>
          <w:color w:val="auto"/>
          <w:lang w:val="es-ES" w:eastAsia="es-ES"/>
        </w:rPr>
        <w:t xml:space="preserve"> </w:t>
      </w:r>
      <w:r w:rsidRPr="0072696E" w:rsidR="00052717">
        <w:rPr>
          <w:rFonts w:eastAsia="Times New Roman" w:cs="Tahoma"/>
          <w:bCs/>
          <w:iCs/>
          <w:color w:val="auto"/>
          <w:lang w:val="es-ES" w:eastAsia="es-ES"/>
        </w:rPr>
        <w:t>dos de agosto</w:t>
      </w:r>
      <w:r w:rsidRPr="0072696E" w:rsidR="00B821D5">
        <w:rPr>
          <w:rFonts w:eastAsia="Times New Roman" w:cs="Tahoma"/>
          <w:bCs/>
          <w:iCs/>
          <w:color w:val="auto"/>
          <w:lang w:val="es-ES" w:eastAsia="es-ES"/>
        </w:rPr>
        <w:t xml:space="preserve"> de dos mil veinti</w:t>
      </w:r>
      <w:r w:rsidRPr="0072696E" w:rsidR="004B4850">
        <w:rPr>
          <w:rFonts w:eastAsia="Times New Roman" w:cs="Tahoma"/>
          <w:bCs/>
          <w:iCs/>
          <w:color w:val="auto"/>
          <w:lang w:val="es-ES" w:eastAsia="es-ES"/>
        </w:rPr>
        <w:t>dós</w:t>
      </w:r>
      <w:r w:rsidRPr="0072696E" w:rsidR="00B821D5">
        <w:rPr>
          <w:rFonts w:eastAsia="Times New Roman" w:cs="Tahoma"/>
          <w:bCs/>
          <w:iCs/>
          <w:color w:val="auto"/>
          <w:lang w:val="es-ES" w:eastAsia="es-ES"/>
        </w:rPr>
        <w:t xml:space="preserve">, el Pleno del </w:t>
      </w:r>
      <w:r w:rsidRPr="0072696E" w:rsidR="0035133F">
        <w:rPr>
          <w:rFonts w:eastAsia="Times New Roman" w:cs="Tahoma"/>
          <w:bCs/>
          <w:iCs/>
          <w:color w:val="auto"/>
          <w:lang w:val="es-ES" w:eastAsia="es-ES"/>
        </w:rPr>
        <w:t>Instituto de</w:t>
      </w:r>
      <w:r w:rsidRPr="0072696E" w:rsidR="00B821D5">
        <w:rPr>
          <w:rFonts w:eastAsia="Times New Roman" w:cs="Tahoma"/>
          <w:bCs/>
          <w:iCs/>
          <w:color w:val="auto"/>
          <w:lang w:val="es-ES" w:eastAsia="es-ES"/>
        </w:rPr>
        <w:t xml:space="preserve"> Transparencia, Acceso a la Información Pública y Protección de Datos Personales del Estado de México y Municipios, durante su </w:t>
      </w:r>
      <w:r w:rsidRPr="0072696E" w:rsidR="008714BA">
        <w:rPr>
          <w:rFonts w:eastAsia="Times New Roman" w:cs="Tahoma"/>
          <w:bCs/>
          <w:iCs/>
          <w:color w:val="auto"/>
          <w:lang w:val="es-ES" w:eastAsia="es-ES"/>
        </w:rPr>
        <w:t>VIGÉSIMO SÉPTIMA</w:t>
      </w:r>
      <w:r w:rsidRPr="0072696E" w:rsidR="00B821D5">
        <w:rPr>
          <w:rFonts w:eastAsia="Times New Roman" w:cs="Tahoma"/>
          <w:bCs/>
          <w:iCs/>
          <w:color w:val="auto"/>
          <w:lang w:val="es-ES" w:eastAsia="es-ES"/>
        </w:rPr>
        <w:t xml:space="preserve"> Sesión Ordinaria, con el propósito de privilegiar la resolución expedita y evitar resoluciones </w:t>
      </w:r>
      <w:r w:rsidRPr="0072696E" w:rsidR="0035133F">
        <w:rPr>
          <w:rFonts w:eastAsia="Times New Roman" w:cs="Tahoma"/>
          <w:bCs/>
          <w:iCs/>
          <w:color w:val="auto"/>
          <w:lang w:val="es-ES" w:eastAsia="es-ES"/>
        </w:rPr>
        <w:t>contradictorias,</w:t>
      </w:r>
      <w:r w:rsidRPr="0072696E" w:rsidR="00B821D5">
        <w:rPr>
          <w:rFonts w:eastAsia="Times New Roman" w:cs="Tahoma"/>
          <w:bCs/>
          <w:iCs/>
          <w:color w:val="auto"/>
          <w:lang w:val="es-ES" w:eastAsia="es-ES"/>
        </w:rPr>
        <w:t xml:space="preserve"> con fundamento en el artículo 18 del Código de Procedimientos Administrativos del Estado de México</w:t>
      </w:r>
      <w:r w:rsidRPr="0072696E" w:rsidR="0035133F">
        <w:rPr>
          <w:rFonts w:eastAsia="Times New Roman" w:cs="Tahoma"/>
          <w:bCs/>
          <w:iCs/>
          <w:color w:val="auto"/>
          <w:lang w:val="es-ES" w:eastAsia="es-ES"/>
        </w:rPr>
        <w:t xml:space="preserve">, de aplicación supletoria a la Ley de Transparencia y Acceso a la Información Pública del Estado de México y Municipios, según lo previsto en su artículo 195, acordó la acumulación de los Recursos de Revisión </w:t>
      </w:r>
      <w:r w:rsidRPr="0072696E" w:rsidR="001275B7">
        <w:rPr>
          <w:rFonts w:eastAsia="Batang" w:cs="Tahoma"/>
          <w:b/>
          <w:bCs/>
          <w:color w:val="000000"/>
        </w:rPr>
        <w:t xml:space="preserve">10303/INFOEM/IP/RR/2022 </w:t>
      </w:r>
      <w:r w:rsidRPr="0072696E" w:rsidR="00814577">
        <w:rPr>
          <w:rFonts w:eastAsia="Batang" w:cs="Tahoma"/>
          <w:b/>
          <w:bCs/>
          <w:color w:val="000000"/>
        </w:rPr>
        <w:t xml:space="preserve">al diverso </w:t>
      </w:r>
      <w:r w:rsidRPr="0072696E" w:rsidR="001275B7">
        <w:rPr>
          <w:rFonts w:eastAsia="Batang" w:cs="Tahoma"/>
          <w:b/>
          <w:bCs/>
          <w:color w:val="000000"/>
        </w:rPr>
        <w:t>10301/INFOEM/IP/RR/2022</w:t>
      </w:r>
      <w:r w:rsidRPr="0072696E" w:rsidR="0035133F">
        <w:rPr>
          <w:rFonts w:eastAsia="Batang" w:cs="Tahoma"/>
          <w:b/>
          <w:bCs/>
          <w:color w:val="000000"/>
        </w:rPr>
        <w:t xml:space="preserve">, </w:t>
      </w:r>
      <w:r w:rsidRPr="0072696E" w:rsidR="0035133F">
        <w:rPr>
          <w:rFonts w:eastAsia="Batang" w:cs="Tahoma"/>
          <w:color w:val="000000"/>
        </w:rPr>
        <w:t>por</w:t>
      </w:r>
      <w:r w:rsidRPr="0072696E" w:rsidR="0081457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sidRPr="0072696E" w:rsidR="006364F0">
        <w:rPr>
          <w:rFonts w:eastAsia="Calibri" w:cs="Tahoma"/>
        </w:rPr>
        <w:t>Ayuntamiento de Tenancingo</w:t>
      </w:r>
      <w:r w:rsidRPr="0072696E" w:rsidR="00814577">
        <w:rPr>
          <w:rFonts w:eastAsia="Batang" w:cs="Tahoma"/>
          <w:color w:val="000000"/>
        </w:rPr>
        <w:t xml:space="preserve">. </w:t>
      </w:r>
    </w:p>
    <w:p w:rsidRPr="0072696E" w:rsidR="00051642" w:rsidP="008D7D0A" w:rsidRDefault="00051642" w14:paraId="7F900F92" w14:textId="77777777">
      <w:pPr>
        <w:widowControl w:val="0"/>
        <w:spacing w:after="0" w:line="360" w:lineRule="auto"/>
        <w:rPr>
          <w:rFonts w:eastAsia="Times New Roman" w:cs="Tahoma"/>
          <w:b/>
          <w:color w:val="auto"/>
          <w:szCs w:val="24"/>
          <w:lang w:eastAsia="es-ES"/>
        </w:rPr>
      </w:pPr>
    </w:p>
    <w:p w:rsidRPr="0072696E" w:rsidR="00052717" w:rsidP="008D7D0A" w:rsidRDefault="009751AB" w14:paraId="2D0B4F74" w14:textId="4312769C">
      <w:pPr>
        <w:spacing w:after="0" w:line="360" w:lineRule="auto"/>
        <w:rPr>
          <w:rFonts w:eastAsia="Times New Roman" w:cs="Tahoma"/>
          <w:b/>
          <w:color w:val="auto"/>
          <w:szCs w:val="24"/>
          <w:lang w:eastAsia="es-ES"/>
        </w:rPr>
      </w:pPr>
      <w:r w:rsidRPr="0072696E">
        <w:rPr>
          <w:rFonts w:eastAsia="Times New Roman" w:cs="Tahoma"/>
          <w:b/>
          <w:color w:val="auto"/>
          <w:szCs w:val="24"/>
          <w:lang w:eastAsia="es-ES"/>
        </w:rPr>
        <w:t>f</w:t>
      </w:r>
      <w:r w:rsidRPr="0072696E" w:rsidR="00051642">
        <w:rPr>
          <w:rFonts w:eastAsia="Times New Roman" w:cs="Tahoma"/>
          <w:b/>
          <w:color w:val="auto"/>
          <w:szCs w:val="24"/>
          <w:lang w:eastAsia="es-ES"/>
        </w:rPr>
        <w:t xml:space="preserve">) </w:t>
      </w:r>
      <w:r w:rsidRPr="0072696E" w:rsidR="00052717">
        <w:rPr>
          <w:rFonts w:eastAsia="Palatino Linotype" w:cs="Palatino Linotype"/>
          <w:b/>
          <w:bCs/>
          <w:lang w:val="es-ES"/>
        </w:rPr>
        <w:t xml:space="preserve">Ampliación de plazo para resolver. </w:t>
      </w:r>
      <w:r w:rsidRPr="0072696E" w:rsidR="00052717">
        <w:rPr>
          <w:rFonts w:eastAsia="Palatino Linotype" w:cs="Palatino Linotype"/>
          <w:lang w:val="es-ES"/>
        </w:rPr>
        <w:t xml:space="preserve">El dos de agosto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sidRPr="0072696E" w:rsidR="00052717">
        <w:rPr>
          <w:rFonts w:eastAsia="Palatino Linotype" w:cs="Palatino Linotype"/>
          <w:lang w:val="es-ES"/>
        </w:rPr>
        <w:lastRenderedPageBreak/>
        <w:t>que nos ocupa; acto que fue notificado a las partes, mediante el Sistema de Acceso a la Información Mexiquense (SAIMEX).</w:t>
      </w:r>
    </w:p>
    <w:p w:rsidRPr="0072696E" w:rsidR="00052717" w:rsidP="008D7D0A" w:rsidRDefault="00052717" w14:paraId="188037BD" w14:textId="77777777">
      <w:pPr>
        <w:spacing w:after="0" w:line="360" w:lineRule="auto"/>
        <w:rPr>
          <w:rFonts w:eastAsia="Times New Roman" w:cs="Tahoma"/>
          <w:b/>
          <w:color w:val="auto"/>
          <w:szCs w:val="24"/>
          <w:lang w:eastAsia="es-ES"/>
        </w:rPr>
      </w:pPr>
    </w:p>
    <w:p w:rsidRPr="0072696E" w:rsidR="00051642" w:rsidP="008D7D0A" w:rsidRDefault="00052717" w14:paraId="54B241CF" w14:textId="5EC692BE">
      <w:pPr>
        <w:spacing w:after="0" w:line="360" w:lineRule="auto"/>
        <w:rPr>
          <w:rFonts w:eastAsia="Times New Roman" w:cs="Tahoma"/>
          <w:color w:val="auto"/>
          <w:szCs w:val="24"/>
          <w:lang w:val="es-ES" w:eastAsia="es-ES"/>
        </w:rPr>
      </w:pPr>
      <w:r w:rsidRPr="0072696E">
        <w:rPr>
          <w:rFonts w:eastAsia="Times New Roman" w:cs="Tahoma"/>
          <w:b/>
          <w:color w:val="auto"/>
          <w:szCs w:val="24"/>
          <w:lang w:eastAsia="es-ES"/>
        </w:rPr>
        <w:t xml:space="preserve">g) </w:t>
      </w:r>
      <w:r w:rsidRPr="0072696E" w:rsidR="00051642">
        <w:rPr>
          <w:rFonts w:eastAsia="Times New Roman" w:cs="Tahoma"/>
          <w:b/>
          <w:color w:val="auto"/>
          <w:szCs w:val="24"/>
          <w:lang w:eastAsia="es-ES"/>
        </w:rPr>
        <w:t>Cierre de instrucción.</w:t>
      </w:r>
      <w:r w:rsidRPr="0072696E" w:rsidR="00051642">
        <w:rPr>
          <w:rFonts w:eastAsia="Times New Roman" w:cs="Tahoma"/>
          <w:color w:val="auto"/>
          <w:szCs w:val="24"/>
          <w:lang w:eastAsia="es-ES"/>
        </w:rPr>
        <w:t xml:space="preserve"> El </w:t>
      </w:r>
      <w:r w:rsidRPr="0072696E">
        <w:rPr>
          <w:rFonts w:eastAsia="Times New Roman" w:cs="Tahoma"/>
          <w:color w:val="auto"/>
          <w:szCs w:val="24"/>
          <w:lang w:val="es-ES" w:eastAsia="es-ES"/>
        </w:rPr>
        <w:t>dos de agosto</w:t>
      </w:r>
      <w:r w:rsidRPr="0072696E" w:rsidR="00206DE6">
        <w:rPr>
          <w:rFonts w:eastAsia="Times New Roman" w:cs="Tahoma"/>
          <w:color w:val="auto"/>
          <w:szCs w:val="24"/>
          <w:lang w:val="es-ES" w:eastAsia="es-ES"/>
        </w:rPr>
        <w:t xml:space="preserve"> </w:t>
      </w:r>
      <w:r w:rsidRPr="0072696E" w:rsidR="00051642">
        <w:rPr>
          <w:rFonts w:eastAsia="Times New Roman" w:cs="Tahoma"/>
          <w:color w:val="auto"/>
          <w:szCs w:val="24"/>
          <w:lang w:val="es-ES" w:eastAsia="es-ES"/>
        </w:rPr>
        <w:t>de dos mil veinti</w:t>
      </w:r>
      <w:r w:rsidRPr="0072696E" w:rsidR="00B650E9">
        <w:rPr>
          <w:rFonts w:eastAsia="Times New Roman" w:cs="Tahoma"/>
          <w:color w:val="auto"/>
          <w:szCs w:val="24"/>
          <w:lang w:val="es-ES" w:eastAsia="es-ES"/>
        </w:rPr>
        <w:t>dós</w:t>
      </w:r>
      <w:r w:rsidRPr="0072696E"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w:t>
      </w:r>
      <w:r w:rsidRPr="0072696E">
        <w:rPr>
          <w:rFonts w:eastAsia="Times New Roman" w:cs="Tahoma"/>
          <w:color w:val="auto"/>
          <w:szCs w:val="24"/>
          <w:lang w:eastAsia="es-ES"/>
        </w:rPr>
        <w:t>el mismo día</w:t>
      </w:r>
      <w:r w:rsidRPr="0072696E" w:rsidR="00051642">
        <w:rPr>
          <w:rFonts w:eastAsia="Times New Roman" w:cs="Tahoma"/>
          <w:color w:val="auto"/>
          <w:szCs w:val="24"/>
          <w:lang w:eastAsia="es-ES"/>
        </w:rPr>
        <w:t xml:space="preserve">, a través del </w:t>
      </w:r>
      <w:r w:rsidRPr="0072696E" w:rsidR="00051642">
        <w:rPr>
          <w:rFonts w:eastAsia="Times New Roman" w:cs="Tahoma"/>
          <w:color w:val="auto"/>
          <w:szCs w:val="20"/>
          <w:lang w:val="es-ES" w:eastAsia="es-ES"/>
        </w:rPr>
        <w:t>Sistema de Acceso a la Información Mexiquense (SAIMEX)</w:t>
      </w:r>
      <w:r w:rsidRPr="0072696E" w:rsidR="00051642">
        <w:rPr>
          <w:rFonts w:eastAsia="Times New Roman" w:cs="Tahoma"/>
          <w:color w:val="auto"/>
          <w:szCs w:val="24"/>
          <w:lang w:eastAsia="es-ES"/>
        </w:rPr>
        <w:t>.</w:t>
      </w:r>
      <w:r w:rsidRPr="0072696E" w:rsidR="00183086">
        <w:rPr>
          <w:rFonts w:eastAsia="Times New Roman" w:cs="Tahoma"/>
          <w:color w:val="auto"/>
          <w:szCs w:val="24"/>
          <w:lang w:eastAsia="es-ES"/>
        </w:rPr>
        <w:t xml:space="preserve"> </w:t>
      </w:r>
    </w:p>
    <w:p w:rsidRPr="0072696E" w:rsidR="00051642" w:rsidP="008D7D0A" w:rsidRDefault="00051642" w14:paraId="55938015" w14:textId="77777777">
      <w:pPr>
        <w:spacing w:after="0" w:line="360" w:lineRule="auto"/>
        <w:rPr>
          <w:rFonts w:eastAsia="Times New Roman" w:cs="Tahoma"/>
          <w:color w:val="auto"/>
          <w:szCs w:val="24"/>
          <w:lang w:eastAsia="es-ES"/>
        </w:rPr>
      </w:pPr>
    </w:p>
    <w:p w:rsidRPr="0072696E" w:rsidR="00051642" w:rsidP="008D7D0A" w:rsidRDefault="00051642" w14:paraId="16A59653" w14:textId="77777777">
      <w:pPr>
        <w:spacing w:after="0" w:line="360" w:lineRule="auto"/>
        <w:rPr>
          <w:rFonts w:eastAsia="Times New Roman" w:cs="Tahoma"/>
          <w:color w:val="000000"/>
          <w:szCs w:val="24"/>
          <w:lang w:eastAsia="es-ES"/>
        </w:rPr>
      </w:pPr>
      <w:r w:rsidRPr="0072696E">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72696E" w:rsidR="00051642" w:rsidP="008D7D0A" w:rsidRDefault="00051642" w14:paraId="6984A8D2" w14:textId="77777777">
      <w:pPr>
        <w:spacing w:after="0" w:line="360" w:lineRule="auto"/>
        <w:rPr>
          <w:rFonts w:eastAsia="Times New Roman" w:cs="Tahoma"/>
          <w:bCs/>
          <w:iCs/>
          <w:color w:val="auto"/>
          <w:lang w:val="es-ES" w:eastAsia="es-ES"/>
        </w:rPr>
      </w:pPr>
    </w:p>
    <w:p w:rsidRPr="0072696E" w:rsidR="00051642" w:rsidP="008D7D0A" w:rsidRDefault="00051642" w14:paraId="30D206CA" w14:textId="2D3649EB">
      <w:pPr>
        <w:spacing w:after="0" w:line="360" w:lineRule="auto"/>
        <w:jc w:val="center"/>
        <w:rPr>
          <w:rFonts w:eastAsia="Times New Roman" w:cs="Tahoma"/>
          <w:b/>
          <w:color w:val="auto"/>
          <w:lang w:val="es-ES" w:eastAsia="es-ES"/>
        </w:rPr>
      </w:pPr>
      <w:r w:rsidRPr="0072696E">
        <w:rPr>
          <w:rFonts w:eastAsia="Times New Roman" w:cs="Tahoma"/>
          <w:b/>
          <w:color w:val="auto"/>
          <w:lang w:val="es-ES" w:eastAsia="es-ES"/>
        </w:rPr>
        <w:t>C O N S I D E R A N D O S:</w:t>
      </w:r>
    </w:p>
    <w:p w:rsidRPr="0072696E" w:rsidR="00D903F5" w:rsidP="008D7D0A" w:rsidRDefault="00D903F5" w14:paraId="52BDDA28" w14:textId="77777777">
      <w:pPr>
        <w:autoSpaceDE w:val="0"/>
        <w:autoSpaceDN w:val="0"/>
        <w:adjustRightInd w:val="0"/>
        <w:spacing w:after="0" w:line="360" w:lineRule="auto"/>
        <w:rPr>
          <w:rFonts w:eastAsia="Calibri" w:cs="Tahoma"/>
          <w:b/>
          <w:color w:val="000000"/>
          <w:szCs w:val="24"/>
          <w:lang w:val="es-ES" w:eastAsia="es-MX"/>
        </w:rPr>
      </w:pPr>
    </w:p>
    <w:p w:rsidRPr="0072696E" w:rsidR="00051642" w:rsidP="008D7D0A" w:rsidRDefault="00051642" w14:paraId="045B3F37" w14:textId="798DDF56">
      <w:pPr>
        <w:autoSpaceDE w:val="0"/>
        <w:autoSpaceDN w:val="0"/>
        <w:adjustRightInd w:val="0"/>
        <w:spacing w:after="0" w:line="360" w:lineRule="auto"/>
        <w:rPr>
          <w:rFonts w:eastAsia="Times New Roman" w:cs="Tahoma"/>
          <w:b/>
          <w:color w:val="auto"/>
          <w:szCs w:val="24"/>
          <w:lang w:val="es-ES" w:eastAsia="es-ES"/>
        </w:rPr>
      </w:pPr>
      <w:r w:rsidRPr="0072696E">
        <w:rPr>
          <w:rFonts w:eastAsia="Calibri" w:cs="Tahoma"/>
          <w:b/>
          <w:color w:val="000000"/>
          <w:szCs w:val="24"/>
          <w:lang w:val="es-ES" w:eastAsia="es-MX"/>
        </w:rPr>
        <w:t>PRIMERO</w:t>
      </w:r>
      <w:r w:rsidRPr="0072696E">
        <w:rPr>
          <w:rFonts w:eastAsia="Calibri" w:cs="Tahoma"/>
          <w:color w:val="000000"/>
          <w:szCs w:val="24"/>
          <w:lang w:val="es-ES" w:eastAsia="es-MX"/>
        </w:rPr>
        <w:t xml:space="preserve">. </w:t>
      </w:r>
      <w:r w:rsidRPr="0072696E">
        <w:rPr>
          <w:rFonts w:eastAsia="Times New Roman" w:cs="Tahoma"/>
          <w:b/>
          <w:color w:val="auto"/>
          <w:szCs w:val="24"/>
          <w:lang w:val="es-ES" w:eastAsia="es-ES"/>
        </w:rPr>
        <w:t>Competencia.</w:t>
      </w:r>
    </w:p>
    <w:p w:rsidRPr="0072696E" w:rsidR="008D7D0A" w:rsidP="008D7D0A" w:rsidRDefault="008D7D0A" w14:paraId="6BA7D592" w14:textId="77777777">
      <w:pPr>
        <w:autoSpaceDE w:val="0"/>
        <w:autoSpaceDN w:val="0"/>
        <w:adjustRightInd w:val="0"/>
        <w:spacing w:after="0" w:line="360" w:lineRule="auto"/>
        <w:rPr>
          <w:rFonts w:eastAsia="Times New Roman" w:cs="Tahoma"/>
          <w:b/>
          <w:color w:val="auto"/>
          <w:szCs w:val="24"/>
          <w:lang w:val="es-ES" w:eastAsia="es-ES"/>
        </w:rPr>
      </w:pPr>
    </w:p>
    <w:p w:rsidRPr="0072696E" w:rsidR="00051642" w:rsidP="008D7D0A" w:rsidRDefault="00051642" w14:paraId="569EEA13" w14:textId="77777777">
      <w:pPr>
        <w:spacing w:after="0" w:line="360" w:lineRule="auto"/>
        <w:rPr>
          <w:rFonts w:eastAsia="Times New Roman" w:cs="Tahoma"/>
          <w:bCs/>
          <w:color w:val="auto"/>
          <w:lang w:eastAsia="es-ES"/>
        </w:rPr>
      </w:pPr>
      <w:bookmarkStart w:name="_Hlk63334754" w:id="7"/>
      <w:r w:rsidRPr="0072696E">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72696E">
        <w:rPr>
          <w:rFonts w:eastAsia="Times New Roman" w:cs="Tahoma"/>
          <w:bCs/>
          <w:color w:val="auto"/>
          <w:lang w:eastAsia="es-ES"/>
        </w:rPr>
        <w:lastRenderedPageBreak/>
        <w:t>Municipios;</w:t>
      </w:r>
      <w:r w:rsidRPr="0072696E">
        <w:rPr>
          <w:rFonts w:eastAsia="Times New Roman" w:cs="Times New Roman"/>
          <w:bCs/>
          <w:color w:val="auto"/>
          <w:lang w:eastAsia="es-ES"/>
        </w:rPr>
        <w:t xml:space="preserve"> 7°, </w:t>
      </w:r>
      <w:r w:rsidRPr="0072696E">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7"/>
    </w:p>
    <w:p w:rsidRPr="0072696E" w:rsidR="00051642" w:rsidP="008D7D0A" w:rsidRDefault="00051642" w14:paraId="2986AFCC" w14:textId="77777777">
      <w:pPr>
        <w:spacing w:after="0" w:line="360" w:lineRule="auto"/>
      </w:pPr>
    </w:p>
    <w:p w:rsidRPr="0072696E" w:rsidR="00206DE6" w:rsidP="00206DE6" w:rsidRDefault="00206DE6" w14:paraId="3AC95D04" w14:textId="77777777">
      <w:pPr>
        <w:autoSpaceDE w:val="0"/>
        <w:autoSpaceDN w:val="0"/>
        <w:adjustRightInd w:val="0"/>
        <w:spacing w:after="0" w:line="360" w:lineRule="auto"/>
        <w:contextualSpacing/>
        <w:rPr>
          <w:rFonts w:eastAsia="Calibri" w:cs="Tahoma"/>
          <w:color w:val="000000"/>
          <w:lang w:eastAsia="es-MX"/>
        </w:rPr>
      </w:pPr>
      <w:r w:rsidRPr="0072696E">
        <w:rPr>
          <w:rFonts w:eastAsia="Calibri" w:cs="Tahoma"/>
          <w:b/>
          <w:color w:val="000000"/>
          <w:lang w:eastAsia="es-MX"/>
        </w:rPr>
        <w:t>SEGUNDO</w:t>
      </w:r>
      <w:r w:rsidRPr="0072696E">
        <w:rPr>
          <w:rFonts w:eastAsia="Calibri" w:cs="Tahoma"/>
          <w:color w:val="000000"/>
          <w:lang w:eastAsia="es-MX"/>
        </w:rPr>
        <w:t xml:space="preserve">. </w:t>
      </w:r>
      <w:r w:rsidRPr="0072696E">
        <w:rPr>
          <w:rFonts w:eastAsia="Calibri" w:cs="Tahoma"/>
          <w:b/>
          <w:color w:val="000000"/>
          <w:lang w:eastAsia="es-MX"/>
        </w:rPr>
        <w:t xml:space="preserve">Causales de improcedencia. </w:t>
      </w:r>
    </w:p>
    <w:p w:rsidRPr="0072696E" w:rsidR="00206DE6" w:rsidP="00206DE6" w:rsidRDefault="00206DE6" w14:paraId="5A02321A" w14:textId="77777777">
      <w:pPr>
        <w:autoSpaceDE w:val="0"/>
        <w:autoSpaceDN w:val="0"/>
        <w:adjustRightInd w:val="0"/>
        <w:spacing w:after="0" w:line="360" w:lineRule="auto"/>
        <w:rPr>
          <w:rFonts w:eastAsia="Calibri" w:cs="Tahoma"/>
          <w:color w:val="000000"/>
          <w:sz w:val="20"/>
          <w:lang w:eastAsia="es-MX"/>
        </w:rPr>
      </w:pPr>
    </w:p>
    <w:p w:rsidRPr="0072696E" w:rsidR="00206DE6" w:rsidP="00206DE6" w:rsidRDefault="00206DE6" w14:paraId="2148EC82" w14:textId="77777777">
      <w:pPr>
        <w:autoSpaceDE w:val="0"/>
        <w:autoSpaceDN w:val="0"/>
        <w:adjustRightInd w:val="0"/>
        <w:spacing w:after="0" w:line="360" w:lineRule="auto"/>
        <w:contextualSpacing/>
        <w:rPr>
          <w:rFonts w:eastAsia="Calibri" w:cs="Tahoma"/>
          <w:color w:val="000000"/>
          <w:lang w:eastAsia="es-MX"/>
        </w:rPr>
      </w:pPr>
      <w:r w:rsidRPr="0072696E">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2696E" w:rsidR="00206DE6" w:rsidP="00206DE6" w:rsidRDefault="00206DE6" w14:paraId="05A601A2" w14:textId="77777777">
      <w:pPr>
        <w:autoSpaceDE w:val="0"/>
        <w:autoSpaceDN w:val="0"/>
        <w:adjustRightInd w:val="0"/>
        <w:spacing w:after="0" w:line="360" w:lineRule="auto"/>
        <w:contextualSpacing/>
        <w:rPr>
          <w:rFonts w:eastAsia="Calibri" w:cs="Tahoma"/>
          <w:color w:val="000000"/>
          <w:lang w:eastAsia="es-MX"/>
        </w:rPr>
      </w:pPr>
    </w:p>
    <w:p w:rsidRPr="0072696E" w:rsidR="00206DE6" w:rsidP="00206DE6" w:rsidRDefault="00206DE6" w14:paraId="4C99657D" w14:textId="77777777">
      <w:pPr>
        <w:autoSpaceDE w:val="0"/>
        <w:autoSpaceDN w:val="0"/>
        <w:adjustRightInd w:val="0"/>
        <w:spacing w:after="0" w:line="360" w:lineRule="auto"/>
        <w:contextualSpacing/>
        <w:rPr>
          <w:rFonts w:eastAsia="Calibri" w:cs="Tahoma"/>
          <w:color w:val="000000"/>
          <w:lang w:eastAsia="es-MX"/>
        </w:rPr>
      </w:pPr>
      <w:r w:rsidRPr="0072696E">
        <w:rPr>
          <w:rFonts w:eastAsia="Calibri" w:cs="Tahoma"/>
          <w:color w:val="000000"/>
          <w:lang w:eastAsia="es-MX"/>
        </w:rPr>
        <w:t xml:space="preserve">En el presente caso, </w:t>
      </w:r>
      <w:r w:rsidRPr="0072696E">
        <w:rPr>
          <w:rFonts w:eastAsia="Calibri" w:cs="Tahoma"/>
          <w:b/>
          <w:color w:val="000000"/>
          <w:lang w:eastAsia="es-MX"/>
        </w:rPr>
        <w:t>no se actualiza ninguna de las causales de improcedencia</w:t>
      </w:r>
      <w:r w:rsidRPr="0072696E">
        <w:rPr>
          <w:rFonts w:eastAsia="Calibri"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2696E" w:rsidR="00206DE6" w:rsidP="00206DE6" w:rsidRDefault="00206DE6" w14:paraId="33D74ABF" w14:textId="77777777">
      <w:pPr>
        <w:autoSpaceDE w:val="0"/>
        <w:autoSpaceDN w:val="0"/>
        <w:adjustRightInd w:val="0"/>
        <w:spacing w:after="0" w:line="360" w:lineRule="auto"/>
        <w:contextualSpacing/>
        <w:rPr>
          <w:rFonts w:eastAsia="Calibri" w:cs="Tahoma"/>
          <w:b/>
          <w:color w:val="000000"/>
          <w:lang w:eastAsia="es-MX"/>
        </w:rPr>
      </w:pPr>
    </w:p>
    <w:p w:rsidRPr="0072696E" w:rsidR="00206DE6" w:rsidP="00206DE6" w:rsidRDefault="00206DE6" w14:paraId="655B4F29" w14:textId="6E34DDF0">
      <w:pPr>
        <w:spacing w:after="0" w:line="360" w:lineRule="auto"/>
        <w:rPr>
          <w:rFonts w:eastAsia="Times New Roman" w:cs="Tahoma"/>
          <w:bCs/>
          <w:color w:val="auto"/>
          <w:lang w:eastAsia="es-ES"/>
        </w:rPr>
      </w:pPr>
      <w:r w:rsidRPr="0072696E">
        <w:rPr>
          <w:rFonts w:eastAsia="Times New Roman" w:cs="Tahoma"/>
          <w:bCs/>
          <w:color w:val="auto"/>
          <w:lang w:eastAsia="es-ES"/>
        </w:rPr>
        <w:t>Asimismo, se actualiza la causal de procedencia del Recurso de Revisión señalada en el artículo 179, fracción V</w:t>
      </w:r>
      <w:r w:rsidRPr="0072696E" w:rsidR="00052717">
        <w:rPr>
          <w:rFonts w:eastAsia="Times New Roman" w:cs="Tahoma"/>
          <w:bCs/>
          <w:color w:val="auto"/>
          <w:lang w:eastAsia="es-ES"/>
        </w:rPr>
        <w:t>I</w:t>
      </w:r>
      <w:r w:rsidRPr="0072696E">
        <w:rPr>
          <w:rFonts w:eastAsia="Times New Roman" w:cs="Tahoma"/>
          <w:bCs/>
          <w:color w:val="auto"/>
          <w:lang w:eastAsia="es-ES"/>
        </w:rPr>
        <w:t xml:space="preserve">II, de la Ley en cita, pues el Recurrente se inconformó con </w:t>
      </w:r>
      <w:r w:rsidRPr="0072696E" w:rsidR="00052717">
        <w:rPr>
          <w:rFonts w:eastAsia="Times New Roman" w:cs="Tahoma"/>
          <w:bCs/>
          <w:color w:val="auto"/>
          <w:lang w:eastAsia="es-ES"/>
        </w:rPr>
        <w:t>la puesta a disposición de información en una modalidad distinta a la requerida.</w:t>
      </w:r>
    </w:p>
    <w:p w:rsidRPr="0072696E" w:rsidR="00206DE6" w:rsidP="00206DE6" w:rsidRDefault="00206DE6" w14:paraId="7AF8C68F" w14:textId="2B328044">
      <w:pPr>
        <w:spacing w:after="0" w:line="360" w:lineRule="auto"/>
        <w:rPr>
          <w:rFonts w:eastAsia="Times New Roman" w:cs="Tahoma"/>
          <w:color w:val="auto"/>
          <w:lang w:val="es-ES" w:eastAsia="es-ES"/>
        </w:rPr>
      </w:pPr>
    </w:p>
    <w:p w:rsidRPr="0072696E" w:rsidR="00C75A66" w:rsidP="00206DE6" w:rsidRDefault="00C75A66" w14:paraId="4B6F7AC5" w14:textId="77777777">
      <w:pPr>
        <w:spacing w:after="0" w:line="360" w:lineRule="auto"/>
        <w:rPr>
          <w:rFonts w:eastAsia="Times New Roman" w:cs="Tahoma"/>
          <w:color w:val="auto"/>
          <w:lang w:val="es-ES" w:eastAsia="es-ES"/>
        </w:rPr>
      </w:pPr>
    </w:p>
    <w:p w:rsidRPr="0072696E" w:rsidR="00206DE6" w:rsidP="00206DE6" w:rsidRDefault="00206DE6" w14:paraId="34E66704" w14:textId="77777777">
      <w:pPr>
        <w:autoSpaceDE w:val="0"/>
        <w:autoSpaceDN w:val="0"/>
        <w:adjustRightInd w:val="0"/>
        <w:spacing w:after="0" w:line="360" w:lineRule="auto"/>
        <w:rPr>
          <w:rFonts w:eastAsia="Calibri" w:cs="Tahoma"/>
          <w:b/>
          <w:color w:val="000000"/>
          <w:lang w:eastAsia="es-MX"/>
        </w:rPr>
      </w:pPr>
      <w:r w:rsidRPr="0072696E">
        <w:rPr>
          <w:rFonts w:eastAsia="Calibri" w:cs="Tahoma"/>
          <w:b/>
          <w:color w:val="000000"/>
          <w:lang w:eastAsia="es-MX"/>
        </w:rPr>
        <w:t>TERCERO. Causales de sobreseimiento.</w:t>
      </w:r>
    </w:p>
    <w:p w:rsidRPr="0072696E" w:rsidR="00206DE6" w:rsidP="00206DE6" w:rsidRDefault="00206DE6" w14:paraId="060AE317" w14:textId="77777777">
      <w:pPr>
        <w:autoSpaceDE w:val="0"/>
        <w:autoSpaceDN w:val="0"/>
        <w:adjustRightInd w:val="0"/>
        <w:spacing w:after="0" w:line="360" w:lineRule="auto"/>
        <w:contextualSpacing/>
        <w:rPr>
          <w:rFonts w:eastAsia="Calibri" w:cs="Tahoma"/>
          <w:b/>
          <w:color w:val="000000"/>
          <w:lang w:eastAsia="es-MX"/>
        </w:rPr>
      </w:pPr>
    </w:p>
    <w:p w:rsidRPr="0072696E" w:rsidR="00206DE6" w:rsidP="00206DE6" w:rsidRDefault="00206DE6" w14:paraId="6AB6ACA4" w14:textId="77777777">
      <w:pPr>
        <w:spacing w:after="0" w:line="360" w:lineRule="auto"/>
        <w:rPr>
          <w:rFonts w:eastAsia="Times New Roman" w:cs="Tahoma"/>
          <w:color w:val="auto"/>
          <w:lang w:eastAsia="es-ES"/>
        </w:rPr>
      </w:pPr>
      <w:r w:rsidRPr="0072696E">
        <w:rPr>
          <w:rFonts w:eastAsia="Times New Roman" w:cs="Tahoma"/>
          <w:color w:val="auto"/>
          <w:lang w:eastAsia="es-ES"/>
        </w:rPr>
        <w:t>Por ser de previo y especial pronunciamiento, este Instituto analiza si se actualiza alguna causal de sobreseimiento.</w:t>
      </w:r>
    </w:p>
    <w:p w:rsidRPr="0072696E" w:rsidR="002C735A" w:rsidP="00206DE6" w:rsidRDefault="002C735A" w14:paraId="2224C885" w14:textId="77777777">
      <w:pPr>
        <w:widowControl w:val="0"/>
        <w:spacing w:after="0" w:line="360" w:lineRule="auto"/>
        <w:rPr>
          <w:rFonts w:eastAsia="Times New Roman" w:cs="Tahoma"/>
          <w:color w:val="auto"/>
          <w:lang w:eastAsia="es-ES"/>
        </w:rPr>
      </w:pPr>
    </w:p>
    <w:p w:rsidRPr="0072696E" w:rsidR="00206DE6" w:rsidP="00206DE6" w:rsidRDefault="00206DE6" w14:paraId="00F3380C" w14:textId="0DA5867B">
      <w:pPr>
        <w:widowControl w:val="0"/>
        <w:spacing w:after="0" w:line="360" w:lineRule="auto"/>
        <w:rPr>
          <w:rFonts w:eastAsia="Calibri" w:cs="Tahoma"/>
          <w:color w:val="auto"/>
          <w:lang w:eastAsia="es-ES_tradnl"/>
        </w:rPr>
      </w:pPr>
      <w:r w:rsidRPr="0072696E">
        <w:rPr>
          <w:rFonts w:eastAsia="Times New Roman" w:cs="Tahoma"/>
          <w:color w:val="auto"/>
          <w:lang w:eastAsia="es-ES"/>
        </w:rPr>
        <w:t xml:space="preserve">El artículo 192 de la </w:t>
      </w:r>
      <w:r w:rsidRPr="0072696E">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72696E">
        <w:rPr>
          <w:rFonts w:eastAsia="Calibri" w:cs="Tahoma"/>
          <w:color w:val="auto"/>
          <w:lang w:eastAsia="es-ES_tradnl"/>
        </w:rPr>
        <w:t>del análisis realizado por este Instituto, se advierte que</w:t>
      </w:r>
      <w:r w:rsidRPr="0072696E">
        <w:rPr>
          <w:rFonts w:eastAsia="Calibri" w:cs="Tahoma"/>
          <w:b/>
          <w:color w:val="auto"/>
          <w:lang w:eastAsia="es-ES_tradnl"/>
        </w:rPr>
        <w:t xml:space="preserve"> no se configuran las causales establecidas en las fracciones II, III, IV y V, </w:t>
      </w:r>
      <w:r w:rsidRPr="0072696E">
        <w:rPr>
          <w:rFonts w:eastAsia="Calibri" w:cs="Tahoma"/>
          <w:color w:val="auto"/>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rsidRPr="0072696E" w:rsidR="00206DE6" w:rsidP="00206DE6" w:rsidRDefault="00206DE6" w14:paraId="0DB9CE8C" w14:textId="77777777">
      <w:pPr>
        <w:widowControl w:val="0"/>
        <w:spacing w:after="0" w:line="360" w:lineRule="auto"/>
        <w:rPr>
          <w:rFonts w:eastAsia="Calibri" w:cs="Tahoma"/>
          <w:color w:val="auto"/>
          <w:lang w:eastAsia="es-ES_tradnl"/>
        </w:rPr>
      </w:pPr>
    </w:p>
    <w:p w:rsidRPr="0072696E" w:rsidR="00206DE6" w:rsidP="00206DE6" w:rsidRDefault="00206DE6" w14:paraId="2C358E74" w14:textId="2FF859E3">
      <w:pPr>
        <w:spacing w:after="0" w:line="360" w:lineRule="auto"/>
        <w:rPr>
          <w:rFonts w:eastAsia="Calibri" w:cs="Tahoma"/>
          <w:color w:val="auto"/>
          <w:lang w:eastAsia="es-ES_tradnl"/>
        </w:rPr>
      </w:pPr>
      <w:r w:rsidRPr="0072696E">
        <w:rPr>
          <w:rFonts w:eastAsia="Times New Roman" w:cs="Tahoma"/>
          <w:color w:val="auto"/>
          <w:lang w:eastAsia="es-ES"/>
        </w:rPr>
        <w:t xml:space="preserve">No obstante, por lo que hace a la hipótesis prevista en la fracción I, a saber, que el Solicitante se haya desistido del Medio de Impugnación, se colige en el ahora Recurrente, se desistió expresamente de los Recursos de Revisión, a través del Sistema de Acceso a la Información Mexiquense (SAIMEX), el </w:t>
      </w:r>
      <w:r w:rsidRPr="0072696E" w:rsidR="002C735A">
        <w:rPr>
          <w:rFonts w:eastAsia="Times New Roman" w:cs="Tahoma"/>
          <w:color w:val="auto"/>
          <w:lang w:eastAsia="es-ES"/>
        </w:rPr>
        <w:t>veintiuno de julio</w:t>
      </w:r>
      <w:r w:rsidRPr="0072696E">
        <w:rPr>
          <w:rFonts w:eastAsia="Times New Roman" w:cs="Tahoma"/>
          <w:color w:val="auto"/>
          <w:lang w:eastAsia="es-ES"/>
        </w:rPr>
        <w:t xml:space="preserve"> de dos mil veintidós,</w:t>
      </w:r>
      <w:r w:rsidRPr="0072696E">
        <w:rPr>
          <w:rFonts w:eastAsia="Calibri" w:cs="Tahoma"/>
          <w:color w:val="auto"/>
          <w:lang w:eastAsia="es-ES_tradnl"/>
        </w:rPr>
        <w:t xml:space="preserve"> como se observa a continuación:</w:t>
      </w:r>
    </w:p>
    <w:p w:rsidRPr="0072696E" w:rsidR="00206DE6" w:rsidP="00206DE6" w:rsidRDefault="00206DE6" w14:paraId="1DA6C2F5" w14:textId="77777777">
      <w:pPr>
        <w:spacing w:after="0" w:line="360" w:lineRule="auto"/>
        <w:rPr>
          <w:rFonts w:eastAsia="Calibri" w:cs="Tahoma"/>
          <w:color w:val="auto"/>
          <w:lang w:eastAsia="es-ES_tradnl"/>
        </w:rPr>
      </w:pPr>
    </w:p>
    <w:p w:rsidRPr="0072696E" w:rsidR="00206DE6" w:rsidP="00206DE6" w:rsidRDefault="002C735A" w14:paraId="219205CA" w14:textId="5D0B4320">
      <w:pPr>
        <w:spacing w:after="0" w:line="360" w:lineRule="auto"/>
        <w:contextualSpacing/>
        <w:jc w:val="center"/>
        <w:rPr>
          <w:rFonts w:eastAsia="Calibri" w:cs="Tahoma"/>
          <w:bCs/>
          <w:color w:val="000000"/>
          <w:lang w:eastAsia="es-ES_tradnl"/>
        </w:rPr>
      </w:pPr>
      <w:r w:rsidRPr="0072696E">
        <w:rPr>
          <w:rFonts w:eastAsia="Calibri" w:cs="Tahoma"/>
          <w:bCs/>
          <w:noProof/>
          <w:color w:val="000000"/>
          <w:lang w:eastAsia="es-ES_tradnl"/>
        </w:rPr>
        <w:drawing>
          <wp:inline distT="0" distB="0" distL="0" distR="0" wp14:anchorId="71758D71" wp14:editId="00B45A38">
            <wp:extent cx="2699307" cy="1885950"/>
            <wp:effectExtent l="0" t="0" r="635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8"/>
                    <a:srcRect t="-1" b="44918"/>
                    <a:stretch/>
                  </pic:blipFill>
                  <pic:spPr bwMode="auto">
                    <a:xfrm>
                      <a:off x="0" y="0"/>
                      <a:ext cx="2700000" cy="1886434"/>
                    </a:xfrm>
                    <a:prstGeom prst="rect">
                      <a:avLst/>
                    </a:prstGeom>
                    <a:ln>
                      <a:noFill/>
                    </a:ln>
                    <a:extLst>
                      <a:ext uri="{53640926-AAD7-44D8-BBD7-CCE9431645EC}">
                        <a14:shadowObscured xmlns:a14="http://schemas.microsoft.com/office/drawing/2010/main"/>
                      </a:ext>
                    </a:extLst>
                  </pic:spPr>
                </pic:pic>
              </a:graphicData>
            </a:graphic>
          </wp:inline>
        </w:drawing>
      </w:r>
    </w:p>
    <w:p w:rsidRPr="0072696E" w:rsidR="00C75A66" w:rsidP="00206DE6" w:rsidRDefault="00C75A66" w14:paraId="141B1BA3" w14:textId="77777777">
      <w:pPr>
        <w:spacing w:after="0" w:line="360" w:lineRule="auto"/>
        <w:contextualSpacing/>
        <w:jc w:val="center"/>
        <w:rPr>
          <w:rFonts w:eastAsia="Calibri" w:cs="Tahoma"/>
          <w:bCs/>
          <w:color w:val="000000"/>
          <w:lang w:eastAsia="es-ES_tradnl"/>
        </w:rPr>
      </w:pPr>
    </w:p>
    <w:p w:rsidRPr="0072696E" w:rsidR="00C75A66" w:rsidP="00206DE6" w:rsidRDefault="00C75A66" w14:paraId="15ED1321" w14:textId="451B0D8B">
      <w:pPr>
        <w:spacing w:after="0" w:line="360" w:lineRule="auto"/>
        <w:contextualSpacing/>
        <w:jc w:val="center"/>
        <w:rPr>
          <w:rFonts w:eastAsia="Calibri" w:cs="Tahoma"/>
          <w:bCs/>
          <w:color w:val="000000"/>
          <w:lang w:eastAsia="es-ES_tradnl"/>
        </w:rPr>
      </w:pPr>
      <w:r w:rsidRPr="0072696E">
        <w:rPr>
          <w:rFonts w:eastAsia="Calibri" w:cs="Tahoma"/>
          <w:bCs/>
          <w:noProof/>
          <w:color w:val="000000"/>
          <w:lang w:eastAsia="es-ES_tradnl"/>
        </w:rPr>
        <w:drawing>
          <wp:inline distT="0" distB="0" distL="0" distR="0" wp14:anchorId="7E1E95A3" wp14:editId="17C75A69">
            <wp:extent cx="2699385" cy="1533413"/>
            <wp:effectExtent l="0" t="0" r="5715"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8"/>
                    <a:srcRect t="55214"/>
                    <a:stretch/>
                  </pic:blipFill>
                  <pic:spPr bwMode="auto">
                    <a:xfrm>
                      <a:off x="0" y="0"/>
                      <a:ext cx="2700000" cy="1533762"/>
                    </a:xfrm>
                    <a:prstGeom prst="rect">
                      <a:avLst/>
                    </a:prstGeom>
                    <a:ln>
                      <a:noFill/>
                    </a:ln>
                    <a:extLst>
                      <a:ext uri="{53640926-AAD7-44D8-BBD7-CCE9431645EC}">
                        <a14:shadowObscured xmlns:a14="http://schemas.microsoft.com/office/drawing/2010/main"/>
                      </a:ext>
                    </a:extLst>
                  </pic:spPr>
                </pic:pic>
              </a:graphicData>
            </a:graphic>
          </wp:inline>
        </w:drawing>
      </w:r>
    </w:p>
    <w:p w:rsidRPr="0072696E" w:rsidR="00C75A66" w:rsidP="00206DE6" w:rsidRDefault="00C75A66" w14:paraId="39E36829" w14:textId="77777777">
      <w:pPr>
        <w:spacing w:after="0" w:line="360" w:lineRule="auto"/>
        <w:contextualSpacing/>
        <w:jc w:val="center"/>
        <w:rPr>
          <w:rFonts w:eastAsia="Calibri" w:cs="Tahoma"/>
          <w:bCs/>
          <w:color w:val="000000"/>
          <w:lang w:eastAsia="es-ES_tradnl"/>
        </w:rPr>
      </w:pPr>
    </w:p>
    <w:p w:rsidRPr="0072696E" w:rsidR="007B4D21" w:rsidP="00206DE6" w:rsidRDefault="002C735A" w14:paraId="4CB5C5D1" w14:textId="37A8AC7C">
      <w:pPr>
        <w:spacing w:after="0" w:line="360" w:lineRule="auto"/>
        <w:contextualSpacing/>
        <w:jc w:val="center"/>
        <w:rPr>
          <w:noProof/>
        </w:rPr>
      </w:pPr>
      <w:r w:rsidRPr="0072696E">
        <w:rPr>
          <w:noProof/>
        </w:rPr>
        <w:drawing>
          <wp:inline distT="0" distB="0" distL="0" distR="0" wp14:anchorId="5CEDEBB5" wp14:editId="340D5CAF">
            <wp:extent cx="2700000" cy="3731025"/>
            <wp:effectExtent l="0" t="0" r="5715" b="3175"/>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9"/>
                    <a:stretch>
                      <a:fillRect/>
                    </a:stretch>
                  </pic:blipFill>
                  <pic:spPr>
                    <a:xfrm>
                      <a:off x="0" y="0"/>
                      <a:ext cx="2700000" cy="3731025"/>
                    </a:xfrm>
                    <a:prstGeom prst="rect">
                      <a:avLst/>
                    </a:prstGeom>
                  </pic:spPr>
                </pic:pic>
              </a:graphicData>
            </a:graphic>
          </wp:inline>
        </w:drawing>
      </w:r>
    </w:p>
    <w:p w:rsidRPr="0072696E" w:rsidR="00206DE6" w:rsidP="00206DE6" w:rsidRDefault="00206DE6" w14:paraId="3F179CD9" w14:textId="142CCE5E">
      <w:pPr>
        <w:spacing w:after="0" w:line="360" w:lineRule="auto"/>
        <w:contextualSpacing/>
        <w:jc w:val="center"/>
        <w:rPr>
          <w:rFonts w:eastAsia="Calibri" w:cs="Tahoma"/>
          <w:bCs/>
          <w:color w:val="000000"/>
          <w:lang w:eastAsia="es-ES_tradnl"/>
        </w:rPr>
      </w:pPr>
    </w:p>
    <w:p w:rsidRPr="0072696E" w:rsidR="00206DE6" w:rsidP="00206DE6" w:rsidRDefault="00206DE6" w14:paraId="07E90C2C" w14:textId="28361D14">
      <w:pPr>
        <w:spacing w:after="0" w:line="360" w:lineRule="auto"/>
        <w:contextualSpacing/>
        <w:rPr>
          <w:rFonts w:eastAsia="Calibri" w:cs="Tahoma"/>
          <w:bCs/>
          <w:color w:val="000000"/>
          <w:lang w:eastAsia="es-ES_tradnl"/>
        </w:rPr>
      </w:pPr>
      <w:r w:rsidRPr="0072696E">
        <w:rPr>
          <w:rFonts w:eastAsia="Calibri" w:cs="Tahoma"/>
          <w:bCs/>
          <w:color w:val="000000"/>
          <w:lang w:eastAsia="es-ES_tradnl"/>
        </w:rPr>
        <w:t>En ese orden de ideas y conforme a las constancias que integran el expediente electrónico de</w:t>
      </w:r>
      <w:r w:rsidRPr="0072696E" w:rsidR="00052717">
        <w:rPr>
          <w:rFonts w:eastAsia="Calibri" w:cs="Tahoma"/>
          <w:bCs/>
          <w:color w:val="000000"/>
          <w:lang w:eastAsia="es-ES_tradnl"/>
        </w:rPr>
        <w:t xml:space="preserve"> </w:t>
      </w:r>
      <w:r w:rsidRPr="0072696E">
        <w:rPr>
          <w:rFonts w:eastAsia="Calibri" w:cs="Tahoma"/>
          <w:bCs/>
          <w:color w:val="000000"/>
          <w:lang w:eastAsia="es-ES_tradnl"/>
        </w:rPr>
        <w:t>l</w:t>
      </w:r>
      <w:r w:rsidRPr="0072696E" w:rsidR="00052717">
        <w:rPr>
          <w:rFonts w:eastAsia="Calibri" w:cs="Tahoma"/>
          <w:bCs/>
          <w:color w:val="000000"/>
          <w:lang w:eastAsia="es-ES_tradnl"/>
        </w:rPr>
        <w:t>os</w:t>
      </w:r>
      <w:r w:rsidRPr="0072696E">
        <w:rPr>
          <w:rFonts w:eastAsia="Calibri" w:cs="Tahoma"/>
          <w:bCs/>
          <w:color w:val="000000"/>
          <w:lang w:eastAsia="es-ES_tradnl"/>
        </w:rPr>
        <w:t xml:space="preserve"> Medio</w:t>
      </w:r>
      <w:r w:rsidRPr="0072696E" w:rsidR="00052717">
        <w:rPr>
          <w:rFonts w:eastAsia="Calibri" w:cs="Tahoma"/>
          <w:bCs/>
          <w:color w:val="000000"/>
          <w:lang w:eastAsia="es-ES_tradnl"/>
        </w:rPr>
        <w:t>s</w:t>
      </w:r>
      <w:r w:rsidRPr="0072696E">
        <w:rPr>
          <w:rFonts w:eastAsia="Calibri" w:cs="Tahoma"/>
          <w:bCs/>
          <w:color w:val="000000"/>
          <w:lang w:eastAsia="es-ES_tradnl"/>
        </w:rPr>
        <w:t xml:space="preserve"> de Impugnación, se aprecia que el Recurrente se desistió de los Recursos de Revisión a través del siguiente motivo o razón </w:t>
      </w:r>
      <w:r w:rsidRPr="0072696E">
        <w:rPr>
          <w:rFonts w:eastAsia="Calibri" w:cs="Tahoma"/>
          <w:bCs/>
          <w:i/>
          <w:color w:val="000000"/>
          <w:lang w:eastAsia="es-ES_tradnl"/>
        </w:rPr>
        <w:t>“</w:t>
      </w:r>
      <w:r w:rsidRPr="0072696E" w:rsidR="002C735A">
        <w:rPr>
          <w:rFonts w:eastAsia="Calibri" w:cs="Tahoma"/>
          <w:bCs/>
          <w:i/>
          <w:color w:val="000000"/>
          <w:lang w:eastAsia="es-ES_tradnl"/>
        </w:rPr>
        <w:t>Por así convenir a mis intereses personales</w:t>
      </w:r>
      <w:r w:rsidRPr="0072696E">
        <w:rPr>
          <w:rFonts w:eastAsia="Calibri" w:cs="Tahoma"/>
          <w:bCs/>
          <w:i/>
          <w:color w:val="000000"/>
          <w:lang w:eastAsia="es-ES_tradnl"/>
        </w:rPr>
        <w:t>”.</w:t>
      </w:r>
    </w:p>
    <w:p w:rsidRPr="0072696E" w:rsidR="00206DE6" w:rsidP="00206DE6" w:rsidRDefault="00206DE6" w14:paraId="1284B793" w14:textId="7FA98508">
      <w:pPr>
        <w:spacing w:after="0" w:line="360" w:lineRule="auto"/>
        <w:contextualSpacing/>
        <w:rPr>
          <w:rFonts w:eastAsia="Calibri" w:cs="Tahoma"/>
          <w:bCs/>
          <w:color w:val="000000"/>
          <w:lang w:eastAsia="es-ES_tradnl"/>
        </w:rPr>
      </w:pPr>
    </w:p>
    <w:p w:rsidRPr="0072696E" w:rsidR="00C75A66" w:rsidP="00206DE6" w:rsidRDefault="00C75A66" w14:paraId="25616D7B" w14:textId="25B1DEFA">
      <w:pPr>
        <w:spacing w:after="0" w:line="360" w:lineRule="auto"/>
        <w:contextualSpacing/>
        <w:rPr>
          <w:rFonts w:eastAsia="Calibri" w:cs="Tahoma"/>
          <w:bCs/>
          <w:color w:val="000000"/>
          <w:lang w:eastAsia="es-ES_tradnl"/>
        </w:rPr>
      </w:pPr>
    </w:p>
    <w:p w:rsidRPr="0072696E" w:rsidR="00C75A66" w:rsidP="00206DE6" w:rsidRDefault="00C75A66" w14:paraId="33C3E7C0" w14:textId="77777777">
      <w:pPr>
        <w:spacing w:after="0" w:line="360" w:lineRule="auto"/>
        <w:contextualSpacing/>
        <w:rPr>
          <w:rFonts w:eastAsia="Calibri" w:cs="Tahoma"/>
          <w:bCs/>
          <w:color w:val="000000"/>
          <w:lang w:eastAsia="es-ES_tradnl"/>
        </w:rPr>
      </w:pPr>
    </w:p>
    <w:p w:rsidRPr="0072696E" w:rsidR="00206DE6" w:rsidP="00206DE6" w:rsidRDefault="00206DE6" w14:paraId="08832FBD" w14:textId="62D86E1A">
      <w:pPr>
        <w:spacing w:after="0" w:line="360" w:lineRule="auto"/>
        <w:contextualSpacing/>
        <w:rPr>
          <w:rFonts w:eastAsia="Calibri" w:cs="Tahoma"/>
          <w:color w:val="auto"/>
          <w:lang w:eastAsia="es-ES_tradnl"/>
        </w:rPr>
      </w:pPr>
      <w:r w:rsidRPr="0072696E">
        <w:rPr>
          <w:rFonts w:eastAsia="Calibri" w:cs="Tahoma"/>
          <w:bCs/>
          <w:color w:val="000000"/>
          <w:lang w:eastAsia="es-ES_tradnl"/>
        </w:rPr>
        <w:t xml:space="preserve">De lo anterior, se aprecia que el Particular </w:t>
      </w:r>
      <w:r w:rsidRPr="0072696E">
        <w:rPr>
          <w:rFonts w:eastAsia="Calibri" w:cs="Tahoma"/>
          <w:b/>
          <w:bCs/>
          <w:color w:val="000000"/>
          <w:lang w:eastAsia="es-ES_tradnl"/>
        </w:rPr>
        <w:t xml:space="preserve">manifestó expresamente su voluntad de desistirse del Recurso de Revisión </w:t>
      </w:r>
      <w:r w:rsidRPr="0072696E" w:rsidR="00436781">
        <w:rPr>
          <w:rFonts w:eastAsia="Calibri" w:cs="Tahoma"/>
          <w:b/>
          <w:bCs/>
          <w:color w:val="auto"/>
        </w:rPr>
        <w:t>10301/INFOEM/IP/RR/2022 y acumulado</w:t>
      </w:r>
      <w:r w:rsidRPr="0072696E">
        <w:rPr>
          <w:rFonts w:eastAsia="Calibri" w:cs="Tahoma"/>
          <w:b/>
          <w:bCs/>
          <w:color w:val="auto"/>
        </w:rPr>
        <w:t xml:space="preserve">, </w:t>
      </w:r>
      <w:r w:rsidRPr="0072696E">
        <w:rPr>
          <w:rFonts w:eastAsia="Calibri" w:cs="Tahoma"/>
          <w:color w:val="auto"/>
          <w:lang w:eastAsia="es-ES_tradnl"/>
        </w:rPr>
        <w:t>en consecuencia, se estima que se actualiza el supuesto previsto en el artículo 192, fracción I, de la Ley de Transparencia y Acceso a la Información Pública del Estado de México y Municipios.</w:t>
      </w:r>
    </w:p>
    <w:p w:rsidRPr="0072696E" w:rsidR="00206DE6" w:rsidP="00206DE6" w:rsidRDefault="00206DE6" w14:paraId="2BCB1504" w14:textId="77777777">
      <w:pPr>
        <w:spacing w:after="0" w:line="360" w:lineRule="auto"/>
        <w:contextualSpacing/>
        <w:rPr>
          <w:rFonts w:eastAsia="Calibri" w:cs="Tahoma"/>
          <w:color w:val="auto"/>
          <w:lang w:eastAsia="es-ES_tradnl"/>
        </w:rPr>
      </w:pPr>
    </w:p>
    <w:p w:rsidRPr="0072696E" w:rsidR="00206DE6" w:rsidP="00206DE6" w:rsidRDefault="00206DE6" w14:paraId="28F20C80" w14:textId="77777777">
      <w:pPr>
        <w:spacing w:after="0" w:line="360" w:lineRule="auto"/>
        <w:rPr>
          <w:rFonts w:eastAsia="Calibri" w:cs="Tahoma"/>
          <w:color w:val="auto"/>
          <w:lang w:eastAsia="es-ES_tradnl"/>
        </w:rPr>
      </w:pPr>
      <w:r w:rsidRPr="0072696E">
        <w:rPr>
          <w:rFonts w:eastAsia="Calibri" w:cs="Tahoma"/>
          <w:color w:val="auto"/>
          <w:lang w:eastAsia="es-ES_tradnl"/>
        </w:rPr>
        <w:t>En ese tenor, resulta aplicable la Jurisprudencia número 1a./J. 65/2005, Semanario Judicial de la Federación y su Gaceta, Novena Época, Tomo XXII, julio de dos mil cinco, página ciento sesenta y uno, que establece lo siguiente:</w:t>
      </w:r>
    </w:p>
    <w:p w:rsidRPr="0072696E" w:rsidR="00206DE6" w:rsidP="00206DE6" w:rsidRDefault="00206DE6" w14:paraId="68D6605E" w14:textId="77777777">
      <w:pPr>
        <w:spacing w:after="0" w:line="360" w:lineRule="auto"/>
        <w:rPr>
          <w:rFonts w:eastAsia="Calibri" w:cs="Tahoma"/>
          <w:color w:val="auto"/>
          <w:lang w:eastAsia="es-ES_tradnl"/>
        </w:rPr>
      </w:pPr>
    </w:p>
    <w:p w:rsidRPr="0072696E" w:rsidR="00C75A66" w:rsidP="00206DE6" w:rsidRDefault="00206DE6" w14:paraId="30DBBA32" w14:textId="77777777">
      <w:pPr>
        <w:spacing w:after="0" w:line="360" w:lineRule="auto"/>
        <w:ind w:left="567" w:right="567"/>
        <w:rPr>
          <w:rFonts w:eastAsia="Calibri" w:cs="Tahoma"/>
          <w:i/>
          <w:color w:val="auto"/>
          <w:sz w:val="20"/>
          <w:szCs w:val="20"/>
          <w:lang w:val="es-ES" w:eastAsia="es-ES_tradnl"/>
        </w:rPr>
      </w:pPr>
      <w:r w:rsidRPr="0072696E">
        <w:rPr>
          <w:rFonts w:eastAsia="Calibri" w:cs="Tahoma"/>
          <w:i/>
          <w:color w:val="auto"/>
          <w:sz w:val="20"/>
          <w:szCs w:val="20"/>
          <w:lang w:val="es-ES" w:eastAsia="es-ES_tradnl"/>
        </w:rPr>
        <w:t>“</w:t>
      </w:r>
      <w:r w:rsidRPr="0072696E">
        <w:rPr>
          <w:rFonts w:eastAsia="Calibri" w:cs="Tahoma"/>
          <w:b/>
          <w:i/>
          <w:color w:val="auto"/>
          <w:sz w:val="20"/>
          <w:szCs w:val="20"/>
          <w:lang w:val="es-ES" w:eastAsia="es-ES_tradnl"/>
        </w:rPr>
        <w:t>DESISTIMIENTO DE LA INSTANCIA. SURTE EFECTOS DESDE EL MOMENTO EN QUE SE PRESENTA EL ESCRITO CORRESPONDIENTE.</w:t>
      </w:r>
      <w:r w:rsidRPr="0072696E" w:rsidR="00C75A66">
        <w:rPr>
          <w:rFonts w:eastAsia="Calibri" w:cs="Tahoma"/>
          <w:i/>
          <w:color w:val="auto"/>
          <w:sz w:val="20"/>
          <w:szCs w:val="20"/>
          <w:lang w:val="es-ES" w:eastAsia="es-ES_tradnl"/>
        </w:rPr>
        <w:t xml:space="preserve"> </w:t>
      </w:r>
    </w:p>
    <w:p w:rsidRPr="0072696E" w:rsidR="00206DE6" w:rsidP="00206DE6" w:rsidRDefault="00206DE6" w14:paraId="033BD623" w14:textId="7882E282">
      <w:pPr>
        <w:spacing w:after="0" w:line="360" w:lineRule="auto"/>
        <w:ind w:left="567" w:right="567"/>
        <w:rPr>
          <w:rFonts w:eastAsia="Calibri" w:cs="Tahoma"/>
          <w:i/>
          <w:color w:val="auto"/>
          <w:sz w:val="20"/>
          <w:szCs w:val="20"/>
          <w:lang w:val="es-ES" w:eastAsia="es-ES_tradnl"/>
        </w:rPr>
      </w:pPr>
      <w:r w:rsidRPr="0072696E">
        <w:rPr>
          <w:rFonts w:eastAsia="Calibri" w:cs="Tahoma"/>
          <w:i/>
          <w:color w:val="auto"/>
          <w:sz w:val="20"/>
          <w:szCs w:val="20"/>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Pr="0072696E" w:rsidR="00206DE6" w:rsidP="00206DE6" w:rsidRDefault="00206DE6" w14:paraId="2992A3FB" w14:textId="77777777">
      <w:pPr>
        <w:spacing w:after="0" w:line="360" w:lineRule="auto"/>
        <w:contextualSpacing/>
        <w:rPr>
          <w:rFonts w:eastAsia="Calibri" w:cs="Tahoma"/>
          <w:bCs/>
          <w:color w:val="000000"/>
          <w:lang w:eastAsia="es-ES_tradnl"/>
        </w:rPr>
      </w:pPr>
    </w:p>
    <w:p w:rsidRPr="0072696E" w:rsidR="00206DE6" w:rsidP="00206DE6" w:rsidRDefault="00206DE6" w14:paraId="79A98E8D" w14:textId="77777777">
      <w:pPr>
        <w:spacing w:after="0" w:line="360" w:lineRule="auto"/>
        <w:rPr>
          <w:rFonts w:eastAsia="Times New Roman" w:cs="Tahoma"/>
          <w:color w:val="auto"/>
          <w:lang w:eastAsia="es-ES"/>
        </w:rPr>
      </w:pPr>
      <w:r w:rsidRPr="0072696E">
        <w:rPr>
          <w:rFonts w:eastAsia="Times New Roman" w:cs="Tahoma"/>
          <w:color w:val="auto"/>
          <w:lang w:eastAsia="es-ES"/>
        </w:rPr>
        <w:lastRenderedPageBreak/>
        <w:t>Conforme a lo citado, se puede colegir que cuando el Recurrente presente un escrito de desistimiento, le hace saber a este Instituto la intención de destruir los efectos jurídicos generados con el Recurso de Revisión, situación que se traduce, al hecho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rsidRPr="0072696E" w:rsidR="00206DE6" w:rsidP="00206DE6" w:rsidRDefault="00206DE6" w14:paraId="78CEBB2B" w14:textId="77777777">
      <w:pPr>
        <w:spacing w:after="0" w:line="360" w:lineRule="auto"/>
        <w:rPr>
          <w:rFonts w:eastAsia="Calibri" w:cs="Tahoma"/>
          <w:color w:val="auto"/>
          <w:lang w:eastAsia="es-ES_tradnl"/>
        </w:rPr>
      </w:pPr>
    </w:p>
    <w:p w:rsidRPr="0072696E" w:rsidR="00206DE6" w:rsidP="00206DE6" w:rsidRDefault="00206DE6" w14:paraId="2DEF5BE1" w14:textId="77777777">
      <w:pPr>
        <w:spacing w:after="0" w:line="360" w:lineRule="auto"/>
        <w:rPr>
          <w:rFonts w:eastAsia="Times New Roman" w:cs="Tahoma"/>
          <w:b/>
          <w:bCs/>
          <w:color w:val="auto"/>
          <w:lang w:eastAsia="es-ES"/>
        </w:rPr>
      </w:pPr>
      <w:r w:rsidRPr="0072696E">
        <w:rPr>
          <w:rFonts w:eastAsia="Times New Roman" w:cs="Tahoma"/>
          <w:b/>
          <w:bCs/>
          <w:color w:val="auto"/>
          <w:lang w:eastAsia="es-ES"/>
        </w:rPr>
        <w:t>CUARTO. Decisión</w:t>
      </w:r>
    </w:p>
    <w:p w:rsidRPr="0072696E" w:rsidR="00206DE6" w:rsidP="00206DE6" w:rsidRDefault="00206DE6" w14:paraId="52A498EF" w14:textId="77777777">
      <w:pPr>
        <w:spacing w:after="0" w:line="360" w:lineRule="auto"/>
        <w:rPr>
          <w:rFonts w:eastAsia="Times New Roman" w:cs="Tahoma"/>
          <w:b/>
          <w:bCs/>
          <w:color w:val="auto"/>
          <w:lang w:eastAsia="es-ES"/>
        </w:rPr>
      </w:pPr>
    </w:p>
    <w:p w:rsidRPr="0072696E" w:rsidR="00206DE6" w:rsidP="00C75A66" w:rsidRDefault="00206DE6" w14:paraId="0F8BECA2" w14:textId="67CD6A9A">
      <w:pPr>
        <w:spacing w:after="0" w:line="360" w:lineRule="auto"/>
        <w:rPr>
          <w:rFonts w:eastAsia="Times New Roman" w:cs="Tahoma"/>
          <w:color w:val="auto"/>
          <w:lang w:eastAsia="es-ES"/>
        </w:rPr>
      </w:pPr>
      <w:r w:rsidRPr="0072696E">
        <w:rPr>
          <w:rFonts w:cs="Tahoma"/>
        </w:rPr>
        <w:t>Así, toda vez que este Instituto constató que la Recurrente se desistió por la vía idónea para realizar dicha acción, a saber, por el Sistema de Acceso a la Información Mexiquense (SAIMEX)</w:t>
      </w:r>
      <w:r w:rsidRPr="0072696E">
        <w:rPr>
          <w:rFonts w:eastAsia="Times New Roman" w:cs="Tahoma"/>
          <w:color w:val="auto"/>
          <w:lang w:eastAsia="es-ES"/>
        </w:rPr>
        <w:t xml:space="preserve">, resulta procedente </w:t>
      </w:r>
      <w:r w:rsidRPr="0072696E">
        <w:rPr>
          <w:rFonts w:eastAsia="Times New Roman" w:cs="Tahoma"/>
          <w:b/>
          <w:color w:val="auto"/>
          <w:lang w:eastAsia="es-ES"/>
        </w:rPr>
        <w:t xml:space="preserve">SOBRESEER </w:t>
      </w:r>
      <w:r w:rsidRPr="0072696E">
        <w:rPr>
          <w:rFonts w:eastAsia="Times New Roman" w:cs="Tahoma"/>
          <w:color w:val="auto"/>
          <w:lang w:eastAsia="es-ES"/>
        </w:rPr>
        <w:t xml:space="preserve">el Recurso de Revisión con número </w:t>
      </w:r>
      <w:r w:rsidRPr="0072696E" w:rsidR="00436781">
        <w:rPr>
          <w:rFonts w:eastAsia="Calibri" w:cs="Tahoma"/>
          <w:b/>
          <w:bCs/>
          <w:color w:val="auto"/>
        </w:rPr>
        <w:t>10301/INFOEM/IP/RR/2022 y acumulado</w:t>
      </w:r>
      <w:r w:rsidRPr="0072696E">
        <w:rPr>
          <w:rFonts w:eastAsia="Calibri" w:cs="Tahoma"/>
          <w:b/>
          <w:bCs/>
          <w:color w:val="auto"/>
        </w:rPr>
        <w:t xml:space="preserve">, </w:t>
      </w:r>
      <w:r w:rsidRPr="0072696E">
        <w:rPr>
          <w:rFonts w:eastAsia="Times New Roman" w:cs="Tahoma"/>
          <w:color w:val="auto"/>
          <w:lang w:eastAsia="es-ES"/>
        </w:rPr>
        <w:t>al actualizarse el supuesto previsto en el artículo 192, fracción I, de la Ley de Transparencia y Acceso a la Información Pública del Estado de México y Municipios, en relación con el 186, fracción I de ese ordenamiento legal.</w:t>
      </w:r>
    </w:p>
    <w:p w:rsidRPr="0072696E" w:rsidR="00206DE6" w:rsidP="00206DE6" w:rsidRDefault="00206DE6" w14:paraId="0601B43C" w14:textId="77777777">
      <w:pPr>
        <w:spacing w:after="0" w:line="360" w:lineRule="auto"/>
        <w:rPr>
          <w:rFonts w:cs="Tahoma"/>
          <w:lang w:val="es-ES"/>
        </w:rPr>
      </w:pPr>
    </w:p>
    <w:p w:rsidRPr="0072696E" w:rsidR="00206DE6" w:rsidP="00206DE6" w:rsidRDefault="00206DE6" w14:paraId="0A6C09D0" w14:textId="77777777">
      <w:pPr>
        <w:spacing w:after="0" w:line="360" w:lineRule="auto"/>
        <w:rPr>
          <w:rFonts w:cs="Tahoma"/>
          <w:b/>
          <w:bCs/>
          <w:iCs/>
          <w:lang w:val="es-ES"/>
        </w:rPr>
      </w:pPr>
      <w:r w:rsidRPr="0072696E">
        <w:rPr>
          <w:rFonts w:cs="Tahoma"/>
          <w:b/>
          <w:bCs/>
          <w:iCs/>
          <w:lang w:val="es-ES"/>
        </w:rPr>
        <w:t>Términos de la Resolución para conocimiento del Particular.</w:t>
      </w:r>
    </w:p>
    <w:p w:rsidRPr="0072696E" w:rsidR="00206DE6" w:rsidP="00206DE6" w:rsidRDefault="00206DE6" w14:paraId="6DC123E3" w14:textId="77777777">
      <w:pPr>
        <w:spacing w:after="0" w:line="360" w:lineRule="auto"/>
        <w:rPr>
          <w:rFonts w:cs="Tahoma"/>
          <w:b/>
          <w:iCs/>
        </w:rPr>
      </w:pPr>
    </w:p>
    <w:p w:rsidRPr="0072696E" w:rsidR="00C75A66" w:rsidP="00206DE6" w:rsidRDefault="00206DE6" w14:paraId="18960116" w14:textId="77777777">
      <w:pPr>
        <w:spacing w:after="0" w:line="360" w:lineRule="auto"/>
        <w:rPr>
          <w:rFonts w:cs="Tahoma"/>
          <w:bCs/>
          <w:iCs/>
        </w:rPr>
      </w:pPr>
      <w:r w:rsidRPr="0072696E">
        <w:rPr>
          <w:rFonts w:cs="Tahoma"/>
          <w:bCs/>
          <w:iCs/>
        </w:rPr>
        <w:t xml:space="preserve">Se le hace del conocimiento al ahora Recurrente que, en el presente caso, al desistirse del Medio de Impugnación, por haber recibido la información peticionada, se actualiza la causal de sobreseimiento, establecida en el artículo 192, fracción I, de la Ley de la materia. </w:t>
      </w:r>
    </w:p>
    <w:p w:rsidRPr="0072696E" w:rsidR="00C75A66" w:rsidP="00206DE6" w:rsidRDefault="00C75A66" w14:paraId="1EBBD1B2" w14:textId="77777777">
      <w:pPr>
        <w:spacing w:after="0" w:line="360" w:lineRule="auto"/>
        <w:rPr>
          <w:rFonts w:cs="Tahoma"/>
          <w:bCs/>
          <w:iCs/>
        </w:rPr>
      </w:pPr>
    </w:p>
    <w:p w:rsidRPr="0072696E" w:rsidR="00C75A66" w:rsidP="00C75A66" w:rsidRDefault="00C75A66" w14:paraId="4740DA07" w14:textId="7760F105">
      <w:pPr>
        <w:spacing w:line="360" w:lineRule="auto"/>
        <w:rPr>
          <w:rFonts w:eastAsia="Calibri"/>
        </w:rPr>
      </w:pPr>
      <w:r w:rsidRPr="0072696E">
        <w:rPr>
          <w:rFonts w:eastAsia="Calibri"/>
        </w:rPr>
        <w:t>Finalmente, es de precisar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72696E" w:rsidR="00206DE6" w:rsidP="00206DE6" w:rsidRDefault="00206DE6" w14:paraId="52FE66F1" w14:textId="77777777">
      <w:pPr>
        <w:spacing w:after="0" w:line="360" w:lineRule="auto"/>
        <w:rPr>
          <w:rFonts w:eastAsia="Times New Roman" w:cs="Arial"/>
          <w:bCs/>
          <w:lang w:eastAsia="es-ES"/>
        </w:rPr>
      </w:pPr>
    </w:p>
    <w:p w:rsidRPr="0072696E" w:rsidR="00206DE6" w:rsidP="00206DE6" w:rsidRDefault="00206DE6" w14:paraId="5981121F" w14:textId="77777777">
      <w:pPr>
        <w:spacing w:after="0" w:line="360" w:lineRule="auto"/>
        <w:rPr>
          <w:rFonts w:eastAsia="Times New Roman" w:cs="Arial"/>
          <w:bCs/>
          <w:lang w:eastAsia="es-ES"/>
        </w:rPr>
      </w:pPr>
      <w:r w:rsidRPr="0072696E">
        <w:rPr>
          <w:rFonts w:eastAsia="Times New Roman" w:cs="Arial"/>
          <w:bCs/>
          <w:lang w:eastAsia="es-ES"/>
        </w:rPr>
        <w:lastRenderedPageBreak/>
        <w:t>Por lo expuesto y fundado, el Pleno de este Instituto:</w:t>
      </w:r>
    </w:p>
    <w:p w:rsidRPr="0072696E" w:rsidR="00206DE6" w:rsidP="00206DE6" w:rsidRDefault="00206DE6" w14:paraId="47A12473" w14:textId="77777777">
      <w:pPr>
        <w:spacing w:after="0" w:line="360" w:lineRule="auto"/>
        <w:rPr>
          <w:rFonts w:eastAsia="Times New Roman" w:cs="Arial"/>
          <w:bCs/>
          <w:lang w:eastAsia="es-ES"/>
        </w:rPr>
      </w:pPr>
    </w:p>
    <w:p w:rsidRPr="0072696E" w:rsidR="00206DE6" w:rsidP="00206DE6" w:rsidRDefault="00206DE6" w14:paraId="0C002CEB" w14:textId="77777777">
      <w:pPr>
        <w:spacing w:after="0" w:line="360" w:lineRule="auto"/>
        <w:jc w:val="center"/>
        <w:rPr>
          <w:rFonts w:eastAsia="Times New Roman" w:cs="Arial"/>
          <w:bCs/>
          <w:lang w:eastAsia="es-ES"/>
        </w:rPr>
      </w:pPr>
      <w:r w:rsidRPr="0072696E">
        <w:rPr>
          <w:rFonts w:eastAsia="Times New Roman" w:cs="Arial"/>
          <w:b/>
          <w:bCs/>
          <w:lang w:eastAsia="es-ES"/>
        </w:rPr>
        <w:t>R E S U E L V E:</w:t>
      </w:r>
    </w:p>
    <w:p w:rsidRPr="0072696E" w:rsidR="00206DE6" w:rsidP="00206DE6" w:rsidRDefault="00206DE6" w14:paraId="7DC7DE60" w14:textId="77777777">
      <w:pPr>
        <w:spacing w:after="0" w:line="360" w:lineRule="auto"/>
        <w:rPr>
          <w:rFonts w:eastAsia="Times New Roman" w:cs="Arial"/>
          <w:bCs/>
          <w:lang w:eastAsia="es-ES"/>
        </w:rPr>
      </w:pPr>
    </w:p>
    <w:p w:rsidRPr="0072696E" w:rsidR="00206DE6" w:rsidP="001729C0" w:rsidRDefault="00206DE6" w14:paraId="77AB131D" w14:textId="3CEB30A6">
      <w:pPr>
        <w:spacing w:line="360" w:lineRule="auto"/>
        <w:ind w:left="-108"/>
        <w:rPr>
          <w:rFonts w:eastAsia="Calibri" w:cs="Tahoma"/>
          <w:color w:val="auto"/>
        </w:rPr>
      </w:pPr>
      <w:r w:rsidRPr="0072696E">
        <w:rPr>
          <w:rFonts w:eastAsia="Times New Roman" w:cs="Arial"/>
          <w:b/>
          <w:bCs/>
          <w:lang w:val="es-ES" w:eastAsia="es-ES"/>
        </w:rPr>
        <w:t xml:space="preserve">PRIMERO. </w:t>
      </w:r>
      <w:r w:rsidRPr="0072696E">
        <w:rPr>
          <w:rFonts w:eastAsia="Times New Roman" w:cs="Arial"/>
          <w:bCs/>
          <w:lang w:val="es-ES" w:eastAsia="es-ES"/>
        </w:rPr>
        <w:t xml:space="preserve">Se </w:t>
      </w:r>
      <w:r w:rsidRPr="0072696E">
        <w:rPr>
          <w:rFonts w:eastAsia="Times New Roman" w:cs="Arial"/>
          <w:b/>
          <w:bCs/>
          <w:lang w:val="es-ES" w:eastAsia="es-ES"/>
        </w:rPr>
        <w:t>SOBRESEE</w:t>
      </w:r>
      <w:r w:rsidRPr="0072696E" w:rsidR="00C75A66">
        <w:rPr>
          <w:rFonts w:eastAsia="Times New Roman" w:cs="Arial"/>
          <w:b/>
          <w:bCs/>
          <w:lang w:val="es-ES" w:eastAsia="es-ES"/>
        </w:rPr>
        <w:t>N</w:t>
      </w:r>
      <w:r w:rsidRPr="0072696E">
        <w:rPr>
          <w:rFonts w:eastAsia="Times New Roman" w:cs="Arial"/>
          <w:b/>
          <w:bCs/>
          <w:lang w:val="es-ES" w:eastAsia="es-ES"/>
        </w:rPr>
        <w:t xml:space="preserve"> </w:t>
      </w:r>
      <w:r w:rsidRPr="0072696E" w:rsidR="00C75A66">
        <w:rPr>
          <w:rFonts w:eastAsia="Times New Roman" w:cs="Arial"/>
          <w:bCs/>
          <w:lang w:val="es-ES" w:eastAsia="es-ES"/>
        </w:rPr>
        <w:t>los</w:t>
      </w:r>
      <w:r w:rsidRPr="0072696E">
        <w:rPr>
          <w:rFonts w:eastAsia="Times New Roman" w:cs="Arial"/>
          <w:bCs/>
          <w:lang w:val="es-ES" w:eastAsia="es-ES"/>
        </w:rPr>
        <w:t xml:space="preserve"> Recurso de Revisión número </w:t>
      </w:r>
      <w:r w:rsidRPr="0072696E" w:rsidR="00436781">
        <w:rPr>
          <w:rFonts w:eastAsia="Calibri" w:cs="Tahoma"/>
          <w:color w:val="auto"/>
        </w:rPr>
        <w:t xml:space="preserve">10301/INFOEM/IP/RR/2022 y </w:t>
      </w:r>
      <w:r w:rsidRPr="0072696E" w:rsidR="00C75A66">
        <w:rPr>
          <w:rFonts w:eastAsia="Calibri" w:cs="Tahoma"/>
          <w:color w:val="auto"/>
        </w:rPr>
        <w:t>10303/INFOEM/IP/RR/2022</w:t>
      </w:r>
      <w:r w:rsidRPr="0072696E">
        <w:rPr>
          <w:rFonts w:eastAsia="Times New Roman" w:cs="Arial"/>
          <w:lang w:val="es-ES" w:eastAsia="es-ES"/>
        </w:rPr>
        <w:t xml:space="preserve">, </w:t>
      </w:r>
      <w:r w:rsidRPr="0072696E" w:rsidR="00395C25">
        <w:rPr>
          <w:rFonts w:eastAsia="Times New Roman" w:cs="Arial"/>
          <w:lang w:val="es-ES" w:eastAsia="es-ES"/>
        </w:rPr>
        <w:t xml:space="preserve">interpuestos en contra del </w:t>
      </w:r>
      <w:r w:rsidRPr="0072696E" w:rsidR="00395C25">
        <w:rPr>
          <w:rFonts w:eastAsia="Calibri" w:cs="Tahoma"/>
        </w:rPr>
        <w:t>Ayuntamiento de Tenancingo</w:t>
      </w:r>
      <w:r w:rsidRPr="0072696E" w:rsidR="00395C25">
        <w:rPr>
          <w:rFonts w:eastAsia="Calibri" w:cs="Tahoma"/>
          <w:color w:val="auto"/>
        </w:rPr>
        <w:t xml:space="preserve"> </w:t>
      </w:r>
      <w:r w:rsidRPr="0072696E" w:rsidR="00C75A66">
        <w:rPr>
          <w:rFonts w:cs="Arial"/>
          <w:lang w:val="es-ES"/>
        </w:rPr>
        <w:t xml:space="preserve">en términos del artículo 192, fracción I, de la Ley de Transparencia y Acceso a la Información Pública del Estado de México y Municipios, </w:t>
      </w:r>
      <w:r w:rsidRPr="0072696E">
        <w:rPr>
          <w:rFonts w:eastAsia="Times New Roman" w:cs="Arial"/>
          <w:lang w:val="es-ES" w:eastAsia="es-ES"/>
        </w:rPr>
        <w:t>por haberse desistido expresamente el Recurrente, en términos del Considerando TERCERO y CUARTO de la presente Resolución.</w:t>
      </w:r>
    </w:p>
    <w:p w:rsidRPr="0072696E" w:rsidR="00206DE6" w:rsidP="00206DE6" w:rsidRDefault="00206DE6" w14:paraId="790944AE" w14:textId="77777777">
      <w:pPr>
        <w:spacing w:after="0" w:line="360" w:lineRule="auto"/>
        <w:rPr>
          <w:rFonts w:eastAsia="Times New Roman" w:cs="Arial"/>
          <w:bCs/>
          <w:lang w:val="es-ES" w:eastAsia="es-ES"/>
        </w:rPr>
      </w:pPr>
    </w:p>
    <w:p w:rsidRPr="0072696E" w:rsidR="00206DE6" w:rsidP="00206DE6" w:rsidRDefault="00206DE6" w14:paraId="739CBEDE" w14:textId="77777777">
      <w:pPr>
        <w:spacing w:after="0" w:line="360" w:lineRule="auto"/>
        <w:rPr>
          <w:rFonts w:eastAsia="Times New Roman" w:cs="Arial"/>
          <w:b/>
          <w:bCs/>
          <w:lang w:val="es-ES" w:eastAsia="es-ES"/>
        </w:rPr>
      </w:pPr>
      <w:r w:rsidRPr="0072696E">
        <w:rPr>
          <w:rFonts w:eastAsia="Times New Roman" w:cs="Arial"/>
          <w:b/>
          <w:bCs/>
          <w:lang w:val="es-ES" w:eastAsia="es-ES"/>
        </w:rPr>
        <w:t>SEGUNDO.</w:t>
      </w:r>
      <w:r w:rsidRPr="0072696E">
        <w:rPr>
          <w:rFonts w:eastAsia="Times New Roman" w:cs="Arial"/>
          <w:bCs/>
          <w:lang w:val="es-ES" w:eastAsia="es-ES"/>
        </w:rPr>
        <w:t xml:space="preserve"> </w:t>
      </w:r>
      <w:r w:rsidRPr="0072696E">
        <w:rPr>
          <w:rFonts w:eastAsia="Times New Roman" w:cs="Arial"/>
          <w:b/>
          <w:bCs/>
          <w:lang w:val="es-ES" w:eastAsia="es-ES"/>
        </w:rPr>
        <w:t xml:space="preserve">NOTIFÍQUESE </w:t>
      </w:r>
      <w:r w:rsidRPr="0072696E">
        <w:rPr>
          <w:rFonts w:eastAsia="Times New Roman" w:cs="Arial"/>
          <w:bCs/>
          <w:lang w:val="es-ES" w:eastAsia="es-ES"/>
        </w:rPr>
        <w:t>la presente resolución</w:t>
      </w:r>
      <w:r w:rsidRPr="0072696E">
        <w:rPr>
          <w:rFonts w:eastAsia="Times New Roman" w:cs="Arial"/>
          <w:b/>
          <w:bCs/>
          <w:lang w:val="es-ES" w:eastAsia="es-ES"/>
        </w:rPr>
        <w:t xml:space="preserve"> </w:t>
      </w:r>
      <w:r w:rsidRPr="0072696E">
        <w:rPr>
          <w:rFonts w:eastAsia="Times New Roman" w:cs="Arial"/>
          <w:bCs/>
          <w:lang w:val="es-ES" w:eastAsia="es-ES"/>
        </w:rPr>
        <w:t>al Titular de la Unidad de Transparencia del Sujeto Obligado.</w:t>
      </w:r>
    </w:p>
    <w:p w:rsidRPr="0072696E" w:rsidR="00206DE6" w:rsidP="00206DE6" w:rsidRDefault="00206DE6" w14:paraId="5F534DFF" w14:textId="77777777">
      <w:pPr>
        <w:spacing w:after="0" w:line="360" w:lineRule="auto"/>
        <w:rPr>
          <w:rFonts w:eastAsia="Times New Roman" w:cs="Arial"/>
          <w:bCs/>
          <w:lang w:val="es-ES" w:eastAsia="es-ES"/>
        </w:rPr>
      </w:pPr>
    </w:p>
    <w:p w:rsidRPr="0072696E" w:rsidR="00206DE6" w:rsidP="00206DE6" w:rsidRDefault="00206DE6" w14:paraId="19E41983" w14:textId="77777777">
      <w:pPr>
        <w:spacing w:after="0" w:line="360" w:lineRule="auto"/>
        <w:ind w:right="-93"/>
        <w:rPr>
          <w:rFonts w:eastAsia="Times New Roman" w:cs="Tahoma"/>
          <w:color w:val="auto"/>
          <w:lang w:eastAsia="es-ES"/>
        </w:rPr>
      </w:pPr>
      <w:r w:rsidRPr="0072696E">
        <w:rPr>
          <w:rFonts w:eastAsia="Times New Roman" w:cs="Arial"/>
          <w:b/>
          <w:bCs/>
          <w:lang w:val="es-ES" w:eastAsia="es-ES"/>
        </w:rPr>
        <w:t>TERCERO.</w:t>
      </w:r>
      <w:r w:rsidRPr="0072696E">
        <w:rPr>
          <w:rFonts w:eastAsia="Times New Roman" w:cs="Arial"/>
          <w:bCs/>
          <w:lang w:val="es-ES" w:eastAsia="es-ES"/>
        </w:rPr>
        <w:t xml:space="preserve"> </w:t>
      </w:r>
      <w:r w:rsidRPr="0072696E">
        <w:rPr>
          <w:rFonts w:eastAsia="Times New Roman" w:cs="Tahoma"/>
          <w:b/>
          <w:color w:val="auto"/>
          <w:lang w:eastAsia="es-ES"/>
        </w:rPr>
        <w:t>NOTIFÍQUESE</w:t>
      </w:r>
      <w:r w:rsidRPr="0072696E">
        <w:rPr>
          <w:rFonts w:eastAsia="Times New Roman" w:cs="Tahoma"/>
          <w:color w:val="auto"/>
          <w:lang w:eastAsia="es-ES"/>
        </w:rPr>
        <w:t xml:space="preserve"> al Recurrente la presente Resolución, </w:t>
      </w:r>
      <w:r w:rsidRPr="0072696E">
        <w:rPr>
          <w:rFonts w:eastAsia="Calibri" w:cs="Tahoma"/>
          <w:bCs/>
          <w:color w:val="000000"/>
          <w:lang w:val="es-ES"/>
        </w:rPr>
        <w:t>a través del Sistema de Acceso a la Información Mexiquense (SAIMEX),</w:t>
      </w:r>
      <w:r w:rsidRPr="0072696E">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72696E" w:rsidR="00104C84" w:rsidP="008D7D0A" w:rsidRDefault="00104C84" w14:paraId="273C84B4" w14:textId="57BBAC41">
      <w:pPr>
        <w:spacing w:after="0" w:line="360" w:lineRule="auto"/>
        <w:ind w:right="-93"/>
        <w:rPr>
          <w:rFonts w:eastAsia="Calibri" w:cs="Tahoma"/>
          <w:bCs/>
          <w:color w:val="auto"/>
        </w:rPr>
      </w:pPr>
    </w:p>
    <w:p w:rsidR="00966CA6" w:rsidP="008D7D0A" w:rsidRDefault="007F2C33" w14:paraId="2C209EB6" w14:textId="736149DE">
      <w:pPr>
        <w:spacing w:after="0" w:line="360" w:lineRule="auto"/>
      </w:pPr>
      <w:r w:rsidRPr="0072696E">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72696E" w:rsidR="006364F0">
        <w:rPr>
          <w:rFonts w:eastAsia="Calibri" w:cs="Tahoma"/>
          <w:lang w:val="es-ES" w:eastAsia="es-ES_tradnl"/>
        </w:rPr>
        <w:t>VIGÉSIM</w:t>
      </w:r>
      <w:r w:rsidRPr="0072696E" w:rsidR="00131B17">
        <w:rPr>
          <w:rFonts w:eastAsia="Calibri" w:cs="Tahoma"/>
          <w:lang w:val="es-ES" w:eastAsia="es-ES_tradnl"/>
        </w:rPr>
        <w:t>A</w:t>
      </w:r>
      <w:r w:rsidRPr="0072696E" w:rsidR="006364F0">
        <w:rPr>
          <w:rFonts w:eastAsia="Calibri" w:cs="Tahoma"/>
          <w:lang w:val="es-ES" w:eastAsia="es-ES_tradnl"/>
        </w:rPr>
        <w:t xml:space="preserve"> </w:t>
      </w:r>
      <w:r w:rsidRPr="0072696E" w:rsidR="008714BA">
        <w:rPr>
          <w:rFonts w:eastAsia="Calibri" w:cs="Tahoma"/>
          <w:lang w:val="es-ES" w:eastAsia="es-ES_tradnl"/>
        </w:rPr>
        <w:t>OCTAVA</w:t>
      </w:r>
      <w:r w:rsidRPr="0072696E">
        <w:rPr>
          <w:rFonts w:eastAsia="Calibri" w:cs="Tahoma"/>
          <w:lang w:val="es-ES" w:eastAsia="es-ES_tradnl"/>
        </w:rPr>
        <w:t xml:space="preserve"> SESIÓN ORDINARIA, CELEBRADA EL </w:t>
      </w:r>
      <w:r w:rsidRPr="0072696E" w:rsidR="008714BA">
        <w:rPr>
          <w:rFonts w:eastAsia="Calibri" w:cs="Tahoma"/>
          <w:lang w:val="es-ES" w:eastAsia="es-ES_tradnl"/>
        </w:rPr>
        <w:t>DIEZ</w:t>
      </w:r>
      <w:r w:rsidRPr="0072696E">
        <w:rPr>
          <w:rFonts w:eastAsia="Calibri" w:cs="Tahoma"/>
          <w:lang w:val="es-ES" w:eastAsia="es-ES_tradnl"/>
        </w:rPr>
        <w:t xml:space="preserve"> DE </w:t>
      </w:r>
      <w:r w:rsidRPr="0072696E" w:rsidR="006364F0">
        <w:rPr>
          <w:rFonts w:eastAsia="Calibri" w:cs="Tahoma"/>
          <w:lang w:val="es-ES" w:eastAsia="es-ES_tradnl"/>
        </w:rPr>
        <w:t>AGOSTO</w:t>
      </w:r>
      <w:r w:rsidRPr="0072696E">
        <w:rPr>
          <w:rFonts w:eastAsia="Calibri" w:cs="Tahoma"/>
          <w:lang w:val="es-ES" w:eastAsia="es-ES_tradnl"/>
        </w:rPr>
        <w:t xml:space="preserve"> DE DOS MIL VEINTI</w:t>
      </w:r>
      <w:r w:rsidRPr="0072696E" w:rsidR="00E64AB0">
        <w:rPr>
          <w:rFonts w:eastAsia="Calibri" w:cs="Tahoma"/>
          <w:lang w:val="es-ES" w:eastAsia="es-ES_tradnl"/>
        </w:rPr>
        <w:t>DÓS</w:t>
      </w:r>
      <w:r w:rsidRPr="0072696E">
        <w:rPr>
          <w:rFonts w:eastAsia="Calibri" w:cs="Tahoma"/>
          <w:lang w:val="es-ES" w:eastAsia="es-ES_tradnl"/>
        </w:rPr>
        <w:t>, ANTE EL SECRETARIO TÉCNICO DEL PLENO, ALEXIS TAPIA RAMÍREZ</w:t>
      </w:r>
      <w:r w:rsidRPr="0072696E" w:rsidR="00110D79">
        <w:rPr>
          <w:rFonts w:eastAsia="Calibri" w:cs="Tahoma"/>
          <w:lang w:val="es-ES" w:eastAsia="es-ES_tradnl"/>
        </w:rPr>
        <w:t>.</w:t>
      </w:r>
      <w:r w:rsidR="00051642">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0013" w:rsidP="00051642" w:rsidRDefault="00660013" w14:paraId="7EDF4EED" w14:textId="77777777">
      <w:pPr>
        <w:spacing w:after="0" w:line="240" w:lineRule="auto"/>
      </w:pPr>
      <w:r>
        <w:separator/>
      </w:r>
    </w:p>
  </w:endnote>
  <w:endnote w:type="continuationSeparator" w:id="0">
    <w:p w:rsidR="00660013" w:rsidP="00051642" w:rsidRDefault="00660013" w14:paraId="5BC767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72696E"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0D3">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0D3">
              <w:rPr>
                <w:b/>
                <w:bCs/>
                <w:noProof/>
              </w:rPr>
              <w:t>12</w:t>
            </w:r>
            <w:r>
              <w:rPr>
                <w:b/>
                <w:bCs/>
                <w:sz w:val="24"/>
                <w:szCs w:val="24"/>
              </w:rPr>
              <w:fldChar w:fldCharType="end"/>
            </w:r>
          </w:p>
        </w:sdtContent>
      </w:sdt>
    </w:sdtContent>
  </w:sdt>
  <w:p w:rsidR="00881E53" w:rsidRDefault="0072696E"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0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0D3">
      <w:rPr>
        <w:b/>
        <w:bCs/>
        <w:noProof/>
      </w:rPr>
      <w:t>12</w:t>
    </w:r>
    <w:r>
      <w:rPr>
        <w:b/>
        <w:bCs/>
        <w:sz w:val="24"/>
        <w:szCs w:val="24"/>
      </w:rPr>
      <w:fldChar w:fldCharType="end"/>
    </w:r>
  </w:p>
  <w:p w:rsidR="00881E53" w:rsidRDefault="0072696E"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0013" w:rsidP="00051642" w:rsidRDefault="00660013" w14:paraId="189EB263" w14:textId="77777777">
      <w:pPr>
        <w:spacing w:after="0" w:line="240" w:lineRule="auto"/>
      </w:pPr>
      <w:r>
        <w:separator/>
      </w:r>
    </w:p>
  </w:footnote>
  <w:footnote w:type="continuationSeparator" w:id="0">
    <w:p w:rsidR="00660013" w:rsidP="00051642" w:rsidRDefault="00660013" w14:paraId="57BB5A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72696E"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252"/>
    </w:tblGrid>
    <w:tr w:rsidRPr="00E152D8" w:rsidR="00881E53" w:rsidTr="006606A5"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rsidRPr="00051642" w:rsidR="00881E53" w:rsidP="0057643D" w:rsidRDefault="00436781" w14:paraId="65B05558" w14:textId="7159D970">
          <w:pPr>
            <w:tabs>
              <w:tab w:val="right" w:pos="8838"/>
            </w:tabs>
            <w:ind w:right="-32"/>
            <w:rPr>
              <w:rFonts w:eastAsia="Calibri" w:cs="Tahoma"/>
            </w:rPr>
          </w:pPr>
          <w:r>
            <w:rPr>
              <w:rFonts w:eastAsia="Calibri" w:cs="Tahoma"/>
              <w:lang w:val="es-MX"/>
            </w:rPr>
            <w:t>10301/INFOEM/IP/RR/2022 y acumulado</w:t>
          </w:r>
        </w:p>
      </w:tc>
    </w:tr>
    <w:tr w:rsidRPr="00E152D8" w:rsidR="00881E53" w:rsidTr="006606A5"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rsidRPr="00051642" w:rsidR="00881E53" w:rsidP="0057643D" w:rsidRDefault="006364F0" w14:paraId="6C35595F" w14:textId="6B7AF084">
          <w:pPr>
            <w:tabs>
              <w:tab w:val="right" w:pos="8838"/>
            </w:tabs>
            <w:ind w:right="-32"/>
            <w:rPr>
              <w:rFonts w:eastAsia="Calibri" w:cs="Tahoma"/>
              <w:lang w:val="es-MX"/>
            </w:rPr>
          </w:pPr>
          <w:r>
            <w:rPr>
              <w:rFonts w:eastAsia="Calibri" w:cs="Tahoma"/>
              <w:lang w:val="es-MX"/>
            </w:rPr>
            <w:t>Ayuntamiento de Tenancingo</w:t>
          </w:r>
        </w:p>
      </w:tc>
    </w:tr>
    <w:tr w:rsidRPr="00E152D8" w:rsidR="00881E53" w:rsidTr="006606A5"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rsidRPr="00E152D8" w:rsidR="00881E53" w:rsidP="0057643D" w:rsidRDefault="002F3441" w14:paraId="5364FC23"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P="00881E53" w:rsidRDefault="0072696E"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4"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4113"/>
    </w:tblGrid>
    <w:tr w:rsidRPr="00E152D8" w:rsidR="00881E53" w:rsidTr="067B4947" w14:paraId="6E5B10C8" w14:textId="77777777">
      <w:trPr>
        <w:trHeight w:val="132"/>
      </w:trPr>
      <w:tc>
        <w:tcPr>
          <w:tcW w:w="2551" w:type="dxa"/>
          <w:tcMar/>
        </w:tcPr>
        <w:p w:rsidRPr="00E152D8" w:rsidR="00881E53" w:rsidP="00881E53" w:rsidRDefault="002F3441"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4113" w:type="dxa"/>
          <w:tcMar/>
        </w:tcPr>
        <w:p w:rsidRPr="00051642" w:rsidR="00881E53" w:rsidP="0057643D" w:rsidRDefault="00436781" w14:paraId="70CC72C0" w14:textId="182F9684">
          <w:pPr>
            <w:tabs>
              <w:tab w:val="right" w:pos="8838"/>
            </w:tabs>
            <w:ind w:left="-111" w:right="-32"/>
            <w:rPr>
              <w:rFonts w:eastAsia="Calibri" w:cs="Tahoma"/>
            </w:rPr>
          </w:pPr>
          <w:r>
            <w:rPr>
              <w:rFonts w:eastAsia="Calibri" w:cs="Tahoma"/>
              <w:lang w:val="es-MX"/>
            </w:rPr>
            <w:t>10301/INFOEM/IP/RR/2022 y acumulado</w:t>
          </w:r>
        </w:p>
      </w:tc>
    </w:tr>
    <w:tr w:rsidRPr="00E152D8" w:rsidR="00881E53" w:rsidTr="067B4947" w14:paraId="43CEC0C7" w14:textId="77777777">
      <w:trPr>
        <w:trHeight w:val="132"/>
      </w:trPr>
      <w:tc>
        <w:tcPr>
          <w:tcW w:w="2551" w:type="dxa"/>
          <w:tcMar/>
        </w:tcPr>
        <w:p w:rsidRPr="00E152D8" w:rsidR="00881E53" w:rsidP="00712E99" w:rsidRDefault="002F3441" w14:paraId="369FAB30" w14:textId="622B9B6C">
          <w:pPr>
            <w:tabs>
              <w:tab w:val="left" w:pos="1875"/>
            </w:tabs>
            <w:ind w:right="-105"/>
            <w:rPr>
              <w:rFonts w:eastAsia="Calibri" w:cs="Tahoma"/>
              <w:b/>
              <w:lang w:val="es-MX"/>
            </w:rPr>
          </w:pPr>
          <w:r w:rsidRPr="00E152D8">
            <w:rPr>
              <w:rFonts w:eastAsia="Calibri" w:cs="Tahoma"/>
              <w:b/>
              <w:lang w:val="es-MX"/>
            </w:rPr>
            <w:t>Recurrente</w:t>
          </w:r>
        </w:p>
      </w:tc>
      <w:tc>
        <w:tcPr>
          <w:tcW w:w="4113" w:type="dxa"/>
          <w:tcMar/>
        </w:tcPr>
        <w:p w:rsidRPr="00E152D8" w:rsidR="00881E53" w:rsidP="067B4947" w:rsidRDefault="00443D6C" w14:paraId="267724E2" w14:textId="1C712BB4">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067B4947" w:rsidR="067B4947">
            <w:rPr>
              <w:rFonts w:eastAsia="Calibri" w:cs="Tahoma"/>
              <w:highlight w:val="black"/>
              <w:lang w:val="es-MX"/>
            </w:rPr>
            <w:t>XXXXXXXXXXXXXXXXXXXXX</w:t>
          </w:r>
        </w:p>
      </w:tc>
    </w:tr>
    <w:tr w:rsidRPr="00E152D8" w:rsidR="00881E53" w:rsidTr="067B4947" w14:paraId="30C3D119" w14:textId="77777777">
      <w:trPr>
        <w:trHeight w:val="261"/>
      </w:trPr>
      <w:tc>
        <w:tcPr>
          <w:tcW w:w="255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3" w:type="dxa"/>
          <w:tcMar/>
        </w:tcPr>
        <w:p w:rsidRPr="00051642" w:rsidR="00881E53" w:rsidP="0057643D" w:rsidRDefault="006364F0" w14:paraId="6E96F863" w14:textId="069EF388">
          <w:pPr>
            <w:tabs>
              <w:tab w:val="right" w:pos="8838"/>
            </w:tabs>
            <w:ind w:left="-111" w:right="-32"/>
            <w:rPr>
              <w:rFonts w:eastAsia="Calibri" w:cs="Tahoma"/>
              <w:lang w:val="es-MX"/>
            </w:rPr>
          </w:pPr>
          <w:r>
            <w:rPr>
              <w:rFonts w:eastAsia="Calibri" w:cs="Tahoma"/>
              <w:lang w:val="es-MX"/>
            </w:rPr>
            <w:t>Ayuntamiento de Tenancingo</w:t>
          </w:r>
        </w:p>
      </w:tc>
    </w:tr>
    <w:tr w:rsidRPr="00E152D8" w:rsidR="00881E53" w:rsidTr="067B4947" w14:paraId="1C2055A9" w14:textId="77777777">
      <w:trPr>
        <w:trHeight w:val="261"/>
      </w:trPr>
      <w:tc>
        <w:tcPr>
          <w:tcW w:w="255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4113" w:type="dxa"/>
          <w:tcMar/>
        </w:tcPr>
        <w:p w:rsidRPr="00E152D8" w:rsidR="00881E53" w:rsidP="0057643D"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72696E"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28335A32"/>
    <w:multiLevelType w:val="hybridMultilevel"/>
    <w:tmpl w:val="0678AC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2CF6E37"/>
    <w:multiLevelType w:val="hybridMultilevel"/>
    <w:tmpl w:val="5DF29A3E"/>
    <w:lvl w:ilvl="0" w:tplc="6E2E429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105690023">
    <w:abstractNumId w:val="2"/>
  </w:num>
  <w:num w:numId="2" w16cid:durableId="175652221">
    <w:abstractNumId w:val="6"/>
  </w:num>
  <w:num w:numId="3" w16cid:durableId="1702632754">
    <w:abstractNumId w:val="3"/>
  </w:num>
  <w:num w:numId="4" w16cid:durableId="478884462">
    <w:abstractNumId w:val="4"/>
  </w:num>
  <w:num w:numId="5" w16cid:durableId="1622809251">
    <w:abstractNumId w:val="0"/>
  </w:num>
  <w:num w:numId="6" w16cid:durableId="582295831">
    <w:abstractNumId w:val="1"/>
  </w:num>
  <w:num w:numId="7" w16cid:durableId="1691488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3741"/>
    <w:rsid w:val="00050179"/>
    <w:rsid w:val="00051642"/>
    <w:rsid w:val="00052717"/>
    <w:rsid w:val="000E75D0"/>
    <w:rsid w:val="00104C84"/>
    <w:rsid w:val="00105647"/>
    <w:rsid w:val="00110D79"/>
    <w:rsid w:val="001275B7"/>
    <w:rsid w:val="00131B17"/>
    <w:rsid w:val="00141E35"/>
    <w:rsid w:val="00154C55"/>
    <w:rsid w:val="001729C0"/>
    <w:rsid w:val="00183086"/>
    <w:rsid w:val="001B742E"/>
    <w:rsid w:val="001C3821"/>
    <w:rsid w:val="001C5157"/>
    <w:rsid w:val="001C7154"/>
    <w:rsid w:val="001D49B5"/>
    <w:rsid w:val="0020688A"/>
    <w:rsid w:val="00206DE6"/>
    <w:rsid w:val="00211E2C"/>
    <w:rsid w:val="002302CE"/>
    <w:rsid w:val="0023114C"/>
    <w:rsid w:val="002A2C08"/>
    <w:rsid w:val="002C735A"/>
    <w:rsid w:val="002E67F1"/>
    <w:rsid w:val="002F3441"/>
    <w:rsid w:val="0031732A"/>
    <w:rsid w:val="0032417C"/>
    <w:rsid w:val="00324999"/>
    <w:rsid w:val="003341F9"/>
    <w:rsid w:val="0035133F"/>
    <w:rsid w:val="00357735"/>
    <w:rsid w:val="003614B2"/>
    <w:rsid w:val="0037319D"/>
    <w:rsid w:val="00375CC2"/>
    <w:rsid w:val="00380E10"/>
    <w:rsid w:val="00382A3B"/>
    <w:rsid w:val="00384DCB"/>
    <w:rsid w:val="00395C25"/>
    <w:rsid w:val="003A02DB"/>
    <w:rsid w:val="003A5172"/>
    <w:rsid w:val="003A6482"/>
    <w:rsid w:val="0040587A"/>
    <w:rsid w:val="004270E2"/>
    <w:rsid w:val="00436781"/>
    <w:rsid w:val="00443D6C"/>
    <w:rsid w:val="004640F3"/>
    <w:rsid w:val="004A140A"/>
    <w:rsid w:val="004B4850"/>
    <w:rsid w:val="004D10C5"/>
    <w:rsid w:val="004E442D"/>
    <w:rsid w:val="005027EC"/>
    <w:rsid w:val="00504AF0"/>
    <w:rsid w:val="0051175E"/>
    <w:rsid w:val="00516969"/>
    <w:rsid w:val="005325F4"/>
    <w:rsid w:val="005369D0"/>
    <w:rsid w:val="005441C8"/>
    <w:rsid w:val="00547EDB"/>
    <w:rsid w:val="0057643D"/>
    <w:rsid w:val="00580372"/>
    <w:rsid w:val="00580E11"/>
    <w:rsid w:val="00591549"/>
    <w:rsid w:val="005924C4"/>
    <w:rsid w:val="005E05C2"/>
    <w:rsid w:val="00600613"/>
    <w:rsid w:val="00622E6A"/>
    <w:rsid w:val="006277C5"/>
    <w:rsid w:val="006364F0"/>
    <w:rsid w:val="00660013"/>
    <w:rsid w:val="006606A5"/>
    <w:rsid w:val="006864E4"/>
    <w:rsid w:val="006B4CAC"/>
    <w:rsid w:val="006F3A96"/>
    <w:rsid w:val="0072696E"/>
    <w:rsid w:val="007871C8"/>
    <w:rsid w:val="007A1B3A"/>
    <w:rsid w:val="007B4D21"/>
    <w:rsid w:val="007E000B"/>
    <w:rsid w:val="007F211F"/>
    <w:rsid w:val="007F2C33"/>
    <w:rsid w:val="0080061B"/>
    <w:rsid w:val="00814577"/>
    <w:rsid w:val="00833D09"/>
    <w:rsid w:val="008567E8"/>
    <w:rsid w:val="008714BA"/>
    <w:rsid w:val="008758BA"/>
    <w:rsid w:val="00894D31"/>
    <w:rsid w:val="008C33D1"/>
    <w:rsid w:val="008D7D0A"/>
    <w:rsid w:val="008E2DA1"/>
    <w:rsid w:val="008E7AAB"/>
    <w:rsid w:val="0090301F"/>
    <w:rsid w:val="00906C97"/>
    <w:rsid w:val="009270EA"/>
    <w:rsid w:val="00966CA6"/>
    <w:rsid w:val="0097265A"/>
    <w:rsid w:val="009751AB"/>
    <w:rsid w:val="009C40E0"/>
    <w:rsid w:val="00A21969"/>
    <w:rsid w:val="00A45DDD"/>
    <w:rsid w:val="00A65186"/>
    <w:rsid w:val="00A97A26"/>
    <w:rsid w:val="00AA2348"/>
    <w:rsid w:val="00AB63B4"/>
    <w:rsid w:val="00AC2906"/>
    <w:rsid w:val="00AC54B3"/>
    <w:rsid w:val="00B01004"/>
    <w:rsid w:val="00B060D3"/>
    <w:rsid w:val="00B4096D"/>
    <w:rsid w:val="00B42191"/>
    <w:rsid w:val="00B54351"/>
    <w:rsid w:val="00B650E9"/>
    <w:rsid w:val="00B821D5"/>
    <w:rsid w:val="00BA2498"/>
    <w:rsid w:val="00BA48B3"/>
    <w:rsid w:val="00BB7247"/>
    <w:rsid w:val="00BB72DD"/>
    <w:rsid w:val="00BF25CB"/>
    <w:rsid w:val="00C014AD"/>
    <w:rsid w:val="00C17186"/>
    <w:rsid w:val="00C31E24"/>
    <w:rsid w:val="00C75A66"/>
    <w:rsid w:val="00C76834"/>
    <w:rsid w:val="00C949B0"/>
    <w:rsid w:val="00CE1326"/>
    <w:rsid w:val="00D4465F"/>
    <w:rsid w:val="00D679B6"/>
    <w:rsid w:val="00D903F5"/>
    <w:rsid w:val="00DA6918"/>
    <w:rsid w:val="00DB12DB"/>
    <w:rsid w:val="00DB5D3F"/>
    <w:rsid w:val="00DC77CC"/>
    <w:rsid w:val="00DD3B9A"/>
    <w:rsid w:val="00E154FA"/>
    <w:rsid w:val="00E64AB0"/>
    <w:rsid w:val="00E7170C"/>
    <w:rsid w:val="00E843DC"/>
    <w:rsid w:val="00EB68E1"/>
    <w:rsid w:val="00EE0368"/>
    <w:rsid w:val="00EE46CE"/>
    <w:rsid w:val="00EE59D5"/>
    <w:rsid w:val="00EF5DBE"/>
    <w:rsid w:val="00F026AD"/>
    <w:rsid w:val="00F144E4"/>
    <w:rsid w:val="00F5419D"/>
    <w:rsid w:val="00F90DE8"/>
    <w:rsid w:val="00FA1130"/>
    <w:rsid w:val="00FB2ACB"/>
    <w:rsid w:val="067B4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5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A65186"/>
    <w:rPr>
      <w:color w:val="0563C1" w:themeColor="hyperlink"/>
      <w:u w:val="single"/>
    </w:rPr>
  </w:style>
  <w:style w:type="character" w:styleId="Mencinsinresolver1" w:customStyle="1">
    <w:name w:val="Mención sin resolver1"/>
    <w:basedOn w:val="Fuentedeprrafopredeter"/>
    <w:uiPriority w:val="99"/>
    <w:semiHidden/>
    <w:unhideWhenUsed/>
    <w:rsid w:val="0037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87134904">
      <w:bodyDiv w:val="1"/>
      <w:marLeft w:val="0"/>
      <w:marRight w:val="0"/>
      <w:marTop w:val="0"/>
      <w:marBottom w:val="0"/>
      <w:divBdr>
        <w:top w:val="none" w:sz="0" w:space="0" w:color="auto"/>
        <w:left w:val="none" w:sz="0" w:space="0" w:color="auto"/>
        <w:bottom w:val="none" w:sz="0" w:space="0" w:color="auto"/>
        <w:right w:val="none" w:sz="0" w:space="0" w:color="auto"/>
      </w:divBdr>
    </w:div>
    <w:div w:id="72302452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29924901">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50728115">
      <w:bodyDiv w:val="1"/>
      <w:marLeft w:val="0"/>
      <w:marRight w:val="0"/>
      <w:marTop w:val="0"/>
      <w:marBottom w:val="0"/>
      <w:divBdr>
        <w:top w:val="none" w:sz="0" w:space="0" w:color="auto"/>
        <w:left w:val="none" w:sz="0" w:space="0" w:color="auto"/>
        <w:bottom w:val="none" w:sz="0" w:space="0" w:color="auto"/>
        <w:right w:val="none" w:sz="0" w:space="0" w:color="auto"/>
      </w:divBdr>
    </w:div>
    <w:div w:id="155472776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7badb814a6d04a2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9d45c7-40d0-465a-a3e9-b7fb21b6d2e0}"/>
      </w:docPartPr>
      <w:docPartBody>
        <w:p w14:paraId="1B6CCBB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C839-0570-40FA-B2AD-66C3B660B0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16</revision>
  <dcterms:created xsi:type="dcterms:W3CDTF">2022-08-01T19:08:00.0000000Z</dcterms:created>
  <dcterms:modified xsi:type="dcterms:W3CDTF">2022-09-08T03:44:45.9982254Z</dcterms:modified>
</coreProperties>
</file>