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veinticuatro de marzo del dos mil veintidós.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00559/INFOEM/IP/RR/2022;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w:t>
      </w:r>
      <w:r w:rsidR="00F52B39">
        <w:rPr>
          <w:rFonts w:ascii="Palatino Linotype" w:eastAsia="Palatino Linotype" w:hAnsi="Palatino Linotype" w:cs="Palatino Linotype"/>
          <w:b/>
        </w:rPr>
        <w:t>XXXXX XXXXX XXXXX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00007/XALATLA/IP/2022,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Xalatlaco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C25B5D" w:rsidRDefault="008B65C7">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C25B5D" w:rsidRDefault="008B65C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diez de enero de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C25B5D" w:rsidRDefault="008B65C7">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EL EXPEDIENTE DE ALUMBRADO PUBLICO,” (Sic)</w:t>
      </w:r>
    </w:p>
    <w:p w:rsidR="00C25B5D" w:rsidRDefault="00C25B5D">
      <w:pPr>
        <w:ind w:left="851" w:right="902"/>
        <w:jc w:val="both"/>
        <w:rPr>
          <w:rFonts w:ascii="Palatino Linotype" w:eastAsia="Palatino Linotype" w:hAnsi="Palatino Linotype" w:cs="Palatino Linotype"/>
          <w:i/>
          <w:color w:val="000000"/>
          <w:sz w:val="22"/>
          <w:szCs w:val="22"/>
        </w:rPr>
      </w:pPr>
    </w:p>
    <w:p w:rsidR="00C25B5D" w:rsidRDefault="008B65C7">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veintiséis de enero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C25B5D" w:rsidRDefault="008B65C7">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52B39">
        <w:rPr>
          <w:rFonts w:ascii="Palatino Linotype" w:eastAsia="Palatino Linotype" w:hAnsi="Palatino Linotype" w:cs="Palatino Linotype"/>
          <w:i/>
          <w:color w:val="000000"/>
          <w:sz w:val="22"/>
          <w:szCs w:val="22"/>
        </w:rPr>
        <w:t>XXXXXX XXXXX XXXXX</w:t>
      </w:r>
      <w:bookmarkStart w:id="0" w:name="_GoBack"/>
      <w:bookmarkEnd w:id="0"/>
      <w:r>
        <w:rPr>
          <w:rFonts w:ascii="Palatino Linotype" w:eastAsia="Palatino Linotype" w:hAnsi="Palatino Linotype" w:cs="Palatino Linotype"/>
          <w:i/>
          <w:color w:val="000000"/>
          <w:sz w:val="22"/>
          <w:szCs w:val="22"/>
        </w:rPr>
        <w:t>. LE HAGO ENTREGA DE SU RESPUESTA A SU SOLICITUD. ADJUNTO EN PDF EL EXPEDIENTE.</w:t>
      </w:r>
    </w:p>
    <w:p w:rsidR="00C25B5D" w:rsidRDefault="008B65C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C25B5D" w:rsidRDefault="008B65C7">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JAFET HOMERO ZETINA NUÑEZ” (Sic)</w:t>
      </w:r>
    </w:p>
    <w:p w:rsidR="00C25B5D" w:rsidRDefault="00C25B5D">
      <w:pPr>
        <w:spacing w:after="240" w:line="360" w:lineRule="auto"/>
        <w:jc w:val="both"/>
        <w:rPr>
          <w:rFonts w:ascii="Palatino Linotype" w:eastAsia="Palatino Linotype" w:hAnsi="Palatino Linotype" w:cs="Palatino Linotype"/>
        </w:rPr>
      </w:pP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archivos electrónicos siguientes: </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SOLICITUDES ALUMBRADO PUBLICO.pdf</w:t>
        </w:r>
      </w:hyperlink>
      <w:r>
        <w:rPr>
          <w:rFonts w:ascii="Palatino Linotype" w:eastAsia="Palatino Linotype" w:hAnsi="Palatino Linotype" w:cs="Palatino Linotype"/>
        </w:rPr>
        <w:t>”, el cual contiene diversos escritos de solicitudes para la reparación, colocación, cambio  de lámparas o luminarias de alumbrado público en diversas calles del Municipio de Xalatlaco, retiros de postes, ampliación de red eléctrica, servicio de alumbrado público y cable para lámparas, constate de 70 fojas.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dichas solicitudes en su mayoría están elaboradas por particulares, vecinos o ciudadanos que viven en el Municipio de Xalatlaco, en donde se puede apreciar los nombres, firmas, domicilios y teléfonos de particulares, lo cuales no fueron protegidos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ya que son datos personales que son considerados por esté Órgano Garante como información confidencial.</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REQUISICIONES ALUMBRADO PUBLICO.pdf</w:t>
        </w:r>
      </w:hyperlink>
      <w:r>
        <w:rPr>
          <w:rFonts w:ascii="Palatino Linotype" w:eastAsia="Palatino Linotype" w:hAnsi="Palatino Linotype" w:cs="Palatino Linotype"/>
        </w:rPr>
        <w:t xml:space="preserve">”, el cual contiene seis oficios por medio del cual la Jefatura del Alumbrado Público, requirió al Director de Administración, ambos del Ayuntamiento de Xalatlaco, material como herramientas para trabajos en el alumbrado público. Dos de los oficios se requirió al auxiliar del parque vehicular el mantenimiento de unidades que son utilizadas para la reparación de luminarias. </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0007 RESPUESTA.pdf</w:t>
        </w:r>
      </w:hyperlink>
      <w:r>
        <w:rPr>
          <w:rFonts w:ascii="Palatino Linotype" w:eastAsia="Palatino Linotype" w:hAnsi="Palatino Linotype" w:cs="Palatino Linotype"/>
        </w:rPr>
        <w:t xml:space="preserve">”, el cual contiene el oficio de requerimiento de la Unidad de Transparencia al Servidor Público Habilitado de la Dirección de Servicios Públicos, para dar contestación a la solicitud de información, así como el oficio de respuesta de este último en donde manifestó enviar en medio digital la información </w:t>
      </w:r>
      <w:r>
        <w:rPr>
          <w:rFonts w:ascii="Palatino Linotype" w:eastAsia="Palatino Linotype" w:hAnsi="Palatino Linotype" w:cs="Palatino Linotype"/>
        </w:rPr>
        <w:lastRenderedPageBreak/>
        <w:t xml:space="preserve">solicitada y el oficio por medio del cual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 respuesta otorgada por el Servidor Público Habilitado de la Dirección de Servicios Públicos.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BITACORA DE TRABAJO.pdf</w:t>
        </w:r>
      </w:hyperlink>
      <w:r>
        <w:rPr>
          <w:rFonts w:ascii="Palatino Linotype" w:eastAsia="Palatino Linotype" w:hAnsi="Palatino Linotype" w:cs="Palatino Linotype"/>
        </w:rPr>
        <w:t>”, el cual contiene cinco fojas de bitácoras de trabajos realizados en el alumbrado público del Ayuntamiento de Xalatlaco del periodo comprendido del diecisiete de diciembre del año dos mil veinte al quince de enero del año dos mil veintidós.</w:t>
      </w:r>
    </w:p>
    <w:p w:rsidR="00C25B5D" w:rsidRDefault="008B65C7">
      <w:pPr>
        <w:spacing w:before="240" w:after="240" w:line="360" w:lineRule="auto"/>
        <w:jc w:val="both"/>
        <w:rPr>
          <w:rFonts w:ascii="Palatino Linotype" w:eastAsia="Palatino Linotype" w:hAnsi="Palatino Linotype" w:cs="Palatino Linotype"/>
          <w:b/>
          <w:u w:val="single"/>
        </w:rPr>
      </w:pPr>
      <w:r>
        <w:rPr>
          <w:b/>
          <w:u w:val="single"/>
        </w:rPr>
        <w:t>-“</w:t>
      </w:r>
      <w:hyperlink r:id="rId12">
        <w:r>
          <w:rPr>
            <w:rFonts w:ascii="Palatino Linotype" w:eastAsia="Palatino Linotype" w:hAnsi="Palatino Linotype" w:cs="Palatino Linotype"/>
            <w:b/>
            <w:u w:val="single"/>
          </w:rPr>
          <w:t>CENSO ALUM PUB 2021.pdf</w:t>
        </w:r>
      </w:hyperlink>
      <w:r>
        <w:rPr>
          <w:rFonts w:ascii="Palatino Linotype" w:eastAsia="Palatino Linotype" w:hAnsi="Palatino Linotype" w:cs="Palatino Linotype"/>
          <w:b/>
          <w:u w:val="single"/>
        </w:rPr>
        <w:t xml:space="preserve">”, el cual contiene 65 fojas de censos de alumbrado público del año 2021, realizados por la Comisión Federal de Electricidad. </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tres de febrero de dos mil veintidós, a través del cual expresó lo siguiente:</w:t>
      </w:r>
    </w:p>
    <w:p w:rsidR="00C25B5D" w:rsidRDefault="008B65C7">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25B5D" w:rsidRDefault="008B65C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me dieron la informacion que se esta pidiendo, recuerden toda informacion es publica en este acto solicito al infoem el seguimiento, que me estregen la informacion de mi solicitud” (Sic)</w:t>
      </w:r>
    </w:p>
    <w:p w:rsidR="00C25B5D" w:rsidRDefault="008B65C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C25B5D" w:rsidRDefault="008B65C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me dieron la informacion que se esta pidiendo, recuerden toda informacion es publica en este acto solicito al infoem el seguimiento, que me estregen la informacion de mi solicitud” (Sic)</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00559/INFOEM/IP/RR/2022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w:t>
      </w:r>
      <w:r>
        <w:rPr>
          <w:rFonts w:ascii="Palatino Linotype" w:eastAsia="Palatino Linotype" w:hAnsi="Palatino Linotype" w:cs="Palatino Linotype"/>
        </w:rPr>
        <w:lastRenderedPageBreak/>
        <w:t xml:space="preserve">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nueve de febrero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C25B5D" w:rsidRDefault="008B65C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C25B5D" w:rsidRDefault="008B65C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rPr>
      </w:pPr>
      <w:r>
        <w:rPr>
          <w:noProof/>
          <w:lang w:val="es-MX" w:eastAsia="es-MX"/>
        </w:rPr>
        <w:drawing>
          <wp:inline distT="0" distB="0" distL="0" distR="0">
            <wp:extent cx="5626100" cy="1441450"/>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24327" t="30175" r="23851" b="47294"/>
                    <a:stretch>
                      <a:fillRect/>
                    </a:stretch>
                  </pic:blipFill>
                  <pic:spPr>
                    <a:xfrm>
                      <a:off x="0" y="0"/>
                      <a:ext cx="5626100" cy="1441450"/>
                    </a:xfrm>
                    <a:prstGeom prst="rect">
                      <a:avLst/>
                    </a:prstGeom>
                    <a:ln/>
                  </pic:spPr>
                </pic:pic>
              </a:graphicData>
            </a:graphic>
          </wp:inline>
        </w:drawing>
      </w:r>
    </w:p>
    <w:p w:rsidR="00C25B5D" w:rsidRDefault="008B65C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En fecha nueve de marzo del año dos mil veintidós, la Comisionada ponente determinó el cierre de instrucción en términos de la fracción VI del artículo 185 de la Ley de Transparencia y Acceso a la Información Pública del Estado de México y Municipios.</w:t>
      </w:r>
    </w:p>
    <w:p w:rsidR="00C25B5D" w:rsidRDefault="00C25B5D">
      <w:pPr>
        <w:spacing w:before="240" w:line="360" w:lineRule="auto"/>
        <w:jc w:val="both"/>
        <w:rPr>
          <w:rFonts w:ascii="Palatino Linotype" w:eastAsia="Palatino Linotype" w:hAnsi="Palatino Linotype" w:cs="Palatino Linotype"/>
        </w:rPr>
      </w:pPr>
    </w:p>
    <w:p w:rsidR="00C25B5D" w:rsidRDefault="008B65C7">
      <w:pPr>
        <w:numPr>
          <w:ilvl w:val="0"/>
          <w:numId w:val="1"/>
        </w:numPr>
        <w:pBdr>
          <w:top w:val="nil"/>
          <w:left w:val="nil"/>
          <w:bottom w:val="nil"/>
          <w:right w:val="nil"/>
          <w:between w:val="nil"/>
        </w:pBdr>
        <w:spacing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 O N S I D E R A N D O:</w:t>
      </w:r>
    </w:p>
    <w:p w:rsidR="00C25B5D" w:rsidRDefault="008B65C7">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veintiséis de enero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tres de febrero del mismo año, esto es al quinto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formato visible en el SAIMEX. </w:t>
      </w:r>
    </w:p>
    <w:p w:rsidR="00C25B5D" w:rsidRDefault="008B65C7">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w:t>
      </w:r>
      <w:r>
        <w:rPr>
          <w:rFonts w:ascii="Palatino Linotype" w:eastAsia="Palatino Linotype" w:hAnsi="Palatino Linotype" w:cs="Palatino Linotype"/>
        </w:rPr>
        <w:t xml:space="preserve">ucido por el recurrente en sus razones o motivos de inconformidad, de acuerdo al artículo 179, fracción V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C25B5D" w:rsidRDefault="008B65C7">
      <w:pPr>
        <w:pBdr>
          <w:top w:val="nil"/>
          <w:left w:val="nil"/>
          <w:bottom w:val="nil"/>
          <w:right w:val="nil"/>
          <w:between w:val="nil"/>
        </w:pBdr>
        <w:spacing w:before="240"/>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C25B5D" w:rsidRDefault="008B65C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C25B5D" w:rsidRDefault="008B65C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incompleta;”…(Sic)</w:t>
      </w:r>
    </w:p>
    <w:p w:rsidR="00C25B5D" w:rsidRDefault="00C25B5D">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rsidR="00C25B5D" w:rsidRDefault="008B65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Con base en las constancias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 pública.</w:t>
      </w:r>
    </w:p>
    <w:p w:rsidR="00C25B5D" w:rsidRDefault="008B65C7">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color w:val="000000"/>
        </w:rPr>
        <w:t xml:space="preserve">Del análisis de la solicitud de información pública que motivó el recurso de revisión que ahora se resuelve, se advierte que el particular solicitó al </w:t>
      </w:r>
      <w:r>
        <w:rPr>
          <w:rFonts w:ascii="Palatino Linotype" w:eastAsia="Palatino Linotype" w:hAnsi="Palatino Linotype" w:cs="Palatino Linotype"/>
          <w:b/>
        </w:rPr>
        <w:t>Ayuntamiento de Xalatlaco</w:t>
      </w:r>
      <w:r>
        <w:rPr>
          <w:rFonts w:ascii="Palatino Linotype" w:eastAsia="Palatino Linotype" w:hAnsi="Palatino Linotype" w:cs="Palatino Linotype"/>
          <w:color w:val="000000"/>
        </w:rPr>
        <w:t>, lo siguiente:</w:t>
      </w:r>
    </w:p>
    <w:p w:rsidR="00C25B5D" w:rsidRDefault="008B65C7">
      <w:pPr>
        <w:numPr>
          <w:ilvl w:val="0"/>
          <w:numId w:val="2"/>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Expediente de Alumbrado Público.</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archivos electrónicos siguientes: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SOLICITUDES ALUMBRADO PUBLICO.pdf</w:t>
        </w:r>
      </w:hyperlink>
      <w:r>
        <w:rPr>
          <w:rFonts w:ascii="Palatino Linotype" w:eastAsia="Palatino Linotype" w:hAnsi="Palatino Linotype" w:cs="Palatino Linotype"/>
        </w:rPr>
        <w:t>”, el cual contiene diversos escritos de solicitudes para la reparación, colocación, cambio  de lámparas o luminarias de alumbrado público en diversas calles del Municipio de Xalatlaco, retiros de postes, ampliación de red eléctrica, servicio de alumbrado público y cable para lámparas, constate de 70 fojas.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dichas solicitudes en su mayoría están elaboradas por particulares, vecinos o ciudadanos que viven en el Municipio de Xalatlaco, en donde se puede apreciar los nombres, firmas, domicilios y teléfonos de particulares, lo cuales no fueron protegidos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ya que son datos personales que son considerados por esté Órgano Garante como información confidencial.</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REQUISICIONES ALUMBRADO PUBLICO.pdf</w:t>
        </w:r>
      </w:hyperlink>
      <w:r>
        <w:rPr>
          <w:rFonts w:ascii="Palatino Linotype" w:eastAsia="Palatino Linotype" w:hAnsi="Palatino Linotype" w:cs="Palatino Linotype"/>
        </w:rPr>
        <w:t xml:space="preserve">”, el cual contiene seis oficios por medio del cual la Jefatura del Alumbrado Público, requirió al Director de Administración, ambos del Ayuntamiento de Xalatlaco, material como herramientas para trabajos en el alumbrado público. Dos de los oficios se requirió al auxiliar del parque vehicular el mantenimiento de unidades que son utilizadas para la reparación de luminarias. </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6">
        <w:r>
          <w:rPr>
            <w:rFonts w:ascii="Palatino Linotype" w:eastAsia="Palatino Linotype" w:hAnsi="Palatino Linotype" w:cs="Palatino Linotype"/>
          </w:rPr>
          <w:t>0007 RESPUESTA.pdf</w:t>
        </w:r>
      </w:hyperlink>
      <w:r>
        <w:rPr>
          <w:rFonts w:ascii="Palatino Linotype" w:eastAsia="Palatino Linotype" w:hAnsi="Palatino Linotype" w:cs="Palatino Linotype"/>
        </w:rPr>
        <w:t xml:space="preserve">”, el cual contiene el oficio de requerimiento de la Unidad de Transparencia al Servidor Público Habilitado de la Dirección de Servicios Públicos, para dar contestación a la solicitud de información, así como el oficio de respuesta de este último en donde manifestó enviar en medio digital la información solicitada y el oficio por medio del cual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notificó al particular la respuesta otorgada por el Servidor Público Habilitado de la Dirección de Servicios Públicos.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7">
        <w:r>
          <w:rPr>
            <w:rFonts w:ascii="Palatino Linotype" w:eastAsia="Palatino Linotype" w:hAnsi="Palatino Linotype" w:cs="Palatino Linotype"/>
          </w:rPr>
          <w:t>BITACORA DE TRABAJO.pdf</w:t>
        </w:r>
      </w:hyperlink>
      <w:r>
        <w:rPr>
          <w:rFonts w:ascii="Palatino Linotype" w:eastAsia="Palatino Linotype" w:hAnsi="Palatino Linotype" w:cs="Palatino Linotype"/>
        </w:rPr>
        <w:t>”, el cual contiene cinco fojas de bitácoras de trabajos realizados en el alumbrado público del Ayuntamiento de Xalatlaco del periodo comprendido del diecisiete de diciembre del año dos mil veinte al quince de enero del año dos mil veintidós.</w:t>
      </w:r>
    </w:p>
    <w:p w:rsidR="00C25B5D" w:rsidRDefault="008B65C7">
      <w:pPr>
        <w:spacing w:before="240" w:after="240" w:line="360" w:lineRule="auto"/>
        <w:jc w:val="both"/>
        <w:rPr>
          <w:rFonts w:ascii="Palatino Linotype" w:eastAsia="Palatino Linotype" w:hAnsi="Palatino Linotype" w:cs="Palatino Linotype"/>
          <w:b/>
          <w:u w:val="single"/>
        </w:rPr>
      </w:pPr>
      <w:r>
        <w:rPr>
          <w:b/>
          <w:u w:val="single"/>
        </w:rPr>
        <w:t>“</w:t>
      </w:r>
      <w:hyperlink r:id="rId18">
        <w:r>
          <w:rPr>
            <w:rFonts w:ascii="Palatino Linotype" w:eastAsia="Palatino Linotype" w:hAnsi="Palatino Linotype" w:cs="Palatino Linotype"/>
            <w:b/>
            <w:u w:val="single"/>
          </w:rPr>
          <w:t>CENSO ALUM PUB 2021.pdf</w:t>
        </w:r>
      </w:hyperlink>
      <w:r>
        <w:rPr>
          <w:rFonts w:ascii="Palatino Linotype" w:eastAsia="Palatino Linotype" w:hAnsi="Palatino Linotype" w:cs="Palatino Linotype"/>
          <w:b/>
          <w:u w:val="single"/>
        </w:rPr>
        <w:t xml:space="preserve">”, el cual contiene 65 fojas de censos de alumbrado público del año 2021, realizados por la Comisión Federal de Electricidad. </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dicha respuesta la solicitante se inconformó, en lo medular porque no le dieron la información que el pidió.</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rendir su informe justificado.</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todo, se debe resaltar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contar con la información solicitada por el recurrente, sino por el contrario, se presume que dicha información la posee o administra al proporcionar parte de la información solicitada, por lo que el estudio de la naturaleza jurídica de la información solicitada, en el caso concreto, se obvia.</w:t>
      </w:r>
    </w:p>
    <w:p w:rsidR="00C25B5D" w:rsidRDefault="008B65C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es así, ya que el estudio enunciado tiene por objeto determinar si el Sujeto Obligado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C25B5D" w:rsidRDefault="008B65C7">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25B5D" w:rsidRDefault="008B65C7">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25B5D" w:rsidRDefault="008B65C7">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C25B5D" w:rsidRDefault="00C25B5D">
      <w:pPr>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C25B5D" w:rsidRDefault="00C25B5D">
      <w:pPr>
        <w:spacing w:line="276" w:lineRule="auto"/>
        <w:jc w:val="both"/>
        <w:rPr>
          <w:rFonts w:ascii="Palatino Linotype" w:eastAsia="Palatino Linotype" w:hAnsi="Palatino Linotype" w:cs="Palatino Linotype"/>
        </w:rPr>
      </w:pPr>
    </w:p>
    <w:p w:rsidR="00C25B5D" w:rsidRDefault="008B65C7">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25B5D" w:rsidRDefault="00C25B5D">
      <w:pPr>
        <w:spacing w:line="276" w:lineRule="auto"/>
        <w:ind w:left="567" w:right="758"/>
        <w:jc w:val="both"/>
        <w:rPr>
          <w:rFonts w:ascii="Palatino Linotype" w:eastAsia="Palatino Linotype" w:hAnsi="Palatino Linotype" w:cs="Palatino Linotype"/>
          <w:i/>
          <w:sz w:val="22"/>
          <w:szCs w:val="22"/>
        </w:rPr>
      </w:pPr>
    </w:p>
    <w:p w:rsidR="00C25B5D" w:rsidRDefault="008B65C7">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C25B5D" w:rsidRDefault="00C25B5D">
      <w:pPr>
        <w:spacing w:line="276" w:lineRule="auto"/>
        <w:ind w:right="-93"/>
        <w:jc w:val="both"/>
        <w:rPr>
          <w:rFonts w:ascii="Palatino Linotype" w:eastAsia="Palatino Linotype" w:hAnsi="Palatino Linotype" w:cs="Palatino Linotype"/>
          <w:color w:val="000000"/>
        </w:rPr>
      </w:pPr>
    </w:p>
    <w:p w:rsidR="00C25B5D" w:rsidRDefault="008B65C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C25B5D" w:rsidRDefault="00C25B5D">
      <w:pPr>
        <w:spacing w:line="360" w:lineRule="auto"/>
        <w:ind w:right="-93"/>
        <w:jc w:val="both"/>
        <w:rPr>
          <w:rFonts w:ascii="Palatino Linotype" w:eastAsia="Palatino Linotype" w:hAnsi="Palatino Linotype" w:cs="Palatino Linotype"/>
          <w:color w:val="000000"/>
        </w:rPr>
      </w:pPr>
    </w:p>
    <w:p w:rsidR="00C25B5D" w:rsidRDefault="008B65C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C25B5D" w:rsidRDefault="008B65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25B5D" w:rsidRDefault="008B65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C25B5D" w:rsidRDefault="008B65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C25B5D" w:rsidRDefault="008B65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C25B5D" w:rsidRDefault="008B65C7">
      <w:pPr>
        <w:spacing w:before="240" w:after="240" w:line="276" w:lineRule="auto"/>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C25B5D" w:rsidRDefault="008B65C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Pr>
          <w:rFonts w:ascii="Palatino Linotype" w:eastAsia="Palatino Linotype" w:hAnsi="Palatino Linotype" w:cs="Palatino Linotype"/>
          <w:color w:val="000000"/>
        </w:rPr>
        <w:lastRenderedPageBreak/>
        <w:t>que es deber de los Sujetos Obligados, garantizar el Derecho de Acceso a la Información Pública.</w:t>
      </w:r>
    </w:p>
    <w:p w:rsidR="00C25B5D" w:rsidRDefault="008B65C7">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25B5D" w:rsidRDefault="00C25B5D">
      <w:pPr>
        <w:spacing w:after="240" w:line="360" w:lineRule="auto"/>
        <w:jc w:val="both"/>
        <w:rPr>
          <w:rFonts w:ascii="Palatino Linotype" w:eastAsia="Palatino Linotype" w:hAnsi="Palatino Linotype" w:cs="Palatino Linotype"/>
        </w:rPr>
      </w:pPr>
    </w:p>
    <w:p w:rsidR="00C25B5D" w:rsidRDefault="008B65C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25B5D" w:rsidRDefault="008B65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C25B5D" w:rsidRDefault="008B65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B5D" w:rsidRDefault="008B65C7">
      <w:pPr>
        <w:spacing w:before="240" w:after="240" w:line="276" w:lineRule="auto"/>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eastAsia="Palatino Linotype" w:hAnsi="Palatino Linotype" w:cs="Palatino Linotype"/>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25B5D" w:rsidRDefault="008B65C7">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C25B5D" w:rsidRDefault="008B65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25B5D" w:rsidRDefault="008B65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25B5D" w:rsidRDefault="008B65C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C25B5D" w:rsidRDefault="008B65C7">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C25B5D" w:rsidRDefault="008B65C7">
      <w:pPr>
        <w:spacing w:before="240" w:after="240"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C25B5D" w:rsidRDefault="008B65C7">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En virtud de lo anterior</w:t>
      </w:r>
      <w:r>
        <w:rPr>
          <w:rFonts w:ascii="Palatino Linotype" w:eastAsia="Palatino Linotype" w:hAnsi="Palatino Linotype" w:cs="Palatino Linotype"/>
        </w:rPr>
        <w:t xml:space="preserve">, se determina que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cumple parcialmente con lo establecido por los artículos 4, 12 y 24 primer párrafo Ley de Transparencia y Acceso a la Información Pública del Estado de México y Municipios, de conformidad con los puntos siguiente:</w:t>
      </w:r>
    </w:p>
    <w:p w:rsidR="00C25B5D" w:rsidRDefault="008B65C7">
      <w:pPr>
        <w:tabs>
          <w:tab w:val="left" w:pos="7088"/>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No pasa desapercibido, que el particular fue omiso en establecer la temporalidad de la información requerida; por consiguiente, se aplica la suplencia de la queja señalada en los referidos artículos 13</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rPr>
        <w:t>y 181, párrafo cuarto</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rPr>
        <w:t xml:space="preserve">de la Ley de Transparencia y Acceso a la Información Pública de la entidad, a favor del particular; por lo que considerando la fecha de ingreso de la solicitud y de los respondido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determina como periodo temporal de la información del diez de enero de dos mil veintiuno al diez de enero de dos mil veintidós, discernimiento que encuentra apoyo en el Criterio 9/13 sustentado por el entonces denominado IFAI, actualmente INAI, que dispone: </w:t>
      </w:r>
    </w:p>
    <w:p w:rsidR="00C25B5D" w:rsidRDefault="00C25B5D">
      <w:pPr>
        <w:tabs>
          <w:tab w:val="left" w:pos="7088"/>
        </w:tabs>
        <w:ind w:left="851" w:right="900"/>
        <w:jc w:val="both"/>
        <w:rPr>
          <w:rFonts w:ascii="Palatino Linotype" w:eastAsia="Palatino Linotype" w:hAnsi="Palatino Linotype" w:cs="Palatino Linotype"/>
          <w:b/>
          <w:i/>
        </w:rPr>
      </w:pPr>
    </w:p>
    <w:p w:rsidR="00C25B5D" w:rsidRDefault="008B65C7">
      <w:pPr>
        <w:tabs>
          <w:tab w:val="left" w:pos="7088"/>
        </w:tabs>
        <w:ind w:left="851" w:right="900"/>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Criterio 9/13</w:t>
      </w:r>
    </w:p>
    <w:p w:rsidR="00C25B5D" w:rsidRDefault="00C25B5D">
      <w:pPr>
        <w:tabs>
          <w:tab w:val="left" w:pos="7088"/>
        </w:tabs>
        <w:ind w:left="851" w:right="900"/>
        <w:jc w:val="both"/>
        <w:rPr>
          <w:rFonts w:ascii="Palatino Linotype" w:eastAsia="Palatino Linotype" w:hAnsi="Palatino Linotype" w:cs="Palatino Linotype"/>
          <w:i/>
          <w:color w:val="000000"/>
        </w:rPr>
      </w:pP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Periodo de búsqueda de la información, cuando no se precisa en la solicitud de información. </w:t>
      </w:r>
      <w:r>
        <w:rPr>
          <w:rFonts w:ascii="Palatino Linotype" w:eastAsia="Palatino Linotype" w:hAnsi="Palatino Linotype" w:cs="Palatino Linotype"/>
          <w:i/>
          <w:color w:val="000000"/>
        </w:rPr>
        <w:t xml:space="preserve">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 </w:t>
      </w: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Resoluciones </w:t>
      </w: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RDA 1683/12. </w:t>
      </w:r>
      <w:r>
        <w:rPr>
          <w:rFonts w:ascii="Palatino Linotype" w:eastAsia="Palatino Linotype" w:hAnsi="Palatino Linotype" w:cs="Palatino Linotype"/>
          <w:i/>
          <w:color w:val="000000"/>
        </w:rPr>
        <w:t>Interpuesto en contra del Servicio de Administración Tributaria. Comisionado Ponente Ángel Trinidad Zaldívar.</w:t>
      </w: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RDA 1518/12. </w:t>
      </w:r>
      <w:r>
        <w:rPr>
          <w:rFonts w:ascii="Palatino Linotype" w:eastAsia="Palatino Linotype" w:hAnsi="Palatino Linotype" w:cs="Palatino Linotype"/>
          <w:i/>
          <w:color w:val="000000"/>
        </w:rPr>
        <w:t>Interpuesto en contra de la Secretaría de Salud. Comisionado Ponente Ángel Trinidad Zaldívar.</w:t>
      </w: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 xml:space="preserve">RDA 1439/12. </w:t>
      </w:r>
      <w:r>
        <w:rPr>
          <w:rFonts w:ascii="Palatino Linotype" w:eastAsia="Palatino Linotype" w:hAnsi="Palatino Linotype" w:cs="Palatino Linotype"/>
          <w:i/>
          <w:color w:val="000000"/>
        </w:rPr>
        <w:t>Interpuesto en contra de la Secretaría de Educación Pública. Comisionada Ponente Sigrid Arzt Colunga.</w:t>
      </w: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RDA 1308/12. </w:t>
      </w:r>
      <w:r>
        <w:rPr>
          <w:rFonts w:ascii="Palatino Linotype" w:eastAsia="Palatino Linotype" w:hAnsi="Palatino Linotype" w:cs="Palatino Linotype"/>
          <w:i/>
          <w:color w:val="000000"/>
        </w:rPr>
        <w:t>Interpuesto en contra de la Secretaría de la Defensa Nacional. Comisionado Ponente Ángel Trinidad Zaldívar.</w:t>
      </w:r>
    </w:p>
    <w:p w:rsidR="00C25B5D" w:rsidRDefault="008B65C7">
      <w:pPr>
        <w:tabs>
          <w:tab w:val="left" w:pos="7088"/>
        </w:tabs>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2109/11. Interpuesto en contra del Instituto Mexicano del Seguro Social. Comisionada Ponente Jacqueline Peschard Mariscal” (Sic)</w:t>
      </w:r>
    </w:p>
    <w:p w:rsidR="00C25B5D" w:rsidRDefault="00C25B5D">
      <w:pPr>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de la respuesta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remitió su expediente de alumbrado del año 2021 y de una revisión en la Ley de Transparencia, Bando Municipal del Ayuntamiento de Xalatlaco de los años 2021 y 2022, Código Financiero del Estado de México y Municipios y Ley de Contratación Pública del Estado de México y Municipios,</w:t>
      </w:r>
      <w:r>
        <w:t xml:space="preserve"> </w:t>
      </w:r>
      <w:r>
        <w:rPr>
          <w:rFonts w:ascii="Palatino Linotype" w:eastAsia="Palatino Linotype" w:hAnsi="Palatino Linotype" w:cs="Palatino Linotype"/>
        </w:rPr>
        <w:t xml:space="preserve">no hay un precepto legal que contenga o determine que debe contener un expediente de alumbrado público, lo que daría por colmado el derecho de acceso a la información pública del particular; sin embargo, a consideración de este Organismo Garante de manera enunciativa mas no limitada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sobre los siguiente temas que tienen que ver con el alumbrado público y que derivan o se encuentran relacionados con la documental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a la solicitud de información, consistente en el Censo de alumbrado público del año 2021, realizados por la Comisión Federal de Electricidad. </w:t>
      </w:r>
    </w:p>
    <w:p w:rsidR="00C25B5D" w:rsidRDefault="00C25B5D">
      <w:pPr>
        <w:spacing w:line="360" w:lineRule="auto"/>
        <w:jc w:val="both"/>
        <w:rPr>
          <w:rFonts w:ascii="Palatino Linotype" w:eastAsia="Palatino Linotype" w:hAnsi="Palatino Linotype" w:cs="Palatino Linotype"/>
        </w:rPr>
      </w:pPr>
    </w:p>
    <w:p w:rsidR="00C25B5D" w:rsidRDefault="008B65C7">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“Registro Permanente de Usuario” asignado al servicio de alumbrado público, asignado tanto al servicio estimado como al servicio medido, se encuentra reconocido en el </w:t>
      </w:r>
      <w:r>
        <w:rPr>
          <w:rFonts w:ascii="Palatino Linotype" w:eastAsia="Palatino Linotype" w:hAnsi="Palatino Linotype" w:cs="Palatino Linotype"/>
          <w:b/>
        </w:rPr>
        <w:t xml:space="preserve">Acuerdo Número A/031/2016, </w:t>
      </w:r>
      <w:r>
        <w:rPr>
          <w:rFonts w:ascii="Palatino Linotype" w:eastAsia="Palatino Linotype" w:hAnsi="Palatino Linotype" w:cs="Palatino Linotype"/>
        </w:rPr>
        <w:t>como el número único de identificación que equivale al número de servicio, según se puede leer enseguida:</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mallCaps/>
          <w:color w:val="2F2F2F"/>
          <w:sz w:val="20"/>
          <w:szCs w:val="20"/>
          <w:highlight w:val="white"/>
        </w:rPr>
        <w:t>“OCTAVO. </w:t>
      </w:r>
      <w:r>
        <w:rPr>
          <w:rFonts w:ascii="Palatino Linotype" w:eastAsia="Palatino Linotype" w:hAnsi="Palatino Linotype" w:cs="Palatino Linotype"/>
          <w:i/>
          <w:color w:val="2F2F2F"/>
          <w:sz w:val="20"/>
          <w:szCs w:val="20"/>
          <w:highlight w:val="white"/>
        </w:rPr>
        <w:t xml:space="preserve">Que por su parte, la disposición Octava, fracción II, numeral 2., de las Disposiciones Administrativas detalla los datos del centro de carga a inscribir que el solicitante debe presentar a la Comisión mediante un archivo electrónico. Entre dichos </w:t>
      </w:r>
      <w:r>
        <w:rPr>
          <w:rFonts w:ascii="Palatino Linotype" w:eastAsia="Palatino Linotype" w:hAnsi="Palatino Linotype" w:cs="Palatino Linotype"/>
          <w:i/>
          <w:color w:val="2F2F2F"/>
          <w:sz w:val="20"/>
          <w:szCs w:val="20"/>
          <w:highlight w:val="white"/>
        </w:rPr>
        <w:lastRenderedPageBreak/>
        <w:t>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 (Sic)</w:t>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C25B5D" w:rsidRDefault="008B65C7">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4480899" cy="2299112"/>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480899" cy="2299112"/>
                    </a:xfrm>
                    <a:prstGeom prst="rect">
                      <a:avLst/>
                    </a:prstGeom>
                    <a:ln/>
                  </pic:spPr>
                </pic:pic>
              </a:graphicData>
            </a:graphic>
          </wp:inline>
        </w:drawing>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el Registro Permanente de Usuario (RPU o RPUs), se localiza en el “aviso de recibo”, como se observa en la siguiente captura de pantalla:</w:t>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36650" cy="201586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636650" cy="2015865"/>
                    </a:xfrm>
                    <a:prstGeom prst="rect">
                      <a:avLst/>
                    </a:prstGeom>
                    <a:ln/>
                  </pic:spPr>
                </pic:pic>
              </a:graphicData>
            </a:graphic>
          </wp:inline>
        </w:drawing>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consecuencia, resulta procedente ordenar la entrega del soporte documental, que de manera enunciativa es el aviso de recibo, en el que conste el Registro Móvil de Usuario (RMU) asignado al servicio de alumbrado público del SUJETO OBLIGADO, en el entendido que dicho registro es único para el servicio, independientemente que haya una variación entre lo estimado por el municipio y lo medido y/o facturado por la CFE.</w:t>
      </w:r>
    </w:p>
    <w:p w:rsidR="00C25B5D" w:rsidRDefault="008B65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otro orden de ideas, de la respuesta se desprende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específico de los censos se advierte que consume energía eléctrica, por ello es necesario traer lo dispuesto en la Constitución Política del Estado Libre y Soberano de México en su artículo 129, en el que se determina que los recursos económicos del Estado, de los Municipios, así como de los Organismos Autónomos, se rigen bajo los principios de eficiencia, eficacia y honradez en el ejercicio de la función pública, para cumplir los objetivos y programas a los que estén destinados. </w:t>
      </w:r>
    </w:p>
    <w:p w:rsidR="00C25B5D" w:rsidRDefault="008B65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los artículos 31 fracciones XVIII y XIX y 95 fracciones I y IV de la Ley Orgánica Municipal del Estado de México, que disponen como atribuciones de los ayuntamientos, lo siguiente:</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Artículo 31.-</w:t>
      </w:r>
      <w:r>
        <w:rPr>
          <w:rFonts w:ascii="Palatino Linotype" w:eastAsia="Palatino Linotype" w:hAnsi="Palatino Linotype" w:cs="Palatino Linotype"/>
          <w:i/>
          <w:sz w:val="20"/>
          <w:szCs w:val="20"/>
        </w:rPr>
        <w:t>Son atribuciones de los ayuntamientos:</w:t>
      </w:r>
    </w:p>
    <w:p w:rsidR="00C25B5D" w:rsidRDefault="008B65C7">
      <w:pPr>
        <w:spacing w:after="120"/>
        <w:ind w:left="1134" w:right="90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XVIII.</w:t>
      </w:r>
      <w:r>
        <w:rPr>
          <w:rFonts w:ascii="Palatino Linotype" w:eastAsia="Palatino Linotype" w:hAnsi="Palatino Linotype" w:cs="Palatino Linotype"/>
          <w:i/>
          <w:sz w:val="20"/>
          <w:szCs w:val="20"/>
        </w:rPr>
        <w:tab/>
        <w:t>Administrar su hacienda en términos de ley, y controlar a través del presidente y síndico la aplicación del presupuesto de egresos del municipio;</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XIX.</w:t>
      </w:r>
      <w:r>
        <w:rPr>
          <w:rFonts w:ascii="Palatino Linotype" w:eastAsia="Palatino Linotype" w:hAnsi="Palatino Linotype" w:cs="Palatino Linotype"/>
          <w:i/>
          <w:sz w:val="20"/>
          <w:szCs w:val="20"/>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ayuntamientos podrán promover el financiamiento de proyectos productivos de las mujeres emprendedoras.</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95</w:t>
      </w:r>
      <w:r>
        <w:rPr>
          <w:rFonts w:ascii="Palatino Linotype" w:eastAsia="Palatino Linotype" w:hAnsi="Palatino Linotype" w:cs="Palatino Linotype"/>
          <w:i/>
          <w:sz w:val="20"/>
          <w:szCs w:val="20"/>
        </w:rPr>
        <w:t xml:space="preserve">.-Son atribuciones del tesorero municipal: </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Administrar la hacienda pública municipal, de conformidad con las disposiciones legales aplicables;</w:t>
      </w:r>
    </w:p>
    <w:p w:rsidR="00C25B5D" w:rsidRDefault="008B65C7">
      <w:pPr>
        <w:spacing w:after="120"/>
        <w:ind w:left="1134" w:right="90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w:t>
      </w:r>
    </w:p>
    <w:p w:rsidR="00C25B5D" w:rsidRDefault="008B65C7">
      <w:pPr>
        <w:spacing w:after="120"/>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Llevar los registros contables, financieros y administrativos de los ingresos, egresos, e inventarios;..”(Sic)</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w:t>
      </w:r>
      <w:r>
        <w:rPr>
          <w:rFonts w:ascii="Palatino Linotype" w:eastAsia="Palatino Linotype" w:hAnsi="Palatino Linotype" w:cs="Palatino Linotype"/>
        </w:rPr>
        <w:lastRenderedPageBreak/>
        <w:t xml:space="preserve">por lo que señala que será atribución del Tesorero Municipal, el llevar los registros contables, financieros y administrativos de los ingresos, egresos e inventarios. </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su parte, en los artículos 343, 344 y 345 del Código Financiero del Estado de México y Municipios, se reconoce el sistema y las políticas que deben seguir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evaluación y contabilidad gubernamental</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en los siguientes términos:</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Artículo 343.-</w:t>
      </w:r>
      <w:r>
        <w:rPr>
          <w:rFonts w:ascii="Palatino Linotype" w:eastAsia="Palatino Linotype" w:hAnsi="Palatino Linotype" w:cs="Palatino Linotype"/>
          <w:i/>
          <w:sz w:val="20"/>
          <w:szCs w:val="2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El sistema de contabilidad sobre base acumulativa total se sustentará en los postulados básicos y el marco conceptual de la contabilidad gubernamental.</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344.-</w:t>
      </w:r>
      <w:r>
        <w:rPr>
          <w:rFonts w:ascii="Palatino Linotype" w:eastAsia="Palatino Linotype" w:hAnsi="Palatino Linotype" w:cs="Palatino Linotype"/>
          <w:i/>
          <w:sz w:val="20"/>
          <w:szCs w:val="20"/>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Tratándose de documentos de carácter histórico, se estará a lo dispuesto por la legislación de la materia. </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345.-</w:t>
      </w:r>
      <w:r>
        <w:rPr>
          <w:rFonts w:ascii="Palatino Linotype" w:eastAsia="Palatino Linotype" w:hAnsi="Palatino Linotype" w:cs="Palatino Linotype"/>
          <w:i/>
          <w:sz w:val="20"/>
          <w:szCs w:val="20"/>
        </w:rPr>
        <w:t xml:space="preserve"> Las Dependencias, Entidades Públicas y unidades administrativas deberán conservar la documentación contable del año en curso y la de ejercicios anteriores </w:t>
      </w:r>
      <w:r>
        <w:rPr>
          <w:rFonts w:ascii="Palatino Linotype" w:eastAsia="Palatino Linotype" w:hAnsi="Palatino Linotype" w:cs="Palatino Linotype"/>
          <w:i/>
          <w:sz w:val="20"/>
          <w:szCs w:val="20"/>
        </w:rPr>
        <w:lastRenderedPageBreak/>
        <w:t xml:space="preserve">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El plazo señalado en el párrafo anterior, empezará a contar a partir de la publicación en el Periódico Oficial, del decreto correspondiente."</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Para ello, las dependencias, entidades y unidades administrativas deberán registrar todas las operaciones financieras que realicen en el momento que ocurran, que para el caso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será a través del su Tesorería, documentación que se deberá de conservar del año en curso y la de los ejercicios anteriores cuyas cuentas públicas ya hayan sido revisadas y fiscalizadas.</w:t>
      </w:r>
    </w:p>
    <w:p w:rsidR="00C25B5D" w:rsidRDefault="008B65C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es cierto que el Código Financiero del Estado de México y Municipios crea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w:t>
      </w:r>
      <w:r>
        <w:rPr>
          <w:rFonts w:ascii="Palatino Linotype" w:eastAsia="Palatino Linotype" w:hAnsi="Palatino Linotype" w:cs="Palatino Linotype"/>
        </w:rPr>
        <w:lastRenderedPageBreak/>
        <w:t>para el Desarrollo Técnico de las Haciendas Públicas (INDETEC) señalan las siguientes definiciones de las palabras registro contable y registro presupuestario:</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REGISTRO CONTABLE</w:t>
      </w:r>
      <w:r>
        <w:rPr>
          <w:rFonts w:ascii="Palatino Linotype" w:eastAsia="Palatino Linotype" w:hAnsi="Palatino Linotype" w:cs="Palatino Linotype"/>
          <w:i/>
          <w:sz w:val="20"/>
          <w:szCs w:val="20"/>
        </w:rPr>
        <w:t xml:space="preserve">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Asiento que se realiza en los libros de contabilidad de las actividades relacionadas con el ingreso y egresos de un ente económico.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REGISTRO PRESUPUESTARIO</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Asiento contable de las erogaciones realizadas por las dependencias y entidades con relación a la asignación, modificación y ejercicio de los recursos presupuestarios que se les hayan autorizado."</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que como ya ha sido mencionado en la normatividad antes citada, todo registro contable y presupuestal deberá estar soportado con los documentos comprobatorios originales, como lo son las facturas, los cuales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resulta claro que las facturas o comprobantes son documentos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en el ejercicio de sus atribuciones, las cuales de manera enunciativa más no limitativa podría satisfacer el derecho del particular.</w:t>
      </w:r>
    </w:p>
    <w:p w:rsidR="00C25B5D" w:rsidRDefault="008B65C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se considera que la expresión documental en la cual podría obrar la información relacionada con el importe por concepto de alumbrado público </w:t>
      </w:r>
      <w:r>
        <w:rPr>
          <w:rFonts w:ascii="Palatino Linotype" w:eastAsia="Palatino Linotype" w:hAnsi="Palatino Linotype" w:cs="Palatino Linotype"/>
        </w:rPr>
        <w:lastRenderedPageBreak/>
        <w:t>facturado por la Comisión Federal de Electricidad o CFE resultaría el denominado: Aviso-Recibo</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atento a la siguiente captura de pantalla: </w:t>
      </w:r>
    </w:p>
    <w:p w:rsidR="00C25B5D" w:rsidRDefault="008B65C7">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4848225" cy="4067175"/>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848225" cy="4067175"/>
                    </a:xfrm>
                    <a:prstGeom prst="rect">
                      <a:avLst/>
                    </a:prstGeom>
                    <a:ln/>
                  </pic:spPr>
                </pic:pic>
              </a:graphicData>
            </a:graphic>
          </wp:inline>
        </w:drawing>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imagen anterior se aprecia, que el aviso recibo es expedido por la Comisión Federal de Electricidad (CFE), por concepto de pago del servicio de luz, mismo que contiene los siguientes datos: datos generales, cálculo de consumo bimestral, periodo de facturación, medición del consumo, detalle de facturación, avisos importantes y talón de caja.</w:t>
      </w:r>
    </w:p>
    <w:p w:rsidR="00C25B5D" w:rsidRDefault="008B65C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contar con  las partidas presupuestales que se utilizaron y montos que se erogaron para el mantenimiento del sistema de </w:t>
      </w:r>
      <w:r>
        <w:rPr>
          <w:rFonts w:ascii="Palatino Linotype" w:eastAsia="Palatino Linotype" w:hAnsi="Palatino Linotype" w:cs="Palatino Linotype"/>
        </w:rPr>
        <w:lastRenderedPageBreak/>
        <w:t>alumbrado público en el Municipio de Xalatlaco, como se advierte en las bitácoras de trabajos remitidas en respuestas y para cubrir las facturas por concepto de consumo de energía eléctrica en el sistema de alumbrado público; al respecto, tenemos que el presupuesto es definido en el Código Financiero del Estado de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el Manual Único de Contabilidad Gubernamental para las Dependencias y Entidades Públicas del Gobierno y Municipios del Estado de México para el año 2021, 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así, como el Clasificador por objeto de gasto del año 2021, establece la partida y el concepto del tema que nos ocupa, de la siguiente manera:</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“3000 SERVICIOS GENERALES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3100 SERVICIOS BÁSICOS.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3110 Energía eléctrica. Asignaciones destinadas a cubrir el importe del consumo de energía eléctrica, necesarios para el funcionamiento de las instalaciones oficiales. Incluye alumbrado público.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3111 Servicio de energía eléctrica. Asignación para pagar el servicio de energía eléctrica de instalaciones oficiales, el cual deberá racionalizarse y ajustarse a las medidas de control y ahorro que se establezcan. </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3112 Servicio de energía eléctrica para alumbrado público. Asignación para el pago del servicio de alumbrado público…” (Sic)</w:t>
      </w:r>
    </w:p>
    <w:p w:rsidR="00C25B5D" w:rsidRDefault="00C25B5D">
      <w:pPr>
        <w:spacing w:after="120"/>
        <w:ind w:left="851" w:right="900"/>
        <w:jc w:val="both"/>
        <w:rPr>
          <w:rFonts w:ascii="Palatino Linotype" w:eastAsia="Palatino Linotype" w:hAnsi="Palatino Linotype" w:cs="Palatino Linotype"/>
          <w:i/>
          <w:sz w:val="20"/>
          <w:szCs w:val="20"/>
        </w:rPr>
      </w:pP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el servicio de energía eléctrica para alumbrado público establece una partida dentro del citado Manual, con la finalidad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el Órgano Superior de Fiscalización del Estado de México (OSFEM), emite anualmente los Lineamientos para definir los criterios, formatos y documentación necesaria para presentar los informes mensuales, donde se detalla la información en 6 discos, los cuales deberán entregarse mensualmente al OSFEM, </w:t>
      </w:r>
      <w:r>
        <w:rPr>
          <w:rFonts w:ascii="Palatino Linotype" w:eastAsia="Palatino Linotype" w:hAnsi="Palatino Linotype" w:cs="Palatino Linotype"/>
        </w:rPr>
        <w:lastRenderedPageBreak/>
        <w:t>y de los que destaca, en relación con el análisis que nos ocupa, el “Disco 5”, relativo a “imágenes digitalizadas”.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C25B5D" w:rsidRDefault="008B65C7">
      <w:pPr>
        <w:spacing w:after="120"/>
        <w:ind w:left="851" w:right="76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32.-</w:t>
      </w:r>
      <w:r>
        <w:rPr>
          <w:rFonts w:ascii="Palatino Linotype" w:eastAsia="Palatino Linotype" w:hAnsi="Palatino Linotype" w:cs="Palatino Linotype"/>
          <w:i/>
          <w:sz w:val="20"/>
          <w:szCs w:val="20"/>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C25B5D" w:rsidRDefault="008B65C7">
      <w:pPr>
        <w:spacing w:after="120"/>
        <w:ind w:left="851" w:right="76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w:t>
      </w:r>
    </w:p>
    <w:p w:rsidR="00C25B5D" w:rsidRDefault="008B65C7">
      <w:pPr>
        <w:spacing w:after="120"/>
        <w:ind w:left="851" w:right="760"/>
        <w:jc w:val="both"/>
        <w:rPr>
          <w:rFonts w:ascii="Palatino Linotype" w:eastAsia="Palatino Linotype" w:hAnsi="Palatino Linotype" w:cs="Palatino Linotype"/>
          <w:i/>
          <w:sz w:val="20"/>
          <w:szCs w:val="20"/>
          <w:u w:val="single"/>
        </w:rPr>
      </w:pPr>
      <w:r>
        <w:rPr>
          <w:rFonts w:ascii="Palatino Linotype" w:eastAsia="Palatino Linotype" w:hAnsi="Palatino Linotype" w:cs="Palatino Linotype"/>
          <w:i/>
          <w:sz w:val="20"/>
          <w:szCs w:val="20"/>
        </w:rPr>
        <w:t xml:space="preserve">Los Presidentes Municipales presentarán a la Legislatura las cuentas públicas anuales de sus respectivos municipios, del ejercicio fiscal inmediato anterior, dentro de los quince primeros días del mes de marzo de cada año; asimismo, </w:t>
      </w:r>
      <w:r>
        <w:rPr>
          <w:rFonts w:ascii="Palatino Linotype" w:eastAsia="Palatino Linotype" w:hAnsi="Palatino Linotype" w:cs="Palatino Linotype"/>
          <w:i/>
          <w:sz w:val="20"/>
          <w:szCs w:val="20"/>
          <w:u w:val="single"/>
        </w:rPr>
        <w:t>los informes mensuales</w:t>
      </w:r>
      <w:r>
        <w:rPr>
          <w:rFonts w:ascii="Palatino Linotype" w:eastAsia="Palatino Linotype" w:hAnsi="Palatino Linotype" w:cs="Palatino Linotype"/>
          <w:i/>
          <w:sz w:val="20"/>
          <w:szCs w:val="20"/>
        </w:rPr>
        <w:t xml:space="preserve"> los deberán presentar </w:t>
      </w:r>
      <w:r>
        <w:rPr>
          <w:rFonts w:ascii="Palatino Linotype" w:eastAsia="Palatino Linotype" w:hAnsi="Palatino Linotype" w:cs="Palatino Linotype"/>
          <w:i/>
          <w:sz w:val="20"/>
          <w:szCs w:val="20"/>
          <w:u w:val="single"/>
        </w:rPr>
        <w:t>dentro de los veinte días posteriores al término del mes correspondiente.”</w:t>
      </w:r>
    </w:p>
    <w:p w:rsidR="00C25B5D" w:rsidRDefault="008B65C7">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rsidR="00C25B5D" w:rsidRDefault="008B65C7">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lo anterior, en las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Políticas para la Integración del Informe Trimestral de los Sujetos de Fiscalización Municipales para el Ejercicio 2021, se destaca que, dentro de los informes mensuales, los Ayuntamientos tienen la obligación de rendir la </w:t>
      </w:r>
      <w:r>
        <w:rPr>
          <w:rFonts w:ascii="Palatino Linotype" w:eastAsia="Palatino Linotype" w:hAnsi="Palatino Linotype" w:cs="Palatino Linotype"/>
        </w:rPr>
        <w:lastRenderedPageBreak/>
        <w:t xml:space="preserve">información referente a las pólizas de egresos con su respectivo soporte documental, tal y como se muestra en seguida: </w:t>
      </w:r>
    </w:p>
    <w:p w:rsidR="00C25B5D" w:rsidRDefault="00C25B5D">
      <w:pPr>
        <w:spacing w:line="360" w:lineRule="auto"/>
        <w:ind w:right="-91"/>
        <w:jc w:val="both"/>
      </w:pPr>
    </w:p>
    <w:p w:rsidR="00C25B5D" w:rsidRDefault="008B65C7">
      <w:pPr>
        <w:spacing w:line="360" w:lineRule="auto"/>
        <w:ind w:right="-91"/>
        <w:jc w:val="both"/>
        <w:rPr>
          <w:rFonts w:ascii="Palatino Linotype" w:eastAsia="Palatino Linotype" w:hAnsi="Palatino Linotype" w:cs="Palatino Linotype"/>
        </w:rPr>
      </w:pPr>
      <w:r>
        <w:rPr>
          <w:noProof/>
          <w:lang w:val="es-MX" w:eastAsia="es-MX"/>
        </w:rPr>
        <w:drawing>
          <wp:inline distT="0" distB="0" distL="0" distR="0">
            <wp:extent cx="5518150" cy="5149850"/>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41186" t="17703" r="24417" b="9675"/>
                    <a:stretch>
                      <a:fillRect/>
                    </a:stretch>
                  </pic:blipFill>
                  <pic:spPr>
                    <a:xfrm>
                      <a:off x="0" y="0"/>
                      <a:ext cx="5518150" cy="5149850"/>
                    </a:xfrm>
                    <a:prstGeom prst="rect">
                      <a:avLst/>
                    </a:prstGeom>
                    <a:ln/>
                  </pic:spPr>
                </pic:pic>
              </a:graphicData>
            </a:graphic>
          </wp:inline>
        </w:drawing>
      </w:r>
    </w:p>
    <w:p w:rsidR="00C25B5D" w:rsidRDefault="008B65C7">
      <w:pPr>
        <w:widowControl w:val="0"/>
        <w:spacing w:before="240" w:after="240" w:line="276" w:lineRule="auto"/>
        <w:ind w:right="-141"/>
        <w:jc w:val="center"/>
        <w:rPr>
          <w:rFonts w:ascii="Palatino Linotype" w:eastAsia="Palatino Linotype" w:hAnsi="Palatino Linotype" w:cs="Palatino Linotype"/>
          <w:color w:val="000000"/>
        </w:rPr>
      </w:pPr>
      <w:r>
        <w:rPr>
          <w:noProof/>
          <w:lang w:val="es-MX" w:eastAsia="es-MX"/>
        </w:rPr>
        <w:lastRenderedPageBreak/>
        <w:drawing>
          <wp:inline distT="0" distB="0" distL="0" distR="0">
            <wp:extent cx="5308600" cy="7156450"/>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42543" t="12473" r="24983" b="11285"/>
                    <a:stretch>
                      <a:fillRect/>
                    </a:stretch>
                  </pic:blipFill>
                  <pic:spPr>
                    <a:xfrm>
                      <a:off x="0" y="0"/>
                      <a:ext cx="5308600" cy="7156450"/>
                    </a:xfrm>
                    <a:prstGeom prst="rect">
                      <a:avLst/>
                    </a:prstGeom>
                    <a:ln/>
                  </pic:spPr>
                </pic:pic>
              </a:graphicData>
            </a:graphic>
          </wp:inline>
        </w:drawing>
      </w:r>
    </w:p>
    <w:p w:rsidR="00C25B5D" w:rsidRDefault="00C25B5D">
      <w:pPr>
        <w:widowControl w:val="0"/>
        <w:spacing w:before="240" w:after="240" w:line="276" w:lineRule="auto"/>
        <w:ind w:right="-141"/>
        <w:jc w:val="center"/>
        <w:rPr>
          <w:rFonts w:ascii="Palatino Linotype" w:eastAsia="Palatino Linotype" w:hAnsi="Palatino Linotype" w:cs="Palatino Linotype"/>
          <w:color w:val="000000"/>
        </w:rPr>
      </w:pPr>
    </w:p>
    <w:p w:rsidR="00C25B5D" w:rsidRDefault="008B65C7">
      <w:pPr>
        <w:spacing w:before="240" w:after="240" w:line="360" w:lineRule="auto"/>
        <w:ind w:right="-142"/>
        <w:jc w:val="both"/>
        <w:rPr>
          <w:rFonts w:ascii="Palatino Linotype" w:eastAsia="Palatino Linotype" w:hAnsi="Palatino Linotype" w:cs="Palatino Linotype"/>
        </w:rPr>
      </w:pPr>
      <w:r>
        <w:rPr>
          <w:noProof/>
          <w:lang w:val="es-MX" w:eastAsia="es-MX"/>
        </w:rPr>
        <w:lastRenderedPageBreak/>
        <w:drawing>
          <wp:inline distT="0" distB="0" distL="0" distR="0">
            <wp:extent cx="5568950" cy="7245350"/>
            <wp:effectExtent l="0" t="0" r="0" b="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43108" t="18306" r="25095" b="7261"/>
                    <a:stretch>
                      <a:fillRect/>
                    </a:stretch>
                  </pic:blipFill>
                  <pic:spPr>
                    <a:xfrm>
                      <a:off x="0" y="0"/>
                      <a:ext cx="5568950" cy="7245350"/>
                    </a:xfrm>
                    <a:prstGeom prst="rect">
                      <a:avLst/>
                    </a:prstGeom>
                    <a:ln/>
                  </pic:spPr>
                </pic:pic>
              </a:graphicData>
            </a:graphic>
          </wp:inline>
        </w:drawing>
      </w:r>
    </w:p>
    <w:p w:rsidR="00C25B5D" w:rsidRDefault="00C25B5D">
      <w:pPr>
        <w:spacing w:before="240" w:after="240" w:line="360" w:lineRule="auto"/>
        <w:ind w:right="-142"/>
        <w:jc w:val="both"/>
      </w:pPr>
    </w:p>
    <w:p w:rsidR="00C25B5D" w:rsidRDefault="008B65C7">
      <w:pPr>
        <w:spacing w:before="240" w:after="240" w:line="360" w:lineRule="auto"/>
        <w:ind w:right="-142"/>
        <w:jc w:val="both"/>
        <w:rPr>
          <w:rFonts w:ascii="Palatino Linotype" w:eastAsia="Palatino Linotype" w:hAnsi="Palatino Linotype" w:cs="Palatino Linotype"/>
        </w:rPr>
      </w:pPr>
      <w:r>
        <w:rPr>
          <w:noProof/>
          <w:lang w:val="es-MX" w:eastAsia="es-MX"/>
        </w:rPr>
        <w:lastRenderedPageBreak/>
        <w:drawing>
          <wp:inline distT="0" distB="0" distL="0" distR="0">
            <wp:extent cx="5530850" cy="2178050"/>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42770" t="31986" r="24757" b="25970"/>
                    <a:stretch>
                      <a:fillRect/>
                    </a:stretch>
                  </pic:blipFill>
                  <pic:spPr>
                    <a:xfrm>
                      <a:off x="0" y="0"/>
                      <a:ext cx="5530850" cy="2178050"/>
                    </a:xfrm>
                    <a:prstGeom prst="rect">
                      <a:avLst/>
                    </a:prstGeom>
                    <a:ln/>
                  </pic:spPr>
                </pic:pic>
              </a:graphicData>
            </a:graphic>
          </wp:inline>
        </w:drawing>
      </w:r>
    </w:p>
    <w:p w:rsidR="00C25B5D" w:rsidRDefault="008B65C7">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Tal y como señalaron las citadas Políticas,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rsidR="00C25B5D" w:rsidRDefault="008B65C7">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w:t>
      </w:r>
      <w:r>
        <w:rPr>
          <w:rFonts w:ascii="Palatino Linotype" w:eastAsia="Palatino Linotype" w:hAnsi="Palatino Linotype" w:cs="Palatino Linotype"/>
        </w:rPr>
        <w:lastRenderedPageBreak/>
        <w:t>"PAGADO" para los demás recursos; además, deberá integrar a la póliza de egresos, fotocopia del cheque original, para su debido cotejo.</w:t>
      </w:r>
    </w:p>
    <w:p w:rsidR="00C25B5D" w:rsidRDefault="008B65C7">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Contabilidad Gubernamental para las Dependencias y Entidades Públicas del Gobierno y Municipios del Estado de México, citado.</w:t>
      </w:r>
    </w:p>
    <w:p w:rsidR="00C25B5D" w:rsidRDefault="008B65C7">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Finalmente, el Código Financiero del Estado de México y Municipios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C25B5D" w:rsidRDefault="008B65C7">
      <w:pPr>
        <w:spacing w:before="24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Derivado de lo anterior, se considera que existe fuente obligacional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generar, poseer y administrar la información que aquí se señala, de conformidad con el artículo 18 de la Ley de Transparencia y Acceso a la Información Pública del Estado de México y Municipios, que a la letra dice: </w:t>
      </w:r>
    </w:p>
    <w:p w:rsidR="00C25B5D" w:rsidRDefault="008B65C7">
      <w:pPr>
        <w:spacing w:after="120"/>
        <w:ind w:left="851" w:right="333"/>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C25B5D" w:rsidRDefault="008B65C7">
      <w:pPr>
        <w:spacing w:before="240" w:after="240" w:line="360" w:lineRule="auto"/>
        <w:ind w:right="-14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Aunado a lo anterior, de conformidad con las obligaciones de transparencia común señaladas en el artículo 92, fracciones XXV y XXXV, de la Ley de Transparencia y Acceso a la Información Pública del Estado de México y Municipios, que a la letra señala: </w:t>
      </w:r>
    </w:p>
    <w:p w:rsidR="00C25B5D" w:rsidRDefault="008B65C7">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25B5D" w:rsidRDefault="008B65C7">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B5D" w:rsidRDefault="008B65C7">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 La </w:t>
      </w:r>
      <w:r>
        <w:rPr>
          <w:rFonts w:ascii="Palatino Linotype" w:eastAsia="Palatino Linotype" w:hAnsi="Palatino Linotype" w:cs="Palatino Linotype"/>
          <w:i/>
          <w:sz w:val="22"/>
          <w:szCs w:val="22"/>
          <w:u w:val="single"/>
        </w:rPr>
        <w:t>información financiera sobre el presupuesto asignado</w:t>
      </w:r>
      <w:r>
        <w:rPr>
          <w:rFonts w:ascii="Palatino Linotype" w:eastAsia="Palatino Linotype" w:hAnsi="Palatino Linotype" w:cs="Palatino Linotype"/>
          <w:i/>
          <w:sz w:val="22"/>
          <w:szCs w:val="22"/>
        </w:rPr>
        <w:t>, así como los informes del ejercicio trimestral del gasto, en términos de la Ley General de Contabilidad Gubernamental y demás disposiciones jurídicas aplicables;</w:t>
      </w:r>
    </w:p>
    <w:p w:rsidR="00C25B5D" w:rsidRDefault="008B65C7">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B5D" w:rsidRDefault="008B65C7">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XXXV. </w:t>
      </w:r>
      <w:r>
        <w:rPr>
          <w:rFonts w:ascii="Palatino Linotype" w:eastAsia="Palatino Linotype" w:hAnsi="Palatino Linotype" w:cs="Palatino Linotype"/>
          <w:i/>
          <w:sz w:val="22"/>
          <w:szCs w:val="22"/>
          <w:u w:val="single"/>
        </w:rPr>
        <w:t>Informes de avances</w:t>
      </w:r>
      <w:r>
        <w:rPr>
          <w:rFonts w:ascii="Palatino Linotype" w:eastAsia="Palatino Linotype" w:hAnsi="Palatino Linotype" w:cs="Palatino Linotype"/>
          <w:i/>
          <w:sz w:val="22"/>
          <w:szCs w:val="22"/>
        </w:rPr>
        <w:t xml:space="preserve"> programáticos o </w:t>
      </w:r>
      <w:r>
        <w:rPr>
          <w:rFonts w:ascii="Palatino Linotype" w:eastAsia="Palatino Linotype" w:hAnsi="Palatino Linotype" w:cs="Palatino Linotype"/>
          <w:i/>
          <w:sz w:val="22"/>
          <w:szCs w:val="22"/>
          <w:u w:val="single"/>
        </w:rPr>
        <w:t>presupuestales</w:t>
      </w:r>
      <w:r>
        <w:rPr>
          <w:rFonts w:ascii="Palatino Linotype" w:eastAsia="Palatino Linotype" w:hAnsi="Palatino Linotype" w:cs="Palatino Linotype"/>
          <w:i/>
          <w:sz w:val="22"/>
          <w:szCs w:val="22"/>
        </w:rPr>
        <w:t>, balances generales y estado financiero;…”</w:t>
      </w:r>
    </w:p>
    <w:p w:rsidR="00C25B5D" w:rsidRDefault="008B65C7">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existe una clara atribución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remitir la información mensual al ente fiscalizador y por ende hacer entrega del soporte documental de donde se puedan desprender las partidas presupuestales y montos erogados para el mantenimiento del sistema de alumbrado público y para el pago de las facturas por concepto de consumo de energía eléctrica del ejercicio fiscal 2021.</w:t>
      </w:r>
    </w:p>
    <w:p w:rsidR="00C25B5D" w:rsidRDefault="008B65C7">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otra parte, no pasa desapercibo que el Ayuntamiento de Xalatlaco puede tener previo convenio con la Comisión Federal Electricidad la facultad de recaudar los derechos por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razón de que la Ley de Ingresos para los Municipios del Estado de México para el ejercicio Fiscal 2021, disponen que la hacienda pública de los municipios del Estado de México, percibirá durante los ejercicios fiscales requeridos, los ingresos provenientes por conceptos de impuestos, contribuciones o aportaciones de mejoras por obras públicas; derechos; productos; aprovechamientos; ingresos por venta de bienes y servicios de organismos descentralizados; fideicomisos y empresas de participación estatal; ingresos no comprendidos en los numerales anteriores causados en ejercicios fiscales anteriores pendientes de liquidación o pago; participaciones, aportaciones, convenios y subsidios; ingresos financieros; y por ingresos derivados de financiamientos. Pero de manera específica, en lo que nos interesa dispone lo siguiente:</w:t>
      </w:r>
    </w:p>
    <w:p w:rsidR="00C25B5D" w:rsidRDefault="008B65C7">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w:t>
      </w:r>
      <w:r>
        <w:rPr>
          <w:rFonts w:ascii="Palatino Linotype" w:eastAsia="Palatino Linotype" w:hAnsi="Palatino Linotype" w:cs="Palatino Linotype"/>
          <w:i/>
          <w:sz w:val="20"/>
          <w:szCs w:val="20"/>
        </w:rPr>
        <w:t>Artículo 1.- La hacienda pública de los municipios del Estado de México, percibirá durante el ejercicio fiscal del año 2021, los ingresos provenientes de los conceptos que a continuación se enumeran:</w:t>
      </w:r>
    </w:p>
    <w:p w:rsidR="00C25B5D" w:rsidRDefault="008B65C7">
      <w:pPr>
        <w:pBdr>
          <w:top w:val="nil"/>
          <w:left w:val="nil"/>
          <w:bottom w:val="nil"/>
          <w:right w:val="nil"/>
          <w:between w:val="nil"/>
        </w:pBdr>
        <w:spacing w:after="120"/>
        <w:ind w:left="1134" w:right="90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C25B5D" w:rsidRDefault="008B65C7">
      <w:pPr>
        <w:numPr>
          <w:ilvl w:val="0"/>
          <w:numId w:val="3"/>
        </w:numPr>
        <w:pBdr>
          <w:top w:val="nil"/>
          <w:left w:val="nil"/>
          <w:bottom w:val="nil"/>
          <w:right w:val="nil"/>
          <w:between w:val="nil"/>
        </w:pBdr>
        <w:spacing w:after="120"/>
        <w:ind w:right="90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DERECHOS:</w:t>
      </w:r>
    </w:p>
    <w:p w:rsidR="00C25B5D" w:rsidRDefault="008B65C7">
      <w:pPr>
        <w:pBdr>
          <w:top w:val="nil"/>
          <w:left w:val="nil"/>
          <w:bottom w:val="nil"/>
          <w:right w:val="nil"/>
          <w:between w:val="nil"/>
        </w:pBdr>
        <w:spacing w:after="120"/>
        <w:ind w:left="1418" w:right="90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rsidR="00C25B5D" w:rsidRDefault="008B65C7">
      <w:pPr>
        <w:pBdr>
          <w:top w:val="nil"/>
          <w:left w:val="nil"/>
          <w:bottom w:val="nil"/>
          <w:right w:val="nil"/>
          <w:between w:val="nil"/>
        </w:pBdr>
        <w:spacing w:after="120"/>
        <w:ind w:left="1494" w:right="90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4.3.11. Servicios de Alumbrado Público…”</w:t>
      </w:r>
    </w:p>
    <w:p w:rsidR="00C25B5D" w:rsidRDefault="00C25B5D">
      <w:pPr>
        <w:spacing w:before="240" w:after="240" w:line="360" w:lineRule="auto"/>
        <w:ind w:right="-141"/>
        <w:jc w:val="both"/>
        <w:rPr>
          <w:rFonts w:ascii="Palatino Linotype" w:eastAsia="Palatino Linotype" w:hAnsi="Palatino Linotype" w:cs="Palatino Linotype"/>
        </w:rPr>
      </w:pPr>
    </w:p>
    <w:p w:rsidR="00C25B5D" w:rsidRDefault="008B65C7">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rsidR="00C25B5D" w:rsidRDefault="008B65C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decir que el Manual para la Planeación, Programación y Presupuesto de Egresos Municipal para el Ejercicio Fiscal 2021 de manera enunciativa, contempla que los Municipios deben generar el Formato PbRM 09b denominado “Estado Comparativo Presupuestal de Ingresos”, el cual tiene como finalidad conocer la integración mensual por concepto de los ingresos autorizados y recaudados,</w:t>
      </w:r>
      <w:r>
        <w:rPr>
          <w:rFonts w:ascii="Palatino Linotype" w:eastAsia="Palatino Linotype" w:hAnsi="Palatino Linotype" w:cs="Palatino Linotype"/>
          <w:b/>
        </w:rPr>
        <w:t xml:space="preserve"> </w:t>
      </w:r>
      <w:r>
        <w:rPr>
          <w:rFonts w:ascii="Palatino Linotype" w:eastAsia="Palatino Linotype" w:hAnsi="Palatino Linotype" w:cs="Palatino Linotype"/>
        </w:rPr>
        <w:t>así como su acumulado al mes autorizado y ejercido, conforme al siguiente formato:</w:t>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50801</wp:posOffset>
                </wp:positionH>
                <wp:positionV relativeFrom="paragraph">
                  <wp:posOffset>1955800</wp:posOffset>
                </wp:positionV>
                <wp:extent cx="5473700" cy="1885950"/>
                <wp:effectExtent l="0" t="0" r="0" b="0"/>
                <wp:wrapNone/>
                <wp:docPr id="60" name="Conector recto de flecha 60"/>
                <wp:cNvGraphicFramePr/>
                <a:graphic xmlns:a="http://schemas.openxmlformats.org/drawingml/2006/main">
                  <a:graphicData uri="http://schemas.microsoft.com/office/word/2010/wordprocessingShape">
                    <wps:wsp>
                      <wps:cNvCnPr/>
                      <wps:spPr>
                        <a:xfrm>
                          <a:off x="2618675" y="2846550"/>
                          <a:ext cx="5454650" cy="18669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1955800</wp:posOffset>
                </wp:positionV>
                <wp:extent cx="5473700" cy="1885950"/>
                <wp:effectExtent b="0" l="0" r="0" t="0"/>
                <wp:wrapNone/>
                <wp:docPr id="60"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5473700" cy="1885950"/>
                        </a:xfrm>
                        <a:prstGeom prst="rect"/>
                        <a:ln/>
                      </pic:spPr>
                    </pic:pic>
                  </a:graphicData>
                </a:graphic>
              </wp:anchor>
            </w:drawing>
          </mc:Fallback>
        </mc:AlternateContent>
      </w:r>
    </w:p>
    <w:p w:rsidR="00C25B5D" w:rsidRDefault="00C25B5D">
      <w:pPr>
        <w:shd w:val="clear" w:color="auto" w:fill="FFFFFF"/>
        <w:spacing w:before="240" w:after="240" w:line="360" w:lineRule="auto"/>
        <w:jc w:val="both"/>
        <w:rPr>
          <w:rFonts w:ascii="Palatino Linotype" w:eastAsia="Palatino Linotype" w:hAnsi="Palatino Linotype" w:cs="Palatino Linotype"/>
        </w:rPr>
      </w:pPr>
    </w:p>
    <w:p w:rsidR="00C25B5D" w:rsidRDefault="008B65C7">
      <w:pPr>
        <w:shd w:val="clear" w:color="auto" w:fill="FFFFFF"/>
        <w:spacing w:before="240" w:after="240" w:line="360" w:lineRule="auto"/>
        <w:jc w:val="both"/>
        <w:rPr>
          <w:rFonts w:ascii="Palatino Linotype" w:eastAsia="Palatino Linotype" w:hAnsi="Palatino Linotype" w:cs="Palatino Linotype"/>
          <w:sz w:val="22"/>
          <w:szCs w:val="22"/>
        </w:rPr>
      </w:pPr>
      <w:r>
        <w:rPr>
          <w:noProof/>
          <w:lang w:val="es-MX" w:eastAsia="es-MX"/>
        </w:rPr>
        <w:lastRenderedPageBreak/>
        <w:drawing>
          <wp:inline distT="0" distB="0" distL="0" distR="0">
            <wp:extent cx="5683250" cy="4343400"/>
            <wp:effectExtent l="0" t="0" r="0" b="0"/>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38131" t="14283" r="23963" b="8670"/>
                    <a:stretch>
                      <a:fillRect/>
                    </a:stretch>
                  </pic:blipFill>
                  <pic:spPr>
                    <a:xfrm>
                      <a:off x="0" y="0"/>
                      <a:ext cx="5683250" cy="4343400"/>
                    </a:xfrm>
                    <a:prstGeom prst="rect">
                      <a:avLst/>
                    </a:prstGeom>
                    <a:ln/>
                  </pic:spPr>
                </pic:pic>
              </a:graphicData>
            </a:graphic>
          </wp:inline>
        </w:drawing>
      </w:r>
    </w:p>
    <w:p w:rsidR="00C25B5D" w:rsidRDefault="00C25B5D">
      <w:pPr>
        <w:shd w:val="clear" w:color="auto" w:fill="FFFFFF"/>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puede concluir que el Ayuntamiento de Xalatlaco, está facultado recaudar el derecho de alumbrado público, al tener el deber de brindar el Servicio de Alumbrado Público; en consecuencia tiene competencia para atender el requerimiento de información a través del Servidor Público competente, que en el caso, es el Tesorero Municipal, por lo que resulta procedente ordenar la entrega del soporte documental en el que obre lo recaudado por los derechos del servicio de alumbrado público del diez de enero de dos mil veintiuno al diez de enero de dos mil veintidós.</w:t>
      </w:r>
    </w:p>
    <w:p w:rsidR="00C25B5D" w:rsidRDefault="00C25B5D">
      <w:pPr>
        <w:shd w:val="clear" w:color="auto" w:fill="FFFFFF"/>
        <w:spacing w:line="360" w:lineRule="auto"/>
        <w:jc w:val="both"/>
        <w:rPr>
          <w:rFonts w:ascii="Palatino Linotype" w:eastAsia="Palatino Linotype" w:hAnsi="Palatino Linotype" w:cs="Palatino Linotype"/>
        </w:rPr>
      </w:pPr>
    </w:p>
    <w:p w:rsidR="00C25B5D" w:rsidRDefault="008B65C7">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otro orden de cosas, como se mencionó en el punto anterior de los censos enviados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se advierte que esté tiene una relación con la Comisión Federal de Electricidad, la cual puede reflejarse a través de contratos o convenios; ante ello, es importante precisar que el artículo 115, fracción III de la Constitución Política de los Estados Unidos Mexicanos indica que los municipios tendrán a su cargo la prestación de servicios públicos, entre los que destaca el alumbrado público, el cual conforme a lo dispuesto por el artículo 31 fracciones II y VII de la Ley Orgánica Municipal del Estado de México, podrá prestarse mediante convenio, contrato o concesión, como se observa a continuación:</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rPr>
        <w:t>“</w:t>
      </w:r>
      <w:r>
        <w:rPr>
          <w:rFonts w:ascii="Palatino Linotype" w:eastAsia="Palatino Linotype" w:hAnsi="Palatino Linotype" w:cs="Palatino Linotype"/>
          <w:b/>
          <w:i/>
          <w:sz w:val="20"/>
          <w:szCs w:val="20"/>
        </w:rPr>
        <w:t>Artículo 31.-</w:t>
      </w:r>
      <w:r>
        <w:rPr>
          <w:rFonts w:ascii="Palatino Linotype" w:eastAsia="Palatino Linotype" w:hAnsi="Palatino Linotype" w:cs="Palatino Linotype"/>
          <w:i/>
          <w:sz w:val="20"/>
          <w:szCs w:val="20"/>
        </w:rPr>
        <w:t xml:space="preserve"> Son atribuciones de los ayuntamientos:</w:t>
      </w:r>
    </w:p>
    <w:p w:rsidR="00C25B5D" w:rsidRDefault="008B65C7">
      <w:pPr>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25B5D" w:rsidRDefault="008B65C7">
      <w:pPr>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C25B5D" w:rsidRDefault="008B65C7">
      <w:pPr>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25B5D" w:rsidRDefault="008B65C7">
      <w:pPr>
        <w:ind w:left="1134"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C25B5D" w:rsidRDefault="008B65C7">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asimismo la Ley en mérito </w:t>
      </w:r>
      <w:r>
        <w:rPr>
          <w:rFonts w:ascii="Palatino Linotype" w:eastAsia="Palatino Linotype" w:hAnsi="Palatino Linotype" w:cs="Palatino Linotype"/>
        </w:rPr>
        <w:lastRenderedPageBreak/>
        <w:t>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C25B5D" w:rsidRDefault="008B65C7">
      <w:pPr>
        <w:spacing w:after="120" w:line="25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7.-</w:t>
      </w:r>
      <w:r>
        <w:rPr>
          <w:rFonts w:ascii="Palatino Linotype" w:eastAsia="Palatino Linotype" w:hAnsi="Palatino Linotype" w:cs="Palatino Linotype"/>
          <w:i/>
          <w:sz w:val="20"/>
          <w:szCs w:val="20"/>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C25B5D" w:rsidRDefault="008B65C7">
      <w:pPr>
        <w:spacing w:after="120" w:line="256"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C25B5D" w:rsidRDefault="008B65C7">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8.-</w:t>
      </w:r>
      <w:r>
        <w:rPr>
          <w:rFonts w:ascii="Palatino Linotype" w:eastAsia="Palatino Linotype" w:hAnsi="Palatino Linotype" w:cs="Palatino Linotype"/>
          <w:i/>
          <w:sz w:val="20"/>
          <w:szCs w:val="20"/>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Administración.”(Sic)</w:t>
      </w:r>
    </w:p>
    <w:p w:rsidR="00C25B5D" w:rsidRDefault="008B65C7">
      <w:pPr>
        <w:spacing w:before="240" w:after="240" w:line="360" w:lineRule="auto"/>
        <w:ind w:right="-141"/>
        <w:jc w:val="both"/>
        <w:rPr>
          <w:rFonts w:ascii="Palatino Linotype" w:eastAsia="Palatino Linotype" w:hAnsi="Palatino Linotype" w:cs="Palatino Linotype"/>
        </w:rPr>
      </w:pPr>
      <w:r>
        <w:rPr>
          <w:rFonts w:ascii="Palatino Linotype" w:eastAsia="Palatino Linotype" w:hAnsi="Palatino Linotype" w:cs="Palatino Linotype"/>
        </w:rPr>
        <w:t>De la interpretación de los preceptos jurídicos citados con anterioridad, se advierte que tanto los Municipios como la Comisión Federal de Electricidad cuentan con las atribuciones y facultades suficientes para la celebrar contratos y convenios para la prestación de servicios por concepto de suministro de energía eléctrica, por lo que se considera dable ordenar la entrega de los generados del diez de enero del año 2021 al diez de enero del año 2022.</w:t>
      </w:r>
    </w:p>
    <w:p w:rsidR="00C25B5D" w:rsidRDefault="008B65C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último y no menos importante, se debe enfatizar que tal y como se mencionó en este considerando,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proporcionó información que debió ser </w:t>
      </w:r>
      <w:r>
        <w:rPr>
          <w:rFonts w:ascii="Palatino Linotype" w:eastAsia="Palatino Linotype" w:hAnsi="Palatino Linotype" w:cs="Palatino Linotype"/>
          <w:color w:val="000000"/>
        </w:rPr>
        <w:lastRenderedPageBreak/>
        <w:t>clasificada como confidencial, es decir, dejó a la vista datos personales concernientes a la vida privada de los servidores públicos. Por dicha información es menester hacer del conocimiento de la persona que solicitó la información, que ahora se encuentra sujeto a la Ley Federal de Protección de Datos Personales en Posesión de los Particulares que señala puntualmente en su artículo 1 lo siguiente:</w:t>
      </w:r>
    </w:p>
    <w:p w:rsidR="00C25B5D" w:rsidRDefault="00C25B5D">
      <w:pPr>
        <w:pBdr>
          <w:top w:val="nil"/>
          <w:left w:val="nil"/>
          <w:bottom w:val="nil"/>
          <w:right w:val="nil"/>
          <w:between w:val="nil"/>
        </w:pBdr>
        <w:ind w:left="708"/>
        <w:rPr>
          <w:rFonts w:ascii="Palatino Linotype" w:eastAsia="Palatino Linotype" w:hAnsi="Palatino Linotype" w:cs="Palatino Linotype"/>
          <w:color w:val="FF0000"/>
          <w:sz w:val="28"/>
          <w:szCs w:val="28"/>
        </w:rPr>
      </w:pPr>
    </w:p>
    <w:p w:rsidR="00C25B5D" w:rsidRDefault="008B65C7">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 La presente Ley es de orden público y de observancia general en toda la República y </w:t>
      </w:r>
      <w:r>
        <w:rPr>
          <w:rFonts w:ascii="Palatino Linotype" w:eastAsia="Palatino Linotype" w:hAnsi="Palatino Linotype" w:cs="Palatino Linotype"/>
          <w:b/>
          <w:i/>
          <w:color w:val="000000"/>
          <w:sz w:val="22"/>
          <w:szCs w:val="22"/>
        </w:rPr>
        <w:t>tiene por objeto la protección de los datos personales en posesión de los particulares</w:t>
      </w:r>
      <w:r>
        <w:rPr>
          <w:rFonts w:ascii="Palatino Linotype" w:eastAsia="Palatino Linotype" w:hAnsi="Palatino Linotype" w:cs="Palatino Linotype"/>
          <w:i/>
          <w:color w:val="000000"/>
          <w:sz w:val="22"/>
          <w:szCs w:val="22"/>
        </w:rPr>
        <w:t>, con la finalidad de regular su tratamiento legítimo, controlado e informado, a efecto de garantizar la privacidad y el derecho a la autodeterminación informativa de las personas.” (Sic)</w:t>
      </w:r>
    </w:p>
    <w:p w:rsidR="00C25B5D" w:rsidRDefault="00C25B5D">
      <w:pPr>
        <w:spacing w:line="360" w:lineRule="auto"/>
        <w:ind w:right="49"/>
        <w:jc w:val="both"/>
        <w:rPr>
          <w:rFonts w:ascii="Palatino Linotype" w:eastAsia="Palatino Linotype" w:hAnsi="Palatino Linotype" w:cs="Palatino Linotype"/>
          <w:color w:val="FF0000"/>
        </w:rPr>
      </w:pPr>
    </w:p>
    <w:p w:rsidR="00C25B5D" w:rsidRDefault="008B65C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escenario, el particular deberá de ser responsable en el buen uso de la información proporcionada, pues se trata de datos personales que le fueron proporcionados por haber incurrido en una probable violación a la privacidad de las personas, tema que deberá de analizar y resolver el Titular de la Contraloría Interna y Órgano de Control y Vigilancia de este Instituto, en términos  de lo señalado por artículo 222, fracción III, de la Ley de la Materia, a fin de que en ejercicio de sus funciones determine lo conducente.</w:t>
      </w:r>
    </w:p>
    <w:p w:rsidR="00C25B5D" w:rsidRDefault="00C25B5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C25B5D" w:rsidRDefault="00C25B5D">
      <w:pPr>
        <w:spacing w:line="360" w:lineRule="auto"/>
        <w:jc w:val="both"/>
        <w:rPr>
          <w:rFonts w:ascii="Palatino Linotype" w:eastAsia="Palatino Linotype" w:hAnsi="Palatino Linotype" w:cs="Palatino Linotype"/>
        </w:rPr>
      </w:pPr>
    </w:p>
    <w:p w:rsidR="00C25B5D" w:rsidRDefault="008B65C7">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C25B5D" w:rsidRDefault="008B65C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C25B5D" w:rsidRDefault="00C25B5D">
      <w:pPr>
        <w:ind w:left="993" w:right="1041"/>
        <w:jc w:val="both"/>
        <w:rPr>
          <w:rFonts w:ascii="Palatino Linotype" w:eastAsia="Palatino Linotype" w:hAnsi="Palatino Linotype" w:cs="Palatino Linotype"/>
          <w:i/>
          <w:sz w:val="22"/>
          <w:szCs w:val="22"/>
        </w:rPr>
      </w:pP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25B5D" w:rsidRDefault="00C25B5D">
      <w:pPr>
        <w:ind w:left="993" w:right="1041"/>
        <w:jc w:val="both"/>
        <w:rPr>
          <w:rFonts w:ascii="Palatino Linotype" w:eastAsia="Palatino Linotype" w:hAnsi="Palatino Linotype" w:cs="Palatino Linotype"/>
          <w:i/>
          <w:sz w:val="22"/>
          <w:szCs w:val="22"/>
        </w:rPr>
      </w:pPr>
    </w:p>
    <w:p w:rsidR="00C25B5D" w:rsidRDefault="008B65C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25B5D" w:rsidRDefault="00C25B5D">
      <w:pPr>
        <w:ind w:left="993" w:right="1041"/>
        <w:jc w:val="both"/>
        <w:rPr>
          <w:rFonts w:ascii="Palatino Linotype" w:eastAsia="Palatino Linotype" w:hAnsi="Palatino Linotype" w:cs="Palatino Linotype"/>
          <w:b/>
          <w:i/>
          <w:sz w:val="22"/>
          <w:szCs w:val="22"/>
        </w:rPr>
      </w:pP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C25B5D" w:rsidRDefault="008B65C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C25B5D" w:rsidRDefault="00C25B5D">
      <w:pPr>
        <w:ind w:left="993" w:right="1041"/>
        <w:jc w:val="both"/>
        <w:rPr>
          <w:rFonts w:ascii="Palatino Linotype" w:eastAsia="Palatino Linotype" w:hAnsi="Palatino Linotype" w:cs="Palatino Linotype"/>
          <w:i/>
          <w:sz w:val="22"/>
          <w:szCs w:val="22"/>
        </w:rPr>
      </w:pPr>
    </w:p>
    <w:p w:rsidR="00C25B5D" w:rsidRDefault="008B65C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C25B5D" w:rsidRDefault="00C25B5D">
      <w:pPr>
        <w:spacing w:line="360" w:lineRule="auto"/>
        <w:ind w:right="51"/>
        <w:jc w:val="both"/>
        <w:rPr>
          <w:rFonts w:ascii="Palatino Linotype" w:eastAsia="Palatino Linotype" w:hAnsi="Palatino Linotype" w:cs="Palatino Linotype"/>
        </w:rPr>
      </w:pPr>
    </w:p>
    <w:p w:rsidR="00C25B5D" w:rsidRDefault="008B65C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25B5D" w:rsidRDefault="00C25B5D">
      <w:pPr>
        <w:spacing w:line="360" w:lineRule="auto"/>
        <w:ind w:right="50"/>
        <w:jc w:val="both"/>
        <w:rPr>
          <w:rFonts w:ascii="Palatino Linotype" w:eastAsia="Palatino Linotype" w:hAnsi="Palatino Linotype" w:cs="Palatino Linotype"/>
        </w:rPr>
      </w:pPr>
    </w:p>
    <w:p w:rsidR="00C25B5D" w:rsidRDefault="008B65C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25B5D" w:rsidRDefault="00C25B5D">
      <w:pPr>
        <w:spacing w:line="360" w:lineRule="auto"/>
        <w:ind w:right="51"/>
        <w:jc w:val="both"/>
        <w:rPr>
          <w:rFonts w:ascii="Palatino Linotype" w:eastAsia="Palatino Linotype" w:hAnsi="Palatino Linotype" w:cs="Palatino Linotype"/>
        </w:rPr>
      </w:pPr>
    </w:p>
    <w:p w:rsidR="00C25B5D" w:rsidRDefault="008B65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C25B5D" w:rsidRDefault="008B65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C25B5D" w:rsidRDefault="008B65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C25B5D" w:rsidRDefault="008B65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C25B5D" w:rsidRDefault="008B65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C25B5D" w:rsidRDefault="008B65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C25B5D" w:rsidRDefault="00C25B5D">
      <w:pPr>
        <w:ind w:left="992" w:right="1043"/>
        <w:jc w:val="both"/>
        <w:rPr>
          <w:rFonts w:ascii="Palatino Linotype" w:eastAsia="Palatino Linotype" w:hAnsi="Palatino Linotype" w:cs="Palatino Linotype"/>
          <w:i/>
          <w:sz w:val="22"/>
          <w:szCs w:val="22"/>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25B5D" w:rsidRDefault="00C25B5D">
      <w:pPr>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C25B5D" w:rsidRDefault="00C25B5D">
      <w:pPr>
        <w:spacing w:line="360" w:lineRule="auto"/>
        <w:jc w:val="both"/>
        <w:rPr>
          <w:rFonts w:ascii="Palatino Linotype" w:eastAsia="Palatino Linotype" w:hAnsi="Palatino Linotype" w:cs="Palatino Linotype"/>
        </w:rPr>
      </w:pPr>
    </w:p>
    <w:p w:rsidR="00C25B5D" w:rsidRDefault="008B65C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C25B5D" w:rsidRDefault="008B65C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 xml:space="preserve">LINEAMIENTOS GENERALES EN MATERIA DE CLASIFICACIÓN Y DESCLASIFICACIÓN DE LA INFORMACIÓN, ASÍ COMO PARA LA </w:t>
      </w:r>
      <w:r>
        <w:rPr>
          <w:rFonts w:ascii="Palatino Linotype" w:eastAsia="Palatino Linotype" w:hAnsi="Palatino Linotype" w:cs="Palatino Linotype"/>
          <w:b/>
        </w:rPr>
        <w:lastRenderedPageBreak/>
        <w:t>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C25B5D" w:rsidRDefault="00C25B5D">
      <w:pPr>
        <w:ind w:left="709" w:right="709"/>
        <w:jc w:val="both"/>
        <w:rPr>
          <w:rFonts w:ascii="Palatino Linotype" w:eastAsia="Palatino Linotype" w:hAnsi="Palatino Linotype" w:cs="Palatino Linotype"/>
          <w:b/>
          <w:i/>
          <w:sz w:val="22"/>
          <w:szCs w:val="22"/>
        </w:rPr>
      </w:pPr>
    </w:p>
    <w:p w:rsidR="00C25B5D" w:rsidRDefault="008B65C7">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B5D" w:rsidRDefault="008B65C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C25B5D" w:rsidRDefault="008B65C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C25B5D" w:rsidRDefault="008B65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B5D" w:rsidRDefault="008B65C7">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4"/>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25B5D">
        <w:trPr>
          <w:jc w:val="center"/>
        </w:trPr>
        <w:tc>
          <w:tcPr>
            <w:tcW w:w="1159" w:type="dxa"/>
            <w:tcBorders>
              <w:top w:val="nil"/>
              <w:left w:val="nil"/>
              <w:bottom w:val="single" w:sz="4" w:space="0" w:color="000000"/>
              <w:right w:val="single" w:sz="4" w:space="0" w:color="000000"/>
            </w:tcBorders>
          </w:tcPr>
          <w:p w:rsidR="00C25B5D" w:rsidRDefault="00C25B5D">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C25B5D">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25B5D" w:rsidRDefault="008B65C7">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C25B5D" w:rsidRDefault="008B65C7">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C25B5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B5D" w:rsidRDefault="00C25B5D">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C25B5D" w:rsidRDefault="008B65C7">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C25B5D" w:rsidRDefault="008B65C7">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C25B5D" w:rsidRDefault="00C25B5D">
      <w:pPr>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C25B5D" w:rsidRDefault="00C25B5D">
      <w:pPr>
        <w:spacing w:line="360" w:lineRule="auto"/>
        <w:jc w:val="both"/>
        <w:rPr>
          <w:rFonts w:ascii="Palatino Linotype" w:eastAsia="Palatino Linotype" w:hAnsi="Palatino Linotype" w:cs="Palatino Linotype"/>
        </w:rPr>
      </w:pPr>
    </w:p>
    <w:p w:rsidR="00C25B5D" w:rsidRDefault="008B65C7">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C25B5D" w:rsidRDefault="00C25B5D">
      <w:pPr>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C25B5D" w:rsidRDefault="00C25B5D">
      <w:pPr>
        <w:spacing w:line="360" w:lineRule="auto"/>
        <w:jc w:val="both"/>
        <w:rPr>
          <w:rFonts w:ascii="Palatino Linotype" w:eastAsia="Palatino Linotype" w:hAnsi="Palatino Linotype" w:cs="Palatino Linotype"/>
        </w:rPr>
      </w:pPr>
    </w:p>
    <w:p w:rsidR="00C25B5D" w:rsidRDefault="008B65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C25B5D" w:rsidRDefault="008B65C7">
      <w:pPr>
        <w:numPr>
          <w:ilvl w:val="0"/>
          <w:numId w:val="1"/>
        </w:numPr>
        <w:pBdr>
          <w:top w:val="nil"/>
          <w:left w:val="nil"/>
          <w:bottom w:val="nil"/>
          <w:right w:val="nil"/>
          <w:between w:val="nil"/>
        </w:pBdr>
        <w:spacing w:after="240" w:line="360" w:lineRule="auto"/>
        <w:ind w:left="720"/>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00559/INFOEM/IP/RR/2022,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y Quinto de la presente resolución, haga entrega vía SAIMEX y en versión pública de ser procedente, del documento o documentos en donde conste lo siguiente:</w:t>
      </w:r>
    </w:p>
    <w:p w:rsidR="00C25B5D" w:rsidRDefault="008B65C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periodo comprendido del diez de enero del año dos mil veintiuno al diez de enero del año dos mil veintidós.</w:t>
      </w:r>
    </w:p>
    <w:p w:rsidR="00C25B5D" w:rsidRDefault="008B65C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facturación mensual, los estados de cuenta y el importe por concepto de alumbrado público.</w:t>
      </w:r>
    </w:p>
    <w:p w:rsidR="00C25B5D" w:rsidRDefault="008B65C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recibos emitidos por la Comisión Federal de Electricidad a </w:t>
      </w:r>
      <w:r>
        <w:rPr>
          <w:rFonts w:ascii="Palatino Linotype" w:eastAsia="Palatino Linotype" w:hAnsi="Palatino Linotype" w:cs="Palatino Linotype"/>
        </w:rPr>
        <w:t>nombre del Municipio</w:t>
      </w:r>
      <w:r>
        <w:rPr>
          <w:rFonts w:ascii="Palatino Linotype" w:eastAsia="Palatino Linotype" w:hAnsi="Palatino Linotype" w:cs="Palatino Linotype"/>
          <w:color w:val="000000"/>
        </w:rPr>
        <w:t xml:space="preserve"> de Xalatlaco.</w:t>
      </w:r>
    </w:p>
    <w:p w:rsidR="00C25B5D" w:rsidRDefault="008B65C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Las partidas presupuestales y montos erogados para el mantenimiento del alumbrado público. </w:t>
      </w:r>
    </w:p>
    <w:p w:rsidR="00C25B5D" w:rsidRDefault="008B65C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monto de lo recaudado por los derechos del servicio de alumbrado público.</w:t>
      </w:r>
    </w:p>
    <w:p w:rsidR="00C25B5D" w:rsidRDefault="008B65C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Contratos y convenios para la prestación del servicio por concepto de suministro de energía eléctrica. </w:t>
      </w:r>
    </w:p>
    <w:p w:rsidR="00C25B5D" w:rsidRDefault="008B65C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información adicional que pudiera obrar en el expediente solicitado.</w:t>
      </w:r>
    </w:p>
    <w:p w:rsidR="00C25B5D" w:rsidRDefault="008B65C7">
      <w:pPr>
        <w:spacing w:before="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i/>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r>
        <w:rPr>
          <w:rFonts w:ascii="Palatino Linotype" w:eastAsia="Palatino Linotype" w:hAnsi="Palatino Linotype" w:cs="Palatino Linotype"/>
        </w:rPr>
        <w:t>.</w:t>
      </w:r>
    </w:p>
    <w:p w:rsidR="00C25B5D" w:rsidRDefault="00C25B5D">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rsidR="00C25B5D" w:rsidRDefault="008B65C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el caso de que no cuente con información adicional referida en el punto 6, </w:t>
      </w:r>
      <w:r>
        <w:rPr>
          <w:rFonts w:ascii="Palatino Linotype" w:eastAsia="Palatino Linotype" w:hAnsi="Palatino Linotype" w:cs="Palatino Linotype"/>
        </w:rPr>
        <w:t>bastará</w:t>
      </w:r>
      <w:r>
        <w:rPr>
          <w:rFonts w:ascii="Palatino Linotype" w:eastAsia="Palatino Linotype" w:hAnsi="Palatino Linotype" w:cs="Palatino Linotype"/>
          <w:color w:val="000000"/>
        </w:rPr>
        <w:t xml:space="preserve"> que así se lo haga saber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de manera fundada y motivada.</w:t>
      </w:r>
    </w:p>
    <w:p w:rsidR="00C25B5D" w:rsidRDefault="00C25B5D">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rsidR="00C25B5D" w:rsidRDefault="008B65C7">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25B5D" w:rsidRDefault="00C25B5D">
      <w:pPr>
        <w:spacing w:line="360" w:lineRule="auto"/>
        <w:jc w:val="both"/>
        <w:rPr>
          <w:rFonts w:ascii="Palatino Linotype" w:eastAsia="Palatino Linotype" w:hAnsi="Palatino Linotype" w:cs="Palatino Linotype"/>
          <w:highlight w:val="white"/>
        </w:rPr>
      </w:pPr>
    </w:p>
    <w:p w:rsidR="00C25B5D" w:rsidRDefault="008B65C7">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C25B5D" w:rsidRDefault="008B65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C25B5D" w:rsidRDefault="008B65C7">
      <w:pPr>
        <w:spacing w:before="240" w:after="240" w:line="360" w:lineRule="auto"/>
        <w:ind w:right="49"/>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b/>
          <w:highlight w:val="white"/>
        </w:rPr>
        <w:t>Sexto. Gírese</w:t>
      </w:r>
      <w:r>
        <w:rPr>
          <w:rFonts w:ascii="Palatino Linotype" w:eastAsia="Palatino Linotype" w:hAnsi="Palatino Linotype" w:cs="Palatino Linotype"/>
          <w:highlight w:val="white"/>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p>
    <w:p w:rsidR="00B40B9C" w:rsidRDefault="008B65C7">
      <w:pPr>
        <w:spacing w:before="240" w:after="240" w:line="360" w:lineRule="auto"/>
        <w:jc w:val="both"/>
        <w:rPr>
          <w:rFonts w:ascii="Palatino Linotype" w:eastAsia="Palatino Linotype" w:hAnsi="Palatino Linotype" w:cs="Palatino Linotype"/>
        </w:rPr>
        <w:sectPr w:rsidR="00B40B9C">
          <w:headerReference w:type="default" r:id="rId28"/>
          <w:footerReference w:type="default" r:id="rId29"/>
          <w:headerReference w:type="first" r:id="rId30"/>
          <w:footerReference w:type="first" r:id="rId31"/>
          <w:pgSz w:w="12240" w:h="15840"/>
          <w:pgMar w:top="1417" w:right="1701" w:bottom="1276" w:left="1701" w:header="709" w:footer="709" w:gutter="0"/>
          <w:pgNumType w:start="1"/>
          <w:cols w:space="720"/>
          <w:titlePg/>
        </w:sectPr>
      </w:pPr>
      <w:bookmarkStart w:id="1" w:name="_heading=h.30j0zll" w:colFirst="0" w:colLast="0"/>
      <w:bookmarkEnd w:id="1"/>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VEINTICUATRO</w:t>
      </w:r>
      <w:r>
        <w:rPr>
          <w:rFonts w:ascii="Palatino Linotype" w:eastAsia="Palatino Linotype" w:hAnsi="Palatino Linotype" w:cs="Palatino Linotype"/>
        </w:rPr>
        <w:t xml:space="preserve"> DE MARZO DEL DOS MIL VEINTIDÓS, ANTE EL SECRETARIO TÉCNICO DEL PLENO ALEXIS TAPIA RAMÍREZ.    </w:t>
      </w:r>
    </w:p>
    <w:p w:rsidR="00C25B5D" w:rsidRDefault="00C25B5D">
      <w:pPr>
        <w:spacing w:before="240" w:after="240" w:line="360" w:lineRule="auto"/>
        <w:jc w:val="both"/>
        <w:rPr>
          <w:rFonts w:ascii="Palatino Linotype" w:eastAsia="Palatino Linotype" w:hAnsi="Palatino Linotype" w:cs="Palatino Linotype"/>
        </w:rPr>
      </w:pPr>
    </w:p>
    <w:p w:rsidR="00C25B5D" w:rsidRDefault="00C25B5D">
      <w:pPr>
        <w:spacing w:before="240" w:after="240" w:line="360" w:lineRule="auto"/>
        <w:jc w:val="both"/>
        <w:rPr>
          <w:rFonts w:ascii="Palatino Linotype" w:eastAsia="Palatino Linotype" w:hAnsi="Palatino Linotype" w:cs="Palatino Linotype"/>
        </w:rPr>
      </w:pPr>
    </w:p>
    <w:p w:rsidR="00C25B5D" w:rsidRDefault="00C25B5D">
      <w:pPr>
        <w:spacing w:before="240" w:after="240" w:line="360" w:lineRule="auto"/>
        <w:jc w:val="both"/>
        <w:rPr>
          <w:rFonts w:ascii="Palatino Linotype" w:eastAsia="Palatino Linotype" w:hAnsi="Palatino Linotype" w:cs="Palatino Linotype"/>
        </w:rPr>
      </w:pPr>
    </w:p>
    <w:p w:rsidR="00C25B5D" w:rsidRDefault="00C25B5D">
      <w:pPr>
        <w:spacing w:before="240" w:after="240" w:line="360" w:lineRule="auto"/>
        <w:jc w:val="both"/>
        <w:rPr>
          <w:rFonts w:ascii="Palatino Linotype" w:eastAsia="Palatino Linotype" w:hAnsi="Palatino Linotype" w:cs="Palatino Linotype"/>
        </w:rPr>
      </w:pPr>
    </w:p>
    <w:p w:rsidR="00B40B9C" w:rsidRDefault="00B40B9C">
      <w:pPr>
        <w:spacing w:before="240" w:after="240" w:line="360" w:lineRule="auto"/>
        <w:jc w:val="both"/>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Default="00B40B9C" w:rsidP="00B40B9C">
      <w:pPr>
        <w:rPr>
          <w:rFonts w:ascii="Palatino Linotype" w:eastAsia="Palatino Linotype" w:hAnsi="Palatino Linotype" w:cs="Palatino Linotype"/>
          <w:sz w:val="20"/>
          <w:szCs w:val="20"/>
        </w:rPr>
      </w:pPr>
    </w:p>
    <w:p w:rsidR="00B40B9C" w:rsidRPr="00B40B9C" w:rsidRDefault="00B40B9C" w:rsidP="00B40B9C">
      <w:pPr>
        <w:rPr>
          <w:rFonts w:ascii="Palatino Linotype" w:eastAsia="Palatino Linotype" w:hAnsi="Palatino Linotype" w:cs="Palatino Linotype"/>
          <w:sz w:val="20"/>
          <w:szCs w:val="20"/>
        </w:rPr>
      </w:pPr>
    </w:p>
    <w:p w:rsidR="00B40B9C" w:rsidRDefault="00B40B9C" w:rsidP="00B40B9C">
      <w:pPr>
        <w:rPr>
          <w:rFonts w:ascii="Palatino Linotype" w:eastAsia="Palatino Linotype" w:hAnsi="Palatino Linotype" w:cs="Palatino Linotype"/>
          <w:sz w:val="20"/>
          <w:szCs w:val="20"/>
        </w:rPr>
      </w:pPr>
    </w:p>
    <w:p w:rsidR="00C25B5D" w:rsidRPr="00B40B9C" w:rsidRDefault="00B40B9C" w:rsidP="00B40B9C">
      <w:pPr>
        <w:tabs>
          <w:tab w:val="left" w:pos="8100"/>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p>
    <w:sectPr w:rsidR="00C25B5D" w:rsidRPr="00B40B9C">
      <w:headerReference w:type="first" r:id="rId32"/>
      <w:pgSz w:w="12240" w:h="15840"/>
      <w:pgMar w:top="1417" w:right="1701" w:bottom="1276"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5C7" w:rsidRDefault="008B65C7">
      <w:r>
        <w:separator/>
      </w:r>
    </w:p>
  </w:endnote>
  <w:endnote w:type="continuationSeparator" w:id="0">
    <w:p w:rsidR="008B65C7" w:rsidRDefault="008B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B5D" w:rsidRDefault="008B65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2B39">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2B39">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C25B5D" w:rsidRDefault="00C25B5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B5D" w:rsidRDefault="008B65C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B40B9C">
      <w:rPr>
        <w:rFonts w:ascii="Palatino Linotype" w:eastAsia="Palatino Linotype" w:hAnsi="Palatino Linotype" w:cs="Palatino Linotype"/>
        <w:b/>
        <w:color w:val="000000"/>
        <w:sz w:val="20"/>
        <w:szCs w:val="20"/>
      </w:rPr>
      <w:t>49</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2B39">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C25B5D" w:rsidRDefault="00C25B5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5C7" w:rsidRDefault="008B65C7">
      <w:r>
        <w:separator/>
      </w:r>
    </w:p>
  </w:footnote>
  <w:footnote w:type="continuationSeparator" w:id="0">
    <w:p w:rsidR="008B65C7" w:rsidRDefault="008B65C7">
      <w:r>
        <w:continuationSeparator/>
      </w:r>
    </w:p>
  </w:footnote>
  <w:footnote w:id="1">
    <w:p w:rsidR="00C25B5D" w:rsidRDefault="008B65C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Artículo 342 del Código Financiero del Estado de México.</w:t>
      </w:r>
    </w:p>
  </w:footnote>
  <w:footnote w:id="2">
    <w:p w:rsidR="00C25B5D" w:rsidRDefault="008B65C7">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Disponible en: https://www.cfe.mx/Casa/InformacionCliente/Pages/Conoce-tu-recibo.aspx</w:t>
      </w:r>
    </w:p>
  </w:footnote>
  <w:footnote w:id="3">
    <w:p w:rsidR="00C25B5D" w:rsidRDefault="008B65C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344 del Código Financiero del Estado de México y Municipios</w:t>
      </w:r>
    </w:p>
  </w:footnote>
  <w:footnote w:id="4">
    <w:p w:rsidR="00C25B5D" w:rsidRDefault="008B65C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2 de la Ley de la Comisión Federal de Electricidad.</w:t>
      </w:r>
    </w:p>
  </w:footnote>
  <w:footnote w:id="5">
    <w:p w:rsidR="00C25B5D" w:rsidRDefault="008B65C7">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16"/>
          <w:szCs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B5D" w:rsidRDefault="008B65C7">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-714372</wp:posOffset>
          </wp:positionH>
          <wp:positionV relativeFrom="paragraph">
            <wp:posOffset>-267332</wp:posOffset>
          </wp:positionV>
          <wp:extent cx="7635600" cy="9943200"/>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C25B5D">
      <w:tc>
        <w:tcPr>
          <w:tcW w:w="2551" w:type="dxa"/>
          <w:vAlign w:val="center"/>
        </w:tcPr>
        <w:p w:rsidR="00C25B5D" w:rsidRDefault="008B65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C25B5D" w:rsidRDefault="008B65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00559/INFOEM/IP/RR/2022.</w:t>
          </w:r>
        </w:p>
      </w:tc>
    </w:tr>
    <w:tr w:rsidR="00C25B5D">
      <w:trPr>
        <w:trHeight w:val="228"/>
      </w:trPr>
      <w:tc>
        <w:tcPr>
          <w:tcW w:w="2551" w:type="dxa"/>
          <w:vAlign w:val="center"/>
        </w:tcPr>
        <w:p w:rsidR="00C25B5D" w:rsidRDefault="008B65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C25B5D" w:rsidRDefault="008B65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Xalatlaco.</w:t>
          </w:r>
        </w:p>
      </w:tc>
    </w:tr>
    <w:tr w:rsidR="00C25B5D">
      <w:tc>
        <w:tcPr>
          <w:tcW w:w="2551" w:type="dxa"/>
          <w:vAlign w:val="center"/>
        </w:tcPr>
        <w:p w:rsidR="00C25B5D" w:rsidRDefault="008B65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C25B5D" w:rsidRDefault="008B65C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25B5D" w:rsidRDefault="00C25B5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B5D" w:rsidRDefault="008B65C7">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-638172</wp:posOffset>
          </wp:positionH>
          <wp:positionV relativeFrom="paragraph">
            <wp:posOffset>-172082</wp:posOffset>
          </wp:positionV>
          <wp:extent cx="7635600" cy="9943200"/>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5670" w:type="dxa"/>
      <w:tblInd w:w="3119" w:type="dxa"/>
      <w:tblLayout w:type="fixed"/>
      <w:tblLook w:val="0400" w:firstRow="0" w:lastRow="0" w:firstColumn="0" w:lastColumn="0" w:noHBand="0" w:noVBand="1"/>
    </w:tblPr>
    <w:tblGrid>
      <w:gridCol w:w="2551"/>
      <w:gridCol w:w="3119"/>
    </w:tblGrid>
    <w:tr w:rsidR="00C25B5D">
      <w:tc>
        <w:tcPr>
          <w:tcW w:w="2551" w:type="dxa"/>
          <w:vAlign w:val="center"/>
        </w:tcPr>
        <w:p w:rsidR="00C25B5D" w:rsidRDefault="008B65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C25B5D" w:rsidRDefault="008B65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00559/INFOEM/IP/RR/2022.</w:t>
          </w:r>
        </w:p>
      </w:tc>
    </w:tr>
    <w:tr w:rsidR="00C25B5D">
      <w:tc>
        <w:tcPr>
          <w:tcW w:w="2551" w:type="dxa"/>
          <w:vAlign w:val="center"/>
        </w:tcPr>
        <w:p w:rsidR="00C25B5D" w:rsidRDefault="008B65C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C25B5D" w:rsidRDefault="00F52B3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XXXXXX.</w:t>
          </w:r>
        </w:p>
      </w:tc>
    </w:tr>
    <w:tr w:rsidR="00C25B5D">
      <w:trPr>
        <w:trHeight w:val="228"/>
      </w:trPr>
      <w:tc>
        <w:tcPr>
          <w:tcW w:w="2551" w:type="dxa"/>
          <w:vAlign w:val="center"/>
        </w:tcPr>
        <w:p w:rsidR="00C25B5D" w:rsidRDefault="008B65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C25B5D" w:rsidRDefault="008B65C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Xalatlaco.</w:t>
          </w:r>
        </w:p>
      </w:tc>
    </w:tr>
    <w:tr w:rsidR="00C25B5D">
      <w:tc>
        <w:tcPr>
          <w:tcW w:w="2551" w:type="dxa"/>
          <w:vAlign w:val="center"/>
        </w:tcPr>
        <w:p w:rsidR="00C25B5D" w:rsidRDefault="008B65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C25B5D" w:rsidRDefault="008B65C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25B5D" w:rsidRDefault="00C25B5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B9C" w:rsidRDefault="00B40B9C">
    <w:pPr>
      <w:pBdr>
        <w:top w:val="nil"/>
        <w:left w:val="nil"/>
        <w:bottom w:val="nil"/>
        <w:right w:val="nil"/>
        <w:between w:val="nil"/>
      </w:pBdr>
      <w:tabs>
        <w:tab w:val="center" w:pos="4419"/>
        <w:tab w:val="right" w:pos="8838"/>
      </w:tabs>
      <w:jc w:val="both"/>
      <w:rPr>
        <w:color w:val="000000"/>
      </w:rPr>
    </w:pPr>
  </w:p>
  <w:p w:rsidR="00B40B9C" w:rsidRDefault="00B40B9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C255D"/>
    <w:multiLevelType w:val="multilevel"/>
    <w:tmpl w:val="46D48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1F2897"/>
    <w:multiLevelType w:val="multilevel"/>
    <w:tmpl w:val="B8C62F82"/>
    <w:lvl w:ilvl="0">
      <w:start w:val="4"/>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40B06983"/>
    <w:multiLevelType w:val="multilevel"/>
    <w:tmpl w:val="119E49C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FF4A70"/>
    <w:multiLevelType w:val="multilevel"/>
    <w:tmpl w:val="03E48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B5D"/>
    <w:rsid w:val="008B65C7"/>
    <w:rsid w:val="00B40B9C"/>
    <w:rsid w:val="00C25B5D"/>
    <w:rsid w:val="00F52B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D364E-DD8C-4732-8EB6-D08C4D995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aimex.org.mx/saimex/solicitud/downloadAttach/1311682.page" TargetMode="External"/><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311682.page" TargetMode="External"/><Relationship Id="rId17" Type="http://schemas.openxmlformats.org/officeDocument/2006/relationships/hyperlink" Target="https://www.saimex.org.mx/saimex/solicitud/downloadAttach/1311681.pag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311680.page"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11681.page" TargetMode="External"/><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311679.page"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s://www.saimex.org.mx/saimex/solicitud/downloadAttach/1311680.page" TargetMode="Externa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11679.page" TargetMode="External"/><Relationship Id="rId14" Type="http://schemas.openxmlformats.org/officeDocument/2006/relationships/hyperlink" Target="https://www.saimex.org.mx/saimex/solicitud/downloadAttach/1311678.page"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eader" Target="header2.xml"/><Relationship Id="rId8" Type="http://schemas.openxmlformats.org/officeDocument/2006/relationships/hyperlink" Target="https://www.saimex.org.mx/saimex/solicitud/downloadAttach/1311678.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uNZ2pflctYet/8Ns8tohvjvvRQ==">AMUW2mVdPwBXBbxPCsznn2u6i9FaZ9SY8TSDq0MB/lgX/on0A+M1Ps3XRSpV5LaGJgo0JlLsR3HwzUmvVZs9aLQGrrLeop7EhvAmp2O/aOI4IxcZfv9fLH9WAAoB3WInrA2+6O2gJ/40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12169</Words>
  <Characters>66935</Characters>
  <Application>Microsoft Office Word</Application>
  <DocSecurity>0</DocSecurity>
  <Lines>557</Lines>
  <Paragraphs>157</Paragraphs>
  <ScaleCrop>false</ScaleCrop>
  <Company>HP Inc.</Company>
  <LinksUpToDate>false</LinksUpToDate>
  <CharactersWithSpaces>78947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3</cp:revision>
  <dcterms:created xsi:type="dcterms:W3CDTF">2022-03-17T18:07:00Z</dcterms:created>
  <dcterms:modified xsi:type="dcterms:W3CDTF">2022-04-04T22:38:00Z</dcterms:modified>
</cp:coreProperties>
</file>