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de México; a treinta de marzo de dos mil veintidós. </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00539/INFOEM/IP/RR/2022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780E6D">
        <w:rPr>
          <w:rFonts w:ascii="Palatino Linotype" w:eastAsia="Palatino Linotype" w:hAnsi="Palatino Linotype" w:cs="Palatino Linotype"/>
          <w:b/>
          <w:sz w:val="22"/>
          <w:szCs w:val="22"/>
        </w:rPr>
        <w:t xml:space="preserve">XXXXX </w:t>
      </w:r>
      <w:proofErr w:type="spellStart"/>
      <w:r w:rsidR="00780E6D">
        <w:rPr>
          <w:rFonts w:ascii="Palatino Linotype" w:eastAsia="Palatino Linotype" w:hAnsi="Palatino Linotype" w:cs="Palatino Linotype"/>
          <w:b/>
          <w:sz w:val="22"/>
          <w:szCs w:val="22"/>
        </w:rPr>
        <w:t>XXXXX</w:t>
      </w:r>
      <w:proofErr w:type="spellEnd"/>
      <w:r w:rsidR="00780E6D">
        <w:rPr>
          <w:rFonts w:ascii="Palatino Linotype" w:eastAsia="Palatino Linotype" w:hAnsi="Palatino Linotype" w:cs="Palatino Linotype"/>
          <w:b/>
          <w:sz w:val="22"/>
          <w:szCs w:val="22"/>
        </w:rPr>
        <w:t xml:space="preserve"> XXXXXX</w:t>
      </w:r>
      <w:r w:rsidR="00780E6D">
        <w:rPr>
          <w:rFonts w:ascii="Palatino Linotype" w:eastAsia="Palatino Linotype" w:hAnsi="Palatino Linotype" w:cs="Palatino Linotype"/>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w:t>
      </w:r>
      <w:r>
        <w:rPr>
          <w:rFonts w:ascii="Palatino Linotype" w:eastAsia="Palatino Linotype" w:hAnsi="Palatino Linotype" w:cs="Palatino Linotype"/>
          <w:b/>
        </w:rPr>
        <w:t>Servicios Educativos Integrados a</w:t>
      </w:r>
      <w:r>
        <w:rPr>
          <w:rFonts w:ascii="Palatino Linotype" w:eastAsia="Palatino Linotype" w:hAnsi="Palatino Linotype" w:cs="Palatino Linotype"/>
          <w:b/>
        </w:rPr>
        <w:t xml:space="preserve">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D972CF" w:rsidRDefault="00C2019E">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diciembre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w:t>
      </w:r>
      <w:r>
        <w:rPr>
          <w:rFonts w:ascii="Palatino Linotype" w:eastAsia="Palatino Linotype" w:hAnsi="Palatino Linotype" w:cs="Palatino Linotype"/>
          <w:b/>
        </w:rPr>
        <w:t xml:space="preserve">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04521/SEIEM/IP/2021, </w:t>
      </w:r>
      <w:r>
        <w:rPr>
          <w:rFonts w:ascii="Palatino Linotype" w:eastAsia="Palatino Linotype" w:hAnsi="Palatino Linotype" w:cs="Palatino Linotype"/>
        </w:rPr>
        <w:t xml:space="preserve">mediante la cual requirió la información siguiente: </w:t>
      </w:r>
    </w:p>
    <w:p w:rsidR="00D972CF" w:rsidRDefault="00C2019E">
      <w:pPr>
        <w:spacing w:before="240" w:after="240" w:line="276" w:lineRule="auto"/>
        <w:ind w:left="851" w:right="616"/>
        <w:jc w:val="both"/>
        <w:rPr>
          <w:rFonts w:ascii="Palatino Linotype" w:eastAsia="Palatino Linotype" w:hAnsi="Palatino Linotype" w:cs="Palatino Linotype"/>
          <w:i/>
        </w:rPr>
      </w:pPr>
      <w:bookmarkStart w:id="0" w:name="_heading=h.gjdgxs" w:colFirst="0" w:colLast="0"/>
      <w:bookmarkEnd w:id="0"/>
      <w:r>
        <w:rPr>
          <w:rFonts w:ascii="Palatino Linotype" w:eastAsia="Palatino Linotype" w:hAnsi="Palatino Linotype" w:cs="Palatino Linotype"/>
          <w:i/>
        </w:rPr>
        <w:t>“SOLICITO A USTEDES EL PRESUP</w:t>
      </w:r>
      <w:r>
        <w:rPr>
          <w:rFonts w:ascii="Palatino Linotype" w:eastAsia="Palatino Linotype" w:hAnsi="Palatino Linotype" w:cs="Palatino Linotype"/>
          <w:i/>
        </w:rPr>
        <w:t xml:space="preserve">UESTO ASIGNADO PARA EL AÑO LECTIVO 2021-2022, PARA LA SECUNDARIA </w:t>
      </w:r>
      <w:proofErr w:type="spellStart"/>
      <w:r>
        <w:rPr>
          <w:rFonts w:ascii="Palatino Linotype" w:eastAsia="Palatino Linotype" w:hAnsi="Palatino Linotype" w:cs="Palatino Linotype"/>
          <w:i/>
        </w:rPr>
        <w:t>SECUNDARIA</w:t>
      </w:r>
      <w:proofErr w:type="spellEnd"/>
      <w:r>
        <w:rPr>
          <w:rFonts w:ascii="Palatino Linotype" w:eastAsia="Palatino Linotype" w:hAnsi="Palatino Linotype" w:cs="Palatino Linotype"/>
          <w:i/>
        </w:rPr>
        <w:t xml:space="preserve"> GENERAL NUMERO 210 JOSE VASCONCELOS EN HACIENDA CUAUTITLAN, CUAUTITLAN MEXICO, ADSCRITA A LOS SERVICIOS EDUCATIVOS INTEGRADOS AL ESTADO DE MEXICO, CON CLAVE ES 354210 CUYA CLAVE DE</w:t>
      </w:r>
      <w:r>
        <w:rPr>
          <w:rFonts w:ascii="Palatino Linotype" w:eastAsia="Palatino Linotype" w:hAnsi="Palatino Linotype" w:cs="Palatino Linotype"/>
          <w:i/>
        </w:rPr>
        <w:t xml:space="preserve"> CENTRO DE TRABAJO ES: 15DES0331I</w:t>
      </w:r>
      <w:r>
        <w:rPr>
          <w:rFonts w:ascii="Palatino Linotype" w:eastAsia="Palatino Linotype" w:hAnsi="Palatino Linotype" w:cs="Palatino Linotype"/>
          <w:b/>
          <w:i/>
        </w:rPr>
        <w:t>”</w:t>
      </w:r>
      <w:r>
        <w:rPr>
          <w:rFonts w:ascii="Palatino Linotype" w:eastAsia="Palatino Linotype" w:hAnsi="Palatino Linotype" w:cs="Palatino Linotype"/>
          <w:i/>
        </w:rPr>
        <w:t xml:space="preserve"> (sic)</w:t>
      </w:r>
    </w:p>
    <w:p w:rsidR="00D972CF" w:rsidRDefault="00D972CF">
      <w:pPr>
        <w:spacing w:before="240" w:after="240" w:line="360" w:lineRule="auto"/>
        <w:ind w:right="900"/>
        <w:jc w:val="both"/>
        <w:rPr>
          <w:rFonts w:ascii="Palatino Linotype" w:eastAsia="Palatino Linotype" w:hAnsi="Palatino Linotype" w:cs="Palatino Linotype"/>
        </w:rPr>
      </w:pPr>
    </w:p>
    <w:p w:rsidR="00D972CF" w:rsidRDefault="00C2019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solicitante no adjuntó archivos a su solicitud.</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2. Respuesta.</w:t>
      </w:r>
      <w:r>
        <w:rPr>
          <w:rFonts w:ascii="Palatino Linotype" w:eastAsia="Palatino Linotype" w:hAnsi="Palatino Linotype" w:cs="Palatino Linotype"/>
        </w:rPr>
        <w:t xml:space="preserve"> El </w:t>
      </w:r>
      <w:r>
        <w:rPr>
          <w:rFonts w:ascii="Palatino Linotype" w:eastAsia="Palatino Linotype" w:hAnsi="Palatino Linotype" w:cs="Palatino Linotype"/>
          <w:b/>
        </w:rPr>
        <w:t>veinte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w:t>
      </w:r>
      <w:r>
        <w:rPr>
          <w:rFonts w:ascii="Palatino Linotype" w:eastAsia="Palatino Linotype" w:hAnsi="Palatino Linotype" w:cs="Palatino Linotype"/>
          <w:b/>
        </w:rPr>
        <w:t>O</w:t>
      </w:r>
      <w:r>
        <w:rPr>
          <w:rFonts w:ascii="Palatino Linotype" w:eastAsia="Palatino Linotype" w:hAnsi="Palatino Linotype" w:cs="Palatino Linotype"/>
        </w:rPr>
        <w:t xml:space="preserve"> respondió a la solicitud de acceso a la información en los términos siguientes:   </w:t>
      </w:r>
    </w:p>
    <w:p w:rsidR="00D972CF" w:rsidRDefault="00C2019E">
      <w:pPr>
        <w:spacing w:before="240" w:after="24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w:t>
      </w:r>
      <w:r>
        <w:rPr>
          <w:rFonts w:ascii="Palatino Linotype" w:eastAsia="Palatino Linotype" w:hAnsi="Palatino Linotype" w:cs="Palatino Linotype"/>
          <w:i/>
        </w:rPr>
        <w:t>ceso a la Información Pública del Estado de México y Municipios, le contestamos que:</w:t>
      </w:r>
    </w:p>
    <w:p w:rsidR="00D972CF" w:rsidRDefault="00C2019E">
      <w:pPr>
        <w:spacing w:before="240" w:after="240" w:line="360"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Se adjunta respuesta y anexos.</w:t>
      </w:r>
    </w:p>
    <w:p w:rsidR="00D972CF" w:rsidRDefault="00C2019E">
      <w:pPr>
        <w:spacing w:before="240" w:after="240" w:line="360"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D972CF" w:rsidRDefault="00C2019E">
      <w:pPr>
        <w:spacing w:before="240" w:after="240" w:line="360"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Lic. Joaquín Raúl Benítez Vera.” (</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rsidR="00D972CF" w:rsidRDefault="00C2019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tres archivos electrónicos:</w:t>
      </w:r>
    </w:p>
    <w:p w:rsidR="00D972CF" w:rsidRDefault="00C2019E">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“RESPUESTA 4521-21.pdf</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consistente en el oficio No. 210C0101030000S/UT/0087/2022, de fecha 19 de enero de dos mil veintidós, suscrito y signado por el Jefe del Departamento de Legislación y Consulta y Suplente del Titular de la Unidad de Transparencia, po</w:t>
      </w:r>
      <w:r>
        <w:rPr>
          <w:rFonts w:ascii="Palatino Linotype" w:eastAsia="Palatino Linotype" w:hAnsi="Palatino Linotype" w:cs="Palatino Linotype"/>
          <w:color w:val="000000"/>
        </w:rPr>
        <w:t xml:space="preserve">r medio del cual </w:t>
      </w:r>
      <w:r>
        <w:rPr>
          <w:rFonts w:ascii="Palatino Linotype" w:eastAsia="Palatino Linotype" w:hAnsi="Palatino Linotype" w:cs="Palatino Linotype"/>
          <w:b/>
          <w:color w:val="000000"/>
        </w:rPr>
        <w:t xml:space="preserve">remite en archivo adjunto los informes proporcionados por los servidores públicos habilitados de la </w:t>
      </w:r>
      <w:r>
        <w:rPr>
          <w:rFonts w:ascii="Palatino Linotype" w:eastAsia="Palatino Linotype" w:hAnsi="Palatino Linotype" w:cs="Palatino Linotype"/>
          <w:b/>
          <w:color w:val="000000"/>
          <w:u w:val="single"/>
        </w:rPr>
        <w:t>Dirección de Recursos Materiales y Financieros</w:t>
      </w:r>
      <w:r>
        <w:rPr>
          <w:rFonts w:ascii="Palatino Linotype" w:eastAsia="Palatino Linotype" w:hAnsi="Palatino Linotype" w:cs="Palatino Linotype"/>
          <w:b/>
          <w:color w:val="000000"/>
        </w:rPr>
        <w:t xml:space="preserve"> y de la </w:t>
      </w:r>
      <w:r>
        <w:rPr>
          <w:rFonts w:ascii="Palatino Linotype" w:eastAsia="Palatino Linotype" w:hAnsi="Palatino Linotype" w:cs="Palatino Linotype"/>
          <w:b/>
          <w:color w:val="000000"/>
          <w:u w:val="single"/>
        </w:rPr>
        <w:t>Dirección de Educación Secundaria y Servicios de Apoyo</w:t>
      </w:r>
      <w:r>
        <w:rPr>
          <w:rFonts w:ascii="Palatino Linotype" w:eastAsia="Palatino Linotype" w:hAnsi="Palatino Linotype" w:cs="Palatino Linotype"/>
          <w:color w:val="000000"/>
        </w:rPr>
        <w:t>.</w:t>
      </w:r>
    </w:p>
    <w:p w:rsidR="00D972CF" w:rsidRDefault="00C2019E">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w:t>
      </w:r>
      <w:r>
        <w:rPr>
          <w:rFonts w:ascii="Palatino Linotype" w:eastAsia="Palatino Linotype" w:hAnsi="Palatino Linotype" w:cs="Palatino Linotype"/>
          <w:b/>
          <w:i/>
          <w:color w:val="000000"/>
        </w:rPr>
        <w:t xml:space="preserve">escanear0271.pdf” </w:t>
      </w:r>
      <w:r>
        <w:rPr>
          <w:rFonts w:ascii="Palatino Linotype" w:eastAsia="Palatino Linotype" w:hAnsi="Palatino Linotype" w:cs="Palatino Linotype"/>
          <w:color w:val="000000"/>
        </w:rPr>
        <w:t>consiste en el oficio 210C101120100L/0061/2021 del diecisiete de enero de dos mil veintidós, suscrito y signado por el Subdirector de Educación Secundaria y Servidor Público Habilitado de la Dirección de Educación Secundaria y Servicios de Apoyo, por medio</w:t>
      </w:r>
      <w:r>
        <w:rPr>
          <w:rFonts w:ascii="Palatino Linotype" w:eastAsia="Palatino Linotype" w:hAnsi="Palatino Linotype" w:cs="Palatino Linotype"/>
          <w:color w:val="000000"/>
        </w:rPr>
        <w:t xml:space="preserve"> del cual da respuesta a la información solicitada, medularmente en los términos siguientes:</w:t>
      </w:r>
    </w:p>
    <w:p w:rsidR="00D972CF" w:rsidRDefault="00C2019E">
      <w:pPr>
        <w:pBdr>
          <w:top w:val="nil"/>
          <w:left w:val="nil"/>
          <w:bottom w:val="nil"/>
          <w:right w:val="nil"/>
          <w:between w:val="nil"/>
        </w:pBdr>
        <w:spacing w:before="240" w:after="240" w:line="276" w:lineRule="auto"/>
        <w:ind w:left="1440" w:right="73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atención a la solicitud relativa al presupuesto asignado para el año lectivo 2021 – 2022 para la escuela secundaria Vasconcelos, es de comentar que el Gobierno</w:t>
      </w:r>
      <w:r>
        <w:rPr>
          <w:rFonts w:ascii="Palatino Linotype" w:eastAsia="Palatino Linotype" w:hAnsi="Palatino Linotype" w:cs="Palatino Linotype"/>
          <w:i/>
          <w:color w:val="000000"/>
        </w:rPr>
        <w:t xml:space="preserve"> del Estado de México, </w:t>
      </w:r>
      <w:r>
        <w:rPr>
          <w:rFonts w:ascii="Palatino Linotype" w:eastAsia="Palatino Linotype" w:hAnsi="Palatino Linotype" w:cs="Palatino Linotype"/>
          <w:b/>
          <w:i/>
          <w:color w:val="000000"/>
        </w:rPr>
        <w:t xml:space="preserve">asigna un presupuesto global para el organismo, el cual es manejado por la </w:t>
      </w:r>
      <w:r>
        <w:rPr>
          <w:rFonts w:ascii="Palatino Linotype" w:eastAsia="Palatino Linotype" w:hAnsi="Palatino Linotype" w:cs="Palatino Linotype"/>
          <w:b/>
          <w:i/>
          <w:color w:val="000000"/>
          <w:u w:val="single"/>
        </w:rPr>
        <w:t>Coordinación de Administración y Finanzas de SEIEM</w:t>
      </w:r>
      <w:r>
        <w:rPr>
          <w:rFonts w:ascii="Palatino Linotype" w:eastAsia="Palatino Linotype" w:hAnsi="Palatino Linotype" w:cs="Palatino Linotype"/>
          <w:i/>
          <w:color w:val="000000"/>
        </w:rPr>
        <w:t xml:space="preserve">, con fundamento en el artículo 24 del Reglamento Interior de los Servicios Educativos Integrados al Estado </w:t>
      </w:r>
      <w:r>
        <w:rPr>
          <w:rFonts w:ascii="Palatino Linotype" w:eastAsia="Palatino Linotype" w:hAnsi="Palatino Linotype" w:cs="Palatino Linotype"/>
          <w:i/>
          <w:color w:val="000000"/>
        </w:rPr>
        <w:t>de México, por lo que esta instancia tiene los datos necesarios para poder darle información solicitada” (Sic)</w:t>
      </w:r>
    </w:p>
    <w:p w:rsidR="00D972CF" w:rsidRDefault="00C2019E">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 xml:space="preserve">escanear0272.pdf” </w:t>
      </w:r>
      <w:r>
        <w:rPr>
          <w:rFonts w:ascii="Palatino Linotype" w:eastAsia="Palatino Linotype" w:hAnsi="Palatino Linotype" w:cs="Palatino Linotype"/>
          <w:color w:val="000000"/>
        </w:rPr>
        <w:t>consiste en el oficio No. 210C0101240000L/0104/2022 del diecisiete de enero de dos mil veintidós, suscrito y signado por la Di</w:t>
      </w:r>
      <w:r>
        <w:rPr>
          <w:rFonts w:ascii="Palatino Linotype" w:eastAsia="Palatino Linotype" w:hAnsi="Palatino Linotype" w:cs="Palatino Linotype"/>
          <w:color w:val="000000"/>
        </w:rPr>
        <w:t>rectora de Recursos Materiales y Financieros, por medio del cual da respuesta a la información solicitada, en los siguientes términos:</w:t>
      </w:r>
    </w:p>
    <w:p w:rsidR="00D972CF" w:rsidRDefault="00C2019E">
      <w:pPr>
        <w:pBdr>
          <w:top w:val="nil"/>
          <w:left w:val="nil"/>
          <w:bottom w:val="nil"/>
          <w:right w:val="nil"/>
          <w:between w:val="nil"/>
        </w:pBdr>
        <w:spacing w:before="240" w:after="240" w:line="276" w:lineRule="auto"/>
        <w:ind w:left="1440" w:right="73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en el ámbito de la competencia de esta Dirección a mi cargo, al respecto informo, que se realizó una búsqueda exhausti</w:t>
      </w:r>
      <w:r>
        <w:rPr>
          <w:rFonts w:ascii="Palatino Linotype" w:eastAsia="Palatino Linotype" w:hAnsi="Palatino Linotype" w:cs="Palatino Linotype"/>
          <w:i/>
          <w:color w:val="000000"/>
        </w:rPr>
        <w:t xml:space="preserve">va, revisión y consulta de los expedientes, sin encontrar antecedente de acciones relacionadas con el tema solicitado y relacionado con el centro de trabajo 15DES0331I, </w:t>
      </w:r>
      <w:r>
        <w:rPr>
          <w:rFonts w:ascii="Palatino Linotype" w:eastAsia="Palatino Linotype" w:hAnsi="Palatino Linotype" w:cs="Palatino Linotype"/>
          <w:b/>
          <w:i/>
          <w:color w:val="000000"/>
        </w:rPr>
        <w:t>en razón de qué la información presupuestal, se tiende desagregada a nivel Centro de Co</w:t>
      </w:r>
      <w:r>
        <w:rPr>
          <w:rFonts w:ascii="Palatino Linotype" w:eastAsia="Palatino Linotype" w:hAnsi="Palatino Linotype" w:cs="Palatino Linotype"/>
          <w:b/>
          <w:i/>
          <w:color w:val="000000"/>
        </w:rPr>
        <w:t xml:space="preserve">sto y Proyecto Presupuestario. </w:t>
      </w:r>
      <w:r>
        <w:rPr>
          <w:rFonts w:ascii="Palatino Linotype" w:eastAsia="Palatino Linotype" w:hAnsi="Palatino Linotype" w:cs="Palatino Linotype"/>
          <w:i/>
          <w:color w:val="000000"/>
        </w:rPr>
        <w:t>…” (Sic)</w:t>
      </w:r>
    </w:p>
    <w:p w:rsidR="00D972CF" w:rsidRDefault="00C2019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dos de febrero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manifestó lo siguiente:</w:t>
      </w:r>
    </w:p>
    <w:p w:rsidR="00D972CF" w:rsidRDefault="00C2019E">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D972CF" w:rsidRDefault="00D972CF">
      <w:pPr>
        <w:spacing w:before="240" w:after="240" w:line="360" w:lineRule="auto"/>
        <w:ind w:left="567" w:right="900"/>
        <w:jc w:val="both"/>
        <w:rPr>
          <w:rFonts w:ascii="Palatino Linotype" w:eastAsia="Palatino Linotype" w:hAnsi="Palatino Linotype" w:cs="Palatino Linotype"/>
          <w:i/>
          <w:sz w:val="2"/>
          <w:szCs w:val="2"/>
        </w:rPr>
      </w:pPr>
    </w:p>
    <w:p w:rsidR="00D972CF" w:rsidRDefault="00C2019E">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“NEGACION DE INFORMACION DEL SEIEM A LA SOLICITUD DE INFORMACION FOLIO 04521/SEIEM/IP/2021, CON RESPECTO AL PRESUPUESTO 2021-2022 ASIGNADO A LA SECUNDARIA GENERAL NUMERO 210 JOSE VASCONCELOS CENTRO DE TRABAJO: 15DES0331l EN HACIENDA CUAUTITLAN, CUAUTITLAN </w:t>
      </w:r>
      <w:r>
        <w:rPr>
          <w:rFonts w:ascii="Palatino Linotype" w:eastAsia="Palatino Linotype" w:hAnsi="Palatino Linotype" w:cs="Palatino Linotype"/>
          <w:i/>
          <w:sz w:val="22"/>
          <w:szCs w:val="22"/>
        </w:rPr>
        <w:t>MEXICO.”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D972CF" w:rsidRDefault="00D972CF">
      <w:pPr>
        <w:spacing w:before="240" w:after="240" w:line="360" w:lineRule="auto"/>
        <w:jc w:val="both"/>
        <w:rPr>
          <w:rFonts w:ascii="Palatino Linotype" w:eastAsia="Palatino Linotype" w:hAnsi="Palatino Linotype" w:cs="Palatino Linotype"/>
          <w:sz w:val="2"/>
          <w:szCs w:val="2"/>
        </w:rPr>
      </w:pP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rsidR="00D972CF" w:rsidRDefault="00D972CF">
      <w:pPr>
        <w:spacing w:before="240" w:after="240" w:line="360" w:lineRule="auto"/>
        <w:jc w:val="both"/>
        <w:rPr>
          <w:rFonts w:ascii="Palatino Linotype" w:eastAsia="Palatino Linotype" w:hAnsi="Palatino Linotype" w:cs="Palatino Linotype"/>
          <w:sz w:val="2"/>
          <w:szCs w:val="2"/>
        </w:rPr>
      </w:pPr>
    </w:p>
    <w:p w:rsidR="00D972CF" w:rsidRDefault="00C2019E">
      <w:pPr>
        <w:spacing w:before="240" w:after="240" w:line="276" w:lineRule="auto"/>
        <w:ind w:left="567" w:right="900"/>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“DEBIDO A QUE LA SOLICITUD DE INFORMACION FOLIO 04521/SEIEM/IP/2021 NO FUE ENTREGADA COMO SE REQUIRIO, REFIRIENDO COMO CAUSA QUE LA </w:t>
      </w:r>
      <w:r>
        <w:rPr>
          <w:rFonts w:ascii="Palatino Linotype" w:eastAsia="Palatino Linotype" w:hAnsi="Palatino Linotype" w:cs="Palatino Linotype"/>
          <w:b/>
          <w:i/>
          <w:sz w:val="22"/>
          <w:szCs w:val="22"/>
        </w:rPr>
        <w:t>COORDINACION DE ADMINISTRACION Y FINANZAS DEL SEIEM, QUE ES DEPENDENCIA</w:t>
      </w:r>
      <w:r>
        <w:rPr>
          <w:rFonts w:ascii="Palatino Linotype" w:eastAsia="Palatino Linotype" w:hAnsi="Palatino Linotype" w:cs="Palatino Linotype"/>
          <w:b/>
          <w:i/>
          <w:sz w:val="22"/>
          <w:szCs w:val="22"/>
        </w:rPr>
        <w:t xml:space="preserve"> DEL PROPIO SEIEM,</w:t>
      </w:r>
      <w:r>
        <w:rPr>
          <w:rFonts w:ascii="Palatino Linotype" w:eastAsia="Palatino Linotype" w:hAnsi="Palatino Linotype" w:cs="Palatino Linotype"/>
          <w:i/>
          <w:sz w:val="22"/>
          <w:szCs w:val="22"/>
        </w:rPr>
        <w:t xml:space="preserve"> ES LA QUE POSEE LA INFORMACION REQUERIDA Y QUE SE DEBE DIRIGIR A ELLA DICHA SOLICITUD,ESTO CONSITITUYE UNA EVASION A DICHA SOLICITUD POR PARTE DE LA DEPENDENCIA REFERIDA YA QUE EN EL SAIMEX, NO EXISTE TAL AREA COMO INDEPENDIENTE DEL SEIE</w:t>
      </w:r>
      <w:r>
        <w:rPr>
          <w:rFonts w:ascii="Palatino Linotype" w:eastAsia="Palatino Linotype" w:hAnsi="Palatino Linotype" w:cs="Palatino Linotype"/>
          <w:i/>
          <w:sz w:val="22"/>
          <w:szCs w:val="22"/>
        </w:rPr>
        <w:t>M, POR LO QUE AL SER PARTE DEL MISMO, EL SUJETO OBLIGADO SIGUE SIENDO EL PROPIO SEIEM, POR LO QUE SOLICITO QUE TAL DEPENDENCIA PROPORCIONE LA INFORMACION SOLICITADA Y POR LO CUAL INTERPONGO ESTE RECURSO DE INCONFORMIDAD.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w:t>
      </w:r>
      <w:r>
        <w:rPr>
          <w:rFonts w:ascii="Palatino Linotype" w:eastAsia="Palatino Linotype" w:hAnsi="Palatino Linotype" w:cs="Palatino Linotype"/>
        </w:rPr>
        <w:t xml:space="preserve">el artículo 185 fracción I de la Ley de Transparencia y Acceso a la Información Pública del Estado de México y Municipios vigente, el </w:t>
      </w:r>
      <w:r>
        <w:rPr>
          <w:rFonts w:ascii="Palatino Linotype" w:eastAsia="Palatino Linotype" w:hAnsi="Palatino Linotype" w:cs="Palatino Linotype"/>
        </w:rPr>
        <w:lastRenderedPageBreak/>
        <w:t>presente recurso de revisión se turnó por el sistema electrónico del Instituto de Transparencia, Acceso a la Información P</w:t>
      </w:r>
      <w:r>
        <w:rPr>
          <w:rFonts w:ascii="Palatino Linotype" w:eastAsia="Palatino Linotype" w:hAnsi="Palatino Linotype" w:cs="Palatino Linotype"/>
        </w:rPr>
        <w:t xml:space="preserve">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D972CF" w:rsidRDefault="00C2019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ocho de febrero de dos mil veintidós</w:t>
      </w:r>
      <w:r>
        <w:rPr>
          <w:rFonts w:ascii="Palatino Linotype" w:eastAsia="Palatino Linotype" w:hAnsi="Palatino Linotype" w:cs="Palatino Linotype"/>
          <w:b/>
        </w:rPr>
        <w:t xml:space="preserve">,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w:t>
      </w:r>
      <w:r>
        <w:rPr>
          <w:rFonts w:ascii="Palatino Linotype" w:eastAsia="Palatino Linotype" w:hAnsi="Palatino Linotype" w:cs="Palatino Linotype"/>
        </w:rPr>
        <w:t xml:space="preserve">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D972CF" w:rsidRDefault="00C2019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diecisiete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rindió informe justificado a través del archivo electrónico siguiente: </w:t>
      </w:r>
    </w:p>
    <w:p w:rsidR="00D972CF" w:rsidRDefault="00C2019E">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“Informe de </w:t>
      </w:r>
      <w:proofErr w:type="spellStart"/>
      <w:r>
        <w:rPr>
          <w:rFonts w:ascii="Palatino Linotype" w:eastAsia="Palatino Linotype" w:hAnsi="Palatino Linotype" w:cs="Palatino Linotype"/>
          <w:b/>
          <w:i/>
          <w:color w:val="000000"/>
        </w:rPr>
        <w:t>Justiticación</w:t>
      </w:r>
      <w:proofErr w:type="spellEnd"/>
      <w:r>
        <w:rPr>
          <w:rFonts w:ascii="Palatino Linotype" w:eastAsia="Palatino Linotype" w:hAnsi="Palatino Linotype" w:cs="Palatino Linotype"/>
          <w:b/>
          <w:i/>
          <w:color w:val="000000"/>
        </w:rPr>
        <w:t xml:space="preserve"> 0539INFOEMIPRR2022 .</w:t>
      </w:r>
      <w:proofErr w:type="spellStart"/>
      <w:r>
        <w:rPr>
          <w:rFonts w:ascii="Palatino Linotype" w:eastAsia="Palatino Linotype" w:hAnsi="Palatino Linotype" w:cs="Palatino Linotype"/>
          <w:b/>
          <w:i/>
          <w:color w:val="000000"/>
        </w:rPr>
        <w:t>pdf</w:t>
      </w:r>
      <w:proofErr w:type="spellEnd"/>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Oficio  No. 210C0101030000S/UT/0265/2022, del diecisiete de febrero de dos mil veintidós, suscrito por el Jefe del Departamento de </w:t>
      </w:r>
      <w:r>
        <w:rPr>
          <w:rFonts w:ascii="Palatino Linotype" w:eastAsia="Palatino Linotype" w:hAnsi="Palatino Linotype" w:cs="Palatino Linotype"/>
          <w:color w:val="000000"/>
        </w:rPr>
        <w:t xml:space="preserve">Legislación y Consulta y Suplente del Titular de la Unidad de Transparencia, por medio del cual rinde el informe justificado, en los términos siguientes: </w:t>
      </w:r>
    </w:p>
    <w:p w:rsidR="00D972CF" w:rsidRDefault="00C2019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1388745"/>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130" cy="1388745"/>
                    </a:xfrm>
                    <a:prstGeom prst="rect">
                      <a:avLst/>
                    </a:prstGeom>
                    <a:ln/>
                  </pic:spPr>
                </pic:pic>
              </a:graphicData>
            </a:graphic>
          </wp:inline>
        </w:drawing>
      </w:r>
    </w:p>
    <w:p w:rsidR="00D972CF" w:rsidRDefault="00C2019E">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787622" cy="2832054"/>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787622" cy="2832054"/>
                    </a:xfrm>
                    <a:prstGeom prst="rect">
                      <a:avLst/>
                    </a:prstGeom>
                    <a:ln/>
                  </pic:spPr>
                </pic:pic>
              </a:graphicData>
            </a:graphic>
          </wp:inline>
        </w:drawing>
      </w:r>
    </w:p>
    <w:p w:rsidR="00D972CF" w:rsidRDefault="00C2019E">
      <w:pPr>
        <w:widowControl w:val="0"/>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 xml:space="preserve">anexos 4521.pdf” </w:t>
      </w:r>
      <w:r>
        <w:rPr>
          <w:rFonts w:ascii="Palatino Linotype" w:eastAsia="Palatino Linotype" w:hAnsi="Palatino Linotype" w:cs="Palatino Linotype"/>
          <w:color w:val="000000"/>
        </w:rPr>
        <w:t>oficio número 210C0101240000L/222/2022, de fecha 3 de febrero de 2022, suscrito por la Directora de Recursos Materiales y Financieros, en el que se destaca:</w:t>
      </w:r>
    </w:p>
    <w:p w:rsidR="00D972CF" w:rsidRDefault="00C2019E">
      <w:pPr>
        <w:widowControl w:val="0"/>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4310797" cy="2707053"/>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310797" cy="2707053"/>
                    </a:xfrm>
                    <a:prstGeom prst="rect">
                      <a:avLst/>
                    </a:prstGeom>
                    <a:ln/>
                  </pic:spPr>
                </pic:pic>
              </a:graphicData>
            </a:graphic>
          </wp:inline>
        </w:drawing>
      </w:r>
    </w:p>
    <w:p w:rsidR="00D972CF" w:rsidRDefault="00C2019E">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Documento que mediante acuerdo de fecha veintiocho de febrero de dos mil </w:t>
      </w:r>
      <w:r>
        <w:rPr>
          <w:rFonts w:ascii="Palatino Linotype" w:eastAsia="Palatino Linotype" w:hAnsi="Palatino Linotype" w:cs="Palatino Linotype"/>
        </w:rPr>
        <w:lastRenderedPageBreak/>
        <w:t xml:space="preserve">veintidós se puso a la vista del </w:t>
      </w:r>
      <w:r>
        <w:rPr>
          <w:rFonts w:ascii="Palatino Linotype" w:eastAsia="Palatino Linotype" w:hAnsi="Palatino Linotype" w:cs="Palatino Linotype"/>
          <w:b/>
        </w:rPr>
        <w:t>RECURRENTE.</w:t>
      </w:r>
    </w:p>
    <w:p w:rsidR="00D972CF" w:rsidRDefault="00C2019E">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realizó manifestaciones, ni formuló alegatos y tampoco ofreció medios de prueba. </w:t>
      </w:r>
    </w:p>
    <w:p w:rsidR="00D972CF" w:rsidRDefault="00C2019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Cierre de instrucción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Pr>
          <w:rFonts w:ascii="Palatino Linotype" w:eastAsia="Palatino Linotype" w:hAnsi="Palatino Linotype" w:cs="Palatino Linotype"/>
          <w:b/>
        </w:rPr>
        <w:t>el dieciséis de marzo</w:t>
      </w:r>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mil veintidós,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la Comisionada Ponente determinó el cierre de instrucción en términos de la </w:t>
      </w:r>
      <w:r>
        <w:rPr>
          <w:rFonts w:ascii="Palatino Linotype" w:eastAsia="Palatino Linotype" w:hAnsi="Palatino Linotype" w:cs="Palatino Linotype"/>
        </w:rPr>
        <w:t>fracción VI del artículo 185 de la Ley de Transparencia y Acceso a la Información Pública del Estado de México y Municipios.</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dieciséis de marzo de dos mil veintidós</w:t>
      </w:r>
      <w:r>
        <w:rPr>
          <w:rFonts w:ascii="Palatino Linotype" w:eastAsia="Palatino Linotype" w:hAnsi="Palatino Linotype" w:cs="Palatino Linotype"/>
        </w:rPr>
        <w:t>, este Instituto con fundamento en el art</w:t>
      </w:r>
      <w:r>
        <w:rPr>
          <w:rFonts w:ascii="Palatino Linotype" w:eastAsia="Palatino Linotype" w:hAnsi="Palatino Linotype" w:cs="Palatino Linotype"/>
        </w:rPr>
        <w:t xml:space="preserve">ículo 181, párrafo tercero, de la Ley de Transparencia y Acceso a la Información Pública del Estado de México y Municipios, determinó mediante el acuerdo respectivo, ampliar por quince días hábiles adicionales el plazo para emitir la presente resolución. </w:t>
      </w:r>
    </w:p>
    <w:p w:rsidR="00D972CF" w:rsidRDefault="00C2019E">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w:t>
      </w:r>
      <w:r>
        <w:rPr>
          <w:rFonts w:ascii="Palatino Linotype" w:eastAsia="Palatino Linotype" w:hAnsi="Palatino Linotype" w:cs="Palatino Linotype"/>
        </w:rPr>
        <w:t xml:space="preserve">puesto por el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w:t>
      </w:r>
      <w:r>
        <w:rPr>
          <w:rFonts w:ascii="Palatino Linotype" w:eastAsia="Palatino Linotype" w:hAnsi="Palatino Linotype" w:cs="Palatino Linotype"/>
        </w:rPr>
        <w:t xml:space="preserve">do Libre y Soberano de México; 2, fracción II; 29, 36 fracciones I y II; 176, 178, </w:t>
      </w:r>
      <w:r>
        <w:rPr>
          <w:rFonts w:ascii="Palatino Linotype" w:eastAsia="Palatino Linotype" w:hAnsi="Palatino Linotype" w:cs="Palatino Linotype"/>
        </w:rPr>
        <w:lastRenderedPageBreak/>
        <w:t>181, 185, fracción I, 186 y 188 de la Ley Transparencia y Acceso a la Información Pública del Estado de México y Municipios; 9, fracciones I y XXIV y 11 del Reglamento Inter</w:t>
      </w:r>
      <w:r>
        <w:rPr>
          <w:rFonts w:ascii="Palatino Linotype" w:eastAsia="Palatino Linotype" w:hAnsi="Palatino Linotype" w:cs="Palatino Linotype"/>
        </w:rPr>
        <w:t>ior del Instituto de Transparencia, Acceso a la Información Pública y Protección de Datos Personales del Estado de México y Municipios.</w:t>
      </w:r>
    </w:p>
    <w:p w:rsidR="00D972CF" w:rsidRDefault="00C2019E">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Previo al estudio del fondo del asunto, se procede a anal</w:t>
      </w:r>
      <w:r>
        <w:rPr>
          <w:rFonts w:ascii="Palatino Linotype" w:eastAsia="Palatino Linotype" w:hAnsi="Palatino Linotype" w:cs="Palatino Linotype"/>
        </w:rPr>
        <w:t xml:space="preserve">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recurso de revis</w:t>
      </w:r>
      <w:r>
        <w:rPr>
          <w:rFonts w:ascii="Palatino Linotype" w:eastAsia="Palatino Linotype" w:hAnsi="Palatino Linotype" w:cs="Palatino Linotype"/>
        </w:rPr>
        <w:t xml:space="preserve">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veinte de enero de dos mil veintidós, </w:t>
      </w:r>
      <w:r>
        <w:rPr>
          <w:rFonts w:ascii="Palatino Linotype" w:eastAsia="Palatino Linotype" w:hAnsi="Palatino Linotype" w:cs="Palatino Linotype"/>
        </w:rPr>
        <w:t xml:space="preserve">mientras que el recurso de revisión se interpuso </w:t>
      </w:r>
      <w:r>
        <w:rPr>
          <w:rFonts w:ascii="Palatino Linotype" w:eastAsia="Palatino Linotype" w:hAnsi="Palatino Linotype" w:cs="Palatino Linotype"/>
          <w:b/>
        </w:rPr>
        <w:t xml:space="preserve">el dos de febrero de dos mil veintidós, </w:t>
      </w:r>
      <w:r>
        <w:rPr>
          <w:rFonts w:ascii="Palatino Linotype" w:eastAsia="Palatino Linotype" w:hAnsi="Palatino Linotype" w:cs="Palatino Linotype"/>
        </w:rPr>
        <w:t>transcurriendo nueve días hábiles</w:t>
      </w:r>
      <w:r>
        <w:rPr>
          <w:rFonts w:ascii="Palatino Linotype" w:eastAsia="Palatino Linotype" w:hAnsi="Palatino Linotype" w:cs="Palatino Linotype"/>
          <w:b/>
        </w:rPr>
        <w:t xml:space="preserve"> </w:t>
      </w:r>
      <w:r>
        <w:rPr>
          <w:rFonts w:ascii="Palatino Linotype" w:eastAsia="Palatino Linotype" w:hAnsi="Palatino Linotype" w:cs="Palatino Linotype"/>
        </w:rPr>
        <w:t>en que tuvo conocimiento de la respuesta impugnada.</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al considerar la fecha en que se formuló la solicitud y la fecha en la que respondió a ésta </w:t>
      </w:r>
      <w:r>
        <w:rPr>
          <w:rFonts w:ascii="Palatino Linotype" w:eastAsia="Palatino Linotype" w:hAnsi="Palatino Linotype" w:cs="Palatino Linotype"/>
          <w:b/>
        </w:rPr>
        <w:t>EL SUJETO OBLIGADO</w:t>
      </w:r>
      <w:r>
        <w:rPr>
          <w:rFonts w:ascii="Palatino Linotype" w:eastAsia="Palatino Linotype" w:hAnsi="Palatino Linotype" w:cs="Palatino Linotype"/>
        </w:rPr>
        <w:t>; así como, en la que se interpuso el recurso de revisión, éste se encuentra dentro de los márgenes temporales previstos en el cit</w:t>
      </w:r>
      <w:r>
        <w:rPr>
          <w:rFonts w:ascii="Palatino Linotype" w:eastAsia="Palatino Linotype" w:hAnsi="Palatino Linotype" w:cs="Palatino Linotype"/>
        </w:rPr>
        <w:t>ado precepto legal.</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w:t>
      </w:r>
      <w:r>
        <w:rPr>
          <w:rFonts w:ascii="Palatino Linotype" w:eastAsia="Palatino Linotype" w:hAnsi="Palatino Linotype" w:cs="Palatino Linotype"/>
        </w:rPr>
        <w:lastRenderedPageBreak/>
        <w:t>plena de los elementos formales precisados por el artículo 180 de la Le</w:t>
      </w:r>
      <w:r>
        <w:rPr>
          <w:rFonts w:ascii="Palatino Linotype" w:eastAsia="Palatino Linotype" w:hAnsi="Palatino Linotype" w:cs="Palatino Linotype"/>
        </w:rPr>
        <w:t>y de Transparencia y Acceso a la Información Pública del Estado de México y Municipios, en atención a que fue presentado mediante el formato visible en el SAIMEX.</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w:t>
      </w:r>
      <w:r>
        <w:rPr>
          <w:rFonts w:ascii="Palatino Linotype" w:eastAsia="Palatino Linotype" w:hAnsi="Palatino Linotype" w:cs="Palatino Linotype"/>
        </w:rPr>
        <w:t xml:space="preserve">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w:t>
      </w:r>
      <w:r>
        <w:rPr>
          <w:rFonts w:ascii="Palatino Linotype" w:eastAsia="Palatino Linotype" w:hAnsi="Palatino Linotype" w:cs="Palatino Linotype"/>
          <w:color w:val="000000"/>
        </w:rPr>
        <w:t xml:space="preserve"> I </w:t>
      </w:r>
      <w:r>
        <w:rPr>
          <w:rFonts w:ascii="Palatino Linotype" w:eastAsia="Palatino Linotype" w:hAnsi="Palatino Linotype" w:cs="Palatino Linotype"/>
        </w:rPr>
        <w:t>del ordenamiento legal citado, que a la letra dice: </w:t>
      </w:r>
    </w:p>
    <w:p w:rsidR="00D972CF" w:rsidRDefault="00C2019E">
      <w:pPr>
        <w:tabs>
          <w:tab w:val="left" w:pos="7088"/>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D972CF" w:rsidRDefault="00C2019E">
      <w:pPr>
        <w:tabs>
          <w:tab w:val="left" w:pos="7088"/>
        </w:tabs>
        <w:spacing w:before="240" w:after="240" w:line="276" w:lineRule="auto"/>
        <w:ind w:left="1134" w:right="616" w:hanging="28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D972CF" w:rsidRDefault="00C2019E">
      <w:pPr>
        <w:numPr>
          <w:ilvl w:val="0"/>
          <w:numId w:val="5"/>
        </w:numPr>
        <w:pBdr>
          <w:top w:val="nil"/>
          <w:left w:val="nil"/>
          <w:bottom w:val="nil"/>
          <w:right w:val="nil"/>
          <w:between w:val="nil"/>
        </w:pBdr>
        <w:tabs>
          <w:tab w:val="left" w:pos="7088"/>
        </w:tabs>
        <w:spacing w:before="240" w:after="240" w:line="276" w:lineRule="auto"/>
        <w:ind w:left="1134" w:right="616" w:hanging="283"/>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La negativa a la información solicitada;”</w:t>
      </w:r>
    </w:p>
    <w:p w:rsidR="00D972CF" w:rsidRDefault="00C2019E">
      <w:pPr>
        <w:tabs>
          <w:tab w:val="left" w:pos="7088"/>
        </w:tabs>
        <w:spacing w:before="240" w:after="240"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b/>
        </w:rPr>
        <w:t>Tercero. M</w:t>
      </w:r>
      <w:r>
        <w:rPr>
          <w:rFonts w:ascii="Palatino Linotype" w:eastAsia="Palatino Linotype" w:hAnsi="Palatino Linotype" w:cs="Palatino Linotype"/>
          <w:b/>
        </w:rPr>
        <w:t xml:space="preserve">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verificar si la respuesta</w:t>
      </w:r>
      <w:r>
        <w:rPr>
          <w:rFonts w:ascii="Palatino Linotype" w:eastAsia="Palatino Linotype" w:hAnsi="Palatino Linotype" w:cs="Palatino Linotype"/>
          <w:b/>
        </w:rPr>
        <w:t xml:space="preserve"> otorgada por EL SUJETO OBLIGADO es adecuada y suficiente para satisfacer el derecho de acceso a la información pública </w:t>
      </w:r>
      <w:r>
        <w:rPr>
          <w:rFonts w:ascii="Palatino Linotype" w:eastAsia="Palatino Linotype" w:hAnsi="Palatino Linotype" w:cs="Palatino Linotype"/>
        </w:rPr>
        <w:t>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o en su defecto, en caso de ser procedente, ordenar la entrega de información oportuna.</w:t>
      </w:r>
    </w:p>
    <w:p w:rsidR="00D972CF" w:rsidRDefault="00C2019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Cuarto. Estudio del asunto.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Ante</w:t>
      </w:r>
      <w:r>
        <w:rPr>
          <w:rFonts w:ascii="Palatino Linotype" w:eastAsia="Palatino Linotype" w:hAnsi="Palatino Linotype" w:cs="Palatino Linotype"/>
        </w:rPr>
        <w:t xml:space="preserv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w:t>
      </w:r>
      <w:r>
        <w:rPr>
          <w:rFonts w:ascii="Palatino Linotype" w:eastAsia="Palatino Linotype" w:hAnsi="Palatino Linotype" w:cs="Palatino Linotype"/>
        </w:rPr>
        <w:t xml:space="preserve">ido, sin oponer reserva </w:t>
      </w:r>
      <w:r>
        <w:rPr>
          <w:rFonts w:ascii="Palatino Linotype" w:eastAsia="Palatino Linotype" w:hAnsi="Palatino Linotype" w:cs="Palatino Linotype"/>
        </w:rPr>
        <w:lastRenderedPageBreak/>
        <w:t>alguna sobre lo que nos interesa, adoptando dichas disposiciones al Derecho Interno, específicamente a nivel Constitucional, tal y como lo prevén los arábigos 1 párrafos primero, segundo y tercero y 6 apartado A fracciones I, II, II</w:t>
      </w:r>
      <w:r>
        <w:rPr>
          <w:rFonts w:ascii="Palatino Linotype" w:eastAsia="Palatino Linotype" w:hAnsi="Palatino Linotype" w:cs="Palatino Linotype"/>
        </w:rPr>
        <w:t>I, IV, V, VI y VII que a la letra señalan:</w:t>
      </w:r>
    </w:p>
    <w:p w:rsidR="00D972CF" w:rsidRDefault="00C2019E">
      <w:pPr>
        <w:tabs>
          <w:tab w:val="left" w:pos="709"/>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1"/>
          <w:szCs w:val="21"/>
          <w:u w:val="single"/>
        </w:rPr>
        <w:t xml:space="preserve">Artículo 1o. En los </w:t>
      </w:r>
      <w:r>
        <w:rPr>
          <w:rFonts w:ascii="Palatino Linotype" w:eastAsia="Palatino Linotype" w:hAnsi="Palatino Linotype" w:cs="Palatino Linotype"/>
          <w:b/>
          <w:i/>
          <w:sz w:val="22"/>
          <w:szCs w:val="22"/>
          <w:u w:val="single"/>
        </w:rPr>
        <w:t>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D972CF" w:rsidRDefault="00C2019E">
      <w:pPr>
        <w:tabs>
          <w:tab w:val="left" w:pos="709"/>
        </w:tabs>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Las normas relativas a los derechos humanos se interpretarán de conformidad con </w:t>
      </w:r>
      <w:r>
        <w:rPr>
          <w:rFonts w:ascii="Palatino Linotype" w:eastAsia="Palatino Linotype" w:hAnsi="Palatino Linotype" w:cs="Palatino Linotype"/>
          <w:b/>
          <w:i/>
          <w:sz w:val="22"/>
          <w:szCs w:val="22"/>
        </w:rPr>
        <w:t>esta Constitución y con los tratados internacionales de la materia favoreciendo en todo tiempo a las personas la protección más amplia.</w:t>
      </w:r>
    </w:p>
    <w:p w:rsidR="00D972CF" w:rsidRDefault="00C2019E">
      <w:pPr>
        <w:tabs>
          <w:tab w:val="left" w:pos="709"/>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w:t>
      </w:r>
      <w:r>
        <w:rPr>
          <w:rFonts w:ascii="Palatino Linotype" w:eastAsia="Palatino Linotype" w:hAnsi="Palatino Linotype" w:cs="Palatino Linotype"/>
          <w:b/>
          <w:i/>
          <w:sz w:val="22"/>
          <w:szCs w:val="22"/>
          <w:u w:val="single"/>
        </w:rPr>
        <w:t>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w:t>
      </w:r>
      <w:r>
        <w:rPr>
          <w:rFonts w:ascii="Palatino Linotype" w:eastAsia="Palatino Linotype" w:hAnsi="Palatino Linotype" w:cs="Palatino Linotype"/>
          <w:i/>
          <w:sz w:val="22"/>
          <w:szCs w:val="22"/>
        </w:rPr>
        <w:t>os que establezca la ley</w:t>
      </w:r>
    </w:p>
    <w:p w:rsidR="00D972CF" w:rsidRDefault="00C2019E">
      <w:pPr>
        <w:tabs>
          <w:tab w:val="left" w:pos="709"/>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w:t>
      </w:r>
      <w:r>
        <w:rPr>
          <w:rFonts w:ascii="Palatino Linotype" w:eastAsia="Palatino Linotype" w:hAnsi="Palatino Linotype" w:cs="Palatino Linotype"/>
          <w:b/>
          <w:i/>
          <w:sz w:val="22"/>
          <w:szCs w:val="22"/>
          <w:u w:val="single"/>
        </w:rPr>
        <w:t>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w:t>
      </w:r>
      <w:r>
        <w:rPr>
          <w:rFonts w:ascii="Palatino Linotype" w:eastAsia="Palatino Linotype" w:hAnsi="Palatino Linotype" w:cs="Palatino Linotype"/>
          <w:i/>
          <w:sz w:val="22"/>
          <w:szCs w:val="22"/>
        </w:rPr>
        <w:lastRenderedPageBreak/>
        <w:t>moral o sindicat</w:t>
      </w:r>
      <w:r>
        <w:rPr>
          <w:rFonts w:ascii="Palatino Linotype" w:eastAsia="Palatino Linotype" w:hAnsi="Palatino Linotype" w:cs="Palatino Linotype"/>
          <w:i/>
          <w:sz w:val="22"/>
          <w:szCs w:val="22"/>
        </w:rPr>
        <w:t xml:space="preserve">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w:t>
      </w:r>
      <w:r>
        <w:rPr>
          <w:rFonts w:ascii="Palatino Linotype" w:eastAsia="Palatino Linotype" w:hAnsi="Palatino Linotype" w:cs="Palatino Linotype"/>
          <w:i/>
          <w:sz w:val="22"/>
          <w:szCs w:val="22"/>
        </w:rPr>
        <w:t xml:space="preserve"> la interpretación de este derecho deberá prevalecer el principio de máxima publicidad. Los sujetos obligados deberán documentar todo acto que derive del ejercicio de sus facultades, competencias o funciones, la ley determinará los supuestos específicos ba</w:t>
      </w:r>
      <w:r>
        <w:rPr>
          <w:rFonts w:ascii="Palatino Linotype" w:eastAsia="Palatino Linotype" w:hAnsi="Palatino Linotype" w:cs="Palatino Linotype"/>
          <w:i/>
          <w:sz w:val="22"/>
          <w:szCs w:val="22"/>
        </w:rPr>
        <w:t>jo los cuales procederá la declaración de inexistencia de la información.</w:t>
      </w:r>
    </w:p>
    <w:p w:rsidR="00D972CF" w:rsidRDefault="00C2019E">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w:t>
      </w:r>
      <w:r>
        <w:rPr>
          <w:rFonts w:ascii="Palatino Linotype" w:eastAsia="Palatino Linotype" w:hAnsi="Palatino Linotype" w:cs="Palatino Linotype"/>
          <w:b/>
          <w:i/>
          <w:sz w:val="22"/>
          <w:szCs w:val="22"/>
          <w:u w:val="single"/>
        </w:rPr>
        <w:t>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w:t>
      </w:r>
      <w:r>
        <w:rPr>
          <w:rFonts w:ascii="Palatino Linotype" w:eastAsia="Palatino Linotype" w:hAnsi="Palatino Linotype" w:cs="Palatino Linotype"/>
          <w:i/>
          <w:sz w:val="22"/>
          <w:szCs w:val="22"/>
        </w:rPr>
        <w:t>itos que se sustanciarán ante los organismos autónomos especializados e imparciales que establece esta Constitución.</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w:t>
      </w:r>
      <w:r>
        <w:rPr>
          <w:rFonts w:ascii="Palatino Linotype" w:eastAsia="Palatino Linotype" w:hAnsi="Palatino Linotype" w:cs="Palatino Linotype"/>
          <w:i/>
          <w:sz w:val="22"/>
          <w:szCs w:val="22"/>
        </w:rPr>
        <w:t>ctrónicos disponibles, la información completa y actualizada sobre el ejercicio de los recursos públicos y los indicadores que permitan rendir cuenta del cumplimiento de sus objetivos y de los resultados obtenidos.</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 xml:space="preserve">Las leyes determinarán la manera en </w:t>
      </w:r>
      <w:r>
        <w:rPr>
          <w:rFonts w:ascii="Palatino Linotype" w:eastAsia="Palatino Linotype" w:hAnsi="Palatino Linotype" w:cs="Palatino Linotype"/>
          <w:i/>
          <w:sz w:val="22"/>
          <w:szCs w:val="22"/>
        </w:rPr>
        <w:t>que los sujetos obligados deberán hacer pública la información relativa a los recursos públicos que entreguen a personas físicas o morales.</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w:t>
      </w:r>
      <w:r>
        <w:rPr>
          <w:rFonts w:ascii="Palatino Linotype" w:eastAsia="Palatino Linotype" w:hAnsi="Palatino Linotype" w:cs="Palatino Linotype"/>
          <w:i/>
          <w:sz w:val="22"/>
          <w:szCs w:val="22"/>
        </w:rPr>
        <w:t>inos que dispongan las leyes. [...]</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w:t>
      </w:r>
      <w:r>
        <w:rPr>
          <w:rFonts w:ascii="Palatino Linotype" w:eastAsia="Palatino Linotype" w:hAnsi="Palatino Linotype" w:cs="Palatino Linotype"/>
        </w:rPr>
        <w:lastRenderedPageBreak/>
        <w:t>transformada, administrada o en posesión de los Sujetos Obli</w:t>
      </w:r>
      <w:r>
        <w:rPr>
          <w:rFonts w:ascii="Palatino Linotype" w:eastAsia="Palatino Linotype" w:hAnsi="Palatino Linotype" w:cs="Palatino Linotype"/>
        </w:rPr>
        <w:t>gados, como así también lo señala la Ley de Transparencia y Acceso a la Información Pública del Estado de México y Municipios en su artículo 4, que toda la información generada, obtenida, adquirida, transformada, administrada o en posesión de los sujetos o</w:t>
      </w:r>
      <w:r>
        <w:rPr>
          <w:rFonts w:ascii="Palatino Linotype" w:eastAsia="Palatino Linotype" w:hAnsi="Palatino Linotype" w:cs="Palatino Linotype"/>
        </w:rPr>
        <w:t>bligados, es pública y accesible, de manera permanente a cualquier persona, privilegiando el principio de máxima publicidad, como así lo establece dicha determinación, que a continuación se transcribe para un mejor entendimiento:</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972CF" w:rsidRDefault="00C2019E">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w:t>
      </w:r>
      <w:r>
        <w:rPr>
          <w:rFonts w:ascii="Palatino Linotype" w:eastAsia="Palatino Linotype" w:hAnsi="Palatino Linotype" w:cs="Palatino Linotype"/>
          <w:b/>
          <w:i/>
          <w:sz w:val="22"/>
          <w:szCs w:val="22"/>
        </w:rPr>
        <w:t xml:space="preserve"> generada, obtenida, adquirida, transformada, administrada o en posesión de los sujetos obligados es pública y accesible de manera permanente a cualquier persona, en los términos y condiciones que se establezcan en los tratados internacionales de los que e</w:t>
      </w:r>
      <w:r>
        <w:rPr>
          <w:rFonts w:ascii="Palatino Linotype" w:eastAsia="Palatino Linotype" w:hAnsi="Palatino Linotype" w:cs="Palatino Linotype"/>
          <w:b/>
          <w:i/>
          <w:sz w:val="22"/>
          <w:szCs w:val="22"/>
        </w:rPr>
        <w:t>l Estado mexicano sea parte, en la Ley General, la presente Ley y demás disposiciones de la materia, privilegiando el principio de máxima publicidad de la información. Solo podrá ser clasificada excepcionalmente Ley de Transparencia y Acceso a la Informaci</w:t>
      </w:r>
      <w:r>
        <w:rPr>
          <w:rFonts w:ascii="Palatino Linotype" w:eastAsia="Palatino Linotype" w:hAnsi="Palatino Linotype" w:cs="Palatino Linotype"/>
          <w:b/>
          <w:i/>
          <w:sz w:val="22"/>
          <w:szCs w:val="22"/>
        </w:rPr>
        <w:t>ón Pública del Estado de México y Municipios 29 como reservada temporalmente por razones de interés público, en los términos de las causas legítimas y estrictamente necesarias previstas por esta Ley.</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w:t>
      </w:r>
      <w:r>
        <w:rPr>
          <w:rFonts w:ascii="Palatino Linotype" w:eastAsia="Palatino Linotype" w:hAnsi="Palatino Linotype" w:cs="Palatino Linotype"/>
          <w:i/>
          <w:sz w:val="22"/>
          <w:szCs w:val="22"/>
        </w:rPr>
        <w:t xml:space="preserve"> y programas de acceso a la información que se apeguen a criterios de publicidad, veracidad, oportunidad, precisión y suficiencia en beneficio de los solicitantes.”(Sic)</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w:t>
      </w:r>
      <w:r>
        <w:rPr>
          <w:rFonts w:ascii="Palatino Linotype" w:eastAsia="Palatino Linotype" w:hAnsi="Palatino Linotype" w:cs="Palatino Linotype"/>
        </w:rPr>
        <w:t xml:space="preserve">e atender las solicitudes de acceso a la información pública que se les hagan de su conocimiento y proporcionar la información pública que obren en su poder como </w:t>
      </w:r>
      <w:r>
        <w:rPr>
          <w:rFonts w:ascii="Palatino Linotype" w:eastAsia="Palatino Linotype" w:hAnsi="Palatino Linotype" w:cs="Palatino Linotype"/>
        </w:rPr>
        <w:lastRenderedPageBreak/>
        <w:t>así lo establece el artículo 12 de la Ley de Transparencia y Acceso a la Información Pública d</w:t>
      </w:r>
      <w:r>
        <w:rPr>
          <w:rFonts w:ascii="Palatino Linotype" w:eastAsia="Palatino Linotype" w:hAnsi="Palatino Linotype" w:cs="Palatino Linotype"/>
        </w:rPr>
        <w:t>el Estado de México y Municipios, el cual a la letra dice:</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w:t>
      </w:r>
      <w:r>
        <w:rPr>
          <w:rFonts w:ascii="Palatino Linotype" w:eastAsia="Palatino Linotype" w:hAnsi="Palatino Linotype" w:cs="Palatino Linotype"/>
          <w:i/>
          <w:sz w:val="22"/>
          <w:szCs w:val="22"/>
        </w:rPr>
        <w:t xml:space="preserve">cables. </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w:t>
      </w:r>
      <w:r>
        <w:rPr>
          <w:rFonts w:ascii="Palatino Linotype" w:eastAsia="Palatino Linotype" w:hAnsi="Palatino Linotype" w:cs="Palatino Linotype"/>
          <w:i/>
          <w:sz w:val="22"/>
          <w:szCs w:val="22"/>
        </w:rPr>
        <w:t>sentarla conforme al interés del solicitante; no estarán obligados a generarla, resumirla, efectuar cálculos o practicar investigaciones.” (Sic)</w:t>
      </w:r>
    </w:p>
    <w:p w:rsidR="00D972CF" w:rsidRDefault="00C2019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w:t>
      </w:r>
      <w:r>
        <w:rPr>
          <w:rFonts w:ascii="Palatino Linotype" w:eastAsia="Palatino Linotype" w:hAnsi="Palatino Linotype" w:cs="Palatino Linotype"/>
          <w:color w:val="000000"/>
        </w:rPr>
        <w:t>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w:t>
      </w:r>
      <w:r>
        <w:rPr>
          <w:rFonts w:ascii="Palatino Linotype" w:eastAsia="Palatino Linotype" w:hAnsi="Palatino Linotype" w:cs="Palatino Linotype"/>
          <w:i/>
          <w:color w:val="000000"/>
        </w:rPr>
        <w:t>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los cuales señalan lo siguiente</w:t>
      </w:r>
      <w:r>
        <w:rPr>
          <w:rFonts w:ascii="Palatino Linotype" w:eastAsia="Palatino Linotype" w:hAnsi="Palatino Linotype" w:cs="Palatino Linotype"/>
        </w:rPr>
        <w:t>:</w:t>
      </w:r>
    </w:p>
    <w:p w:rsidR="00D972CF" w:rsidRDefault="00C2019E">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D972CF" w:rsidRDefault="00C2019E">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w:t>
      </w:r>
      <w:r>
        <w:rPr>
          <w:rFonts w:ascii="Palatino Linotype" w:eastAsia="Palatino Linotype" w:hAnsi="Palatino Linotype" w:cs="Palatino Linotype"/>
          <w:i/>
          <w:sz w:val="22"/>
          <w:szCs w:val="22"/>
        </w:rPr>
        <w:t xml:space="preserve">e se encuentren en sus archivos o que estén obligados a documentar, de acuerdo con sus </w:t>
      </w:r>
      <w:r>
        <w:rPr>
          <w:rFonts w:ascii="Palatino Linotype" w:eastAsia="Palatino Linotype" w:hAnsi="Palatino Linotype" w:cs="Palatino Linotype"/>
          <w:i/>
          <w:sz w:val="22"/>
          <w:szCs w:val="22"/>
        </w:rPr>
        <w:lastRenderedPageBreak/>
        <w:t>facultades, competencias o funciones, conforme a Las características físicas de la información o del lugar donde se encuentre. Por lo anterior, los sujetos obligados deb</w:t>
      </w:r>
      <w:r>
        <w:rPr>
          <w:rFonts w:ascii="Palatino Linotype" w:eastAsia="Palatino Linotype" w:hAnsi="Palatino Linotype" w:cs="Palatino Linotype"/>
          <w:i/>
          <w:sz w:val="22"/>
          <w:szCs w:val="22"/>
        </w:rPr>
        <w:t>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eastAsia="Palatino Linotype" w:hAnsi="Palatino Linotype" w:cs="Palatino Linotype"/>
          <w:i/>
          <w:sz w:val="22"/>
          <w:szCs w:val="22"/>
        </w:rPr>
        <w:t>."(Sic)</w:t>
      </w:r>
    </w:p>
    <w:p w:rsidR="00D972CF" w:rsidRDefault="00C2019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w:t>
      </w:r>
      <w:r>
        <w:rPr>
          <w:rFonts w:ascii="Palatino Linotype" w:eastAsia="Palatino Linotype" w:hAnsi="Palatino Linotype" w:cs="Palatino Linotype"/>
          <w:color w:val="000000"/>
        </w:rPr>
        <w:t xml:space="preserve"> por consiguiente, la información pública se encuentra a disposición de cualquier persona, lo que implica que es deber de los Sujetos Obligados, garantizar el Derecho de Acceso a la Información Pública.</w:t>
      </w:r>
    </w:p>
    <w:p w:rsidR="00D972CF" w:rsidRDefault="00C2019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w:t>
      </w:r>
      <w:r>
        <w:rPr>
          <w:rFonts w:ascii="Palatino Linotype" w:eastAsia="Palatino Linotype" w:hAnsi="Palatino Linotype" w:cs="Palatino Linotype"/>
        </w:rPr>
        <w:t xml:space="preserve"> o clasificada, que difundirla pondría en riesgo la seguridad jurídica y física del titular de la información, debiendo tener audacia los Sujetos Obligados para cuidar esta información a través del acuerdo clasificatorio del comité de transparencia y la ve</w:t>
      </w:r>
      <w:r>
        <w:rPr>
          <w:rFonts w:ascii="Palatino Linotype" w:eastAsia="Palatino Linotype" w:hAnsi="Palatino Linotype" w:cs="Palatino Linotype"/>
        </w:rPr>
        <w:t>rsión pública que emita el servidor público habilitado de cada Sujeto Obligado; como así se establece en la Ley de Transparencia y Acceso a la Información Pública del Estado de México y Municipios.</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w:t>
      </w:r>
      <w:r>
        <w:rPr>
          <w:rFonts w:ascii="Palatino Linotype" w:eastAsia="Palatino Linotype" w:hAnsi="Palatino Linotype" w:cs="Palatino Linotype"/>
        </w:rPr>
        <w:t xml:space="preserve">ca, consiste en que la información solicitada conste en un documento en cualquiera de sus formas, a saber: expedientes, reportes, estudios, actas, resoluciones, oficios, correspondencia, acuerdos, directivas, directrices, circulares, contratos, convenios, </w:t>
      </w:r>
      <w:r>
        <w:rPr>
          <w:rFonts w:ascii="Palatino Linotype" w:eastAsia="Palatino Linotype" w:hAnsi="Palatino Linotype" w:cs="Palatino Linotype"/>
        </w:rPr>
        <w:t xml:space="preserve">instructivos, notas, memorandos, estadísticas o bien, cualquier otro registro que documente el ejercicio </w:t>
      </w:r>
      <w:r>
        <w:rPr>
          <w:rFonts w:ascii="Palatino Linotype" w:eastAsia="Palatino Linotype" w:hAnsi="Palatino Linotype" w:cs="Palatino Linotype"/>
        </w:rPr>
        <w:lastRenderedPageBreak/>
        <w:t>de las facultades, funciones y competencias de los Sujetos Obligados; los que, podrán estar en cualquier medio, sea escrito, impreso, sonoro, visual, e</w:t>
      </w:r>
      <w:r>
        <w:rPr>
          <w:rFonts w:ascii="Palatino Linotype" w:eastAsia="Palatino Linotype" w:hAnsi="Palatino Linotype" w:cs="Palatino Linotype"/>
        </w:rPr>
        <w:t xml:space="preserve">lectrónico, informático u holográfico de conformidad con el artículo 3, fracción XI de la Ley de la materia, el cual señala lo siguiente: </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972CF" w:rsidRDefault="00C2019E">
      <w:pP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w:t>
      </w:r>
      <w:r>
        <w:rPr>
          <w:rFonts w:ascii="Palatino Linotype" w:eastAsia="Palatino Linotype" w:hAnsi="Palatino Linotype" w:cs="Palatino Linotype"/>
          <w:i/>
          <w:color w:val="000000"/>
          <w:sz w:val="22"/>
          <w:szCs w:val="22"/>
        </w:rPr>
        <w:t>io de las facultades, funciones y competencias de los sujetos obligados, sus servidores públicos e integrantes, sin importar su fuente o fecha de elaboración. Los documentos podrán estar en cualquier medio, sea escrito, impreso, sonoro, visual, electrónico</w:t>
      </w:r>
      <w:r>
        <w:rPr>
          <w:rFonts w:ascii="Palatino Linotype" w:eastAsia="Palatino Linotype" w:hAnsi="Palatino Linotype" w:cs="Palatino Linotype"/>
          <w:i/>
          <w:color w:val="000000"/>
          <w:sz w:val="22"/>
          <w:szCs w:val="22"/>
        </w:rPr>
        <w:t>,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D972CF" w:rsidRDefault="00C201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w:t>
      </w:r>
      <w:r>
        <w:rPr>
          <w:rFonts w:ascii="Palatino Linotype" w:eastAsia="Palatino Linotype" w:hAnsi="Palatino Linotype" w:cs="Palatino Linotype"/>
        </w:rPr>
        <w:t xml:space="preserve"> publicado en el Periódico Oficial del Gobierno del Estado Libre y Soberano de México “Gaceta del Gobierno”, el diecinueve de octubre de dos mil once, cuyo rubro y texto refieren lo siguiente:</w:t>
      </w:r>
    </w:p>
    <w:p w:rsidR="00D972CF" w:rsidRDefault="00C2019E">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INFORMACIÓN PÚBLICA, CONCEPTO DE, EN MATERIA </w:t>
      </w:r>
      <w:r>
        <w:rPr>
          <w:rFonts w:ascii="Palatino Linotype" w:eastAsia="Palatino Linotype" w:hAnsi="Palatino Linotype" w:cs="Palatino Linotype"/>
          <w:b/>
          <w:i/>
          <w:sz w:val="22"/>
          <w:szCs w:val="22"/>
        </w:rPr>
        <w:t>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w:t>
      </w:r>
      <w:r>
        <w:rPr>
          <w:rFonts w:ascii="Palatino Linotype" w:eastAsia="Palatino Linotype" w:hAnsi="Palatino Linotype" w:cs="Palatino Linotype"/>
          <w:i/>
          <w:sz w:val="22"/>
          <w:szCs w:val="22"/>
        </w:rPr>
        <w:t xml:space="preserve">, el acceso a los archivos, registros y documentos públicos, administrados, generados o en posesión de los órganos u organismos públicos, </w:t>
      </w:r>
      <w:r>
        <w:rPr>
          <w:rFonts w:ascii="Palatino Linotype" w:eastAsia="Palatino Linotype" w:hAnsi="Palatino Linotype" w:cs="Palatino Linotype"/>
          <w:i/>
          <w:sz w:val="22"/>
          <w:szCs w:val="22"/>
        </w:rPr>
        <w:lastRenderedPageBreak/>
        <w:t>en virtud del ejercicio de sus funciones de derecho público, sin importar su fuente, soporte o fecha de elaboración.</w:t>
      </w:r>
    </w:p>
    <w:p w:rsidR="00D972CF" w:rsidRDefault="00C2019E">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w:t>
      </w:r>
      <w:r>
        <w:rPr>
          <w:rFonts w:ascii="Palatino Linotype" w:eastAsia="Palatino Linotype" w:hAnsi="Palatino Linotype" w:cs="Palatino Linotype"/>
          <w:i/>
          <w:sz w:val="22"/>
          <w:szCs w:val="22"/>
        </w:rPr>
        <w:t>n consecuencia el acceso a la información se refiere a que se cumplan cualquiera de los siguientes tres supuestos:</w:t>
      </w:r>
    </w:p>
    <w:p w:rsidR="00D972CF" w:rsidRDefault="00C2019E">
      <w:pPr>
        <w:numPr>
          <w:ilvl w:val="0"/>
          <w:numId w:val="3"/>
        </w:numPr>
        <w:pBdr>
          <w:top w:val="nil"/>
          <w:left w:val="nil"/>
          <w:bottom w:val="nil"/>
          <w:right w:val="nil"/>
          <w:between w:val="nil"/>
        </w:pBdr>
        <w:spacing w:before="240" w:after="240" w:line="276" w:lineRule="auto"/>
        <w:ind w:left="1134" w:right="616"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w:t>
      </w:r>
      <w:r>
        <w:rPr>
          <w:rFonts w:ascii="Palatino Linotype" w:eastAsia="Palatino Linotype" w:hAnsi="Palatino Linotype" w:cs="Palatino Linotype"/>
          <w:i/>
          <w:color w:val="000000"/>
          <w:sz w:val="22"/>
          <w:szCs w:val="22"/>
        </w:rPr>
        <w:t xml:space="preserve"> Sujetos Obligados;</w:t>
      </w:r>
    </w:p>
    <w:p w:rsidR="00D972CF" w:rsidRDefault="00C2019E">
      <w:pPr>
        <w:numPr>
          <w:ilvl w:val="0"/>
          <w:numId w:val="3"/>
        </w:numPr>
        <w:pBdr>
          <w:top w:val="nil"/>
          <w:left w:val="nil"/>
          <w:bottom w:val="nil"/>
          <w:right w:val="nil"/>
          <w:between w:val="nil"/>
        </w:pBdr>
        <w:spacing w:before="240" w:after="240" w:line="276" w:lineRule="auto"/>
        <w:ind w:left="1134" w:right="616"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D972CF" w:rsidRDefault="00C2019E">
      <w:pPr>
        <w:spacing w:before="240" w:after="240" w:line="276" w:lineRule="auto"/>
        <w:ind w:left="1134" w:right="616" w:hanging="2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D972CF" w:rsidRDefault="00C2019E">
      <w:pPr>
        <w:spacing w:before="240" w:after="240"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w:t>
      </w:r>
      <w:r>
        <w:rPr>
          <w:rFonts w:ascii="Palatino Linotype" w:eastAsia="Palatino Linotype" w:hAnsi="Palatino Linotype" w:cs="Palatino Linotype"/>
        </w:rPr>
        <w:t>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w:t>
      </w:r>
      <w:r>
        <w:rPr>
          <w:rFonts w:ascii="Palatino Linotype" w:eastAsia="Palatino Linotype" w:hAnsi="Palatino Linotype" w:cs="Palatino Linotype"/>
        </w:rPr>
        <w:t>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D972CF" w:rsidRDefault="00C2019E">
      <w:pPr>
        <w:pBdr>
          <w:top w:val="nil"/>
          <w:left w:val="nil"/>
          <w:bottom w:val="nil"/>
          <w:right w:val="nil"/>
          <w:between w:val="nil"/>
        </w:pBdr>
        <w:tabs>
          <w:tab w:val="left" w:pos="0"/>
        </w:tabs>
        <w:spacing w:before="240" w:after="240"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lastRenderedPageBreak/>
        <w:t>Por lo que, con la finalidad de ilustrar el asunto qué se resuelve, es importante precisar que lo que</w:t>
      </w:r>
      <w:r>
        <w:rPr>
          <w:rFonts w:ascii="Palatino Linotype" w:eastAsia="Palatino Linotype" w:hAnsi="Palatino Linotype" w:cs="Palatino Linotype"/>
          <w:b/>
          <w:color w:val="000000"/>
        </w:rPr>
        <w:t xml:space="preserve"> el RECURRENTE </w:t>
      </w:r>
      <w:r>
        <w:rPr>
          <w:rFonts w:ascii="Palatino Linotype" w:eastAsia="Palatino Linotype" w:hAnsi="Palatino Linotype" w:cs="Palatino Linotype"/>
          <w:color w:val="000000"/>
        </w:rPr>
        <w:t xml:space="preserve">solicitó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“…EL PRESUPUE</w:t>
      </w:r>
      <w:r>
        <w:rPr>
          <w:rFonts w:ascii="Palatino Linotype" w:eastAsia="Palatino Linotype" w:hAnsi="Palatino Linotype" w:cs="Palatino Linotype"/>
          <w:i/>
          <w:color w:val="000000"/>
        </w:rPr>
        <w:t xml:space="preserve">STO ASIGNADO PARA EL AÑO LECTIVO 2021-2022, PARA LA SECUNDARIA </w:t>
      </w:r>
      <w:proofErr w:type="spellStart"/>
      <w:r>
        <w:rPr>
          <w:rFonts w:ascii="Palatino Linotype" w:eastAsia="Palatino Linotype" w:hAnsi="Palatino Linotype" w:cs="Palatino Linotype"/>
          <w:i/>
          <w:color w:val="000000"/>
        </w:rPr>
        <w:t>SECUNDARIA</w:t>
      </w:r>
      <w:proofErr w:type="spellEnd"/>
      <w:r>
        <w:rPr>
          <w:rFonts w:ascii="Palatino Linotype" w:eastAsia="Palatino Linotype" w:hAnsi="Palatino Linotype" w:cs="Palatino Linotype"/>
          <w:i/>
          <w:color w:val="000000"/>
        </w:rPr>
        <w:t xml:space="preserve"> GENERAL NUMERO 210 JOSE VASCONCELOS EN HACIENDA CUAUTITLAN, CUAUTITLAN MEXICO, ADSCRITA A LOS SERVICIOS EDUCATIVOS INTEGRADOS AL ESTADO DE MEXICO, CON CLAVE ES 354210 CUYA CLAVE DE C</w:t>
      </w:r>
      <w:r>
        <w:rPr>
          <w:rFonts w:ascii="Palatino Linotype" w:eastAsia="Palatino Linotype" w:hAnsi="Palatino Linotype" w:cs="Palatino Linotype"/>
          <w:i/>
          <w:color w:val="000000"/>
        </w:rPr>
        <w:t>ENTRO DE TRABAJO ES: 15DES0331I</w:t>
      </w:r>
      <w:r>
        <w:rPr>
          <w:rFonts w:ascii="Palatino Linotype" w:eastAsia="Palatino Linotype" w:hAnsi="Palatino Linotype" w:cs="Palatino Linotype"/>
          <w:b/>
          <w:i/>
          <w:color w:val="000000"/>
        </w:rPr>
        <w:t>”</w:t>
      </w:r>
      <w:r>
        <w:rPr>
          <w:rFonts w:ascii="Palatino Linotype" w:eastAsia="Palatino Linotype" w:hAnsi="Palatino Linotype" w:cs="Palatino Linotype"/>
          <w:i/>
          <w:color w:val="000000"/>
        </w:rPr>
        <w:t xml:space="preserve"> (sic)</w:t>
      </w:r>
    </w:p>
    <w:p w:rsidR="00D972CF" w:rsidRDefault="00C2019E">
      <w:pPr>
        <w:pBdr>
          <w:top w:val="nil"/>
          <w:left w:val="nil"/>
          <w:bottom w:val="nil"/>
          <w:right w:val="nil"/>
          <w:between w:val="nil"/>
        </w:pBdr>
        <w:tabs>
          <w:tab w:val="left" w:pos="0"/>
        </w:tabs>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su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adjuntó dos archivos electrónicos identificados como: </w:t>
      </w:r>
    </w:p>
    <w:p w:rsidR="00D972CF" w:rsidRDefault="00C2019E">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 xml:space="preserve">escanear0271.pdf” </w:t>
      </w:r>
      <w:r>
        <w:rPr>
          <w:rFonts w:ascii="Palatino Linotype" w:eastAsia="Palatino Linotype" w:hAnsi="Palatino Linotype" w:cs="Palatino Linotype"/>
          <w:color w:val="000000"/>
        </w:rPr>
        <w:t>consistente en el oficio 210C101120100L/0061/2021 del diecisiete de enero de dos mil veintidós, suscrito y signado por el Subdirector de Educación Secundaria y Servidor Público Habilitado de la Dirección de Educación Secundaria y Servicios de Apoyo, por me</w:t>
      </w:r>
      <w:r>
        <w:rPr>
          <w:rFonts w:ascii="Palatino Linotype" w:eastAsia="Palatino Linotype" w:hAnsi="Palatino Linotype" w:cs="Palatino Linotype"/>
          <w:color w:val="000000"/>
        </w:rPr>
        <w:t>dio del cual da respuesta a la información solicitada, que se muestra a continuación:</w:t>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304800</wp:posOffset>
                </wp:positionH>
                <wp:positionV relativeFrom="paragraph">
                  <wp:posOffset>1854200</wp:posOffset>
                </wp:positionV>
                <wp:extent cx="5197475" cy="2549525"/>
                <wp:effectExtent l="0" t="0" r="0" b="0"/>
                <wp:wrapNone/>
                <wp:docPr id="25" name="Conector recto de flecha 25"/>
                <wp:cNvGraphicFramePr/>
                <a:graphic xmlns:a="http://schemas.openxmlformats.org/drawingml/2006/main">
                  <a:graphicData uri="http://schemas.microsoft.com/office/word/2010/wordprocessingShape">
                    <wps:wsp>
                      <wps:cNvCnPr/>
                      <wps:spPr>
                        <a:xfrm>
                          <a:off x="2759963" y="2517938"/>
                          <a:ext cx="5172075" cy="252412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wp:posOffset>
                </wp:positionH>
                <wp:positionV relativeFrom="paragraph">
                  <wp:posOffset>1854200</wp:posOffset>
                </wp:positionV>
                <wp:extent cx="5197475" cy="2549525"/>
                <wp:effectExtent b="0" l="0" r="0" t="0"/>
                <wp:wrapNone/>
                <wp:docPr id="25"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5197475" cy="2549525"/>
                        </a:xfrm>
                        <a:prstGeom prst="rect"/>
                        <a:ln/>
                      </pic:spPr>
                    </pic:pic>
                  </a:graphicData>
                </a:graphic>
              </wp:anchor>
            </w:drawing>
          </mc:Fallback>
        </mc:AlternateContent>
      </w:r>
    </w:p>
    <w:p w:rsidR="00D972CF" w:rsidRDefault="00C2019E">
      <w:pPr>
        <w:pBdr>
          <w:top w:val="nil"/>
          <w:left w:val="nil"/>
          <w:bottom w:val="nil"/>
          <w:right w:val="nil"/>
          <w:between w:val="nil"/>
        </w:pBdr>
        <w:spacing w:before="240" w:after="240" w:line="360" w:lineRule="auto"/>
        <w:ind w:right="49"/>
        <w:jc w:val="center"/>
        <w:rPr>
          <w:rFonts w:ascii="Palatino Linotype" w:eastAsia="Palatino Linotype" w:hAnsi="Palatino Linotype" w:cs="Palatino Linotype"/>
          <w:i/>
          <w:color w:val="000000"/>
        </w:rPr>
      </w:pPr>
      <w:r>
        <w:rPr>
          <w:noProof/>
          <w:color w:val="000000"/>
          <w:lang w:val="es-MX"/>
        </w:rPr>
        <w:lastRenderedPageBreak/>
        <w:drawing>
          <wp:inline distT="0" distB="0" distL="0" distR="0">
            <wp:extent cx="4878803" cy="4492382"/>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55669" t="19312" r="10217" b="11888"/>
                    <a:stretch>
                      <a:fillRect/>
                    </a:stretch>
                  </pic:blipFill>
                  <pic:spPr>
                    <a:xfrm>
                      <a:off x="0" y="0"/>
                      <a:ext cx="4878803" cy="4492382"/>
                    </a:xfrm>
                    <a:prstGeom prst="rect">
                      <a:avLst/>
                    </a:prstGeom>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533400</wp:posOffset>
                </wp:positionH>
                <wp:positionV relativeFrom="paragraph">
                  <wp:posOffset>2298700</wp:posOffset>
                </wp:positionV>
                <wp:extent cx="4699000" cy="869950"/>
                <wp:effectExtent l="0" t="0" r="0" b="0"/>
                <wp:wrapNone/>
                <wp:docPr id="21" name="Rectángulo 21"/>
                <wp:cNvGraphicFramePr/>
                <a:graphic xmlns:a="http://schemas.openxmlformats.org/drawingml/2006/main">
                  <a:graphicData uri="http://schemas.microsoft.com/office/word/2010/wordprocessingShape">
                    <wps:wsp>
                      <wps:cNvSpPr/>
                      <wps:spPr>
                        <a:xfrm>
                          <a:off x="3002850" y="3351375"/>
                          <a:ext cx="4686300" cy="857250"/>
                        </a:xfrm>
                        <a:prstGeom prst="rect">
                          <a:avLst/>
                        </a:prstGeom>
                        <a:noFill/>
                        <a:ln w="12700" cap="flat" cmpd="sng">
                          <a:solidFill>
                            <a:srgbClr val="FF0000"/>
                          </a:solidFill>
                          <a:prstDash val="solid"/>
                          <a:round/>
                          <a:headEnd type="none" w="sm" len="sm"/>
                          <a:tailEnd type="none" w="sm" len="sm"/>
                        </a:ln>
                      </wps:spPr>
                      <wps:txbx>
                        <w:txbxContent>
                          <w:p w:rsidR="00D972CF" w:rsidRDefault="00D972C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2298700</wp:posOffset>
                </wp:positionV>
                <wp:extent cx="4699000" cy="869950"/>
                <wp:effectExtent b="0" l="0" r="0" t="0"/>
                <wp:wrapNone/>
                <wp:docPr id="21"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4699000" cy="869950"/>
                        </a:xfrm>
                        <a:prstGeom prst="rect"/>
                        <a:ln/>
                      </pic:spPr>
                    </pic:pic>
                  </a:graphicData>
                </a:graphic>
              </wp:anchor>
            </w:drawing>
          </mc:Fallback>
        </mc:AlternateContent>
      </w:r>
    </w:p>
    <w:p w:rsidR="00D972CF" w:rsidRDefault="00C2019E">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 xml:space="preserve">escanear0272.pdf” </w:t>
      </w:r>
      <w:r>
        <w:rPr>
          <w:rFonts w:ascii="Palatino Linotype" w:eastAsia="Palatino Linotype" w:hAnsi="Palatino Linotype" w:cs="Palatino Linotype"/>
          <w:color w:val="000000"/>
        </w:rPr>
        <w:t>consistente en el oficio No. 210C0101240000L/0104/2022 del diecisiete de enero de dos mil veintidós, suscrito y signado por la Directora de Recursos Materiales y Financieros, por medio del cual da respuesta a la información solicitada, en los siguientes té</w:t>
      </w:r>
      <w:r>
        <w:rPr>
          <w:rFonts w:ascii="Palatino Linotype" w:eastAsia="Palatino Linotype" w:hAnsi="Palatino Linotype" w:cs="Palatino Linotype"/>
          <w:color w:val="000000"/>
        </w:rPr>
        <w:t>rminos:</w:t>
      </w:r>
    </w:p>
    <w:p w:rsidR="00D972CF" w:rsidRDefault="00C2019E">
      <w:pPr>
        <w:pBdr>
          <w:top w:val="nil"/>
          <w:left w:val="nil"/>
          <w:bottom w:val="nil"/>
          <w:right w:val="nil"/>
          <w:between w:val="nil"/>
        </w:pBdr>
        <w:tabs>
          <w:tab w:val="left" w:pos="0"/>
        </w:tabs>
        <w:spacing w:before="240" w:after="240" w:line="360" w:lineRule="auto"/>
        <w:ind w:left="708" w:right="49" w:hanging="708"/>
        <w:jc w:val="center"/>
        <w:rPr>
          <w:rFonts w:ascii="Palatino Linotype" w:eastAsia="Palatino Linotype" w:hAnsi="Palatino Linotype" w:cs="Palatino Linotype"/>
          <w:color w:val="000000"/>
        </w:rPr>
      </w:pPr>
      <w:r>
        <w:rPr>
          <w:noProof/>
          <w:color w:val="000000"/>
          <w:lang w:val="es-MX"/>
        </w:rPr>
        <w:lastRenderedPageBreak/>
        <w:drawing>
          <wp:inline distT="0" distB="0" distL="0" distR="0">
            <wp:extent cx="4895463" cy="5658975"/>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54312" t="15993" r="8689" b="7966"/>
                    <a:stretch>
                      <a:fillRect/>
                    </a:stretch>
                  </pic:blipFill>
                  <pic:spPr>
                    <a:xfrm>
                      <a:off x="0" y="0"/>
                      <a:ext cx="4895463" cy="5658975"/>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444500</wp:posOffset>
                </wp:positionH>
                <wp:positionV relativeFrom="paragraph">
                  <wp:posOffset>2946400</wp:posOffset>
                </wp:positionV>
                <wp:extent cx="4699000" cy="1022350"/>
                <wp:effectExtent l="0" t="0" r="0" b="0"/>
                <wp:wrapNone/>
                <wp:docPr id="23" name="Rectángulo 23"/>
                <wp:cNvGraphicFramePr/>
                <a:graphic xmlns:a="http://schemas.openxmlformats.org/drawingml/2006/main">
                  <a:graphicData uri="http://schemas.microsoft.com/office/word/2010/wordprocessingShape">
                    <wps:wsp>
                      <wps:cNvSpPr/>
                      <wps:spPr>
                        <a:xfrm>
                          <a:off x="3002850" y="3275175"/>
                          <a:ext cx="4686300" cy="1009650"/>
                        </a:xfrm>
                        <a:prstGeom prst="rect">
                          <a:avLst/>
                        </a:prstGeom>
                        <a:noFill/>
                        <a:ln w="12700" cap="flat" cmpd="sng">
                          <a:solidFill>
                            <a:srgbClr val="FF0000"/>
                          </a:solidFill>
                          <a:prstDash val="solid"/>
                          <a:round/>
                          <a:headEnd type="none" w="sm" len="sm"/>
                          <a:tailEnd type="none" w="sm" len="sm"/>
                        </a:ln>
                      </wps:spPr>
                      <wps:txbx>
                        <w:txbxContent>
                          <w:p w:rsidR="00D972CF" w:rsidRDefault="00D972C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2946400</wp:posOffset>
                </wp:positionV>
                <wp:extent cx="4699000" cy="1022350"/>
                <wp:effectExtent b="0" l="0" r="0" t="0"/>
                <wp:wrapNone/>
                <wp:docPr id="23"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4699000" cy="1022350"/>
                        </a:xfrm>
                        <a:prstGeom prst="rect"/>
                        <a:ln/>
                      </pic:spPr>
                    </pic:pic>
                  </a:graphicData>
                </a:graphic>
              </wp:anchor>
            </w:drawing>
          </mc:Fallback>
        </mc:AlternateContent>
      </w:r>
    </w:p>
    <w:p w:rsidR="00D972CF" w:rsidRDefault="00C2019E">
      <w:pPr>
        <w:tabs>
          <w:tab w:val="left" w:pos="2745"/>
        </w:tabs>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En atención a la respuesta proporcionada, el </w:t>
      </w:r>
      <w:r>
        <w:rPr>
          <w:rFonts w:ascii="Palatino Linotype" w:eastAsia="Palatino Linotype" w:hAnsi="Palatino Linotype" w:cs="Palatino Linotype"/>
          <w:b/>
        </w:rPr>
        <w:t>RECURRENTE</w:t>
      </w:r>
      <w:r>
        <w:rPr>
          <w:rFonts w:ascii="Palatino Linotype" w:eastAsia="Palatino Linotype" w:hAnsi="Palatino Linotype" w:cs="Palatino Linotype"/>
        </w:rPr>
        <w:t>, interpone recurso de revisión, señalando como Acto Impugnado</w:t>
      </w:r>
      <w:r>
        <w:rPr>
          <w:rFonts w:ascii="Palatino Linotype" w:eastAsia="Palatino Linotype" w:hAnsi="Palatino Linotype" w:cs="Palatino Linotype"/>
          <w:b/>
        </w:rPr>
        <w:t xml:space="preserve">: </w:t>
      </w:r>
      <w:r>
        <w:rPr>
          <w:rFonts w:ascii="Palatino Linotype" w:eastAsia="Palatino Linotype" w:hAnsi="Palatino Linotype" w:cs="Palatino Linotype"/>
          <w:i/>
          <w:sz w:val="22"/>
          <w:szCs w:val="22"/>
        </w:rPr>
        <w:t>“NEGACION DE INFORMACION …” (sic)</w:t>
      </w:r>
      <w:r>
        <w:rPr>
          <w:rFonts w:ascii="Palatino Linotype" w:eastAsia="Palatino Linotype" w:hAnsi="Palatino Linotype" w:cs="Palatino Linotype"/>
          <w:b/>
        </w:rPr>
        <w:t xml:space="preserve">  </w:t>
      </w:r>
      <w:r>
        <w:rPr>
          <w:rFonts w:ascii="Palatino Linotype" w:eastAsia="Palatino Linotype" w:hAnsi="Palatino Linotype" w:cs="Palatino Linotype"/>
        </w:rPr>
        <w:t>y como Razones o motivos de inconformidad:</w:t>
      </w:r>
      <w:r>
        <w:rPr>
          <w:rFonts w:ascii="Palatino Linotype" w:eastAsia="Palatino Linotype" w:hAnsi="Palatino Linotype" w:cs="Palatino Linotype"/>
          <w:b/>
        </w:rPr>
        <w:t xml:space="preserve"> </w:t>
      </w:r>
      <w:r>
        <w:rPr>
          <w:rFonts w:ascii="Palatino Linotype" w:eastAsia="Palatino Linotype" w:hAnsi="Palatino Linotype" w:cs="Palatino Linotype"/>
          <w:i/>
          <w:sz w:val="22"/>
          <w:szCs w:val="22"/>
        </w:rPr>
        <w:t xml:space="preserve">“DEBIDO A QUE LA SOLICITUD DE INFORMACION FOLIO 04521/SEIEM/IP/2021 NO FUE ENTREGADA COMO SE REQUIRIO, REFIRIENDO COMO CAUSA QUE LA </w:t>
      </w:r>
      <w:r>
        <w:rPr>
          <w:rFonts w:ascii="Palatino Linotype" w:eastAsia="Palatino Linotype" w:hAnsi="Palatino Linotype" w:cs="Palatino Linotype"/>
          <w:b/>
          <w:i/>
          <w:sz w:val="22"/>
          <w:szCs w:val="22"/>
        </w:rPr>
        <w:t xml:space="preserve">COORDINACION DE </w:t>
      </w:r>
      <w:r>
        <w:rPr>
          <w:rFonts w:ascii="Palatino Linotype" w:eastAsia="Palatino Linotype" w:hAnsi="Palatino Linotype" w:cs="Palatino Linotype"/>
          <w:b/>
          <w:i/>
          <w:sz w:val="22"/>
          <w:szCs w:val="22"/>
        </w:rPr>
        <w:lastRenderedPageBreak/>
        <w:t>ADMINISTRACION Y FINANZAS DEL SEIEM, QUE ES DEPENDENCIA DEL PROPIO SEIEM,</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LA QUE POSEE LA INFORMACION REQ</w:t>
      </w:r>
      <w:r>
        <w:rPr>
          <w:rFonts w:ascii="Palatino Linotype" w:eastAsia="Palatino Linotype" w:hAnsi="Palatino Linotype" w:cs="Palatino Linotype"/>
          <w:b/>
          <w:i/>
          <w:sz w:val="22"/>
          <w:szCs w:val="22"/>
        </w:rPr>
        <w:t>UERIDA Y QUE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SE DEBE DIRIGIR A ELLA DICHA SOLICITUD, </w:t>
      </w:r>
      <w:r>
        <w:rPr>
          <w:rFonts w:ascii="Palatino Linotype" w:eastAsia="Palatino Linotype" w:hAnsi="Palatino Linotype" w:cs="Palatino Linotype"/>
          <w:i/>
          <w:sz w:val="22"/>
          <w:szCs w:val="22"/>
        </w:rPr>
        <w:t xml:space="preserve">ESTO CONSITITUYE UNA EVASION A DICHA SOLICITUD POR PARTE DE LA DEPENDENCIA REFERIDA YA QUE EN EL SAIMEX, </w:t>
      </w:r>
      <w:r>
        <w:rPr>
          <w:rFonts w:ascii="Palatino Linotype" w:eastAsia="Palatino Linotype" w:hAnsi="Palatino Linotype" w:cs="Palatino Linotype"/>
          <w:b/>
          <w:i/>
          <w:sz w:val="22"/>
          <w:szCs w:val="22"/>
        </w:rPr>
        <w:t>NO EXISTE TAL AREA COMO INDEPENDIENTE DEL SEIEM, POR LO QUE AL SER PARTE DEL MISMO,</w:t>
      </w:r>
      <w:r>
        <w:rPr>
          <w:rFonts w:ascii="Palatino Linotype" w:eastAsia="Palatino Linotype" w:hAnsi="Palatino Linotype" w:cs="Palatino Linotype"/>
          <w:i/>
          <w:sz w:val="22"/>
          <w:szCs w:val="22"/>
        </w:rPr>
        <w:t xml:space="preserve"> EL SUJETO OBLI</w:t>
      </w:r>
      <w:r>
        <w:rPr>
          <w:rFonts w:ascii="Palatino Linotype" w:eastAsia="Palatino Linotype" w:hAnsi="Palatino Linotype" w:cs="Palatino Linotype"/>
          <w:i/>
          <w:sz w:val="22"/>
          <w:szCs w:val="22"/>
        </w:rPr>
        <w:t>GADO SIGUE SIENDO EL PROPIO SEIEM, POR LO QUE SOLICITO QUE TAL DEPENDENCIA PROPORCIONE LA INFORMACION SOLICITADA Y POR LO CUAL INTERPONGO ESTE RECURSO DE INCONFORMIDAD.”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D972CF" w:rsidRDefault="00C2019E">
      <w:pPr>
        <w:tabs>
          <w:tab w:val="left" w:pos="2745"/>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Mediante el Informe Justificado,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manifiesta que en atención a</w:t>
      </w:r>
      <w:r>
        <w:rPr>
          <w:rFonts w:ascii="Palatino Linotype" w:eastAsia="Palatino Linotype" w:hAnsi="Palatino Linotype" w:cs="Palatino Linotype"/>
        </w:rPr>
        <w:t xml:space="preserve"> los motivos de inconformidad expresados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el Servidor Público Habilitado de la Dirección de Recursos Materiales y Financieros, a través del oficio número 210C0101230102L/0222/20222 de fecha tres de febrero de dos mil veintidós, refiere l</w:t>
      </w:r>
      <w:r>
        <w:rPr>
          <w:rFonts w:ascii="Palatino Linotype" w:eastAsia="Palatino Linotype" w:hAnsi="Palatino Linotype" w:cs="Palatino Linotype"/>
        </w:rPr>
        <w:t>o siguiente:</w:t>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-12699</wp:posOffset>
                </wp:positionH>
                <wp:positionV relativeFrom="paragraph">
                  <wp:posOffset>1638300</wp:posOffset>
                </wp:positionV>
                <wp:extent cx="5721350" cy="3311525"/>
                <wp:effectExtent l="0" t="0" r="0" b="0"/>
                <wp:wrapNone/>
                <wp:docPr id="26" name="Conector recto de flecha 26"/>
                <wp:cNvGraphicFramePr/>
                <a:graphic xmlns:a="http://schemas.openxmlformats.org/drawingml/2006/main">
                  <a:graphicData uri="http://schemas.microsoft.com/office/word/2010/wordprocessingShape">
                    <wps:wsp>
                      <wps:cNvCnPr/>
                      <wps:spPr>
                        <a:xfrm>
                          <a:off x="2498025" y="2136938"/>
                          <a:ext cx="5695950" cy="328612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1638300</wp:posOffset>
                </wp:positionV>
                <wp:extent cx="5721350" cy="3311525"/>
                <wp:effectExtent b="0" l="0" r="0" t="0"/>
                <wp:wrapNone/>
                <wp:docPr id="26"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5721350" cy="3311525"/>
                        </a:xfrm>
                        <a:prstGeom prst="rect"/>
                        <a:ln/>
                      </pic:spPr>
                    </pic:pic>
                  </a:graphicData>
                </a:graphic>
              </wp:anchor>
            </w:drawing>
          </mc:Fallback>
        </mc:AlternateContent>
      </w:r>
    </w:p>
    <w:p w:rsidR="00D972CF" w:rsidRDefault="00D972CF">
      <w:pPr>
        <w:tabs>
          <w:tab w:val="left" w:pos="2745"/>
        </w:tabs>
        <w:spacing w:before="240" w:after="240" w:line="360" w:lineRule="auto"/>
        <w:jc w:val="both"/>
        <w:rPr>
          <w:rFonts w:ascii="Palatino Linotype" w:eastAsia="Palatino Linotype" w:hAnsi="Palatino Linotype" w:cs="Palatino Linotype"/>
        </w:rPr>
      </w:pPr>
    </w:p>
    <w:p w:rsidR="00D972CF" w:rsidRDefault="00C2019E">
      <w:pPr>
        <w:tabs>
          <w:tab w:val="left" w:pos="2745"/>
        </w:tabs>
        <w:spacing w:before="240" w:after="240" w:line="360" w:lineRule="auto"/>
        <w:jc w:val="center"/>
        <w:rPr>
          <w:rFonts w:ascii="Palatino Linotype" w:eastAsia="Palatino Linotype" w:hAnsi="Palatino Linotype" w:cs="Palatino Linotype"/>
        </w:rPr>
      </w:pPr>
      <w:r>
        <w:rPr>
          <w:noProof/>
          <w:lang w:val="es-MX"/>
        </w:rPr>
        <w:lastRenderedPageBreak/>
        <w:drawing>
          <wp:inline distT="0" distB="0" distL="0" distR="0">
            <wp:extent cx="5671268" cy="6156647"/>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53461" t="15389" r="8860" b="11888"/>
                    <a:stretch>
                      <a:fillRect/>
                    </a:stretch>
                  </pic:blipFill>
                  <pic:spPr>
                    <a:xfrm>
                      <a:off x="0" y="0"/>
                      <a:ext cx="5671268" cy="6156647"/>
                    </a:xfrm>
                    <a:prstGeom prst="rect">
                      <a:avLst/>
                    </a:prstGeom>
                    <a:ln/>
                  </pic:spPr>
                </pic:pic>
              </a:graphicData>
            </a:graphic>
          </wp:inline>
        </w:drawing>
      </w:r>
      <w:r>
        <w:rPr>
          <w:noProof/>
          <w:lang w:val="es-MX"/>
        </w:rPr>
        <mc:AlternateContent>
          <mc:Choice Requires="wpg">
            <w:drawing>
              <wp:anchor distT="0" distB="0" distL="114300" distR="114300" simplePos="0" relativeHeight="251662336" behindDoc="0" locked="0" layoutInCell="1" hidden="0" allowOverlap="1">
                <wp:simplePos x="0" y="0"/>
                <wp:positionH relativeFrom="column">
                  <wp:posOffset>419100</wp:posOffset>
                </wp:positionH>
                <wp:positionV relativeFrom="paragraph">
                  <wp:posOffset>3314700</wp:posOffset>
                </wp:positionV>
                <wp:extent cx="5194300" cy="1517650"/>
                <wp:effectExtent l="0" t="0" r="0" b="0"/>
                <wp:wrapNone/>
                <wp:docPr id="22" name="Rectángulo 22"/>
                <wp:cNvGraphicFramePr/>
                <a:graphic xmlns:a="http://schemas.openxmlformats.org/drawingml/2006/main">
                  <a:graphicData uri="http://schemas.microsoft.com/office/word/2010/wordprocessingShape">
                    <wps:wsp>
                      <wps:cNvSpPr/>
                      <wps:spPr>
                        <a:xfrm>
                          <a:off x="2755200" y="3027525"/>
                          <a:ext cx="5181600" cy="1504950"/>
                        </a:xfrm>
                        <a:prstGeom prst="rect">
                          <a:avLst/>
                        </a:prstGeom>
                        <a:noFill/>
                        <a:ln w="12700" cap="flat" cmpd="sng">
                          <a:solidFill>
                            <a:srgbClr val="FF0000"/>
                          </a:solidFill>
                          <a:prstDash val="solid"/>
                          <a:round/>
                          <a:headEnd type="none" w="sm" len="sm"/>
                          <a:tailEnd type="none" w="sm" len="sm"/>
                        </a:ln>
                      </wps:spPr>
                      <wps:txbx>
                        <w:txbxContent>
                          <w:p w:rsidR="00D972CF" w:rsidRDefault="00D972C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3314700</wp:posOffset>
                </wp:positionV>
                <wp:extent cx="5194300" cy="1517650"/>
                <wp:effectExtent b="0" l="0" r="0" t="0"/>
                <wp:wrapNone/>
                <wp:docPr id="22"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5194300" cy="1517650"/>
                        </a:xfrm>
                        <a:prstGeom prst="rect"/>
                        <a:ln/>
                      </pic:spPr>
                    </pic:pic>
                  </a:graphicData>
                </a:graphic>
              </wp:anchor>
            </w:drawing>
          </mc:Fallback>
        </mc:AlternateContent>
      </w:r>
    </w:p>
    <w:p w:rsidR="00D972CF" w:rsidRDefault="00D972CF">
      <w:pPr>
        <w:spacing w:before="240" w:after="240" w:line="360" w:lineRule="auto"/>
        <w:ind w:left="567" w:right="567"/>
        <w:jc w:val="both"/>
        <w:rPr>
          <w:rFonts w:ascii="Palatino Linotype" w:eastAsia="Palatino Linotype" w:hAnsi="Palatino Linotype" w:cs="Palatino Linotype"/>
        </w:rPr>
      </w:pPr>
    </w:p>
    <w:p w:rsidR="00D972CF" w:rsidRDefault="00D972CF">
      <w:pPr>
        <w:tabs>
          <w:tab w:val="left" w:pos="4962"/>
        </w:tabs>
        <w:spacing w:before="240" w:after="240" w:line="360" w:lineRule="auto"/>
        <w:ind w:left="567" w:right="567"/>
        <w:jc w:val="both"/>
        <w:rPr>
          <w:rFonts w:ascii="Palatino Linotype" w:eastAsia="Palatino Linotype" w:hAnsi="Palatino Linotype" w:cs="Palatino Linotype"/>
          <w:b/>
          <w:i/>
          <w:sz w:val="22"/>
          <w:szCs w:val="22"/>
        </w:rPr>
      </w:pPr>
    </w:p>
    <w:p w:rsidR="00D972CF" w:rsidRDefault="00C2019E">
      <w:pPr>
        <w:tabs>
          <w:tab w:val="left" w:pos="4962"/>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antes señalado,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Informe Justificado, envía oficio del Servidor Público Habilitado de la Dirección de Recursos Materiales y Financieros, el cual se pronuncia al señalar que las Unidades Ej</w:t>
      </w:r>
      <w:r>
        <w:rPr>
          <w:rFonts w:ascii="Palatino Linotype" w:eastAsia="Palatino Linotype" w:hAnsi="Palatino Linotype" w:cs="Palatino Linotype"/>
        </w:rPr>
        <w:t>ecutoras deberán de realizar la distribución del presupuesto autorizado, por Centro de Costo y que operativamente los Centros de Trabajo están bajo observancia y responsabilidad de la Unidad Administrativa o Centro de Costo a la que pertenecen.</w:t>
      </w:r>
    </w:p>
    <w:p w:rsidR="00D972CF" w:rsidRDefault="00C2019E">
      <w:pPr>
        <w:tabs>
          <w:tab w:val="left" w:pos="4962"/>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w:t>
      </w:r>
      <w:r>
        <w:rPr>
          <w:rFonts w:ascii="Palatino Linotype" w:eastAsia="Palatino Linotype" w:hAnsi="Palatino Linotype" w:cs="Palatino Linotype"/>
        </w:rPr>
        <w:t xml:space="preserve">derivado de las constancias que integran el expediente de mérito, el Pleno de Instituto, entrará al análisis de conformidad con lo que establece el marco normativo aplicable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 al respecto Reglamento Interior de Servicios Educativos Integ</w:t>
      </w:r>
      <w:r>
        <w:rPr>
          <w:rFonts w:ascii="Palatino Linotype" w:eastAsia="Palatino Linotype" w:hAnsi="Palatino Linotype" w:cs="Palatino Linotype"/>
        </w:rPr>
        <w:t>rados al Estado de México, señala lo siguiente:</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w:t>
      </w:r>
      <w:r>
        <w:rPr>
          <w:rFonts w:ascii="Palatino Linotype" w:eastAsia="Palatino Linotype" w:hAnsi="Palatino Linotype" w:cs="Palatino Linotype"/>
          <w:b/>
          <w:i/>
          <w:sz w:val="22"/>
          <w:szCs w:val="22"/>
        </w:rPr>
        <w:t>Artículo 15.-</w:t>
      </w:r>
      <w:r>
        <w:rPr>
          <w:rFonts w:ascii="Palatino Linotype" w:eastAsia="Palatino Linotype" w:hAnsi="Palatino Linotype" w:cs="Palatino Linotype"/>
          <w:i/>
          <w:sz w:val="22"/>
          <w:szCs w:val="22"/>
        </w:rPr>
        <w:t xml:space="preserve"> Para el estudio, planeación y despacho de los asuntos de su competencia, así como para atender las funciones de control y evaluación que le corresponden, el Director General se auxiliará de las unidades administrativas básicas siguientes:</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Coordinación </w:t>
      </w:r>
      <w:r>
        <w:rPr>
          <w:rFonts w:ascii="Palatino Linotype" w:eastAsia="Palatino Linotype" w:hAnsi="Palatino Linotype" w:cs="Palatino Linotype"/>
          <w:i/>
          <w:sz w:val="22"/>
          <w:szCs w:val="22"/>
        </w:rPr>
        <w:t>Académica y de Operación Educativa.</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Coordinación de Administración y Finanzas;</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Dirección de Planeación y Evaluación;</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Dirección de Educación Superior;</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Derogada.</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Dirección de Educación Elemental;</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 Dirección de Educación Secundaria y Servicios de Apoyo;</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Dirección de Preparatoria Abierta;</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Dirección de Servicios Regionalizados;</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 Dirección de Instalaciones Educativas;</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Dirección de Informática y Telecomunicaciones;</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Dirección de </w:t>
      </w:r>
      <w:r>
        <w:rPr>
          <w:rFonts w:ascii="Palatino Linotype" w:eastAsia="Palatino Linotype" w:hAnsi="Palatino Linotype" w:cs="Palatino Linotype"/>
          <w:i/>
          <w:sz w:val="22"/>
          <w:szCs w:val="22"/>
        </w:rPr>
        <w:t>Administración y Desarrollo de Personal;</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w:t>
      </w:r>
      <w:r>
        <w:rPr>
          <w:rFonts w:ascii="Palatino Linotype" w:eastAsia="Palatino Linotype" w:hAnsi="Palatino Linotype" w:cs="Palatino Linotype"/>
          <w:b/>
          <w:i/>
          <w:sz w:val="22"/>
          <w:szCs w:val="22"/>
        </w:rPr>
        <w:t>Dirección de Recursos Materiales y Financieros;</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Unidad de Asuntos Jurídicos;</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Bis. Unidad de Apoyo al Servicio Profesional Docente; y</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 Órgano Interno de Control…</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Corresponde a la Coord</w:t>
      </w:r>
      <w:r>
        <w:rPr>
          <w:rFonts w:ascii="Palatino Linotype" w:eastAsia="Palatino Linotype" w:hAnsi="Palatino Linotype" w:cs="Palatino Linotype"/>
          <w:b/>
          <w:i/>
          <w:sz w:val="22"/>
          <w:szCs w:val="22"/>
        </w:rPr>
        <w:t>inación de Administración y Finanzas</w:t>
      </w:r>
      <w:r>
        <w:rPr>
          <w:rFonts w:ascii="Palatino Linotype" w:eastAsia="Palatino Linotype" w:hAnsi="Palatino Linotype" w:cs="Palatino Linotype"/>
          <w:i/>
          <w:sz w:val="22"/>
          <w:szCs w:val="22"/>
        </w:rPr>
        <w:t>:</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w:t>
      </w:r>
      <w:r>
        <w:rPr>
          <w:rFonts w:ascii="Palatino Linotype" w:eastAsia="Palatino Linotype" w:hAnsi="Palatino Linotype" w:cs="Palatino Linotype"/>
          <w:b/>
          <w:i/>
          <w:sz w:val="22"/>
          <w:szCs w:val="22"/>
        </w:rPr>
        <w:t>Elaborar los presupuestos de ingresos y de egresos de SEIEM</w:t>
      </w:r>
      <w:r>
        <w:rPr>
          <w:rFonts w:ascii="Palatino Linotype" w:eastAsia="Palatino Linotype" w:hAnsi="Palatino Linotype" w:cs="Palatino Linotype"/>
          <w:i/>
          <w:sz w:val="22"/>
          <w:szCs w:val="22"/>
        </w:rPr>
        <w:t>, de acuerdo con la normatividad aplicable y someterlos a la consideración del Director General;</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33.- Corresponde a la Dirección de Recursos Mate</w:t>
      </w:r>
      <w:r>
        <w:rPr>
          <w:rFonts w:ascii="Palatino Linotype" w:eastAsia="Palatino Linotype" w:hAnsi="Palatino Linotype" w:cs="Palatino Linotype"/>
          <w:b/>
          <w:i/>
          <w:sz w:val="22"/>
          <w:szCs w:val="22"/>
        </w:rPr>
        <w:t>riales y Financieros:</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Integrar, en coordinación con la Dirección de Planeación y Evaluación, el anteproyecto de presupuesto de SEIEM y someterlo a la autorización de la Coordinación de Administración y Finanzas;</w:t>
      </w:r>
      <w:r>
        <w:rPr>
          <w:rFonts w:ascii="Palatino Linotype" w:eastAsia="Palatino Linotype" w:hAnsi="Palatino Linotype" w:cs="Palatino Linotype"/>
          <w:b/>
          <w:i/>
          <w:sz w:val="22"/>
          <w:szCs w:val="22"/>
        </w:rPr>
        <w:br/>
      </w:r>
      <w:r>
        <w:rPr>
          <w:sz w:val="22"/>
          <w:szCs w:val="22"/>
        </w:rPr>
        <w:t xml:space="preserve"> </w:t>
      </w:r>
      <w:r>
        <w:rPr>
          <w:rFonts w:ascii="Palatino Linotype" w:eastAsia="Palatino Linotype" w:hAnsi="Palatino Linotype" w:cs="Palatino Linotype"/>
          <w:b/>
          <w:i/>
          <w:sz w:val="22"/>
          <w:szCs w:val="22"/>
        </w:rPr>
        <w:t>III. Aplicar los mecanismos y lineam</w:t>
      </w:r>
      <w:r>
        <w:rPr>
          <w:rFonts w:ascii="Palatino Linotype" w:eastAsia="Palatino Linotype" w:hAnsi="Palatino Linotype" w:cs="Palatino Linotype"/>
          <w:b/>
          <w:i/>
          <w:sz w:val="22"/>
          <w:szCs w:val="22"/>
        </w:rPr>
        <w:t>ientos para el control y registro del ejercicio del presupuesto y elaborar los informes correspondientes</w:t>
      </w:r>
      <w:proofErr w:type="gramStart"/>
      <w:r>
        <w:rPr>
          <w:rFonts w:ascii="Palatino Linotype" w:eastAsia="Palatino Linotype" w:hAnsi="Palatino Linotype" w:cs="Palatino Linotype"/>
          <w:b/>
          <w:i/>
          <w:sz w:val="22"/>
          <w:szCs w:val="22"/>
        </w:rPr>
        <w:t>; …</w:t>
      </w:r>
      <w:proofErr w:type="gramEnd"/>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18.- Corresponde a la Coordinación Académica y de Operación Educativa:</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Organizar, supervisar y evaluar los servicios de educación </w:t>
      </w:r>
      <w:r>
        <w:rPr>
          <w:rFonts w:ascii="Palatino Linotype" w:eastAsia="Palatino Linotype" w:hAnsi="Palatino Linotype" w:cs="Palatino Linotype"/>
          <w:i/>
          <w:sz w:val="22"/>
          <w:szCs w:val="22"/>
        </w:rPr>
        <w:t>inici</w:t>
      </w:r>
      <w:r>
        <w:rPr>
          <w:rFonts w:ascii="Palatino Linotype" w:eastAsia="Palatino Linotype" w:hAnsi="Palatino Linotype" w:cs="Palatino Linotype"/>
          <w:i/>
          <w:sz w:val="22"/>
          <w:szCs w:val="22"/>
        </w:rPr>
        <w:t>al, preescolar, primaria,</w:t>
      </w:r>
      <w:r>
        <w:rPr>
          <w:rFonts w:ascii="Palatino Linotype" w:eastAsia="Palatino Linotype" w:hAnsi="Palatino Linotype" w:cs="Palatino Linotype"/>
          <w:b/>
          <w:i/>
          <w:sz w:val="22"/>
          <w:szCs w:val="22"/>
        </w:rPr>
        <w:t xml:space="preserve"> secundaria, </w:t>
      </w:r>
      <w:r>
        <w:rPr>
          <w:rFonts w:ascii="Palatino Linotype" w:eastAsia="Palatino Linotype" w:hAnsi="Palatino Linotype" w:cs="Palatino Linotype"/>
          <w:i/>
          <w:sz w:val="22"/>
          <w:szCs w:val="22"/>
        </w:rPr>
        <w:t xml:space="preserve">especial, indígena, física, para adultos, de nivel medio superior, en su modalidad abierta y superior para la formación continua y desarrollo profesional </w:t>
      </w:r>
      <w:r>
        <w:rPr>
          <w:rFonts w:ascii="Palatino Linotype" w:eastAsia="Palatino Linotype" w:hAnsi="Palatino Linotype" w:cs="Palatino Linotype"/>
          <w:i/>
          <w:sz w:val="22"/>
          <w:szCs w:val="22"/>
        </w:rPr>
        <w:lastRenderedPageBreak/>
        <w:t>del magisterio de SEIEM</w:t>
      </w:r>
      <w:r>
        <w:rPr>
          <w:rFonts w:ascii="Palatino Linotype" w:eastAsia="Palatino Linotype" w:hAnsi="Palatino Linotype" w:cs="Palatino Linotype"/>
          <w:b/>
          <w:i/>
          <w:sz w:val="22"/>
          <w:szCs w:val="22"/>
        </w:rPr>
        <w:t>, así como el registro, control y certifi</w:t>
      </w:r>
      <w:r>
        <w:rPr>
          <w:rFonts w:ascii="Palatino Linotype" w:eastAsia="Palatino Linotype" w:hAnsi="Palatino Linotype" w:cs="Palatino Linotype"/>
          <w:b/>
          <w:i/>
          <w:sz w:val="22"/>
          <w:szCs w:val="22"/>
        </w:rPr>
        <w:t>cación escolar de este nivel educativo;</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Proponer y supervisar las disposiciones </w:t>
      </w:r>
      <w:r>
        <w:rPr>
          <w:rFonts w:ascii="Palatino Linotype" w:eastAsia="Palatino Linotype" w:hAnsi="Palatino Linotype" w:cs="Palatino Linotype"/>
          <w:i/>
          <w:sz w:val="22"/>
          <w:szCs w:val="22"/>
        </w:rPr>
        <w:t>técnicas y</w:t>
      </w:r>
      <w:r>
        <w:rPr>
          <w:rFonts w:ascii="Palatino Linotype" w:eastAsia="Palatino Linotype" w:hAnsi="Palatino Linotype" w:cs="Palatino Linotype"/>
          <w:b/>
          <w:i/>
          <w:sz w:val="22"/>
          <w:szCs w:val="22"/>
        </w:rPr>
        <w:t xml:space="preserve"> administrativas para la eficiente organización, operación, supervisión y evaluación del servicio educativo que le corresponde y vigilar su cumplimiento;</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Promover el mejoramiento de los centros educativos a su cargo y opinar sobre la creación de otros; y</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19.- Quedan adscritas a la Coordinación Académica y de Operación Educativa:</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rsidR="00D972CF" w:rsidRDefault="00C2019E">
      <w:pPr>
        <w:numPr>
          <w:ilvl w:val="0"/>
          <w:numId w:val="5"/>
        </w:numPr>
        <w:pBdr>
          <w:top w:val="nil"/>
          <w:left w:val="nil"/>
          <w:bottom w:val="nil"/>
          <w:right w:val="nil"/>
          <w:between w:val="nil"/>
        </w:pBdr>
        <w:tabs>
          <w:tab w:val="left" w:pos="4962"/>
        </w:tabs>
        <w:spacing w:before="240" w:after="240" w:line="276" w:lineRule="auto"/>
        <w:ind w:right="567" w:hanging="72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Dirección de Educación Secundaria y Servicios de Apoyo; y</w:t>
      </w:r>
    </w:p>
    <w:p w:rsidR="00D972CF" w:rsidRDefault="00C2019E">
      <w:pPr>
        <w:tabs>
          <w:tab w:val="left" w:pos="4962"/>
        </w:tabs>
        <w:spacing w:before="240" w:after="240" w:line="276" w:lineRule="auto"/>
        <w:ind w:left="993"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27.- </w:t>
      </w:r>
      <w:r>
        <w:rPr>
          <w:rFonts w:ascii="Palatino Linotype" w:eastAsia="Palatino Linotype" w:hAnsi="Palatino Linotype" w:cs="Palatino Linotype"/>
          <w:i/>
          <w:sz w:val="22"/>
          <w:szCs w:val="22"/>
        </w:rPr>
        <w:t>Corresponde a la</w:t>
      </w:r>
      <w:r>
        <w:rPr>
          <w:rFonts w:ascii="Palatino Linotype" w:eastAsia="Palatino Linotype" w:hAnsi="Palatino Linotype" w:cs="Palatino Linotype"/>
          <w:b/>
          <w:i/>
          <w:sz w:val="22"/>
          <w:szCs w:val="22"/>
        </w:rPr>
        <w:t xml:space="preserve"> Dirección de Educación Secundaria y Servicios de Apoyo:</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Dirigir y controlar la prestación de los servicios de educación secundaria </w:t>
      </w:r>
      <w:r>
        <w:rPr>
          <w:rFonts w:ascii="Palatino Linotype" w:eastAsia="Palatino Linotype" w:hAnsi="Palatino Linotype" w:cs="Palatino Linotype"/>
          <w:i/>
          <w:sz w:val="22"/>
          <w:szCs w:val="22"/>
        </w:rPr>
        <w:t>general, secundaria técnica, t</w:t>
      </w:r>
      <w:r>
        <w:rPr>
          <w:rFonts w:ascii="Palatino Linotype" w:eastAsia="Palatino Linotype" w:hAnsi="Palatino Linotype" w:cs="Palatino Linotype"/>
          <w:i/>
          <w:sz w:val="22"/>
          <w:szCs w:val="22"/>
        </w:rPr>
        <w:t>elesecundaria y educación física</w:t>
      </w:r>
      <w:r>
        <w:rPr>
          <w:rFonts w:ascii="Palatino Linotype" w:eastAsia="Palatino Linotype" w:hAnsi="Palatino Linotype" w:cs="Palatino Linotype"/>
          <w:b/>
          <w:i/>
          <w:sz w:val="22"/>
          <w:szCs w:val="22"/>
        </w:rPr>
        <w:t>, a cargo de SEIEM;</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Ejecutar los programas y proyectos de apoyo educativo en los servicios a su cargo;</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Proponer, en el ámbito de su competencia; la prestación de nuevas servicios educativos;</w:t>
      </w:r>
    </w:p>
    <w:p w:rsidR="00D972CF" w:rsidRDefault="00C2019E">
      <w:pPr>
        <w:tabs>
          <w:tab w:val="left" w:pos="4962"/>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w:t>
      </w:r>
    </w:p>
    <w:p w:rsidR="00D972CF" w:rsidRDefault="00C2019E">
      <w:pPr>
        <w:tabs>
          <w:tab w:val="left" w:pos="4962"/>
        </w:tabs>
        <w:spacing w:before="240" w:after="24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los artículos c</w:t>
      </w:r>
      <w:r>
        <w:rPr>
          <w:rFonts w:ascii="Palatino Linotype" w:eastAsia="Palatino Linotype" w:hAnsi="Palatino Linotype" w:cs="Palatino Linotype"/>
        </w:rPr>
        <w:t xml:space="preserve">itados, se logra advertir que a la Coordinación de Administración y Finanzas corresponde elaborar los presupuesto de ingresos y egresos del </w:t>
      </w:r>
      <w:r>
        <w:rPr>
          <w:rFonts w:ascii="Palatino Linotype" w:eastAsia="Palatino Linotype" w:hAnsi="Palatino Linotype" w:cs="Palatino Linotype"/>
          <w:b/>
        </w:rPr>
        <w:t>SUJETO OBLIGADO</w:t>
      </w:r>
      <w:r>
        <w:rPr>
          <w:rFonts w:ascii="Palatino Linotype" w:eastAsia="Palatino Linotype" w:hAnsi="Palatino Linotype" w:cs="Palatino Linotype"/>
        </w:rPr>
        <w:t>,  por otra parte que la Dirección de Recursos Materiales y Financieros integra el anteproyecto de pr</w:t>
      </w:r>
      <w:r>
        <w:rPr>
          <w:rFonts w:ascii="Palatino Linotype" w:eastAsia="Palatino Linotype" w:hAnsi="Palatino Linotype" w:cs="Palatino Linotype"/>
        </w:rPr>
        <w:t>esupuesto y aplica los mecanismos y lineamientos para el ejercicio del presupuesto y la elaboración de informes, por lo que resulta correcto los turnos de los Servidores Públicos Habilitados de esas Unidades Administrativas.</w:t>
      </w:r>
    </w:p>
    <w:p w:rsidR="00D972CF" w:rsidRDefault="00C2019E">
      <w:pPr>
        <w:tabs>
          <w:tab w:val="left" w:pos="4962"/>
        </w:tabs>
        <w:spacing w:before="240" w:after="24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Por su parte, el Manual General de Organización de Servicios Educativos Integrados al Estado de México, señala lo siguiente:</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“205C30010 COORDINACIÓN DE ADMINISTRACIÓN Y FINANZAS </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Coordina y controlar la planeación, evaluación institucional, esta</w:t>
      </w:r>
      <w:r>
        <w:rPr>
          <w:rFonts w:ascii="Palatino Linotype" w:eastAsia="Palatino Linotype" w:hAnsi="Palatino Linotype" w:cs="Palatino Linotype"/>
          <w:i/>
          <w:sz w:val="22"/>
          <w:szCs w:val="22"/>
        </w:rPr>
        <w:t>dística, control escolar, administración de los recursos humanos, financieros, materiales, técnicos y servicios generales disponibles de SEIEM, de acuerdo con la estructura de organización  autorizada y la normatividad establecida, así como apoyar a las un</w:t>
      </w:r>
      <w:r>
        <w:rPr>
          <w:rFonts w:ascii="Palatino Linotype" w:eastAsia="Palatino Linotype" w:hAnsi="Palatino Linotype" w:cs="Palatino Linotype"/>
          <w:i/>
          <w:sz w:val="22"/>
          <w:szCs w:val="22"/>
        </w:rPr>
        <w:t xml:space="preserve">idades administrativas del organismo en materia de instalaciones educativas e informática. </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rsidR="00D972CF" w:rsidRDefault="00C2019E">
      <w:pPr>
        <w:numPr>
          <w:ilvl w:val="0"/>
          <w:numId w:val="2"/>
        </w:numPr>
        <w:pBdr>
          <w:top w:val="nil"/>
          <w:left w:val="nil"/>
          <w:bottom w:val="nil"/>
          <w:right w:val="nil"/>
          <w:between w:val="nil"/>
        </w:pBdr>
        <w:tabs>
          <w:tab w:val="left" w:pos="4962"/>
        </w:tabs>
        <w:spacing w:before="240" w:after="240" w:line="276" w:lineRule="auto"/>
        <w:ind w:left="1134" w:right="616"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Coordinar la integración del Programa Anual de Adquisición de Bienes y Contratación de Servicios del organismo, con base en los requerimientos de las unidades administrativas, el presupuesto autorizado y la normatividad vigente en la materia.</w:t>
      </w:r>
    </w:p>
    <w:p w:rsidR="00D972CF" w:rsidRDefault="00C2019E">
      <w:pPr>
        <w:numPr>
          <w:ilvl w:val="0"/>
          <w:numId w:val="2"/>
        </w:numPr>
        <w:pBdr>
          <w:top w:val="nil"/>
          <w:left w:val="nil"/>
          <w:bottom w:val="nil"/>
          <w:right w:val="nil"/>
          <w:between w:val="nil"/>
        </w:pBdr>
        <w:tabs>
          <w:tab w:val="left" w:pos="4962"/>
        </w:tabs>
        <w:spacing w:before="240" w:after="240" w:line="276" w:lineRule="auto"/>
        <w:ind w:left="1134" w:right="616"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Dirigir la in</w:t>
      </w:r>
      <w:r>
        <w:rPr>
          <w:rFonts w:ascii="Palatino Linotype" w:eastAsia="Palatino Linotype" w:hAnsi="Palatino Linotype" w:cs="Palatino Linotype"/>
          <w:i/>
          <w:color w:val="000000"/>
          <w:sz w:val="22"/>
          <w:szCs w:val="22"/>
        </w:rPr>
        <w:t>tegración del Programa Anual de Construcción, Conservación y Mantenimiento de Bienes Muebles e Inmuebles de SEIEM, de conformidad con el presupuesto autorizado y la normatividad vigente en la materia.</w:t>
      </w:r>
    </w:p>
    <w:p w:rsidR="00D972CF" w:rsidRDefault="00C2019E">
      <w:pPr>
        <w:numPr>
          <w:ilvl w:val="0"/>
          <w:numId w:val="2"/>
        </w:numPr>
        <w:pBdr>
          <w:top w:val="nil"/>
          <w:left w:val="nil"/>
          <w:bottom w:val="nil"/>
          <w:right w:val="nil"/>
          <w:between w:val="nil"/>
        </w:pBdr>
        <w:tabs>
          <w:tab w:val="left" w:pos="4962"/>
        </w:tabs>
        <w:spacing w:before="240" w:after="240" w:line="276" w:lineRule="auto"/>
        <w:ind w:left="1134" w:right="616"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Organizar la formulación e integración de los proyectos</w:t>
      </w:r>
      <w:r>
        <w:rPr>
          <w:rFonts w:ascii="Palatino Linotype" w:eastAsia="Palatino Linotype" w:hAnsi="Palatino Linotype" w:cs="Palatino Linotype"/>
          <w:i/>
          <w:color w:val="000000"/>
          <w:sz w:val="22"/>
          <w:szCs w:val="22"/>
        </w:rPr>
        <w:t xml:space="preserve"> de Presupuesto Anual de Ingresos y Egresos de SEIEM, de conformidad con los lineamientos emitidos por los gobiernos Federal y Estatal.</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205C3408 DIRECCIÓN DE RECURSOS MATERIALES Y FINANCIEROS </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OBJETIVO: Programar, organizar, dirigir, controlar y evaluar la</w:t>
      </w:r>
      <w:r>
        <w:rPr>
          <w:rFonts w:ascii="Palatino Linotype" w:eastAsia="Palatino Linotype" w:hAnsi="Palatino Linotype" w:cs="Palatino Linotype"/>
          <w:i/>
          <w:sz w:val="22"/>
          <w:szCs w:val="22"/>
        </w:rPr>
        <w:t xml:space="preserve"> adquisición y asignación de los recursos materiales, la administración de los recursos financieros y la contratación y prestación de los servicios generales, así como controlar la distribución del pago remuneraciones al personal de SEIEM, de conformidad c</w:t>
      </w:r>
      <w:r>
        <w:rPr>
          <w:rFonts w:ascii="Palatino Linotype" w:eastAsia="Palatino Linotype" w:hAnsi="Palatino Linotype" w:cs="Palatino Linotype"/>
          <w:i/>
          <w:sz w:val="22"/>
          <w:szCs w:val="22"/>
        </w:rPr>
        <w:t>on la normatividad vigente y aplicable en la materia.</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rsidR="00D972CF" w:rsidRDefault="00C2019E">
      <w:pPr>
        <w:tabs>
          <w:tab w:val="left" w:pos="4962"/>
        </w:tabs>
        <w:spacing w:before="240" w:after="240" w:line="276" w:lineRule="auto"/>
        <w:ind w:left="709" w:right="616" w:hanging="14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Planear, organizar, dirigir y controlar la asignación de recursos materiales y financieros, así como los servicios generales, de conformidad con los requerimientos de las unidades administr</w:t>
      </w:r>
      <w:r>
        <w:rPr>
          <w:rFonts w:ascii="Palatino Linotype" w:eastAsia="Palatino Linotype" w:hAnsi="Palatino Linotype" w:cs="Palatino Linotype"/>
          <w:i/>
          <w:sz w:val="22"/>
          <w:szCs w:val="22"/>
        </w:rPr>
        <w:t>ativas de SEIEM.</w:t>
      </w:r>
    </w:p>
    <w:p w:rsidR="00D972CF" w:rsidRDefault="00C2019E">
      <w:pPr>
        <w:tabs>
          <w:tab w:val="left" w:pos="4962"/>
        </w:tabs>
        <w:spacing w:before="240" w:after="240" w:line="276" w:lineRule="auto"/>
        <w:ind w:left="709" w:right="616" w:hanging="14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Dirigir la elaboración y ejecución del Programa Anual de Adquisición de Bienes y Contratación de Servicios, de conformidad con los requerimientos de las unidades administrativas del organismo, con el presupuesto autorizado y la normatividad vigente en la m</w:t>
      </w:r>
      <w:r>
        <w:rPr>
          <w:rFonts w:ascii="Palatino Linotype" w:eastAsia="Palatino Linotype" w:hAnsi="Palatino Linotype" w:cs="Palatino Linotype"/>
          <w:b/>
          <w:i/>
          <w:sz w:val="22"/>
          <w:szCs w:val="22"/>
        </w:rPr>
        <w:t>ateria.</w:t>
      </w:r>
    </w:p>
    <w:p w:rsidR="00D972CF" w:rsidRDefault="00C2019E">
      <w:pPr>
        <w:tabs>
          <w:tab w:val="left" w:pos="4962"/>
        </w:tabs>
        <w:spacing w:before="240" w:after="240" w:line="276" w:lineRule="auto"/>
        <w:ind w:left="709" w:right="616" w:hanging="14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Definir el Programa de Mantenimiento Preventivo y Correctivo de Bienes Muebles, patrimonio del organismo, de conformidad con los requerimientos de las unidades administrativas, con el presupuesto autorizado y la normatividad vigente en la materia</w:t>
      </w:r>
      <w:r>
        <w:rPr>
          <w:rFonts w:ascii="Palatino Linotype" w:eastAsia="Palatino Linotype" w:hAnsi="Palatino Linotype" w:cs="Palatino Linotype"/>
          <w:i/>
          <w:sz w:val="22"/>
          <w:szCs w:val="22"/>
        </w:rPr>
        <w:t>.</w:t>
      </w:r>
    </w:p>
    <w:p w:rsidR="00D972CF" w:rsidRDefault="00C2019E">
      <w:pPr>
        <w:tabs>
          <w:tab w:val="left" w:pos="4962"/>
        </w:tabs>
        <w:spacing w:before="240" w:after="240" w:line="276" w:lineRule="auto"/>
        <w:ind w:left="709" w:right="616" w:hanging="14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Dirigir la integración y ejecución del Presupuesto de Ingresos y Egresos del organismo, en coordinación con la Dirección de Planeación y Evaluación y someterlo a la aprobación de la Coordinación de Administración y Finanzas.</w:t>
      </w:r>
    </w:p>
    <w:p w:rsidR="00D972CF" w:rsidRDefault="00C2019E">
      <w:pPr>
        <w:tabs>
          <w:tab w:val="left" w:pos="4962"/>
        </w:tabs>
        <w:spacing w:before="240" w:after="240" w:line="276" w:lineRule="auto"/>
        <w:ind w:left="709" w:right="616" w:hanging="14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Establecer los mecanismos</w:t>
      </w:r>
      <w:r>
        <w:rPr>
          <w:rFonts w:ascii="Palatino Linotype" w:eastAsia="Palatino Linotype" w:hAnsi="Palatino Linotype" w:cs="Palatino Linotype"/>
          <w:b/>
          <w:i/>
          <w:sz w:val="22"/>
          <w:szCs w:val="22"/>
        </w:rPr>
        <w:t>, lineamientos y procedimientos de carácter administrativo que permitan mejorar la operación y control del presupuesto autorizado de SEIEM.</w:t>
      </w:r>
    </w:p>
    <w:p w:rsidR="00D972CF" w:rsidRDefault="00C2019E">
      <w:pPr>
        <w:tabs>
          <w:tab w:val="left" w:pos="4962"/>
        </w:tabs>
        <w:spacing w:before="240" w:after="240" w:line="276" w:lineRule="auto"/>
        <w:ind w:left="567" w:right="616" w:hanging="1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Dirigir y controlar los movimientos financieros del organismo, de conformidad con los Presupuestos de Ingresos y E</w:t>
      </w:r>
      <w:r>
        <w:rPr>
          <w:rFonts w:ascii="Palatino Linotype" w:eastAsia="Palatino Linotype" w:hAnsi="Palatino Linotype" w:cs="Palatino Linotype"/>
          <w:i/>
          <w:sz w:val="22"/>
          <w:szCs w:val="22"/>
        </w:rPr>
        <w:t>gresos autorizados para el año fiscal respectivo.</w:t>
      </w:r>
    </w:p>
    <w:p w:rsidR="00D972CF" w:rsidRDefault="00C2019E">
      <w:pPr>
        <w:tabs>
          <w:tab w:val="left" w:pos="4962"/>
        </w:tabs>
        <w:spacing w:before="240" w:after="240" w:line="276" w:lineRule="auto"/>
        <w:ind w:left="567" w:right="616" w:hanging="1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Controlar la elaboración y difusión de los estados financieros del organismo y someterlos a la aprobación de la Coordinación de Administración y Finanzas.</w:t>
      </w:r>
    </w:p>
    <w:p w:rsidR="00D972CF" w:rsidRDefault="00C2019E">
      <w:pPr>
        <w:tabs>
          <w:tab w:val="left" w:pos="4962"/>
        </w:tabs>
        <w:spacing w:before="240" w:after="240" w:line="276" w:lineRule="auto"/>
        <w:ind w:left="567" w:right="616" w:hanging="1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Asegurar la actualización permanente de los inv</w:t>
      </w:r>
      <w:r>
        <w:rPr>
          <w:rFonts w:ascii="Palatino Linotype" w:eastAsia="Palatino Linotype" w:hAnsi="Palatino Linotype" w:cs="Palatino Linotype"/>
          <w:i/>
          <w:sz w:val="22"/>
          <w:szCs w:val="22"/>
        </w:rPr>
        <w:t>entarios de bienes muebles e inmuebles, patrimonio del organismo.</w:t>
      </w:r>
    </w:p>
    <w:p w:rsidR="00D972CF" w:rsidRDefault="00C2019E">
      <w:pPr>
        <w:tabs>
          <w:tab w:val="left" w:pos="4962"/>
        </w:tabs>
        <w:spacing w:before="240" w:after="240" w:line="276" w:lineRule="auto"/>
        <w:ind w:left="567" w:right="616" w:hanging="1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Dirigir el proceso de distribución de cheques para el pago de remuneraciones al personal de SEIEM, verificando que se realice de conformidad con la normatividad vigente en la materia.</w:t>
      </w:r>
    </w:p>
    <w:p w:rsidR="00D972CF" w:rsidRDefault="00C2019E">
      <w:pPr>
        <w:tabs>
          <w:tab w:val="left" w:pos="4962"/>
        </w:tabs>
        <w:spacing w:before="240" w:after="240" w:line="276" w:lineRule="auto"/>
        <w:ind w:left="567" w:right="616" w:hanging="1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Es</w:t>
      </w:r>
      <w:r>
        <w:rPr>
          <w:rFonts w:ascii="Palatino Linotype" w:eastAsia="Palatino Linotype" w:hAnsi="Palatino Linotype" w:cs="Palatino Linotype"/>
          <w:i/>
          <w:sz w:val="22"/>
          <w:szCs w:val="22"/>
        </w:rPr>
        <w:t>tablecer normas y lineamientos para la administración de los recursos materiales y financieros, en el ámbito de competencia.</w:t>
      </w:r>
    </w:p>
    <w:p w:rsidR="00D972CF" w:rsidRDefault="00C2019E">
      <w:pPr>
        <w:tabs>
          <w:tab w:val="left" w:pos="4962"/>
        </w:tabs>
        <w:spacing w:before="240" w:after="240" w:line="276" w:lineRule="auto"/>
        <w:ind w:left="567" w:right="616" w:hanging="1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Desarrollar las demás funciones inherentes al área de su competencia.</w:t>
      </w:r>
    </w:p>
    <w:p w:rsidR="00D972CF" w:rsidRDefault="00C2019E">
      <w:pPr>
        <w:tabs>
          <w:tab w:val="left" w:pos="4962"/>
        </w:tabs>
        <w:spacing w:before="240" w:after="240" w:line="276" w:lineRule="auto"/>
        <w:ind w:left="426"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205C22000 DIRECCIÓN DE EDUCACIÓN SECUNDARIA Y SERVICIOS DE </w:t>
      </w:r>
      <w:r>
        <w:rPr>
          <w:rFonts w:ascii="Palatino Linotype" w:eastAsia="Palatino Linotype" w:hAnsi="Palatino Linotype" w:cs="Palatino Linotype"/>
          <w:i/>
          <w:sz w:val="22"/>
          <w:szCs w:val="22"/>
        </w:rPr>
        <w:t>APOYO</w:t>
      </w:r>
    </w:p>
    <w:p w:rsidR="00D972CF" w:rsidRDefault="00C2019E">
      <w:pPr>
        <w:tabs>
          <w:tab w:val="left" w:pos="4962"/>
        </w:tabs>
        <w:spacing w:before="240" w:after="240" w:line="276" w:lineRule="auto"/>
        <w:ind w:left="567" w:right="616" w:hanging="1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OBJETIVO:</w:t>
      </w:r>
    </w:p>
    <w:p w:rsidR="00D972CF" w:rsidRDefault="00C2019E">
      <w:pPr>
        <w:tabs>
          <w:tab w:val="left" w:pos="4962"/>
        </w:tabs>
        <w:spacing w:before="240" w:after="240" w:line="276" w:lineRule="auto"/>
        <w:ind w:left="426"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Organizar, dirigir, controlar y evaluar la prestación de los servicios de educación secundaria general, técnica y telesecundaria, así como los servicios de apoyo de educación física, extensión y vinculación y tecnología educativa; de confor</w:t>
      </w:r>
      <w:r>
        <w:rPr>
          <w:rFonts w:ascii="Palatino Linotype" w:eastAsia="Palatino Linotype" w:hAnsi="Palatino Linotype" w:cs="Palatino Linotype"/>
          <w:i/>
          <w:sz w:val="22"/>
          <w:szCs w:val="22"/>
        </w:rPr>
        <w:t>midad con la normatividad emitida en materia técnico-pedagógica, plan y programas de estudio, contenido y métodos educativos e instrumentos para la evaluación y el aprendizaje.</w:t>
      </w:r>
    </w:p>
    <w:p w:rsidR="00D972CF" w:rsidRDefault="00C2019E">
      <w:pPr>
        <w:tabs>
          <w:tab w:val="left" w:pos="4962"/>
        </w:tabs>
        <w:spacing w:before="240" w:after="240" w:line="276" w:lineRule="auto"/>
        <w:ind w:left="567" w:right="616" w:hanging="1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rsidR="00D972CF" w:rsidRDefault="00C2019E">
      <w:pPr>
        <w:numPr>
          <w:ilvl w:val="0"/>
          <w:numId w:val="2"/>
        </w:numPr>
        <w:pBdr>
          <w:top w:val="nil"/>
          <w:left w:val="nil"/>
          <w:bottom w:val="nil"/>
          <w:right w:val="nil"/>
          <w:between w:val="nil"/>
        </w:pBdr>
        <w:tabs>
          <w:tab w:val="left" w:pos="4962"/>
        </w:tabs>
        <w:spacing w:before="240" w:after="240" w:line="276" w:lineRule="auto"/>
        <w:ind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Planear, organizar, dirigir y supervisar el funcionamiento de las unidades administrativas de su adscripción, conforme a la normatividad, plan y programas de estudio y métodos aprobados...”</w:t>
      </w:r>
    </w:p>
    <w:p w:rsidR="00D972CF" w:rsidRDefault="00C2019E">
      <w:pPr>
        <w:tabs>
          <w:tab w:val="left" w:pos="4962"/>
        </w:tabs>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interpretación de los preceptos antes citados, se desprende que la Dirección de Recursos Materiales y Financieros corresponde la administración de recursos </w:t>
      </w:r>
      <w:r>
        <w:rPr>
          <w:rFonts w:ascii="Palatino Linotype" w:eastAsia="Palatino Linotype" w:hAnsi="Palatino Linotype" w:cs="Palatino Linotype"/>
          <w:color w:val="000000"/>
        </w:rPr>
        <w:lastRenderedPageBreak/>
        <w:t xml:space="preserve">financieros, así como dirigir la elaboración y ejecución del Programa Anual de Adquisición de </w:t>
      </w:r>
      <w:r>
        <w:rPr>
          <w:rFonts w:ascii="Palatino Linotype" w:eastAsia="Palatino Linotype" w:hAnsi="Palatino Linotype" w:cs="Palatino Linotype"/>
          <w:color w:val="000000"/>
        </w:rPr>
        <w:t>Bienes y Contratación de Servicios, y la integración y ejecución del Presupuesto de Ingresos y Egresos del organismo, por lo que es competente para conocer la información solicitada.</w:t>
      </w:r>
    </w:p>
    <w:p w:rsidR="00D972CF" w:rsidRDefault="00C2019E">
      <w:pPr>
        <w:tabs>
          <w:tab w:val="left" w:pos="4962"/>
        </w:tabs>
        <w:spacing w:before="240" w:after="240" w:line="360"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rPr>
        <w:t>Por otra parte, el Manual de Normas y Políticas para el Gasto Público del</w:t>
      </w:r>
      <w:r>
        <w:rPr>
          <w:rFonts w:ascii="Palatino Linotype" w:eastAsia="Palatino Linotype" w:hAnsi="Palatino Linotype" w:cs="Palatino Linotype"/>
        </w:rPr>
        <w:t xml:space="preserve"> Gobierno del Estado de México, dispone lo siguiente:</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11.- </w:t>
      </w:r>
      <w:r>
        <w:rPr>
          <w:rFonts w:ascii="Palatino Linotype" w:eastAsia="Palatino Linotype" w:hAnsi="Palatino Linotype" w:cs="Palatino Linotype"/>
          <w:b/>
          <w:i/>
          <w:sz w:val="22"/>
          <w:szCs w:val="22"/>
        </w:rPr>
        <w:t xml:space="preserve">El presupuesto se programará, ejercerá, registrará, controlará y evaluará aplicando la metodología del </w:t>
      </w:r>
      <w:proofErr w:type="spellStart"/>
      <w:r>
        <w:rPr>
          <w:rFonts w:ascii="Palatino Linotype" w:eastAsia="Palatino Linotype" w:hAnsi="Palatino Linotype" w:cs="Palatino Linotype"/>
          <w:b/>
          <w:i/>
          <w:sz w:val="22"/>
          <w:szCs w:val="22"/>
        </w:rPr>
        <w:t>PbR</w:t>
      </w:r>
      <w:proofErr w:type="spellEnd"/>
      <w:r>
        <w:rPr>
          <w:rFonts w:ascii="Palatino Linotype" w:eastAsia="Palatino Linotype" w:hAnsi="Palatino Linotype" w:cs="Palatino Linotype"/>
          <w:b/>
          <w:i/>
          <w:sz w:val="22"/>
          <w:szCs w:val="22"/>
        </w:rPr>
        <w:t>, que tiene como propósito fundamental orientar en forma eficiente y eficaz la as</w:t>
      </w:r>
      <w:r>
        <w:rPr>
          <w:rFonts w:ascii="Palatino Linotype" w:eastAsia="Palatino Linotype" w:hAnsi="Palatino Linotype" w:cs="Palatino Linotype"/>
          <w:b/>
          <w:i/>
          <w:sz w:val="22"/>
          <w:szCs w:val="22"/>
        </w:rPr>
        <w:t>ignación de los recursos públicos sobre la base de resultados y desempeño en el cumplimiento de los objetivos, resultados y metas de actividad contenidas en los proyectos de cada programa presupuestario autorizado para el ejercicio fiscal</w:t>
      </w:r>
      <w:r>
        <w:rPr>
          <w:rFonts w:ascii="Palatino Linotype" w:eastAsia="Palatino Linotype" w:hAnsi="Palatino Linotype" w:cs="Palatino Linotype"/>
          <w:i/>
          <w:sz w:val="22"/>
          <w:szCs w:val="22"/>
        </w:rPr>
        <w:t>. Para coadyuvar a</w:t>
      </w:r>
      <w:r>
        <w:rPr>
          <w:rFonts w:ascii="Palatino Linotype" w:eastAsia="Palatino Linotype" w:hAnsi="Palatino Linotype" w:cs="Palatino Linotype"/>
          <w:i/>
          <w:sz w:val="22"/>
          <w:szCs w:val="22"/>
        </w:rPr>
        <w:t xml:space="preserve"> lograr la consecución de lo anterior se apoyará en las metodologías y conceptos establecidos para tal efecto en la MML así como en las MIR.</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 Para facilitar su identificación, registro y control, el presupuesto se encuentra clasificado de la s</w:t>
      </w:r>
      <w:r>
        <w:rPr>
          <w:rFonts w:ascii="Palatino Linotype" w:eastAsia="Palatino Linotype" w:hAnsi="Palatino Linotype" w:cs="Palatino Linotype"/>
          <w:i/>
          <w:sz w:val="22"/>
          <w:szCs w:val="22"/>
        </w:rPr>
        <w:t>iguiente forma:</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Funcional-programática: agrupa los recursos por función, </w:t>
      </w:r>
      <w:proofErr w:type="spellStart"/>
      <w:r>
        <w:rPr>
          <w:rFonts w:ascii="Palatino Linotype" w:eastAsia="Palatino Linotype" w:hAnsi="Palatino Linotype" w:cs="Palatino Linotype"/>
          <w:b/>
          <w:i/>
          <w:sz w:val="22"/>
          <w:szCs w:val="22"/>
        </w:rPr>
        <w:t>subfunción</w:t>
      </w:r>
      <w:proofErr w:type="spellEnd"/>
      <w:r>
        <w:rPr>
          <w:rFonts w:ascii="Palatino Linotype" w:eastAsia="Palatino Linotype" w:hAnsi="Palatino Linotype" w:cs="Palatino Linotype"/>
          <w:b/>
          <w:i/>
          <w:sz w:val="22"/>
          <w:szCs w:val="22"/>
        </w:rPr>
        <w:t>, programa, subprograma y proyecto de acuerdo con los propósitos y resultados a que están destinados. Su objetivo es agrupar los gastos del sector público con base en los</w:t>
      </w:r>
      <w:r>
        <w:rPr>
          <w:rFonts w:ascii="Palatino Linotype" w:eastAsia="Palatino Linotype" w:hAnsi="Palatino Linotype" w:cs="Palatino Linotype"/>
          <w:b/>
          <w:i/>
          <w:sz w:val="22"/>
          <w:szCs w:val="22"/>
        </w:rPr>
        <w:t xml:space="preserve"> objetivos de corto plazo que se pretenden cumplir, los cuales se llevan a cabo a través de las metas de actividad y objetivos de la MIR que las unidades ejecutoras determinen;</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Administrativa: a la forma de presentación del presupuesto que tiene por ob</w:t>
      </w:r>
      <w:r>
        <w:rPr>
          <w:rFonts w:ascii="Palatino Linotype" w:eastAsia="Palatino Linotype" w:hAnsi="Palatino Linotype" w:cs="Palatino Linotype"/>
          <w:i/>
          <w:sz w:val="22"/>
          <w:szCs w:val="22"/>
        </w:rPr>
        <w:t xml:space="preserve">jeto facilitar su manejo y control administrativo </w:t>
      </w:r>
      <w:r>
        <w:rPr>
          <w:rFonts w:ascii="Palatino Linotype" w:eastAsia="Palatino Linotype" w:hAnsi="Palatino Linotype" w:cs="Palatino Linotype"/>
          <w:b/>
          <w:i/>
          <w:sz w:val="22"/>
          <w:szCs w:val="22"/>
        </w:rPr>
        <w:t>a través de la identificación de los gastos conforme a los ejecutores de los entes públicos de la administración pública estatal</w:t>
      </w:r>
      <w:r>
        <w:rPr>
          <w:rFonts w:ascii="Palatino Linotype" w:eastAsia="Palatino Linotype" w:hAnsi="Palatino Linotype" w:cs="Palatino Linotype"/>
          <w:i/>
          <w:sz w:val="22"/>
          <w:szCs w:val="22"/>
        </w:rPr>
        <w:t>; y</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Económica: al elemento de programación presupuestaria que permite ide</w:t>
      </w:r>
      <w:r>
        <w:rPr>
          <w:rFonts w:ascii="Palatino Linotype" w:eastAsia="Palatino Linotype" w:hAnsi="Palatino Linotype" w:cs="Palatino Linotype"/>
          <w:i/>
          <w:sz w:val="22"/>
          <w:szCs w:val="22"/>
        </w:rPr>
        <w:t>ntificar cada renglón de gasto según su naturaleza económica, en corriente o de inversión ya sea física o financiera.</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13.- La comunicación del presupuesto autorizado que debe hacer la Secretaría en términos del Código, se realizará por programa pr</w:t>
      </w:r>
      <w:r>
        <w:rPr>
          <w:rFonts w:ascii="Palatino Linotype" w:eastAsia="Palatino Linotype" w:hAnsi="Palatino Linotype" w:cs="Palatino Linotype"/>
          <w:i/>
          <w:sz w:val="22"/>
          <w:szCs w:val="22"/>
        </w:rPr>
        <w:t>esupuestario, proyecto, unidad ejecutora, capítulo de gasto y fuente de financiamiento, para lo cual ésta determinará los medios documentales o electrónicos a través de los cuales la realizará, teniendo ambos la misma validez oficial.</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Artículo 14.- </w:t>
      </w:r>
      <w:r>
        <w:rPr>
          <w:rFonts w:ascii="Palatino Linotype" w:eastAsia="Palatino Linotype" w:hAnsi="Palatino Linotype" w:cs="Palatino Linotype"/>
          <w:b/>
          <w:i/>
          <w:sz w:val="22"/>
          <w:szCs w:val="22"/>
          <w:u w:val="single"/>
        </w:rPr>
        <w:t>Las uni</w:t>
      </w:r>
      <w:r>
        <w:rPr>
          <w:rFonts w:ascii="Palatino Linotype" w:eastAsia="Palatino Linotype" w:hAnsi="Palatino Linotype" w:cs="Palatino Linotype"/>
          <w:b/>
          <w:i/>
          <w:sz w:val="22"/>
          <w:szCs w:val="22"/>
          <w:u w:val="single"/>
        </w:rPr>
        <w:t>dades ejecutoras deberán realizar la distribución del presupuesto autorizado y el calendario mensual por partida de gasto, centro de costo, proyecto, región y fuente de financiamiento en el Sistema, observando lo siguiente:</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Orientar los recursos presupu</w:t>
      </w:r>
      <w:r>
        <w:rPr>
          <w:rFonts w:ascii="Palatino Linotype" w:eastAsia="Palatino Linotype" w:hAnsi="Palatino Linotype" w:cs="Palatino Linotype"/>
          <w:i/>
          <w:sz w:val="22"/>
          <w:szCs w:val="22"/>
        </w:rPr>
        <w:t>estarios que les fueron autorizados y comunicados a las metas de actividad definidas en los proyectos de cada unidad ejecutora, las cuales en esta fase deberán ratificar o adecuar de acuerdo a la naturaleza de aplicación;</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Elaborar el calendario mensual</w:t>
      </w:r>
      <w:r>
        <w:rPr>
          <w:rFonts w:ascii="Palatino Linotype" w:eastAsia="Palatino Linotype" w:hAnsi="Palatino Linotype" w:cs="Palatino Linotype"/>
          <w:i/>
          <w:sz w:val="22"/>
          <w:szCs w:val="22"/>
        </w:rPr>
        <w:t xml:space="preserve"> para el ejercicio del presupuesto, con base en el clasificador por objeto del gasto autorizado por la Secretaría, considerando los recursos presupuestarios autorizados para cumplir en el tiempo determinado las metas de actividad comprometidas en su progra</w:t>
      </w:r>
      <w:r>
        <w:rPr>
          <w:rFonts w:ascii="Palatino Linotype" w:eastAsia="Palatino Linotype" w:hAnsi="Palatino Linotype" w:cs="Palatino Linotype"/>
          <w:i/>
          <w:sz w:val="22"/>
          <w:szCs w:val="22"/>
        </w:rPr>
        <w:t>ma anual;</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Realizar la distribución de los recursos por fuente de financiamiento atendiendo su origen y normatividad específica que los rija, con el objeto de cumplir con los objetivos y necesidades de cada ente público;</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En la distribución que se r</w:t>
      </w:r>
      <w:r>
        <w:rPr>
          <w:rFonts w:ascii="Palatino Linotype" w:eastAsia="Palatino Linotype" w:hAnsi="Palatino Linotype" w:cs="Palatino Linotype"/>
          <w:i/>
          <w:sz w:val="22"/>
          <w:szCs w:val="22"/>
        </w:rPr>
        <w:t>ealice se deberá atender en orden de prioridad el siguiente:</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Identificar y efectuar la distribución de los recursos, establecidos para fines específicos dentro del Presupuesto de Egresos autorizado por la Legislatura local e informar a la Subsecretaría </w:t>
      </w:r>
      <w:r>
        <w:rPr>
          <w:rFonts w:ascii="Palatino Linotype" w:eastAsia="Palatino Linotype" w:hAnsi="Palatino Linotype" w:cs="Palatino Linotype"/>
          <w:i/>
          <w:sz w:val="22"/>
          <w:szCs w:val="22"/>
        </w:rPr>
        <w:t>dicha situación al momento de enviar la distribución para la validación correspondiente;</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b. Garantizar los recursos necesarios para hacer frente al pago de los servicios personales, en los que se deberá considerar tanto los pagos directos así como las cont</w:t>
      </w:r>
      <w:r>
        <w:rPr>
          <w:rFonts w:ascii="Palatino Linotype" w:eastAsia="Palatino Linotype" w:hAnsi="Palatino Linotype" w:cs="Palatino Linotype"/>
          <w:i/>
          <w:sz w:val="22"/>
          <w:szCs w:val="22"/>
        </w:rPr>
        <w:t>ribuciones que deriven de éstos y los de las prestaciones socioeconómicas a que los servidores públicos tengan derecho;</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Atender los compromisos de deuda pública, proyectos de prestaciones de servicios, así como los contractuales derivados de la suscripción de procesos multianuales o realizados de manera preliminar, los cuales deberán informar de manera detallada a la Sub</w:t>
      </w:r>
      <w:r>
        <w:rPr>
          <w:rFonts w:ascii="Palatino Linotype" w:eastAsia="Palatino Linotype" w:hAnsi="Palatino Linotype" w:cs="Palatino Linotype"/>
          <w:i/>
          <w:sz w:val="22"/>
          <w:szCs w:val="22"/>
        </w:rPr>
        <w:t>secretaría;</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Prever recursos suficientes para garantizar la operación básica de las unidades ejecutoras y atendiendo en primer término aquellos conceptos denominados como intransferibles mencionados en el artículo 80 del presente Manual;</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 Asignar los r</w:t>
      </w:r>
      <w:r>
        <w:rPr>
          <w:rFonts w:ascii="Palatino Linotype" w:eastAsia="Palatino Linotype" w:hAnsi="Palatino Linotype" w:cs="Palatino Linotype"/>
          <w:i/>
          <w:sz w:val="22"/>
          <w:szCs w:val="22"/>
        </w:rPr>
        <w:t>ecursos respectivos para cubrir las contribuciones federales, estatales y municipales correspondientes, así como las obligaciones de cualquier índole que se deriven de resoluciones definitivas emitidas por autoridad competente;</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Enviar a la </w:t>
      </w:r>
      <w:proofErr w:type="spellStart"/>
      <w:r>
        <w:rPr>
          <w:rFonts w:ascii="Palatino Linotype" w:eastAsia="Palatino Linotype" w:hAnsi="Palatino Linotype" w:cs="Palatino Linotype"/>
          <w:i/>
          <w:sz w:val="22"/>
          <w:szCs w:val="22"/>
        </w:rPr>
        <w:t>DGPyGP</w:t>
      </w:r>
      <w:proofErr w:type="spellEnd"/>
      <w:r>
        <w:rPr>
          <w:rFonts w:ascii="Palatino Linotype" w:eastAsia="Palatino Linotype" w:hAnsi="Palatino Linotype" w:cs="Palatino Linotype"/>
          <w:i/>
          <w:sz w:val="22"/>
          <w:szCs w:val="22"/>
        </w:rPr>
        <w:t xml:space="preserve"> para su análisis y aprobación en los términos y plazos establecidos por la Secretaría, el calendario para el ejercicio del presupuesto y el de cumplimiento de metas de actividad comprometidas en su programa anual a través de la unidad</w:t>
      </w:r>
      <w:r>
        <w:rPr>
          <w:rFonts w:ascii="Palatino Linotype" w:eastAsia="Palatino Linotype" w:hAnsi="Palatino Linotype" w:cs="Palatino Linotype"/>
          <w:i/>
          <w:sz w:val="22"/>
          <w:szCs w:val="22"/>
        </w:rPr>
        <w:t xml:space="preserve"> de apoyo administrativo de la unidad responsable correspondiente, debidamente validado por la UIPPE sectorial; así como por los titulares de las unidades responsables.</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no enviar en tiempo y forma la información requerida de la calendarización d</w:t>
      </w:r>
      <w:r>
        <w:rPr>
          <w:rFonts w:ascii="Palatino Linotype" w:eastAsia="Palatino Linotype" w:hAnsi="Palatino Linotype" w:cs="Palatino Linotype"/>
          <w:i/>
          <w:sz w:val="22"/>
          <w:szCs w:val="22"/>
        </w:rPr>
        <w:t>el Presupuesto los entes públicos se sujetarán a las asignaciones y restricciones de recursos que determine la Secretaría; y</w:t>
      </w:r>
    </w:p>
    <w:p w:rsidR="00D972CF" w:rsidRDefault="00C2019E">
      <w:pPr>
        <w:tabs>
          <w:tab w:val="left" w:pos="4962"/>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Elaborar en su caso, el programa y calendario para el ejercicio presupuestal correspondiente al capítulo de bienes muebles, inm</w:t>
      </w:r>
      <w:r>
        <w:rPr>
          <w:rFonts w:ascii="Palatino Linotype" w:eastAsia="Palatino Linotype" w:hAnsi="Palatino Linotype" w:cs="Palatino Linotype"/>
          <w:i/>
          <w:sz w:val="22"/>
          <w:szCs w:val="22"/>
        </w:rPr>
        <w:t xml:space="preserve">uebles e intangibles y presentarlo a la </w:t>
      </w:r>
      <w:proofErr w:type="spellStart"/>
      <w:r>
        <w:rPr>
          <w:rFonts w:ascii="Palatino Linotype" w:eastAsia="Palatino Linotype" w:hAnsi="Palatino Linotype" w:cs="Palatino Linotype"/>
          <w:i/>
          <w:sz w:val="22"/>
          <w:szCs w:val="22"/>
        </w:rPr>
        <w:t>DGPyGP</w:t>
      </w:r>
      <w:proofErr w:type="spellEnd"/>
      <w:r>
        <w:rPr>
          <w:rFonts w:ascii="Palatino Linotype" w:eastAsia="Palatino Linotype" w:hAnsi="Palatino Linotype" w:cs="Palatino Linotype"/>
          <w:i/>
          <w:sz w:val="22"/>
          <w:szCs w:val="22"/>
        </w:rPr>
        <w:t xml:space="preserve"> conforme al formato autorizado por la Secretaría.”</w:t>
      </w:r>
    </w:p>
    <w:p w:rsidR="00D972CF" w:rsidRDefault="00C2019E">
      <w:pPr>
        <w:tabs>
          <w:tab w:val="left" w:pos="4962"/>
        </w:tabs>
        <w:spacing w:before="240" w:after="24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Dicha disposición normativa, aclara que el presupuesto se programará, ejercerá, registrará, controlará y evaluará aplicando la metodología del </w:t>
      </w:r>
      <w:proofErr w:type="spellStart"/>
      <w:r>
        <w:rPr>
          <w:rFonts w:ascii="Palatino Linotype" w:eastAsia="Palatino Linotype" w:hAnsi="Palatino Linotype" w:cs="Palatino Linotype"/>
        </w:rPr>
        <w:t>PbR</w:t>
      </w:r>
      <w:proofErr w:type="spellEnd"/>
      <w:r>
        <w:rPr>
          <w:rFonts w:ascii="Palatino Linotype" w:eastAsia="Palatino Linotype" w:hAnsi="Palatino Linotype" w:cs="Palatino Linotype"/>
        </w:rPr>
        <w:t xml:space="preserve"> (Presupuest</w:t>
      </w:r>
      <w:r>
        <w:rPr>
          <w:rFonts w:ascii="Palatino Linotype" w:eastAsia="Palatino Linotype" w:hAnsi="Palatino Linotype" w:cs="Palatino Linotype"/>
        </w:rPr>
        <w:t xml:space="preserve">o </w:t>
      </w:r>
      <w:r>
        <w:rPr>
          <w:rFonts w:ascii="Palatino Linotype" w:eastAsia="Palatino Linotype" w:hAnsi="Palatino Linotype" w:cs="Palatino Linotype"/>
        </w:rPr>
        <w:lastRenderedPageBreak/>
        <w:t>Basado en Resultados), que tiene como propósito orientar en forma eficiente y eficaz la asignación de los recursos públicos sobre la base de resultados y desempeño en el cumplimiento de los objetivos, resultados y metas de actividad contenidas en los pro</w:t>
      </w:r>
      <w:r>
        <w:rPr>
          <w:rFonts w:ascii="Palatino Linotype" w:eastAsia="Palatino Linotype" w:hAnsi="Palatino Linotype" w:cs="Palatino Linotype"/>
        </w:rPr>
        <w:t xml:space="preserve">yectos de cada programa presupuestario autorizado para el ejercicio fiscal, </w:t>
      </w:r>
      <w:r>
        <w:rPr>
          <w:rFonts w:ascii="Palatino Linotype" w:eastAsia="Palatino Linotype" w:hAnsi="Palatino Linotype" w:cs="Palatino Linotype"/>
          <w:b/>
          <w:u w:val="single"/>
        </w:rPr>
        <w:t xml:space="preserve">que las unidades ejecutoras deberán realizar la distribución del presupuesto autorizado y el calendario mensual por partida de gasto, </w:t>
      </w:r>
      <w:r>
        <w:rPr>
          <w:rFonts w:ascii="Palatino Linotype" w:eastAsia="Palatino Linotype" w:hAnsi="Palatino Linotype" w:cs="Palatino Linotype"/>
          <w:b/>
          <w:i/>
          <w:u w:val="single"/>
        </w:rPr>
        <w:t>centro de costo</w:t>
      </w:r>
      <w:r>
        <w:rPr>
          <w:rFonts w:ascii="Palatino Linotype" w:eastAsia="Palatino Linotype" w:hAnsi="Palatino Linotype" w:cs="Palatino Linotype"/>
          <w:b/>
          <w:u w:val="single"/>
        </w:rPr>
        <w:t xml:space="preserve">, proyecto, región y fuente de </w:t>
      </w:r>
      <w:r>
        <w:rPr>
          <w:rFonts w:ascii="Palatino Linotype" w:eastAsia="Palatino Linotype" w:hAnsi="Palatino Linotype" w:cs="Palatino Linotype"/>
          <w:b/>
          <w:u w:val="single"/>
        </w:rPr>
        <w:t>financiamiento en el Sistem</w:t>
      </w:r>
      <w:r>
        <w:rPr>
          <w:rFonts w:ascii="Palatino Linotype" w:eastAsia="Palatino Linotype" w:hAnsi="Palatino Linotype" w:cs="Palatino Linotype"/>
        </w:rPr>
        <w:t>a, por lo que resulta comprensible que no se tenga desagregado el presupuesto</w:t>
      </w:r>
      <w:r>
        <w:t xml:space="preserve"> </w:t>
      </w:r>
      <w:r>
        <w:rPr>
          <w:rFonts w:ascii="Palatino Linotype" w:eastAsia="Palatino Linotype" w:hAnsi="Palatino Linotype" w:cs="Palatino Linotype"/>
        </w:rPr>
        <w:t>para la secundaria General Número 210, José Vasconcelos, Cuautitlán México.</w:t>
      </w:r>
    </w:p>
    <w:p w:rsidR="00D972CF" w:rsidRDefault="00C2019E">
      <w:pPr>
        <w:tabs>
          <w:tab w:val="left" w:pos="4962"/>
        </w:tabs>
        <w:spacing w:before="240" w:after="24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el presupuesto calendarizado por centro de costo, para el </w:t>
      </w:r>
      <w:r>
        <w:rPr>
          <w:rFonts w:ascii="Palatino Linotype" w:eastAsia="Palatino Linotype" w:hAnsi="Palatino Linotype" w:cs="Palatino Linotype"/>
        </w:rPr>
        <w:t xml:space="preserve">ejercicio fiscal 2022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se encuentra en la liga electrónica </w:t>
      </w:r>
      <w:hyperlink r:id="rId19">
        <w:r>
          <w:rPr>
            <w:rFonts w:ascii="Palatino Linotype" w:eastAsia="Palatino Linotype" w:hAnsi="Palatino Linotype" w:cs="Palatino Linotype"/>
            <w:color w:val="0000FF"/>
            <w:u w:val="single"/>
          </w:rPr>
          <w:t>http://207.248.228.166/transparencia/files/16476233242.pdf</w:t>
        </w:r>
      </w:hyperlink>
      <w:r>
        <w:rPr>
          <w:rFonts w:ascii="Palatino Linotype" w:eastAsia="Palatino Linotype" w:hAnsi="Palatino Linotype" w:cs="Palatino Linotype"/>
        </w:rPr>
        <w:t xml:space="preserve">, que se muestra a continuación: </w:t>
      </w:r>
      <w:r>
        <w:rPr>
          <w:noProof/>
          <w:lang w:val="es-MX"/>
        </w:rPr>
        <mc:AlternateContent>
          <mc:Choice Requires="wpg">
            <w:drawing>
              <wp:anchor distT="0" distB="0" distL="114300" distR="114300" simplePos="0" relativeHeight="251663360" behindDoc="0" locked="0" layoutInCell="1" hidden="0" allowOverlap="1">
                <wp:simplePos x="0" y="0"/>
                <wp:positionH relativeFrom="column">
                  <wp:posOffset>292100</wp:posOffset>
                </wp:positionH>
                <wp:positionV relativeFrom="paragraph">
                  <wp:posOffset>1346200</wp:posOffset>
                </wp:positionV>
                <wp:extent cx="5130800" cy="3025775"/>
                <wp:effectExtent l="0" t="0" r="0" b="0"/>
                <wp:wrapNone/>
                <wp:docPr id="24" name="Conector recto de flecha 24"/>
                <wp:cNvGraphicFramePr/>
                <a:graphic xmlns:a="http://schemas.openxmlformats.org/drawingml/2006/main">
                  <a:graphicData uri="http://schemas.microsoft.com/office/word/2010/wordprocessingShape">
                    <wps:wsp>
                      <wps:cNvCnPr/>
                      <wps:spPr>
                        <a:xfrm>
                          <a:off x="2793300" y="2279813"/>
                          <a:ext cx="5105400" cy="300037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1346200</wp:posOffset>
                </wp:positionV>
                <wp:extent cx="5130800" cy="3025775"/>
                <wp:effectExtent b="0" l="0" r="0" t="0"/>
                <wp:wrapNone/>
                <wp:docPr id="24"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5130800" cy="3025775"/>
                        </a:xfrm>
                        <a:prstGeom prst="rect"/>
                        <a:ln/>
                      </pic:spPr>
                    </pic:pic>
                  </a:graphicData>
                </a:graphic>
              </wp:anchor>
            </w:drawing>
          </mc:Fallback>
        </mc:AlternateContent>
      </w:r>
    </w:p>
    <w:p w:rsidR="00D972CF" w:rsidRDefault="00C2019E">
      <w:pPr>
        <w:tabs>
          <w:tab w:val="left" w:pos="4962"/>
        </w:tabs>
        <w:spacing w:before="240" w:after="240" w:line="360" w:lineRule="auto"/>
        <w:ind w:right="-28"/>
        <w:jc w:val="both"/>
        <w:rPr>
          <w:rFonts w:ascii="Palatino Linotype" w:eastAsia="Palatino Linotype" w:hAnsi="Palatino Linotype" w:cs="Palatino Linotype"/>
        </w:rPr>
      </w:pPr>
      <w:r>
        <w:rPr>
          <w:noProof/>
          <w:lang w:val="es-MX"/>
        </w:rPr>
        <w:lastRenderedPageBreak/>
        <w:drawing>
          <wp:inline distT="0" distB="0" distL="0" distR="0">
            <wp:extent cx="5730575" cy="3886118"/>
            <wp:effectExtent l="107746" t="162718" r="107746" b="162718"/>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50111" t="24902" r="6062" b="42770"/>
                    <a:stretch>
                      <a:fillRect/>
                    </a:stretch>
                  </pic:blipFill>
                  <pic:spPr>
                    <a:xfrm rot="21400746">
                      <a:off x="0" y="0"/>
                      <a:ext cx="5730575" cy="3886118"/>
                    </a:xfrm>
                    <a:prstGeom prst="rect">
                      <a:avLst/>
                    </a:prstGeom>
                    <a:ln/>
                  </pic:spPr>
                </pic:pic>
              </a:graphicData>
            </a:graphic>
          </wp:inline>
        </w:drawing>
      </w:r>
    </w:p>
    <w:p w:rsidR="00D972CF" w:rsidRDefault="00C2019E">
      <w:pPr>
        <w:tabs>
          <w:tab w:val="left" w:pos="4962"/>
        </w:tabs>
        <w:spacing w:before="240" w:after="24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Dicho documento nos permite conocer que la unidad ejecutora, corresponde a Servicios Educativos Integrados al Estado de México, y que el Centro de Costo a las Unidades Administrativas, siendo las siguientes:</w:t>
      </w:r>
    </w:p>
    <w:p w:rsidR="00D972CF" w:rsidRDefault="00C2019E">
      <w:pPr>
        <w:tabs>
          <w:tab w:val="left" w:pos="4962"/>
        </w:tabs>
        <w:spacing w:before="240" w:after="240" w:line="360" w:lineRule="auto"/>
        <w:ind w:right="-28"/>
        <w:jc w:val="center"/>
        <w:rPr>
          <w:rFonts w:ascii="Palatino Linotype" w:eastAsia="Palatino Linotype" w:hAnsi="Palatino Linotype" w:cs="Palatino Linotype"/>
          <w:highlight w:val="yellow"/>
        </w:rPr>
      </w:pPr>
      <w:r>
        <w:rPr>
          <w:noProof/>
          <w:lang w:val="es-MX"/>
        </w:rPr>
        <w:drawing>
          <wp:inline distT="0" distB="0" distL="0" distR="0">
            <wp:extent cx="3036398" cy="1751556"/>
            <wp:effectExtent l="37687" t="67093" r="37687" b="67093"/>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49430" t="33192" r="31378" b="47126"/>
                    <a:stretch>
                      <a:fillRect/>
                    </a:stretch>
                  </pic:blipFill>
                  <pic:spPr>
                    <a:xfrm rot="21446036">
                      <a:off x="0" y="0"/>
                      <a:ext cx="3036398" cy="1751556"/>
                    </a:xfrm>
                    <a:prstGeom prst="rect">
                      <a:avLst/>
                    </a:prstGeom>
                    <a:ln/>
                  </pic:spPr>
                </pic:pic>
              </a:graphicData>
            </a:graphic>
          </wp:inline>
        </w:drawing>
      </w:r>
    </w:p>
    <w:p w:rsidR="00D972CF" w:rsidRDefault="00C2019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antes señalado, es a la Dirección de Edu</w:t>
      </w:r>
      <w:r>
        <w:rPr>
          <w:rFonts w:ascii="Palatino Linotype" w:eastAsia="Palatino Linotype" w:hAnsi="Palatino Linotype" w:cs="Palatino Linotype"/>
        </w:rPr>
        <w:t>cación Secundaria y Servicios de Apoyo, a quien corresponde organizar, dirigir, controlar y evaluar la prestación de los servicios de educación secundaria general, por lo que a través del  Servidor Público Habilitado de la Dirección de Educación Secundaria</w:t>
      </w:r>
      <w:r>
        <w:rPr>
          <w:rFonts w:ascii="Palatino Linotype" w:eastAsia="Palatino Linotype" w:hAnsi="Palatino Linotype" w:cs="Palatino Linotype"/>
        </w:rPr>
        <w:t xml:space="preserve"> y Servicios de Apoyo, la cual da respuesta a la información solicitada, en la que medularmente refiere que</w:t>
      </w:r>
      <w:r>
        <w:rPr>
          <w:rFonts w:ascii="Palatino Linotype" w:eastAsia="Palatino Linotype" w:hAnsi="Palatino Linotype" w:cs="Palatino Linotype"/>
          <w:i/>
        </w:rPr>
        <w:t xml:space="preserve"> </w:t>
      </w:r>
      <w:r>
        <w:rPr>
          <w:rFonts w:ascii="Palatino Linotype" w:eastAsia="Palatino Linotype" w:hAnsi="Palatino Linotype" w:cs="Palatino Linotype"/>
        </w:rPr>
        <w:t>se asigna un presupuesto global para el organismo, y que es manejado por la Coordinación de Administración y Finanzas de SEIEM, que de acuerdo con s</w:t>
      </w:r>
      <w:r>
        <w:rPr>
          <w:rFonts w:ascii="Palatino Linotype" w:eastAsia="Palatino Linotype" w:hAnsi="Palatino Linotype" w:cs="Palatino Linotype"/>
        </w:rPr>
        <w:t>us atribuciones corresponde organizar la formulación e integración de los proyectos de Presupuesto Anual de Ingresos y Egresos de SEIEM, y  es a través de la Dirección de Recursos Materiales y Financieros, por medio de la cual da respuesta a la información</w:t>
      </w:r>
      <w:r>
        <w:rPr>
          <w:rFonts w:ascii="Palatino Linotype" w:eastAsia="Palatino Linotype" w:hAnsi="Palatino Linotype" w:cs="Palatino Linotype"/>
        </w:rPr>
        <w:t xml:space="preserve"> solicitada, en la que medularmente  señala que se realizó una búsqueda exhaustiva, revisión y consulta de los expedientes, sin encontrar antecedente de acciones relacionadas con el tema solicitado y relacionado con el centro de trabajo 15DES0331I, en razó</w:t>
      </w:r>
      <w:r>
        <w:rPr>
          <w:rFonts w:ascii="Palatino Linotype" w:eastAsia="Palatino Linotype" w:hAnsi="Palatino Linotype" w:cs="Palatino Linotype"/>
        </w:rPr>
        <w:t>n de qué la información presupuestal, se tiende desagregada a nivel Centro de Costo y Proyecto Presupuestario.</w:t>
      </w:r>
      <w:r>
        <w:rPr>
          <w:rFonts w:ascii="Palatino Linotype" w:eastAsia="Palatino Linotype" w:hAnsi="Palatino Linotype" w:cs="Palatino Linotype"/>
          <w:b/>
        </w:rPr>
        <w:t xml:space="preserve"> </w:t>
      </w:r>
    </w:p>
    <w:p w:rsidR="00D972CF" w:rsidRDefault="00C2019E">
      <w:pPr>
        <w:tabs>
          <w:tab w:val="left" w:pos="4962"/>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normatividad y constancias anteriormente citadas, se concluye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tiene información desagregada al nivel solici</w:t>
      </w:r>
      <w:r>
        <w:rPr>
          <w:rFonts w:ascii="Palatino Linotype" w:eastAsia="Palatino Linotype" w:hAnsi="Palatino Linotype" w:cs="Palatino Linotype"/>
        </w:rPr>
        <w:t xml:space="preserve">tado por el </w:t>
      </w:r>
      <w:r>
        <w:rPr>
          <w:rFonts w:ascii="Palatino Linotype" w:eastAsia="Palatino Linotype" w:hAnsi="Palatino Linotype" w:cs="Palatino Linotype"/>
          <w:b/>
        </w:rPr>
        <w:t>RECURRENTE</w:t>
      </w:r>
      <w:r>
        <w:rPr>
          <w:rFonts w:ascii="Palatino Linotype" w:eastAsia="Palatino Linotype" w:hAnsi="Palatino Linotype" w:cs="Palatino Linotype"/>
        </w:rPr>
        <w:t>, situación que se encuentra referida tanto en la respuesta, como en el Informe Justificado.</w:t>
      </w:r>
    </w:p>
    <w:p w:rsidR="00D972CF" w:rsidRDefault="00D972CF">
      <w:pPr>
        <w:tabs>
          <w:tab w:val="left" w:pos="4962"/>
        </w:tabs>
        <w:spacing w:line="360" w:lineRule="auto"/>
        <w:ind w:right="-28"/>
        <w:jc w:val="both"/>
        <w:rPr>
          <w:rFonts w:ascii="Palatino Linotype" w:eastAsia="Palatino Linotype" w:hAnsi="Palatino Linotype" w:cs="Palatino Linotype"/>
        </w:rPr>
      </w:pPr>
    </w:p>
    <w:p w:rsidR="00D972CF" w:rsidRDefault="00C2019E">
      <w:pPr>
        <w:tabs>
          <w:tab w:val="left" w:pos="4962"/>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tales circunstancias, se concluye que los Sujetos Obligados únicamente se encuentran constreñidos a proporcionar los documentos que den cuenta de la información solicitada, como obren en sus archivos, sin tener que elaborarlos a las </w:t>
      </w:r>
      <w:r>
        <w:rPr>
          <w:rFonts w:ascii="Palatino Linotype" w:eastAsia="Palatino Linotype" w:hAnsi="Palatino Linotype" w:cs="Palatino Linotype"/>
          <w:color w:val="000000"/>
        </w:rPr>
        <w:lastRenderedPageBreak/>
        <w:t>necesidades del Rec</w:t>
      </w:r>
      <w:r>
        <w:rPr>
          <w:rFonts w:ascii="Palatino Linotype" w:eastAsia="Palatino Linotype" w:hAnsi="Palatino Linotype" w:cs="Palatino Linotype"/>
          <w:color w:val="000000"/>
        </w:rPr>
        <w:t xml:space="preserve">urrente, es decir, </w:t>
      </w:r>
      <w:r>
        <w:rPr>
          <w:rFonts w:ascii="Palatino Linotype" w:eastAsia="Palatino Linotype" w:hAnsi="Palatino Linotype" w:cs="Palatino Linotype"/>
          <w:color w:val="212121"/>
        </w:rPr>
        <w:t>sin necesidad de elaborar documentos </w:t>
      </w:r>
      <w:r>
        <w:rPr>
          <w:rFonts w:ascii="Palatino Linotype" w:eastAsia="Palatino Linotype" w:hAnsi="Palatino Linotype" w:cs="Palatino Linotype"/>
          <w:i/>
          <w:color w:val="212121"/>
        </w:rPr>
        <w:t>ad hoc </w:t>
      </w:r>
      <w:r>
        <w:rPr>
          <w:rFonts w:ascii="Palatino Linotype" w:eastAsia="Palatino Linotype" w:hAnsi="Palatino Linotype" w:cs="Palatino Linotype"/>
          <w:color w:val="212121"/>
        </w:rPr>
        <w:t xml:space="preserve">para atender las solicitudes de información, argumento que se fortalece con el criterio número 03/17 emitido por el Instituto Nacional de Transparencia, Acceso a la Información y Protección de </w:t>
      </w:r>
      <w:r>
        <w:rPr>
          <w:rFonts w:ascii="Palatino Linotype" w:eastAsia="Palatino Linotype" w:hAnsi="Palatino Linotype" w:cs="Palatino Linotype"/>
          <w:color w:val="212121"/>
        </w:rPr>
        <w:t>Datos Personales (INAI), cuyo contenido se inserta a continuación:</w:t>
      </w:r>
    </w:p>
    <w:p w:rsidR="00D972CF" w:rsidRDefault="00C2019E">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212121"/>
          <w:sz w:val="22"/>
          <w:szCs w:val="22"/>
        </w:rPr>
        <w:t>“No existe obligación de elaborar documentos ad hoc para atender las solicitudes de acceso a la información. </w:t>
      </w:r>
      <w:r>
        <w:rPr>
          <w:rFonts w:ascii="Palatino Linotype" w:eastAsia="Palatino Linotype" w:hAnsi="Palatino Linotype" w:cs="Palatino Linotype"/>
          <w:i/>
          <w:color w:val="212121"/>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w:t>
      </w:r>
      <w:r>
        <w:rPr>
          <w:rFonts w:ascii="Palatino Linotype" w:eastAsia="Palatino Linotype" w:hAnsi="Palatino Linotype" w:cs="Palatino Linotype"/>
          <w:i/>
          <w:color w:val="212121"/>
          <w:sz w:val="22"/>
          <w:szCs w:val="22"/>
        </w:rPr>
        <w:t>e se encuentren en sus archivos o que estén obligados a documentar, de acuerdo con sus facultades, competencias o funciones, conforme a las características físicas de la información o del lugar donde se encuentre. Por lo anterior, los sujetos obligados deb</w:t>
      </w:r>
      <w:r>
        <w:rPr>
          <w:rFonts w:ascii="Palatino Linotype" w:eastAsia="Palatino Linotype" w:hAnsi="Palatino Linotype" w:cs="Palatino Linotype"/>
          <w:i/>
          <w:color w:val="212121"/>
          <w:sz w:val="22"/>
          <w:szCs w:val="22"/>
        </w:rPr>
        <w:t>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eastAsia="Palatino Linotype" w:hAnsi="Palatino Linotype" w:cs="Palatino Linotype"/>
          <w:i/>
          <w:color w:val="212121"/>
          <w:sz w:val="22"/>
          <w:szCs w:val="22"/>
        </w:rPr>
        <w:t>. </w:t>
      </w:r>
    </w:p>
    <w:p w:rsidR="00D972CF" w:rsidRDefault="00D972CF"/>
    <w:p w:rsidR="00D972CF" w:rsidRDefault="00C2019E">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sz w:val="22"/>
          <w:szCs w:val="22"/>
        </w:rPr>
        <w:t>Resoluciones: </w:t>
      </w:r>
    </w:p>
    <w:p w:rsidR="00D972CF" w:rsidRDefault="00D972CF"/>
    <w:p w:rsidR="00D972CF" w:rsidRDefault="00C2019E">
      <w:pPr>
        <w:pBdr>
          <w:top w:val="nil"/>
          <w:left w:val="nil"/>
          <w:bottom w:val="nil"/>
          <w:right w:val="nil"/>
          <w:between w:val="nil"/>
        </w:pBdr>
        <w:ind w:left="851" w:right="902"/>
        <w:jc w:val="both"/>
        <w:rPr>
          <w:color w:val="000000"/>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D972CF" w:rsidRDefault="00C2019E">
      <w:pPr>
        <w:pBdr>
          <w:top w:val="nil"/>
          <w:left w:val="nil"/>
          <w:bottom w:val="nil"/>
          <w:right w:val="nil"/>
          <w:between w:val="nil"/>
        </w:pBdr>
        <w:ind w:left="851" w:right="902"/>
        <w:jc w:val="both"/>
        <w:rPr>
          <w:color w:val="000000"/>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D972CF" w:rsidRDefault="00C2019E">
      <w:pPr>
        <w:pBdr>
          <w:top w:val="nil"/>
          <w:left w:val="nil"/>
          <w:bottom w:val="nil"/>
          <w:right w:val="nil"/>
          <w:between w:val="nil"/>
        </w:pBdr>
        <w:ind w:left="851" w:right="902"/>
        <w:jc w:val="both"/>
        <w:rPr>
          <w:color w:val="000000"/>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w:t>
      </w:r>
      <w:r>
        <w:rPr>
          <w:rFonts w:ascii="Palatino Linotype" w:eastAsia="Palatino Linotype" w:hAnsi="Palatino Linotype" w:cs="Palatino Linotype"/>
          <w:i/>
          <w:color w:val="000000"/>
          <w:sz w:val="22"/>
          <w:szCs w:val="22"/>
        </w:rPr>
        <w:t>ubre de 2016. Por unanimidad. Comisionada Ponente. Ximena Puente de la Mora.” </w:t>
      </w:r>
    </w:p>
    <w:p w:rsidR="00D972CF" w:rsidRDefault="00C2019E">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sz w:val="22"/>
          <w:szCs w:val="22"/>
        </w:rPr>
        <w:t>(Sic)</w:t>
      </w:r>
    </w:p>
    <w:p w:rsidR="00D972CF" w:rsidRDefault="00C2019E">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De ahí que el</w:t>
      </w:r>
      <w:r>
        <w:rPr>
          <w:rFonts w:ascii="Palatino Linotype" w:eastAsia="Palatino Linotype" w:hAnsi="Palatino Linotype" w:cs="Palatino Linotype"/>
          <w:b/>
          <w:color w:val="000000"/>
        </w:rPr>
        <w:t xml:space="preserve"> SUJETO OBLIGADO </w:t>
      </w:r>
      <w:r>
        <w:rPr>
          <w:rFonts w:ascii="Palatino Linotype" w:eastAsia="Palatino Linotype" w:hAnsi="Palatino Linotype" w:cs="Palatino Linotype"/>
          <w:color w:val="000000"/>
        </w:rPr>
        <w:t>está limitado a entregar la información; tal y como la genera y obra en sus archivos sin que, dicha situación conlleve a la realización de un</w:t>
      </w:r>
      <w:r>
        <w:rPr>
          <w:rFonts w:ascii="Palatino Linotype" w:eastAsia="Palatino Linotype" w:hAnsi="Palatino Linotype" w:cs="Palatino Linotype"/>
          <w:color w:val="000000"/>
        </w:rPr>
        <w:t xml:space="preserve"> documento en específico, es decir, debe entregarse la información </w:t>
      </w:r>
      <w:r>
        <w:rPr>
          <w:rFonts w:ascii="Palatino Linotype" w:eastAsia="Palatino Linotype" w:hAnsi="Palatino Linotype" w:cs="Palatino Linotype"/>
          <w:color w:val="000000"/>
        </w:rPr>
        <w:lastRenderedPageBreak/>
        <w:t>tal como conste en sus archivos y en el estado en que se encuentren, salvo las excepciones de reserva y confidencialidad de la información. </w:t>
      </w:r>
    </w:p>
    <w:p w:rsidR="00D972CF" w:rsidRDefault="00C2019E">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Por otra parte, sobre la manifestación realizada</w:t>
      </w:r>
      <w:r>
        <w:rPr>
          <w:rFonts w:ascii="Palatino Linotype" w:eastAsia="Palatino Linotype" w:hAnsi="Palatino Linotype" w:cs="Palatino Linotype"/>
          <w:color w:val="000000"/>
        </w:rPr>
        <w:t xml:space="preserve"> por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 respuesta, este Organismo Garante no está facultado para manifestarse sobre la veracidad de lo afirmado, pues no existe precepto legal alguno en la Ley de la materia que lo faculte para ello, situación que se robustece con lo pla</w:t>
      </w:r>
      <w:r>
        <w:rPr>
          <w:rFonts w:ascii="Palatino Linotype" w:eastAsia="Palatino Linotype" w:hAnsi="Palatino Linotype" w:cs="Palatino Linotype"/>
          <w:color w:val="000000"/>
        </w:rPr>
        <w:t xml:space="preserve">smado en el criterio 31-10 emitido por el entonces Instituto Federal de Acceso a la Información y Protección de Datos (IFAI) ahora Instituto Nacional de Transparencia, Acceso a la Información, y Protección de Datos Personales (INAI), que lleva por rubro y </w:t>
      </w:r>
      <w:r>
        <w:rPr>
          <w:rFonts w:ascii="Palatino Linotype" w:eastAsia="Palatino Linotype" w:hAnsi="Palatino Linotype" w:cs="Palatino Linotype"/>
          <w:color w:val="000000"/>
        </w:rPr>
        <w:t>texto los siguientes: </w:t>
      </w:r>
    </w:p>
    <w:p w:rsidR="00D972CF" w:rsidRDefault="00C2019E">
      <w:pPr>
        <w:pBdr>
          <w:top w:val="nil"/>
          <w:left w:val="nil"/>
          <w:bottom w:val="nil"/>
          <w:right w:val="nil"/>
          <w:between w:val="nil"/>
        </w:pBdr>
        <w:spacing w:after="160"/>
        <w:ind w:left="567" w:right="539"/>
        <w:jc w:val="both"/>
        <w:rPr>
          <w:color w:val="000000"/>
        </w:rPr>
      </w:pPr>
      <w:r>
        <w:rPr>
          <w:rFonts w:ascii="Palatino Linotype" w:eastAsia="Palatino Linotype" w:hAnsi="Palatino Linotype" w:cs="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w:t>
      </w:r>
      <w:r>
        <w:rPr>
          <w:rFonts w:ascii="Palatino Linotype" w:eastAsia="Palatino Linotype" w:hAnsi="Palatino Linotype" w:cs="Palatino Linotype"/>
          <w:i/>
          <w:color w:val="000000"/>
          <w:sz w:val="22"/>
          <w:szCs w:val="22"/>
        </w:rPr>
        <w:t>ción; resolver sobre la negativa de las solicitudes de acceso a la información; y proteger los datos personales en poder de las dependencias y entidades. Sin embargo, no está facultado para pronunciarse sobre la veracidad de la información proporcionada po</w:t>
      </w:r>
      <w:r>
        <w:rPr>
          <w:rFonts w:ascii="Palatino Linotype" w:eastAsia="Palatino Linotype" w:hAnsi="Palatino Linotype" w:cs="Palatino Linotype"/>
          <w:i/>
          <w:color w:val="000000"/>
          <w:sz w:val="22"/>
          <w:szCs w:val="22"/>
        </w:rPr>
        <w:t>r las autoridades en respuesta a las solicitudes de información que les presentan los particulares, en virtud de que en los artículos 49 y 50 de la Ley Federal de Transparencia y Acceso a la Información Pública Gubernamental no se prevé una causal que perm</w:t>
      </w:r>
      <w:r>
        <w:rPr>
          <w:rFonts w:ascii="Palatino Linotype" w:eastAsia="Palatino Linotype" w:hAnsi="Palatino Linotype" w:cs="Palatino Linotype"/>
          <w:i/>
          <w:color w:val="000000"/>
          <w:sz w:val="22"/>
          <w:szCs w:val="22"/>
        </w:rPr>
        <w:t>ita al Instituto Federal de Acceso a la Información y Protección de Datos conocer, vía recurso revisión, al respecto.”</w:t>
      </w:r>
    </w:p>
    <w:p w:rsidR="00D972CF" w:rsidRDefault="00D972CF">
      <w:pPr>
        <w:pBdr>
          <w:top w:val="nil"/>
          <w:left w:val="nil"/>
          <w:bottom w:val="nil"/>
          <w:right w:val="nil"/>
          <w:between w:val="nil"/>
        </w:pBdr>
        <w:spacing w:after="160" w:line="360" w:lineRule="auto"/>
        <w:ind w:right="-93"/>
        <w:jc w:val="both"/>
        <w:rPr>
          <w:rFonts w:ascii="Palatino Linotype" w:eastAsia="Palatino Linotype" w:hAnsi="Palatino Linotype" w:cs="Palatino Linotype"/>
          <w:color w:val="000000"/>
        </w:rPr>
      </w:pPr>
      <w:bookmarkStart w:id="3" w:name="_GoBack"/>
      <w:bookmarkEnd w:id="3"/>
    </w:p>
    <w:p w:rsidR="00D972CF" w:rsidRDefault="00C2019E">
      <w:pPr>
        <w:pBdr>
          <w:top w:val="nil"/>
          <w:left w:val="nil"/>
          <w:bottom w:val="nil"/>
          <w:right w:val="nil"/>
          <w:between w:val="nil"/>
        </w:pBdr>
        <w:spacing w:after="160" w:line="360" w:lineRule="auto"/>
        <w:ind w:right="-93"/>
        <w:jc w:val="both"/>
        <w:rPr>
          <w:color w:val="000000"/>
        </w:rPr>
      </w:pPr>
      <w:r>
        <w:rPr>
          <w:rFonts w:ascii="Palatino Linotype" w:eastAsia="Palatino Linotype" w:hAnsi="Palatino Linotype" w:cs="Palatino Linotype"/>
          <w:color w:val="000000"/>
        </w:rPr>
        <w:t xml:space="preserve">De tal suerte, se advierte que además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siguió el procedimiento establecido en los artículos 160 y 162 de la Ley de Transparencia y Acceso a la Información Pública del Estado de México y Municipios, los cuales </w:t>
      </w:r>
      <w:r>
        <w:rPr>
          <w:rFonts w:ascii="Palatino Linotype" w:eastAsia="Palatino Linotype" w:hAnsi="Palatino Linotype" w:cs="Palatino Linotype"/>
          <w:color w:val="000000"/>
        </w:rPr>
        <w:lastRenderedPageBreak/>
        <w:t>disponen que los sujetos obligados deben otorgar acceso a los documentos que obren en</w:t>
      </w:r>
      <w:r>
        <w:rPr>
          <w:rFonts w:ascii="Palatino Linotype" w:eastAsia="Palatino Linotype" w:hAnsi="Palatino Linotype" w:cs="Palatino Linotype"/>
          <w:color w:val="000000"/>
        </w:rPr>
        <w:t xml:space="preserve"> sus archivos y que las unidades de transparencia deberán garantizar que las solicitudes se turnen a todas las áreas competentes.</w:t>
      </w:r>
    </w:p>
    <w:p w:rsidR="00D972CF" w:rsidRDefault="00C2019E">
      <w:pPr>
        <w:pBdr>
          <w:top w:val="nil"/>
          <w:left w:val="nil"/>
          <w:bottom w:val="nil"/>
          <w:right w:val="nil"/>
          <w:between w:val="nil"/>
        </w:pBdr>
        <w:spacing w:after="160" w:line="360" w:lineRule="auto"/>
        <w:ind w:right="-93"/>
        <w:jc w:val="both"/>
        <w:rPr>
          <w:color w:val="000000"/>
        </w:rPr>
      </w:pPr>
      <w:r>
        <w:rPr>
          <w:rFonts w:ascii="Palatino Linotype" w:eastAsia="Palatino Linotype" w:hAnsi="Palatino Linotype" w:cs="Palatino Linotype"/>
          <w:color w:val="000000"/>
        </w:rPr>
        <w:t xml:space="preserve">En relación con lo anterior, se entiende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atendió la solicitud de acceso a la información, atento a lo e</w:t>
      </w:r>
      <w:r>
        <w:rPr>
          <w:rFonts w:ascii="Palatino Linotype" w:eastAsia="Palatino Linotype" w:hAnsi="Palatino Linotype" w:cs="Palatino Linotype"/>
          <w:color w:val="000000"/>
        </w:rPr>
        <w:t>stablecido en el artículo 12, párrafo segundo, de la Ley de Transparencia y Acceso a la Información Pública del Estado de México y Municipios, pues establece que los sujetos obligados sólo proporcionarán la información pública que se les requiera y que obr</w:t>
      </w:r>
      <w:r>
        <w:rPr>
          <w:rFonts w:ascii="Palatino Linotype" w:eastAsia="Palatino Linotype" w:hAnsi="Palatino Linotype" w:cs="Palatino Linotype"/>
          <w:color w:val="000000"/>
        </w:rPr>
        <w:t>e en sus archivos.</w:t>
      </w:r>
    </w:p>
    <w:p w:rsidR="00D972CF" w:rsidRDefault="00C2019E">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Así, con fundamento en lo prescrito en los artículos 5, párrafos trigésimo, trigésimo primero y trigésimo segundo, y fracciones IV y V de la Constitución Política del Estado Libre y Soberano de México; 2, fracción II, 29, 36, fracciones </w:t>
      </w:r>
      <w:r>
        <w:rPr>
          <w:rFonts w:ascii="Palatino Linotype" w:eastAsia="Palatino Linotype" w:hAnsi="Palatino Linotype" w:cs="Palatino Linotype"/>
        </w:rPr>
        <w:t>I y II, 176, 178, 179, 181, 185, fracción I, 186 y 188 de la Ley de Transparencia y Acceso a la Información Pública del Estado de México y Municipios, este Pleno:</w:t>
      </w:r>
    </w:p>
    <w:p w:rsidR="00D972CF" w:rsidRDefault="00D972CF"/>
    <w:p w:rsidR="00D972CF" w:rsidRDefault="00C2019E">
      <w:pPr>
        <w:numPr>
          <w:ilvl w:val="0"/>
          <w:numId w:val="5"/>
        </w:numPr>
        <w:pBdr>
          <w:top w:val="nil"/>
          <w:left w:val="nil"/>
          <w:bottom w:val="nil"/>
          <w:right w:val="nil"/>
          <w:between w:val="nil"/>
        </w:pBdr>
        <w:spacing w:line="360" w:lineRule="auto"/>
        <w:ind w:hanging="720"/>
        <w:jc w:val="center"/>
        <w:rPr>
          <w:rFonts w:ascii="Palatino Linotype" w:eastAsia="Palatino Linotype" w:hAnsi="Palatino Linotype" w:cs="Palatino Linotype"/>
          <w:b/>
          <w:color w:val="000000"/>
        </w:rPr>
      </w:pPr>
      <w:bookmarkStart w:id="4" w:name="_heading=h.3znysh7" w:colFirst="0" w:colLast="0"/>
      <w:bookmarkEnd w:id="4"/>
      <w:r>
        <w:rPr>
          <w:rFonts w:ascii="Palatino Linotype" w:eastAsia="Palatino Linotype" w:hAnsi="Palatino Linotype" w:cs="Palatino Linotype"/>
          <w:b/>
          <w:color w:val="000000"/>
        </w:rPr>
        <w:t xml:space="preserve">R E S U E L V E </w:t>
      </w:r>
    </w:p>
    <w:p w:rsidR="00D972CF" w:rsidRDefault="00C2019E">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Resultan </w:t>
      </w:r>
      <w:r>
        <w:rPr>
          <w:rFonts w:ascii="Palatino Linotype" w:eastAsia="Palatino Linotype" w:hAnsi="Palatino Linotype" w:cs="Palatino Linotype"/>
          <w:b/>
          <w:color w:val="000000"/>
        </w:rPr>
        <w:t>infundados</w:t>
      </w:r>
      <w:r>
        <w:rPr>
          <w:rFonts w:ascii="Palatino Linotype" w:eastAsia="Palatino Linotype" w:hAnsi="Palatino Linotype" w:cs="Palatino Linotype"/>
          <w:color w:val="000000"/>
        </w:rPr>
        <w:t xml:space="preserve"> los motivos de inconformidad aducido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el recurso de revisión </w:t>
      </w:r>
      <w:r>
        <w:rPr>
          <w:rFonts w:ascii="Palatino Linotype" w:eastAsia="Palatino Linotype" w:hAnsi="Palatino Linotype" w:cs="Palatino Linotype"/>
          <w:b/>
          <w:color w:val="000000"/>
        </w:rPr>
        <w:t xml:space="preserve">00539/INFOEM/IP/RR/2022, </w:t>
      </w:r>
      <w:r>
        <w:rPr>
          <w:rFonts w:ascii="Palatino Linotype" w:eastAsia="Palatino Linotype" w:hAnsi="Palatino Linotype" w:cs="Palatino Linotype"/>
          <w:color w:val="000000"/>
        </w:rPr>
        <w:t xml:space="preserve">por lo que, en términos de los argumentos señalados en el </w:t>
      </w:r>
      <w:r>
        <w:rPr>
          <w:rFonts w:ascii="Palatino Linotype" w:eastAsia="Palatino Linotype" w:hAnsi="Palatino Linotype" w:cs="Palatino Linotype"/>
          <w:b/>
          <w:color w:val="000000"/>
        </w:rPr>
        <w:t>Considerando Cuarto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b/>
          <w:color w:val="000000"/>
        </w:rPr>
        <w:t>CONFIRMA</w:t>
      </w:r>
      <w:r>
        <w:rPr>
          <w:rFonts w:ascii="Palatino Linotype" w:eastAsia="Palatino Linotype" w:hAnsi="Palatino Linotype" w:cs="Palatino Linotype"/>
          <w:color w:val="000000"/>
        </w:rPr>
        <w:t xml:space="preserve">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D972CF" w:rsidRDefault="00D972CF">
      <w:pPr>
        <w:spacing w:line="360" w:lineRule="auto"/>
        <w:ind w:right="-28"/>
        <w:jc w:val="both"/>
        <w:rPr>
          <w:rFonts w:ascii="Palatino Linotype" w:eastAsia="Palatino Linotype" w:hAnsi="Palatino Linotype" w:cs="Palatino Linotype"/>
        </w:rPr>
      </w:pPr>
    </w:p>
    <w:p w:rsidR="00D972CF" w:rsidRDefault="00C2019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 al Titular de la Unidad de Transparencia</w:t>
      </w:r>
      <w:r>
        <w:rPr>
          <w:rFonts w:ascii="Palatino Linotype" w:eastAsia="Palatino Linotype" w:hAnsi="Palatino Linotype" w:cs="Palatino Linotype"/>
          <w:color w:val="000000"/>
        </w:rPr>
        <w:t xml:space="preserv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para su conocimiento.</w:t>
      </w:r>
    </w:p>
    <w:p w:rsidR="00D972CF" w:rsidRDefault="00D972CF">
      <w:pPr>
        <w:spacing w:line="360" w:lineRule="auto"/>
        <w:jc w:val="both"/>
        <w:rPr>
          <w:rFonts w:ascii="Palatino Linotype" w:eastAsia="Palatino Linotype" w:hAnsi="Palatino Linotype" w:cs="Palatino Linotype"/>
          <w:b/>
        </w:rPr>
      </w:pPr>
    </w:p>
    <w:p w:rsidR="00D972CF" w:rsidRDefault="00C201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presente resolución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así como, que de conformidad con lo establecido en el artículo 196 de la Ley de Tran</w:t>
      </w:r>
      <w:r>
        <w:rPr>
          <w:rFonts w:ascii="Palatino Linotype" w:eastAsia="Palatino Linotype" w:hAnsi="Palatino Linotype" w:cs="Palatino Linotype"/>
        </w:rPr>
        <w:t>sparencia y Acceso a la Información Pública del Estado de México y Municipios, podrá impugnarla vía Juicio de Amparo en los términos de las leyes aplicables.</w:t>
      </w:r>
    </w:p>
    <w:p w:rsidR="00D972CF" w:rsidRDefault="00C2019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ASÍ LO RESUELVE, POR </w:t>
      </w:r>
      <w:r>
        <w:rPr>
          <w:rFonts w:ascii="Palatino Linotype" w:eastAsia="Palatino Linotype" w:hAnsi="Palatino Linotype" w:cs="Palatino Linotype"/>
          <w:b/>
        </w:rPr>
        <w:t>UNANIMIDAD</w:t>
      </w:r>
      <w:r>
        <w:rPr>
          <w:rFonts w:ascii="Palatino Linotype" w:eastAsia="Palatino Linotype" w:hAnsi="Palatino Linotype" w:cs="Palatino Linotype"/>
        </w:rPr>
        <w:t xml:space="preserve"> DE VOTOS EL PLENO DEL INSTITUTO DE TRANSPARENCIA, ACCESO A LA INFO</w:t>
      </w:r>
      <w:r>
        <w:rPr>
          <w:rFonts w:ascii="Palatino Linotype" w:eastAsia="Palatino Linotype" w:hAnsi="Palatino Linotype" w:cs="Palatino Linotype"/>
        </w:rPr>
        <w:t>RMACIÓN PÚBLICA Y PROTECCIÓN DE DATOS PERSONALES DEL ESTADO DE MÉXICO Y MUNICIPIOS, CONFORMADO POR LOS COMISIONADOS JOSÉ MARTÍNEZ VILCHIS, MARÍA DEL ROSARIO MEJÍA AYALA, SHARON CRISTINA MORALES MARTÍNEZ, LUIS GUSTAVO PARRA NORIEGA Y GUADALUPE RAMÍREZ PEÑA,</w:t>
      </w:r>
      <w:r>
        <w:rPr>
          <w:rFonts w:ascii="Palatino Linotype" w:eastAsia="Palatino Linotype" w:hAnsi="Palatino Linotype" w:cs="Palatino Linotype"/>
        </w:rPr>
        <w:t xml:space="preserve"> EN LA DÉCIMA SEGUNDA SESIÓN ORDINARIA, CELEBRADA EL TREINTA DE MARZO DE DOS MIL VEINTIDÓS, ANTE EL SECRETARIO TÉCNICO DEL PLENO, ALEXIS TAPIA RAMÍREZ. </w:t>
      </w:r>
    </w:p>
    <w:p w:rsidR="00D972CF" w:rsidRDefault="00D972CF">
      <w:pPr>
        <w:spacing w:before="240" w:after="240" w:line="360" w:lineRule="auto"/>
        <w:jc w:val="both"/>
        <w:rPr>
          <w:rFonts w:ascii="Palatino Linotype" w:eastAsia="Palatino Linotype" w:hAnsi="Palatino Linotype" w:cs="Palatino Linotype"/>
          <w:i/>
          <w:color w:val="000000"/>
        </w:rPr>
      </w:pPr>
    </w:p>
    <w:p w:rsidR="00D972CF" w:rsidRDefault="00D972CF">
      <w:pPr>
        <w:spacing w:before="240" w:after="240" w:line="360" w:lineRule="auto"/>
        <w:jc w:val="both"/>
        <w:rPr>
          <w:rFonts w:ascii="Palatino Linotype" w:eastAsia="Palatino Linotype" w:hAnsi="Palatino Linotype" w:cs="Palatino Linotype"/>
          <w:i/>
          <w:color w:val="00000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p w:rsidR="00D972CF" w:rsidRDefault="00D972CF">
      <w:pPr>
        <w:spacing w:before="240" w:after="240" w:line="360" w:lineRule="auto"/>
        <w:jc w:val="both"/>
        <w:rPr>
          <w:rFonts w:ascii="Palatino Linotype" w:eastAsia="Palatino Linotype" w:hAnsi="Palatino Linotype" w:cs="Palatino Linotype"/>
          <w:sz w:val="20"/>
          <w:szCs w:val="20"/>
        </w:rPr>
      </w:pPr>
    </w:p>
    <w:sectPr w:rsidR="00D972CF">
      <w:headerReference w:type="even" r:id="rId23"/>
      <w:headerReference w:type="default" r:id="rId24"/>
      <w:footerReference w:type="even"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19E" w:rsidRDefault="00C2019E">
      <w:r>
        <w:separator/>
      </w:r>
    </w:p>
  </w:endnote>
  <w:endnote w:type="continuationSeparator" w:id="0">
    <w:p w:rsidR="00C2019E" w:rsidRDefault="00C20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CF" w:rsidRDefault="00D972C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CF" w:rsidRDefault="00C2019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780E6D">
      <w:rPr>
        <w:rFonts w:ascii="Palatino Linotype" w:eastAsia="Palatino Linotype" w:hAnsi="Palatino Linotype" w:cs="Palatino Linotype"/>
        <w:b/>
        <w:color w:val="000000"/>
        <w:sz w:val="20"/>
        <w:szCs w:val="20"/>
      </w:rPr>
      <w:fldChar w:fldCharType="separate"/>
    </w:r>
    <w:r w:rsidR="00505464">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780E6D">
      <w:rPr>
        <w:rFonts w:ascii="Palatino Linotype" w:eastAsia="Palatino Linotype" w:hAnsi="Palatino Linotype" w:cs="Palatino Linotype"/>
        <w:b/>
        <w:color w:val="000000"/>
        <w:sz w:val="20"/>
        <w:szCs w:val="20"/>
      </w:rPr>
      <w:fldChar w:fldCharType="separate"/>
    </w:r>
    <w:r w:rsidR="00505464">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D972CF" w:rsidRDefault="00D972C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CF" w:rsidRDefault="00C2019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780E6D">
      <w:rPr>
        <w:rFonts w:ascii="Palatino Linotype" w:eastAsia="Palatino Linotype" w:hAnsi="Palatino Linotype" w:cs="Palatino Linotype"/>
        <w:b/>
        <w:color w:val="000000"/>
        <w:sz w:val="20"/>
        <w:szCs w:val="20"/>
      </w:rPr>
      <w:fldChar w:fldCharType="separate"/>
    </w:r>
    <w:r w:rsidR="00780E6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780E6D">
      <w:rPr>
        <w:rFonts w:ascii="Palatino Linotype" w:eastAsia="Palatino Linotype" w:hAnsi="Palatino Linotype" w:cs="Palatino Linotype"/>
        <w:b/>
        <w:color w:val="000000"/>
        <w:sz w:val="20"/>
        <w:szCs w:val="20"/>
      </w:rPr>
      <w:fldChar w:fldCharType="separate"/>
    </w:r>
    <w:r w:rsidR="00780E6D">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D972CF" w:rsidRDefault="00D972C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19E" w:rsidRDefault="00C2019E">
      <w:r>
        <w:separator/>
      </w:r>
    </w:p>
  </w:footnote>
  <w:footnote w:type="continuationSeparator" w:id="0">
    <w:p w:rsidR="00C2019E" w:rsidRDefault="00C2019E">
      <w:r>
        <w:continuationSeparator/>
      </w:r>
    </w:p>
  </w:footnote>
  <w:footnote w:id="1">
    <w:p w:rsidR="00D972CF" w:rsidRDefault="00C2019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D972CF" w:rsidRDefault="00C2019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w:t>
      </w:r>
      <w:r>
        <w:rPr>
          <w:rFonts w:ascii="Palatino Linotype" w:eastAsia="Palatino Linotype" w:hAnsi="Palatino Linotype" w:cs="Palatino Linotype"/>
          <w:color w:val="000000"/>
          <w:sz w:val="16"/>
          <w:szCs w:val="16"/>
        </w:rPr>
        <w:t>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CF" w:rsidRDefault="00D972C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CF" w:rsidRDefault="00C2019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-396401</wp:posOffset>
          </wp:positionV>
          <wp:extent cx="7809865" cy="10165715"/>
          <wp:effectExtent l="0" t="0" r="0" b="0"/>
          <wp:wrapNone/>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953" w:type="dxa"/>
      <w:tblInd w:w="3261" w:type="dxa"/>
      <w:tblLayout w:type="fixed"/>
      <w:tblLook w:val="0400" w:firstRow="0" w:lastRow="0" w:firstColumn="0" w:lastColumn="0" w:noHBand="0" w:noVBand="1"/>
    </w:tblPr>
    <w:tblGrid>
      <w:gridCol w:w="2489"/>
      <w:gridCol w:w="3464"/>
    </w:tblGrid>
    <w:tr w:rsidR="00D972CF">
      <w:tc>
        <w:tcPr>
          <w:tcW w:w="2489" w:type="dxa"/>
          <w:shd w:val="clear" w:color="auto" w:fill="auto"/>
        </w:tcPr>
        <w:p w:rsidR="00D972CF" w:rsidRDefault="00C201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D972CF" w:rsidRDefault="00C2019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00539/INFOEM/IP/RR/2022</w:t>
          </w:r>
        </w:p>
      </w:tc>
    </w:tr>
    <w:tr w:rsidR="00D972CF">
      <w:trPr>
        <w:trHeight w:val="228"/>
      </w:trPr>
      <w:tc>
        <w:tcPr>
          <w:tcW w:w="2489" w:type="dxa"/>
          <w:shd w:val="clear" w:color="auto" w:fill="auto"/>
          <w:vAlign w:val="center"/>
        </w:tcPr>
        <w:p w:rsidR="00D972CF" w:rsidRDefault="00C201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D972CF" w:rsidRDefault="00C2019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D972CF">
      <w:tc>
        <w:tcPr>
          <w:tcW w:w="2489" w:type="dxa"/>
          <w:shd w:val="clear" w:color="auto" w:fill="auto"/>
          <w:vAlign w:val="center"/>
        </w:tcPr>
        <w:p w:rsidR="00D972CF" w:rsidRDefault="00C2019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D972CF" w:rsidRDefault="00C2019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972CF" w:rsidRDefault="00C2019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CF" w:rsidRDefault="00D972CF">
    <w:pPr>
      <w:widowControl w:val="0"/>
      <w:pBdr>
        <w:top w:val="nil"/>
        <w:left w:val="nil"/>
        <w:bottom w:val="nil"/>
        <w:right w:val="nil"/>
        <w:between w:val="nil"/>
      </w:pBdr>
      <w:spacing w:line="276" w:lineRule="auto"/>
      <w:rPr>
        <w:rFonts w:ascii="Cambria" w:eastAsia="Cambria" w:hAnsi="Cambria" w:cs="Cambria"/>
        <w:color w:val="000000"/>
      </w:rPr>
    </w:pPr>
  </w:p>
  <w:tbl>
    <w:tblPr>
      <w:tblStyle w:val="a0"/>
      <w:tblW w:w="5953" w:type="dxa"/>
      <w:tblInd w:w="3261" w:type="dxa"/>
      <w:tblLayout w:type="fixed"/>
      <w:tblLook w:val="0400" w:firstRow="0" w:lastRow="0" w:firstColumn="0" w:lastColumn="0" w:noHBand="0" w:noVBand="1"/>
    </w:tblPr>
    <w:tblGrid>
      <w:gridCol w:w="2551"/>
      <w:gridCol w:w="3402"/>
    </w:tblGrid>
    <w:tr w:rsidR="00D972CF">
      <w:tc>
        <w:tcPr>
          <w:tcW w:w="2551" w:type="dxa"/>
          <w:shd w:val="clear" w:color="auto" w:fill="auto"/>
          <w:vAlign w:val="center"/>
        </w:tcPr>
        <w:p w:rsidR="00D972CF" w:rsidRDefault="00C201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D972CF" w:rsidRDefault="00C2019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00539/INFOEM/IP/RR/2022</w:t>
          </w:r>
        </w:p>
      </w:tc>
    </w:tr>
    <w:tr w:rsidR="00D972CF">
      <w:trPr>
        <w:trHeight w:val="130"/>
      </w:trPr>
      <w:tc>
        <w:tcPr>
          <w:tcW w:w="2551" w:type="dxa"/>
          <w:shd w:val="clear" w:color="auto" w:fill="auto"/>
          <w:vAlign w:val="center"/>
        </w:tcPr>
        <w:p w:rsidR="00D972CF" w:rsidRDefault="00C201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D972CF" w:rsidRDefault="00780E6D">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XXXXXX</w:t>
          </w:r>
        </w:p>
      </w:tc>
    </w:tr>
    <w:tr w:rsidR="00D972CF">
      <w:trPr>
        <w:trHeight w:val="228"/>
      </w:trPr>
      <w:tc>
        <w:tcPr>
          <w:tcW w:w="2551" w:type="dxa"/>
          <w:shd w:val="clear" w:color="auto" w:fill="auto"/>
          <w:vAlign w:val="center"/>
        </w:tcPr>
        <w:p w:rsidR="00D972CF" w:rsidRDefault="00C201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D972CF" w:rsidRDefault="00C2019E">
          <w:pPr>
            <w:ind w:left="-45"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Servicios Educativos Integrados al Estado de México </w:t>
          </w:r>
          <w:r>
            <w:rPr>
              <w:noProof/>
              <w:lang w:val="es-MX"/>
            </w:rPr>
            <w:drawing>
              <wp:anchor distT="0" distB="0" distL="0" distR="0" simplePos="0" relativeHeight="251659264" behindDoc="1" locked="0" layoutInCell="1" hidden="0" allowOverlap="1">
                <wp:simplePos x="0" y="0"/>
                <wp:positionH relativeFrom="column">
                  <wp:posOffset>-5128894</wp:posOffset>
                </wp:positionH>
                <wp:positionV relativeFrom="paragraph">
                  <wp:posOffset>-1631949</wp:posOffset>
                </wp:positionV>
                <wp:extent cx="7809865" cy="10165715"/>
                <wp:effectExtent l="0" t="0" r="0" b="0"/>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D972CF">
      <w:tc>
        <w:tcPr>
          <w:tcW w:w="2551" w:type="dxa"/>
          <w:shd w:val="clear" w:color="auto" w:fill="auto"/>
          <w:vAlign w:val="center"/>
        </w:tcPr>
        <w:p w:rsidR="00D972CF" w:rsidRDefault="00C201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D972CF" w:rsidRDefault="00C2019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972CF" w:rsidRDefault="00D972C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F5ACB"/>
    <w:multiLevelType w:val="multilevel"/>
    <w:tmpl w:val="C40C7262"/>
    <w:lvl w:ilvl="0">
      <w:start w:val="1"/>
      <w:numFmt w:val="upperRoman"/>
      <w:lvlText w:val="%1."/>
      <w:lvlJc w:val="left"/>
      <w:pPr>
        <w:ind w:left="1713" w:hanging="719"/>
      </w:pPr>
      <w:rPr>
        <w:b/>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 w15:restartNumberingAfterBreak="0">
    <w:nsid w:val="3B613FC9"/>
    <w:multiLevelType w:val="multilevel"/>
    <w:tmpl w:val="8158A898"/>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2" w15:restartNumberingAfterBreak="0">
    <w:nsid w:val="3BB42E5E"/>
    <w:multiLevelType w:val="multilevel"/>
    <w:tmpl w:val="09B0234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4D0A482C"/>
    <w:multiLevelType w:val="multilevel"/>
    <w:tmpl w:val="E9D88D1C"/>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4" w15:restartNumberingAfterBreak="0">
    <w:nsid w:val="6637150C"/>
    <w:multiLevelType w:val="multilevel"/>
    <w:tmpl w:val="424232D4"/>
    <w:lvl w:ilvl="0">
      <w:start w:val="15"/>
      <w:numFmt w:val="bullet"/>
      <w:pStyle w:val="Listaconvietas3"/>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2CF"/>
    <w:rsid w:val="00505464"/>
    <w:rsid w:val="00780E6D"/>
    <w:rsid w:val="00C2019E"/>
    <w:rsid w:val="00D972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3D7F03-3D6E-4167-B4EF-C757F139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9B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rsid w:val="00CF391A"/>
    <w:rPr>
      <w:color w:val="605E5C"/>
      <w:shd w:val="clear" w:color="auto" w:fill="E1DFDD"/>
    </w:rPr>
  </w:style>
  <w:style w:type="character" w:customStyle="1" w:styleId="UnresolvedMention">
    <w:name w:val="Unresolved Mention"/>
    <w:basedOn w:val="Fuentedeprrafopredeter"/>
    <w:uiPriority w:val="99"/>
    <w:semiHidden/>
    <w:unhideWhenUsed/>
    <w:rsid w:val="002947AE"/>
    <w:rPr>
      <w:color w:val="605E5C"/>
      <w:shd w:val="clear" w:color="auto" w:fill="E1DFDD"/>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207.248.228.166/transparencia/files/1647623324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5iw0/tN+EdF2S1ud8AfVPy3LQ==">AMUW2mWkF1SKSQKIeOTmNUZLsx2YRsc74sBjh0cZfpSMO3ubtJq+vVtV3rh5tdLgNnGfaX50aET8rqSMNc+krjsP/wIJI0oUcXLAzSyKq/dQbfIhJRH7zAsCIybid8hyFJYRJz4UltDpmGkuWD80r7lgMG79AQQG+SqnPqpimDZMWb6GAWA/bdI=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7759</Words>
  <Characters>42676</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2</cp:revision>
  <dcterms:created xsi:type="dcterms:W3CDTF">2022-03-24T06:52:00Z</dcterms:created>
  <dcterms:modified xsi:type="dcterms:W3CDTF">2022-04-04T16:28:00Z</dcterms:modified>
</cp:coreProperties>
</file>