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BBF6" w14:textId="5429B0A2" w:rsidR="00C853D1" w:rsidRPr="00B377FD" w:rsidRDefault="00C853D1" w:rsidP="00C853D1">
      <w:pPr>
        <w:spacing w:after="0" w:line="360" w:lineRule="auto"/>
        <w:rPr>
          <w:rFonts w:eastAsia="Times New Roman" w:cs="Tahoma"/>
          <w:bCs/>
          <w:color w:val="auto"/>
          <w:lang w:eastAsia="es-ES"/>
        </w:rPr>
      </w:pPr>
      <w:r w:rsidRPr="00B377FD">
        <w:rPr>
          <w:rFonts w:eastAsia="Calibri" w:cs="Tahoma"/>
          <w:bCs/>
          <w:color w:val="000000"/>
        </w:rPr>
        <w:t xml:space="preserve">Resolución del Pleno del Instituto de Transparencia, Acceso a la Información Pública y </w:t>
      </w:r>
      <w:r w:rsidRPr="00B377FD">
        <w:rPr>
          <w:rFonts w:eastAsia="Times New Roman" w:cs="Tahoma"/>
          <w:bCs/>
          <w:color w:val="auto"/>
          <w:lang w:eastAsia="es-ES"/>
        </w:rPr>
        <w:t xml:space="preserve">Protección de Datos Personales del Estado de México y Municipios, con domicilio en Metepec, Estado de México, de fecha </w:t>
      </w:r>
      <w:r w:rsidR="00240DFD">
        <w:rPr>
          <w:rFonts w:eastAsia="Times New Roman" w:cs="Tahoma"/>
          <w:bCs/>
          <w:color w:val="auto"/>
          <w:lang w:eastAsia="es-ES"/>
        </w:rPr>
        <w:t>cuatro de febrero</w:t>
      </w:r>
      <w:r w:rsidR="00325D1E">
        <w:rPr>
          <w:rFonts w:eastAsia="Times New Roman" w:cs="Tahoma"/>
          <w:bCs/>
          <w:color w:val="auto"/>
          <w:lang w:eastAsia="es-ES"/>
        </w:rPr>
        <w:t xml:space="preserve"> de dos mil veintidós.</w:t>
      </w:r>
    </w:p>
    <w:p w14:paraId="1D95A1A3" w14:textId="77777777" w:rsidR="00C853D1" w:rsidRPr="00B377FD" w:rsidRDefault="00C853D1" w:rsidP="00C853D1">
      <w:pPr>
        <w:tabs>
          <w:tab w:val="left" w:pos="2839"/>
        </w:tabs>
        <w:spacing w:after="0" w:line="360" w:lineRule="auto"/>
        <w:rPr>
          <w:rFonts w:eastAsia="Times New Roman" w:cs="Tahoma"/>
          <w:bCs/>
          <w:color w:val="auto"/>
          <w:lang w:eastAsia="es-ES"/>
        </w:rPr>
      </w:pPr>
    </w:p>
    <w:p w14:paraId="1066B8D1" w14:textId="5D9F11D9" w:rsidR="00C853D1" w:rsidRPr="00B377FD" w:rsidRDefault="00C853D1" w:rsidP="00C853D1">
      <w:pPr>
        <w:spacing w:after="0" w:line="360" w:lineRule="auto"/>
        <w:rPr>
          <w:rFonts w:eastAsia="Calibri" w:cs="Tahoma"/>
          <w:color w:val="0D0D0D"/>
        </w:rPr>
      </w:pPr>
      <w:r w:rsidRPr="00B377FD">
        <w:rPr>
          <w:rFonts w:eastAsia="Times New Roman" w:cs="Tahoma"/>
          <w:b/>
          <w:bCs/>
          <w:color w:val="auto"/>
          <w:lang w:eastAsia="es-ES"/>
        </w:rPr>
        <w:t>VISTO</w:t>
      </w:r>
      <w:r w:rsidRPr="00B377FD">
        <w:rPr>
          <w:rFonts w:eastAsia="Calibri" w:cs="Tahoma"/>
          <w:bCs/>
          <w:color w:val="0D0D0D"/>
        </w:rPr>
        <w:t xml:space="preserve"> el expediente conformado con motivo del Recurso de Revisión </w:t>
      </w:r>
      <w:r w:rsidR="00764DC4">
        <w:rPr>
          <w:rFonts w:eastAsia="Calibri" w:cs="Tahoma"/>
          <w:color w:val="000000"/>
        </w:rPr>
        <w:t>06191/INFOEM/IP/RR/2021</w:t>
      </w:r>
      <w:r w:rsidRPr="005751D5">
        <w:rPr>
          <w:rFonts w:eastAsia="Calibri" w:cs="Tahoma"/>
          <w:color w:val="000000"/>
        </w:rPr>
        <w:t>,</w:t>
      </w:r>
      <w:r w:rsidRPr="005F4D23">
        <w:rPr>
          <w:rFonts w:eastAsia="Calibri" w:cs="Tahoma"/>
          <w:color w:val="000000"/>
        </w:rPr>
        <w:t xml:space="preserve"> interpuesto por</w:t>
      </w:r>
      <w:r w:rsidR="00E56C77">
        <w:rPr>
          <w:rFonts w:eastAsia="Calibri" w:cs="Tahoma"/>
        </w:rPr>
        <w:t xml:space="preserve"> </w:t>
      </w:r>
      <w:r w:rsidRPr="005F4D23">
        <w:rPr>
          <w:rFonts w:eastAsia="Calibri" w:cs="Tahoma"/>
        </w:rPr>
        <w:t xml:space="preserve">el </w:t>
      </w:r>
      <w:r w:rsidRPr="005F4D23">
        <w:rPr>
          <w:rFonts w:eastAsia="Calibri" w:cs="Tahoma"/>
          <w:color w:val="0D0D0D"/>
        </w:rPr>
        <w:t>Recurrente o Particular, en contra de la respuesta del Sujeto Obligado,</w:t>
      </w:r>
      <w:r>
        <w:rPr>
          <w:rFonts w:eastAsia="Calibri" w:cs="Tahoma"/>
          <w:color w:val="000000"/>
        </w:rPr>
        <w:t xml:space="preserve"> </w:t>
      </w:r>
      <w:r w:rsidR="00E56C77">
        <w:rPr>
          <w:rFonts w:eastAsia="Calibri" w:cs="Tahoma"/>
          <w:color w:val="000000"/>
        </w:rPr>
        <w:t>Organismo Descentralizado de Agua Potable Alcantarillado y Saneamiento de Nezahualcóyotl</w:t>
      </w:r>
      <w:r w:rsidRPr="005F4D23">
        <w:rPr>
          <w:rFonts w:eastAsia="Calibri" w:cs="Tahoma"/>
          <w:color w:val="000000"/>
        </w:rPr>
        <w:t xml:space="preserve">, a la solicitud de acceso a la información </w:t>
      </w:r>
      <w:r w:rsidR="00E60FCE">
        <w:rPr>
          <w:rFonts w:eastAsia="Calibri" w:cs="Tahoma"/>
          <w:color w:val="000000"/>
        </w:rPr>
        <w:t>00056/OASNEZA/IP/2021</w:t>
      </w:r>
      <w:r w:rsidRPr="005F4D23">
        <w:rPr>
          <w:rFonts w:eastAsia="Calibri" w:cs="Tahoma"/>
          <w:color w:val="000000"/>
        </w:rPr>
        <w:t>, se</w:t>
      </w:r>
      <w:r w:rsidRPr="00B377FD">
        <w:rPr>
          <w:rFonts w:eastAsia="Calibri" w:cs="Tahoma"/>
          <w:color w:val="000000"/>
        </w:rPr>
        <w:t xml:space="preserve"> emite la presente Resolución, con base en los Antecedentes y Considerandos que se exponen a continuación:</w:t>
      </w:r>
    </w:p>
    <w:p w14:paraId="4FCCF228" w14:textId="77777777" w:rsidR="00C853D1" w:rsidRPr="00B377FD" w:rsidRDefault="00C853D1" w:rsidP="00C853D1">
      <w:pPr>
        <w:spacing w:after="0" w:line="360" w:lineRule="auto"/>
        <w:rPr>
          <w:rFonts w:eastAsia="Calibri" w:cs="Tahoma"/>
          <w:color w:val="000000"/>
        </w:rPr>
      </w:pPr>
    </w:p>
    <w:p w14:paraId="0472C645" w14:textId="77777777" w:rsidR="00C853D1" w:rsidRPr="00B377FD" w:rsidRDefault="00C853D1" w:rsidP="00C853D1">
      <w:pPr>
        <w:tabs>
          <w:tab w:val="center" w:pos="4522"/>
          <w:tab w:val="left" w:pos="7245"/>
        </w:tabs>
        <w:spacing w:after="0" w:line="360" w:lineRule="auto"/>
        <w:jc w:val="center"/>
        <w:rPr>
          <w:rFonts w:eastAsia="Calibri" w:cs="Tahoma"/>
          <w:b/>
          <w:color w:val="000000"/>
        </w:rPr>
      </w:pPr>
      <w:r w:rsidRPr="00B377FD">
        <w:rPr>
          <w:rFonts w:eastAsia="Calibri" w:cs="Tahoma"/>
          <w:b/>
          <w:color w:val="000000"/>
        </w:rPr>
        <w:t>A N T E C E D E N T E S:</w:t>
      </w:r>
    </w:p>
    <w:p w14:paraId="422D0175" w14:textId="77777777" w:rsidR="00C853D1" w:rsidRPr="00B377FD" w:rsidRDefault="00C853D1" w:rsidP="00C853D1">
      <w:pPr>
        <w:spacing w:after="0" w:line="360" w:lineRule="auto"/>
      </w:pPr>
    </w:p>
    <w:p w14:paraId="539DCEC7" w14:textId="77777777" w:rsidR="00C853D1" w:rsidRPr="00B377FD" w:rsidRDefault="00C853D1" w:rsidP="00C853D1">
      <w:pPr>
        <w:tabs>
          <w:tab w:val="left" w:pos="567"/>
        </w:tabs>
        <w:spacing w:after="0" w:line="360" w:lineRule="auto"/>
        <w:rPr>
          <w:rFonts w:eastAsia="Times New Roman" w:cs="Tahoma"/>
          <w:b/>
          <w:color w:val="auto"/>
          <w:lang w:eastAsia="es-ES"/>
        </w:rPr>
      </w:pPr>
      <w:r w:rsidRPr="00B377FD">
        <w:rPr>
          <w:rFonts w:eastAsia="Times New Roman" w:cs="Tahoma"/>
          <w:b/>
          <w:color w:val="auto"/>
          <w:lang w:eastAsia="es-ES"/>
        </w:rPr>
        <w:t>I. Presentación de la solicitud de información:</w:t>
      </w:r>
    </w:p>
    <w:p w14:paraId="681289FF" w14:textId="77777777" w:rsidR="00C853D1" w:rsidRPr="00B377FD" w:rsidRDefault="00C853D1" w:rsidP="00C853D1">
      <w:pPr>
        <w:tabs>
          <w:tab w:val="left" w:pos="567"/>
        </w:tabs>
        <w:spacing w:after="0" w:line="360" w:lineRule="auto"/>
        <w:rPr>
          <w:rFonts w:eastAsia="Times New Roman" w:cs="Tahoma"/>
          <w:color w:val="auto"/>
          <w:lang w:eastAsia="es-ES"/>
        </w:rPr>
      </w:pPr>
    </w:p>
    <w:p w14:paraId="2A44F672" w14:textId="0B1EE23B" w:rsidR="00C853D1" w:rsidRPr="00BC2DAE" w:rsidRDefault="00C853D1" w:rsidP="00C853D1">
      <w:pPr>
        <w:spacing w:after="0" w:line="360" w:lineRule="auto"/>
        <w:rPr>
          <w:rFonts w:eastAsia="Times New Roman" w:cs="Tahoma"/>
          <w:color w:val="auto"/>
          <w:lang w:eastAsia="es-ES"/>
        </w:rPr>
      </w:pPr>
      <w:r w:rsidRPr="00B377FD">
        <w:rPr>
          <w:rFonts w:eastAsia="Times New Roman" w:cs="Tahoma"/>
          <w:color w:val="auto"/>
          <w:lang w:eastAsia="es-ES"/>
        </w:rPr>
        <w:t xml:space="preserve">Con fecha </w:t>
      </w:r>
      <w:r w:rsidR="00682885">
        <w:rPr>
          <w:rFonts w:eastAsia="Times New Roman" w:cs="Tahoma"/>
          <w:color w:val="auto"/>
          <w:lang w:eastAsia="es-ES"/>
        </w:rPr>
        <w:t>dos de diciembre de dos mil veintiuno</w:t>
      </w:r>
      <w:r w:rsidRPr="00B377FD">
        <w:rPr>
          <w:rFonts w:eastAsia="Times New Roman" w:cs="Tahoma"/>
          <w:color w:val="auto"/>
          <w:lang w:eastAsia="es-ES"/>
        </w:rPr>
        <w:t xml:space="preserve">, </w:t>
      </w:r>
      <w:r>
        <w:rPr>
          <w:rFonts w:eastAsia="Times New Roman" w:cs="Tahoma"/>
          <w:color w:val="auto"/>
          <w:lang w:eastAsia="es-ES"/>
        </w:rPr>
        <w:t>el</w:t>
      </w:r>
      <w:r w:rsidRPr="00B377FD">
        <w:rPr>
          <w:rFonts w:eastAsia="Times New Roman" w:cs="Tahoma"/>
          <w:color w:val="auto"/>
          <w:lang w:eastAsia="es-ES"/>
        </w:rPr>
        <w:t xml:space="preserve"> Particular presentó una solicitud de acceso a la información pública, a través del Sistema de Acceso a la Información Mexiquense (SAIMEX), ante el </w:t>
      </w:r>
      <w:r w:rsidR="00E56C77">
        <w:rPr>
          <w:rFonts w:eastAsia="Calibri" w:cs="Tahoma"/>
        </w:rPr>
        <w:t>Organismo Descentralizado de Agua Potable Alcantarillado y Saneamiento de Nezahualcóyotl (ODAPAS)</w:t>
      </w:r>
      <w:r>
        <w:rPr>
          <w:rFonts w:eastAsia="Calibri" w:cs="Tahoma"/>
        </w:rPr>
        <w:t>,</w:t>
      </w:r>
      <w:r w:rsidRPr="00B377FD">
        <w:rPr>
          <w:rFonts w:eastAsia="Calibri" w:cs="Tahoma"/>
        </w:rPr>
        <w:t xml:space="preserve"> en los siguientes términos: </w:t>
      </w:r>
    </w:p>
    <w:p w14:paraId="32AF4217" w14:textId="77777777" w:rsidR="00C853D1" w:rsidRPr="00B377FD" w:rsidRDefault="00C853D1" w:rsidP="00C853D1">
      <w:pPr>
        <w:spacing w:after="0" w:line="360" w:lineRule="auto"/>
        <w:rPr>
          <w:rFonts w:eastAsia="Calibri" w:cs="Tahoma"/>
        </w:rPr>
      </w:pPr>
    </w:p>
    <w:p w14:paraId="08873B8F" w14:textId="77777777" w:rsidR="00C853D1" w:rsidRPr="003D30B4" w:rsidRDefault="00C853D1" w:rsidP="00C853D1">
      <w:pPr>
        <w:tabs>
          <w:tab w:val="left" w:pos="4667"/>
        </w:tabs>
        <w:spacing w:after="0" w:line="360" w:lineRule="auto"/>
        <w:ind w:left="567" w:right="567"/>
        <w:rPr>
          <w:rFonts w:eastAsia="Times New Roman" w:cs="Tahoma"/>
          <w:b/>
          <w:i/>
          <w:iCs/>
          <w:color w:val="auto"/>
          <w:sz w:val="20"/>
          <w:szCs w:val="20"/>
          <w:lang w:eastAsia="es-ES"/>
        </w:rPr>
      </w:pPr>
      <w:r w:rsidRPr="003D30B4">
        <w:rPr>
          <w:rFonts w:eastAsia="Times New Roman" w:cs="Tahoma"/>
          <w:b/>
          <w:i/>
          <w:iCs/>
          <w:color w:val="auto"/>
          <w:sz w:val="20"/>
          <w:szCs w:val="20"/>
          <w:lang w:eastAsia="es-ES"/>
        </w:rPr>
        <w:t>“DESCRIPCIÓN CLARA Y PRECISA DE LA INFORMACIÓN SOLICITADA.</w:t>
      </w:r>
    </w:p>
    <w:p w14:paraId="47049033" w14:textId="36A5399C" w:rsidR="00C853D1" w:rsidRPr="003D30B4" w:rsidRDefault="00967C45" w:rsidP="00C853D1">
      <w:pPr>
        <w:tabs>
          <w:tab w:val="left" w:pos="4667"/>
        </w:tabs>
        <w:spacing w:after="0" w:line="360" w:lineRule="auto"/>
        <w:ind w:left="567" w:right="567"/>
        <w:rPr>
          <w:rFonts w:eastAsia="Times New Roman" w:cs="Tahoma"/>
          <w:bCs/>
          <w:i/>
          <w:iCs/>
          <w:color w:val="auto"/>
          <w:sz w:val="20"/>
          <w:szCs w:val="20"/>
          <w:lang w:eastAsia="es-ES"/>
        </w:rPr>
      </w:pPr>
      <w:r w:rsidRPr="00967C45">
        <w:rPr>
          <w:rFonts w:eastAsia="Times New Roman" w:cs="Tahoma"/>
          <w:bCs/>
          <w:i/>
          <w:iCs/>
          <w:color w:val="auto"/>
          <w:sz w:val="20"/>
          <w:szCs w:val="20"/>
          <w:lang w:eastAsia="es-ES"/>
        </w:rPr>
        <w:t xml:space="preserve">Conforme al documento adjunto a la presente solicitud, respecto de un terreno baldío con una superficie de 400 m2, derivado de una operación de compra y venta la cual dio como resultado la adquisición de una fracción de ese terreno teniendo una superficie de 125 m2, requiero el fundamento legal y administrativo, así como los requisitos para tramitar lo siguiente: a) Conexión nueva de </w:t>
      </w:r>
      <w:r w:rsidRPr="00967C45">
        <w:rPr>
          <w:rFonts w:eastAsia="Times New Roman" w:cs="Tahoma"/>
          <w:bCs/>
          <w:i/>
          <w:iCs/>
          <w:color w:val="auto"/>
          <w:sz w:val="20"/>
          <w:szCs w:val="20"/>
          <w:lang w:eastAsia="es-ES"/>
        </w:rPr>
        <w:lastRenderedPageBreak/>
        <w:t>drenaje para la fracción resultante de 125 m2 b) Conexión nueva de agua para la fracción resultante de 125 m2</w:t>
      </w:r>
      <w:r w:rsidR="00BC2DAE" w:rsidRPr="003D30B4">
        <w:rPr>
          <w:rFonts w:eastAsia="Times New Roman" w:cs="Tahoma"/>
          <w:bCs/>
          <w:i/>
          <w:iCs/>
          <w:color w:val="auto"/>
          <w:sz w:val="20"/>
          <w:szCs w:val="20"/>
          <w:lang w:eastAsia="es-ES"/>
        </w:rPr>
        <w:t>.</w:t>
      </w:r>
      <w:r w:rsidR="00C853D1" w:rsidRPr="003D30B4">
        <w:rPr>
          <w:rFonts w:eastAsia="Times New Roman" w:cs="Tahoma"/>
          <w:bCs/>
          <w:i/>
          <w:iCs/>
          <w:color w:val="auto"/>
          <w:sz w:val="20"/>
          <w:szCs w:val="20"/>
          <w:lang w:eastAsia="es-ES"/>
        </w:rPr>
        <w:t xml:space="preserve">” (Sic) </w:t>
      </w:r>
    </w:p>
    <w:p w14:paraId="151CD7A9" w14:textId="77777777" w:rsidR="00C853D1" w:rsidRPr="003D30B4" w:rsidRDefault="00C853D1" w:rsidP="00C853D1">
      <w:pPr>
        <w:tabs>
          <w:tab w:val="left" w:pos="4667"/>
        </w:tabs>
        <w:spacing w:after="0" w:line="360" w:lineRule="auto"/>
        <w:ind w:left="567" w:right="567"/>
        <w:rPr>
          <w:rFonts w:eastAsia="Times New Roman" w:cs="Tahoma"/>
          <w:b/>
          <w:bCs/>
          <w:i/>
          <w:iCs/>
          <w:color w:val="auto"/>
          <w:sz w:val="20"/>
          <w:lang w:eastAsia="es-ES"/>
        </w:rPr>
      </w:pPr>
    </w:p>
    <w:p w14:paraId="0E8A2DCA" w14:textId="77777777" w:rsidR="00C853D1" w:rsidRPr="00B377FD" w:rsidRDefault="00C853D1" w:rsidP="00C853D1">
      <w:pPr>
        <w:tabs>
          <w:tab w:val="left" w:pos="4667"/>
        </w:tabs>
        <w:spacing w:after="0" w:line="360" w:lineRule="auto"/>
        <w:ind w:left="567" w:right="567"/>
        <w:rPr>
          <w:rFonts w:eastAsia="Times New Roman" w:cs="Tahoma"/>
          <w:b/>
          <w:bCs/>
          <w:i/>
          <w:iCs/>
          <w:color w:val="auto"/>
          <w:sz w:val="20"/>
          <w:lang w:eastAsia="es-ES"/>
        </w:rPr>
      </w:pPr>
      <w:r w:rsidRPr="003D30B4">
        <w:rPr>
          <w:rFonts w:eastAsia="Times New Roman" w:cs="Tahoma"/>
          <w:b/>
          <w:bCs/>
          <w:i/>
          <w:iCs/>
          <w:color w:val="auto"/>
          <w:sz w:val="20"/>
          <w:lang w:eastAsia="es-ES"/>
        </w:rPr>
        <w:t>“MODALIDAD DE ENTREGA</w:t>
      </w:r>
    </w:p>
    <w:p w14:paraId="59678C94" w14:textId="1E32CB35" w:rsidR="00C853D1" w:rsidRDefault="00C853D1" w:rsidP="00682222">
      <w:pPr>
        <w:spacing w:after="0" w:line="360" w:lineRule="auto"/>
        <w:ind w:left="567" w:right="567"/>
        <w:rPr>
          <w:rFonts w:eastAsia="Times New Roman" w:cs="Arial"/>
          <w:bCs/>
          <w:i/>
          <w:iCs/>
          <w:color w:val="auto"/>
          <w:sz w:val="20"/>
          <w:lang w:eastAsia="es-ES"/>
        </w:rPr>
      </w:pPr>
      <w:r w:rsidRPr="00B377FD">
        <w:rPr>
          <w:rFonts w:eastAsia="Times New Roman" w:cs="Arial"/>
          <w:bCs/>
          <w:i/>
          <w:iCs/>
          <w:color w:val="auto"/>
          <w:sz w:val="20"/>
          <w:lang w:eastAsia="es-ES"/>
        </w:rPr>
        <w:t>A través del SAIMEX”</w:t>
      </w:r>
    </w:p>
    <w:p w14:paraId="1DAA8380" w14:textId="77777777" w:rsidR="00682222" w:rsidRPr="00CF53EC" w:rsidRDefault="00682222" w:rsidP="00CF53EC">
      <w:pPr>
        <w:spacing w:after="0" w:line="360" w:lineRule="auto"/>
        <w:rPr>
          <w:rFonts w:eastAsia="Times New Roman" w:cs="Arial"/>
          <w:bCs/>
          <w:color w:val="auto"/>
          <w:lang w:eastAsia="es-ES"/>
        </w:rPr>
      </w:pPr>
    </w:p>
    <w:p w14:paraId="5A93BEEE" w14:textId="2E874F52" w:rsidR="009A608A" w:rsidRPr="00F20B07" w:rsidRDefault="002042CD" w:rsidP="00CF53EC">
      <w:pPr>
        <w:spacing w:after="0" w:line="360" w:lineRule="auto"/>
        <w:rPr>
          <w:rFonts w:eastAsia="Times New Roman" w:cs="Arial"/>
          <w:bCs/>
          <w:color w:val="auto"/>
          <w:lang w:eastAsia="es-ES"/>
        </w:rPr>
      </w:pPr>
      <w:r>
        <w:rPr>
          <w:rFonts w:eastAsia="Times New Roman" w:cs="Arial"/>
          <w:bCs/>
          <w:color w:val="auto"/>
          <w:lang w:eastAsia="es-ES"/>
        </w:rPr>
        <w:t xml:space="preserve">A su </w:t>
      </w:r>
      <w:r w:rsidR="00AE5217">
        <w:rPr>
          <w:rFonts w:eastAsia="Times New Roman" w:cs="Arial"/>
          <w:bCs/>
          <w:color w:val="auto"/>
          <w:lang w:eastAsia="es-ES"/>
        </w:rPr>
        <w:t xml:space="preserve">solicitud de acceso a la información, el Solicitante adjunto la digitalización </w:t>
      </w:r>
      <w:r w:rsidR="001A7051">
        <w:rPr>
          <w:rFonts w:eastAsia="Times New Roman" w:cs="Arial"/>
          <w:bCs/>
          <w:color w:val="auto"/>
          <w:lang w:eastAsia="es-ES"/>
        </w:rPr>
        <w:t>de un documento con contiene un dibujo con determinadas medidas.</w:t>
      </w:r>
    </w:p>
    <w:p w14:paraId="22404187" w14:textId="77777777" w:rsidR="009A608A" w:rsidRPr="00CF53EC" w:rsidRDefault="009A608A" w:rsidP="00CF53EC">
      <w:pPr>
        <w:spacing w:after="0" w:line="360" w:lineRule="auto"/>
        <w:rPr>
          <w:rFonts w:eastAsia="Times New Roman" w:cs="Arial"/>
          <w:bCs/>
          <w:color w:val="auto"/>
          <w:lang w:eastAsia="es-ES"/>
        </w:rPr>
      </w:pPr>
    </w:p>
    <w:p w14:paraId="7488ED31" w14:textId="77777777" w:rsidR="00C853D1" w:rsidRPr="00B377FD" w:rsidRDefault="00C853D1" w:rsidP="00C853D1">
      <w:pPr>
        <w:autoSpaceDE w:val="0"/>
        <w:autoSpaceDN w:val="0"/>
        <w:adjustRightInd w:val="0"/>
        <w:spacing w:after="0" w:line="360" w:lineRule="auto"/>
        <w:rPr>
          <w:b/>
          <w:bCs/>
        </w:rPr>
      </w:pPr>
      <w:r w:rsidRPr="00B377FD">
        <w:rPr>
          <w:rFonts w:cs="Tahoma"/>
          <w:b/>
        </w:rPr>
        <w:t>II.</w:t>
      </w:r>
      <w:r w:rsidRPr="00B377FD">
        <w:rPr>
          <w:b/>
          <w:bCs/>
        </w:rPr>
        <w:t xml:space="preserve"> Respuesta del Sujeto Obligado. </w:t>
      </w:r>
    </w:p>
    <w:p w14:paraId="4400726D" w14:textId="77777777" w:rsidR="00C853D1" w:rsidRPr="00B377FD" w:rsidRDefault="00C853D1" w:rsidP="00C853D1">
      <w:pPr>
        <w:spacing w:after="0" w:line="360" w:lineRule="auto"/>
      </w:pPr>
    </w:p>
    <w:p w14:paraId="09E7A10C" w14:textId="42BE0E5A" w:rsidR="006955D4" w:rsidRPr="001A7051" w:rsidRDefault="00C853D1" w:rsidP="001A7051">
      <w:pPr>
        <w:spacing w:after="0" w:line="360" w:lineRule="auto"/>
      </w:pPr>
      <w:r w:rsidRPr="00B377FD">
        <w:t xml:space="preserve">Con fecha </w:t>
      </w:r>
      <w:r w:rsidR="008F0BC3">
        <w:t>siete de diciembre de dos mil veintiuno</w:t>
      </w:r>
      <w:r w:rsidR="00BC2DAE">
        <w:t xml:space="preserve">, </w:t>
      </w:r>
      <w:r w:rsidR="00252EF3">
        <w:t xml:space="preserve">el Sujeto Obligado notificó, </w:t>
      </w:r>
      <w:r w:rsidR="00252EF3" w:rsidRPr="00B377FD">
        <w:t>a través del Sistema de Acceso a la Información Mexiquense (SAIMEX), la respuesta a la solicitud</w:t>
      </w:r>
      <w:r w:rsidR="006441E1">
        <w:t xml:space="preserve"> de acceso a la información pública</w:t>
      </w:r>
      <w:r w:rsidR="00252EF3">
        <w:t xml:space="preserve">, mediante </w:t>
      </w:r>
      <w:r w:rsidR="00E30E7E">
        <w:t>el oficio</w:t>
      </w:r>
      <w:r w:rsidR="00F3348C">
        <w:t xml:space="preserve"> si número, </w:t>
      </w:r>
      <w:r w:rsidR="006955D4">
        <w:t xml:space="preserve">de la misma fecha, suscrito por el Titular de la Unidad de Transparencia y dirigido al Solicitante, por medio del cual </w:t>
      </w:r>
      <w:r w:rsidR="001A7051">
        <w:t>proporciona</w:t>
      </w:r>
      <w:r w:rsidR="00334DFB" w:rsidRPr="0062017C">
        <w:rPr>
          <w:rFonts w:eastAsia="Calibri" w:cs="Tahoma"/>
          <w:i/>
          <w:iCs/>
          <w:color w:val="000000"/>
          <w:sz w:val="20"/>
          <w:szCs w:val="20"/>
        </w:rPr>
        <w:t xml:space="preserve"> </w:t>
      </w:r>
      <w:r w:rsidR="00334DFB" w:rsidRPr="001A7051">
        <w:t>los oficios ODAPAS/NEZA/DF/0846/12/2021 y ODAPAS/CARC/0201/2021</w:t>
      </w:r>
      <w:r w:rsidR="001A7051" w:rsidRPr="001A7051">
        <w:t>.</w:t>
      </w:r>
    </w:p>
    <w:p w14:paraId="123B4E26" w14:textId="77777777" w:rsidR="008F0BC3" w:rsidRDefault="008F0BC3" w:rsidP="00C853D1">
      <w:pPr>
        <w:spacing w:after="0" w:line="360" w:lineRule="auto"/>
      </w:pPr>
    </w:p>
    <w:p w14:paraId="35FC1E82" w14:textId="22364A61" w:rsidR="00A03130" w:rsidRDefault="00A03130" w:rsidP="00C853D1">
      <w:pPr>
        <w:spacing w:after="0" w:line="360" w:lineRule="auto"/>
      </w:pPr>
      <w:r>
        <w:t>el Sujeto Obligado adjunt</w:t>
      </w:r>
      <w:r w:rsidR="001A7051">
        <w:t>ó</w:t>
      </w:r>
      <w:r>
        <w:t xml:space="preserve"> la digitalización de los siguientes documentos: </w:t>
      </w:r>
    </w:p>
    <w:p w14:paraId="3B185281" w14:textId="77777777" w:rsidR="00A03130" w:rsidRDefault="00A03130" w:rsidP="00C853D1">
      <w:pPr>
        <w:spacing w:after="0" w:line="360" w:lineRule="auto"/>
      </w:pPr>
    </w:p>
    <w:p w14:paraId="4706AF47" w14:textId="1FE8A125" w:rsidR="00A03130" w:rsidRDefault="00A03130" w:rsidP="00C853D1">
      <w:pPr>
        <w:spacing w:after="0" w:line="360" w:lineRule="auto"/>
      </w:pPr>
      <w:r>
        <w:t xml:space="preserve">i) </w:t>
      </w:r>
      <w:r w:rsidR="00FC1B08">
        <w:t>Oficio número ODAPAS/NEZA/DF/0846/12/2021</w:t>
      </w:r>
      <w:r w:rsidR="001A7051">
        <w:t xml:space="preserve">, del </w:t>
      </w:r>
      <w:r w:rsidR="00FC1B08">
        <w:t xml:space="preserve">tres de diciembre de dos mil veintiuno, suscrito por el Director de Finanzas y dirigido al Titular de la Unidad de Transparencia, por </w:t>
      </w:r>
      <w:r w:rsidR="007C12E2">
        <w:t xml:space="preserve">medio del cual señala: </w:t>
      </w:r>
    </w:p>
    <w:p w14:paraId="7CC31FF7" w14:textId="77777777" w:rsidR="007C12E2" w:rsidRDefault="007C12E2" w:rsidP="00C853D1">
      <w:pPr>
        <w:spacing w:after="0" w:line="360" w:lineRule="auto"/>
      </w:pPr>
    </w:p>
    <w:p w14:paraId="0A51CE44" w14:textId="2D5C0516" w:rsidR="007C12E2" w:rsidRPr="004B07C8" w:rsidRDefault="007C12E2" w:rsidP="004B07C8">
      <w:pPr>
        <w:spacing w:after="0" w:line="360" w:lineRule="auto"/>
        <w:ind w:left="567" w:right="567"/>
        <w:rPr>
          <w:i/>
          <w:iCs/>
          <w:sz w:val="20"/>
          <w:szCs w:val="20"/>
        </w:rPr>
      </w:pPr>
      <w:r w:rsidRPr="004B07C8">
        <w:rPr>
          <w:i/>
          <w:iCs/>
          <w:sz w:val="20"/>
          <w:szCs w:val="20"/>
        </w:rPr>
        <w:t>“…</w:t>
      </w:r>
    </w:p>
    <w:p w14:paraId="1937AC11" w14:textId="3A7AD5EB" w:rsidR="007C12E2" w:rsidRPr="004B07C8" w:rsidRDefault="007C12E2" w:rsidP="004B07C8">
      <w:pPr>
        <w:spacing w:after="0" w:line="360" w:lineRule="auto"/>
        <w:ind w:left="567" w:right="567"/>
        <w:rPr>
          <w:i/>
          <w:iCs/>
          <w:sz w:val="20"/>
          <w:szCs w:val="20"/>
        </w:rPr>
      </w:pPr>
      <w:r w:rsidRPr="004B07C8">
        <w:rPr>
          <w:i/>
          <w:iCs/>
          <w:sz w:val="20"/>
          <w:szCs w:val="20"/>
        </w:rPr>
        <w:t xml:space="preserve">En atención a su solicitud, me permito informarle que esta Dirección de Finanzas no tiene a su cargo los trámites correspondiente </w:t>
      </w:r>
      <w:r w:rsidR="00F827B7" w:rsidRPr="004B07C8">
        <w:rPr>
          <w:i/>
          <w:iCs/>
          <w:sz w:val="20"/>
          <w:szCs w:val="20"/>
        </w:rPr>
        <w:t xml:space="preserve">a “Conexión nueva de drenaje” y/o “Conexión </w:t>
      </w:r>
      <w:r w:rsidR="00F719EA" w:rsidRPr="004B07C8">
        <w:rPr>
          <w:i/>
          <w:iCs/>
          <w:sz w:val="20"/>
          <w:szCs w:val="20"/>
        </w:rPr>
        <w:t xml:space="preserve">nueva de agua”, por lo ya expuesto, esta Dirección no cuenta con la información solicitada; no obstante, le </w:t>
      </w:r>
      <w:r w:rsidR="00025636" w:rsidRPr="004B07C8">
        <w:rPr>
          <w:i/>
          <w:iCs/>
          <w:sz w:val="20"/>
          <w:szCs w:val="20"/>
        </w:rPr>
        <w:t xml:space="preserve">brindo mi </w:t>
      </w:r>
      <w:r w:rsidR="00025636" w:rsidRPr="004B07C8">
        <w:rPr>
          <w:i/>
          <w:iCs/>
          <w:sz w:val="20"/>
          <w:szCs w:val="20"/>
        </w:rPr>
        <w:lastRenderedPageBreak/>
        <w:t xml:space="preserve">considerable apoyo para proporcionarle información que sea competencia </w:t>
      </w:r>
      <w:r w:rsidR="00820A2E" w:rsidRPr="004B07C8">
        <w:rPr>
          <w:i/>
          <w:iCs/>
          <w:sz w:val="20"/>
          <w:szCs w:val="20"/>
        </w:rPr>
        <w:t xml:space="preserve">a esta Dirección a mi cargo, para estar en la mejor disposición de atender sus requerimientos y así garantizar </w:t>
      </w:r>
      <w:r w:rsidR="00D86611" w:rsidRPr="004B07C8">
        <w:rPr>
          <w:i/>
          <w:iCs/>
          <w:sz w:val="20"/>
          <w:szCs w:val="20"/>
        </w:rPr>
        <w:t xml:space="preserve">su derecho de acceso a la información conferido en el artículo 6, párrafo segundo </w:t>
      </w:r>
      <w:r w:rsidR="00B7000E" w:rsidRPr="004B07C8">
        <w:rPr>
          <w:i/>
          <w:iCs/>
          <w:sz w:val="20"/>
          <w:szCs w:val="20"/>
        </w:rPr>
        <w:t xml:space="preserve">de la Constitución Política </w:t>
      </w:r>
      <w:r w:rsidR="0025361A" w:rsidRPr="004B07C8">
        <w:rPr>
          <w:i/>
          <w:iCs/>
          <w:sz w:val="20"/>
          <w:szCs w:val="20"/>
        </w:rPr>
        <w:t>de</w:t>
      </w:r>
      <w:r w:rsidR="00137DE8" w:rsidRPr="004B07C8">
        <w:rPr>
          <w:i/>
          <w:iCs/>
          <w:sz w:val="20"/>
          <w:szCs w:val="20"/>
        </w:rPr>
        <w:t xml:space="preserve"> los Estados Unidos Mexicanos, 5 párrafo décimo quinto de la Constitución Política del Estado Libre y Soberano de México</w:t>
      </w:r>
      <w:r w:rsidR="009610C9" w:rsidRPr="004B07C8">
        <w:rPr>
          <w:i/>
          <w:iCs/>
          <w:sz w:val="20"/>
          <w:szCs w:val="20"/>
        </w:rPr>
        <w:t xml:space="preserve">, 1 de la Ley de Transparencia y Acceso a la Información Pública del Estado de México y Municipios, sin más por el momento quedo atento a cualquier </w:t>
      </w:r>
      <w:r w:rsidR="004B07C8" w:rsidRPr="004B07C8">
        <w:rPr>
          <w:i/>
          <w:iCs/>
          <w:sz w:val="20"/>
          <w:szCs w:val="20"/>
        </w:rPr>
        <w:t>solicitud de información o comentario al respecto, reciba un cordial saludo</w:t>
      </w:r>
      <w:r w:rsidR="001A7051">
        <w:rPr>
          <w:i/>
          <w:iCs/>
          <w:sz w:val="20"/>
          <w:szCs w:val="20"/>
        </w:rPr>
        <w:t>.</w:t>
      </w:r>
    </w:p>
    <w:p w14:paraId="0CECC398" w14:textId="13FB7375" w:rsidR="004B07C8" w:rsidRPr="004B07C8" w:rsidRDefault="004B07C8" w:rsidP="004B07C8">
      <w:pPr>
        <w:spacing w:after="0" w:line="360" w:lineRule="auto"/>
        <w:ind w:left="567" w:right="567"/>
        <w:rPr>
          <w:i/>
          <w:iCs/>
          <w:sz w:val="20"/>
          <w:szCs w:val="20"/>
        </w:rPr>
      </w:pPr>
      <w:r w:rsidRPr="004B07C8">
        <w:rPr>
          <w:i/>
          <w:iCs/>
          <w:sz w:val="20"/>
          <w:szCs w:val="20"/>
        </w:rPr>
        <w:t xml:space="preserve">…” (Sic) </w:t>
      </w:r>
    </w:p>
    <w:p w14:paraId="311BA624" w14:textId="77777777" w:rsidR="00A03130" w:rsidRDefault="00A03130" w:rsidP="00C853D1">
      <w:pPr>
        <w:spacing w:after="0" w:line="360" w:lineRule="auto"/>
      </w:pPr>
    </w:p>
    <w:p w14:paraId="75E96054" w14:textId="00E8B2F3" w:rsidR="00A03130" w:rsidRDefault="004B07C8" w:rsidP="00C853D1">
      <w:pPr>
        <w:spacing w:after="0" w:line="360" w:lineRule="auto"/>
      </w:pPr>
      <w:proofErr w:type="spellStart"/>
      <w:r>
        <w:t>ii</w:t>
      </w:r>
      <w:proofErr w:type="spellEnd"/>
      <w:r>
        <w:t xml:space="preserve">) </w:t>
      </w:r>
      <w:r w:rsidR="005233F7">
        <w:t>Oficio número ODAPAS/CARC/0201/2021</w:t>
      </w:r>
      <w:r w:rsidR="001A7051">
        <w:t xml:space="preserve">, del </w:t>
      </w:r>
      <w:r w:rsidR="00FD5DB9">
        <w:t>seis de diciembre de dos mil veintiuno, suscrito por la Titular de Coordinación de Atención y Respuesta</w:t>
      </w:r>
      <w:r w:rsidR="00CD6971">
        <w:t xml:space="preserve"> a la </w:t>
      </w:r>
      <w:r w:rsidR="003954F3">
        <w:t>Ciudadanía</w:t>
      </w:r>
      <w:r w:rsidR="00FD5DB9">
        <w:t xml:space="preserve"> </w:t>
      </w:r>
      <w:r w:rsidR="00432874">
        <w:t>y dirigido al</w:t>
      </w:r>
      <w:r w:rsidR="003954F3">
        <w:t xml:space="preserve"> </w:t>
      </w:r>
      <w:r w:rsidR="00432874">
        <w:t xml:space="preserve">Titular de la Unidad de Transparencia, por medio del cual manifiesta y expone: </w:t>
      </w:r>
    </w:p>
    <w:p w14:paraId="32339006" w14:textId="77777777" w:rsidR="00432874" w:rsidRDefault="00432874" w:rsidP="00C853D1">
      <w:pPr>
        <w:spacing w:after="0" w:line="360" w:lineRule="auto"/>
      </w:pPr>
    </w:p>
    <w:p w14:paraId="61E30952" w14:textId="69527689" w:rsidR="00432874" w:rsidRPr="0052163B" w:rsidRDefault="00432874" w:rsidP="00032076">
      <w:pPr>
        <w:spacing w:after="0" w:line="360" w:lineRule="auto"/>
        <w:ind w:left="567" w:right="567"/>
        <w:rPr>
          <w:i/>
          <w:iCs/>
          <w:sz w:val="20"/>
          <w:szCs w:val="20"/>
        </w:rPr>
      </w:pPr>
      <w:r w:rsidRPr="0052163B">
        <w:rPr>
          <w:i/>
          <w:iCs/>
          <w:sz w:val="20"/>
          <w:szCs w:val="20"/>
        </w:rPr>
        <w:t>“…</w:t>
      </w:r>
    </w:p>
    <w:p w14:paraId="0A38F64F" w14:textId="7F381518" w:rsidR="00432874" w:rsidRPr="0052163B" w:rsidRDefault="00A6797A" w:rsidP="00032076">
      <w:pPr>
        <w:spacing w:after="0" w:line="360" w:lineRule="auto"/>
        <w:ind w:left="567" w:right="567"/>
        <w:rPr>
          <w:i/>
          <w:iCs/>
          <w:sz w:val="20"/>
          <w:szCs w:val="20"/>
        </w:rPr>
      </w:pPr>
      <w:r w:rsidRPr="0052163B">
        <w:rPr>
          <w:i/>
          <w:iCs/>
          <w:sz w:val="20"/>
          <w:szCs w:val="20"/>
        </w:rPr>
        <w:t xml:space="preserve">Me permito hacer se su conocimiento el tramite de los servicios de instalación y/o reconstrucción </w:t>
      </w:r>
      <w:r w:rsidR="00344AFB" w:rsidRPr="0052163B">
        <w:rPr>
          <w:i/>
          <w:iCs/>
          <w:sz w:val="20"/>
          <w:szCs w:val="20"/>
        </w:rPr>
        <w:t xml:space="preserve">de descarga domiciliaria, así como la instalación y/o reconstrucción de toma de agua potable, los lleva a cabo la Coordinación de Atención y Respuesta a la Ciudadanía, del Organismo Descentralizado de Agua Potable Alcantarillado y Saneamiento de Nezahualcóyotl como a continuación </w:t>
      </w:r>
      <w:r w:rsidR="00924C3F" w:rsidRPr="0052163B">
        <w:rPr>
          <w:i/>
          <w:iCs/>
          <w:sz w:val="20"/>
          <w:szCs w:val="20"/>
        </w:rPr>
        <w:t xml:space="preserve">se detalla: </w:t>
      </w:r>
    </w:p>
    <w:p w14:paraId="5B3CF0E5" w14:textId="77777777" w:rsidR="00924C3F" w:rsidRPr="0052163B" w:rsidRDefault="00924C3F" w:rsidP="00032076">
      <w:pPr>
        <w:spacing w:after="0" w:line="360" w:lineRule="auto"/>
        <w:ind w:left="567" w:right="567"/>
        <w:rPr>
          <w:i/>
          <w:iCs/>
          <w:sz w:val="20"/>
          <w:szCs w:val="20"/>
        </w:rPr>
      </w:pPr>
    </w:p>
    <w:p w14:paraId="2E6113A3" w14:textId="42963AD9" w:rsidR="00924C3F" w:rsidRPr="0052163B" w:rsidRDefault="00924C3F" w:rsidP="00032076">
      <w:pPr>
        <w:spacing w:after="0" w:line="360" w:lineRule="auto"/>
        <w:ind w:left="567" w:right="567"/>
        <w:rPr>
          <w:i/>
          <w:iCs/>
          <w:sz w:val="20"/>
          <w:szCs w:val="20"/>
        </w:rPr>
      </w:pPr>
      <w:r w:rsidRPr="0052163B">
        <w:rPr>
          <w:i/>
          <w:iCs/>
          <w:sz w:val="20"/>
          <w:szCs w:val="20"/>
        </w:rPr>
        <w:t>1. Para la instalación y/o reconstrucción de descarga domiciliaria así como la instalación y/o reconstrucción de toma de agua potable, se realiza una previa inspección por la Subdirecciones correspondientes</w:t>
      </w:r>
      <w:r w:rsidR="00931524" w:rsidRPr="0052163B">
        <w:rPr>
          <w:i/>
          <w:iCs/>
          <w:sz w:val="20"/>
          <w:szCs w:val="20"/>
        </w:rPr>
        <w:t xml:space="preserve">, para determinar si es factible la introducción de los servicios de dicho inmueble; para lo cual, necesitamos se presente </w:t>
      </w:r>
      <w:r w:rsidR="00200B0B" w:rsidRPr="0052163B">
        <w:rPr>
          <w:i/>
          <w:iCs/>
          <w:sz w:val="20"/>
          <w:szCs w:val="20"/>
        </w:rPr>
        <w:t xml:space="preserve">en dicha Coordinación que se encuentra dentro de las oficinas general del Organismo que esta ubicado en Calle 7 esquina Bordo de Xochiaca de la Colonia Estado de México, dentro del horario de 9:00 a 16:00 horas, con la factura </w:t>
      </w:r>
      <w:r w:rsidR="00A16D71" w:rsidRPr="0052163B">
        <w:rPr>
          <w:i/>
          <w:iCs/>
          <w:sz w:val="20"/>
          <w:szCs w:val="20"/>
        </w:rPr>
        <w:t xml:space="preserve">de pago del año vigente. </w:t>
      </w:r>
    </w:p>
    <w:p w14:paraId="596F1732" w14:textId="77777777" w:rsidR="00D140E1" w:rsidRPr="0052163B" w:rsidRDefault="00D140E1" w:rsidP="00032076">
      <w:pPr>
        <w:spacing w:after="0" w:line="360" w:lineRule="auto"/>
        <w:ind w:left="567" w:right="567"/>
        <w:rPr>
          <w:i/>
          <w:iCs/>
          <w:sz w:val="20"/>
          <w:szCs w:val="20"/>
        </w:rPr>
      </w:pPr>
    </w:p>
    <w:p w14:paraId="2FF34A49" w14:textId="6B65AA7C" w:rsidR="00A16D71" w:rsidRPr="0052163B" w:rsidRDefault="00A16D71" w:rsidP="00032076">
      <w:pPr>
        <w:spacing w:after="0" w:line="360" w:lineRule="auto"/>
        <w:ind w:left="567" w:right="567"/>
        <w:rPr>
          <w:i/>
          <w:iCs/>
          <w:sz w:val="20"/>
          <w:szCs w:val="20"/>
        </w:rPr>
      </w:pPr>
      <w:r w:rsidRPr="0052163B">
        <w:rPr>
          <w:i/>
          <w:iCs/>
          <w:sz w:val="20"/>
          <w:szCs w:val="20"/>
        </w:rPr>
        <w:t xml:space="preserve">2. Si fuera factible </w:t>
      </w:r>
      <w:r w:rsidR="00D140E1" w:rsidRPr="0052163B">
        <w:rPr>
          <w:i/>
          <w:iCs/>
          <w:sz w:val="20"/>
          <w:szCs w:val="20"/>
        </w:rPr>
        <w:t xml:space="preserve">la introducción de los servicios requeridos en el predio, los requisitos para la introducción de los servicios son: </w:t>
      </w:r>
    </w:p>
    <w:p w14:paraId="5AA65F27" w14:textId="77777777" w:rsidR="00D140E1" w:rsidRPr="0052163B" w:rsidRDefault="00D140E1" w:rsidP="00032076">
      <w:pPr>
        <w:spacing w:after="0" w:line="360" w:lineRule="auto"/>
        <w:ind w:left="567" w:right="567"/>
        <w:rPr>
          <w:i/>
          <w:iCs/>
          <w:sz w:val="20"/>
          <w:szCs w:val="20"/>
        </w:rPr>
      </w:pPr>
    </w:p>
    <w:p w14:paraId="0D3D859A" w14:textId="77777777" w:rsidR="00032076" w:rsidRPr="0052163B" w:rsidRDefault="00D140E1" w:rsidP="00032076">
      <w:pPr>
        <w:pStyle w:val="Prrafodelista"/>
        <w:numPr>
          <w:ilvl w:val="0"/>
          <w:numId w:val="23"/>
        </w:numPr>
        <w:spacing w:line="360" w:lineRule="auto"/>
        <w:ind w:left="567" w:right="567" w:firstLine="426"/>
        <w:rPr>
          <w:rFonts w:ascii="Palatino Linotype" w:hAnsi="Palatino Linotype"/>
          <w:i/>
          <w:iCs/>
          <w:sz w:val="20"/>
          <w:szCs w:val="20"/>
        </w:rPr>
      </w:pPr>
      <w:r w:rsidRPr="0052163B">
        <w:rPr>
          <w:rFonts w:ascii="Palatino Linotype" w:hAnsi="Palatino Linotype"/>
          <w:i/>
          <w:iCs/>
          <w:sz w:val="20"/>
          <w:szCs w:val="20"/>
        </w:rPr>
        <w:t xml:space="preserve">2 copias </w:t>
      </w:r>
      <w:r w:rsidR="00830F7A" w:rsidRPr="0052163B">
        <w:rPr>
          <w:rFonts w:ascii="Palatino Linotype" w:hAnsi="Palatino Linotype"/>
          <w:i/>
          <w:iCs/>
          <w:sz w:val="20"/>
          <w:szCs w:val="20"/>
        </w:rPr>
        <w:t>de recibo de pago de agua potable vigente</w:t>
      </w:r>
    </w:p>
    <w:p w14:paraId="1871B8CC" w14:textId="77777777" w:rsidR="00032076" w:rsidRPr="0052163B" w:rsidRDefault="00830F7A" w:rsidP="00032076">
      <w:pPr>
        <w:pStyle w:val="Prrafodelista"/>
        <w:numPr>
          <w:ilvl w:val="0"/>
          <w:numId w:val="23"/>
        </w:numPr>
        <w:spacing w:line="360" w:lineRule="auto"/>
        <w:ind w:left="567" w:right="567" w:firstLine="426"/>
        <w:rPr>
          <w:rFonts w:ascii="Palatino Linotype" w:hAnsi="Palatino Linotype"/>
          <w:i/>
          <w:iCs/>
          <w:sz w:val="20"/>
          <w:szCs w:val="20"/>
        </w:rPr>
      </w:pPr>
      <w:r w:rsidRPr="0052163B">
        <w:rPr>
          <w:rFonts w:ascii="Palatino Linotype" w:hAnsi="Palatino Linotype"/>
          <w:i/>
          <w:iCs/>
          <w:sz w:val="20"/>
          <w:szCs w:val="20"/>
        </w:rPr>
        <w:t>Copia de recibo de pago de predio vigente</w:t>
      </w:r>
    </w:p>
    <w:p w14:paraId="51DFE116" w14:textId="77777777" w:rsidR="00032076" w:rsidRPr="0052163B" w:rsidRDefault="00830F7A" w:rsidP="00032076">
      <w:pPr>
        <w:pStyle w:val="Prrafodelista"/>
        <w:numPr>
          <w:ilvl w:val="0"/>
          <w:numId w:val="23"/>
        </w:numPr>
        <w:spacing w:line="360" w:lineRule="auto"/>
        <w:ind w:left="567" w:right="567" w:firstLine="426"/>
        <w:rPr>
          <w:rFonts w:ascii="Palatino Linotype" w:hAnsi="Palatino Linotype"/>
          <w:i/>
          <w:iCs/>
          <w:sz w:val="20"/>
          <w:szCs w:val="20"/>
        </w:rPr>
      </w:pPr>
      <w:r w:rsidRPr="0052163B">
        <w:rPr>
          <w:rFonts w:ascii="Palatino Linotype" w:hAnsi="Palatino Linotype"/>
          <w:i/>
          <w:iCs/>
          <w:sz w:val="20"/>
          <w:szCs w:val="20"/>
        </w:rPr>
        <w:t>Copia de documento que acredite la propiedad</w:t>
      </w:r>
    </w:p>
    <w:p w14:paraId="0226B323" w14:textId="77777777" w:rsidR="00032076" w:rsidRPr="0052163B" w:rsidRDefault="00830F7A" w:rsidP="00032076">
      <w:pPr>
        <w:pStyle w:val="Prrafodelista"/>
        <w:numPr>
          <w:ilvl w:val="0"/>
          <w:numId w:val="23"/>
        </w:numPr>
        <w:spacing w:line="360" w:lineRule="auto"/>
        <w:ind w:left="567" w:right="567" w:firstLine="426"/>
        <w:rPr>
          <w:rFonts w:ascii="Palatino Linotype" w:hAnsi="Palatino Linotype"/>
          <w:i/>
          <w:iCs/>
          <w:sz w:val="20"/>
          <w:szCs w:val="20"/>
        </w:rPr>
      </w:pPr>
      <w:r w:rsidRPr="0052163B">
        <w:rPr>
          <w:rFonts w:ascii="Palatino Linotype" w:hAnsi="Palatino Linotype"/>
          <w:i/>
          <w:iCs/>
          <w:sz w:val="20"/>
          <w:szCs w:val="20"/>
        </w:rPr>
        <w:t xml:space="preserve">2 copias de identificación con fotografía y firma </w:t>
      </w:r>
      <w:r w:rsidR="00BF5C8B" w:rsidRPr="0052163B">
        <w:rPr>
          <w:rFonts w:ascii="Palatino Linotype" w:hAnsi="Palatino Linotype"/>
          <w:i/>
          <w:iCs/>
          <w:sz w:val="20"/>
          <w:szCs w:val="20"/>
        </w:rPr>
        <w:t>(quien realice el trámite)</w:t>
      </w:r>
    </w:p>
    <w:p w14:paraId="2F560A11" w14:textId="77777777" w:rsidR="00032076" w:rsidRPr="0052163B" w:rsidRDefault="00BF5C8B" w:rsidP="00032076">
      <w:pPr>
        <w:pStyle w:val="Prrafodelista"/>
        <w:numPr>
          <w:ilvl w:val="0"/>
          <w:numId w:val="23"/>
        </w:numPr>
        <w:spacing w:line="360" w:lineRule="auto"/>
        <w:ind w:left="567" w:right="567" w:firstLine="426"/>
        <w:rPr>
          <w:rFonts w:ascii="Palatino Linotype" w:hAnsi="Palatino Linotype"/>
          <w:i/>
          <w:iCs/>
          <w:sz w:val="20"/>
          <w:szCs w:val="20"/>
        </w:rPr>
      </w:pPr>
      <w:r w:rsidRPr="0052163B">
        <w:rPr>
          <w:rFonts w:ascii="Palatino Linotype" w:hAnsi="Palatino Linotype"/>
          <w:i/>
          <w:iCs/>
          <w:sz w:val="20"/>
          <w:szCs w:val="20"/>
        </w:rPr>
        <w:t>Croquis de ubicación</w:t>
      </w:r>
    </w:p>
    <w:p w14:paraId="1A4B7B76" w14:textId="77777777" w:rsidR="00032076" w:rsidRPr="0052163B" w:rsidRDefault="00BF5C8B" w:rsidP="00032076">
      <w:pPr>
        <w:pStyle w:val="Prrafodelista"/>
        <w:numPr>
          <w:ilvl w:val="0"/>
          <w:numId w:val="23"/>
        </w:numPr>
        <w:spacing w:line="360" w:lineRule="auto"/>
        <w:ind w:left="567" w:right="567" w:firstLine="426"/>
        <w:rPr>
          <w:rFonts w:ascii="Palatino Linotype" w:hAnsi="Palatino Linotype"/>
          <w:i/>
          <w:iCs/>
          <w:sz w:val="20"/>
          <w:szCs w:val="20"/>
        </w:rPr>
      </w:pPr>
      <w:r w:rsidRPr="0052163B">
        <w:rPr>
          <w:rFonts w:ascii="Palatino Linotype" w:hAnsi="Palatino Linotype"/>
          <w:i/>
          <w:iCs/>
          <w:sz w:val="20"/>
          <w:szCs w:val="20"/>
        </w:rPr>
        <w:t>Fotografía de la fachada</w:t>
      </w:r>
    </w:p>
    <w:p w14:paraId="74052726" w14:textId="77777777" w:rsidR="00032076" w:rsidRPr="0052163B" w:rsidRDefault="00BF5C8B" w:rsidP="00032076">
      <w:pPr>
        <w:pStyle w:val="Prrafodelista"/>
        <w:numPr>
          <w:ilvl w:val="0"/>
          <w:numId w:val="23"/>
        </w:numPr>
        <w:spacing w:line="360" w:lineRule="auto"/>
        <w:ind w:left="1418" w:right="567" w:hanging="425"/>
        <w:rPr>
          <w:rFonts w:ascii="Palatino Linotype" w:hAnsi="Palatino Linotype"/>
          <w:i/>
          <w:iCs/>
          <w:sz w:val="20"/>
          <w:szCs w:val="20"/>
        </w:rPr>
      </w:pPr>
      <w:r w:rsidRPr="0052163B">
        <w:rPr>
          <w:rFonts w:ascii="Palatino Linotype" w:hAnsi="Palatino Linotype"/>
          <w:i/>
          <w:iCs/>
          <w:sz w:val="20"/>
          <w:szCs w:val="20"/>
        </w:rPr>
        <w:t>Carta poder y/o no</w:t>
      </w:r>
      <w:r w:rsidR="008B4440" w:rsidRPr="0052163B">
        <w:rPr>
          <w:rFonts w:ascii="Palatino Linotype" w:hAnsi="Palatino Linotype"/>
          <w:i/>
          <w:iCs/>
          <w:sz w:val="20"/>
          <w:szCs w:val="20"/>
        </w:rPr>
        <w:t>tarial en caso de terceras personas y dos testigos con</w:t>
      </w:r>
      <w:r w:rsidR="00032076" w:rsidRPr="0052163B">
        <w:rPr>
          <w:rFonts w:ascii="Palatino Linotype" w:hAnsi="Palatino Linotype"/>
          <w:i/>
          <w:iCs/>
          <w:sz w:val="20"/>
          <w:szCs w:val="20"/>
        </w:rPr>
        <w:t xml:space="preserve"> </w:t>
      </w:r>
      <w:r w:rsidR="008B4440" w:rsidRPr="0052163B">
        <w:rPr>
          <w:rFonts w:ascii="Palatino Linotype" w:hAnsi="Palatino Linotype"/>
          <w:i/>
          <w:iCs/>
          <w:sz w:val="20"/>
          <w:szCs w:val="20"/>
        </w:rPr>
        <w:t>INE de los tres</w:t>
      </w:r>
    </w:p>
    <w:p w14:paraId="56A915D7" w14:textId="77777777" w:rsidR="00032076" w:rsidRPr="0052163B" w:rsidRDefault="008B4440" w:rsidP="00032076">
      <w:pPr>
        <w:pStyle w:val="Prrafodelista"/>
        <w:spacing w:line="360" w:lineRule="auto"/>
        <w:ind w:left="1418" w:right="567"/>
        <w:rPr>
          <w:rFonts w:ascii="Palatino Linotype" w:hAnsi="Palatino Linotype"/>
          <w:i/>
          <w:iCs/>
          <w:sz w:val="20"/>
          <w:szCs w:val="20"/>
        </w:rPr>
      </w:pPr>
      <w:r w:rsidRPr="0052163B">
        <w:rPr>
          <w:rFonts w:ascii="Palatino Linotype" w:hAnsi="Palatino Linotype"/>
          <w:i/>
          <w:iCs/>
          <w:sz w:val="20"/>
          <w:szCs w:val="20"/>
        </w:rPr>
        <w:t>Deberá presentar original de los documentos solicitados para cotejo únicamente</w:t>
      </w:r>
    </w:p>
    <w:p w14:paraId="5DAD8CB6" w14:textId="0EEA897C" w:rsidR="008B4440" w:rsidRPr="0052163B" w:rsidRDefault="008B4440" w:rsidP="00032076">
      <w:pPr>
        <w:pStyle w:val="Prrafodelista"/>
        <w:numPr>
          <w:ilvl w:val="0"/>
          <w:numId w:val="23"/>
        </w:numPr>
        <w:spacing w:line="360" w:lineRule="auto"/>
        <w:ind w:left="1418" w:right="567" w:hanging="425"/>
        <w:rPr>
          <w:rFonts w:ascii="Palatino Linotype" w:hAnsi="Palatino Linotype"/>
          <w:i/>
          <w:iCs/>
          <w:sz w:val="20"/>
          <w:szCs w:val="20"/>
        </w:rPr>
      </w:pPr>
      <w:r w:rsidRPr="0052163B">
        <w:rPr>
          <w:rFonts w:ascii="Palatino Linotype" w:hAnsi="Palatino Linotype"/>
          <w:i/>
          <w:iCs/>
          <w:sz w:val="20"/>
          <w:szCs w:val="20"/>
        </w:rPr>
        <w:t>El costo de la introducción de los servicios se determinar</w:t>
      </w:r>
      <w:r w:rsidR="00D40241" w:rsidRPr="0052163B">
        <w:rPr>
          <w:rFonts w:ascii="Palatino Linotype" w:hAnsi="Palatino Linotype"/>
          <w:i/>
          <w:iCs/>
          <w:sz w:val="20"/>
          <w:szCs w:val="20"/>
        </w:rPr>
        <w:t xml:space="preserve">á derivado de la revisión hecha por la Subdirección correspondiente. </w:t>
      </w:r>
    </w:p>
    <w:p w14:paraId="171C60E6" w14:textId="77777777" w:rsidR="003954F3" w:rsidRDefault="003954F3" w:rsidP="00032076">
      <w:pPr>
        <w:spacing w:after="0" w:line="360" w:lineRule="auto"/>
        <w:ind w:left="567" w:right="567"/>
        <w:rPr>
          <w:i/>
          <w:iCs/>
          <w:sz w:val="20"/>
          <w:szCs w:val="20"/>
        </w:rPr>
      </w:pPr>
    </w:p>
    <w:p w14:paraId="37F892B2" w14:textId="758A1DDF" w:rsidR="003954F3" w:rsidRDefault="003954F3" w:rsidP="00032076">
      <w:pPr>
        <w:spacing w:after="0" w:line="360" w:lineRule="auto"/>
        <w:ind w:left="567" w:right="567"/>
        <w:rPr>
          <w:i/>
          <w:iCs/>
          <w:sz w:val="20"/>
          <w:szCs w:val="20"/>
        </w:rPr>
      </w:pPr>
      <w:r>
        <w:rPr>
          <w:i/>
          <w:iCs/>
          <w:sz w:val="20"/>
          <w:szCs w:val="20"/>
        </w:rPr>
        <w:t>3. Fundamento legal para la introducción de los servicios:</w:t>
      </w:r>
    </w:p>
    <w:p w14:paraId="4EA8F111" w14:textId="5FA442D5" w:rsidR="003954F3" w:rsidRDefault="003954F3" w:rsidP="00032076">
      <w:pPr>
        <w:spacing w:after="0" w:line="360" w:lineRule="auto"/>
        <w:ind w:left="567" w:right="567"/>
        <w:rPr>
          <w:i/>
          <w:iCs/>
          <w:sz w:val="20"/>
          <w:szCs w:val="20"/>
        </w:rPr>
      </w:pPr>
      <w:r>
        <w:rPr>
          <w:i/>
          <w:iCs/>
          <w:sz w:val="20"/>
          <w:szCs w:val="20"/>
        </w:rPr>
        <w:t>Artículo 135 Fracción II del Código Financiero del Estado de México y Municipios</w:t>
      </w:r>
    </w:p>
    <w:p w14:paraId="762CD35C" w14:textId="36BE275B" w:rsidR="008F0BC3" w:rsidRPr="0052163B" w:rsidRDefault="0046402B" w:rsidP="00032076">
      <w:pPr>
        <w:spacing w:after="0" w:line="360" w:lineRule="auto"/>
        <w:ind w:left="567" w:right="567"/>
        <w:rPr>
          <w:i/>
          <w:iCs/>
          <w:sz w:val="20"/>
          <w:szCs w:val="20"/>
        </w:rPr>
      </w:pPr>
      <w:r w:rsidRPr="0052163B">
        <w:rPr>
          <w:i/>
          <w:iCs/>
          <w:sz w:val="20"/>
          <w:szCs w:val="20"/>
        </w:rPr>
        <w:t xml:space="preserve">…” (Sic) </w:t>
      </w:r>
    </w:p>
    <w:p w14:paraId="5A132506" w14:textId="77777777" w:rsidR="00C853D1" w:rsidRPr="00134F95" w:rsidRDefault="00C853D1" w:rsidP="00C853D1">
      <w:pPr>
        <w:spacing w:after="0" w:line="360" w:lineRule="auto"/>
        <w:ind w:right="567"/>
        <w:rPr>
          <w:sz w:val="20"/>
          <w:szCs w:val="20"/>
        </w:rPr>
      </w:pPr>
    </w:p>
    <w:p w14:paraId="2B803E22" w14:textId="77777777" w:rsidR="00C853D1" w:rsidRPr="00B377FD" w:rsidRDefault="00C853D1" w:rsidP="00C853D1">
      <w:pPr>
        <w:spacing w:after="0" w:line="360" w:lineRule="auto"/>
        <w:rPr>
          <w:b/>
        </w:rPr>
      </w:pPr>
      <w:r w:rsidRPr="00B377FD">
        <w:rPr>
          <w:b/>
        </w:rPr>
        <w:t xml:space="preserve">III. Interposición del Recurso de Revisión. </w:t>
      </w:r>
    </w:p>
    <w:p w14:paraId="71DC67DA" w14:textId="77777777" w:rsidR="00C853D1" w:rsidRPr="00B377FD" w:rsidRDefault="00C853D1" w:rsidP="000039BC">
      <w:pPr>
        <w:spacing w:after="0" w:line="240" w:lineRule="auto"/>
        <w:rPr>
          <w:bCs/>
        </w:rPr>
      </w:pPr>
    </w:p>
    <w:p w14:paraId="2F891DAB" w14:textId="47C4CC64" w:rsidR="00C853D1" w:rsidRPr="00B377FD" w:rsidRDefault="00C853D1" w:rsidP="00C853D1">
      <w:pPr>
        <w:spacing w:after="0" w:line="360" w:lineRule="auto"/>
        <w:rPr>
          <w:bCs/>
        </w:rPr>
      </w:pPr>
      <w:r w:rsidRPr="00B377FD">
        <w:rPr>
          <w:bCs/>
        </w:rPr>
        <w:t>Con fecha</w:t>
      </w:r>
      <w:r w:rsidR="00827B0C">
        <w:rPr>
          <w:bCs/>
        </w:rPr>
        <w:t xml:space="preserve"> </w:t>
      </w:r>
      <w:r w:rsidR="0074766A">
        <w:rPr>
          <w:bCs/>
        </w:rPr>
        <w:t>ocho de diciembre de dos mil veintiuno</w:t>
      </w:r>
      <w:r w:rsidRPr="00B377FD">
        <w:rPr>
          <w:bCs/>
        </w:rPr>
        <w:t xml:space="preserve">, se recibió en este Instituto, a través del </w:t>
      </w:r>
      <w:r w:rsidRPr="00B377FD">
        <w:rPr>
          <w:bCs/>
          <w:lang w:val="es-ES"/>
        </w:rPr>
        <w:t>Sistema de Acceso a la Información Mexiquense (SAIMEX)</w:t>
      </w:r>
      <w:r w:rsidRPr="00B377FD">
        <w:rPr>
          <w:bCs/>
        </w:rPr>
        <w:t>, Recurso de Revisión interpuesto por la parte Recurrente, en contra de la respuesta por el Sujeto Obligado</w:t>
      </w:r>
      <w:r>
        <w:rPr>
          <w:bCs/>
        </w:rPr>
        <w:t>,</w:t>
      </w:r>
      <w:r w:rsidRPr="00B377FD">
        <w:rPr>
          <w:bCs/>
        </w:rPr>
        <w:t xml:space="preserve"> a la solicitud de información, en los siguientes términos:</w:t>
      </w:r>
    </w:p>
    <w:p w14:paraId="3A43EC2F" w14:textId="77777777" w:rsidR="00C853D1" w:rsidRPr="00B377FD" w:rsidRDefault="00C853D1" w:rsidP="00C853D1">
      <w:pPr>
        <w:spacing w:after="0" w:line="360" w:lineRule="auto"/>
        <w:rPr>
          <w:bCs/>
        </w:rPr>
      </w:pPr>
    </w:p>
    <w:p w14:paraId="5AC8905A" w14:textId="77777777" w:rsidR="00C853D1" w:rsidRPr="00B377FD" w:rsidRDefault="00C853D1" w:rsidP="00C853D1">
      <w:pPr>
        <w:spacing w:after="0" w:line="360" w:lineRule="auto"/>
        <w:ind w:left="567" w:right="567"/>
        <w:rPr>
          <w:bCs/>
          <w:i/>
          <w:sz w:val="20"/>
          <w:szCs w:val="20"/>
        </w:rPr>
      </w:pPr>
      <w:r w:rsidRPr="00B377FD">
        <w:rPr>
          <w:b/>
          <w:bCs/>
          <w:i/>
          <w:sz w:val="20"/>
          <w:szCs w:val="20"/>
        </w:rPr>
        <w:t>“ACTO IMPUGNADO</w:t>
      </w:r>
    </w:p>
    <w:p w14:paraId="5B56BF42" w14:textId="2EC15CD0" w:rsidR="00C853D1" w:rsidRPr="00B377FD" w:rsidRDefault="00EF1BF7" w:rsidP="00C853D1">
      <w:pPr>
        <w:spacing w:after="0" w:line="360" w:lineRule="auto"/>
        <w:ind w:left="567" w:right="567"/>
        <w:rPr>
          <w:i/>
          <w:sz w:val="20"/>
          <w:szCs w:val="20"/>
        </w:rPr>
      </w:pPr>
      <w:r w:rsidRPr="00EF1BF7">
        <w:rPr>
          <w:i/>
          <w:sz w:val="20"/>
          <w:szCs w:val="20"/>
        </w:rPr>
        <w:t xml:space="preserve">Impugno la respuesta del sujeto obligado en virtud de que esta no atiende en su totalidad el requerimiento de la solicitud, por ejemplo, a </w:t>
      </w:r>
      <w:proofErr w:type="spellStart"/>
      <w:r w:rsidRPr="00EF1BF7">
        <w:rPr>
          <w:i/>
          <w:sz w:val="20"/>
          <w:szCs w:val="20"/>
        </w:rPr>
        <w:t>mi</w:t>
      </w:r>
      <w:proofErr w:type="spellEnd"/>
      <w:r w:rsidRPr="00EF1BF7">
        <w:rPr>
          <w:i/>
          <w:sz w:val="20"/>
          <w:szCs w:val="20"/>
        </w:rPr>
        <w:t xml:space="preserve"> no me interesa saber que áreas son o no son competentes, por lo que no se atendió correctamente la solicitud</w:t>
      </w:r>
      <w:r w:rsidR="00C853D1" w:rsidRPr="006B47BC">
        <w:rPr>
          <w:i/>
          <w:sz w:val="20"/>
          <w:szCs w:val="20"/>
        </w:rPr>
        <w:t>.</w:t>
      </w:r>
      <w:r w:rsidR="00C853D1" w:rsidRPr="00B377FD">
        <w:rPr>
          <w:i/>
          <w:sz w:val="20"/>
          <w:szCs w:val="20"/>
        </w:rPr>
        <w:t>” (Sic.)</w:t>
      </w:r>
    </w:p>
    <w:p w14:paraId="29F43CC4" w14:textId="77777777" w:rsidR="00C853D1" w:rsidRDefault="00C853D1" w:rsidP="00C853D1">
      <w:pPr>
        <w:spacing w:after="0" w:line="360" w:lineRule="auto"/>
        <w:ind w:left="567" w:right="567"/>
        <w:rPr>
          <w:i/>
          <w:sz w:val="20"/>
          <w:szCs w:val="20"/>
        </w:rPr>
      </w:pPr>
    </w:p>
    <w:p w14:paraId="19CBF35D" w14:textId="77777777" w:rsidR="00C853D1" w:rsidRPr="00B377FD" w:rsidRDefault="00C853D1" w:rsidP="00C853D1">
      <w:pPr>
        <w:spacing w:after="0" w:line="360" w:lineRule="auto"/>
        <w:ind w:left="567" w:right="567"/>
        <w:rPr>
          <w:b/>
          <w:i/>
          <w:sz w:val="20"/>
          <w:szCs w:val="20"/>
        </w:rPr>
      </w:pPr>
      <w:r w:rsidRPr="00B377FD">
        <w:rPr>
          <w:b/>
          <w:i/>
          <w:sz w:val="20"/>
          <w:szCs w:val="20"/>
        </w:rPr>
        <w:lastRenderedPageBreak/>
        <w:t>“RAZONES O MOTIVOS DE LA INCONFORMIDAD</w:t>
      </w:r>
    </w:p>
    <w:p w14:paraId="4043E730" w14:textId="0B986A26" w:rsidR="00C853D1" w:rsidRPr="00B377FD" w:rsidRDefault="00EF1BF7" w:rsidP="00C853D1">
      <w:pPr>
        <w:spacing w:after="0" w:line="360" w:lineRule="auto"/>
        <w:ind w:left="567" w:right="567"/>
        <w:rPr>
          <w:i/>
          <w:sz w:val="20"/>
          <w:szCs w:val="20"/>
        </w:rPr>
      </w:pPr>
      <w:r w:rsidRPr="00EF1BF7">
        <w:rPr>
          <w:i/>
          <w:sz w:val="20"/>
          <w:szCs w:val="20"/>
        </w:rPr>
        <w:t xml:space="preserve">Impugno la respuesta del sujeto obligado en virtud de que esta no atiende en su totalidad el requerimiento de la solicitud, por ejemplo, a </w:t>
      </w:r>
      <w:proofErr w:type="spellStart"/>
      <w:r w:rsidRPr="00EF1BF7">
        <w:rPr>
          <w:i/>
          <w:sz w:val="20"/>
          <w:szCs w:val="20"/>
        </w:rPr>
        <w:t>mi</w:t>
      </w:r>
      <w:proofErr w:type="spellEnd"/>
      <w:r w:rsidRPr="00EF1BF7">
        <w:rPr>
          <w:i/>
          <w:sz w:val="20"/>
          <w:szCs w:val="20"/>
        </w:rPr>
        <w:t xml:space="preserve"> no me interesa saber que áreas son o no son competentes, por lo que no se atendió correctamente la solicitud</w:t>
      </w:r>
      <w:r w:rsidR="00827B0C" w:rsidRPr="00B30B2A">
        <w:rPr>
          <w:i/>
          <w:sz w:val="20"/>
          <w:szCs w:val="20"/>
        </w:rPr>
        <w:t>.</w:t>
      </w:r>
      <w:r w:rsidR="00C853D1" w:rsidRPr="00B30B2A">
        <w:rPr>
          <w:i/>
          <w:sz w:val="20"/>
          <w:szCs w:val="20"/>
        </w:rPr>
        <w:t>” (Sic.)</w:t>
      </w:r>
    </w:p>
    <w:p w14:paraId="08852F84" w14:textId="77777777" w:rsidR="00682222" w:rsidRPr="00B377FD" w:rsidRDefault="00682222" w:rsidP="00C853D1">
      <w:pPr>
        <w:spacing w:after="0" w:line="360" w:lineRule="auto"/>
      </w:pPr>
    </w:p>
    <w:p w14:paraId="5CD0FCF6" w14:textId="77777777" w:rsidR="00C853D1" w:rsidRPr="00B377FD" w:rsidRDefault="00C853D1" w:rsidP="00C853D1">
      <w:pPr>
        <w:spacing w:after="0" w:line="360" w:lineRule="auto"/>
        <w:rPr>
          <w:b/>
          <w:bCs/>
        </w:rPr>
      </w:pPr>
      <w:r w:rsidRPr="00B377FD">
        <w:rPr>
          <w:b/>
        </w:rPr>
        <w:t xml:space="preserve">IV. </w:t>
      </w:r>
      <w:r w:rsidRPr="00B377FD">
        <w:rPr>
          <w:b/>
          <w:bCs/>
        </w:rPr>
        <w:t xml:space="preserve">Trámite del </w:t>
      </w:r>
      <w:r w:rsidRPr="00B377FD">
        <w:rPr>
          <w:b/>
        </w:rPr>
        <w:t xml:space="preserve">Recurso de Revisión </w:t>
      </w:r>
      <w:r w:rsidRPr="00B377FD">
        <w:rPr>
          <w:b/>
          <w:bCs/>
        </w:rPr>
        <w:t>ante este Instituto.</w:t>
      </w:r>
    </w:p>
    <w:p w14:paraId="58854E98" w14:textId="77777777" w:rsidR="00C853D1" w:rsidRPr="00B377FD" w:rsidRDefault="00C853D1" w:rsidP="00C853D1">
      <w:pPr>
        <w:spacing w:after="0" w:line="360" w:lineRule="auto"/>
        <w:rPr>
          <w:b/>
          <w:bCs/>
        </w:rPr>
      </w:pPr>
    </w:p>
    <w:p w14:paraId="0D250646" w14:textId="1A8447EE" w:rsidR="00C853D1" w:rsidRPr="00B377FD" w:rsidRDefault="00C853D1" w:rsidP="00C853D1">
      <w:pPr>
        <w:spacing w:after="0" w:line="360" w:lineRule="auto"/>
        <w:rPr>
          <w:b/>
          <w:bCs/>
        </w:rPr>
      </w:pPr>
      <w:r w:rsidRPr="00B377FD">
        <w:rPr>
          <w:b/>
          <w:bCs/>
        </w:rPr>
        <w:t xml:space="preserve">a) Turno del Medio de Impugnación. </w:t>
      </w:r>
      <w:r>
        <w:rPr>
          <w:bCs/>
        </w:rPr>
        <w:t xml:space="preserve">El </w:t>
      </w:r>
      <w:r w:rsidR="003954F3">
        <w:rPr>
          <w:bCs/>
        </w:rPr>
        <w:t>ocho de diciembre</w:t>
      </w:r>
      <w:r w:rsidR="00827B0C">
        <w:rPr>
          <w:bCs/>
        </w:rPr>
        <w:t xml:space="preserve"> de dos mil veintiuno</w:t>
      </w:r>
      <w:r w:rsidRPr="00B377FD">
        <w:rPr>
          <w:bCs/>
        </w:rPr>
        <w:t xml:space="preserve">, el </w:t>
      </w:r>
      <w:r w:rsidRPr="00B377FD">
        <w:rPr>
          <w:lang w:val="es-ES"/>
        </w:rPr>
        <w:t>Sistema de Acceso a la Información Mexiquense (SAIMEX),</w:t>
      </w:r>
      <w:r w:rsidRPr="00B377FD">
        <w:rPr>
          <w:bCs/>
        </w:rPr>
        <w:t xml:space="preserve"> asignó el número de expediente </w:t>
      </w:r>
      <w:r w:rsidR="00764DC4">
        <w:rPr>
          <w:b/>
          <w:bCs/>
        </w:rPr>
        <w:t>06191/INFOEM/IP/RR/2021</w:t>
      </w:r>
      <w:r w:rsidRPr="00B377FD">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06E51DE" w14:textId="77777777" w:rsidR="00C853D1" w:rsidRPr="00B377FD" w:rsidRDefault="00C853D1" w:rsidP="00C853D1">
      <w:pPr>
        <w:spacing w:after="0" w:line="360" w:lineRule="auto"/>
        <w:rPr>
          <w:bCs/>
        </w:rPr>
      </w:pPr>
    </w:p>
    <w:p w14:paraId="03479276" w14:textId="0B3A1CA8" w:rsidR="00C853D1" w:rsidRPr="00B377FD" w:rsidRDefault="00C853D1" w:rsidP="00C853D1">
      <w:pPr>
        <w:spacing w:after="0" w:line="360" w:lineRule="auto"/>
      </w:pPr>
      <w:r w:rsidRPr="00B377FD">
        <w:rPr>
          <w:b/>
          <w:bCs/>
        </w:rPr>
        <w:t>b) Admisión del Recurso de Revisión</w:t>
      </w:r>
      <w:r w:rsidRPr="00B377FD">
        <w:rPr>
          <w:b/>
          <w:bCs/>
          <w:lang w:val="es-ES_tradnl"/>
        </w:rPr>
        <w:t xml:space="preserve">. </w:t>
      </w:r>
      <w:r w:rsidRPr="00B377FD">
        <w:rPr>
          <w:bCs/>
          <w:lang w:val="es-ES_tradnl"/>
        </w:rPr>
        <w:t xml:space="preserve">El </w:t>
      </w:r>
      <w:r w:rsidR="003754EE" w:rsidRPr="003754EE">
        <w:rPr>
          <w:bCs/>
        </w:rPr>
        <w:t>trece de diciembre de dos mil veintiuno</w:t>
      </w:r>
      <w:r w:rsidRPr="00B377FD">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w:t>
      </w:r>
      <w:r w:rsidR="003954F3">
        <w:rPr>
          <w:bCs/>
          <w:lang w:val="es-ES_tradnl"/>
        </w:rPr>
        <w:t xml:space="preserve"> catorce de dicho mes y año</w:t>
      </w:r>
      <w:r w:rsidRPr="00B377FD">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6BCA600D" w14:textId="77777777" w:rsidR="00C853D1" w:rsidRPr="00B377FD" w:rsidRDefault="00C853D1" w:rsidP="00C853D1">
      <w:pPr>
        <w:spacing w:after="0" w:line="360" w:lineRule="auto"/>
      </w:pPr>
    </w:p>
    <w:p w14:paraId="48893053" w14:textId="0F9DFBD8" w:rsidR="0011219F" w:rsidRDefault="00C853D1" w:rsidP="00C853D1">
      <w:pPr>
        <w:spacing w:after="0" w:line="360" w:lineRule="auto"/>
        <w:rPr>
          <w:bCs/>
        </w:rPr>
      </w:pPr>
      <w:r w:rsidRPr="0042422A">
        <w:rPr>
          <w:b/>
        </w:rPr>
        <w:t xml:space="preserve">c) Informe Justificado. </w:t>
      </w:r>
      <w:r w:rsidR="006507ED" w:rsidRPr="0042422A">
        <w:rPr>
          <w:bCs/>
        </w:rPr>
        <w:t xml:space="preserve">El </w:t>
      </w:r>
      <w:r w:rsidR="0026557C">
        <w:rPr>
          <w:bCs/>
        </w:rPr>
        <w:t xml:space="preserve">veintiuno de diciembre de dos mil veintiuno, </w:t>
      </w:r>
      <w:r w:rsidR="00542A7E">
        <w:rPr>
          <w:bCs/>
        </w:rPr>
        <w:t xml:space="preserve">el Sujeto </w:t>
      </w:r>
      <w:r w:rsidR="00AC7D9A">
        <w:rPr>
          <w:bCs/>
        </w:rPr>
        <w:t>Obli</w:t>
      </w:r>
      <w:r w:rsidR="00C167E5">
        <w:rPr>
          <w:bCs/>
        </w:rPr>
        <w:t>gado rindió su Informe Justificado, por medio del oficio sin número</w:t>
      </w:r>
      <w:r w:rsidR="003878FC">
        <w:rPr>
          <w:bCs/>
        </w:rPr>
        <w:t xml:space="preserve">, </w:t>
      </w:r>
      <w:r w:rsidR="003954F3">
        <w:rPr>
          <w:bCs/>
        </w:rPr>
        <w:t>de la misma fecha de recepción</w:t>
      </w:r>
      <w:r w:rsidR="003878FC">
        <w:rPr>
          <w:bCs/>
        </w:rPr>
        <w:t xml:space="preserve">, </w:t>
      </w:r>
      <w:r w:rsidR="00C22637">
        <w:rPr>
          <w:bCs/>
        </w:rPr>
        <w:t xml:space="preserve">suscrito por el Titular de la Unidad de Transparencia y dirigido al </w:t>
      </w:r>
      <w:r w:rsidR="00CA1DD4">
        <w:rPr>
          <w:bCs/>
        </w:rPr>
        <w:t>Comisionado</w:t>
      </w:r>
      <w:r w:rsidR="00C22637">
        <w:rPr>
          <w:bCs/>
        </w:rPr>
        <w:t xml:space="preserve"> Ponente</w:t>
      </w:r>
      <w:r w:rsidR="003954F3">
        <w:rPr>
          <w:bCs/>
        </w:rPr>
        <w:t>, por medio del cual ratifica su respuesta, conforme a lo siguiente:</w:t>
      </w:r>
    </w:p>
    <w:p w14:paraId="43645F9F" w14:textId="77777777" w:rsidR="0011219F" w:rsidRDefault="0011219F" w:rsidP="00C853D1">
      <w:pPr>
        <w:spacing w:after="0" w:line="360" w:lineRule="auto"/>
        <w:rPr>
          <w:bCs/>
        </w:rPr>
      </w:pPr>
    </w:p>
    <w:p w14:paraId="4D69DD60" w14:textId="1ACDE978" w:rsidR="0011219F" w:rsidRPr="00E8469F" w:rsidRDefault="00CE1FA9" w:rsidP="00E8469F">
      <w:pPr>
        <w:spacing w:after="0" w:line="360" w:lineRule="auto"/>
        <w:ind w:left="567" w:right="567"/>
        <w:rPr>
          <w:bCs/>
          <w:i/>
          <w:iCs/>
          <w:sz w:val="20"/>
          <w:szCs w:val="20"/>
        </w:rPr>
      </w:pPr>
      <w:r w:rsidRPr="00E8469F">
        <w:rPr>
          <w:bCs/>
          <w:i/>
          <w:iCs/>
          <w:sz w:val="20"/>
          <w:szCs w:val="20"/>
        </w:rPr>
        <w:t>“…</w:t>
      </w:r>
    </w:p>
    <w:p w14:paraId="6A8F8BD4" w14:textId="1AD0420C" w:rsidR="00CE1FA9" w:rsidRPr="00E8469F" w:rsidRDefault="00CE1FA9" w:rsidP="00E8469F">
      <w:pPr>
        <w:spacing w:after="0" w:line="360" w:lineRule="auto"/>
        <w:ind w:left="567" w:right="567"/>
        <w:rPr>
          <w:bCs/>
          <w:i/>
          <w:iCs/>
          <w:sz w:val="20"/>
          <w:szCs w:val="20"/>
        </w:rPr>
      </w:pPr>
      <w:proofErr w:type="gramStart"/>
      <w:r w:rsidRPr="00E8469F">
        <w:rPr>
          <w:bCs/>
          <w:i/>
          <w:iCs/>
          <w:sz w:val="20"/>
          <w:szCs w:val="20"/>
        </w:rPr>
        <w:t>SEXTA</w:t>
      </w:r>
      <w:r w:rsidR="009F7341" w:rsidRPr="00E8469F">
        <w:rPr>
          <w:bCs/>
          <w:i/>
          <w:iCs/>
          <w:sz w:val="20"/>
          <w:szCs w:val="20"/>
        </w:rPr>
        <w:t>.-</w:t>
      </w:r>
      <w:proofErr w:type="gramEnd"/>
      <w:r w:rsidR="009F7341" w:rsidRPr="00E8469F">
        <w:rPr>
          <w:bCs/>
          <w:i/>
          <w:iCs/>
          <w:sz w:val="20"/>
          <w:szCs w:val="20"/>
        </w:rPr>
        <w:t xml:space="preserve"> En fecha quince de diciembre </w:t>
      </w:r>
      <w:r w:rsidR="00192D6D" w:rsidRPr="00E8469F">
        <w:rPr>
          <w:bCs/>
          <w:i/>
          <w:iCs/>
          <w:sz w:val="20"/>
          <w:szCs w:val="20"/>
        </w:rPr>
        <w:t>de dos mil veintiuno</w:t>
      </w:r>
      <w:r w:rsidR="00E16AD0" w:rsidRPr="00E8469F">
        <w:rPr>
          <w:bCs/>
          <w:i/>
          <w:iCs/>
          <w:sz w:val="20"/>
          <w:szCs w:val="20"/>
        </w:rPr>
        <w:t xml:space="preserve">, el suscrito notifiqué a lo Servidores Públicos Habilitados de referencia, la </w:t>
      </w:r>
      <w:r w:rsidR="0081607C" w:rsidRPr="00E8469F">
        <w:rPr>
          <w:bCs/>
          <w:i/>
          <w:iCs/>
          <w:sz w:val="20"/>
          <w:szCs w:val="20"/>
        </w:rPr>
        <w:t>interposición</w:t>
      </w:r>
      <w:r w:rsidR="00E16AD0" w:rsidRPr="00E8469F">
        <w:rPr>
          <w:bCs/>
          <w:i/>
          <w:iCs/>
          <w:sz w:val="20"/>
          <w:szCs w:val="20"/>
        </w:rPr>
        <w:t xml:space="preserve"> </w:t>
      </w:r>
      <w:r w:rsidR="005A6C9B" w:rsidRPr="00E8469F">
        <w:rPr>
          <w:bCs/>
          <w:i/>
          <w:iCs/>
          <w:sz w:val="20"/>
          <w:szCs w:val="20"/>
        </w:rPr>
        <w:t xml:space="preserve"> y admisión de Recurso que nos ocupa, con la finalidad de </w:t>
      </w:r>
      <w:r w:rsidR="002E2635" w:rsidRPr="00E8469F">
        <w:rPr>
          <w:bCs/>
          <w:i/>
          <w:iCs/>
          <w:sz w:val="20"/>
          <w:szCs w:val="20"/>
        </w:rPr>
        <w:t>que</w:t>
      </w:r>
      <w:r w:rsidR="005A6C9B" w:rsidRPr="00E8469F">
        <w:rPr>
          <w:bCs/>
          <w:i/>
          <w:iCs/>
          <w:sz w:val="20"/>
          <w:szCs w:val="20"/>
        </w:rPr>
        <w:t xml:space="preserve"> </w:t>
      </w:r>
      <w:r w:rsidR="002E2635" w:rsidRPr="00E8469F">
        <w:rPr>
          <w:bCs/>
          <w:i/>
          <w:iCs/>
          <w:sz w:val="20"/>
          <w:szCs w:val="20"/>
        </w:rPr>
        <w:t xml:space="preserve">manifestara dentro </w:t>
      </w:r>
      <w:r w:rsidR="00DA6C38" w:rsidRPr="00E8469F">
        <w:rPr>
          <w:bCs/>
          <w:i/>
          <w:iCs/>
          <w:sz w:val="20"/>
          <w:szCs w:val="20"/>
        </w:rPr>
        <w:t>del plazo preestablecido lo que a su derecho con</w:t>
      </w:r>
      <w:r w:rsidR="005B155C" w:rsidRPr="00E8469F">
        <w:rPr>
          <w:bCs/>
          <w:i/>
          <w:iCs/>
          <w:sz w:val="20"/>
          <w:szCs w:val="20"/>
        </w:rPr>
        <w:t xml:space="preserve">viniera en el asunto que se atiende. </w:t>
      </w:r>
    </w:p>
    <w:p w14:paraId="23690E54" w14:textId="77777777" w:rsidR="005B155C" w:rsidRPr="00E8469F" w:rsidRDefault="005B155C" w:rsidP="00E8469F">
      <w:pPr>
        <w:spacing w:after="0" w:line="360" w:lineRule="auto"/>
        <w:ind w:left="567" w:right="567"/>
        <w:rPr>
          <w:bCs/>
          <w:i/>
          <w:iCs/>
          <w:sz w:val="20"/>
          <w:szCs w:val="20"/>
        </w:rPr>
      </w:pPr>
    </w:p>
    <w:p w14:paraId="068B3C99" w14:textId="0C1C8300" w:rsidR="005B155C" w:rsidRPr="00E8469F" w:rsidRDefault="002A70A1" w:rsidP="00E8469F">
      <w:pPr>
        <w:spacing w:after="0" w:line="360" w:lineRule="auto"/>
        <w:ind w:left="567" w:right="567"/>
        <w:rPr>
          <w:bCs/>
          <w:i/>
          <w:iCs/>
          <w:sz w:val="20"/>
          <w:szCs w:val="20"/>
        </w:rPr>
      </w:pPr>
      <w:proofErr w:type="gramStart"/>
      <w:r w:rsidRPr="00E8469F">
        <w:rPr>
          <w:bCs/>
          <w:i/>
          <w:iCs/>
          <w:sz w:val="20"/>
          <w:szCs w:val="20"/>
        </w:rPr>
        <w:t>SÉPTIMA.-</w:t>
      </w:r>
      <w:proofErr w:type="gramEnd"/>
      <w:r w:rsidRPr="00E8469F">
        <w:rPr>
          <w:bCs/>
          <w:i/>
          <w:iCs/>
          <w:sz w:val="20"/>
          <w:szCs w:val="20"/>
        </w:rPr>
        <w:t xml:space="preserve"> En fecha diecisiete de diciembre de dos mil veintiuno</w:t>
      </w:r>
      <w:r w:rsidR="00ED7F57" w:rsidRPr="00E8469F">
        <w:rPr>
          <w:bCs/>
          <w:i/>
          <w:iCs/>
          <w:sz w:val="20"/>
          <w:szCs w:val="20"/>
        </w:rPr>
        <w:t>, se recibió en esta Unidad de Transparencia, el oficio: ODAPAS</w:t>
      </w:r>
      <w:r w:rsidR="002C36FC" w:rsidRPr="00E8469F">
        <w:rPr>
          <w:bCs/>
          <w:i/>
          <w:iCs/>
          <w:sz w:val="20"/>
          <w:szCs w:val="20"/>
        </w:rPr>
        <w:t xml:space="preserve">/NEZA/DF/0919/12/2021 (adjunto), suscrito por el Director de Fianzas del </w:t>
      </w:r>
      <w:r w:rsidR="008B4304" w:rsidRPr="00E8469F">
        <w:rPr>
          <w:bCs/>
          <w:i/>
          <w:iCs/>
          <w:sz w:val="20"/>
          <w:szCs w:val="20"/>
        </w:rPr>
        <w:t>Organismo</w:t>
      </w:r>
      <w:r w:rsidR="002C36FC" w:rsidRPr="00E8469F">
        <w:rPr>
          <w:bCs/>
          <w:i/>
          <w:iCs/>
          <w:sz w:val="20"/>
          <w:szCs w:val="20"/>
        </w:rPr>
        <w:t xml:space="preserve"> </w:t>
      </w:r>
      <w:r w:rsidR="008B4304" w:rsidRPr="00E8469F">
        <w:rPr>
          <w:bCs/>
          <w:i/>
          <w:iCs/>
          <w:sz w:val="20"/>
          <w:szCs w:val="20"/>
        </w:rPr>
        <w:t xml:space="preserve">mediante </w:t>
      </w:r>
      <w:r w:rsidR="00002A2C" w:rsidRPr="00E8469F">
        <w:rPr>
          <w:bCs/>
          <w:i/>
          <w:iCs/>
          <w:sz w:val="20"/>
          <w:szCs w:val="20"/>
        </w:rPr>
        <w:t xml:space="preserve">el cual, dicho funcionario ratifica </w:t>
      </w:r>
      <w:r w:rsidR="000917C9" w:rsidRPr="00E8469F">
        <w:rPr>
          <w:bCs/>
          <w:i/>
          <w:iCs/>
          <w:sz w:val="20"/>
          <w:szCs w:val="20"/>
        </w:rPr>
        <w:t>su contestación primigenia</w:t>
      </w:r>
      <w:r w:rsidR="00152BDB" w:rsidRPr="00E8469F">
        <w:rPr>
          <w:bCs/>
          <w:i/>
          <w:iCs/>
          <w:sz w:val="20"/>
          <w:szCs w:val="20"/>
        </w:rPr>
        <w:t xml:space="preserve">, manifestando </w:t>
      </w:r>
      <w:r w:rsidR="00BA2ECA" w:rsidRPr="00E8469F">
        <w:rPr>
          <w:bCs/>
          <w:i/>
          <w:iCs/>
          <w:sz w:val="20"/>
          <w:szCs w:val="20"/>
        </w:rPr>
        <w:t xml:space="preserve">las causales que lo sustentan. </w:t>
      </w:r>
    </w:p>
    <w:p w14:paraId="1DC9C319" w14:textId="77777777" w:rsidR="00BA2ECA" w:rsidRPr="00E8469F" w:rsidRDefault="00BA2ECA" w:rsidP="00E8469F">
      <w:pPr>
        <w:spacing w:after="0" w:line="360" w:lineRule="auto"/>
        <w:ind w:left="567" w:right="567"/>
        <w:rPr>
          <w:bCs/>
          <w:i/>
          <w:iCs/>
          <w:sz w:val="20"/>
          <w:szCs w:val="20"/>
        </w:rPr>
      </w:pPr>
    </w:p>
    <w:p w14:paraId="3A87B529" w14:textId="497FFD54" w:rsidR="00BA2ECA" w:rsidRPr="00E8469F" w:rsidRDefault="00BA2ECA" w:rsidP="00E8469F">
      <w:pPr>
        <w:spacing w:after="0" w:line="360" w:lineRule="auto"/>
        <w:ind w:left="567" w:right="567"/>
        <w:rPr>
          <w:bCs/>
          <w:i/>
          <w:iCs/>
          <w:sz w:val="20"/>
          <w:szCs w:val="20"/>
        </w:rPr>
      </w:pPr>
      <w:r w:rsidRPr="00E8469F">
        <w:rPr>
          <w:bCs/>
          <w:i/>
          <w:iCs/>
          <w:sz w:val="20"/>
          <w:szCs w:val="20"/>
        </w:rPr>
        <w:t>En fecha veintiuno de diciembre de dos mil veintiuno, se recibió en la Unidad de Transparencia de este Organismo</w:t>
      </w:r>
      <w:r w:rsidR="00231C3E" w:rsidRPr="00E8469F">
        <w:rPr>
          <w:bCs/>
          <w:i/>
          <w:iCs/>
          <w:sz w:val="20"/>
          <w:szCs w:val="20"/>
        </w:rPr>
        <w:t xml:space="preserve">, el oficio: ODAPAS/CARC/0201/2021 (adjunto), suscrito </w:t>
      </w:r>
      <w:r w:rsidR="006B6D7F" w:rsidRPr="00E8469F">
        <w:rPr>
          <w:bCs/>
          <w:i/>
          <w:iCs/>
          <w:sz w:val="20"/>
          <w:szCs w:val="20"/>
        </w:rPr>
        <w:t xml:space="preserve">por la Titular de la Coordinación de Atención y Respuesta a la Ciudadanía, mediante el cual dicha funcionaria realiza manifestaciones que a su interés </w:t>
      </w:r>
      <w:r w:rsidR="001D7959" w:rsidRPr="00E8469F">
        <w:rPr>
          <w:bCs/>
          <w:i/>
          <w:iCs/>
          <w:sz w:val="20"/>
          <w:szCs w:val="20"/>
        </w:rPr>
        <w:t xml:space="preserve">convienen, pero básicamente alude haber </w:t>
      </w:r>
      <w:r w:rsidR="0010604C" w:rsidRPr="00E8469F">
        <w:rPr>
          <w:bCs/>
          <w:i/>
          <w:iCs/>
          <w:sz w:val="20"/>
          <w:szCs w:val="20"/>
        </w:rPr>
        <w:t>atendido</w:t>
      </w:r>
      <w:r w:rsidR="001D7959" w:rsidRPr="00E8469F">
        <w:rPr>
          <w:bCs/>
          <w:i/>
          <w:iCs/>
          <w:sz w:val="20"/>
          <w:szCs w:val="20"/>
        </w:rPr>
        <w:t xml:space="preserve"> </w:t>
      </w:r>
      <w:r w:rsidR="00B61118" w:rsidRPr="00E8469F">
        <w:rPr>
          <w:bCs/>
          <w:i/>
          <w:iCs/>
          <w:sz w:val="20"/>
          <w:szCs w:val="20"/>
        </w:rPr>
        <w:t>correctamente la solicitud y haber entregado la información requerida por el solicitante. No obstante</w:t>
      </w:r>
      <w:r w:rsidR="008263C3" w:rsidRPr="00E8469F">
        <w:rPr>
          <w:bCs/>
          <w:i/>
          <w:iCs/>
          <w:sz w:val="20"/>
          <w:szCs w:val="20"/>
        </w:rPr>
        <w:t xml:space="preserve">, vuelve a proporcionar la información para atender y satisfacer dicha solicitud. </w:t>
      </w:r>
    </w:p>
    <w:p w14:paraId="6E2D6A6F" w14:textId="77777777" w:rsidR="0066048B" w:rsidRPr="00E8469F" w:rsidRDefault="0066048B" w:rsidP="00E8469F">
      <w:pPr>
        <w:spacing w:after="0" w:line="360" w:lineRule="auto"/>
        <w:ind w:left="567" w:right="567"/>
        <w:rPr>
          <w:bCs/>
          <w:i/>
          <w:iCs/>
          <w:sz w:val="20"/>
          <w:szCs w:val="20"/>
        </w:rPr>
      </w:pPr>
    </w:p>
    <w:p w14:paraId="79AD22DB" w14:textId="47A325C9" w:rsidR="0066048B" w:rsidRPr="00E8469F" w:rsidRDefault="0066048B" w:rsidP="00E8469F">
      <w:pPr>
        <w:spacing w:after="0" w:line="360" w:lineRule="auto"/>
        <w:ind w:left="567" w:right="567"/>
        <w:rPr>
          <w:bCs/>
          <w:i/>
          <w:iCs/>
          <w:sz w:val="20"/>
          <w:szCs w:val="20"/>
        </w:rPr>
      </w:pPr>
      <w:r w:rsidRPr="00E8469F">
        <w:rPr>
          <w:bCs/>
          <w:i/>
          <w:iCs/>
          <w:sz w:val="20"/>
          <w:szCs w:val="20"/>
        </w:rPr>
        <w:t xml:space="preserve">Como se desprende </w:t>
      </w:r>
      <w:r w:rsidR="008E356C" w:rsidRPr="00E8469F">
        <w:rPr>
          <w:bCs/>
          <w:i/>
          <w:iCs/>
          <w:sz w:val="20"/>
          <w:szCs w:val="20"/>
        </w:rPr>
        <w:t xml:space="preserve">del expediente que nos ocupa se pueden acreditar que este Sujeto Obligado a través de los Servidores Públicos Habilitados </w:t>
      </w:r>
      <w:r w:rsidR="005A36F4" w:rsidRPr="00E8469F">
        <w:rPr>
          <w:bCs/>
          <w:i/>
          <w:iCs/>
          <w:sz w:val="20"/>
          <w:szCs w:val="20"/>
        </w:rPr>
        <w:t>que atendieron la solicitud hoy impugnada y por lo que corresponde a esta Unidad de Transparencia, atendi</w:t>
      </w:r>
      <w:r w:rsidR="00575363" w:rsidRPr="00E8469F">
        <w:rPr>
          <w:bCs/>
          <w:i/>
          <w:iCs/>
          <w:sz w:val="20"/>
          <w:szCs w:val="20"/>
        </w:rPr>
        <w:t>mos</w:t>
      </w:r>
      <w:r w:rsidR="005A36F4" w:rsidRPr="00E8469F">
        <w:rPr>
          <w:bCs/>
          <w:i/>
          <w:iCs/>
          <w:sz w:val="20"/>
          <w:szCs w:val="20"/>
        </w:rPr>
        <w:t xml:space="preserve"> correctamente </w:t>
      </w:r>
      <w:r w:rsidR="00780A59" w:rsidRPr="00E8469F">
        <w:rPr>
          <w:bCs/>
          <w:i/>
          <w:iCs/>
          <w:sz w:val="20"/>
          <w:szCs w:val="20"/>
        </w:rPr>
        <w:t xml:space="preserve">y </w:t>
      </w:r>
      <w:r w:rsidR="00D54B17" w:rsidRPr="00E8469F">
        <w:rPr>
          <w:bCs/>
          <w:i/>
          <w:iCs/>
          <w:sz w:val="20"/>
          <w:szCs w:val="20"/>
        </w:rPr>
        <w:t xml:space="preserve">proporcionamos </w:t>
      </w:r>
      <w:r w:rsidR="00780A59" w:rsidRPr="00E8469F">
        <w:rPr>
          <w:bCs/>
          <w:i/>
          <w:iCs/>
          <w:sz w:val="20"/>
          <w:szCs w:val="20"/>
        </w:rPr>
        <w:t xml:space="preserve">la información que responde a las exigencias </w:t>
      </w:r>
      <w:r w:rsidR="00D54B17" w:rsidRPr="00E8469F">
        <w:rPr>
          <w:bCs/>
          <w:i/>
          <w:iCs/>
          <w:sz w:val="20"/>
          <w:szCs w:val="20"/>
        </w:rPr>
        <w:t>formuladas</w:t>
      </w:r>
      <w:r w:rsidR="00780A59" w:rsidRPr="00E8469F">
        <w:rPr>
          <w:bCs/>
          <w:i/>
          <w:iCs/>
          <w:sz w:val="20"/>
          <w:szCs w:val="20"/>
        </w:rPr>
        <w:t xml:space="preserve"> por el hoy recurrente. </w:t>
      </w:r>
    </w:p>
    <w:p w14:paraId="54C0722F" w14:textId="7BC6A13B" w:rsidR="0011219F" w:rsidRPr="00E8469F" w:rsidRDefault="00606109" w:rsidP="00E8469F">
      <w:pPr>
        <w:spacing w:after="0" w:line="360" w:lineRule="auto"/>
        <w:ind w:left="567" w:right="567"/>
        <w:jc w:val="center"/>
        <w:rPr>
          <w:bCs/>
          <w:i/>
          <w:iCs/>
          <w:sz w:val="20"/>
          <w:szCs w:val="20"/>
        </w:rPr>
      </w:pPr>
      <w:r w:rsidRPr="00E8469F">
        <w:rPr>
          <w:bCs/>
          <w:i/>
          <w:iCs/>
          <w:sz w:val="20"/>
          <w:szCs w:val="20"/>
        </w:rPr>
        <w:t>…</w:t>
      </w:r>
    </w:p>
    <w:p w14:paraId="220C4BC2" w14:textId="73BB3349" w:rsidR="00606109" w:rsidRPr="00E8469F" w:rsidRDefault="00606109" w:rsidP="00E8469F">
      <w:pPr>
        <w:spacing w:after="0" w:line="360" w:lineRule="auto"/>
        <w:ind w:left="567" w:right="567"/>
        <w:rPr>
          <w:bCs/>
          <w:i/>
          <w:iCs/>
          <w:sz w:val="20"/>
          <w:szCs w:val="20"/>
        </w:rPr>
      </w:pPr>
      <w:r w:rsidRPr="00E8469F">
        <w:rPr>
          <w:bCs/>
          <w:i/>
          <w:iCs/>
          <w:sz w:val="20"/>
          <w:szCs w:val="20"/>
        </w:rPr>
        <w:t xml:space="preserve">Por lo anteriormente expuesto y fundado, a Usted Mtro. Luis Gustavo Parra Noriega, </w:t>
      </w:r>
      <w:r w:rsidR="0083349E" w:rsidRPr="00E8469F">
        <w:rPr>
          <w:bCs/>
          <w:i/>
          <w:iCs/>
          <w:sz w:val="20"/>
          <w:szCs w:val="20"/>
        </w:rPr>
        <w:t xml:space="preserve">Comisionado </w:t>
      </w:r>
      <w:r w:rsidR="00156917" w:rsidRPr="00E8469F">
        <w:rPr>
          <w:bCs/>
          <w:i/>
          <w:iCs/>
          <w:sz w:val="20"/>
          <w:szCs w:val="20"/>
        </w:rPr>
        <w:t xml:space="preserve">del </w:t>
      </w:r>
      <w:proofErr w:type="spellStart"/>
      <w:r w:rsidR="00156917" w:rsidRPr="00E8469F">
        <w:rPr>
          <w:bCs/>
          <w:i/>
          <w:iCs/>
          <w:sz w:val="20"/>
          <w:szCs w:val="20"/>
        </w:rPr>
        <w:t>Infoem</w:t>
      </w:r>
      <w:proofErr w:type="spellEnd"/>
      <w:r w:rsidR="00156917" w:rsidRPr="00E8469F">
        <w:rPr>
          <w:bCs/>
          <w:i/>
          <w:iCs/>
          <w:sz w:val="20"/>
          <w:szCs w:val="20"/>
        </w:rPr>
        <w:t xml:space="preserve">, atentamente solicito se sirva: </w:t>
      </w:r>
    </w:p>
    <w:p w14:paraId="1C906ED3" w14:textId="77777777" w:rsidR="00156917" w:rsidRPr="00E8469F" w:rsidRDefault="00156917" w:rsidP="00E8469F">
      <w:pPr>
        <w:spacing w:after="0" w:line="360" w:lineRule="auto"/>
        <w:ind w:left="567" w:right="567"/>
        <w:rPr>
          <w:bCs/>
          <w:i/>
          <w:iCs/>
          <w:sz w:val="20"/>
          <w:szCs w:val="20"/>
        </w:rPr>
      </w:pPr>
    </w:p>
    <w:p w14:paraId="2FA063E7" w14:textId="415F3869" w:rsidR="00156917" w:rsidRPr="00E8469F" w:rsidRDefault="00156917" w:rsidP="00E8469F">
      <w:pPr>
        <w:spacing w:after="0" w:line="360" w:lineRule="auto"/>
        <w:ind w:left="567" w:right="567"/>
        <w:rPr>
          <w:bCs/>
          <w:i/>
          <w:iCs/>
          <w:sz w:val="20"/>
          <w:szCs w:val="20"/>
        </w:rPr>
      </w:pPr>
      <w:proofErr w:type="gramStart"/>
      <w:r w:rsidRPr="00E8469F">
        <w:rPr>
          <w:bCs/>
          <w:i/>
          <w:iCs/>
          <w:sz w:val="20"/>
          <w:szCs w:val="20"/>
        </w:rPr>
        <w:lastRenderedPageBreak/>
        <w:t>PRIMERO.-</w:t>
      </w:r>
      <w:proofErr w:type="gramEnd"/>
      <w:r w:rsidRPr="00E8469F">
        <w:rPr>
          <w:bCs/>
          <w:i/>
          <w:iCs/>
          <w:sz w:val="20"/>
          <w:szCs w:val="20"/>
        </w:rPr>
        <w:t xml:space="preserve"> Tenerme por presentado en tiempo y forma en atención al acuerdo de admisión </w:t>
      </w:r>
      <w:r w:rsidR="00050086" w:rsidRPr="00E8469F">
        <w:rPr>
          <w:bCs/>
          <w:i/>
          <w:iCs/>
          <w:sz w:val="20"/>
          <w:szCs w:val="20"/>
        </w:rPr>
        <w:t xml:space="preserve">del Recurso de Revisión que nos ocupa. </w:t>
      </w:r>
    </w:p>
    <w:p w14:paraId="1AB6AF42" w14:textId="77777777" w:rsidR="00050086" w:rsidRPr="00E8469F" w:rsidRDefault="00050086" w:rsidP="00E8469F">
      <w:pPr>
        <w:spacing w:after="0" w:line="360" w:lineRule="auto"/>
        <w:ind w:left="567" w:right="567"/>
        <w:rPr>
          <w:bCs/>
          <w:i/>
          <w:iCs/>
          <w:sz w:val="20"/>
          <w:szCs w:val="20"/>
        </w:rPr>
      </w:pPr>
    </w:p>
    <w:p w14:paraId="3584FFA4" w14:textId="48702039" w:rsidR="00050086" w:rsidRPr="00E8469F" w:rsidRDefault="00050086" w:rsidP="00E8469F">
      <w:pPr>
        <w:spacing w:after="0" w:line="360" w:lineRule="auto"/>
        <w:ind w:left="567" w:right="567"/>
        <w:rPr>
          <w:rFonts w:eastAsia="Calibri" w:cs="Tahoma"/>
          <w:i/>
          <w:iCs/>
          <w:sz w:val="20"/>
          <w:szCs w:val="20"/>
        </w:rPr>
      </w:pPr>
      <w:proofErr w:type="gramStart"/>
      <w:r w:rsidRPr="00E8469F">
        <w:rPr>
          <w:bCs/>
          <w:i/>
          <w:iCs/>
          <w:sz w:val="20"/>
          <w:szCs w:val="20"/>
        </w:rPr>
        <w:t>SEGUNDO.-</w:t>
      </w:r>
      <w:proofErr w:type="gramEnd"/>
      <w:r w:rsidRPr="00E8469F">
        <w:rPr>
          <w:bCs/>
          <w:i/>
          <w:iCs/>
          <w:sz w:val="20"/>
          <w:szCs w:val="20"/>
        </w:rPr>
        <w:t xml:space="preserve"> Por invocadas las causales de improcedencia y sobreseimiento</w:t>
      </w:r>
      <w:r w:rsidR="001F35A7" w:rsidRPr="00E8469F">
        <w:rPr>
          <w:bCs/>
          <w:i/>
          <w:iCs/>
          <w:sz w:val="20"/>
          <w:szCs w:val="20"/>
        </w:rPr>
        <w:t xml:space="preserve">, por hechas las manifestaciones y ofrecidas las pruebas que así convienen a este Sujeto Obligado </w:t>
      </w:r>
      <w:r w:rsidR="00683BAB" w:rsidRPr="00E8469F">
        <w:rPr>
          <w:bCs/>
          <w:i/>
          <w:iCs/>
          <w:sz w:val="20"/>
          <w:szCs w:val="20"/>
        </w:rPr>
        <w:t xml:space="preserve">denominado </w:t>
      </w:r>
      <w:r w:rsidR="00683BAB" w:rsidRPr="00E8469F">
        <w:rPr>
          <w:rFonts w:eastAsia="Calibri" w:cs="Tahoma"/>
          <w:i/>
          <w:iCs/>
          <w:sz w:val="20"/>
          <w:szCs w:val="20"/>
        </w:rPr>
        <w:t>Organismo Descentralizado de Agua Potable Alcantarillado y Saneamiento de Nezahualcóyotl, México.</w:t>
      </w:r>
    </w:p>
    <w:p w14:paraId="24C4936A" w14:textId="77777777" w:rsidR="00683BAB" w:rsidRPr="00E8469F" w:rsidRDefault="00683BAB" w:rsidP="00E8469F">
      <w:pPr>
        <w:spacing w:after="0" w:line="360" w:lineRule="auto"/>
        <w:ind w:left="567" w:right="567"/>
        <w:rPr>
          <w:rFonts w:eastAsia="Calibri" w:cs="Tahoma"/>
          <w:i/>
          <w:iCs/>
          <w:sz w:val="20"/>
          <w:szCs w:val="20"/>
        </w:rPr>
      </w:pPr>
    </w:p>
    <w:p w14:paraId="626DF4BB" w14:textId="427F9B16" w:rsidR="00683BAB" w:rsidRPr="00E8469F" w:rsidRDefault="00683BAB" w:rsidP="00E8469F">
      <w:pPr>
        <w:spacing w:after="0" w:line="360" w:lineRule="auto"/>
        <w:ind w:left="567" w:right="567"/>
        <w:rPr>
          <w:bCs/>
          <w:i/>
          <w:iCs/>
          <w:sz w:val="20"/>
          <w:szCs w:val="20"/>
        </w:rPr>
      </w:pPr>
      <w:proofErr w:type="gramStart"/>
      <w:r w:rsidRPr="00E8469F">
        <w:rPr>
          <w:rFonts w:eastAsia="Calibri" w:cs="Tahoma"/>
          <w:i/>
          <w:iCs/>
          <w:sz w:val="20"/>
          <w:szCs w:val="20"/>
        </w:rPr>
        <w:t>TERCERO.-</w:t>
      </w:r>
      <w:proofErr w:type="gramEnd"/>
      <w:r w:rsidRPr="00E8469F">
        <w:rPr>
          <w:rFonts w:eastAsia="Calibri" w:cs="Tahoma"/>
          <w:i/>
          <w:iCs/>
          <w:sz w:val="20"/>
          <w:szCs w:val="20"/>
        </w:rPr>
        <w:t xml:space="preserve"> </w:t>
      </w:r>
      <w:r w:rsidR="00E8469F" w:rsidRPr="00E8469F">
        <w:rPr>
          <w:rFonts w:eastAsia="Calibri" w:cs="Tahoma"/>
          <w:i/>
          <w:iCs/>
          <w:sz w:val="20"/>
          <w:szCs w:val="20"/>
        </w:rPr>
        <w:t xml:space="preserve">En el momento procesal oportuno, emitir resolución sobreseyendo el asunto, por así ajustarse a derecho. </w:t>
      </w:r>
    </w:p>
    <w:p w14:paraId="121DBD57" w14:textId="77777777" w:rsidR="0011219F" w:rsidRDefault="0011219F" w:rsidP="00C853D1">
      <w:pPr>
        <w:spacing w:after="0" w:line="360" w:lineRule="auto"/>
        <w:rPr>
          <w:bCs/>
        </w:rPr>
      </w:pPr>
    </w:p>
    <w:p w14:paraId="758B0E9C" w14:textId="5C9B9FB8" w:rsidR="0011219F" w:rsidRDefault="003954F3" w:rsidP="00C853D1">
      <w:pPr>
        <w:spacing w:after="0" w:line="360" w:lineRule="auto"/>
        <w:rPr>
          <w:bCs/>
        </w:rPr>
      </w:pPr>
      <w:r>
        <w:rPr>
          <w:bCs/>
        </w:rPr>
        <w:t>E</w:t>
      </w:r>
      <w:r w:rsidR="005D138F">
        <w:rPr>
          <w:bCs/>
        </w:rPr>
        <w:t xml:space="preserve">l Sujeto Obligado </w:t>
      </w:r>
      <w:r w:rsidR="00C26B3A">
        <w:rPr>
          <w:bCs/>
        </w:rPr>
        <w:t>adjunt</w:t>
      </w:r>
      <w:r>
        <w:rPr>
          <w:bCs/>
        </w:rPr>
        <w:t>ó</w:t>
      </w:r>
      <w:r w:rsidR="00C26B3A">
        <w:rPr>
          <w:bCs/>
        </w:rPr>
        <w:t xml:space="preserve"> la digit</w:t>
      </w:r>
      <w:r w:rsidR="00D15DC6">
        <w:rPr>
          <w:bCs/>
        </w:rPr>
        <w:t xml:space="preserve">alización </w:t>
      </w:r>
      <w:r w:rsidR="00AC0DD6">
        <w:rPr>
          <w:bCs/>
        </w:rPr>
        <w:t xml:space="preserve">de los siguientes documentos: </w:t>
      </w:r>
    </w:p>
    <w:p w14:paraId="16605A6B" w14:textId="77777777" w:rsidR="00AC0DD6" w:rsidRDefault="00AC0DD6" w:rsidP="00C853D1">
      <w:pPr>
        <w:spacing w:after="0" w:line="360" w:lineRule="auto"/>
        <w:rPr>
          <w:bCs/>
        </w:rPr>
      </w:pPr>
    </w:p>
    <w:p w14:paraId="46645A6B" w14:textId="33E333C6" w:rsidR="007C4E10" w:rsidRPr="007C4E10" w:rsidRDefault="00AC0DD6" w:rsidP="007C0B16">
      <w:pPr>
        <w:spacing w:after="0" w:line="360" w:lineRule="auto"/>
        <w:rPr>
          <w:bCs/>
          <w:i/>
          <w:iCs/>
          <w:sz w:val="20"/>
          <w:szCs w:val="20"/>
        </w:rPr>
      </w:pPr>
      <w:r>
        <w:rPr>
          <w:bCs/>
        </w:rPr>
        <w:t xml:space="preserve">i) </w:t>
      </w:r>
      <w:r w:rsidR="00DE0FB7">
        <w:rPr>
          <w:bCs/>
        </w:rPr>
        <w:t>Oficio número: ODAPAS/NEZA/DF/0919/</w:t>
      </w:r>
      <w:r w:rsidR="003C3B8F">
        <w:rPr>
          <w:bCs/>
        </w:rPr>
        <w:t>12/2021</w:t>
      </w:r>
      <w:r w:rsidR="003954F3">
        <w:rPr>
          <w:bCs/>
        </w:rPr>
        <w:t xml:space="preserve">, del </w:t>
      </w:r>
      <w:r w:rsidR="007B40DA">
        <w:rPr>
          <w:bCs/>
        </w:rPr>
        <w:t>diecisiete</w:t>
      </w:r>
      <w:r w:rsidR="003C3B8F">
        <w:rPr>
          <w:bCs/>
        </w:rPr>
        <w:t xml:space="preserve"> de </w:t>
      </w:r>
      <w:r w:rsidR="007B40DA">
        <w:rPr>
          <w:bCs/>
        </w:rPr>
        <w:t>diciembre</w:t>
      </w:r>
      <w:r w:rsidR="003C3B8F">
        <w:rPr>
          <w:bCs/>
        </w:rPr>
        <w:t xml:space="preserve"> de dos mil </w:t>
      </w:r>
      <w:r w:rsidR="007B40DA">
        <w:rPr>
          <w:bCs/>
        </w:rPr>
        <w:t xml:space="preserve">veintiuno, suscrito por el Director de Finanzas y dirigido al Titular de la Unidad de Transparencia, por medio </w:t>
      </w:r>
      <w:r w:rsidR="007C0B16">
        <w:rPr>
          <w:bCs/>
        </w:rPr>
        <w:t>ratificó la respuesta primigenia.</w:t>
      </w:r>
    </w:p>
    <w:p w14:paraId="4191137C" w14:textId="77777777" w:rsidR="0011219F" w:rsidRDefault="0011219F" w:rsidP="00C853D1">
      <w:pPr>
        <w:spacing w:after="0" w:line="360" w:lineRule="auto"/>
        <w:rPr>
          <w:bCs/>
        </w:rPr>
      </w:pPr>
    </w:p>
    <w:p w14:paraId="4958963B" w14:textId="344DE1AF" w:rsidR="00AA4C3B" w:rsidRPr="00AA4C3B" w:rsidRDefault="00E31AAE" w:rsidP="007C0B16">
      <w:pPr>
        <w:spacing w:after="0" w:line="360" w:lineRule="auto"/>
        <w:rPr>
          <w:i/>
          <w:iCs/>
          <w:sz w:val="20"/>
          <w:szCs w:val="20"/>
        </w:rPr>
      </w:pPr>
      <w:proofErr w:type="spellStart"/>
      <w:r>
        <w:rPr>
          <w:bCs/>
        </w:rPr>
        <w:t>ii</w:t>
      </w:r>
      <w:proofErr w:type="spellEnd"/>
      <w:r>
        <w:rPr>
          <w:bCs/>
        </w:rPr>
        <w:t>) Oficio número ODAPAS</w:t>
      </w:r>
      <w:r w:rsidR="00F73847">
        <w:rPr>
          <w:bCs/>
        </w:rPr>
        <w:t>/CARC/0201/2021</w:t>
      </w:r>
      <w:r w:rsidR="007C0B16">
        <w:rPr>
          <w:bCs/>
        </w:rPr>
        <w:t xml:space="preserve">, del </w:t>
      </w:r>
      <w:r w:rsidR="00F73847">
        <w:rPr>
          <w:bCs/>
        </w:rPr>
        <w:t xml:space="preserve">veintiuno de diciembre de dos mil veintiuno, suscrito por la Titular de la Coordinación </w:t>
      </w:r>
      <w:r w:rsidR="00E64130">
        <w:rPr>
          <w:bCs/>
        </w:rPr>
        <w:t>de Atención y Respuesta a la Ciudadanía</w:t>
      </w:r>
      <w:r w:rsidR="00613823">
        <w:rPr>
          <w:bCs/>
        </w:rPr>
        <w:t xml:space="preserve"> y dirigido </w:t>
      </w:r>
      <w:r w:rsidR="007C0B16">
        <w:rPr>
          <w:bCs/>
        </w:rPr>
        <w:t>al</w:t>
      </w:r>
      <w:r w:rsidR="00613823">
        <w:rPr>
          <w:bCs/>
        </w:rPr>
        <w:t xml:space="preserve"> Titular de la Unidad de Transparencia</w:t>
      </w:r>
      <w:r w:rsidR="000F3426">
        <w:rPr>
          <w:bCs/>
        </w:rPr>
        <w:t xml:space="preserve">, </w:t>
      </w:r>
      <w:r w:rsidR="007C0B16">
        <w:rPr>
          <w:bCs/>
        </w:rPr>
        <w:t>por medio del cual ratificó la respuesta primigenia.</w:t>
      </w:r>
    </w:p>
    <w:p w14:paraId="35EA4B6F" w14:textId="503D76C8" w:rsidR="004548CD" w:rsidRDefault="004548CD" w:rsidP="00B43451">
      <w:pPr>
        <w:spacing w:after="0" w:line="360" w:lineRule="auto"/>
        <w:rPr>
          <w:rFonts w:eastAsia="Palatino Linotype" w:cs="Palatino Linotype"/>
          <w:b/>
          <w:bCs/>
        </w:rPr>
      </w:pPr>
    </w:p>
    <w:p w14:paraId="6C1B7DFE" w14:textId="0A337741" w:rsidR="004122A9" w:rsidRPr="007C0B16" w:rsidRDefault="001B01C7" w:rsidP="004122A9">
      <w:pPr>
        <w:spacing w:after="0" w:line="360" w:lineRule="auto"/>
        <w:rPr>
          <w:b/>
          <w:bCs/>
        </w:rPr>
      </w:pPr>
      <w:r>
        <w:rPr>
          <w:rFonts w:cs="Tahoma"/>
          <w:b/>
          <w:bCs/>
        </w:rPr>
        <w:t>d</w:t>
      </w:r>
      <w:r w:rsidR="00C21871" w:rsidRPr="00897D57">
        <w:rPr>
          <w:rFonts w:cs="Tahoma"/>
          <w:b/>
          <w:bCs/>
        </w:rPr>
        <w:t xml:space="preserve">) Vista del Informe Justificado: </w:t>
      </w:r>
      <w:r w:rsidR="00C21871" w:rsidRPr="00897D57">
        <w:rPr>
          <w:rFonts w:cs="Tahoma"/>
        </w:rPr>
        <w:t>El</w:t>
      </w:r>
      <w:r w:rsidR="00C21871" w:rsidRPr="0033487D">
        <w:rPr>
          <w:rFonts w:cs="Tahoma"/>
        </w:rPr>
        <w:t xml:space="preserve"> </w:t>
      </w:r>
      <w:r w:rsidR="00D920BA">
        <w:rPr>
          <w:rFonts w:cs="Tahoma"/>
        </w:rPr>
        <w:t>diecisiete de enero de dos mil veintidós</w:t>
      </w:r>
      <w:r w:rsidR="00C21871" w:rsidRPr="0033487D">
        <w:rPr>
          <w:rFonts w:cs="Tahoma"/>
        </w:rPr>
        <w:t xml:space="preserve">, se dictó acuerdo, por medio del cual </w:t>
      </w:r>
      <w:r w:rsidR="00C21871" w:rsidRPr="0033487D">
        <w:rPr>
          <w:rFonts w:cs="Tahoma"/>
          <w:b/>
        </w:rPr>
        <w:t>se pu</w:t>
      </w:r>
      <w:r w:rsidR="00682222">
        <w:rPr>
          <w:rFonts w:cs="Tahoma"/>
          <w:b/>
        </w:rPr>
        <w:t>s</w:t>
      </w:r>
      <w:r w:rsidR="00C21871" w:rsidRPr="0033487D">
        <w:rPr>
          <w:rFonts w:cs="Tahoma"/>
          <w:b/>
        </w:rPr>
        <w:t>o a la vista del Recurrente el Informe Justificado y sus anexos</w:t>
      </w:r>
      <w:r w:rsidR="00C21871" w:rsidRPr="0033487D">
        <w:rPr>
          <w:rFonts w:cs="Tahoma"/>
        </w:rPr>
        <w:t>, entregados por el Sujeto Obligado, a fin de que en un término no mayor a tres días hábiles manifestará lo que a derecho corresponda, acto que fue notificado</w:t>
      </w:r>
      <w:r w:rsidR="004122A9" w:rsidRPr="004122A9">
        <w:rPr>
          <w:rFonts w:eastAsia="Palatino Linotype" w:cs="Palatino Linotype"/>
          <w:lang w:val="es-ES"/>
        </w:rPr>
        <w:t xml:space="preserve"> </w:t>
      </w:r>
      <w:r w:rsidR="004122A9" w:rsidRPr="004109D6">
        <w:rPr>
          <w:rFonts w:eastAsia="Palatino Linotype" w:cs="Palatino Linotype"/>
          <w:lang w:val="es-ES"/>
        </w:rPr>
        <w:t>mediante el Sistema de Acceso a la Información Mexiquense (SAIMEX</w:t>
      </w:r>
      <w:r w:rsidR="004122A9" w:rsidRPr="00D9260D">
        <w:rPr>
          <w:rFonts w:eastAsia="Palatino Linotype" w:cs="Palatino Linotype"/>
          <w:lang w:val="es-ES"/>
        </w:rPr>
        <w:t>)</w:t>
      </w:r>
      <w:r w:rsidR="004122A9">
        <w:rPr>
          <w:rFonts w:eastAsia="Palatino Linotype" w:cs="Palatino Linotype"/>
          <w:lang w:val="es-ES"/>
        </w:rPr>
        <w:t xml:space="preserve">, el </w:t>
      </w:r>
      <w:r w:rsidR="000B5426">
        <w:rPr>
          <w:rFonts w:eastAsia="Palatino Linotype" w:cs="Palatino Linotype"/>
          <w:lang w:val="es-ES"/>
        </w:rPr>
        <w:t>mismo día.</w:t>
      </w:r>
      <w:r w:rsidR="007C0B16">
        <w:rPr>
          <w:rFonts w:eastAsia="Palatino Linotype" w:cs="Palatino Linotype"/>
          <w:lang w:val="es-ES"/>
        </w:rPr>
        <w:t xml:space="preserve"> </w:t>
      </w:r>
      <w:r w:rsidR="007C0B16">
        <w:rPr>
          <w:rFonts w:eastAsia="Palatino Linotype" w:cs="Palatino Linotype"/>
          <w:b/>
          <w:bCs/>
          <w:lang w:val="es-ES"/>
        </w:rPr>
        <w:t>Cabe precisar que la parte Recurrente fue omisa en emitir manifestaciones.</w:t>
      </w:r>
    </w:p>
    <w:p w14:paraId="7BB2ECE6" w14:textId="77777777" w:rsidR="00C21871" w:rsidRPr="004548CD" w:rsidRDefault="00C21871" w:rsidP="00B43451">
      <w:pPr>
        <w:spacing w:after="0" w:line="360" w:lineRule="auto"/>
        <w:rPr>
          <w:rFonts w:eastAsia="Palatino Linotype" w:cs="Palatino Linotype"/>
          <w:b/>
          <w:bCs/>
        </w:rPr>
      </w:pPr>
    </w:p>
    <w:p w14:paraId="39328222" w14:textId="14C2DFAF" w:rsidR="004548CD" w:rsidRPr="004109D6" w:rsidRDefault="001B01C7" w:rsidP="000B7029">
      <w:pPr>
        <w:spacing w:after="0" w:line="360" w:lineRule="auto"/>
        <w:rPr>
          <w:rFonts w:eastAsia="Palatino Linotype" w:cs="Palatino Linotype"/>
          <w:b/>
          <w:bCs/>
        </w:rPr>
      </w:pPr>
      <w:r>
        <w:rPr>
          <w:rFonts w:eastAsia="Times New Roman" w:cs="Tahoma"/>
          <w:b/>
          <w:color w:val="auto"/>
          <w:szCs w:val="24"/>
          <w:lang w:eastAsia="es-ES"/>
        </w:rPr>
        <w:t>e</w:t>
      </w:r>
      <w:r w:rsidR="004548CD" w:rsidRPr="00BB7445">
        <w:rPr>
          <w:rFonts w:eastAsia="Times New Roman" w:cs="Tahoma"/>
          <w:b/>
          <w:color w:val="auto"/>
          <w:szCs w:val="24"/>
          <w:lang w:eastAsia="es-ES"/>
        </w:rPr>
        <w:t>) Cierre de instrucción.</w:t>
      </w:r>
      <w:r w:rsidR="004548CD" w:rsidRPr="00BB7445">
        <w:rPr>
          <w:rFonts w:eastAsia="Times New Roman" w:cs="Tahoma"/>
          <w:color w:val="auto"/>
          <w:szCs w:val="24"/>
          <w:lang w:eastAsia="es-ES"/>
        </w:rPr>
        <w:t xml:space="preserve"> </w:t>
      </w:r>
      <w:r w:rsidR="004548CD" w:rsidRPr="00EA6E98">
        <w:rPr>
          <w:rFonts w:eastAsia="Times New Roman" w:cs="Tahoma"/>
          <w:color w:val="auto"/>
          <w:szCs w:val="24"/>
          <w:lang w:eastAsia="es-ES"/>
        </w:rPr>
        <w:t>El</w:t>
      </w:r>
      <w:r w:rsidR="00843AB9">
        <w:rPr>
          <w:rFonts w:eastAsia="Times New Roman" w:cs="Tahoma"/>
          <w:color w:val="auto"/>
          <w:szCs w:val="24"/>
          <w:lang w:eastAsia="es-ES"/>
        </w:rPr>
        <w:t xml:space="preserve"> </w:t>
      </w:r>
      <w:r w:rsidR="007C0B16">
        <w:rPr>
          <w:rFonts w:eastAsia="Times New Roman" w:cs="Tahoma"/>
          <w:color w:val="auto"/>
          <w:szCs w:val="24"/>
          <w:lang w:eastAsia="es-ES"/>
        </w:rPr>
        <w:t>veintiséis</w:t>
      </w:r>
      <w:r w:rsidR="00010BAC">
        <w:rPr>
          <w:rFonts w:eastAsia="Times New Roman" w:cs="Tahoma"/>
          <w:color w:val="auto"/>
          <w:szCs w:val="24"/>
          <w:lang w:eastAsia="es-ES"/>
        </w:rPr>
        <w:t xml:space="preserve"> de enero de dos mil veintidós</w:t>
      </w:r>
      <w:r w:rsidR="004548CD" w:rsidRPr="00BB7445">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548CD" w:rsidRPr="004109D6">
        <w:rPr>
          <w:rFonts w:eastAsia="Palatino Linotype" w:cs="Palatino Linotype"/>
          <w:lang w:val="es-ES"/>
        </w:rPr>
        <w:t>acto que fue notificado a las partes, mediante el Sistema de Acceso a la Información Mexiquense (SAIMEX</w:t>
      </w:r>
      <w:r w:rsidR="004548CD" w:rsidRPr="00D9260D">
        <w:rPr>
          <w:rFonts w:eastAsia="Palatino Linotype" w:cs="Palatino Linotype"/>
          <w:lang w:val="es-ES"/>
        </w:rPr>
        <w:t>), el mismo día.</w:t>
      </w:r>
    </w:p>
    <w:p w14:paraId="61B73302" w14:textId="77777777" w:rsidR="004548CD" w:rsidRDefault="004548CD" w:rsidP="004548CD">
      <w:pPr>
        <w:spacing w:after="0" w:line="360" w:lineRule="auto"/>
        <w:rPr>
          <w:rFonts w:eastAsia="Times New Roman" w:cs="Tahoma"/>
          <w:color w:val="auto"/>
          <w:szCs w:val="24"/>
          <w:lang w:eastAsia="es-ES"/>
        </w:rPr>
      </w:pPr>
    </w:p>
    <w:p w14:paraId="5795BBB6" w14:textId="77777777" w:rsidR="00C853D1" w:rsidRPr="000E7D3A" w:rsidRDefault="00C853D1" w:rsidP="00C853D1">
      <w:pPr>
        <w:spacing w:after="0" w:line="360" w:lineRule="auto"/>
        <w:rPr>
          <w:rFonts w:eastAsia="Times New Roman" w:cs="Tahoma"/>
          <w:color w:val="auto"/>
          <w:szCs w:val="24"/>
          <w:lang w:eastAsia="es-ES"/>
        </w:rPr>
      </w:pPr>
      <w:r w:rsidRPr="000E7D3A">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B377FD" w:rsidRDefault="00C853D1" w:rsidP="00C853D1">
      <w:pPr>
        <w:spacing w:after="0" w:line="360" w:lineRule="auto"/>
        <w:rPr>
          <w:rFonts w:eastAsia="Times New Roman" w:cs="Tahoma"/>
          <w:bCs/>
          <w:iCs/>
          <w:color w:val="auto"/>
          <w:lang w:val="es-ES" w:eastAsia="es-ES"/>
        </w:rPr>
      </w:pPr>
    </w:p>
    <w:p w14:paraId="4647AD46" w14:textId="77777777" w:rsidR="00C853D1" w:rsidRPr="00B377FD" w:rsidRDefault="00C853D1" w:rsidP="00C853D1">
      <w:pPr>
        <w:spacing w:after="0" w:line="360" w:lineRule="auto"/>
        <w:jc w:val="center"/>
        <w:rPr>
          <w:rFonts w:eastAsia="Times New Roman" w:cs="Tahoma"/>
          <w:b/>
          <w:color w:val="auto"/>
          <w:lang w:val="es-ES" w:eastAsia="es-ES"/>
        </w:rPr>
      </w:pPr>
      <w:r w:rsidRPr="00B377FD">
        <w:rPr>
          <w:rFonts w:eastAsia="Times New Roman" w:cs="Tahoma"/>
          <w:b/>
          <w:color w:val="auto"/>
          <w:lang w:val="es-ES" w:eastAsia="es-ES"/>
        </w:rPr>
        <w:t>C O N S I D E R A N D O S:</w:t>
      </w:r>
    </w:p>
    <w:p w14:paraId="46CF2E78" w14:textId="77777777" w:rsidR="00C853D1" w:rsidRPr="00B377FD" w:rsidRDefault="00C853D1" w:rsidP="00C853D1">
      <w:pPr>
        <w:spacing w:after="0" w:line="360" w:lineRule="auto"/>
        <w:rPr>
          <w:b/>
        </w:rPr>
      </w:pPr>
    </w:p>
    <w:p w14:paraId="15369BD8" w14:textId="77777777" w:rsidR="00C853D1" w:rsidRPr="00B377FD" w:rsidRDefault="00C853D1" w:rsidP="00C853D1">
      <w:pPr>
        <w:autoSpaceDE w:val="0"/>
        <w:autoSpaceDN w:val="0"/>
        <w:adjustRightInd w:val="0"/>
        <w:spacing w:after="0" w:line="360" w:lineRule="auto"/>
        <w:rPr>
          <w:rFonts w:eastAsia="Times New Roman" w:cs="Tahoma"/>
          <w:b/>
          <w:color w:val="auto"/>
          <w:szCs w:val="24"/>
          <w:lang w:val="es-ES" w:eastAsia="es-ES"/>
        </w:rPr>
      </w:pPr>
      <w:r w:rsidRPr="00B377FD">
        <w:rPr>
          <w:rFonts w:eastAsia="Calibri" w:cs="Tahoma"/>
          <w:b/>
          <w:color w:val="000000"/>
          <w:szCs w:val="24"/>
          <w:lang w:val="es-ES" w:eastAsia="es-MX"/>
        </w:rPr>
        <w:t>PRIMERO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Competencia.</w:t>
      </w:r>
    </w:p>
    <w:p w14:paraId="6B0576AC" w14:textId="77777777" w:rsidR="00C853D1" w:rsidRPr="00B377FD" w:rsidRDefault="00C853D1" w:rsidP="00C853D1">
      <w:pPr>
        <w:autoSpaceDE w:val="0"/>
        <w:autoSpaceDN w:val="0"/>
        <w:adjustRightInd w:val="0"/>
        <w:spacing w:after="0" w:line="360" w:lineRule="auto"/>
        <w:rPr>
          <w:rFonts w:eastAsia="Times New Roman" w:cs="Tahoma"/>
          <w:b/>
          <w:color w:val="auto"/>
          <w:szCs w:val="24"/>
          <w:lang w:val="es-ES" w:eastAsia="es-ES"/>
        </w:rPr>
      </w:pPr>
    </w:p>
    <w:p w14:paraId="4BA69015" w14:textId="73A270DB" w:rsidR="00C853D1" w:rsidRPr="00837E85" w:rsidRDefault="00C853D1" w:rsidP="00C853D1">
      <w:pPr>
        <w:spacing w:after="0" w:line="360" w:lineRule="auto"/>
        <w:rPr>
          <w:rFonts w:eastAsia="Times New Roman" w:cs="Tahoma"/>
          <w:bCs/>
          <w:color w:val="auto"/>
          <w:lang w:eastAsia="es-ES"/>
        </w:rPr>
      </w:pPr>
      <w:r w:rsidRPr="00837E85">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7C0B16">
        <w:rPr>
          <w:rFonts w:eastAsia="Times New Roman" w:cs="Tahoma"/>
          <w:bCs/>
          <w:color w:val="auto"/>
          <w:lang w:val="x-none" w:eastAsia="es-ES"/>
        </w:rPr>
        <w:t>trigésimo</w:t>
      </w:r>
      <w:r w:rsidR="00682222">
        <w:rPr>
          <w:rFonts w:eastAsia="Times New Roman" w:cs="Tahoma"/>
          <w:bCs/>
          <w:color w:val="auto"/>
          <w:lang w:val="x-none" w:eastAsia="es-ES"/>
        </w:rPr>
        <w:t>, trigésimo primero</w:t>
      </w:r>
      <w:r w:rsidRPr="00837E85">
        <w:rPr>
          <w:rFonts w:eastAsia="Times New Roman" w:cs="Tahoma"/>
          <w:bCs/>
          <w:color w:val="auto"/>
          <w:lang w:eastAsia="es-ES"/>
        </w:rPr>
        <w:t xml:space="preserve"> y trigésimo </w:t>
      </w:r>
      <w:r w:rsidR="00682222">
        <w:rPr>
          <w:rFonts w:eastAsia="Times New Roman" w:cs="Tahoma"/>
          <w:bCs/>
          <w:color w:val="auto"/>
          <w:lang w:eastAsia="es-ES"/>
        </w:rPr>
        <w:t>segundo</w:t>
      </w:r>
      <w:r w:rsidRPr="00837E85">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37E85">
        <w:rPr>
          <w:rFonts w:eastAsia="Times New Roman" w:cs="Times New Roman"/>
          <w:bCs/>
          <w:color w:val="auto"/>
          <w:lang w:eastAsia="es-ES"/>
        </w:rPr>
        <w:t xml:space="preserve"> 7°, </w:t>
      </w:r>
      <w:r w:rsidRPr="00837E85">
        <w:rPr>
          <w:rFonts w:eastAsia="Times New Roman" w:cs="Tahoma"/>
          <w:bCs/>
          <w:color w:val="auto"/>
          <w:lang w:eastAsia="es-ES"/>
        </w:rPr>
        <w:t xml:space="preserve">9°, </w:t>
      </w:r>
      <w:r w:rsidRPr="00837E85">
        <w:rPr>
          <w:rFonts w:eastAsia="Times New Roman" w:cs="Tahoma"/>
          <w:bCs/>
          <w:color w:val="auto"/>
          <w:lang w:eastAsia="es-ES"/>
        </w:rPr>
        <w:lastRenderedPageBreak/>
        <w:t>fracciones I y XXIV y 11 del Reglamento Interior del Instituto de Transparencia, Acceso a la Información Pública y Protección de Datos Personales del Estado de México y Municipios.</w:t>
      </w:r>
    </w:p>
    <w:p w14:paraId="4FF2492C" w14:textId="77777777" w:rsidR="00C853D1" w:rsidRPr="00B377FD" w:rsidRDefault="00C853D1" w:rsidP="00C853D1">
      <w:pPr>
        <w:spacing w:after="0" w:line="360" w:lineRule="auto"/>
        <w:rPr>
          <w:rFonts w:eastAsia="Times New Roman" w:cs="Tahoma"/>
          <w:bCs/>
          <w:color w:val="auto"/>
          <w:lang w:eastAsia="es-ES"/>
        </w:rPr>
      </w:pPr>
    </w:p>
    <w:p w14:paraId="1CEE0B22"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r w:rsidRPr="00B377FD">
        <w:rPr>
          <w:rFonts w:eastAsia="Calibri" w:cs="Tahoma"/>
          <w:b/>
          <w:color w:val="000000"/>
          <w:szCs w:val="24"/>
          <w:lang w:val="es-ES" w:eastAsia="es-MX"/>
        </w:rPr>
        <w:t>SEGUNDO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Causales de improcedencia y sobreseimiento.</w:t>
      </w:r>
      <w:r w:rsidRPr="00B377FD">
        <w:rPr>
          <w:rFonts w:eastAsia="Times New Roman" w:cs="Tahoma"/>
          <w:color w:val="auto"/>
          <w:szCs w:val="24"/>
          <w:lang w:val="es-ES" w:eastAsia="es-ES"/>
        </w:rPr>
        <w:t xml:space="preserve"> </w:t>
      </w:r>
    </w:p>
    <w:p w14:paraId="732DCB46"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r w:rsidRPr="00B377FD">
        <w:rPr>
          <w:rFonts w:eastAsia="Times New Roman" w:cs="Tahoma"/>
          <w:color w:val="auto"/>
          <w:szCs w:val="24"/>
          <w:lang w:val="es-ES" w:eastAsia="es-ES"/>
        </w:rPr>
        <w:t xml:space="preserve">De las constancias que forma parte del Recurso de Revisión que se analiza, se advierte que previo al estudio del fondo de la </w:t>
      </w:r>
      <w:r w:rsidRPr="00B377FD">
        <w:rPr>
          <w:rFonts w:eastAsia="Times New Roman" w:cs="Tahoma"/>
          <w:i/>
          <w:color w:val="auto"/>
          <w:szCs w:val="24"/>
          <w:lang w:val="es-ES" w:eastAsia="es-ES"/>
        </w:rPr>
        <w:t>litis</w:t>
      </w:r>
      <w:r w:rsidRPr="00B377FD">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p>
    <w:p w14:paraId="0D0DB2F6" w14:textId="77777777" w:rsidR="00C853D1" w:rsidRPr="00B377FD" w:rsidRDefault="00C853D1" w:rsidP="00C853D1">
      <w:pPr>
        <w:autoSpaceDE w:val="0"/>
        <w:autoSpaceDN w:val="0"/>
        <w:adjustRightInd w:val="0"/>
        <w:spacing w:after="0" w:line="360" w:lineRule="auto"/>
        <w:rPr>
          <w:rFonts w:eastAsia="Calibri" w:cs="Tahoma"/>
          <w:color w:val="000000"/>
          <w:szCs w:val="24"/>
          <w:lang w:val="es-ES" w:eastAsia="es-MX"/>
        </w:rPr>
      </w:pPr>
      <w:r w:rsidRPr="00B377FD">
        <w:rPr>
          <w:rFonts w:eastAsia="Calibri" w:cs="Tahoma"/>
          <w:b/>
          <w:color w:val="000000"/>
          <w:szCs w:val="24"/>
          <w:lang w:val="es-ES" w:eastAsia="es-MX"/>
        </w:rPr>
        <w:t>Causales de improcedencia.</w:t>
      </w:r>
      <w:r w:rsidRPr="00B377FD">
        <w:rPr>
          <w:rFonts w:eastAsia="Calibri" w:cs="Tahoma"/>
          <w:color w:val="000000"/>
          <w:szCs w:val="24"/>
          <w:lang w:val="es-ES" w:eastAsia="es-MX"/>
        </w:rPr>
        <w:t xml:space="preserve"> </w:t>
      </w:r>
    </w:p>
    <w:p w14:paraId="61973DFD" w14:textId="77777777" w:rsidR="00C853D1" w:rsidRPr="00B377FD" w:rsidRDefault="00C853D1" w:rsidP="00C853D1">
      <w:pPr>
        <w:autoSpaceDE w:val="0"/>
        <w:autoSpaceDN w:val="0"/>
        <w:adjustRightInd w:val="0"/>
        <w:spacing w:after="0" w:line="360" w:lineRule="auto"/>
        <w:rPr>
          <w:rFonts w:eastAsia="Calibri" w:cs="Tahoma"/>
          <w:color w:val="000000"/>
          <w:szCs w:val="24"/>
          <w:lang w:val="es-ES" w:eastAsia="es-MX"/>
        </w:rPr>
      </w:pPr>
    </w:p>
    <w:p w14:paraId="0231FCB7" w14:textId="77777777" w:rsidR="00C853D1" w:rsidRPr="00B377FD" w:rsidRDefault="00C853D1" w:rsidP="00C853D1">
      <w:pPr>
        <w:autoSpaceDE w:val="0"/>
        <w:autoSpaceDN w:val="0"/>
        <w:adjustRightInd w:val="0"/>
        <w:spacing w:after="0" w:line="360" w:lineRule="auto"/>
        <w:rPr>
          <w:rFonts w:eastAsia="Calibri" w:cs="Tahoma"/>
          <w:color w:val="000000"/>
          <w:lang w:val="es-ES" w:eastAsia="es-MX"/>
        </w:rPr>
      </w:pPr>
      <w:r w:rsidRPr="00B377FD">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B377FD">
        <w:rPr>
          <w:rFonts w:eastAsia="Calibri" w:cs="Tahoma"/>
          <w:b/>
          <w:bCs/>
          <w:color w:val="000000"/>
          <w:lang w:eastAsia="es-MX"/>
        </w:rPr>
        <w:t xml:space="preserve"> </w:t>
      </w:r>
      <w:r w:rsidRPr="00B377FD">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2B897E0" w14:textId="77777777" w:rsidR="00C853D1" w:rsidRPr="00B377FD" w:rsidRDefault="00C853D1" w:rsidP="00C853D1">
      <w:pPr>
        <w:autoSpaceDE w:val="0"/>
        <w:autoSpaceDN w:val="0"/>
        <w:adjustRightInd w:val="0"/>
        <w:spacing w:after="0" w:line="360" w:lineRule="auto"/>
        <w:rPr>
          <w:rFonts w:eastAsia="Calibri" w:cs="Tahoma"/>
          <w:color w:val="000000"/>
          <w:lang w:eastAsia="es-MX"/>
        </w:rPr>
      </w:pPr>
    </w:p>
    <w:p w14:paraId="0EA74A57" w14:textId="77777777" w:rsidR="00C853D1" w:rsidRPr="00B377FD" w:rsidRDefault="00C853D1" w:rsidP="00C853D1">
      <w:pPr>
        <w:autoSpaceDE w:val="0"/>
        <w:autoSpaceDN w:val="0"/>
        <w:adjustRightInd w:val="0"/>
        <w:spacing w:after="0" w:line="360" w:lineRule="auto"/>
        <w:rPr>
          <w:rFonts w:eastAsia="Calibri" w:cs="Tahoma"/>
          <w:color w:val="000000"/>
          <w:lang w:eastAsia="es-MX"/>
        </w:rPr>
      </w:pPr>
      <w:r w:rsidRPr="00B377FD">
        <w:rPr>
          <w:rFonts w:eastAsia="Calibri" w:cs="Tahoma"/>
          <w:color w:val="000000"/>
          <w:lang w:eastAsia="es-MX"/>
        </w:rPr>
        <w:t xml:space="preserve">En el presente caso, </w:t>
      </w:r>
      <w:r w:rsidRPr="00B377FD">
        <w:rPr>
          <w:rFonts w:eastAsia="Calibri" w:cs="Tahoma"/>
          <w:b/>
          <w:color w:val="000000"/>
          <w:lang w:eastAsia="es-MX"/>
        </w:rPr>
        <w:t>no se actualiza ninguna de las causales de improcedencia</w:t>
      </w:r>
      <w:r w:rsidRPr="00B377F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19F9B9D2" w14:textId="77777777" w:rsidR="00DC0003" w:rsidRPr="00DC0003" w:rsidRDefault="00DC0003" w:rsidP="00DC0003">
      <w:pPr>
        <w:spacing w:after="0" w:line="360" w:lineRule="auto"/>
        <w:rPr>
          <w:rFonts w:eastAsia="Times New Roman" w:cs="Tahoma"/>
          <w:bCs/>
          <w:color w:val="auto"/>
          <w:lang w:eastAsia="es-ES"/>
        </w:rPr>
      </w:pPr>
      <w:r w:rsidRPr="00DC0003">
        <w:rPr>
          <w:rFonts w:eastAsia="Times New Roman" w:cs="Tahoma"/>
          <w:bCs/>
          <w:color w:val="auto"/>
          <w:lang w:eastAsia="es-ES"/>
        </w:rPr>
        <w:lastRenderedPageBreak/>
        <w:t>Asimismo, se actualiza la causal de procedencia del Recurso de Revisión señalada en el artículo 179, fracciones VI de la Ley en cita, pues el Recurrente se inconformó con la entrega de información que no corresponde con lo solicitado.</w:t>
      </w:r>
    </w:p>
    <w:p w14:paraId="3577CA43" w14:textId="77777777" w:rsidR="00C853D1" w:rsidRPr="00B377FD" w:rsidRDefault="00C853D1" w:rsidP="00C853D1">
      <w:pPr>
        <w:spacing w:after="0" w:line="360" w:lineRule="auto"/>
        <w:rPr>
          <w:rFonts w:eastAsia="Times New Roman" w:cs="Tahoma"/>
          <w:b/>
          <w:bCs/>
          <w:color w:val="auto"/>
          <w:lang w:eastAsia="es-ES"/>
        </w:rPr>
      </w:pPr>
    </w:p>
    <w:p w14:paraId="4F973625" w14:textId="77777777" w:rsidR="00C853D1" w:rsidRDefault="00C853D1" w:rsidP="00C853D1">
      <w:pPr>
        <w:spacing w:after="0" w:line="360" w:lineRule="auto"/>
        <w:rPr>
          <w:rFonts w:eastAsia="Times New Roman" w:cs="Tahoma"/>
          <w:b/>
          <w:bCs/>
          <w:color w:val="auto"/>
          <w:lang w:eastAsia="es-ES"/>
        </w:rPr>
      </w:pPr>
      <w:r w:rsidRPr="00B377FD">
        <w:rPr>
          <w:rFonts w:eastAsia="Times New Roman" w:cs="Tahoma"/>
          <w:b/>
          <w:bCs/>
          <w:color w:val="auto"/>
          <w:lang w:eastAsia="es-ES"/>
        </w:rPr>
        <w:t>Causales de sobreseimiento.</w:t>
      </w:r>
    </w:p>
    <w:p w14:paraId="3FF75C55" w14:textId="77777777" w:rsidR="00CD573E" w:rsidRPr="00B377FD" w:rsidRDefault="00CD573E" w:rsidP="00C853D1">
      <w:pPr>
        <w:spacing w:after="0" w:line="360" w:lineRule="auto"/>
        <w:rPr>
          <w:rFonts w:eastAsia="Times New Roman" w:cs="Tahoma"/>
          <w:b/>
          <w:bCs/>
          <w:color w:val="auto"/>
          <w:lang w:eastAsia="es-ES"/>
        </w:rPr>
      </w:pPr>
    </w:p>
    <w:p w14:paraId="77050B85" w14:textId="77777777" w:rsidR="00C853D1" w:rsidRPr="00B377FD" w:rsidRDefault="00C853D1" w:rsidP="00C853D1">
      <w:pPr>
        <w:spacing w:after="0" w:line="360" w:lineRule="auto"/>
        <w:rPr>
          <w:rFonts w:eastAsia="Times New Roman" w:cs="Tahoma"/>
          <w:color w:val="auto"/>
          <w:szCs w:val="24"/>
          <w:lang w:eastAsia="es-ES"/>
        </w:rPr>
      </w:pPr>
      <w:r w:rsidRPr="00B377FD">
        <w:rPr>
          <w:rFonts w:eastAsia="Times New Roman" w:cs="Tahoma"/>
          <w:color w:val="auto"/>
          <w:szCs w:val="24"/>
          <w:lang w:eastAsia="es-ES"/>
        </w:rPr>
        <w:t>Por ser de previo y especial pronunciamiento, este Instituto analiza si se actualiza alguna causal de sobreseimiento.</w:t>
      </w:r>
    </w:p>
    <w:p w14:paraId="1797E49B" w14:textId="77777777" w:rsidR="00C853D1" w:rsidRPr="00B377FD" w:rsidRDefault="00C853D1" w:rsidP="00C853D1">
      <w:pPr>
        <w:spacing w:after="0" w:line="360" w:lineRule="auto"/>
        <w:rPr>
          <w:rFonts w:eastAsia="Times New Roman" w:cs="Tahoma"/>
          <w:color w:val="auto"/>
          <w:szCs w:val="24"/>
          <w:lang w:eastAsia="es-ES"/>
        </w:rPr>
      </w:pPr>
    </w:p>
    <w:p w14:paraId="3929C861" w14:textId="77777777" w:rsidR="00C853D1" w:rsidRPr="00B377FD" w:rsidRDefault="00C853D1" w:rsidP="00C853D1">
      <w:pPr>
        <w:spacing w:after="0" w:line="360" w:lineRule="auto"/>
        <w:rPr>
          <w:rFonts w:eastAsia="Times New Roman" w:cs="Tahoma"/>
          <w:color w:val="auto"/>
          <w:szCs w:val="24"/>
          <w:lang w:eastAsia="es-ES"/>
        </w:rPr>
      </w:pPr>
      <w:r w:rsidRPr="00B377FD">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2F90250" w14:textId="77777777" w:rsidR="00C853D1" w:rsidRPr="00B377FD" w:rsidRDefault="00C853D1" w:rsidP="00C853D1">
      <w:pPr>
        <w:spacing w:after="0" w:line="360" w:lineRule="auto"/>
        <w:rPr>
          <w:rFonts w:eastAsia="Times New Roman" w:cs="Tahoma"/>
          <w:color w:val="auto"/>
          <w:szCs w:val="24"/>
          <w:lang w:eastAsia="es-ES"/>
        </w:rPr>
      </w:pPr>
    </w:p>
    <w:p w14:paraId="75DA7F11" w14:textId="77777777" w:rsidR="00C853D1" w:rsidRDefault="00C853D1" w:rsidP="00C853D1">
      <w:pPr>
        <w:spacing w:after="0" w:line="360" w:lineRule="auto"/>
        <w:rPr>
          <w:rFonts w:eastAsia="Times New Roman" w:cs="Tahoma"/>
          <w:color w:val="auto"/>
          <w:szCs w:val="24"/>
          <w:lang w:val="es-ES" w:eastAsia="es-ES"/>
        </w:rPr>
      </w:pPr>
      <w:r w:rsidRPr="00B377FD">
        <w:rPr>
          <w:rFonts w:eastAsia="Times New Roman" w:cs="Tahoma"/>
          <w:bCs/>
          <w:color w:val="auto"/>
          <w:szCs w:val="24"/>
          <w:lang w:val="es-ES" w:eastAsia="es-ES"/>
        </w:rPr>
        <w:t xml:space="preserve">Por tales motivos, </w:t>
      </w:r>
      <w:r w:rsidRPr="00B377FD">
        <w:rPr>
          <w:rFonts w:eastAsia="Times New Roman" w:cs="Tahoma"/>
          <w:color w:val="auto"/>
          <w:szCs w:val="24"/>
          <w:lang w:val="es-ES" w:eastAsia="es-ES"/>
        </w:rPr>
        <w:t>se considera procedente entrar al fondo del presente asunto</w:t>
      </w:r>
      <w:r>
        <w:rPr>
          <w:rFonts w:eastAsia="Times New Roman" w:cs="Tahoma"/>
          <w:color w:val="auto"/>
          <w:szCs w:val="24"/>
          <w:lang w:val="es-ES" w:eastAsia="es-ES"/>
        </w:rPr>
        <w:t>.</w:t>
      </w:r>
    </w:p>
    <w:p w14:paraId="5A499E5E" w14:textId="77777777" w:rsidR="00C853D1" w:rsidRPr="00B377FD" w:rsidRDefault="00C853D1" w:rsidP="00C853D1">
      <w:pPr>
        <w:spacing w:after="0" w:line="360" w:lineRule="auto"/>
      </w:pPr>
    </w:p>
    <w:p w14:paraId="554D6B44" w14:textId="77777777" w:rsidR="00C853D1" w:rsidRPr="00B377FD" w:rsidRDefault="00C853D1" w:rsidP="00C853D1">
      <w:pPr>
        <w:spacing w:after="0" w:line="360" w:lineRule="auto"/>
        <w:rPr>
          <w:rFonts w:eastAsia="Times New Roman" w:cs="Tahoma"/>
          <w:b/>
          <w:bCs/>
          <w:iCs/>
          <w:color w:val="auto"/>
          <w:lang w:val="es-ES" w:eastAsia="es-ES"/>
        </w:rPr>
      </w:pPr>
      <w:r w:rsidRPr="00B377FD">
        <w:rPr>
          <w:rFonts w:eastAsia="Times New Roman" w:cs="Tahoma"/>
          <w:b/>
          <w:bCs/>
          <w:iCs/>
          <w:color w:val="auto"/>
          <w:lang w:val="es-ES" w:eastAsia="es-ES"/>
        </w:rPr>
        <w:t xml:space="preserve">TERCERO. Determinación de la Controversia. </w:t>
      </w:r>
    </w:p>
    <w:p w14:paraId="1618F7DB" w14:textId="77777777" w:rsidR="00C853D1" w:rsidRDefault="00C853D1" w:rsidP="00C853D1">
      <w:pPr>
        <w:autoSpaceDE w:val="0"/>
        <w:autoSpaceDN w:val="0"/>
        <w:adjustRightInd w:val="0"/>
        <w:spacing w:after="0" w:line="360" w:lineRule="auto"/>
        <w:rPr>
          <w:rFonts w:eastAsia="Calibri" w:cs="Tahoma"/>
          <w:color w:val="000000"/>
          <w:szCs w:val="24"/>
          <w:lang w:val="es-ES" w:eastAsia="es-MX"/>
        </w:rPr>
      </w:pPr>
    </w:p>
    <w:p w14:paraId="00C97953" w14:textId="6691B5A0" w:rsidR="007F3397" w:rsidRDefault="00CD573E" w:rsidP="00C853D1">
      <w:pPr>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t>Una vez realizado el estudio de las constancias que obran en el expediente electrónico en el que se actúa, se advierte que el Solicitante requirió</w:t>
      </w:r>
      <w:r w:rsidR="00E67D21">
        <w:rPr>
          <w:rFonts w:eastAsia="Calibri" w:cs="Tahoma"/>
          <w:color w:val="000000"/>
          <w:szCs w:val="24"/>
          <w:lang w:val="es-ES" w:eastAsia="es-MX"/>
        </w:rPr>
        <w:t xml:space="preserve"> </w:t>
      </w:r>
      <w:r w:rsidR="002F1948">
        <w:rPr>
          <w:rFonts w:eastAsia="Calibri" w:cs="Tahoma"/>
          <w:color w:val="000000"/>
          <w:szCs w:val="24"/>
          <w:lang w:val="es-ES" w:eastAsia="es-MX"/>
        </w:rPr>
        <w:t>conocer</w:t>
      </w:r>
      <w:r w:rsidR="007C0B16">
        <w:rPr>
          <w:rFonts w:eastAsia="Calibri" w:cs="Tahoma"/>
          <w:color w:val="000000"/>
          <w:szCs w:val="24"/>
          <w:lang w:val="es-ES" w:eastAsia="es-MX"/>
        </w:rPr>
        <w:t>, para un terreno baldío con ciertas características,</w:t>
      </w:r>
      <w:r w:rsidR="002F1948">
        <w:rPr>
          <w:rFonts w:eastAsia="Calibri" w:cs="Tahoma"/>
          <w:color w:val="000000"/>
          <w:szCs w:val="24"/>
          <w:lang w:val="es-ES" w:eastAsia="es-MX"/>
        </w:rPr>
        <w:t xml:space="preserve"> </w:t>
      </w:r>
      <w:r w:rsidR="003A6C00">
        <w:rPr>
          <w:rFonts w:eastAsia="Calibri" w:cs="Tahoma"/>
          <w:color w:val="000000"/>
          <w:szCs w:val="24"/>
          <w:lang w:val="es-ES" w:eastAsia="es-MX"/>
        </w:rPr>
        <w:t xml:space="preserve">el fundamento legal y </w:t>
      </w:r>
      <w:r w:rsidR="006C07B1">
        <w:rPr>
          <w:rFonts w:eastAsia="Calibri" w:cs="Tahoma"/>
          <w:color w:val="000000"/>
          <w:szCs w:val="24"/>
          <w:lang w:val="es-ES" w:eastAsia="es-MX"/>
        </w:rPr>
        <w:t xml:space="preserve">requisitos para tramitar, </w:t>
      </w:r>
      <w:r w:rsidR="00D2618D">
        <w:rPr>
          <w:rFonts w:eastAsia="Calibri" w:cs="Tahoma"/>
          <w:color w:val="000000"/>
          <w:szCs w:val="24"/>
          <w:lang w:val="es-ES" w:eastAsia="es-MX"/>
        </w:rPr>
        <w:t>una</w:t>
      </w:r>
      <w:r w:rsidR="006C07B1">
        <w:rPr>
          <w:rFonts w:eastAsia="Calibri" w:cs="Tahoma"/>
          <w:color w:val="000000"/>
          <w:szCs w:val="24"/>
          <w:lang w:val="es-ES" w:eastAsia="es-MX"/>
        </w:rPr>
        <w:t xml:space="preserve"> conexión nueva de drenaje y de agua potable.</w:t>
      </w:r>
    </w:p>
    <w:p w14:paraId="47CFE244" w14:textId="77777777" w:rsidR="00E67D21" w:rsidRDefault="00E67D21" w:rsidP="00C853D1">
      <w:pPr>
        <w:autoSpaceDE w:val="0"/>
        <w:autoSpaceDN w:val="0"/>
        <w:adjustRightInd w:val="0"/>
        <w:spacing w:after="0" w:line="360" w:lineRule="auto"/>
        <w:rPr>
          <w:rFonts w:eastAsia="Calibri" w:cs="Tahoma"/>
          <w:color w:val="000000"/>
          <w:szCs w:val="24"/>
          <w:lang w:val="es-ES" w:eastAsia="es-MX"/>
        </w:rPr>
      </w:pPr>
    </w:p>
    <w:p w14:paraId="047C7085" w14:textId="77777777" w:rsidR="005D3970" w:rsidRDefault="005D3970" w:rsidP="00C853D1">
      <w:pPr>
        <w:autoSpaceDE w:val="0"/>
        <w:autoSpaceDN w:val="0"/>
        <w:adjustRightInd w:val="0"/>
        <w:spacing w:after="0" w:line="360" w:lineRule="auto"/>
        <w:rPr>
          <w:rFonts w:eastAsia="Calibri" w:cs="Tahoma"/>
          <w:color w:val="000000"/>
          <w:szCs w:val="24"/>
          <w:lang w:val="es-ES" w:eastAsia="es-MX"/>
        </w:rPr>
      </w:pPr>
    </w:p>
    <w:p w14:paraId="282C5439" w14:textId="72293C62" w:rsidR="00C853D1" w:rsidRDefault="006425FF" w:rsidP="00C853D1">
      <w:pPr>
        <w:autoSpaceDE w:val="0"/>
        <w:autoSpaceDN w:val="0"/>
        <w:adjustRightInd w:val="0"/>
        <w:spacing w:after="0" w:line="360" w:lineRule="auto"/>
        <w:rPr>
          <w:rFonts w:eastAsia="Calibri" w:cs="Tahoma"/>
          <w:bCs/>
          <w:iCs/>
          <w:lang w:val="es-ES"/>
        </w:rPr>
      </w:pPr>
      <w:r>
        <w:rPr>
          <w:rFonts w:eastAsia="Calibri" w:cs="Tahoma"/>
          <w:color w:val="000000"/>
          <w:szCs w:val="24"/>
          <w:lang w:val="es-ES" w:eastAsia="es-MX"/>
        </w:rPr>
        <w:t xml:space="preserve">En respuesta el Sujeto Obligado, por medio de la </w:t>
      </w:r>
      <w:r w:rsidR="00CD6971">
        <w:t>Titular de Coordinación de Atención y Respuesta a la Ciudadanía</w:t>
      </w:r>
      <w:r w:rsidR="00845897">
        <w:t>, señal</w:t>
      </w:r>
      <w:r w:rsidR="00D2618D">
        <w:t>ó</w:t>
      </w:r>
      <w:r w:rsidR="00845897">
        <w:t xml:space="preserve"> </w:t>
      </w:r>
      <w:r w:rsidR="00D2618D">
        <w:t>los requisitos para solicitar la instalación o reconstrucción de descarga domiciliaria y de toma de agua potable, así como el fundamento legal de dicho trámite; a</w:t>
      </w:r>
      <w:proofErr w:type="spellStart"/>
      <w:r w:rsidR="001202DE">
        <w:rPr>
          <w:rFonts w:eastAsia="Calibri" w:cs="Tahoma"/>
          <w:color w:val="000000"/>
          <w:szCs w:val="24"/>
          <w:lang w:val="es-ES" w:eastAsia="es-MX"/>
        </w:rPr>
        <w:t>nte</w:t>
      </w:r>
      <w:proofErr w:type="spellEnd"/>
      <w:r w:rsidR="001202DE">
        <w:rPr>
          <w:rFonts w:eastAsia="Calibri" w:cs="Tahoma"/>
          <w:color w:val="000000"/>
          <w:szCs w:val="24"/>
          <w:lang w:val="es-ES" w:eastAsia="es-MX"/>
        </w:rPr>
        <w:t xml:space="preserve"> tal circunstancia, el Solicitante se agravio, </w:t>
      </w:r>
      <w:r w:rsidR="00C955B5">
        <w:rPr>
          <w:rFonts w:eastAsia="Calibri" w:cs="Tahoma"/>
          <w:color w:val="000000"/>
          <w:szCs w:val="24"/>
          <w:lang w:val="es-ES" w:eastAsia="es-MX"/>
        </w:rPr>
        <w:t>al señalar que la información proporcionada por el Sujeto Obligado no correspondía a lo solicitado</w:t>
      </w:r>
      <w:r w:rsidR="00D2618D">
        <w:rPr>
          <w:rFonts w:eastAsia="Calibri" w:cs="Tahoma"/>
          <w:color w:val="000000"/>
          <w:szCs w:val="24"/>
          <w:lang w:val="es-ES" w:eastAsia="es-MX"/>
        </w:rPr>
        <w:t>, al precisar que no le habían entregado lo solicitado, sino únicamente las unidades administrativas competentes e incompetencias</w:t>
      </w:r>
      <w:r w:rsidR="00C955B5">
        <w:rPr>
          <w:rFonts w:eastAsia="Calibri" w:cs="Tahoma"/>
          <w:color w:val="000000"/>
          <w:szCs w:val="24"/>
          <w:lang w:val="es-ES" w:eastAsia="es-MX"/>
        </w:rPr>
        <w:t xml:space="preserve">, circunstancia que actualiza la causa de procedencia prevista en la fracción VI del artículo 179 de la Ley de Transparencia y Acceso a la Información Pública del Estado de México y Municipios. </w:t>
      </w:r>
      <w:r w:rsidR="00C853D1" w:rsidRPr="00F516F1">
        <w:rPr>
          <w:rFonts w:eastAsia="Calibri" w:cs="Tahoma"/>
          <w:bCs/>
          <w:lang w:val="es-ES_tradnl"/>
        </w:rPr>
        <w:t xml:space="preserve">Así las cosas, </w:t>
      </w:r>
      <w:r w:rsidR="00C853D1" w:rsidRPr="00F516F1">
        <w:rPr>
          <w:rFonts w:eastAsia="Calibri" w:cs="Tahoma"/>
          <w:bCs/>
          <w:iCs/>
          <w:lang w:val="es-ES"/>
        </w:rPr>
        <w:t xml:space="preserve">una vez admitido y notificado el Recurso de Revisión a las partes, el Ente Recurrido, </w:t>
      </w:r>
      <w:r w:rsidR="001675D9">
        <w:rPr>
          <w:rFonts w:eastAsia="Calibri" w:cs="Tahoma"/>
          <w:bCs/>
          <w:iCs/>
          <w:lang w:val="es-ES"/>
        </w:rPr>
        <w:t xml:space="preserve">por medio de su Informe Justificado, </w:t>
      </w:r>
      <w:r w:rsidR="009F4332">
        <w:rPr>
          <w:rFonts w:eastAsia="Calibri" w:cs="Tahoma"/>
          <w:bCs/>
          <w:iCs/>
          <w:lang w:val="es-ES"/>
        </w:rPr>
        <w:t xml:space="preserve">ratifico </w:t>
      </w:r>
      <w:r w:rsidR="00134BE6">
        <w:rPr>
          <w:rFonts w:eastAsia="Calibri" w:cs="Tahoma"/>
          <w:bCs/>
          <w:iCs/>
          <w:lang w:val="es-ES"/>
        </w:rPr>
        <w:t>la respuesta inicial</w:t>
      </w:r>
      <w:r w:rsidR="00B81EF5">
        <w:rPr>
          <w:rFonts w:eastAsia="Calibri" w:cs="Tahoma"/>
          <w:bCs/>
          <w:iCs/>
          <w:lang w:val="es-ES"/>
        </w:rPr>
        <w:t xml:space="preserve">. </w:t>
      </w:r>
    </w:p>
    <w:p w14:paraId="32FE7B5B" w14:textId="77777777" w:rsidR="00D2618D" w:rsidRDefault="00D2618D" w:rsidP="00C853D1">
      <w:pPr>
        <w:autoSpaceDE w:val="0"/>
        <w:autoSpaceDN w:val="0"/>
        <w:adjustRightInd w:val="0"/>
        <w:spacing w:after="0" w:line="360" w:lineRule="auto"/>
        <w:rPr>
          <w:rFonts w:eastAsia="Calibri" w:cs="Tahoma"/>
          <w:iCs/>
          <w:color w:val="auto"/>
          <w:lang w:val="es-ES" w:eastAsia="es-ES_tradnl"/>
        </w:rPr>
      </w:pPr>
    </w:p>
    <w:p w14:paraId="47A7D7E9" w14:textId="77777777" w:rsidR="00C853D1" w:rsidRDefault="00C853D1" w:rsidP="00C853D1">
      <w:pPr>
        <w:spacing w:after="0" w:line="360" w:lineRule="auto"/>
      </w:pPr>
      <w:r w:rsidRPr="00B377FD">
        <w:t xml:space="preserve">Lo anterior, se desprende de las documentales que obran en el expediente de referencia, materia de la presente Resolución, consistentes en: la solicitud de acceso a </w:t>
      </w:r>
      <w:r>
        <w:t xml:space="preserve">la información; la respuesta del Sujeto Obligado; </w:t>
      </w:r>
      <w:r w:rsidRPr="00B377FD">
        <w:rPr>
          <w:bCs/>
        </w:rPr>
        <w:t xml:space="preserve">el </w:t>
      </w:r>
      <w:r w:rsidRPr="00B377FD">
        <w:t xml:space="preserve">escrito </w:t>
      </w:r>
      <w:proofErr w:type="spellStart"/>
      <w:r w:rsidRPr="00B377FD">
        <w:t>recursal</w:t>
      </w:r>
      <w:proofErr w:type="spellEnd"/>
      <w:r>
        <w:t xml:space="preserve"> y</w:t>
      </w:r>
      <w:r w:rsidRPr="00B377FD">
        <w:t xml:space="preserve"> </w:t>
      </w:r>
      <w:r>
        <w:t xml:space="preserve">el Informe Justificado rendido por el Sujeto Obligado, </w:t>
      </w:r>
      <w:r w:rsidRPr="00B377FD">
        <w:t>instrumentales que se toman en cuenta a efecto de resolver el presente medio de impugnación, conforme a lo dispuesto por el artículo 185, fracción IV, de la Ley de Transparencia y Acceso a la Información Pública del Estado de México y Municipios.</w:t>
      </w:r>
    </w:p>
    <w:p w14:paraId="5796AF7E" w14:textId="77777777" w:rsidR="00C853D1" w:rsidRPr="00B377FD" w:rsidRDefault="00C853D1" w:rsidP="00C853D1">
      <w:pPr>
        <w:spacing w:after="0" w:line="360" w:lineRule="auto"/>
      </w:pPr>
    </w:p>
    <w:p w14:paraId="4AD760E5" w14:textId="77777777" w:rsidR="00C853D1" w:rsidRPr="00B377FD" w:rsidRDefault="00C853D1" w:rsidP="00C853D1">
      <w:pPr>
        <w:spacing w:after="0" w:line="360" w:lineRule="auto"/>
        <w:rPr>
          <w:rFonts w:eastAsia="Times New Roman" w:cs="Tahoma"/>
          <w:b/>
          <w:bCs/>
          <w:iCs/>
          <w:color w:val="auto"/>
          <w:lang w:eastAsia="es-ES"/>
        </w:rPr>
      </w:pPr>
      <w:r w:rsidRPr="00B377FD">
        <w:rPr>
          <w:rFonts w:eastAsia="Times New Roman" w:cs="Tahoma"/>
          <w:b/>
          <w:bCs/>
          <w:iCs/>
          <w:color w:val="auto"/>
          <w:lang w:val="es-ES" w:eastAsia="es-ES"/>
        </w:rPr>
        <w:t xml:space="preserve">CUARTO. </w:t>
      </w:r>
      <w:r w:rsidRPr="00B377FD">
        <w:rPr>
          <w:rFonts w:eastAsia="Times New Roman" w:cs="Tahoma"/>
          <w:b/>
          <w:bCs/>
          <w:iCs/>
          <w:color w:val="auto"/>
          <w:lang w:eastAsia="es-ES"/>
        </w:rPr>
        <w:t>Marco normativo aplicable en materia de transparencia y acceso a la información pública.</w:t>
      </w:r>
    </w:p>
    <w:p w14:paraId="43AD0F27" w14:textId="77777777" w:rsidR="00C853D1" w:rsidRPr="00B377FD" w:rsidRDefault="00C853D1" w:rsidP="00C853D1">
      <w:pPr>
        <w:spacing w:after="0" w:line="360" w:lineRule="auto"/>
        <w:rPr>
          <w:rFonts w:eastAsia="Times New Roman" w:cs="Tahoma"/>
          <w:b/>
          <w:bCs/>
          <w:iCs/>
          <w:color w:val="auto"/>
          <w:lang w:eastAsia="es-ES"/>
        </w:rPr>
      </w:pPr>
    </w:p>
    <w:p w14:paraId="612B1C77"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EFDE24" w14:textId="77777777" w:rsidR="00C853D1" w:rsidRPr="00B377FD" w:rsidRDefault="00C853D1" w:rsidP="00C853D1">
      <w:pPr>
        <w:spacing w:after="0" w:line="360" w:lineRule="auto"/>
        <w:rPr>
          <w:rFonts w:eastAsia="Times New Roman" w:cs="Tahoma"/>
          <w:bCs/>
          <w:iCs/>
          <w:color w:val="auto"/>
          <w:lang w:eastAsia="es-ES"/>
        </w:rPr>
      </w:pPr>
    </w:p>
    <w:p w14:paraId="0629EDEA"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198CD87" w14:textId="77777777" w:rsidR="00C853D1" w:rsidRPr="00B377FD" w:rsidRDefault="00C853D1" w:rsidP="00C853D1">
      <w:pPr>
        <w:spacing w:after="0" w:line="360" w:lineRule="auto"/>
        <w:rPr>
          <w:rFonts w:eastAsia="Times New Roman" w:cs="Tahoma"/>
          <w:bCs/>
          <w:iCs/>
          <w:color w:val="auto"/>
          <w:lang w:eastAsia="es-ES"/>
        </w:rPr>
      </w:pPr>
    </w:p>
    <w:p w14:paraId="2E116B44"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4CE485" w14:textId="77777777" w:rsidR="00C853D1" w:rsidRPr="00B377FD" w:rsidRDefault="00C853D1" w:rsidP="00C853D1">
      <w:pPr>
        <w:spacing w:after="0" w:line="360" w:lineRule="auto"/>
        <w:rPr>
          <w:rFonts w:eastAsia="Times New Roman" w:cs="Tahoma"/>
          <w:bCs/>
          <w:iCs/>
          <w:color w:val="auto"/>
          <w:lang w:eastAsia="es-ES"/>
        </w:rPr>
      </w:pPr>
    </w:p>
    <w:p w14:paraId="39E7B3D5"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8EAD36A" w14:textId="77777777" w:rsidR="00C853D1" w:rsidRPr="00B377FD" w:rsidRDefault="00C853D1" w:rsidP="00C853D1">
      <w:pPr>
        <w:spacing w:after="0" w:line="360" w:lineRule="auto"/>
        <w:rPr>
          <w:rFonts w:eastAsia="Times New Roman" w:cs="Tahoma"/>
          <w:bCs/>
          <w:iCs/>
          <w:color w:val="auto"/>
          <w:lang w:eastAsia="es-ES"/>
        </w:rPr>
      </w:pPr>
    </w:p>
    <w:p w14:paraId="33BD459A"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12, que, quienes generen, recopilen, administren, manejen, procesen, archiven o conserven información pública serán responsables de la misma.</w:t>
      </w:r>
    </w:p>
    <w:p w14:paraId="7F23F258" w14:textId="77777777" w:rsidR="00C853D1" w:rsidRPr="00B377FD" w:rsidRDefault="00C853D1" w:rsidP="00C853D1">
      <w:pPr>
        <w:spacing w:after="0" w:line="360" w:lineRule="auto"/>
        <w:rPr>
          <w:rFonts w:eastAsia="Times New Roman" w:cs="Tahoma"/>
          <w:bCs/>
          <w:iCs/>
          <w:color w:val="auto"/>
          <w:lang w:eastAsia="es-ES"/>
        </w:rPr>
      </w:pPr>
    </w:p>
    <w:p w14:paraId="21150C29"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F8053D7" w14:textId="77777777" w:rsidR="00C853D1" w:rsidRPr="00B377FD" w:rsidRDefault="00C853D1" w:rsidP="00C853D1">
      <w:pPr>
        <w:spacing w:after="0" w:line="360" w:lineRule="auto"/>
        <w:rPr>
          <w:rFonts w:eastAsia="Times New Roman" w:cs="Tahoma"/>
          <w:bCs/>
          <w:iCs/>
          <w:color w:val="auto"/>
          <w:lang w:eastAsia="es-ES"/>
        </w:rPr>
      </w:pPr>
    </w:p>
    <w:p w14:paraId="391D3BDE"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052A03D" w14:textId="67CF205B" w:rsidR="00C853D1" w:rsidRDefault="00C853D1" w:rsidP="00C853D1">
      <w:pPr>
        <w:spacing w:after="0" w:line="360" w:lineRule="auto"/>
        <w:rPr>
          <w:rFonts w:eastAsia="Times New Roman" w:cs="Tahoma"/>
          <w:b/>
          <w:bCs/>
          <w:iCs/>
          <w:color w:val="auto"/>
          <w:lang w:val="es-ES" w:eastAsia="es-ES"/>
        </w:rPr>
      </w:pPr>
    </w:p>
    <w:p w14:paraId="6DEFF5F4" w14:textId="2CB91A21" w:rsidR="00826A94" w:rsidRDefault="00826A94" w:rsidP="00826A94">
      <w:pPr>
        <w:spacing w:after="0" w:line="360" w:lineRule="auto"/>
        <w:rPr>
          <w:rFonts w:cs="Tahoma"/>
          <w:b/>
          <w:bCs/>
          <w:iCs/>
          <w:color w:val="auto"/>
        </w:rPr>
      </w:pPr>
      <w:r>
        <w:rPr>
          <w:rFonts w:eastAsia="Calibri" w:cs="Tahoma"/>
          <w:lang w:val="es-ES" w:eastAsia="es-ES_tradnl"/>
        </w:rPr>
        <w:lastRenderedPageBreak/>
        <w:t>El artículo 92, enlista la información que corresponde a las Obligaciones de Transparencia Comunes de las que destaca la contenida en la fracción XXIV, concerniente a la información sobre los trámites, requisitos y formatos que ofrecen, así como los tiempos de respuesta.</w:t>
      </w:r>
    </w:p>
    <w:p w14:paraId="27BB7B4F" w14:textId="77777777" w:rsidR="00826A94" w:rsidRDefault="00826A94" w:rsidP="00C853D1">
      <w:pPr>
        <w:spacing w:after="0" w:line="360" w:lineRule="auto"/>
        <w:rPr>
          <w:rFonts w:eastAsia="Times New Roman" w:cs="Tahoma"/>
          <w:b/>
          <w:bCs/>
          <w:iCs/>
          <w:color w:val="auto"/>
          <w:lang w:val="es-ES" w:eastAsia="es-ES"/>
        </w:rPr>
      </w:pPr>
    </w:p>
    <w:p w14:paraId="4CD9F9A9" w14:textId="6829D41E" w:rsidR="00C853D1" w:rsidRDefault="00C853D1" w:rsidP="00C853D1">
      <w:pPr>
        <w:spacing w:after="0" w:line="360" w:lineRule="auto"/>
        <w:rPr>
          <w:rFonts w:eastAsia="Times New Roman" w:cs="Tahoma"/>
          <w:b/>
          <w:bCs/>
          <w:iCs/>
          <w:color w:val="auto"/>
          <w:lang w:val="es-ES" w:eastAsia="es-ES"/>
        </w:rPr>
      </w:pPr>
      <w:r w:rsidRPr="00B377FD">
        <w:rPr>
          <w:rFonts w:eastAsia="Times New Roman" w:cs="Tahoma"/>
          <w:b/>
          <w:bCs/>
          <w:iCs/>
          <w:color w:val="auto"/>
          <w:lang w:val="es-ES" w:eastAsia="es-ES"/>
        </w:rPr>
        <w:t>Quinto. Estudio de Fondo.</w:t>
      </w:r>
    </w:p>
    <w:p w14:paraId="614B9665" w14:textId="5578038A" w:rsidR="00C853D1" w:rsidRPr="00F81A9B" w:rsidRDefault="00C853D1" w:rsidP="00C853D1">
      <w:pPr>
        <w:spacing w:after="0" w:line="360" w:lineRule="auto"/>
        <w:rPr>
          <w:rFonts w:eastAsia="Times New Roman" w:cs="Tahoma"/>
          <w:iCs/>
          <w:color w:val="auto"/>
          <w:lang w:val="es-ES" w:eastAsia="es-ES"/>
        </w:rPr>
      </w:pPr>
    </w:p>
    <w:p w14:paraId="45AB3510" w14:textId="44906238" w:rsidR="009229F4" w:rsidRDefault="009E6313" w:rsidP="00A519CC">
      <w:pPr>
        <w:spacing w:after="0" w:line="360" w:lineRule="auto"/>
      </w:pPr>
      <w:r w:rsidRPr="002222BE">
        <w:t>Expuestas las posturas de las partes, se procede al análisis del agravio hecho valer por el ahora Recurrente</w:t>
      </w:r>
      <w:r w:rsidR="00BB672D">
        <w:t>,</w:t>
      </w:r>
      <w:r w:rsidR="00682222">
        <w:t xml:space="preserve"> referente</w:t>
      </w:r>
      <w:r w:rsidR="009229F4">
        <w:t xml:space="preserve"> </w:t>
      </w:r>
      <w:r w:rsidR="00634BE2">
        <w:t>a que la entrega de la información no corresponde con lo solicitado</w:t>
      </w:r>
      <w:r w:rsidR="008850C3">
        <w:t xml:space="preserve">, en ese sentido, es necesario contextualizar </w:t>
      </w:r>
      <w:r w:rsidR="003D1CBE">
        <w:t>la información solicitada</w:t>
      </w:r>
      <w:r w:rsidR="00A27DC8">
        <w:t xml:space="preserve">, referente al trámite para la instalación de una conexión de </w:t>
      </w:r>
      <w:r w:rsidR="00F406C4">
        <w:t>drenaje y agua potable, para un predio con ciertas características.</w:t>
      </w:r>
    </w:p>
    <w:p w14:paraId="5A6D7955" w14:textId="34D4A382" w:rsidR="009C0132" w:rsidRDefault="009C0132" w:rsidP="00A519CC">
      <w:pPr>
        <w:spacing w:after="0" w:line="360" w:lineRule="auto"/>
      </w:pPr>
    </w:p>
    <w:p w14:paraId="0AA77C7A" w14:textId="435CB1EF" w:rsidR="00A27DC8" w:rsidRDefault="00A27DC8" w:rsidP="00A27DC8">
      <w:pPr>
        <w:spacing w:after="0" w:line="360" w:lineRule="auto"/>
        <w:rPr>
          <w:rFonts w:eastAsia="Times New Roman" w:cs="Times New Roman"/>
          <w:color w:val="000000"/>
          <w:lang w:eastAsia="es-MX"/>
        </w:rPr>
      </w:pPr>
      <w:r>
        <w:rPr>
          <w:rFonts w:eastAsia="Times New Roman" w:cs="Times New Roman"/>
          <w:color w:val="000000"/>
          <w:lang w:eastAsia="es-MX"/>
        </w:rPr>
        <w:t xml:space="preserve">Sobre el tema, el artículo 76 de la Ley del Agua para el Estado de México y Municipios, establece que el Organismo Operador de Agua (entre los cuales se encuentra </w:t>
      </w:r>
      <w:r w:rsidR="00F406C4">
        <w:rPr>
          <w:rFonts w:eastAsia="Calibri" w:cs="Tahoma"/>
        </w:rPr>
        <w:t xml:space="preserve">el </w:t>
      </w:r>
      <w:r w:rsidR="00F406C4" w:rsidRPr="00E430E3">
        <w:rPr>
          <w:rFonts w:eastAsia="Calibri" w:cs="Tahoma"/>
        </w:rPr>
        <w:t>Organismo Descentralizado de Agua Potable Alcantarillado y Saneamiento de Nezahualcóyotl</w:t>
      </w:r>
      <w:r>
        <w:rPr>
          <w:rFonts w:eastAsia="Times New Roman" w:cs="Times New Roman"/>
          <w:color w:val="000000"/>
          <w:lang w:eastAsia="es-MX"/>
        </w:rPr>
        <w:t>), determinará la factibilidad de otorgamiento del servicio de agua potable, drenaje, alcantarillado y tratamiento de aguas residuales a nuevos fraccionamientos, conjuntos habitacionales, comerciales, industriales, mixtos o de otro uso, así como en los casos de ampliación o modificación del uso o destino de inmuebles; para lo cual dicho organismo determinará, aprobará y supervisará las obras necesarias para la prestación del servicio a cargo del desarrollador.</w:t>
      </w:r>
    </w:p>
    <w:p w14:paraId="5C918A7E" w14:textId="77777777" w:rsidR="009C0132" w:rsidRDefault="009C0132" w:rsidP="00A519CC">
      <w:pPr>
        <w:spacing w:after="0" w:line="360" w:lineRule="auto"/>
      </w:pPr>
    </w:p>
    <w:p w14:paraId="5A0B47E3" w14:textId="617FE3D4" w:rsidR="004240F5" w:rsidRDefault="00F406C4" w:rsidP="006365E2">
      <w:pPr>
        <w:spacing w:after="0" w:line="360" w:lineRule="auto"/>
      </w:pPr>
      <w:r>
        <w:t xml:space="preserve">Conforme a lo anterior, es necesario señalar que si bien el Particular requirió información sobre un predio de ciertas características, lo cierto es que su pretensión es obtener el fundamento legal-administrativo y los requisitos para solicitar una instalación nueva de descarga de </w:t>
      </w:r>
      <w:proofErr w:type="gramStart"/>
      <w:r>
        <w:t>drenaje  y</w:t>
      </w:r>
      <w:proofErr w:type="gramEnd"/>
      <w:r>
        <w:t xml:space="preserve"> de toma de agua potable.</w:t>
      </w:r>
    </w:p>
    <w:p w14:paraId="3350CAC1" w14:textId="4FE08DB1" w:rsidR="008E0F71" w:rsidRPr="008E0F71" w:rsidRDefault="00F406C4" w:rsidP="008E0F71">
      <w:pPr>
        <w:spacing w:after="0" w:line="360" w:lineRule="auto"/>
      </w:pPr>
      <w:r>
        <w:lastRenderedPageBreak/>
        <w:t>Establecida dicha circunstancia, se procede analizar la respuesta entregada por el Sujeto Obligado; en principio</w:t>
      </w:r>
      <w:r w:rsidR="009D72B4">
        <w:t xml:space="preserve">, </w:t>
      </w:r>
      <w:r w:rsidR="00943AF9">
        <w:t xml:space="preserve">del análisis de las constancias que obran en el expediente en el que se actúa, se advierte que el Sujeto Obligado tanto en </w:t>
      </w:r>
      <w:proofErr w:type="spellStart"/>
      <w:r w:rsidR="00943AF9">
        <w:t>respuesta</w:t>
      </w:r>
      <w:r>
        <w:t>,</w:t>
      </w:r>
      <w:r w:rsidR="00943AF9">
        <w:t>como</w:t>
      </w:r>
      <w:proofErr w:type="spellEnd"/>
      <w:r w:rsidR="00943AF9">
        <w:t xml:space="preserve"> en Informe Justificado, turno </w:t>
      </w:r>
      <w:r w:rsidR="002E5A42">
        <w:t xml:space="preserve">el requerimiento de información a la </w:t>
      </w:r>
      <w:r w:rsidR="002E5A42" w:rsidRPr="003C36E8">
        <w:rPr>
          <w:b/>
          <w:bCs/>
        </w:rPr>
        <w:t>Dirección de Finanzas</w:t>
      </w:r>
      <w:r w:rsidR="002E5A42">
        <w:t xml:space="preserve"> y a la </w:t>
      </w:r>
      <w:r w:rsidR="002E5A42" w:rsidRPr="003C36E8">
        <w:rPr>
          <w:b/>
          <w:bCs/>
        </w:rPr>
        <w:t>Coordinación de Atención al Público</w:t>
      </w:r>
      <w:r w:rsidR="002E5A42">
        <w:t xml:space="preserve">, </w:t>
      </w:r>
      <w:r w:rsidR="008E0F71" w:rsidRPr="008E0F71">
        <w:rPr>
          <w:bCs/>
        </w:rPr>
        <w:t>por lo cual es necesario hacer referencia al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3D7F2E2C" w14:textId="77777777" w:rsidR="008E0F71" w:rsidRPr="008E0F71" w:rsidRDefault="008E0F71" w:rsidP="008E0F71">
      <w:pPr>
        <w:spacing w:after="0" w:line="360" w:lineRule="auto"/>
        <w:rPr>
          <w:bCs/>
        </w:rPr>
      </w:pPr>
    </w:p>
    <w:p w14:paraId="531B2294" w14:textId="77777777" w:rsidR="008E0F71" w:rsidRPr="008E0F71" w:rsidRDefault="008E0F71" w:rsidP="008E0F71">
      <w:pPr>
        <w:numPr>
          <w:ilvl w:val="0"/>
          <w:numId w:val="1"/>
        </w:numPr>
        <w:spacing w:after="0" w:line="360" w:lineRule="auto"/>
        <w:rPr>
          <w:bCs/>
          <w:lang w:val="es-ES"/>
        </w:rPr>
      </w:pPr>
      <w:r w:rsidRPr="008E0F71">
        <w:rPr>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30A6460" w14:textId="77777777" w:rsidR="008E0F71" w:rsidRPr="008E0F71" w:rsidRDefault="008E0F71" w:rsidP="008E0F71">
      <w:pPr>
        <w:spacing w:after="0" w:line="360" w:lineRule="auto"/>
        <w:rPr>
          <w:bCs/>
          <w:lang w:val="es-ES"/>
        </w:rPr>
      </w:pPr>
    </w:p>
    <w:p w14:paraId="50B9A432" w14:textId="77777777" w:rsidR="008E0F71" w:rsidRPr="008E0F71" w:rsidRDefault="008E0F71" w:rsidP="008E0F71">
      <w:pPr>
        <w:numPr>
          <w:ilvl w:val="0"/>
          <w:numId w:val="1"/>
        </w:numPr>
        <w:spacing w:after="0" w:line="360" w:lineRule="auto"/>
        <w:rPr>
          <w:bCs/>
          <w:lang w:val="es-ES"/>
        </w:rPr>
      </w:pPr>
      <w:r w:rsidRPr="008E0F71">
        <w:rPr>
          <w:bCs/>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CDCEC86" w14:textId="77777777" w:rsidR="008E0F71" w:rsidRPr="008E0F71" w:rsidRDefault="008E0F71" w:rsidP="008E0F71">
      <w:pPr>
        <w:spacing w:after="0" w:line="360" w:lineRule="auto"/>
        <w:rPr>
          <w:bCs/>
        </w:rPr>
      </w:pPr>
    </w:p>
    <w:p w14:paraId="1ECCD65B" w14:textId="2C66025C" w:rsidR="009D72B4" w:rsidRPr="00CC34CB" w:rsidRDefault="008E0F71" w:rsidP="008E0F71">
      <w:pPr>
        <w:spacing w:after="0" w:line="360" w:lineRule="auto"/>
        <w:rPr>
          <w:bCs/>
        </w:rPr>
      </w:pPr>
      <w:r w:rsidRPr="008E0F71">
        <w:rPr>
          <w:bCs/>
        </w:rPr>
        <w:t>Atendiendo a lo dispuesto en los preceptos legales de referencia, a efecto de determinar si el Sujeto Obligado cumplió con el procedimiento de búsqueda, resulta necesario</w:t>
      </w:r>
      <w:r w:rsidR="006422F5">
        <w:rPr>
          <w:bCs/>
        </w:rPr>
        <w:t xml:space="preserve"> traer a colación </w:t>
      </w:r>
      <w:r w:rsidR="00CC34CB">
        <w:rPr>
          <w:bCs/>
        </w:rPr>
        <w:t xml:space="preserve">el artículo </w:t>
      </w:r>
      <w:r w:rsidR="00B6121D">
        <w:rPr>
          <w:rFonts w:eastAsia="Calibri" w:cs="Tahoma"/>
        </w:rPr>
        <w:t>13, fracciones III y IX,</w:t>
      </w:r>
      <w:r w:rsidR="00CC34CB">
        <w:rPr>
          <w:bCs/>
        </w:rPr>
        <w:t xml:space="preserve"> del </w:t>
      </w:r>
      <w:r w:rsidR="006422F5">
        <w:t xml:space="preserve">Reglamento Interno del </w:t>
      </w:r>
      <w:r w:rsidR="006422F5" w:rsidRPr="00E430E3">
        <w:rPr>
          <w:rFonts w:eastAsia="Calibri" w:cs="Tahoma"/>
        </w:rPr>
        <w:t>Organismo Descentralizado de Agua Potable Alcantarillado y Saneamiento de Nezahualcóyotl</w:t>
      </w:r>
      <w:r w:rsidR="006422F5">
        <w:rPr>
          <w:rFonts w:eastAsia="Calibri" w:cs="Tahoma"/>
        </w:rPr>
        <w:t xml:space="preserve">, </w:t>
      </w:r>
      <w:r w:rsidR="00B6121D">
        <w:rPr>
          <w:rFonts w:eastAsia="Calibri" w:cs="Tahoma"/>
        </w:rPr>
        <w:t>que precisa que el Sujeto Obligado cuenta con diversas unidades administrativas para el ejercicio de sus funciones, entre las cuales, se encuentran las siguientes:</w:t>
      </w:r>
      <w:r w:rsidR="004E07BB">
        <w:rPr>
          <w:rFonts w:eastAsia="Calibri" w:cs="Tahoma"/>
        </w:rPr>
        <w:t xml:space="preserve"> </w:t>
      </w:r>
    </w:p>
    <w:p w14:paraId="70904EB2" w14:textId="77777777" w:rsidR="009D72B4" w:rsidRDefault="009D72B4" w:rsidP="006365E2">
      <w:pPr>
        <w:spacing w:after="0" w:line="360" w:lineRule="auto"/>
      </w:pPr>
    </w:p>
    <w:p w14:paraId="77876177" w14:textId="20969E9C" w:rsidR="009D72B4" w:rsidRPr="00C51E8E" w:rsidRDefault="004E07BB" w:rsidP="007E2379">
      <w:pPr>
        <w:pStyle w:val="Prrafodelista"/>
        <w:numPr>
          <w:ilvl w:val="0"/>
          <w:numId w:val="31"/>
        </w:numPr>
        <w:spacing w:line="360" w:lineRule="auto"/>
        <w:jc w:val="both"/>
        <w:rPr>
          <w:rFonts w:ascii="Palatino Linotype" w:hAnsi="Palatino Linotype"/>
          <w:b/>
          <w:bCs/>
        </w:rPr>
      </w:pPr>
      <w:r w:rsidRPr="00C51E8E">
        <w:rPr>
          <w:rFonts w:ascii="Palatino Linotype" w:hAnsi="Palatino Linotype"/>
          <w:b/>
          <w:bCs/>
        </w:rPr>
        <w:t>Dirección de Finanzas (artículo</w:t>
      </w:r>
      <w:r w:rsidR="00030E09" w:rsidRPr="00C51E8E">
        <w:rPr>
          <w:rFonts w:ascii="Palatino Linotype" w:hAnsi="Palatino Linotype"/>
          <w:b/>
          <w:bCs/>
        </w:rPr>
        <w:t xml:space="preserve"> 18): </w:t>
      </w:r>
      <w:r w:rsidR="00B6121D">
        <w:rPr>
          <w:rFonts w:ascii="Palatino Linotype" w:hAnsi="Palatino Linotype"/>
        </w:rPr>
        <w:t>Que</w:t>
      </w:r>
      <w:r w:rsidR="00030E09" w:rsidRPr="00C51E8E">
        <w:rPr>
          <w:rFonts w:ascii="Palatino Linotype" w:hAnsi="Palatino Linotype"/>
        </w:rPr>
        <w:t xml:space="preserve"> </w:t>
      </w:r>
      <w:r w:rsidR="00E14E16" w:rsidRPr="00C51E8E">
        <w:rPr>
          <w:rFonts w:ascii="Palatino Linotype" w:hAnsi="Palatino Linotype"/>
        </w:rPr>
        <w:t>administra los recursos humanos, financieros y materiales del Organismo</w:t>
      </w:r>
      <w:r w:rsidR="00B6121D">
        <w:rPr>
          <w:rFonts w:ascii="Palatino Linotype" w:hAnsi="Palatino Linotype"/>
        </w:rPr>
        <w:t>;</w:t>
      </w:r>
      <w:r w:rsidR="00B37789" w:rsidRPr="00C51E8E">
        <w:rPr>
          <w:rFonts w:ascii="Palatino Linotype" w:hAnsi="Palatino Linotype"/>
        </w:rPr>
        <w:t xml:space="preserve"> elabora lo</w:t>
      </w:r>
      <w:r w:rsidR="00B6121D">
        <w:rPr>
          <w:rFonts w:ascii="Palatino Linotype" w:hAnsi="Palatino Linotype"/>
        </w:rPr>
        <w:t>s</w:t>
      </w:r>
      <w:r w:rsidR="00B37789" w:rsidRPr="00C51E8E">
        <w:rPr>
          <w:rFonts w:ascii="Palatino Linotype" w:hAnsi="Palatino Linotype"/>
        </w:rPr>
        <w:t xml:space="preserve"> anteproyectos de presupuestos </w:t>
      </w:r>
      <w:r w:rsidR="0006556D" w:rsidRPr="00C51E8E">
        <w:rPr>
          <w:rFonts w:ascii="Palatino Linotype" w:hAnsi="Palatino Linotype"/>
        </w:rPr>
        <w:t>de ingresos y egresos</w:t>
      </w:r>
      <w:r w:rsidR="00B6121D">
        <w:rPr>
          <w:rFonts w:ascii="Palatino Linotype" w:hAnsi="Palatino Linotype"/>
        </w:rPr>
        <w:t>, y</w:t>
      </w:r>
      <w:r w:rsidR="0006556D" w:rsidRPr="00C51E8E">
        <w:rPr>
          <w:rFonts w:ascii="Palatino Linotype" w:hAnsi="Palatino Linotype"/>
        </w:rPr>
        <w:t xml:space="preserve"> </w:t>
      </w:r>
      <w:r w:rsidR="00B6121D">
        <w:rPr>
          <w:rFonts w:ascii="Palatino Linotype" w:hAnsi="Palatino Linotype"/>
        </w:rPr>
        <w:t>genera</w:t>
      </w:r>
      <w:r w:rsidR="0006556D" w:rsidRPr="00C51E8E">
        <w:rPr>
          <w:rFonts w:ascii="Palatino Linotype" w:hAnsi="Palatino Linotype"/>
        </w:rPr>
        <w:t>, analiza y consolida los estados financieros</w:t>
      </w:r>
      <w:r w:rsidR="007E2379" w:rsidRPr="00C51E8E">
        <w:rPr>
          <w:rFonts w:ascii="Palatino Linotype" w:hAnsi="Palatino Linotype"/>
        </w:rPr>
        <w:t>, ente otros.</w:t>
      </w:r>
    </w:p>
    <w:p w14:paraId="5AB1FDF1" w14:textId="77777777" w:rsidR="00C51E8E" w:rsidRPr="00C51E8E" w:rsidRDefault="00C51E8E" w:rsidP="00C51E8E">
      <w:pPr>
        <w:pStyle w:val="Prrafodelista"/>
        <w:spacing w:line="360" w:lineRule="auto"/>
        <w:jc w:val="both"/>
        <w:rPr>
          <w:rFonts w:ascii="Palatino Linotype" w:hAnsi="Palatino Linotype"/>
          <w:b/>
          <w:bCs/>
        </w:rPr>
      </w:pPr>
    </w:p>
    <w:p w14:paraId="5F2DAE6E" w14:textId="5E502081" w:rsidR="004E07BB" w:rsidRPr="002C3326" w:rsidRDefault="00F363A4" w:rsidP="002A0FF0">
      <w:pPr>
        <w:pStyle w:val="Prrafodelista"/>
        <w:numPr>
          <w:ilvl w:val="0"/>
          <w:numId w:val="31"/>
        </w:numPr>
        <w:spacing w:line="360" w:lineRule="auto"/>
        <w:jc w:val="both"/>
      </w:pPr>
      <w:r w:rsidRPr="002C3326">
        <w:rPr>
          <w:rFonts w:ascii="Palatino Linotype" w:hAnsi="Palatino Linotype"/>
          <w:b/>
          <w:bCs/>
        </w:rPr>
        <w:t xml:space="preserve">Coordinación de </w:t>
      </w:r>
      <w:r w:rsidR="002C3326">
        <w:rPr>
          <w:rFonts w:ascii="Palatino Linotype" w:hAnsi="Palatino Linotype"/>
          <w:b/>
          <w:bCs/>
        </w:rPr>
        <w:t>Atención y Respuesta a la Ciudadanía</w:t>
      </w:r>
      <w:r w:rsidRPr="002C3326">
        <w:rPr>
          <w:rFonts w:ascii="Palatino Linotype" w:hAnsi="Palatino Linotype"/>
          <w:b/>
          <w:bCs/>
        </w:rPr>
        <w:t xml:space="preserve"> (artículo 27): </w:t>
      </w:r>
      <w:r w:rsidR="00C51E8E">
        <w:rPr>
          <w:rFonts w:ascii="Palatino Linotype" w:hAnsi="Palatino Linotype"/>
        </w:rPr>
        <w:t xml:space="preserve">Que </w:t>
      </w:r>
      <w:r w:rsidR="00B6121D">
        <w:rPr>
          <w:rFonts w:ascii="Palatino Linotype" w:hAnsi="Palatino Linotype"/>
        </w:rPr>
        <w:t>atiende</w:t>
      </w:r>
      <w:r w:rsidR="00C51E8E" w:rsidRPr="00C51E8E">
        <w:rPr>
          <w:rFonts w:ascii="Palatino Linotype" w:hAnsi="Palatino Linotype"/>
        </w:rPr>
        <w:t xml:space="preserve"> los requerimientos de información y reportes de la población </w:t>
      </w:r>
      <w:r w:rsidR="002C3326">
        <w:rPr>
          <w:rFonts w:ascii="Palatino Linotype" w:hAnsi="Palatino Linotype"/>
        </w:rPr>
        <w:t>y supervisa y da seguimiento al desahogo de los requerimientos turnados.</w:t>
      </w:r>
    </w:p>
    <w:p w14:paraId="53BBFA83" w14:textId="77777777" w:rsidR="002C3326" w:rsidRDefault="002C3326" w:rsidP="002C3326">
      <w:pPr>
        <w:spacing w:after="0" w:line="360" w:lineRule="auto"/>
      </w:pPr>
    </w:p>
    <w:p w14:paraId="008E890B" w14:textId="06B1D200" w:rsidR="002F0D24" w:rsidRPr="002F0D24" w:rsidRDefault="002F0D24" w:rsidP="002F0D24">
      <w:pPr>
        <w:spacing w:after="0" w:line="360" w:lineRule="auto"/>
        <w:rPr>
          <w:bCs/>
        </w:rPr>
      </w:pPr>
      <w:r w:rsidRPr="002F0D24">
        <w:rPr>
          <w:bCs/>
        </w:rPr>
        <w:t>Conforme a lo previo, se advierte que el Ente Recurrido gestionó el requerimiento de información</w:t>
      </w:r>
      <w:r w:rsidR="005210C5">
        <w:rPr>
          <w:bCs/>
        </w:rPr>
        <w:t xml:space="preserve"> ante la Dirección de Finanzas y la Coordinación de Atención al Público</w:t>
      </w:r>
      <w:r w:rsidR="002C3326">
        <w:rPr>
          <w:bCs/>
        </w:rPr>
        <w:t xml:space="preserve">; sin embargo, </w:t>
      </w:r>
      <w:r w:rsidR="005210C5">
        <w:rPr>
          <w:bCs/>
        </w:rPr>
        <w:t xml:space="preserve">la primera </w:t>
      </w:r>
      <w:r w:rsidR="0015128C">
        <w:rPr>
          <w:bCs/>
        </w:rPr>
        <w:t>no tiene competencia para conocer de lo solicitado</w:t>
      </w:r>
      <w:r w:rsidR="002C3326">
        <w:rPr>
          <w:bCs/>
        </w:rPr>
        <w:t>, tal como lo refirió en respuesta, como en Informe Justificado</w:t>
      </w:r>
      <w:r w:rsidR="0015128C">
        <w:rPr>
          <w:bCs/>
        </w:rPr>
        <w:t>,</w:t>
      </w:r>
      <w:r w:rsidR="00F50E74">
        <w:rPr>
          <w:bCs/>
        </w:rPr>
        <w:t xml:space="preserve"> pues </w:t>
      </w:r>
      <w:r w:rsidR="002C3326">
        <w:rPr>
          <w:bCs/>
        </w:rPr>
        <w:t>únicamente tiene</w:t>
      </w:r>
      <w:r w:rsidR="00F50E74">
        <w:rPr>
          <w:bCs/>
        </w:rPr>
        <w:t xml:space="preserve"> atribuciones para </w:t>
      </w:r>
      <w:r w:rsidR="00F50E74" w:rsidRPr="00F50E74">
        <w:rPr>
          <w:bCs/>
        </w:rPr>
        <w:t>administrar los recursos humanos, financieros y materiales del Organismo</w:t>
      </w:r>
      <w:r w:rsidR="002C3326">
        <w:rPr>
          <w:bCs/>
        </w:rPr>
        <w:t xml:space="preserve">; mientras que la segunda si cuenta con atribuciones para conocer de lo solicitado, pues es le encargada ver las cuestiones informativas con la población en general, lo cual incluye sus trámites, por lo que, </w:t>
      </w:r>
      <w:r w:rsidR="0016336E">
        <w:t xml:space="preserve">el Ente Recurrido </w:t>
      </w:r>
      <w:r w:rsidRPr="002F0D24">
        <w:t xml:space="preserve">cumplió con </w:t>
      </w:r>
      <w:r w:rsidR="002C3326">
        <w:t>el procedimiento</w:t>
      </w:r>
      <w:r w:rsidRPr="002F0D24">
        <w:t xml:space="preserve"> establecido en el artículo 162 de la Ley de Transparencia y Acceso a la Información Pública del Estado de México y Municipios</w:t>
      </w:r>
      <w:r w:rsidR="002C3326">
        <w:t>, al turnar la solicitud de información</w:t>
      </w:r>
      <w:r w:rsidR="009778B8">
        <w:t>, a la unidad administrativa competente.</w:t>
      </w:r>
    </w:p>
    <w:p w14:paraId="190F4341" w14:textId="77777777" w:rsidR="004E07BB" w:rsidRDefault="004E07BB" w:rsidP="006365E2">
      <w:pPr>
        <w:spacing w:after="0" w:line="360" w:lineRule="auto"/>
      </w:pPr>
    </w:p>
    <w:p w14:paraId="260EBD2A" w14:textId="28670B30" w:rsidR="00EA03C1" w:rsidRDefault="009778B8" w:rsidP="003C21A6">
      <w:pPr>
        <w:spacing w:after="0" w:line="360" w:lineRule="auto"/>
        <w:rPr>
          <w:bCs/>
        </w:rPr>
      </w:pPr>
      <w:r>
        <w:rPr>
          <w:bCs/>
        </w:rPr>
        <w:t>Ahora bien, dicha área</w:t>
      </w:r>
      <w:r w:rsidR="003C21A6">
        <w:rPr>
          <w:bCs/>
        </w:rPr>
        <w:t>, tanto en respuesta</w:t>
      </w:r>
      <w:r>
        <w:rPr>
          <w:bCs/>
        </w:rPr>
        <w:t>,</w:t>
      </w:r>
      <w:r w:rsidR="003C21A6">
        <w:rPr>
          <w:bCs/>
        </w:rPr>
        <w:t xml:space="preserve"> como en Informe Justificado, </w:t>
      </w:r>
      <w:r>
        <w:rPr>
          <w:bCs/>
        </w:rPr>
        <w:t>señaló que los trámites que daban cuenta de lo solicitado, eran los denominados “</w:t>
      </w:r>
      <w:r w:rsidRPr="009778B8">
        <w:rPr>
          <w:bCs/>
        </w:rPr>
        <w:t xml:space="preserve">Instalación y/o </w:t>
      </w:r>
      <w:r>
        <w:rPr>
          <w:bCs/>
        </w:rPr>
        <w:t>reconstrucción</w:t>
      </w:r>
      <w:r w:rsidRPr="009778B8">
        <w:rPr>
          <w:bCs/>
        </w:rPr>
        <w:t xml:space="preserve"> de toma de agua potable</w:t>
      </w:r>
      <w:r>
        <w:rPr>
          <w:bCs/>
        </w:rPr>
        <w:t>” y “</w:t>
      </w:r>
      <w:r w:rsidRPr="009778B8">
        <w:rPr>
          <w:bCs/>
        </w:rPr>
        <w:t>Instalación y/o sustitución de descarga de drenaje</w:t>
      </w:r>
      <w:r>
        <w:rPr>
          <w:bCs/>
        </w:rPr>
        <w:t>”; además proporcionó lo siguiente:</w:t>
      </w:r>
    </w:p>
    <w:p w14:paraId="1424E677" w14:textId="66AA1548" w:rsidR="009778B8" w:rsidRPr="009778B8" w:rsidRDefault="009778B8" w:rsidP="003C21A6">
      <w:pPr>
        <w:spacing w:after="0" w:line="360" w:lineRule="auto"/>
      </w:pPr>
    </w:p>
    <w:p w14:paraId="25FF51E3" w14:textId="30C2E21C" w:rsidR="009778B8" w:rsidRPr="000A4BDA" w:rsidRDefault="009778B8" w:rsidP="000A4BDA">
      <w:pPr>
        <w:pStyle w:val="Prrafodelista"/>
        <w:numPr>
          <w:ilvl w:val="0"/>
          <w:numId w:val="33"/>
        </w:numPr>
        <w:spacing w:line="360" w:lineRule="auto"/>
        <w:jc w:val="both"/>
        <w:rPr>
          <w:rFonts w:ascii="Palatino Linotype" w:hAnsi="Palatino Linotype"/>
          <w:b/>
          <w:bCs/>
        </w:rPr>
      </w:pPr>
      <w:r w:rsidRPr="009778B8">
        <w:rPr>
          <w:rFonts w:ascii="Palatino Linotype" w:hAnsi="Palatino Linotype"/>
          <w:b/>
          <w:bCs/>
        </w:rPr>
        <w:lastRenderedPageBreak/>
        <w:t>Procedimiento</w:t>
      </w:r>
      <w:r>
        <w:rPr>
          <w:rFonts w:ascii="Palatino Linotype" w:hAnsi="Palatino Linotype"/>
          <w:b/>
          <w:bCs/>
        </w:rPr>
        <w:t xml:space="preserve">: </w:t>
      </w:r>
      <w:r w:rsidR="000A4BDA">
        <w:rPr>
          <w:rFonts w:ascii="Palatino Linotype" w:hAnsi="Palatino Linotype"/>
        </w:rPr>
        <w:t>Que el solicitante debía presentarse en la unidad administrativa (indicó ubicación y horarios de servicio), para solicitar una visita de inspección por el área competente, a efecto de que determinara la factibilidad de la introducción de los servicios en el predio correspondiente; en caso, afirmativo debía presentar los requisitos correspondientes.</w:t>
      </w:r>
    </w:p>
    <w:p w14:paraId="3F69074A" w14:textId="77777777" w:rsidR="000A4BDA" w:rsidRPr="000A4BDA" w:rsidRDefault="000A4BDA" w:rsidP="000A4BDA">
      <w:pPr>
        <w:pStyle w:val="Prrafodelista"/>
        <w:spacing w:line="360" w:lineRule="auto"/>
        <w:jc w:val="both"/>
        <w:rPr>
          <w:rFonts w:ascii="Palatino Linotype" w:hAnsi="Palatino Linotype"/>
          <w:b/>
          <w:bCs/>
        </w:rPr>
      </w:pPr>
    </w:p>
    <w:p w14:paraId="37AE320D" w14:textId="3F05DA0D" w:rsidR="000A4BDA" w:rsidRPr="00E4587E" w:rsidRDefault="000A4BDA" w:rsidP="000A4BDA">
      <w:pPr>
        <w:pStyle w:val="Prrafodelista"/>
        <w:numPr>
          <w:ilvl w:val="0"/>
          <w:numId w:val="33"/>
        </w:numPr>
        <w:spacing w:line="360" w:lineRule="auto"/>
        <w:jc w:val="both"/>
        <w:rPr>
          <w:rFonts w:ascii="Palatino Linotype" w:hAnsi="Palatino Linotype"/>
          <w:b/>
          <w:bCs/>
        </w:rPr>
      </w:pPr>
      <w:r>
        <w:rPr>
          <w:rFonts w:ascii="Palatino Linotype" w:hAnsi="Palatino Linotype"/>
          <w:b/>
          <w:bCs/>
        </w:rPr>
        <w:t xml:space="preserve">Requisitos: </w:t>
      </w:r>
      <w:r>
        <w:rPr>
          <w:rFonts w:ascii="Palatino Linotype" w:hAnsi="Palatino Linotype"/>
        </w:rPr>
        <w:t>Dos copias de recibo de pago de agua vigente; copia de recibo de pago predial vigente; copia del documento que acredite la propiedad del predio o inmueble; dos copias de identificación oficial; croquis de la ubicación; fotografía de la fachada; carta poder o poder notarial en su caso</w:t>
      </w:r>
      <w:r w:rsidR="00E4587E">
        <w:rPr>
          <w:rFonts w:ascii="Palatino Linotype" w:hAnsi="Palatino Linotype"/>
        </w:rPr>
        <w:t xml:space="preserve"> y el pago del costo de la instrucción de los servicios.</w:t>
      </w:r>
    </w:p>
    <w:p w14:paraId="1210319F" w14:textId="77777777" w:rsidR="00E4587E" w:rsidRPr="00E4587E" w:rsidRDefault="00E4587E" w:rsidP="00E4587E">
      <w:pPr>
        <w:pStyle w:val="Prrafodelista"/>
        <w:rPr>
          <w:rFonts w:ascii="Palatino Linotype" w:hAnsi="Palatino Linotype"/>
          <w:b/>
          <w:bCs/>
        </w:rPr>
      </w:pPr>
    </w:p>
    <w:p w14:paraId="5E8AE8C2" w14:textId="528680F6" w:rsidR="00E4587E" w:rsidRPr="009778B8" w:rsidRDefault="00E4587E" w:rsidP="000A4BDA">
      <w:pPr>
        <w:pStyle w:val="Prrafodelista"/>
        <w:numPr>
          <w:ilvl w:val="0"/>
          <w:numId w:val="33"/>
        </w:numPr>
        <w:spacing w:line="360" w:lineRule="auto"/>
        <w:jc w:val="both"/>
        <w:rPr>
          <w:rFonts w:ascii="Palatino Linotype" w:hAnsi="Palatino Linotype"/>
          <w:b/>
          <w:bCs/>
        </w:rPr>
      </w:pPr>
      <w:r>
        <w:rPr>
          <w:rFonts w:ascii="Palatino Linotype" w:hAnsi="Palatino Linotype"/>
          <w:b/>
          <w:bCs/>
        </w:rPr>
        <w:t xml:space="preserve">Fundamento legal y administrativo: </w:t>
      </w:r>
      <w:r>
        <w:rPr>
          <w:rFonts w:ascii="Palatino Linotype" w:hAnsi="Palatino Linotype"/>
        </w:rPr>
        <w:t>Artículo 135, fracción II, del Código Financiero del Estado de México y Municipios.</w:t>
      </w:r>
    </w:p>
    <w:p w14:paraId="0D0ED8BC" w14:textId="77777777" w:rsidR="00EA03C1" w:rsidRDefault="00EA03C1" w:rsidP="003C21A6">
      <w:pPr>
        <w:spacing w:after="0" w:line="360" w:lineRule="auto"/>
        <w:rPr>
          <w:bCs/>
        </w:rPr>
      </w:pPr>
    </w:p>
    <w:p w14:paraId="58BDDE55" w14:textId="437502BF" w:rsidR="00F92E4F" w:rsidRPr="00F92E4F" w:rsidRDefault="00E4587E" w:rsidP="00F92E4F">
      <w:pPr>
        <w:spacing w:after="0" w:line="360" w:lineRule="auto"/>
        <w:rPr>
          <w:bCs/>
        </w:rPr>
      </w:pPr>
      <w:r>
        <w:rPr>
          <w:bCs/>
        </w:rPr>
        <w:t>Al respecto</w:t>
      </w:r>
      <w:r w:rsidR="00F92E4F" w:rsidRPr="00F92E4F">
        <w:rPr>
          <w:bCs/>
        </w:rPr>
        <w:t>, cabe puntualizar que este este Instituto, no tiene atribuciones para pronunciarse sobre la veracidad de la información, inclusive de la proporcionada durante la substanciación del Medio de Impugnación</w:t>
      </w:r>
      <w:r>
        <w:rPr>
          <w:bCs/>
        </w:rPr>
        <w:t>; a</w:t>
      </w:r>
      <w:r w:rsidR="00F92E4F" w:rsidRPr="00F92E4F">
        <w:rPr>
          <w:bCs/>
        </w:rPr>
        <w:t>poya lo anterior, el Criterio histórico 31/10, emitido por el Pleno del entonces Instituto Federal de Acceso a la Información y Protección de Datos, que a continuación se cita:</w:t>
      </w:r>
    </w:p>
    <w:p w14:paraId="31DE17DE" w14:textId="77777777" w:rsidR="00EA03C1" w:rsidRDefault="00EA03C1" w:rsidP="003C21A6">
      <w:pPr>
        <w:spacing w:after="0" w:line="360" w:lineRule="auto"/>
        <w:rPr>
          <w:bCs/>
        </w:rPr>
      </w:pPr>
    </w:p>
    <w:p w14:paraId="58DDBB81" w14:textId="77777777" w:rsidR="00A14FFE" w:rsidRPr="00A14FFE" w:rsidRDefault="00A14FFE" w:rsidP="00A14FFE">
      <w:pPr>
        <w:spacing w:after="0" w:line="360" w:lineRule="auto"/>
        <w:ind w:left="567" w:right="567"/>
        <w:rPr>
          <w:i/>
          <w:sz w:val="20"/>
          <w:szCs w:val="20"/>
        </w:rPr>
      </w:pPr>
      <w:r w:rsidRPr="00A14FFE">
        <w:rPr>
          <w:b/>
          <w:i/>
          <w:sz w:val="20"/>
          <w:szCs w:val="20"/>
        </w:rPr>
        <w:t>“El Instituto Federal de Acceso a la Información y Protección de Datos no cuenta con facultades para pronunciarse respecto de la veracidad de los documentos proporcionados por los sujetos obligados.</w:t>
      </w:r>
      <w:r w:rsidRPr="00A14FFE">
        <w:rPr>
          <w:i/>
          <w:sz w:val="20"/>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w:t>
      </w:r>
      <w:r w:rsidRPr="00A14FFE">
        <w:rPr>
          <w:i/>
          <w:sz w:val="20"/>
          <w:szCs w:val="20"/>
        </w:rPr>
        <w:lastRenderedPageBreak/>
        <w:t>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866C9E3" w14:textId="7AF7262F" w:rsidR="004E07BB" w:rsidRDefault="004E07BB" w:rsidP="006365E2">
      <w:pPr>
        <w:spacing w:after="0" w:line="360" w:lineRule="auto"/>
      </w:pPr>
    </w:p>
    <w:p w14:paraId="7680E03E" w14:textId="035E310C" w:rsidR="00E4587E" w:rsidRDefault="00E4587E" w:rsidP="006365E2">
      <w:pPr>
        <w:spacing w:after="0" w:line="360" w:lineRule="auto"/>
      </w:pPr>
      <w:r>
        <w:t>En ese contexto, el artículo 135</w:t>
      </w:r>
      <w:r w:rsidR="00B164A3">
        <w:t xml:space="preserve"> </w:t>
      </w:r>
      <w:r>
        <w:t>del Código Financiero del Estad</w:t>
      </w:r>
      <w:r w:rsidR="00B164A3">
        <w:t>o de México y Municipios</w:t>
      </w:r>
      <w:r w:rsidR="000E4BF9">
        <w:t>, establece que, para la prestación de los servicios de conexión de agua y drenaje, consistente en la instalación y realización física de las obras de la toma y descarga de agua potable y residual, se realizará previo a los derechos establecidos en dicho ordenamiento jurídico.</w:t>
      </w:r>
    </w:p>
    <w:p w14:paraId="5451B96A" w14:textId="5E42EB47" w:rsidR="000E4BF9" w:rsidRDefault="000E4BF9" w:rsidP="006365E2">
      <w:pPr>
        <w:spacing w:after="0" w:line="360" w:lineRule="auto"/>
      </w:pPr>
    </w:p>
    <w:p w14:paraId="4848DF7B" w14:textId="6C5E09AB" w:rsidR="000E4BF9" w:rsidRDefault="000E4BF9" w:rsidP="006365E2">
      <w:pPr>
        <w:spacing w:after="0" w:line="360" w:lineRule="auto"/>
      </w:pPr>
      <w:r>
        <w:t xml:space="preserve">Además, se localizó en la fracción XXIV “Trámites, requisitos y formatos que ofrecen”  del Portal de Información Pública de Oficio Mexiquense del Ente Recurrido (consultada el veinticuatro de enero de dos mil veintidós, a las dieciocho horas, en la liga </w:t>
      </w:r>
      <w:hyperlink r:id="rId8" w:history="1">
        <w:r w:rsidRPr="002522CC">
          <w:rPr>
            <w:rStyle w:val="Hipervnculo"/>
          </w:rPr>
          <w:t>https://www.ipomex.org.mx/ipo3/lgt/indice/OASNEZAHUALCOYOTL/art_92_xxiv/3.web</w:t>
        </w:r>
      </w:hyperlink>
      <w:r>
        <w:t>), los trámites de instalación o sustitución de descarga de drenaje</w:t>
      </w:r>
      <w:r w:rsidR="00447DB3">
        <w:t xml:space="preserve"> (generar o sustituir una descarga de drenaje)</w:t>
      </w:r>
      <w:r>
        <w:t xml:space="preserve"> y de </w:t>
      </w:r>
      <w:r w:rsidR="00447DB3">
        <w:t>toma de agua (generar o sustituir una toma de agua), tal como se muestra a continuación:</w:t>
      </w:r>
    </w:p>
    <w:p w14:paraId="6EA5E4DF" w14:textId="6D4A33AC" w:rsidR="00447DB3" w:rsidRDefault="00447DB3" w:rsidP="006365E2">
      <w:pPr>
        <w:spacing w:after="0" w:line="360" w:lineRule="auto"/>
      </w:pPr>
    </w:p>
    <w:p w14:paraId="52AD46A5" w14:textId="230DE7C2" w:rsidR="00447DB3" w:rsidRDefault="00447DB3" w:rsidP="00447DB3">
      <w:pPr>
        <w:spacing w:after="0" w:line="360" w:lineRule="auto"/>
        <w:jc w:val="center"/>
      </w:pPr>
      <w:r>
        <w:rPr>
          <w:noProof/>
        </w:rPr>
        <w:drawing>
          <wp:inline distT="0" distB="0" distL="0" distR="0" wp14:anchorId="051FE3F0" wp14:editId="097AC250">
            <wp:extent cx="4693024" cy="181816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329" b="53240"/>
                    <a:stretch/>
                  </pic:blipFill>
                  <pic:spPr bwMode="auto">
                    <a:xfrm>
                      <a:off x="0" y="0"/>
                      <a:ext cx="4695825" cy="1819252"/>
                    </a:xfrm>
                    <a:prstGeom prst="rect">
                      <a:avLst/>
                    </a:prstGeom>
                    <a:ln>
                      <a:noFill/>
                    </a:ln>
                    <a:extLst>
                      <a:ext uri="{53640926-AAD7-44D8-BBD7-CCE9431645EC}">
                        <a14:shadowObscured xmlns:a14="http://schemas.microsoft.com/office/drawing/2010/main"/>
                      </a:ext>
                    </a:extLst>
                  </pic:spPr>
                </pic:pic>
              </a:graphicData>
            </a:graphic>
          </wp:inline>
        </w:drawing>
      </w:r>
    </w:p>
    <w:p w14:paraId="6780B658" w14:textId="57202175" w:rsidR="00447DB3" w:rsidRDefault="00447DB3" w:rsidP="00447DB3">
      <w:pPr>
        <w:spacing w:after="0" w:line="360" w:lineRule="auto"/>
        <w:jc w:val="center"/>
      </w:pPr>
      <w:r>
        <w:rPr>
          <w:noProof/>
        </w:rPr>
        <w:lastRenderedPageBreak/>
        <w:drawing>
          <wp:inline distT="0" distB="0" distL="0" distR="0" wp14:anchorId="06B078D3" wp14:editId="77E646C3">
            <wp:extent cx="4695221" cy="2338572"/>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46735"/>
                    <a:stretch/>
                  </pic:blipFill>
                  <pic:spPr bwMode="auto">
                    <a:xfrm>
                      <a:off x="0" y="0"/>
                      <a:ext cx="4695825" cy="2338873"/>
                    </a:xfrm>
                    <a:prstGeom prst="rect">
                      <a:avLst/>
                    </a:prstGeom>
                    <a:ln>
                      <a:noFill/>
                    </a:ln>
                    <a:extLst>
                      <a:ext uri="{53640926-AAD7-44D8-BBD7-CCE9431645EC}">
                        <a14:shadowObscured xmlns:a14="http://schemas.microsoft.com/office/drawing/2010/main"/>
                      </a:ext>
                    </a:extLst>
                  </pic:spPr>
                </pic:pic>
              </a:graphicData>
            </a:graphic>
          </wp:inline>
        </w:drawing>
      </w:r>
    </w:p>
    <w:p w14:paraId="2FBB5AA1" w14:textId="01FB221C" w:rsidR="00447DB3" w:rsidRDefault="00447DB3" w:rsidP="00447DB3">
      <w:pPr>
        <w:spacing w:after="0" w:line="360" w:lineRule="auto"/>
        <w:jc w:val="center"/>
      </w:pPr>
    </w:p>
    <w:p w14:paraId="0FF60888" w14:textId="1A54E7B9" w:rsidR="00E4587E" w:rsidRDefault="00447DB3" w:rsidP="00447DB3">
      <w:pPr>
        <w:spacing w:after="0" w:line="360" w:lineRule="auto"/>
        <w:jc w:val="center"/>
      </w:pPr>
      <w:r>
        <w:rPr>
          <w:noProof/>
        </w:rPr>
        <w:drawing>
          <wp:inline distT="0" distB="0" distL="0" distR="0" wp14:anchorId="464A591B" wp14:editId="2895898F">
            <wp:extent cx="4676775" cy="412410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6282"/>
                    <a:stretch/>
                  </pic:blipFill>
                  <pic:spPr bwMode="auto">
                    <a:xfrm>
                      <a:off x="0" y="0"/>
                      <a:ext cx="4676775" cy="4124103"/>
                    </a:xfrm>
                    <a:prstGeom prst="rect">
                      <a:avLst/>
                    </a:prstGeom>
                    <a:ln>
                      <a:noFill/>
                    </a:ln>
                    <a:extLst>
                      <a:ext uri="{53640926-AAD7-44D8-BBD7-CCE9431645EC}">
                        <a14:shadowObscured xmlns:a14="http://schemas.microsoft.com/office/drawing/2010/main"/>
                      </a:ext>
                    </a:extLst>
                  </pic:spPr>
                </pic:pic>
              </a:graphicData>
            </a:graphic>
          </wp:inline>
        </w:drawing>
      </w:r>
    </w:p>
    <w:p w14:paraId="0205E9E0" w14:textId="6964A84E" w:rsidR="00E4587E" w:rsidRDefault="00E4587E" w:rsidP="006365E2">
      <w:pPr>
        <w:spacing w:after="0" w:line="360" w:lineRule="auto"/>
      </w:pPr>
    </w:p>
    <w:p w14:paraId="5599B3F7" w14:textId="77777777" w:rsidR="005B1AA9" w:rsidRDefault="005B1AA9" w:rsidP="006365E2">
      <w:pPr>
        <w:spacing w:after="0" w:line="360" w:lineRule="auto"/>
      </w:pPr>
    </w:p>
    <w:p w14:paraId="578CE489" w14:textId="7A91DC13" w:rsidR="00DF0F27" w:rsidRPr="00DF0F27" w:rsidRDefault="00447DB3" w:rsidP="00DF0F27">
      <w:pPr>
        <w:spacing w:after="0" w:line="360" w:lineRule="auto"/>
        <w:rPr>
          <w:bCs/>
        </w:rPr>
      </w:pPr>
      <w:r>
        <w:t xml:space="preserve">Como se logra observar, el Sujeto Obligado </w:t>
      </w:r>
      <w:r w:rsidRPr="005B1AA9">
        <w:rPr>
          <w:b/>
          <w:bCs/>
        </w:rPr>
        <w:t>proporcionó desde respuesta la información que da cuenta de lo solicitado,</w:t>
      </w:r>
      <w:r>
        <w:t xml:space="preserve"> pues entregó el procedimiento, requisitos y fundamento legal-administrativo, respecto a los trámites para la instalación de una toma de agua potable, así como, para descarga de drenaje, para cualquier predio o inmueble</w:t>
      </w:r>
      <w:r w:rsidR="005B1AA9">
        <w:t xml:space="preserve">; </w:t>
      </w:r>
      <w:r w:rsidR="00DF0F27" w:rsidRPr="00DF0F27">
        <w:rPr>
          <w:bCs/>
        </w:rPr>
        <w:t xml:space="preserve">dicha situación, </w:t>
      </w:r>
      <w:r w:rsidR="00DF0F27" w:rsidRPr="00DF0F27">
        <w:rPr>
          <w:bCs/>
          <w:iCs/>
        </w:rPr>
        <w:t>toma sustento en</w:t>
      </w:r>
      <w:r w:rsidR="00DF0F27" w:rsidRPr="00DF0F27">
        <w:rPr>
          <w:bCs/>
        </w:rPr>
        <w:t xml:space="preserve"> el</w:t>
      </w:r>
      <w:r w:rsidR="00DF0F27" w:rsidRPr="00DF0F27">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CE749B4" w14:textId="77777777" w:rsidR="003C21A6" w:rsidRDefault="003C21A6" w:rsidP="006365E2">
      <w:pPr>
        <w:spacing w:after="0" w:line="360" w:lineRule="auto"/>
      </w:pPr>
    </w:p>
    <w:p w14:paraId="71A59172" w14:textId="77777777" w:rsidR="0040418A" w:rsidRPr="0040418A" w:rsidRDefault="0040418A" w:rsidP="0040418A">
      <w:pPr>
        <w:spacing w:after="0" w:line="360" w:lineRule="auto"/>
        <w:rPr>
          <w:iCs/>
          <w:lang w:val="es-ES"/>
        </w:rPr>
      </w:pPr>
      <w:r w:rsidRPr="0040418A">
        <w:t xml:space="preserve">De esta manera, </w:t>
      </w:r>
      <w:r w:rsidRPr="0040418A">
        <w:rPr>
          <w:lang w:val="es-ES"/>
        </w:rPr>
        <w:t xml:space="preserve">el derecho de acceso a la información pública se satisface en aquellos casos en que se entregue el soporte documental en el que conste la información solicitada, sin necesidad de elaborar documentos </w:t>
      </w:r>
      <w:r w:rsidRPr="0040418A">
        <w:rPr>
          <w:i/>
        </w:rPr>
        <w:t>ad hoc</w:t>
      </w:r>
      <w:r w:rsidRPr="0040418A">
        <w:t xml:space="preserve">; lo cual, de conformidad con en el artículo 160 de la Ley de Transparencia y Acceso a la Información Pública del Estado de México y Municipios, el cual refiere que los sujetos obligados deberán entregar la información que obre en sus archivos. Además, resulta aplicable </w:t>
      </w:r>
      <w:r w:rsidRPr="0040418A">
        <w:rPr>
          <w:iCs/>
          <w:lang w:val="es-ES"/>
        </w:rPr>
        <w:t>el Criterio 03/17 del Instituto Nacional de Transparencia, Acceso a la Información y Protección de Datos Personales que a continuación se cita:</w:t>
      </w:r>
    </w:p>
    <w:p w14:paraId="77C9C77C" w14:textId="77777777" w:rsidR="0040418A" w:rsidRPr="0040418A" w:rsidRDefault="0040418A" w:rsidP="0040418A">
      <w:pPr>
        <w:spacing w:after="0" w:line="360" w:lineRule="auto"/>
        <w:rPr>
          <w:b/>
        </w:rPr>
      </w:pPr>
    </w:p>
    <w:p w14:paraId="12F6D0AB" w14:textId="77777777" w:rsidR="0040418A" w:rsidRPr="0040418A" w:rsidRDefault="0040418A" w:rsidP="0040418A">
      <w:pPr>
        <w:spacing w:after="0" w:line="360" w:lineRule="auto"/>
        <w:ind w:left="567" w:right="567"/>
        <w:rPr>
          <w:i/>
          <w:sz w:val="20"/>
          <w:szCs w:val="20"/>
        </w:rPr>
      </w:pPr>
      <w:r w:rsidRPr="0040418A">
        <w:rPr>
          <w:b/>
          <w:i/>
          <w:sz w:val="20"/>
          <w:szCs w:val="20"/>
        </w:rPr>
        <w:t xml:space="preserve">“No existe obligación de elaborar documentos ad hoc para atender las solicitudes de acceso a la información. </w:t>
      </w:r>
      <w:r w:rsidRPr="0040418A">
        <w:rPr>
          <w:i/>
          <w:sz w:val="20"/>
          <w:szCs w:val="20"/>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40418A">
        <w:rPr>
          <w:i/>
          <w:sz w:val="20"/>
          <w:szCs w:val="20"/>
        </w:rPr>
        <w:lastRenderedPageBreak/>
        <w:t>proporcionando la información con la que cuentan en el formato en que la misma obre en sus archivos; sin necesidad de elaborar documentos ad hoc para atender las solicitudes de información.”</w:t>
      </w:r>
    </w:p>
    <w:p w14:paraId="22F317E6" w14:textId="77777777" w:rsidR="005B1AA9" w:rsidRDefault="005B1AA9" w:rsidP="0040418A">
      <w:pPr>
        <w:spacing w:after="0" w:line="360" w:lineRule="auto"/>
        <w:rPr>
          <w:lang w:val="es-ES"/>
        </w:rPr>
      </w:pPr>
    </w:p>
    <w:p w14:paraId="73C6B5BC" w14:textId="0499FFB3" w:rsidR="0040418A" w:rsidRPr="0040418A" w:rsidRDefault="0040418A" w:rsidP="0040418A">
      <w:pPr>
        <w:spacing w:after="0" w:line="360" w:lineRule="auto"/>
        <w:rPr>
          <w:lang w:val="es-ES"/>
        </w:rPr>
      </w:pPr>
      <w:r w:rsidRPr="0040418A">
        <w:rPr>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desde respuesta la </w:t>
      </w:r>
      <w:r w:rsidR="006D096F">
        <w:rPr>
          <w:bCs/>
        </w:rPr>
        <w:t xml:space="preserve">Coordinación de Atención </w:t>
      </w:r>
      <w:r w:rsidR="005B1AA9">
        <w:rPr>
          <w:bCs/>
        </w:rPr>
        <w:t>y Respuesta a la Ciudadanía</w:t>
      </w:r>
      <w:r w:rsidR="006D096F">
        <w:rPr>
          <w:bCs/>
        </w:rPr>
        <w:t xml:space="preserve"> proporcion</w:t>
      </w:r>
      <w:r w:rsidR="005B1AA9">
        <w:rPr>
          <w:bCs/>
        </w:rPr>
        <w:t>ó, contrario a lo señalado por el Solicitante, la información peticionada</w:t>
      </w:r>
      <w:r w:rsidR="0053536D">
        <w:rPr>
          <w:bCs/>
        </w:rPr>
        <w:t>, por lo que</w:t>
      </w:r>
      <w:r w:rsidR="00FA4C1C">
        <w:rPr>
          <w:bCs/>
        </w:rPr>
        <w:t xml:space="preserve"> el agravio del </w:t>
      </w:r>
      <w:r w:rsidRPr="0040418A">
        <w:rPr>
          <w:lang w:val="es-ES"/>
        </w:rPr>
        <w:t xml:space="preserve">Recurrente deviene de </w:t>
      </w:r>
      <w:r w:rsidRPr="0040418A">
        <w:rPr>
          <w:b/>
          <w:bCs/>
          <w:lang w:val="es-ES"/>
        </w:rPr>
        <w:t>INFUNDADO.</w:t>
      </w:r>
      <w:r w:rsidRPr="0040418A">
        <w:rPr>
          <w:lang w:val="es-ES"/>
        </w:rPr>
        <w:t xml:space="preserve"> </w:t>
      </w:r>
    </w:p>
    <w:p w14:paraId="79C75356" w14:textId="77777777" w:rsidR="003C21A6" w:rsidRPr="0040418A" w:rsidRDefault="003C21A6" w:rsidP="006365E2">
      <w:pPr>
        <w:spacing w:after="0" w:line="360" w:lineRule="auto"/>
        <w:rPr>
          <w:lang w:val="es-ES"/>
        </w:rPr>
      </w:pPr>
    </w:p>
    <w:p w14:paraId="78FA4657" w14:textId="77777777" w:rsidR="0035713A" w:rsidRPr="0035713A" w:rsidRDefault="0035713A" w:rsidP="0035713A">
      <w:pPr>
        <w:spacing w:after="0" w:line="360" w:lineRule="auto"/>
        <w:rPr>
          <w:b/>
        </w:rPr>
      </w:pPr>
      <w:r w:rsidRPr="0035713A">
        <w:rPr>
          <w:b/>
        </w:rPr>
        <w:t xml:space="preserve">SEXTO. Decisión. </w:t>
      </w:r>
    </w:p>
    <w:p w14:paraId="34695EC8" w14:textId="77777777" w:rsidR="0035713A" w:rsidRPr="0035713A" w:rsidRDefault="0035713A" w:rsidP="0035713A">
      <w:pPr>
        <w:spacing w:after="0" w:line="360" w:lineRule="auto"/>
        <w:rPr>
          <w:bCs/>
        </w:rPr>
      </w:pPr>
    </w:p>
    <w:p w14:paraId="4965FD24" w14:textId="77777777" w:rsidR="0035713A" w:rsidRPr="0035713A" w:rsidRDefault="0035713A" w:rsidP="0035713A">
      <w:pPr>
        <w:spacing w:after="0" w:line="360" w:lineRule="auto"/>
        <w:rPr>
          <w:bCs/>
        </w:rPr>
      </w:pPr>
      <w:r w:rsidRPr="0035713A">
        <w:rPr>
          <w:bCs/>
        </w:rPr>
        <w:t xml:space="preserve">Con fundamento en el artículo 186, fracción II, de la Ley de Transparencia y Acceso a la Información Pública del Estado de México y Municipios, este Instituto considera procedente </w:t>
      </w:r>
      <w:r w:rsidRPr="0035713A">
        <w:rPr>
          <w:b/>
        </w:rPr>
        <w:t>CONFIRMAR</w:t>
      </w:r>
      <w:r w:rsidRPr="0035713A">
        <w:rPr>
          <w:bCs/>
        </w:rPr>
        <w:t xml:space="preserve"> la respuesta otorgada por el Sujeto Obligado. </w:t>
      </w:r>
    </w:p>
    <w:p w14:paraId="7EC4E029" w14:textId="77777777" w:rsidR="003C21A6" w:rsidRDefault="003C21A6" w:rsidP="006365E2">
      <w:pPr>
        <w:spacing w:after="0" w:line="360" w:lineRule="auto"/>
      </w:pPr>
    </w:p>
    <w:p w14:paraId="54896490" w14:textId="77777777" w:rsidR="00EF5A71" w:rsidRPr="00EF5A71" w:rsidRDefault="00EF5A71" w:rsidP="00EF5A71">
      <w:pPr>
        <w:spacing w:after="0" w:line="360" w:lineRule="auto"/>
        <w:rPr>
          <w:b/>
        </w:rPr>
      </w:pPr>
      <w:r w:rsidRPr="00EF5A71">
        <w:rPr>
          <w:b/>
        </w:rPr>
        <w:t>Términos de la Resolución para conocimiento del Particular.</w:t>
      </w:r>
    </w:p>
    <w:p w14:paraId="35E3B916" w14:textId="77777777" w:rsidR="00EF5A71" w:rsidRPr="00EF5A71" w:rsidRDefault="00EF5A71" w:rsidP="00EF5A71">
      <w:pPr>
        <w:spacing w:after="0" w:line="360" w:lineRule="auto"/>
        <w:rPr>
          <w:bCs/>
        </w:rPr>
      </w:pPr>
    </w:p>
    <w:p w14:paraId="7C40537C" w14:textId="3E9B5DA7" w:rsidR="00EF5A71" w:rsidRPr="00EF5A71" w:rsidRDefault="00EF5A71" w:rsidP="00EF5A71">
      <w:pPr>
        <w:spacing w:after="0" w:line="360" w:lineRule="auto"/>
        <w:rPr>
          <w:bCs/>
        </w:rPr>
      </w:pPr>
      <w:r w:rsidRPr="00EF5A71">
        <w:rPr>
          <w:bCs/>
        </w:rPr>
        <w:t xml:space="preserve">Se le hace del conocimiento al Particular, que, en el presente caso, no se le da la razón pues el Sujeto Obligado dio acceso </w:t>
      </w:r>
      <w:r w:rsidR="005B1AA9">
        <w:rPr>
          <w:bCs/>
        </w:rPr>
        <w:t>a la información peticionada</w:t>
      </w:r>
      <w:r w:rsidRPr="00EF5A71">
        <w:rPr>
          <w:bCs/>
        </w:rPr>
        <w:t xml:space="preserve">, </w:t>
      </w:r>
      <w:r w:rsidR="005B1AA9">
        <w:rPr>
          <w:bCs/>
        </w:rPr>
        <w:t>al decirle el fundamente legal, los requisitos y el procedimiento a seguir para la instalación de una nueva toma de agua potable y de descarga de drenaje en un inmueble o predio.</w:t>
      </w:r>
      <w:r w:rsidR="00662350">
        <w:rPr>
          <w:bCs/>
        </w:rPr>
        <w:t xml:space="preserve"> </w:t>
      </w:r>
    </w:p>
    <w:p w14:paraId="4ACFBBB9" w14:textId="77777777" w:rsidR="00EF5A71" w:rsidRPr="00EF5A71" w:rsidRDefault="00EF5A71" w:rsidP="00EF5A71">
      <w:pPr>
        <w:spacing w:after="0" w:line="360" w:lineRule="auto"/>
        <w:rPr>
          <w:bCs/>
        </w:rPr>
      </w:pPr>
    </w:p>
    <w:p w14:paraId="1E6195D4" w14:textId="77777777" w:rsidR="00EF5A71" w:rsidRPr="00EF5A71" w:rsidRDefault="00EF5A71" w:rsidP="00EF5A71">
      <w:pPr>
        <w:spacing w:after="0" w:line="360" w:lineRule="auto"/>
        <w:rPr>
          <w:bCs/>
        </w:rPr>
      </w:pPr>
      <w:r w:rsidRPr="00EF5A71">
        <w:rPr>
          <w:bCs/>
        </w:rPr>
        <w:t>La labor de este Instituto, es apoyar a la población para acceder a la información pública y garantizar la protección de sus datos personales.</w:t>
      </w:r>
    </w:p>
    <w:p w14:paraId="20BDB5E4" w14:textId="62E889ED" w:rsidR="00EF5A71" w:rsidRDefault="00EF5A71" w:rsidP="00EF5A71">
      <w:pPr>
        <w:spacing w:after="0" w:line="360" w:lineRule="auto"/>
        <w:rPr>
          <w:bCs/>
        </w:rPr>
      </w:pPr>
    </w:p>
    <w:p w14:paraId="28F7B76F" w14:textId="77777777" w:rsidR="00EF5A71" w:rsidRPr="00EF5A71" w:rsidRDefault="00EF5A71" w:rsidP="00EF5A71">
      <w:pPr>
        <w:spacing w:after="0" w:line="360" w:lineRule="auto"/>
        <w:rPr>
          <w:bCs/>
        </w:rPr>
      </w:pPr>
      <w:r w:rsidRPr="00EF5A71">
        <w:rPr>
          <w:bCs/>
        </w:rPr>
        <w:lastRenderedPageBreak/>
        <w:t>Por lo expuesto y fundado, este Pleno:</w:t>
      </w:r>
    </w:p>
    <w:p w14:paraId="4809FDC3" w14:textId="77777777" w:rsidR="003C21A6" w:rsidRDefault="003C21A6" w:rsidP="006365E2">
      <w:pPr>
        <w:spacing w:after="0" w:line="360" w:lineRule="auto"/>
      </w:pPr>
    </w:p>
    <w:p w14:paraId="28326010" w14:textId="77777777" w:rsidR="00BB1F08" w:rsidRPr="00BB1F08" w:rsidRDefault="00BB1F08" w:rsidP="00BB1F08">
      <w:pPr>
        <w:spacing w:after="0" w:line="360" w:lineRule="auto"/>
        <w:jc w:val="center"/>
        <w:rPr>
          <w:b/>
        </w:rPr>
      </w:pPr>
      <w:r w:rsidRPr="00BB1F08">
        <w:rPr>
          <w:b/>
        </w:rPr>
        <w:t>R E S U E L V E:</w:t>
      </w:r>
    </w:p>
    <w:p w14:paraId="2F9C19E2" w14:textId="77777777" w:rsidR="00BB1F08" w:rsidRPr="00BB1F08" w:rsidRDefault="00BB1F08" w:rsidP="00BB1F08">
      <w:pPr>
        <w:spacing w:after="0" w:line="360" w:lineRule="auto"/>
        <w:rPr>
          <w:bCs/>
        </w:rPr>
      </w:pPr>
    </w:p>
    <w:p w14:paraId="1299C54D" w14:textId="3138ECC9" w:rsidR="00BB1F08" w:rsidRPr="00BB1F08" w:rsidRDefault="00BB1F08" w:rsidP="00BB1F08">
      <w:pPr>
        <w:spacing w:after="0" w:line="360" w:lineRule="auto"/>
        <w:rPr>
          <w:bCs/>
        </w:rPr>
      </w:pPr>
      <w:r w:rsidRPr="00BB1F08">
        <w:rPr>
          <w:b/>
        </w:rPr>
        <w:t>PRIMERO</w:t>
      </w:r>
      <w:r w:rsidRPr="00BB1F08">
        <w:rPr>
          <w:bCs/>
        </w:rPr>
        <w:t xml:space="preserve">. Se </w:t>
      </w:r>
      <w:r w:rsidRPr="00BB1F08">
        <w:rPr>
          <w:b/>
        </w:rPr>
        <w:t>CONFIRMA</w:t>
      </w:r>
      <w:r w:rsidRPr="00BB1F08">
        <w:rPr>
          <w:bCs/>
        </w:rPr>
        <w:t xml:space="preserve"> la respuesta entregada por el Sujeto Obligado a la solicitud de acceso a la información </w:t>
      </w:r>
      <w:r w:rsidR="00104B28" w:rsidRPr="00104B28">
        <w:t>00056/OASNEZA/IP/2021</w:t>
      </w:r>
      <w:r w:rsidRPr="00BB1F08">
        <w:rPr>
          <w:bCs/>
        </w:rPr>
        <w:t xml:space="preserve">, por resultar </w:t>
      </w:r>
      <w:r w:rsidRPr="00BB1F08">
        <w:rPr>
          <w:b/>
        </w:rPr>
        <w:t>INFUNDADAS</w:t>
      </w:r>
      <w:r w:rsidRPr="00BB1F08">
        <w:rPr>
          <w:bCs/>
        </w:rPr>
        <w:t xml:space="preserve"> las razones o motivos de inconformidad hechos valer por el Recurrente, en términos de los Considerandos </w:t>
      </w:r>
      <w:r w:rsidRPr="00BB1F08">
        <w:rPr>
          <w:b/>
        </w:rPr>
        <w:t>QUINTO</w:t>
      </w:r>
      <w:r w:rsidRPr="00BB1F08">
        <w:rPr>
          <w:bCs/>
        </w:rPr>
        <w:t xml:space="preserve"> y </w:t>
      </w:r>
      <w:r w:rsidRPr="00BB1F08">
        <w:rPr>
          <w:b/>
        </w:rPr>
        <w:t xml:space="preserve">SEXTO </w:t>
      </w:r>
      <w:r w:rsidRPr="00BB1F08">
        <w:rPr>
          <w:bCs/>
        </w:rPr>
        <w:t>de esta Resolución.</w:t>
      </w:r>
    </w:p>
    <w:p w14:paraId="3032D86A" w14:textId="77777777" w:rsidR="00BB1F08" w:rsidRPr="00BB1F08" w:rsidRDefault="00BB1F08" w:rsidP="00BB1F08">
      <w:pPr>
        <w:spacing w:after="0" w:line="360" w:lineRule="auto"/>
        <w:rPr>
          <w:bCs/>
        </w:rPr>
      </w:pPr>
    </w:p>
    <w:p w14:paraId="29A53240" w14:textId="77777777" w:rsidR="00BB1F08" w:rsidRPr="00BB1F08" w:rsidRDefault="00BB1F08" w:rsidP="00BB1F08">
      <w:pPr>
        <w:spacing w:after="0" w:line="360" w:lineRule="auto"/>
        <w:rPr>
          <w:bCs/>
        </w:rPr>
      </w:pPr>
      <w:r w:rsidRPr="00BB1F08">
        <w:rPr>
          <w:b/>
        </w:rPr>
        <w:t>SEGUNDO. NOTIFÍQUESE</w:t>
      </w:r>
      <w:r w:rsidRPr="00BB1F08">
        <w:rPr>
          <w:bCs/>
        </w:rPr>
        <w:t xml:space="preserve"> la presente resolución al Titular de la Unidad de Transparencia del Sujeto Obligado.</w:t>
      </w:r>
    </w:p>
    <w:p w14:paraId="41858FA0" w14:textId="77777777" w:rsidR="00BB1F08" w:rsidRPr="00BB1F08" w:rsidRDefault="00BB1F08" w:rsidP="00BB1F08">
      <w:pPr>
        <w:spacing w:after="0" w:line="360" w:lineRule="auto"/>
        <w:rPr>
          <w:bCs/>
        </w:rPr>
      </w:pPr>
    </w:p>
    <w:p w14:paraId="3BE3C6D1" w14:textId="379F3378" w:rsidR="00BB1F08" w:rsidRPr="00BB1F08" w:rsidRDefault="00BB1F08" w:rsidP="00BB1F08">
      <w:pPr>
        <w:spacing w:after="0" w:line="360" w:lineRule="auto"/>
        <w:rPr>
          <w:bCs/>
        </w:rPr>
      </w:pPr>
      <w:r w:rsidRPr="00BB1F08">
        <w:rPr>
          <w:b/>
        </w:rPr>
        <w:t>TERCERO. NOTIFÍQUESE</w:t>
      </w:r>
      <w:r w:rsidRPr="00BB1F08">
        <w:rPr>
          <w:bCs/>
        </w:rPr>
        <w:t xml:space="preserve"> al Recurrente la presente Resolución, asimismo, se hace de su conocimiento que de conformidad con lo establecido en el artículo 196 de la Ley de Transparencia y Acceso a la Información Pública del Estado de México y Municipios</w:t>
      </w:r>
      <w:r w:rsidR="005B1AA9">
        <w:rPr>
          <w:bCs/>
        </w:rPr>
        <w:t>,</w:t>
      </w:r>
      <w:r w:rsidRPr="00BB1F08">
        <w:rPr>
          <w:bCs/>
        </w:rPr>
        <w:t xml:space="preserve"> podrá promover el Juicio de Amparo en los términos de las leyes aplicables.</w:t>
      </w:r>
    </w:p>
    <w:p w14:paraId="42C8D564" w14:textId="77777777" w:rsidR="00782132" w:rsidRDefault="00782132" w:rsidP="00C853D1">
      <w:pPr>
        <w:spacing w:after="0" w:line="360" w:lineRule="auto"/>
        <w:rPr>
          <w:rFonts w:eastAsia="Calibri" w:cs="Tahoma"/>
          <w:bCs/>
          <w:lang w:val="es-ES"/>
        </w:rPr>
      </w:pPr>
    </w:p>
    <w:p w14:paraId="61493576" w14:textId="3E87F132" w:rsidR="00C853D1" w:rsidRDefault="0088429F" w:rsidP="00C853D1">
      <w:pPr>
        <w:spacing w:after="0" w:line="360" w:lineRule="auto"/>
        <w:rPr>
          <w:rFonts w:eastAsia="Calibri" w:cs="Tahoma"/>
          <w:bCs/>
        </w:rPr>
      </w:pPr>
      <w:r w:rsidRPr="00BB7445">
        <w:rPr>
          <w:rFonts w:eastAsia="Calibri" w:cs="Tahoma"/>
          <w:bCs/>
        </w:rPr>
        <w:t xml:space="preserve">ASÍ LO RESUELVE, POR </w:t>
      </w:r>
      <w:r w:rsidRPr="00BB7445">
        <w:rPr>
          <w:rFonts w:eastAsia="Calibri" w:cs="Tahoma"/>
          <w:b/>
        </w:rPr>
        <w:t>UNANIMIDAD</w:t>
      </w:r>
      <w:r w:rsidRPr="00BB7445">
        <w:rPr>
          <w:rFonts w:eastAsia="Calibri" w:cs="Tahoma"/>
          <w:bCs/>
        </w:rPr>
        <w:t xml:space="preserve"> DE VOTOS EL PLENO DEL INSTITUTO DE TRANSPARENCIA, ACCESO A LA INFORMACIÓN PÚBLICA Y PROTECCIÓN DE DATOS PERSONALES DEL ESTADO DE MÉXICO Y MUNICIPIOS, CONFORMADO POR LOS COMISIONADOS JOSÉ MARTÍNEZ VILCHIS,</w:t>
      </w:r>
      <w:r>
        <w:rPr>
          <w:rFonts w:eastAsia="Calibri" w:cs="Tahoma"/>
          <w:bCs/>
        </w:rPr>
        <w:t xml:space="preserve"> </w:t>
      </w:r>
      <w:r w:rsidRPr="00BB7445">
        <w:rPr>
          <w:rFonts w:eastAsia="Calibri" w:cs="Tahoma"/>
          <w:bCs/>
        </w:rPr>
        <w:t>MARÍA DEL ROSARIO MEJÍA AYALA</w:t>
      </w:r>
      <w:r>
        <w:rPr>
          <w:rFonts w:eastAsia="Calibri" w:cs="Tahoma"/>
          <w:bCs/>
        </w:rPr>
        <w:t xml:space="preserve">, </w:t>
      </w:r>
      <w:r w:rsidRPr="00BB7445">
        <w:rPr>
          <w:rFonts w:eastAsia="Calibri" w:cs="Tahoma"/>
          <w:bCs/>
        </w:rPr>
        <w:t>SHARON CRISTINA MORALES MARTÍNEZ</w:t>
      </w:r>
      <w:r>
        <w:rPr>
          <w:rFonts w:eastAsia="Calibri" w:cs="Tahoma"/>
          <w:bCs/>
        </w:rPr>
        <w:t xml:space="preserve"> (AUSENCIA JUSTIFICADA), </w:t>
      </w:r>
      <w:r w:rsidRPr="00BB7445">
        <w:rPr>
          <w:rFonts w:eastAsia="Calibri" w:cs="Tahoma"/>
          <w:bCs/>
        </w:rPr>
        <w:t>LUIS GUSTAVO PARRA NORIEGA</w:t>
      </w:r>
      <w:r>
        <w:rPr>
          <w:rFonts w:eastAsia="Calibri" w:cs="Tahoma"/>
          <w:bCs/>
        </w:rPr>
        <w:t xml:space="preserve"> Y </w:t>
      </w:r>
      <w:r w:rsidRPr="00BB7445">
        <w:rPr>
          <w:rFonts w:eastAsia="Calibri" w:cs="Tahoma"/>
          <w:bCs/>
        </w:rPr>
        <w:t>GUADALUPE RAMÍREZ PEÑA</w:t>
      </w:r>
      <w:r>
        <w:rPr>
          <w:rFonts w:eastAsia="Calibri" w:cs="Tahoma"/>
          <w:bCs/>
        </w:rPr>
        <w:t xml:space="preserve">, </w:t>
      </w:r>
      <w:r w:rsidRPr="00BB7445">
        <w:rPr>
          <w:rFonts w:eastAsia="Calibri" w:cs="Tahoma"/>
          <w:bCs/>
        </w:rPr>
        <w:t xml:space="preserve">EN LA </w:t>
      </w:r>
      <w:r>
        <w:rPr>
          <w:rFonts w:eastAsia="Calibri" w:cs="Tahoma"/>
          <w:bCs/>
        </w:rPr>
        <w:t xml:space="preserve">CUARTA SESIÓN ORDINARIA, CELEBRADA EL CUATRO DE FEBRERO DE DOS MIL VEINTIDÓS, </w:t>
      </w:r>
      <w:r w:rsidRPr="00BB7445">
        <w:rPr>
          <w:rFonts w:eastAsia="Calibri" w:cs="Tahoma"/>
          <w:bCs/>
        </w:rPr>
        <w:t>ANTE EL SECRETARIO TÉCNICO DEL PLENO, ALEXIS TAPIA RAMÍREZ.</w:t>
      </w:r>
    </w:p>
    <w:p w14:paraId="189BD5D9" w14:textId="5AA6579D" w:rsidR="00C853D1" w:rsidRDefault="00C853D1">
      <w:pPr>
        <w:jc w:val="left"/>
        <w:rPr>
          <w:rFonts w:eastAsia="Calibri" w:cs="Tahoma"/>
          <w:b/>
          <w:bCs/>
        </w:rPr>
      </w:pPr>
      <w:r>
        <w:rPr>
          <w:rFonts w:eastAsia="Calibri" w:cs="Tahoma"/>
          <w:b/>
          <w:bCs/>
        </w:rPr>
        <w:br w:type="page"/>
      </w:r>
    </w:p>
    <w:p w14:paraId="3A7BF8F4" w14:textId="77777777" w:rsidR="00A6477D" w:rsidRDefault="00A6477D"/>
    <w:sectPr w:rsidR="00A6477D" w:rsidSect="002C59A0">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40364" w14:textId="77777777" w:rsidR="003170D8" w:rsidRDefault="003170D8" w:rsidP="00C853D1">
      <w:pPr>
        <w:spacing w:after="0" w:line="240" w:lineRule="auto"/>
      </w:pPr>
      <w:r>
        <w:separator/>
      </w:r>
    </w:p>
  </w:endnote>
  <w:endnote w:type="continuationSeparator" w:id="0">
    <w:p w14:paraId="386C658C" w14:textId="77777777" w:rsidR="003170D8" w:rsidRDefault="003170D8"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sdtContent>
      </w:sdt>
    </w:sdtContent>
  </w:sdt>
  <w:p w14:paraId="5F4318B3" w14:textId="77777777" w:rsidR="002C59A0" w:rsidRDefault="002C59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26</w:t>
            </w:r>
            <w:r>
              <w:rPr>
                <w:b/>
                <w:bCs/>
                <w:sz w:val="24"/>
                <w:szCs w:val="24"/>
              </w:rPr>
              <w:fldChar w:fldCharType="end"/>
            </w:r>
          </w:p>
        </w:sdtContent>
      </w:sdt>
    </w:sdtContent>
  </w:sdt>
  <w:p w14:paraId="3F35B7C0" w14:textId="77777777" w:rsidR="002C59A0" w:rsidRDefault="002C59A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27</w:t>
            </w:r>
            <w:r>
              <w:rPr>
                <w:b/>
                <w:bCs/>
                <w:sz w:val="24"/>
                <w:szCs w:val="24"/>
              </w:rPr>
              <w:fldChar w:fldCharType="end"/>
            </w:r>
          </w:p>
        </w:sdtContent>
      </w:sdt>
    </w:sdtContent>
  </w:sdt>
  <w:p w14:paraId="1A7218CE" w14:textId="77777777" w:rsidR="002C59A0" w:rsidRDefault="002C59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2C7B1" w14:textId="77777777" w:rsidR="003170D8" w:rsidRDefault="003170D8" w:rsidP="00C853D1">
      <w:pPr>
        <w:spacing w:after="0" w:line="240" w:lineRule="auto"/>
      </w:pPr>
      <w:r>
        <w:separator/>
      </w:r>
    </w:p>
  </w:footnote>
  <w:footnote w:type="continuationSeparator" w:id="0">
    <w:p w14:paraId="480214A5" w14:textId="77777777" w:rsidR="003170D8" w:rsidRDefault="003170D8" w:rsidP="00C8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2C59A0" w14:paraId="282B3A75" w14:textId="77777777" w:rsidTr="002C59A0">
      <w:trPr>
        <w:trHeight w:val="141"/>
      </w:trPr>
      <w:tc>
        <w:tcPr>
          <w:tcW w:w="2404" w:type="dxa"/>
        </w:tcPr>
        <w:p w14:paraId="57F547E7"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2C59A0" w:rsidRPr="00A8173F" w:rsidRDefault="002C59A0" w:rsidP="002C59A0">
          <w:pPr>
            <w:tabs>
              <w:tab w:val="right" w:pos="8838"/>
            </w:tabs>
            <w:ind w:left="-28" w:right="683"/>
            <w:rPr>
              <w:rFonts w:eastAsia="Calibri" w:cs="Tahoma"/>
            </w:rPr>
          </w:pPr>
          <w:r w:rsidRPr="00A8173F">
            <w:rPr>
              <w:rFonts w:eastAsia="Calibri" w:cs="Tahoma"/>
              <w:lang w:val="es-MX"/>
            </w:rPr>
            <w:t>04196/INFOEM/IP/RR/2020</w:t>
          </w:r>
        </w:p>
      </w:tc>
    </w:tr>
    <w:tr w:rsidR="002C59A0" w14:paraId="46AFE2B4" w14:textId="77777777" w:rsidTr="002C59A0">
      <w:trPr>
        <w:trHeight w:val="276"/>
      </w:trPr>
      <w:tc>
        <w:tcPr>
          <w:tcW w:w="2404" w:type="dxa"/>
        </w:tcPr>
        <w:p w14:paraId="1D6E5B2B"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2C59A0" w:rsidRPr="00A8173F" w:rsidRDefault="002C59A0" w:rsidP="002C59A0">
          <w:pPr>
            <w:tabs>
              <w:tab w:val="right" w:pos="8838"/>
            </w:tabs>
            <w:ind w:right="116"/>
            <w:rPr>
              <w:rFonts w:eastAsia="Calibri" w:cs="Tahoma"/>
              <w:lang w:val="es-MX"/>
            </w:rPr>
          </w:pPr>
          <w:r w:rsidRPr="00A8173F">
            <w:rPr>
              <w:rFonts w:eastAsia="Calibri" w:cs="Tahoma"/>
              <w:lang w:val="es-MX"/>
            </w:rPr>
            <w:t>Ayuntamiento de Chapultepec</w:t>
          </w:r>
        </w:p>
      </w:tc>
    </w:tr>
    <w:tr w:rsidR="002C59A0" w14:paraId="1FA679E9" w14:textId="77777777" w:rsidTr="002C59A0">
      <w:trPr>
        <w:trHeight w:val="276"/>
      </w:trPr>
      <w:tc>
        <w:tcPr>
          <w:tcW w:w="2404" w:type="dxa"/>
        </w:tcPr>
        <w:p w14:paraId="6498FD30"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2C59A0" w:rsidRPr="00A8173F" w:rsidRDefault="002C59A0"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2C59A0" w:rsidRDefault="0088429F">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93B3" w14:textId="32D820EA" w:rsidR="002C59A0" w:rsidRPr="004A705D" w:rsidRDefault="0088429F">
    <w:pPr>
      <w:rPr>
        <w:sz w:val="18"/>
        <w:szCs w:val="18"/>
      </w:rPr>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105.55pt;margin-top:-122.1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W w:w="7371"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967"/>
    </w:tblGrid>
    <w:tr w:rsidR="002C59A0" w14:paraId="1E2FF18B" w14:textId="77777777" w:rsidTr="001A7051">
      <w:trPr>
        <w:trHeight w:val="141"/>
      </w:trPr>
      <w:tc>
        <w:tcPr>
          <w:tcW w:w="2404" w:type="dxa"/>
        </w:tcPr>
        <w:p w14:paraId="6B6D03E8" w14:textId="77777777" w:rsidR="002C59A0" w:rsidRPr="001B5FB6" w:rsidRDefault="002C59A0"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967" w:type="dxa"/>
        </w:tcPr>
        <w:p w14:paraId="503BB8DE" w14:textId="0412ABE6" w:rsidR="002C59A0" w:rsidRPr="007A1C8A" w:rsidRDefault="007A1C8A" w:rsidP="00682222">
          <w:pPr>
            <w:tabs>
              <w:tab w:val="right" w:pos="8838"/>
            </w:tabs>
            <w:ind w:left="-28" w:right="454"/>
            <w:rPr>
              <w:rFonts w:eastAsia="Calibri" w:cs="Tahoma"/>
            </w:rPr>
          </w:pPr>
          <w:r w:rsidRPr="007A1C8A">
            <w:rPr>
              <w:rFonts w:eastAsia="Calibri" w:cs="Tahoma"/>
              <w:lang w:val="es-MX"/>
            </w:rPr>
            <w:t>06191/INFOEM/IP/RR/2021</w:t>
          </w:r>
        </w:p>
      </w:tc>
    </w:tr>
    <w:tr w:rsidR="002C59A0" w14:paraId="110906AA" w14:textId="77777777" w:rsidTr="001A7051">
      <w:trPr>
        <w:trHeight w:val="276"/>
      </w:trPr>
      <w:tc>
        <w:tcPr>
          <w:tcW w:w="2404" w:type="dxa"/>
        </w:tcPr>
        <w:p w14:paraId="3052339E"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4967" w:type="dxa"/>
        </w:tcPr>
        <w:p w14:paraId="5C93113C" w14:textId="715C4F1A" w:rsidR="002C59A0" w:rsidRPr="00A8173F" w:rsidRDefault="00E430E3" w:rsidP="00682222">
          <w:pPr>
            <w:tabs>
              <w:tab w:val="right" w:pos="8838"/>
            </w:tabs>
            <w:ind w:right="454"/>
            <w:rPr>
              <w:rFonts w:eastAsia="Calibri" w:cs="Tahoma"/>
              <w:lang w:val="es-MX"/>
            </w:rPr>
          </w:pPr>
          <w:r w:rsidRPr="00E430E3">
            <w:rPr>
              <w:rFonts w:eastAsia="Calibri" w:cs="Tahoma"/>
              <w:lang w:val="es-MX"/>
            </w:rPr>
            <w:t xml:space="preserve">Organismo Descentralizado de Agua Potable Alcantarillado y Saneamiento de Nezahualcóyotl </w:t>
          </w:r>
        </w:p>
      </w:tc>
    </w:tr>
    <w:tr w:rsidR="002C59A0" w14:paraId="065F2043" w14:textId="77777777" w:rsidTr="001A7051">
      <w:trPr>
        <w:trHeight w:val="276"/>
      </w:trPr>
      <w:tc>
        <w:tcPr>
          <w:tcW w:w="2404" w:type="dxa"/>
        </w:tcPr>
        <w:p w14:paraId="22514F66"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4967" w:type="dxa"/>
        </w:tcPr>
        <w:p w14:paraId="245FB2E7" w14:textId="77777777" w:rsidR="002C59A0" w:rsidRPr="00A8173F" w:rsidRDefault="002C59A0"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017CE76" w:rsidR="002C59A0" w:rsidRDefault="002C59A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2C59A0" w:rsidRPr="005C106F" w14:paraId="5D26797B" w14:textId="77777777" w:rsidTr="002C59A0">
      <w:trPr>
        <w:trHeight w:val="1546"/>
      </w:trPr>
      <w:tc>
        <w:tcPr>
          <w:tcW w:w="2127" w:type="dxa"/>
          <w:shd w:val="clear" w:color="auto" w:fill="auto"/>
        </w:tcPr>
        <w:p w14:paraId="76E7DE43" w14:textId="77777777" w:rsidR="002C59A0" w:rsidRPr="005C106F" w:rsidRDefault="002C59A0"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667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266"/>
          </w:tblGrid>
          <w:tr w:rsidR="002C59A0" w14:paraId="5CB74832" w14:textId="77777777" w:rsidTr="001A7051">
            <w:trPr>
              <w:trHeight w:val="141"/>
            </w:trPr>
            <w:tc>
              <w:tcPr>
                <w:tcW w:w="2404" w:type="dxa"/>
                <w:vAlign w:val="bottom"/>
              </w:tcPr>
              <w:p w14:paraId="38469831"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Recurso de Revisión:</w:t>
                </w:r>
              </w:p>
            </w:tc>
            <w:tc>
              <w:tcPr>
                <w:tcW w:w="4266" w:type="dxa"/>
              </w:tcPr>
              <w:p w14:paraId="0749605A" w14:textId="77777777" w:rsidR="002C59A0" w:rsidRDefault="002C59A0" w:rsidP="002C59A0">
                <w:pPr>
                  <w:tabs>
                    <w:tab w:val="right" w:pos="8838"/>
                  </w:tabs>
                  <w:ind w:left="-28" w:right="-107"/>
                  <w:rPr>
                    <w:rFonts w:eastAsia="Calibri" w:cs="Tahoma"/>
                    <w:lang w:val="es-MX"/>
                  </w:rPr>
                </w:pPr>
              </w:p>
              <w:p w14:paraId="25021A4A" w14:textId="3349D5C8" w:rsidR="002C59A0" w:rsidRPr="007A1C8A" w:rsidRDefault="007A1C8A" w:rsidP="002C59A0">
                <w:pPr>
                  <w:tabs>
                    <w:tab w:val="right" w:pos="8838"/>
                  </w:tabs>
                  <w:ind w:left="-28" w:right="-107"/>
                  <w:rPr>
                    <w:rFonts w:eastAsia="Calibri" w:cs="Tahoma"/>
                  </w:rPr>
                </w:pPr>
                <w:r w:rsidRPr="007A1C8A">
                  <w:rPr>
                    <w:rFonts w:eastAsia="Calibri" w:cs="Tahoma"/>
                    <w:lang w:val="es-MX"/>
                  </w:rPr>
                  <w:t>06191/INFOEM/IP/RR/2021</w:t>
                </w:r>
              </w:p>
            </w:tc>
          </w:tr>
          <w:tr w:rsidR="002C59A0" w14:paraId="65D6C982" w14:textId="77777777" w:rsidTr="001A7051">
            <w:trPr>
              <w:trHeight w:val="141"/>
            </w:trPr>
            <w:tc>
              <w:tcPr>
                <w:tcW w:w="2404" w:type="dxa"/>
              </w:tcPr>
              <w:p w14:paraId="7E5992A8"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Recurrente:</w:t>
                </w:r>
              </w:p>
            </w:tc>
            <w:tc>
              <w:tcPr>
                <w:tcW w:w="4266" w:type="dxa"/>
              </w:tcPr>
              <w:p w14:paraId="4D5C37D5" w14:textId="065542A5" w:rsidR="002C59A0" w:rsidRPr="003405AF" w:rsidRDefault="002C59A0" w:rsidP="002C59A0">
                <w:pPr>
                  <w:tabs>
                    <w:tab w:val="right" w:pos="8838"/>
                  </w:tabs>
                  <w:ind w:right="-107"/>
                  <w:rPr>
                    <w:rFonts w:eastAsia="Calibri" w:cs="Tahoma"/>
                    <w:lang w:val="es-MX"/>
                  </w:rPr>
                </w:pPr>
              </w:p>
            </w:tc>
          </w:tr>
          <w:tr w:rsidR="002C59A0" w14:paraId="40A995EA" w14:textId="77777777" w:rsidTr="001A7051">
            <w:trPr>
              <w:trHeight w:val="276"/>
            </w:trPr>
            <w:tc>
              <w:tcPr>
                <w:tcW w:w="2404" w:type="dxa"/>
              </w:tcPr>
              <w:p w14:paraId="7BFD65FA"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4266" w:type="dxa"/>
              </w:tcPr>
              <w:p w14:paraId="433E1B49" w14:textId="53C0E01D" w:rsidR="002C59A0" w:rsidRPr="00E430E3" w:rsidRDefault="00E430E3" w:rsidP="002C59A0">
                <w:pPr>
                  <w:tabs>
                    <w:tab w:val="right" w:pos="8838"/>
                  </w:tabs>
                  <w:ind w:right="-107"/>
                  <w:rPr>
                    <w:rFonts w:eastAsia="Calibri" w:cs="Tahoma"/>
                    <w:lang w:val="es-MX"/>
                  </w:rPr>
                </w:pPr>
                <w:r w:rsidRPr="00E430E3">
                  <w:rPr>
                    <w:rFonts w:eastAsia="Calibri" w:cs="Tahoma"/>
                    <w:lang w:val="es-MX"/>
                  </w:rPr>
                  <w:t xml:space="preserve">Organismo Descentralizado de Agua Potable Alcantarillado y Saneamiento de Nezahualcóyotl </w:t>
                </w:r>
              </w:p>
            </w:tc>
          </w:tr>
          <w:tr w:rsidR="002C59A0" w14:paraId="386AB112" w14:textId="77777777" w:rsidTr="001A7051">
            <w:trPr>
              <w:trHeight w:val="276"/>
            </w:trPr>
            <w:tc>
              <w:tcPr>
                <w:tcW w:w="2404" w:type="dxa"/>
              </w:tcPr>
              <w:p w14:paraId="44E8F60B"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4266" w:type="dxa"/>
              </w:tcPr>
              <w:p w14:paraId="3833DB23" w14:textId="77777777" w:rsidR="002C59A0" w:rsidRPr="00A8173F" w:rsidRDefault="002C59A0"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2C59A0" w:rsidRPr="005C106F" w:rsidRDefault="002C59A0" w:rsidP="002C59A0">
          <w:pPr>
            <w:tabs>
              <w:tab w:val="right" w:pos="8838"/>
            </w:tabs>
            <w:ind w:left="-28"/>
            <w:rPr>
              <w:rFonts w:ascii="Arial" w:eastAsia="Calibri" w:hAnsi="Arial" w:cs="Arial"/>
              <w:b/>
            </w:rPr>
          </w:pPr>
        </w:p>
      </w:tc>
    </w:tr>
  </w:tbl>
  <w:p w14:paraId="280F3B20" w14:textId="77777777" w:rsidR="002C59A0" w:rsidRDefault="0088429F">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5"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F014BE8"/>
    <w:multiLevelType w:val="hybridMultilevel"/>
    <w:tmpl w:val="B3E274F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CA2A42"/>
    <w:multiLevelType w:val="hybridMultilevel"/>
    <w:tmpl w:val="8DC07AF6"/>
    <w:lvl w:ilvl="0" w:tplc="9580CE80">
      <w:start w:val="1"/>
      <w:numFmt w:val="bullet"/>
      <w:lvlText w:val=""/>
      <w:lvlJc w:val="left"/>
      <w:pPr>
        <w:ind w:left="720" w:hanging="360"/>
      </w:pPr>
      <w:rPr>
        <w:rFonts w:ascii="Wingdings" w:hAnsi="Wingdings" w:hint="default"/>
        <w:b w:val="0"/>
        <w:bCs w:val="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CB16D5"/>
    <w:multiLevelType w:val="hybridMultilevel"/>
    <w:tmpl w:val="3BFA313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27D70CE5"/>
    <w:multiLevelType w:val="hybridMultilevel"/>
    <w:tmpl w:val="B7AA6F92"/>
    <w:lvl w:ilvl="0" w:tplc="C786D98A">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82E3596"/>
    <w:multiLevelType w:val="hybridMultilevel"/>
    <w:tmpl w:val="EB92F7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51E92"/>
    <w:multiLevelType w:val="hybridMultilevel"/>
    <w:tmpl w:val="E710E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8451F1"/>
    <w:multiLevelType w:val="hybridMultilevel"/>
    <w:tmpl w:val="B588A7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8BD5E70"/>
    <w:multiLevelType w:val="hybridMultilevel"/>
    <w:tmpl w:val="87F0A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F42DC1"/>
    <w:multiLevelType w:val="hybridMultilevel"/>
    <w:tmpl w:val="1706A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40099E"/>
    <w:multiLevelType w:val="hybridMultilevel"/>
    <w:tmpl w:val="23FCF5FE"/>
    <w:lvl w:ilvl="0" w:tplc="DB445D7C">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66A5042E"/>
    <w:multiLevelType w:val="hybridMultilevel"/>
    <w:tmpl w:val="02E0A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15"/>
  </w:num>
  <w:num w:numId="5">
    <w:abstractNumId w:val="24"/>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0"/>
  </w:num>
  <w:num w:numId="10">
    <w:abstractNumId w:val="6"/>
  </w:num>
  <w:num w:numId="11">
    <w:abstractNumId w:val="20"/>
  </w:num>
  <w:num w:numId="12">
    <w:abstractNumId w:val="17"/>
  </w:num>
  <w:num w:numId="13">
    <w:abstractNumId w:val="31"/>
  </w:num>
  <w:num w:numId="14">
    <w:abstractNumId w:val="23"/>
  </w:num>
  <w:num w:numId="15">
    <w:abstractNumId w:val="18"/>
  </w:num>
  <w:num w:numId="16">
    <w:abstractNumId w:val="27"/>
  </w:num>
  <w:num w:numId="17">
    <w:abstractNumId w:val="16"/>
  </w:num>
  <w:num w:numId="18">
    <w:abstractNumId w:val="28"/>
  </w:num>
  <w:num w:numId="19">
    <w:abstractNumId w:val="12"/>
  </w:num>
  <w:num w:numId="20">
    <w:abstractNumId w:val="0"/>
  </w:num>
  <w:num w:numId="21">
    <w:abstractNumId w:val="25"/>
  </w:num>
  <w:num w:numId="22">
    <w:abstractNumId w:val="13"/>
  </w:num>
  <w:num w:numId="23">
    <w:abstractNumId w:val="3"/>
  </w:num>
  <w:num w:numId="24">
    <w:abstractNumId w:val="8"/>
  </w:num>
  <w:num w:numId="25">
    <w:abstractNumId w:val="11"/>
  </w:num>
  <w:num w:numId="26">
    <w:abstractNumId w:val="7"/>
  </w:num>
  <w:num w:numId="27">
    <w:abstractNumId w:val="14"/>
  </w:num>
  <w:num w:numId="28">
    <w:abstractNumId w:val="10"/>
  </w:num>
  <w:num w:numId="29">
    <w:abstractNumId w:val="22"/>
  </w:num>
  <w:num w:numId="30">
    <w:abstractNumId w:val="4"/>
  </w:num>
  <w:num w:numId="31">
    <w:abstractNumId w:val="1"/>
  </w:num>
  <w:num w:numId="32">
    <w:abstractNumId w:val="1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A2C"/>
    <w:rsid w:val="00002E53"/>
    <w:rsid w:val="000039BC"/>
    <w:rsid w:val="00003AF7"/>
    <w:rsid w:val="000051F1"/>
    <w:rsid w:val="00007008"/>
    <w:rsid w:val="00007A07"/>
    <w:rsid w:val="00007EB8"/>
    <w:rsid w:val="00010BAC"/>
    <w:rsid w:val="0001499A"/>
    <w:rsid w:val="00017D8C"/>
    <w:rsid w:val="000223B0"/>
    <w:rsid w:val="00025636"/>
    <w:rsid w:val="00027FA3"/>
    <w:rsid w:val="00030561"/>
    <w:rsid w:val="00030E09"/>
    <w:rsid w:val="00032076"/>
    <w:rsid w:val="000477C6"/>
    <w:rsid w:val="00050086"/>
    <w:rsid w:val="0005041D"/>
    <w:rsid w:val="00052A57"/>
    <w:rsid w:val="00062AAC"/>
    <w:rsid w:val="00062C8B"/>
    <w:rsid w:val="0006556D"/>
    <w:rsid w:val="000705A9"/>
    <w:rsid w:val="00071597"/>
    <w:rsid w:val="00077543"/>
    <w:rsid w:val="00081145"/>
    <w:rsid w:val="0008285A"/>
    <w:rsid w:val="000842CA"/>
    <w:rsid w:val="000917C9"/>
    <w:rsid w:val="000939CD"/>
    <w:rsid w:val="00095884"/>
    <w:rsid w:val="00096694"/>
    <w:rsid w:val="00097E46"/>
    <w:rsid w:val="00097E9F"/>
    <w:rsid w:val="000A2588"/>
    <w:rsid w:val="000A259F"/>
    <w:rsid w:val="000A4BDA"/>
    <w:rsid w:val="000A61A2"/>
    <w:rsid w:val="000A785D"/>
    <w:rsid w:val="000B0EAF"/>
    <w:rsid w:val="000B5426"/>
    <w:rsid w:val="000B7029"/>
    <w:rsid w:val="000C715C"/>
    <w:rsid w:val="000C7A75"/>
    <w:rsid w:val="000D1A72"/>
    <w:rsid w:val="000D2522"/>
    <w:rsid w:val="000D3CE3"/>
    <w:rsid w:val="000D45D9"/>
    <w:rsid w:val="000D59F5"/>
    <w:rsid w:val="000D69EB"/>
    <w:rsid w:val="000D6E68"/>
    <w:rsid w:val="000D73F7"/>
    <w:rsid w:val="000E28E6"/>
    <w:rsid w:val="000E35A2"/>
    <w:rsid w:val="000E4BF9"/>
    <w:rsid w:val="000E4E10"/>
    <w:rsid w:val="000F0773"/>
    <w:rsid w:val="000F2A9A"/>
    <w:rsid w:val="000F3403"/>
    <w:rsid w:val="000F3426"/>
    <w:rsid w:val="000F45A1"/>
    <w:rsid w:val="001004CE"/>
    <w:rsid w:val="00100EB3"/>
    <w:rsid w:val="0010232F"/>
    <w:rsid w:val="0010413E"/>
    <w:rsid w:val="00104B28"/>
    <w:rsid w:val="001059E3"/>
    <w:rsid w:val="00105EF9"/>
    <w:rsid w:val="0010604C"/>
    <w:rsid w:val="001105F1"/>
    <w:rsid w:val="0011219F"/>
    <w:rsid w:val="00115309"/>
    <w:rsid w:val="001202DE"/>
    <w:rsid w:val="0012605A"/>
    <w:rsid w:val="00134BE6"/>
    <w:rsid w:val="00134C39"/>
    <w:rsid w:val="00134F95"/>
    <w:rsid w:val="001370EC"/>
    <w:rsid w:val="00137DE8"/>
    <w:rsid w:val="00142455"/>
    <w:rsid w:val="001449EC"/>
    <w:rsid w:val="00146731"/>
    <w:rsid w:val="0015128C"/>
    <w:rsid w:val="00152BDB"/>
    <w:rsid w:val="00156917"/>
    <w:rsid w:val="001601CC"/>
    <w:rsid w:val="00161E74"/>
    <w:rsid w:val="0016336E"/>
    <w:rsid w:val="00164599"/>
    <w:rsid w:val="001675D9"/>
    <w:rsid w:val="00167788"/>
    <w:rsid w:val="00172FB2"/>
    <w:rsid w:val="0017427D"/>
    <w:rsid w:val="00174F57"/>
    <w:rsid w:val="00175572"/>
    <w:rsid w:val="00180003"/>
    <w:rsid w:val="001900B4"/>
    <w:rsid w:val="00190EBA"/>
    <w:rsid w:val="00192D6D"/>
    <w:rsid w:val="001935D3"/>
    <w:rsid w:val="00194DD1"/>
    <w:rsid w:val="0019678D"/>
    <w:rsid w:val="001A641F"/>
    <w:rsid w:val="001A7051"/>
    <w:rsid w:val="001B01C7"/>
    <w:rsid w:val="001B3B40"/>
    <w:rsid w:val="001B77BD"/>
    <w:rsid w:val="001C1007"/>
    <w:rsid w:val="001C3C7E"/>
    <w:rsid w:val="001C3D02"/>
    <w:rsid w:val="001C644E"/>
    <w:rsid w:val="001C6764"/>
    <w:rsid w:val="001D02DD"/>
    <w:rsid w:val="001D37BB"/>
    <w:rsid w:val="001D78B5"/>
    <w:rsid w:val="001D7959"/>
    <w:rsid w:val="001E386E"/>
    <w:rsid w:val="001E6D1F"/>
    <w:rsid w:val="001F07B2"/>
    <w:rsid w:val="001F35A7"/>
    <w:rsid w:val="001F7C51"/>
    <w:rsid w:val="00200B0B"/>
    <w:rsid w:val="002042CD"/>
    <w:rsid w:val="00204AF1"/>
    <w:rsid w:val="002111A8"/>
    <w:rsid w:val="00213776"/>
    <w:rsid w:val="0021721B"/>
    <w:rsid w:val="00220583"/>
    <w:rsid w:val="0022261D"/>
    <w:rsid w:val="00231C3E"/>
    <w:rsid w:val="00235BA0"/>
    <w:rsid w:val="00236B0F"/>
    <w:rsid w:val="002402DE"/>
    <w:rsid w:val="00240DFD"/>
    <w:rsid w:val="002419E9"/>
    <w:rsid w:val="0024313A"/>
    <w:rsid w:val="00247A55"/>
    <w:rsid w:val="00252EF3"/>
    <w:rsid w:val="0025361A"/>
    <w:rsid w:val="0025433F"/>
    <w:rsid w:val="002557A7"/>
    <w:rsid w:val="00257F3B"/>
    <w:rsid w:val="00260AAA"/>
    <w:rsid w:val="00261807"/>
    <w:rsid w:val="00261BED"/>
    <w:rsid w:val="00262074"/>
    <w:rsid w:val="002634E5"/>
    <w:rsid w:val="0026557C"/>
    <w:rsid w:val="002718A0"/>
    <w:rsid w:val="00271D9C"/>
    <w:rsid w:val="00272886"/>
    <w:rsid w:val="00273E3B"/>
    <w:rsid w:val="00276700"/>
    <w:rsid w:val="0028305A"/>
    <w:rsid w:val="00296E2A"/>
    <w:rsid w:val="00297432"/>
    <w:rsid w:val="002A70A1"/>
    <w:rsid w:val="002B2A0A"/>
    <w:rsid w:val="002B3565"/>
    <w:rsid w:val="002B3FDA"/>
    <w:rsid w:val="002B54AE"/>
    <w:rsid w:val="002C0561"/>
    <w:rsid w:val="002C3326"/>
    <w:rsid w:val="002C36FC"/>
    <w:rsid w:val="002C514D"/>
    <w:rsid w:val="002C59A0"/>
    <w:rsid w:val="002C6390"/>
    <w:rsid w:val="002C7309"/>
    <w:rsid w:val="002D2E5D"/>
    <w:rsid w:val="002D3292"/>
    <w:rsid w:val="002E0552"/>
    <w:rsid w:val="002E05D6"/>
    <w:rsid w:val="002E25E7"/>
    <w:rsid w:val="002E2635"/>
    <w:rsid w:val="002E333F"/>
    <w:rsid w:val="002E33E8"/>
    <w:rsid w:val="002E5A42"/>
    <w:rsid w:val="002E5CED"/>
    <w:rsid w:val="002F0D24"/>
    <w:rsid w:val="002F1948"/>
    <w:rsid w:val="00300286"/>
    <w:rsid w:val="003016EC"/>
    <w:rsid w:val="00304EDE"/>
    <w:rsid w:val="00311288"/>
    <w:rsid w:val="003114A1"/>
    <w:rsid w:val="00311811"/>
    <w:rsid w:val="003160D6"/>
    <w:rsid w:val="00316C63"/>
    <w:rsid w:val="003170D8"/>
    <w:rsid w:val="00320671"/>
    <w:rsid w:val="00320B93"/>
    <w:rsid w:val="00325D1E"/>
    <w:rsid w:val="003265A2"/>
    <w:rsid w:val="00334B20"/>
    <w:rsid w:val="00334DFB"/>
    <w:rsid w:val="00336980"/>
    <w:rsid w:val="0034462A"/>
    <w:rsid w:val="00344AFB"/>
    <w:rsid w:val="00345528"/>
    <w:rsid w:val="00345AF2"/>
    <w:rsid w:val="00350D55"/>
    <w:rsid w:val="003537E3"/>
    <w:rsid w:val="00355553"/>
    <w:rsid w:val="0035713A"/>
    <w:rsid w:val="00360690"/>
    <w:rsid w:val="00360F54"/>
    <w:rsid w:val="00362DE2"/>
    <w:rsid w:val="00363046"/>
    <w:rsid w:val="003647F7"/>
    <w:rsid w:val="0036486D"/>
    <w:rsid w:val="00365075"/>
    <w:rsid w:val="00366781"/>
    <w:rsid w:val="003708B9"/>
    <w:rsid w:val="00371DAE"/>
    <w:rsid w:val="00372373"/>
    <w:rsid w:val="00372505"/>
    <w:rsid w:val="00372BAB"/>
    <w:rsid w:val="003754EE"/>
    <w:rsid w:val="00376559"/>
    <w:rsid w:val="00380368"/>
    <w:rsid w:val="00381FDE"/>
    <w:rsid w:val="00384A4A"/>
    <w:rsid w:val="0038779D"/>
    <w:rsid w:val="003878FC"/>
    <w:rsid w:val="003936D2"/>
    <w:rsid w:val="003954F3"/>
    <w:rsid w:val="003955C4"/>
    <w:rsid w:val="003955CE"/>
    <w:rsid w:val="003975AD"/>
    <w:rsid w:val="00397660"/>
    <w:rsid w:val="00397F4D"/>
    <w:rsid w:val="003A1B84"/>
    <w:rsid w:val="003A6C00"/>
    <w:rsid w:val="003B0BA2"/>
    <w:rsid w:val="003B46DC"/>
    <w:rsid w:val="003B6115"/>
    <w:rsid w:val="003C05BF"/>
    <w:rsid w:val="003C21A6"/>
    <w:rsid w:val="003C2ED7"/>
    <w:rsid w:val="003C36E8"/>
    <w:rsid w:val="003C3B8F"/>
    <w:rsid w:val="003C470A"/>
    <w:rsid w:val="003C5B59"/>
    <w:rsid w:val="003D15D4"/>
    <w:rsid w:val="003D1CBE"/>
    <w:rsid w:val="003D1FA2"/>
    <w:rsid w:val="003D30B4"/>
    <w:rsid w:val="003D4A58"/>
    <w:rsid w:val="003D7ED4"/>
    <w:rsid w:val="003E2FB0"/>
    <w:rsid w:val="003E3FB3"/>
    <w:rsid w:val="003E6425"/>
    <w:rsid w:val="003E7060"/>
    <w:rsid w:val="003F0CE1"/>
    <w:rsid w:val="003F0E14"/>
    <w:rsid w:val="003F0F63"/>
    <w:rsid w:val="0040418A"/>
    <w:rsid w:val="004059D0"/>
    <w:rsid w:val="004122A9"/>
    <w:rsid w:val="00415A15"/>
    <w:rsid w:val="00417EED"/>
    <w:rsid w:val="004240F5"/>
    <w:rsid w:val="0042422A"/>
    <w:rsid w:val="00425CB1"/>
    <w:rsid w:val="00430B0D"/>
    <w:rsid w:val="00432874"/>
    <w:rsid w:val="00433CAA"/>
    <w:rsid w:val="00447DB3"/>
    <w:rsid w:val="00447FB2"/>
    <w:rsid w:val="00450E6E"/>
    <w:rsid w:val="00452038"/>
    <w:rsid w:val="004542DC"/>
    <w:rsid w:val="004548CD"/>
    <w:rsid w:val="004559AD"/>
    <w:rsid w:val="00460EAD"/>
    <w:rsid w:val="00462A63"/>
    <w:rsid w:val="004633F1"/>
    <w:rsid w:val="00463A70"/>
    <w:rsid w:val="0046402B"/>
    <w:rsid w:val="00464242"/>
    <w:rsid w:val="00465EC8"/>
    <w:rsid w:val="004673C4"/>
    <w:rsid w:val="00467751"/>
    <w:rsid w:val="004700EA"/>
    <w:rsid w:val="00470A7A"/>
    <w:rsid w:val="00470AF6"/>
    <w:rsid w:val="00471A6E"/>
    <w:rsid w:val="00474538"/>
    <w:rsid w:val="00474E4C"/>
    <w:rsid w:val="00476ED1"/>
    <w:rsid w:val="004829B9"/>
    <w:rsid w:val="0048648B"/>
    <w:rsid w:val="0049061B"/>
    <w:rsid w:val="00491C3E"/>
    <w:rsid w:val="00494387"/>
    <w:rsid w:val="004949AC"/>
    <w:rsid w:val="00496426"/>
    <w:rsid w:val="004A1206"/>
    <w:rsid w:val="004A1E88"/>
    <w:rsid w:val="004A27DB"/>
    <w:rsid w:val="004A528D"/>
    <w:rsid w:val="004B07C8"/>
    <w:rsid w:val="004B15BE"/>
    <w:rsid w:val="004B720F"/>
    <w:rsid w:val="004B726A"/>
    <w:rsid w:val="004C1B53"/>
    <w:rsid w:val="004C34C6"/>
    <w:rsid w:val="004C3C1A"/>
    <w:rsid w:val="004C470A"/>
    <w:rsid w:val="004D2468"/>
    <w:rsid w:val="004D4220"/>
    <w:rsid w:val="004D66A3"/>
    <w:rsid w:val="004E07BB"/>
    <w:rsid w:val="004E1BF6"/>
    <w:rsid w:val="004E2875"/>
    <w:rsid w:val="004E5602"/>
    <w:rsid w:val="004E617D"/>
    <w:rsid w:val="004E6D06"/>
    <w:rsid w:val="004F43C3"/>
    <w:rsid w:val="004F4445"/>
    <w:rsid w:val="004F5BBB"/>
    <w:rsid w:val="004F6003"/>
    <w:rsid w:val="004F662C"/>
    <w:rsid w:val="004F736C"/>
    <w:rsid w:val="004F7666"/>
    <w:rsid w:val="00506F24"/>
    <w:rsid w:val="005074AB"/>
    <w:rsid w:val="00511425"/>
    <w:rsid w:val="00512A99"/>
    <w:rsid w:val="00513F33"/>
    <w:rsid w:val="00515CA2"/>
    <w:rsid w:val="00517B06"/>
    <w:rsid w:val="00520182"/>
    <w:rsid w:val="005210C5"/>
    <w:rsid w:val="0052163B"/>
    <w:rsid w:val="00522F3F"/>
    <w:rsid w:val="005230CF"/>
    <w:rsid w:val="005233F7"/>
    <w:rsid w:val="005277CB"/>
    <w:rsid w:val="00533C3F"/>
    <w:rsid w:val="00534853"/>
    <w:rsid w:val="00534932"/>
    <w:rsid w:val="0053536D"/>
    <w:rsid w:val="0054028E"/>
    <w:rsid w:val="00540994"/>
    <w:rsid w:val="00542A7E"/>
    <w:rsid w:val="00550D10"/>
    <w:rsid w:val="00551230"/>
    <w:rsid w:val="00564FBC"/>
    <w:rsid w:val="005706CC"/>
    <w:rsid w:val="00571737"/>
    <w:rsid w:val="00572AAD"/>
    <w:rsid w:val="005747FF"/>
    <w:rsid w:val="00575363"/>
    <w:rsid w:val="00581915"/>
    <w:rsid w:val="00583138"/>
    <w:rsid w:val="005861E7"/>
    <w:rsid w:val="00587FE6"/>
    <w:rsid w:val="00592AE7"/>
    <w:rsid w:val="00593E62"/>
    <w:rsid w:val="0059523B"/>
    <w:rsid w:val="00596883"/>
    <w:rsid w:val="005A36F4"/>
    <w:rsid w:val="005A6C9B"/>
    <w:rsid w:val="005B155C"/>
    <w:rsid w:val="005B1AA9"/>
    <w:rsid w:val="005C40CA"/>
    <w:rsid w:val="005C6308"/>
    <w:rsid w:val="005C7219"/>
    <w:rsid w:val="005D138F"/>
    <w:rsid w:val="005D2C18"/>
    <w:rsid w:val="005D2E05"/>
    <w:rsid w:val="005D3368"/>
    <w:rsid w:val="005D3970"/>
    <w:rsid w:val="005D4362"/>
    <w:rsid w:val="005E0A33"/>
    <w:rsid w:val="005E3D4C"/>
    <w:rsid w:val="005E5646"/>
    <w:rsid w:val="005E6D92"/>
    <w:rsid w:val="005F0AA5"/>
    <w:rsid w:val="005F0F77"/>
    <w:rsid w:val="005F251F"/>
    <w:rsid w:val="005F2BAD"/>
    <w:rsid w:val="005F4E56"/>
    <w:rsid w:val="005F6EF9"/>
    <w:rsid w:val="00601049"/>
    <w:rsid w:val="006026B5"/>
    <w:rsid w:val="00604FB9"/>
    <w:rsid w:val="00606109"/>
    <w:rsid w:val="00607213"/>
    <w:rsid w:val="00607F00"/>
    <w:rsid w:val="00611307"/>
    <w:rsid w:val="006134B9"/>
    <w:rsid w:val="00613823"/>
    <w:rsid w:val="0061403D"/>
    <w:rsid w:val="00614CDB"/>
    <w:rsid w:val="0062017C"/>
    <w:rsid w:val="00621E91"/>
    <w:rsid w:val="00625925"/>
    <w:rsid w:val="006302C5"/>
    <w:rsid w:val="00631373"/>
    <w:rsid w:val="00631FD1"/>
    <w:rsid w:val="0063438C"/>
    <w:rsid w:val="00634BE2"/>
    <w:rsid w:val="00635177"/>
    <w:rsid w:val="0063599F"/>
    <w:rsid w:val="006365E2"/>
    <w:rsid w:val="00637CD8"/>
    <w:rsid w:val="00640A5C"/>
    <w:rsid w:val="006422F5"/>
    <w:rsid w:val="006425FF"/>
    <w:rsid w:val="00643380"/>
    <w:rsid w:val="006441E1"/>
    <w:rsid w:val="00644838"/>
    <w:rsid w:val="00644CE6"/>
    <w:rsid w:val="006473A8"/>
    <w:rsid w:val="006507ED"/>
    <w:rsid w:val="006510F8"/>
    <w:rsid w:val="00660363"/>
    <w:rsid w:val="0066048B"/>
    <w:rsid w:val="00660E60"/>
    <w:rsid w:val="00662350"/>
    <w:rsid w:val="006631C9"/>
    <w:rsid w:val="006642B4"/>
    <w:rsid w:val="006703A5"/>
    <w:rsid w:val="006733E5"/>
    <w:rsid w:val="006813C9"/>
    <w:rsid w:val="00682222"/>
    <w:rsid w:val="00682885"/>
    <w:rsid w:val="0068308C"/>
    <w:rsid w:val="00683BAB"/>
    <w:rsid w:val="00687641"/>
    <w:rsid w:val="006901C3"/>
    <w:rsid w:val="0069249E"/>
    <w:rsid w:val="006955D4"/>
    <w:rsid w:val="00695E03"/>
    <w:rsid w:val="006A0781"/>
    <w:rsid w:val="006A0B45"/>
    <w:rsid w:val="006A2AE4"/>
    <w:rsid w:val="006A4247"/>
    <w:rsid w:val="006A4E8D"/>
    <w:rsid w:val="006B06CA"/>
    <w:rsid w:val="006B5B3E"/>
    <w:rsid w:val="006B6D7F"/>
    <w:rsid w:val="006C03ED"/>
    <w:rsid w:val="006C07B1"/>
    <w:rsid w:val="006D096F"/>
    <w:rsid w:val="006D1782"/>
    <w:rsid w:val="006D4600"/>
    <w:rsid w:val="006D4AB9"/>
    <w:rsid w:val="006D6F5A"/>
    <w:rsid w:val="006E035D"/>
    <w:rsid w:val="006E0643"/>
    <w:rsid w:val="006E353E"/>
    <w:rsid w:val="006E5273"/>
    <w:rsid w:val="006F0508"/>
    <w:rsid w:val="006F19BA"/>
    <w:rsid w:val="006F3217"/>
    <w:rsid w:val="006F4F5D"/>
    <w:rsid w:val="006F6104"/>
    <w:rsid w:val="00705E5E"/>
    <w:rsid w:val="00706604"/>
    <w:rsid w:val="00721566"/>
    <w:rsid w:val="0072353D"/>
    <w:rsid w:val="00723CF2"/>
    <w:rsid w:val="00724A49"/>
    <w:rsid w:val="00724AB9"/>
    <w:rsid w:val="007268C8"/>
    <w:rsid w:val="00726DB5"/>
    <w:rsid w:val="00732599"/>
    <w:rsid w:val="007359A2"/>
    <w:rsid w:val="00740CD0"/>
    <w:rsid w:val="007430FE"/>
    <w:rsid w:val="00743B72"/>
    <w:rsid w:val="00744439"/>
    <w:rsid w:val="00745AEC"/>
    <w:rsid w:val="007474FF"/>
    <w:rsid w:val="0074766A"/>
    <w:rsid w:val="00750797"/>
    <w:rsid w:val="007519A7"/>
    <w:rsid w:val="007531A8"/>
    <w:rsid w:val="007550F6"/>
    <w:rsid w:val="0075605D"/>
    <w:rsid w:val="0076077F"/>
    <w:rsid w:val="00762999"/>
    <w:rsid w:val="00764DC4"/>
    <w:rsid w:val="007745CA"/>
    <w:rsid w:val="007759EF"/>
    <w:rsid w:val="00780A59"/>
    <w:rsid w:val="00782132"/>
    <w:rsid w:val="0079077D"/>
    <w:rsid w:val="00792748"/>
    <w:rsid w:val="007A0941"/>
    <w:rsid w:val="007A0978"/>
    <w:rsid w:val="007A0D0B"/>
    <w:rsid w:val="007A1C8A"/>
    <w:rsid w:val="007A5334"/>
    <w:rsid w:val="007A66D1"/>
    <w:rsid w:val="007B18F1"/>
    <w:rsid w:val="007B40DA"/>
    <w:rsid w:val="007C0B16"/>
    <w:rsid w:val="007C12E2"/>
    <w:rsid w:val="007C4E10"/>
    <w:rsid w:val="007C7F7D"/>
    <w:rsid w:val="007D1EA6"/>
    <w:rsid w:val="007D42C2"/>
    <w:rsid w:val="007D52A7"/>
    <w:rsid w:val="007D779A"/>
    <w:rsid w:val="007D7AB9"/>
    <w:rsid w:val="007E080F"/>
    <w:rsid w:val="007E2379"/>
    <w:rsid w:val="007E2548"/>
    <w:rsid w:val="007E38E8"/>
    <w:rsid w:val="007E5430"/>
    <w:rsid w:val="007E5D97"/>
    <w:rsid w:val="007E600B"/>
    <w:rsid w:val="007F06F2"/>
    <w:rsid w:val="007F32C0"/>
    <w:rsid w:val="007F3397"/>
    <w:rsid w:val="007F400F"/>
    <w:rsid w:val="007F7D92"/>
    <w:rsid w:val="008006C4"/>
    <w:rsid w:val="00800FED"/>
    <w:rsid w:val="00801D28"/>
    <w:rsid w:val="00804053"/>
    <w:rsid w:val="00804248"/>
    <w:rsid w:val="008052F1"/>
    <w:rsid w:val="00810184"/>
    <w:rsid w:val="00814E90"/>
    <w:rsid w:val="0081607C"/>
    <w:rsid w:val="0081663D"/>
    <w:rsid w:val="00816A46"/>
    <w:rsid w:val="00820A2E"/>
    <w:rsid w:val="00820C1B"/>
    <w:rsid w:val="00821F25"/>
    <w:rsid w:val="00822207"/>
    <w:rsid w:val="00823130"/>
    <w:rsid w:val="008245B8"/>
    <w:rsid w:val="0082578E"/>
    <w:rsid w:val="008262C2"/>
    <w:rsid w:val="008263C3"/>
    <w:rsid w:val="00826A94"/>
    <w:rsid w:val="00827B0C"/>
    <w:rsid w:val="00830F7A"/>
    <w:rsid w:val="00831EAC"/>
    <w:rsid w:val="0083349E"/>
    <w:rsid w:val="00834A0C"/>
    <w:rsid w:val="00835222"/>
    <w:rsid w:val="00836F1F"/>
    <w:rsid w:val="00842168"/>
    <w:rsid w:val="00843AB9"/>
    <w:rsid w:val="00844A6A"/>
    <w:rsid w:val="00845897"/>
    <w:rsid w:val="00845AB7"/>
    <w:rsid w:val="008508E2"/>
    <w:rsid w:val="00850A5F"/>
    <w:rsid w:val="00852049"/>
    <w:rsid w:val="008538DF"/>
    <w:rsid w:val="00853ACB"/>
    <w:rsid w:val="00853BDE"/>
    <w:rsid w:val="00853F28"/>
    <w:rsid w:val="0085649B"/>
    <w:rsid w:val="00857F62"/>
    <w:rsid w:val="008644E3"/>
    <w:rsid w:val="008702B3"/>
    <w:rsid w:val="008753C2"/>
    <w:rsid w:val="00880F6A"/>
    <w:rsid w:val="0088429F"/>
    <w:rsid w:val="00884AD3"/>
    <w:rsid w:val="008850C3"/>
    <w:rsid w:val="00892595"/>
    <w:rsid w:val="008934EE"/>
    <w:rsid w:val="008949CD"/>
    <w:rsid w:val="008977F6"/>
    <w:rsid w:val="00897AC3"/>
    <w:rsid w:val="00897D57"/>
    <w:rsid w:val="008A34BD"/>
    <w:rsid w:val="008A43BA"/>
    <w:rsid w:val="008B0792"/>
    <w:rsid w:val="008B2C5E"/>
    <w:rsid w:val="008B2FFC"/>
    <w:rsid w:val="008B42C1"/>
    <w:rsid w:val="008B4304"/>
    <w:rsid w:val="008B4440"/>
    <w:rsid w:val="008B4F02"/>
    <w:rsid w:val="008B5B74"/>
    <w:rsid w:val="008B6072"/>
    <w:rsid w:val="008C1062"/>
    <w:rsid w:val="008C4F3D"/>
    <w:rsid w:val="008C5A8C"/>
    <w:rsid w:val="008D1382"/>
    <w:rsid w:val="008D1A5E"/>
    <w:rsid w:val="008D4F4A"/>
    <w:rsid w:val="008E0F71"/>
    <w:rsid w:val="008E356C"/>
    <w:rsid w:val="008E36D3"/>
    <w:rsid w:val="008E3B00"/>
    <w:rsid w:val="008E702E"/>
    <w:rsid w:val="008F0BC3"/>
    <w:rsid w:val="008F5FA0"/>
    <w:rsid w:val="008F619E"/>
    <w:rsid w:val="009028C2"/>
    <w:rsid w:val="00904433"/>
    <w:rsid w:val="00906789"/>
    <w:rsid w:val="00911857"/>
    <w:rsid w:val="00912D87"/>
    <w:rsid w:val="009144C6"/>
    <w:rsid w:val="0091790E"/>
    <w:rsid w:val="009229F4"/>
    <w:rsid w:val="009237C1"/>
    <w:rsid w:val="00924C3F"/>
    <w:rsid w:val="00924CB5"/>
    <w:rsid w:val="009264DB"/>
    <w:rsid w:val="00927AEA"/>
    <w:rsid w:val="00931524"/>
    <w:rsid w:val="0093192E"/>
    <w:rsid w:val="0093249D"/>
    <w:rsid w:val="00932DC3"/>
    <w:rsid w:val="009366D5"/>
    <w:rsid w:val="009402FE"/>
    <w:rsid w:val="009418D2"/>
    <w:rsid w:val="00942065"/>
    <w:rsid w:val="009430B1"/>
    <w:rsid w:val="00943AF9"/>
    <w:rsid w:val="00943E54"/>
    <w:rsid w:val="009454BE"/>
    <w:rsid w:val="00946701"/>
    <w:rsid w:val="009508A6"/>
    <w:rsid w:val="00951B5E"/>
    <w:rsid w:val="00951F34"/>
    <w:rsid w:val="00953467"/>
    <w:rsid w:val="009610C9"/>
    <w:rsid w:val="0096288F"/>
    <w:rsid w:val="00963576"/>
    <w:rsid w:val="00963588"/>
    <w:rsid w:val="00967C45"/>
    <w:rsid w:val="0097775B"/>
    <w:rsid w:val="009778B8"/>
    <w:rsid w:val="00977D0A"/>
    <w:rsid w:val="00991265"/>
    <w:rsid w:val="0099240F"/>
    <w:rsid w:val="0099361A"/>
    <w:rsid w:val="00993F22"/>
    <w:rsid w:val="009A57DD"/>
    <w:rsid w:val="009A608A"/>
    <w:rsid w:val="009A7FCB"/>
    <w:rsid w:val="009B2A82"/>
    <w:rsid w:val="009B31FE"/>
    <w:rsid w:val="009B3CF0"/>
    <w:rsid w:val="009B71F7"/>
    <w:rsid w:val="009B772D"/>
    <w:rsid w:val="009C0132"/>
    <w:rsid w:val="009D4FB4"/>
    <w:rsid w:val="009D6CD2"/>
    <w:rsid w:val="009D72B4"/>
    <w:rsid w:val="009D7F75"/>
    <w:rsid w:val="009E3B82"/>
    <w:rsid w:val="009E5AC3"/>
    <w:rsid w:val="009E6313"/>
    <w:rsid w:val="009F4332"/>
    <w:rsid w:val="009F508D"/>
    <w:rsid w:val="009F7341"/>
    <w:rsid w:val="00A0114C"/>
    <w:rsid w:val="00A03130"/>
    <w:rsid w:val="00A0371E"/>
    <w:rsid w:val="00A05BA1"/>
    <w:rsid w:val="00A1044E"/>
    <w:rsid w:val="00A11843"/>
    <w:rsid w:val="00A14FFE"/>
    <w:rsid w:val="00A159E8"/>
    <w:rsid w:val="00A16D71"/>
    <w:rsid w:val="00A17DFE"/>
    <w:rsid w:val="00A22D36"/>
    <w:rsid w:val="00A26733"/>
    <w:rsid w:val="00A27233"/>
    <w:rsid w:val="00A27DC8"/>
    <w:rsid w:val="00A3342E"/>
    <w:rsid w:val="00A34CAA"/>
    <w:rsid w:val="00A46802"/>
    <w:rsid w:val="00A477DA"/>
    <w:rsid w:val="00A47DC9"/>
    <w:rsid w:val="00A50618"/>
    <w:rsid w:val="00A50D1E"/>
    <w:rsid w:val="00A519CC"/>
    <w:rsid w:val="00A556D2"/>
    <w:rsid w:val="00A6477D"/>
    <w:rsid w:val="00A6797A"/>
    <w:rsid w:val="00A7345F"/>
    <w:rsid w:val="00A760F1"/>
    <w:rsid w:val="00A82B69"/>
    <w:rsid w:val="00A8761B"/>
    <w:rsid w:val="00A91D47"/>
    <w:rsid w:val="00A92676"/>
    <w:rsid w:val="00A944F4"/>
    <w:rsid w:val="00AA484B"/>
    <w:rsid w:val="00AA4C3B"/>
    <w:rsid w:val="00AA64FB"/>
    <w:rsid w:val="00AB0C45"/>
    <w:rsid w:val="00AC0DD6"/>
    <w:rsid w:val="00AC4743"/>
    <w:rsid w:val="00AC5758"/>
    <w:rsid w:val="00AC6254"/>
    <w:rsid w:val="00AC7D9A"/>
    <w:rsid w:val="00AD4CDA"/>
    <w:rsid w:val="00AD546F"/>
    <w:rsid w:val="00AD5B92"/>
    <w:rsid w:val="00AE1BEB"/>
    <w:rsid w:val="00AE29CA"/>
    <w:rsid w:val="00AE3AE5"/>
    <w:rsid w:val="00AE5217"/>
    <w:rsid w:val="00AE6E01"/>
    <w:rsid w:val="00AF5CDA"/>
    <w:rsid w:val="00AF6CAC"/>
    <w:rsid w:val="00B003C8"/>
    <w:rsid w:val="00B042A0"/>
    <w:rsid w:val="00B045F4"/>
    <w:rsid w:val="00B10459"/>
    <w:rsid w:val="00B108AB"/>
    <w:rsid w:val="00B125A8"/>
    <w:rsid w:val="00B15379"/>
    <w:rsid w:val="00B164A3"/>
    <w:rsid w:val="00B20B03"/>
    <w:rsid w:val="00B25B74"/>
    <w:rsid w:val="00B265BF"/>
    <w:rsid w:val="00B27A59"/>
    <w:rsid w:val="00B30B2A"/>
    <w:rsid w:val="00B30D07"/>
    <w:rsid w:val="00B31157"/>
    <w:rsid w:val="00B332FC"/>
    <w:rsid w:val="00B33A5D"/>
    <w:rsid w:val="00B37789"/>
    <w:rsid w:val="00B41CF8"/>
    <w:rsid w:val="00B43451"/>
    <w:rsid w:val="00B50F7D"/>
    <w:rsid w:val="00B561F9"/>
    <w:rsid w:val="00B57547"/>
    <w:rsid w:val="00B57659"/>
    <w:rsid w:val="00B57EC4"/>
    <w:rsid w:val="00B606C3"/>
    <w:rsid w:val="00B61118"/>
    <w:rsid w:val="00B6121D"/>
    <w:rsid w:val="00B65640"/>
    <w:rsid w:val="00B7000E"/>
    <w:rsid w:val="00B70C84"/>
    <w:rsid w:val="00B8071B"/>
    <w:rsid w:val="00B808EE"/>
    <w:rsid w:val="00B81498"/>
    <w:rsid w:val="00B81EF5"/>
    <w:rsid w:val="00B85DBE"/>
    <w:rsid w:val="00B935E7"/>
    <w:rsid w:val="00B96B99"/>
    <w:rsid w:val="00B97A22"/>
    <w:rsid w:val="00BA2C1B"/>
    <w:rsid w:val="00BA2ECA"/>
    <w:rsid w:val="00BA48D6"/>
    <w:rsid w:val="00BA75B1"/>
    <w:rsid w:val="00BB1225"/>
    <w:rsid w:val="00BB1C7F"/>
    <w:rsid w:val="00BB1F08"/>
    <w:rsid w:val="00BB672D"/>
    <w:rsid w:val="00BC012A"/>
    <w:rsid w:val="00BC2DAE"/>
    <w:rsid w:val="00BC3F9C"/>
    <w:rsid w:val="00BC6F77"/>
    <w:rsid w:val="00BD6BDC"/>
    <w:rsid w:val="00BE0C4E"/>
    <w:rsid w:val="00BE2A2E"/>
    <w:rsid w:val="00BF0782"/>
    <w:rsid w:val="00BF27F5"/>
    <w:rsid w:val="00BF548C"/>
    <w:rsid w:val="00BF5C8B"/>
    <w:rsid w:val="00BF7714"/>
    <w:rsid w:val="00C00FE4"/>
    <w:rsid w:val="00C04DBE"/>
    <w:rsid w:val="00C160F9"/>
    <w:rsid w:val="00C167E5"/>
    <w:rsid w:val="00C171B9"/>
    <w:rsid w:val="00C21871"/>
    <w:rsid w:val="00C21CEE"/>
    <w:rsid w:val="00C22637"/>
    <w:rsid w:val="00C228A9"/>
    <w:rsid w:val="00C252B9"/>
    <w:rsid w:val="00C26B3A"/>
    <w:rsid w:val="00C26F66"/>
    <w:rsid w:val="00C334F1"/>
    <w:rsid w:val="00C35A21"/>
    <w:rsid w:val="00C452FF"/>
    <w:rsid w:val="00C51E8E"/>
    <w:rsid w:val="00C546C5"/>
    <w:rsid w:val="00C62152"/>
    <w:rsid w:val="00C72970"/>
    <w:rsid w:val="00C72F8C"/>
    <w:rsid w:val="00C74988"/>
    <w:rsid w:val="00C802DC"/>
    <w:rsid w:val="00C84C2B"/>
    <w:rsid w:val="00C853D1"/>
    <w:rsid w:val="00C85A96"/>
    <w:rsid w:val="00C93ACA"/>
    <w:rsid w:val="00C955B5"/>
    <w:rsid w:val="00C9717B"/>
    <w:rsid w:val="00CA0C1D"/>
    <w:rsid w:val="00CA19E3"/>
    <w:rsid w:val="00CA1DD4"/>
    <w:rsid w:val="00CA2F84"/>
    <w:rsid w:val="00CB2B7B"/>
    <w:rsid w:val="00CB5A9E"/>
    <w:rsid w:val="00CC12D9"/>
    <w:rsid w:val="00CC2EBD"/>
    <w:rsid w:val="00CC34CB"/>
    <w:rsid w:val="00CC5561"/>
    <w:rsid w:val="00CC7111"/>
    <w:rsid w:val="00CC7EAC"/>
    <w:rsid w:val="00CD573E"/>
    <w:rsid w:val="00CD6971"/>
    <w:rsid w:val="00CE1FA9"/>
    <w:rsid w:val="00CF1FCE"/>
    <w:rsid w:val="00CF38E2"/>
    <w:rsid w:val="00CF5199"/>
    <w:rsid w:val="00CF531C"/>
    <w:rsid w:val="00CF53EC"/>
    <w:rsid w:val="00CF7911"/>
    <w:rsid w:val="00D02413"/>
    <w:rsid w:val="00D03AC1"/>
    <w:rsid w:val="00D04493"/>
    <w:rsid w:val="00D060B7"/>
    <w:rsid w:val="00D069DF"/>
    <w:rsid w:val="00D104DB"/>
    <w:rsid w:val="00D10BBE"/>
    <w:rsid w:val="00D114F9"/>
    <w:rsid w:val="00D11E84"/>
    <w:rsid w:val="00D121F9"/>
    <w:rsid w:val="00D140E1"/>
    <w:rsid w:val="00D15032"/>
    <w:rsid w:val="00D15DC6"/>
    <w:rsid w:val="00D15F15"/>
    <w:rsid w:val="00D16932"/>
    <w:rsid w:val="00D16C0D"/>
    <w:rsid w:val="00D20270"/>
    <w:rsid w:val="00D237F3"/>
    <w:rsid w:val="00D2535A"/>
    <w:rsid w:val="00D2618D"/>
    <w:rsid w:val="00D349C8"/>
    <w:rsid w:val="00D40241"/>
    <w:rsid w:val="00D45589"/>
    <w:rsid w:val="00D5012F"/>
    <w:rsid w:val="00D535AC"/>
    <w:rsid w:val="00D53A0C"/>
    <w:rsid w:val="00D54B17"/>
    <w:rsid w:val="00D553B2"/>
    <w:rsid w:val="00D603BF"/>
    <w:rsid w:val="00D62C6E"/>
    <w:rsid w:val="00D6407D"/>
    <w:rsid w:val="00D733EF"/>
    <w:rsid w:val="00D752D2"/>
    <w:rsid w:val="00D76975"/>
    <w:rsid w:val="00D771C7"/>
    <w:rsid w:val="00D772C9"/>
    <w:rsid w:val="00D77542"/>
    <w:rsid w:val="00D86611"/>
    <w:rsid w:val="00D90E06"/>
    <w:rsid w:val="00D920BA"/>
    <w:rsid w:val="00D93E4C"/>
    <w:rsid w:val="00D93EFD"/>
    <w:rsid w:val="00D94C0C"/>
    <w:rsid w:val="00D96276"/>
    <w:rsid w:val="00DA3751"/>
    <w:rsid w:val="00DA394B"/>
    <w:rsid w:val="00DA6C38"/>
    <w:rsid w:val="00DA7965"/>
    <w:rsid w:val="00DB10DD"/>
    <w:rsid w:val="00DB268E"/>
    <w:rsid w:val="00DB6D27"/>
    <w:rsid w:val="00DC0003"/>
    <w:rsid w:val="00DC5B76"/>
    <w:rsid w:val="00DC6387"/>
    <w:rsid w:val="00DD116F"/>
    <w:rsid w:val="00DD2536"/>
    <w:rsid w:val="00DD5573"/>
    <w:rsid w:val="00DD6442"/>
    <w:rsid w:val="00DE0FB7"/>
    <w:rsid w:val="00DE6290"/>
    <w:rsid w:val="00DF0F27"/>
    <w:rsid w:val="00DF2DD7"/>
    <w:rsid w:val="00DF63B1"/>
    <w:rsid w:val="00E00CF7"/>
    <w:rsid w:val="00E010F7"/>
    <w:rsid w:val="00E0369E"/>
    <w:rsid w:val="00E04D30"/>
    <w:rsid w:val="00E06552"/>
    <w:rsid w:val="00E14E16"/>
    <w:rsid w:val="00E160CE"/>
    <w:rsid w:val="00E16AD0"/>
    <w:rsid w:val="00E16C40"/>
    <w:rsid w:val="00E240BC"/>
    <w:rsid w:val="00E278F2"/>
    <w:rsid w:val="00E30E7E"/>
    <w:rsid w:val="00E317EA"/>
    <w:rsid w:val="00E31AAE"/>
    <w:rsid w:val="00E32D11"/>
    <w:rsid w:val="00E33E03"/>
    <w:rsid w:val="00E359D2"/>
    <w:rsid w:val="00E378A7"/>
    <w:rsid w:val="00E41E5D"/>
    <w:rsid w:val="00E42046"/>
    <w:rsid w:val="00E430E3"/>
    <w:rsid w:val="00E4587E"/>
    <w:rsid w:val="00E45953"/>
    <w:rsid w:val="00E46DA8"/>
    <w:rsid w:val="00E5473E"/>
    <w:rsid w:val="00E56C77"/>
    <w:rsid w:val="00E60FCE"/>
    <w:rsid w:val="00E61E5E"/>
    <w:rsid w:val="00E64130"/>
    <w:rsid w:val="00E67D21"/>
    <w:rsid w:val="00E8346C"/>
    <w:rsid w:val="00E83494"/>
    <w:rsid w:val="00E8469F"/>
    <w:rsid w:val="00E873A0"/>
    <w:rsid w:val="00E9186A"/>
    <w:rsid w:val="00E92B4A"/>
    <w:rsid w:val="00E93EDF"/>
    <w:rsid w:val="00E966F3"/>
    <w:rsid w:val="00E97929"/>
    <w:rsid w:val="00EA03C1"/>
    <w:rsid w:val="00EA1004"/>
    <w:rsid w:val="00EA2CF6"/>
    <w:rsid w:val="00EB051B"/>
    <w:rsid w:val="00EB0AEA"/>
    <w:rsid w:val="00EB1E57"/>
    <w:rsid w:val="00EB43DB"/>
    <w:rsid w:val="00EB4A38"/>
    <w:rsid w:val="00EB6282"/>
    <w:rsid w:val="00EB7E85"/>
    <w:rsid w:val="00EC01B9"/>
    <w:rsid w:val="00EC023F"/>
    <w:rsid w:val="00ED23EB"/>
    <w:rsid w:val="00ED7F57"/>
    <w:rsid w:val="00EE23E5"/>
    <w:rsid w:val="00EE53C5"/>
    <w:rsid w:val="00EF0402"/>
    <w:rsid w:val="00EF0D39"/>
    <w:rsid w:val="00EF1294"/>
    <w:rsid w:val="00EF1BF7"/>
    <w:rsid w:val="00EF5A71"/>
    <w:rsid w:val="00EF639E"/>
    <w:rsid w:val="00F03666"/>
    <w:rsid w:val="00F05DDC"/>
    <w:rsid w:val="00F060A2"/>
    <w:rsid w:val="00F06F1D"/>
    <w:rsid w:val="00F10C90"/>
    <w:rsid w:val="00F121AE"/>
    <w:rsid w:val="00F20B07"/>
    <w:rsid w:val="00F3348C"/>
    <w:rsid w:val="00F35A10"/>
    <w:rsid w:val="00F363A4"/>
    <w:rsid w:val="00F4029B"/>
    <w:rsid w:val="00F406C4"/>
    <w:rsid w:val="00F44120"/>
    <w:rsid w:val="00F468EB"/>
    <w:rsid w:val="00F50E74"/>
    <w:rsid w:val="00F516F1"/>
    <w:rsid w:val="00F52A96"/>
    <w:rsid w:val="00F54246"/>
    <w:rsid w:val="00F561D0"/>
    <w:rsid w:val="00F57999"/>
    <w:rsid w:val="00F70B4D"/>
    <w:rsid w:val="00F719EA"/>
    <w:rsid w:val="00F7369F"/>
    <w:rsid w:val="00F73847"/>
    <w:rsid w:val="00F762D3"/>
    <w:rsid w:val="00F81A9B"/>
    <w:rsid w:val="00F821C8"/>
    <w:rsid w:val="00F827B7"/>
    <w:rsid w:val="00F926A0"/>
    <w:rsid w:val="00F92E4F"/>
    <w:rsid w:val="00FA3952"/>
    <w:rsid w:val="00FA39EA"/>
    <w:rsid w:val="00FA4C1C"/>
    <w:rsid w:val="00FA5759"/>
    <w:rsid w:val="00FB0E39"/>
    <w:rsid w:val="00FB1DBF"/>
    <w:rsid w:val="00FC1B08"/>
    <w:rsid w:val="00FC3209"/>
    <w:rsid w:val="00FC4CB0"/>
    <w:rsid w:val="00FC6454"/>
    <w:rsid w:val="00FC6B3E"/>
    <w:rsid w:val="00FD1A44"/>
    <w:rsid w:val="00FD5DB9"/>
    <w:rsid w:val="00FE3038"/>
    <w:rsid w:val="00FE53FE"/>
    <w:rsid w:val="00FE5E84"/>
    <w:rsid w:val="00FF054B"/>
    <w:rsid w:val="00FF5517"/>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D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C715C"/>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0C715C"/>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styleId="Mencinsinresolver">
    <w:name w:val="Unresolved Mention"/>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501941537">
      <w:bodyDiv w:val="1"/>
      <w:marLeft w:val="0"/>
      <w:marRight w:val="0"/>
      <w:marTop w:val="0"/>
      <w:marBottom w:val="0"/>
      <w:divBdr>
        <w:top w:val="none" w:sz="0" w:space="0" w:color="auto"/>
        <w:left w:val="none" w:sz="0" w:space="0" w:color="auto"/>
        <w:bottom w:val="none" w:sz="0" w:space="0" w:color="auto"/>
        <w:right w:val="none" w:sz="0" w:space="0" w:color="auto"/>
      </w:divBdr>
    </w:div>
    <w:div w:id="600187166">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OASNEZAHUALCOYOTL/art_92_xxiv/3.we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5B29-71D8-5D48-8613-4044A99F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5102</Words>
  <Characters>28065</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5</cp:revision>
  <dcterms:created xsi:type="dcterms:W3CDTF">2022-01-26T01:19:00Z</dcterms:created>
  <dcterms:modified xsi:type="dcterms:W3CDTF">2022-02-04T20:04:00Z</dcterms:modified>
</cp:coreProperties>
</file>