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92583" w14:textId="77777777" w:rsidR="00F63EE4" w:rsidRDefault="00F63EE4">
      <w:pPr>
        <w:widowControl w:val="0"/>
        <w:pBdr>
          <w:top w:val="nil"/>
          <w:left w:val="nil"/>
          <w:bottom w:val="nil"/>
          <w:right w:val="nil"/>
          <w:between w:val="nil"/>
        </w:pBdr>
        <w:spacing w:line="276" w:lineRule="auto"/>
      </w:pPr>
    </w:p>
    <w:p w14:paraId="2121054F" w14:textId="77777777" w:rsidR="00F63EE4" w:rsidRDefault="00F63EE4">
      <w:pPr>
        <w:widowControl w:val="0"/>
        <w:pBdr>
          <w:top w:val="nil"/>
          <w:left w:val="nil"/>
          <w:bottom w:val="nil"/>
          <w:right w:val="nil"/>
          <w:between w:val="nil"/>
        </w:pBdr>
        <w:spacing w:line="276" w:lineRule="auto"/>
      </w:pPr>
      <w:bookmarkStart w:id="0" w:name="_heading=h.30j0zll" w:colFirst="0" w:colLast="0"/>
      <w:bookmarkEnd w:id="0"/>
    </w:p>
    <w:p w14:paraId="0AD55EC6" w14:textId="77777777" w:rsidR="00F63EE4" w:rsidRDefault="00F63EE4">
      <w:pPr>
        <w:widowControl w:val="0"/>
        <w:pBdr>
          <w:top w:val="nil"/>
          <w:left w:val="nil"/>
          <w:bottom w:val="nil"/>
          <w:right w:val="nil"/>
          <w:between w:val="nil"/>
        </w:pBdr>
        <w:spacing w:line="276" w:lineRule="auto"/>
      </w:pPr>
    </w:p>
    <w:p w14:paraId="2D74B4CA" w14:textId="77777777" w:rsidR="00646EB9" w:rsidRDefault="00646EB9" w:rsidP="00646EB9">
      <w:pPr>
        <w:spacing w:line="360" w:lineRule="auto"/>
        <w:jc w:val="both"/>
        <w:rPr>
          <w:rFonts w:ascii="Palatino Linotype" w:hAnsi="Palatino Linotype"/>
          <w:color w:val="000000" w:themeColor="text1"/>
        </w:rPr>
      </w:pPr>
      <w:r w:rsidRPr="00D95C3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w:t>
      </w:r>
      <w:r w:rsidRPr="00D95C37">
        <w:rPr>
          <w:rFonts w:ascii="Palatino Linotype" w:hAnsi="Palatino Linotype"/>
          <w:color w:val="000000" w:themeColor="text1"/>
          <w:lang w:val="es-419"/>
        </w:rPr>
        <w:t xml:space="preserve">de </w:t>
      </w:r>
      <w:r w:rsidRPr="00D95C37">
        <w:rPr>
          <w:rFonts w:ascii="Palatino Linotype" w:hAnsi="Palatino Linotype"/>
          <w:color w:val="000000" w:themeColor="text1"/>
        </w:rPr>
        <w:t>julio de dos mil veintidós.</w:t>
      </w:r>
    </w:p>
    <w:p w14:paraId="707036F4" w14:textId="77777777" w:rsidR="00F63EE4" w:rsidRDefault="00F63EE4">
      <w:pPr>
        <w:spacing w:line="360" w:lineRule="auto"/>
        <w:jc w:val="both"/>
        <w:rPr>
          <w:rFonts w:ascii="Palatino Linotype" w:eastAsia="Palatino Linotype" w:hAnsi="Palatino Linotype" w:cs="Palatino Linotype"/>
        </w:rPr>
      </w:pPr>
    </w:p>
    <w:p w14:paraId="1BF93537"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sidRPr="00C33E45">
        <w:rPr>
          <w:rFonts w:ascii="Palatino Linotype" w:eastAsia="Palatino Linotype" w:hAnsi="Palatino Linotype" w:cs="Palatino Linotype"/>
          <w:b/>
        </w:rPr>
        <w:t>06537/INFOEM/IP/RR/2022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promovido por un particular de manera anónima,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Ixtapan de la Sal,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427B3B26" w14:textId="77777777" w:rsidR="00F63EE4" w:rsidRDefault="00F63EE4">
      <w:pPr>
        <w:spacing w:line="360" w:lineRule="auto"/>
        <w:jc w:val="both"/>
        <w:rPr>
          <w:rFonts w:ascii="Palatino Linotype" w:eastAsia="Palatino Linotype" w:hAnsi="Palatino Linotype" w:cs="Palatino Linotype"/>
          <w:b/>
        </w:rPr>
      </w:pPr>
    </w:p>
    <w:p w14:paraId="0C98F52D" w14:textId="77777777" w:rsidR="00F63EE4" w:rsidRDefault="00A01B9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6302870D" w14:textId="77777777" w:rsidR="00F63EE4" w:rsidRDefault="00F63EE4">
      <w:pPr>
        <w:rPr>
          <w:rFonts w:ascii="Palatino Linotype" w:eastAsia="Palatino Linotype" w:hAnsi="Palatino Linotype" w:cs="Palatino Linotype"/>
          <w:b/>
        </w:rPr>
      </w:pPr>
    </w:p>
    <w:p w14:paraId="7303F767" w14:textId="77777777" w:rsidR="00F63EE4" w:rsidRDefault="00A01B9C">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7A372A05" w14:textId="77777777" w:rsidR="00F63EE4" w:rsidRDefault="00A01B9C">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Pr>
          <w:rFonts w:ascii="Palatino Linotype" w:eastAsia="Palatino Linotype" w:hAnsi="Palatino Linotype" w:cs="Palatino Linotype"/>
        </w:rPr>
        <w:t xml:space="preserve"> En fecha veinticinco de marzo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00147/IXTASAL/IP/2022, </w:t>
      </w:r>
      <w:r>
        <w:rPr>
          <w:rFonts w:ascii="Palatino Linotype" w:eastAsia="Palatino Linotype" w:hAnsi="Palatino Linotype" w:cs="Palatino Linotype"/>
        </w:rPr>
        <w:t>requirió, lo siguiente:</w:t>
      </w:r>
    </w:p>
    <w:p w14:paraId="3153E88B"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“solicito las bases y procedimientos de contratación de cualquier servicio que contrate el Director Rosendo (estafador) y subdirectora Yuridia (</w:t>
      </w:r>
      <w:proofErr w:type="gramStart"/>
      <w:r>
        <w:rPr>
          <w:rFonts w:ascii="Palatino Linotype" w:eastAsia="Palatino Linotype" w:hAnsi="Palatino Linotype" w:cs="Palatino Linotype"/>
          <w:i/>
          <w:sz w:val="22"/>
          <w:szCs w:val="22"/>
        </w:rPr>
        <w:t>lacra )</w:t>
      </w:r>
      <w:proofErr w:type="gram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opdapas</w:t>
      </w:r>
      <w:proofErr w:type="spellEnd"/>
      <w:r>
        <w:rPr>
          <w:rFonts w:ascii="Palatino Linotype" w:eastAsia="Palatino Linotype" w:hAnsi="Palatino Linotype" w:cs="Palatino Linotype"/>
          <w:i/>
          <w:sz w:val="22"/>
          <w:szCs w:val="22"/>
        </w:rPr>
        <w:t xml:space="preserve"> de </w:t>
      </w:r>
      <w:proofErr w:type="spellStart"/>
      <w:r>
        <w:rPr>
          <w:rFonts w:ascii="Palatino Linotype" w:eastAsia="Palatino Linotype" w:hAnsi="Palatino Linotype" w:cs="Palatino Linotype"/>
          <w:i/>
          <w:sz w:val="22"/>
          <w:szCs w:val="22"/>
        </w:rPr>
        <w:t>ixtapan</w:t>
      </w:r>
      <w:proofErr w:type="spellEnd"/>
      <w:r>
        <w:rPr>
          <w:rFonts w:ascii="Palatino Linotype" w:eastAsia="Palatino Linotype" w:hAnsi="Palatino Linotype" w:cs="Palatino Linotype"/>
          <w:i/>
          <w:sz w:val="22"/>
          <w:szCs w:val="22"/>
        </w:rPr>
        <w:t xml:space="preserve"> de la sal” (sic)</w:t>
      </w:r>
    </w:p>
    <w:p w14:paraId="3BCA427A" w14:textId="77777777" w:rsidR="00945947" w:rsidRDefault="00945947">
      <w:pPr>
        <w:ind w:left="850" w:right="899"/>
        <w:jc w:val="both"/>
        <w:rPr>
          <w:rFonts w:ascii="Palatino Linotype" w:eastAsia="Palatino Linotype" w:hAnsi="Palatino Linotype" w:cs="Palatino Linotype"/>
          <w:sz w:val="22"/>
          <w:szCs w:val="22"/>
        </w:rPr>
      </w:pPr>
      <w:bookmarkStart w:id="3" w:name="_GoBack"/>
      <w:bookmarkEnd w:id="3"/>
    </w:p>
    <w:p w14:paraId="7B0CF788" w14:textId="77777777" w:rsidR="00F63EE4" w:rsidRDefault="00A01B9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3B8110D8" w14:textId="77777777" w:rsidR="00F63EE4" w:rsidRDefault="00F63EE4">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617012CC" w14:textId="77777777" w:rsidR="00F63EE4" w:rsidRDefault="00A01B9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238DFE44"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advierte en fecha veintiocho de marzo del dos mil veintidós el  turno de requerimiento hecho al servidor público habilitado que estimó competente, en términos de lo establecido por el artículo 162 de la Ley de Transparencia y Acceso a la Información Pública del Estado de México y Municipios.</w:t>
      </w:r>
    </w:p>
    <w:p w14:paraId="19604E99" w14:textId="77777777" w:rsidR="00F63EE4" w:rsidRDefault="00A01B9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1EB3F988" w14:textId="77777777" w:rsidR="00F63EE4" w:rsidRDefault="00A01B9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7978A7DA"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veintidós de abril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14:paraId="24CC410C" w14:textId="77777777" w:rsidR="00F63EE4" w:rsidRDefault="00A01B9C">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3 fracciones XLIV, 12, 19, 23 fracción IV, 50, 52, 53, fracción II y VI, 163 de la Ley de Transparencia y Acceso a la Información Pública del Estado de México y Municipios, en atención a la solicitud de información número 00147/IXTASAL/IP/2022, presentada mediante el Sistema de Acceso a la Información Mexiquense (SAIMEX), adjunto al presente se servirá encontrar respuesta a su solicitud proporcionada por el Servidor Público Habilitado del OPDAPAS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Municipios.”(Sic)</w:t>
      </w:r>
    </w:p>
    <w:p w14:paraId="4AE81DBC" w14:textId="77777777" w:rsidR="00F63EE4" w:rsidRDefault="00F63EE4">
      <w:pPr>
        <w:spacing w:line="360" w:lineRule="auto"/>
        <w:jc w:val="both"/>
        <w:rPr>
          <w:rFonts w:ascii="Palatino Linotype" w:eastAsia="Palatino Linotype" w:hAnsi="Palatino Linotype" w:cs="Palatino Linotype"/>
        </w:rPr>
      </w:pPr>
    </w:p>
    <w:p w14:paraId="45C98DDD"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el documento de nombre “</w:t>
      </w:r>
      <w:proofErr w:type="spellStart"/>
      <w:r>
        <w:rPr>
          <w:rFonts w:ascii="Palatino Linotype" w:eastAsia="Palatino Linotype" w:hAnsi="Palatino Linotype" w:cs="Palatino Linotype"/>
          <w:i/>
        </w:rPr>
        <w:t>Contestacion</w:t>
      </w:r>
      <w:proofErr w:type="spellEnd"/>
      <w:r>
        <w:rPr>
          <w:rFonts w:ascii="Palatino Linotype" w:eastAsia="Palatino Linotype" w:hAnsi="Palatino Linotype" w:cs="Palatino Linotype"/>
          <w:i/>
        </w:rPr>
        <w:t xml:space="preserve"> OPDAPAS 147.pdf” </w:t>
      </w:r>
      <w:r>
        <w:rPr>
          <w:rFonts w:ascii="Palatino Linotype" w:eastAsia="Palatino Linotype" w:hAnsi="Palatino Linotype" w:cs="Palatino Linotype"/>
        </w:rPr>
        <w:t xml:space="preserve">el cual contiene la respuesta firmada por el Director del ODAPAS de Ixtapan de la Sal en fecha veintiuno de abril de dos mil veintidós quien señaló que las bases para la contratación de servicios se encuentran establecidos en la Ley de Contratación Pública  del Estado de México, así como el Título Sexto del Reglamento de la Ley de Contratación Pública del Estado de México. </w:t>
      </w:r>
    </w:p>
    <w:p w14:paraId="60542595" w14:textId="77777777" w:rsidR="00F63EE4" w:rsidRDefault="00F63EE4">
      <w:pPr>
        <w:spacing w:line="360" w:lineRule="auto"/>
        <w:jc w:val="both"/>
        <w:rPr>
          <w:rFonts w:ascii="Palatino Linotype" w:eastAsia="Palatino Linotype" w:hAnsi="Palatino Linotype" w:cs="Palatino Linotype"/>
        </w:rPr>
      </w:pPr>
    </w:p>
    <w:p w14:paraId="1732BE37" w14:textId="77777777" w:rsidR="00F63EE4" w:rsidRDefault="00A01B9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10B80BD7" w14:textId="77777777" w:rsidR="00F63EE4" w:rsidRDefault="00A01B9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veintidós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06537/INFOEM/IP/RR/2022,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7FAAF1FF" w14:textId="77777777" w:rsidR="00F63EE4" w:rsidRDefault="00F63EE4">
      <w:pPr>
        <w:widowControl w:val="0"/>
        <w:spacing w:line="360" w:lineRule="auto"/>
        <w:jc w:val="both"/>
        <w:rPr>
          <w:rFonts w:ascii="Palatino Linotype" w:eastAsia="Palatino Linotype" w:hAnsi="Palatino Linotype" w:cs="Palatino Linotype"/>
        </w:rPr>
      </w:pPr>
    </w:p>
    <w:p w14:paraId="5C12BAFF" w14:textId="77777777" w:rsidR="00F63EE4" w:rsidRDefault="00A01B9C">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559CB01D" w14:textId="77777777" w:rsidR="00F63EE4" w:rsidRDefault="00A01B9C">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w:t>
      </w:r>
      <w:proofErr w:type="spellStart"/>
      <w:r>
        <w:rPr>
          <w:rFonts w:ascii="Palatino Linotype" w:eastAsia="Palatino Linotype" w:hAnsi="Palatino Linotype" w:cs="Palatino Linotype"/>
          <w:i/>
          <w:sz w:val="22"/>
          <w:szCs w:val="22"/>
        </w:rPr>
        <w:t>resspuesta</w:t>
      </w:r>
      <w:proofErr w:type="spellEnd"/>
      <w:r>
        <w:rPr>
          <w:rFonts w:ascii="Palatino Linotype" w:eastAsia="Palatino Linotype" w:hAnsi="Palatino Linotype" w:cs="Palatino Linotype"/>
          <w:i/>
          <w:sz w:val="22"/>
          <w:szCs w:val="22"/>
        </w:rPr>
        <w:t xml:space="preserve"> del servidor </w:t>
      </w:r>
      <w:proofErr w:type="spellStart"/>
      <w:r>
        <w:rPr>
          <w:rFonts w:ascii="Palatino Linotype" w:eastAsia="Palatino Linotype" w:hAnsi="Palatino Linotype" w:cs="Palatino Linotype"/>
          <w:i/>
          <w:sz w:val="22"/>
          <w:szCs w:val="22"/>
        </w:rPr>
        <w:t>publico</w:t>
      </w:r>
      <w:proofErr w:type="spellEnd"/>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771D1C74" w14:textId="77777777" w:rsidR="00F63EE4" w:rsidRDefault="00F63EE4">
      <w:pPr>
        <w:ind w:right="899"/>
        <w:jc w:val="both"/>
        <w:rPr>
          <w:rFonts w:ascii="Palatino Linotype" w:eastAsia="Palatino Linotype" w:hAnsi="Palatino Linotype" w:cs="Palatino Linotype"/>
        </w:rPr>
      </w:pPr>
    </w:p>
    <w:p w14:paraId="32D978C4" w14:textId="77777777" w:rsidR="00F63EE4" w:rsidRDefault="00A01B9C">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14:paraId="5BFABCF6" w14:textId="77777777" w:rsidR="00F63EE4" w:rsidRDefault="00A01B9C">
      <w:pPr>
        <w:tabs>
          <w:tab w:val="left" w:pos="709"/>
        </w:tabs>
        <w:spacing w:before="66"/>
        <w:ind w:left="850" w:right="899"/>
        <w:jc w:val="both"/>
        <w:rPr>
          <w:rFonts w:ascii="Palatino Linotype" w:eastAsia="Palatino Linotype" w:hAnsi="Palatino Linotype" w:cs="Palatino Linotype"/>
          <w:b/>
          <w:u w:val="single"/>
        </w:rPr>
      </w:pPr>
      <w:r>
        <w:rPr>
          <w:rFonts w:ascii="Palatino Linotype" w:eastAsia="Palatino Linotype" w:hAnsi="Palatino Linotype" w:cs="Palatino Linotype"/>
          <w:i/>
          <w:sz w:val="22"/>
          <w:szCs w:val="22"/>
        </w:rPr>
        <w:t>“Manifiesta que existen Lineamientos a nivel estatal, los cuales son de regla general pero por ende ellos conforme al servicio requerido generar procesos distintos, a lo que considero evade mi solicitud de información. Por tal motivo solicitó, se apercibimiento y sancione a través de las medidas de apremio pertinentes al servidor público correspondiente.”(</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3D300754" w14:textId="77777777" w:rsidR="00F63EE4" w:rsidRDefault="00A01B9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7695F2CF"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veintidós de abril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a efecto de decretar su admisión o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7190F279" w14:textId="77777777" w:rsidR="00F63EE4" w:rsidRDefault="00F63EE4">
      <w:pPr>
        <w:spacing w:line="360" w:lineRule="auto"/>
        <w:jc w:val="both"/>
        <w:rPr>
          <w:rFonts w:ascii="Palatino Linotype" w:eastAsia="Palatino Linotype" w:hAnsi="Palatino Linotype" w:cs="Palatino Linotype"/>
        </w:rPr>
      </w:pPr>
    </w:p>
    <w:p w14:paraId="60B2EEC9" w14:textId="77777777" w:rsidR="00F63EE4" w:rsidRDefault="00A01B9C">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4B7F8556" w14:textId="77777777" w:rsidR="00F63EE4" w:rsidRDefault="00A01B9C">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veinticinco de abril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62B18CB" w14:textId="77777777" w:rsidR="00F63EE4" w:rsidRDefault="00F63EE4">
      <w:pPr>
        <w:tabs>
          <w:tab w:val="center" w:pos="4252"/>
          <w:tab w:val="right" w:pos="8504"/>
        </w:tabs>
        <w:spacing w:line="360" w:lineRule="auto"/>
        <w:jc w:val="both"/>
        <w:rPr>
          <w:rFonts w:ascii="Palatino Linotype" w:eastAsia="Palatino Linotype" w:hAnsi="Palatino Linotype" w:cs="Palatino Linotype"/>
        </w:rPr>
      </w:pPr>
    </w:p>
    <w:p w14:paraId="6E631ACE" w14:textId="77777777" w:rsidR="00F63EE4" w:rsidRDefault="00A01B9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6B0842CD" w14:textId="77777777" w:rsidR="00F63EE4" w:rsidRDefault="00A01B9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presentar su Informe Justificado.  </w:t>
      </w:r>
    </w:p>
    <w:p w14:paraId="36F796F4" w14:textId="77777777" w:rsidR="00F63EE4" w:rsidRDefault="00F63EE4">
      <w:pPr>
        <w:widowControl w:val="0"/>
        <w:tabs>
          <w:tab w:val="left" w:pos="0"/>
        </w:tabs>
        <w:spacing w:line="360" w:lineRule="auto"/>
        <w:jc w:val="both"/>
        <w:rPr>
          <w:rFonts w:ascii="Palatino Linotype" w:eastAsia="Palatino Linotype" w:hAnsi="Palatino Linotype" w:cs="Palatino Linotype"/>
          <w:b/>
        </w:rPr>
      </w:pPr>
    </w:p>
    <w:p w14:paraId="5366D872" w14:textId="77777777" w:rsidR="00F63EE4" w:rsidRDefault="00A01B9C">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2B8A6408"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catorce de junio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772C5FD8" w14:textId="77777777" w:rsidR="00F63EE4" w:rsidRDefault="00F63EE4">
      <w:pPr>
        <w:spacing w:line="360" w:lineRule="auto"/>
        <w:jc w:val="both"/>
        <w:rPr>
          <w:rFonts w:ascii="Palatino Linotype" w:eastAsia="Palatino Linotype" w:hAnsi="Palatino Linotype" w:cs="Palatino Linotype"/>
        </w:rPr>
      </w:pPr>
    </w:p>
    <w:p w14:paraId="7C65D29B" w14:textId="77777777" w:rsidR="00F63EE4" w:rsidRDefault="00A01B9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694D8F4C"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cinco de julio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5F7F54B6" w14:textId="77777777" w:rsidR="00F63EE4" w:rsidRDefault="00F63EE4">
      <w:pPr>
        <w:spacing w:line="360" w:lineRule="auto"/>
        <w:jc w:val="both"/>
        <w:rPr>
          <w:rFonts w:ascii="Palatino Linotype" w:eastAsia="Palatino Linotype" w:hAnsi="Palatino Linotype" w:cs="Palatino Linotype"/>
        </w:rPr>
      </w:pPr>
    </w:p>
    <w:p w14:paraId="32E1BEDB" w14:textId="77777777" w:rsidR="00F63EE4" w:rsidRDefault="00A01B9C">
      <w:pPr>
        <w:spacing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963B140" w14:textId="77777777" w:rsidR="00F63EE4" w:rsidRDefault="00F63EE4">
      <w:pPr>
        <w:spacing w:line="360" w:lineRule="auto"/>
        <w:jc w:val="both"/>
        <w:rPr>
          <w:rFonts w:ascii="Palatino Linotype" w:eastAsia="Palatino Linotype" w:hAnsi="Palatino Linotype" w:cs="Palatino Linotype"/>
        </w:rPr>
      </w:pPr>
    </w:p>
    <w:p w14:paraId="2093A7FD"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BA0502D" w14:textId="77777777" w:rsidR="00F63EE4" w:rsidRDefault="00F63EE4">
      <w:pPr>
        <w:spacing w:line="360" w:lineRule="auto"/>
        <w:jc w:val="both"/>
        <w:rPr>
          <w:rFonts w:ascii="Palatino Linotype" w:eastAsia="Palatino Linotype" w:hAnsi="Palatino Linotype" w:cs="Palatino Linotype"/>
        </w:rPr>
      </w:pPr>
    </w:p>
    <w:p w14:paraId="3030C230"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967E3B" w14:textId="77777777" w:rsidR="00F63EE4" w:rsidRDefault="00F63EE4">
      <w:pPr>
        <w:spacing w:line="360" w:lineRule="auto"/>
        <w:jc w:val="both"/>
        <w:rPr>
          <w:rFonts w:ascii="Palatino Linotype" w:eastAsia="Palatino Linotype" w:hAnsi="Palatino Linotype" w:cs="Palatino Linotype"/>
        </w:rPr>
      </w:pPr>
    </w:p>
    <w:p w14:paraId="7D75929E"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86BAE6" w14:textId="77777777" w:rsidR="00F63EE4" w:rsidRDefault="00F63EE4">
      <w:pPr>
        <w:spacing w:line="360" w:lineRule="auto"/>
        <w:jc w:val="both"/>
        <w:rPr>
          <w:rFonts w:ascii="Palatino Linotype" w:eastAsia="Palatino Linotype" w:hAnsi="Palatino Linotype" w:cs="Palatino Linotype"/>
        </w:rPr>
      </w:pPr>
    </w:p>
    <w:p w14:paraId="25BCDB01"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92A79D9" w14:textId="77777777" w:rsidR="00F63EE4" w:rsidRDefault="00F63EE4">
      <w:pPr>
        <w:spacing w:line="360" w:lineRule="auto"/>
        <w:jc w:val="both"/>
        <w:rPr>
          <w:rFonts w:ascii="Palatino Linotype" w:eastAsia="Palatino Linotype" w:hAnsi="Palatino Linotype" w:cs="Palatino Linotype"/>
        </w:rPr>
      </w:pPr>
    </w:p>
    <w:p w14:paraId="4D91546B"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B607DDD"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b) Actividad Procesal del interesado: Acciones u omisiones del interesado.</w:t>
      </w:r>
    </w:p>
    <w:p w14:paraId="1FC95DD4"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 Conducta de la Autoridad: Las Acciones u omisiones realizadas en el procedimiento. Así como si la autoridad actuó con la debida diligencia.</w:t>
      </w:r>
    </w:p>
    <w:p w14:paraId="0B215FFE"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1A6C3BD0" w14:textId="77777777" w:rsidR="00F63EE4" w:rsidRDefault="00F63EE4">
      <w:pPr>
        <w:spacing w:line="360" w:lineRule="auto"/>
        <w:jc w:val="both"/>
        <w:rPr>
          <w:rFonts w:ascii="Palatino Linotype" w:eastAsia="Palatino Linotype" w:hAnsi="Palatino Linotype" w:cs="Palatino Linotype"/>
        </w:rPr>
      </w:pPr>
    </w:p>
    <w:p w14:paraId="453F584E"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2B7597" w14:textId="77777777" w:rsidR="00F63EE4" w:rsidRDefault="00F63EE4">
      <w:pPr>
        <w:spacing w:line="360" w:lineRule="auto"/>
        <w:jc w:val="both"/>
        <w:rPr>
          <w:rFonts w:ascii="Palatino Linotype" w:eastAsia="Palatino Linotype" w:hAnsi="Palatino Linotype" w:cs="Palatino Linotype"/>
        </w:rPr>
      </w:pPr>
    </w:p>
    <w:p w14:paraId="604ADFBF"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3767D93" w14:textId="77777777" w:rsidR="00F63EE4" w:rsidRDefault="00F63EE4">
      <w:pPr>
        <w:spacing w:line="360" w:lineRule="auto"/>
        <w:jc w:val="both"/>
        <w:rPr>
          <w:rFonts w:ascii="Palatino Linotype" w:eastAsia="Palatino Linotype" w:hAnsi="Palatino Linotype" w:cs="Palatino Linotype"/>
        </w:rPr>
      </w:pPr>
    </w:p>
    <w:p w14:paraId="63BC4C6A"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CC5A72" w14:textId="77777777" w:rsidR="00F63EE4" w:rsidRDefault="00F63EE4">
      <w:pPr>
        <w:spacing w:line="360" w:lineRule="auto"/>
        <w:jc w:val="both"/>
        <w:rPr>
          <w:rFonts w:ascii="Palatino Linotype" w:eastAsia="Palatino Linotype" w:hAnsi="Palatino Linotype" w:cs="Palatino Linotype"/>
        </w:rPr>
      </w:pPr>
    </w:p>
    <w:p w14:paraId="3FB69C62"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B9A34B1" w14:textId="77777777" w:rsidR="00F63EE4" w:rsidRDefault="00F63EE4">
      <w:pPr>
        <w:spacing w:line="360" w:lineRule="auto"/>
        <w:jc w:val="both"/>
        <w:rPr>
          <w:rFonts w:ascii="Palatino Linotype" w:eastAsia="Palatino Linotype" w:hAnsi="Palatino Linotype" w:cs="Palatino Linotype"/>
        </w:rPr>
      </w:pPr>
    </w:p>
    <w:p w14:paraId="45E44304"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0EBCCB0" w14:textId="77777777" w:rsidR="00F63EE4" w:rsidRDefault="00F63EE4">
      <w:pPr>
        <w:spacing w:line="360" w:lineRule="auto"/>
        <w:jc w:val="both"/>
        <w:rPr>
          <w:rFonts w:ascii="Palatino Linotype" w:eastAsia="Palatino Linotype" w:hAnsi="Palatino Linotype" w:cs="Palatino Linotype"/>
        </w:rPr>
      </w:pPr>
    </w:p>
    <w:p w14:paraId="51186CC7"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3111FD43" w14:textId="77777777" w:rsidR="00F63EE4" w:rsidRDefault="00F63EE4">
      <w:pPr>
        <w:spacing w:line="360" w:lineRule="auto"/>
        <w:jc w:val="both"/>
        <w:rPr>
          <w:rFonts w:ascii="Palatino Linotype" w:eastAsia="Palatino Linotype" w:hAnsi="Palatino Linotype" w:cs="Palatino Linotype"/>
        </w:rPr>
      </w:pPr>
    </w:p>
    <w:p w14:paraId="1A2DCD8E"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A338EBC" w14:textId="77777777" w:rsidR="00F63EE4" w:rsidRDefault="00F63EE4"/>
    <w:p w14:paraId="56F7AD71" w14:textId="77777777" w:rsidR="00F63EE4" w:rsidRDefault="00A01B9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76C5BE82" w14:textId="77777777" w:rsidR="00F63EE4" w:rsidRDefault="00F63EE4">
      <w:pPr>
        <w:jc w:val="center"/>
        <w:rPr>
          <w:rFonts w:ascii="Palatino Linotype" w:eastAsia="Palatino Linotype" w:hAnsi="Palatino Linotype" w:cs="Palatino Linotype"/>
          <w:b/>
          <w:sz w:val="28"/>
          <w:szCs w:val="28"/>
        </w:rPr>
      </w:pPr>
    </w:p>
    <w:p w14:paraId="1B2A881A" w14:textId="77777777" w:rsidR="00F63EE4" w:rsidRDefault="00A01B9C">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49B3FF1F" w14:textId="77777777" w:rsidR="00F63EE4" w:rsidRDefault="00A01B9C">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94F3283" w14:textId="77777777" w:rsidR="00F63EE4" w:rsidRDefault="00F63EE4">
      <w:pPr>
        <w:spacing w:line="360" w:lineRule="auto"/>
        <w:jc w:val="both"/>
        <w:rPr>
          <w:rFonts w:ascii="Palatino Linotype" w:eastAsia="Palatino Linotype" w:hAnsi="Palatino Linotype" w:cs="Palatino Linotype"/>
          <w:b/>
          <w:sz w:val="28"/>
          <w:szCs w:val="28"/>
        </w:rPr>
      </w:pPr>
    </w:p>
    <w:p w14:paraId="0E5194CC" w14:textId="77777777" w:rsidR="00F63EE4" w:rsidRDefault="00A01B9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6AC61B57" w14:textId="77777777" w:rsidR="00F63EE4" w:rsidRDefault="00A01B9C">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4D13D283" w14:textId="77777777" w:rsidR="00F63EE4" w:rsidRDefault="00F63EE4">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C7FD9D0" w14:textId="77777777" w:rsidR="00F63EE4" w:rsidRDefault="00A01B9C">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1FD3BB75" w14:textId="77777777" w:rsidR="00F63EE4" w:rsidRDefault="00A01B9C">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Recurso de Revisión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8CB4881" w14:textId="77777777" w:rsidR="00F63EE4" w:rsidRDefault="00F63EE4">
      <w:pPr>
        <w:ind w:left="720" w:right="709"/>
        <w:jc w:val="both"/>
        <w:rPr>
          <w:rFonts w:ascii="Palatino Linotype" w:eastAsia="Palatino Linotype" w:hAnsi="Palatino Linotype" w:cs="Palatino Linotype"/>
          <w:i/>
          <w:sz w:val="22"/>
          <w:szCs w:val="22"/>
        </w:rPr>
      </w:pPr>
    </w:p>
    <w:p w14:paraId="49A93DE7"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CB893DE" w14:textId="77777777" w:rsidR="00F63EE4" w:rsidRDefault="00F63EE4">
      <w:pPr>
        <w:ind w:left="851" w:right="899"/>
        <w:jc w:val="both"/>
        <w:rPr>
          <w:rFonts w:ascii="Palatino Linotype" w:eastAsia="Palatino Linotype" w:hAnsi="Palatino Linotype" w:cs="Palatino Linotype"/>
          <w:i/>
          <w:sz w:val="22"/>
          <w:szCs w:val="22"/>
        </w:rPr>
      </w:pPr>
    </w:p>
    <w:p w14:paraId="500D9A64"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4E8DA27" w14:textId="77777777" w:rsidR="00F63EE4" w:rsidRDefault="00F63EE4">
      <w:pPr>
        <w:ind w:left="851" w:right="899"/>
        <w:jc w:val="both"/>
        <w:rPr>
          <w:rFonts w:ascii="Palatino Linotype" w:eastAsia="Palatino Linotype" w:hAnsi="Palatino Linotype" w:cs="Palatino Linotype"/>
          <w:i/>
          <w:sz w:val="22"/>
          <w:szCs w:val="22"/>
        </w:rPr>
      </w:pPr>
    </w:p>
    <w:p w14:paraId="6405CC41"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4D79BB65" w14:textId="77777777" w:rsidR="00F63EE4" w:rsidRDefault="00F63EE4">
      <w:pPr>
        <w:ind w:left="720" w:right="709"/>
        <w:jc w:val="both"/>
        <w:rPr>
          <w:rFonts w:ascii="Palatino Linotype" w:eastAsia="Palatino Linotype" w:hAnsi="Palatino Linotype" w:cs="Palatino Linotype"/>
          <w:i/>
          <w:sz w:val="22"/>
          <w:szCs w:val="22"/>
        </w:rPr>
      </w:pPr>
    </w:p>
    <w:p w14:paraId="5216ED1A" w14:textId="77777777" w:rsidR="00F63EE4" w:rsidRDefault="00A01B9C">
      <w:pPr>
        <w:spacing w:line="360" w:lineRule="auto"/>
        <w:jc w:val="both"/>
        <w:rPr>
          <w:rFonts w:ascii="Palatino Linotype" w:eastAsia="Palatino Linotype" w:hAnsi="Palatino Linotype" w:cs="Palatino Linotype"/>
        </w:rPr>
      </w:pPr>
      <w:bookmarkStart w:id="6" w:name="_heading=h.2et92p0" w:colFirst="0" w:colLast="0"/>
      <w:bookmarkEnd w:id="6"/>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veintidós de abril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veinticinco de abril al dieciséis de mayo de dos mil veintidós, </w:t>
      </w:r>
      <w:r>
        <w:rPr>
          <w:rFonts w:ascii="Palatino Linotype" w:eastAsia="Palatino Linotype" w:hAnsi="Palatino Linotype" w:cs="Palatino Linotype"/>
        </w:rPr>
        <w:t>sin contemplar en el cómputo los días, veintitrés, veinticuatro y treinta de abril así como uno, siete, ocho, catorce y quince de mayo, por corresponder a sábados y domingos, considerados como días inhábiles, en términos del artículo 3, fracción X de la Ley de Transparencia y 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5492EF5C" w14:textId="77777777" w:rsidR="00F63EE4" w:rsidRDefault="00F63EE4">
      <w:pPr>
        <w:spacing w:line="360" w:lineRule="auto"/>
        <w:jc w:val="both"/>
        <w:rPr>
          <w:rFonts w:ascii="Palatino Linotype" w:eastAsia="Palatino Linotype" w:hAnsi="Palatino Linotype" w:cs="Palatino Linotype"/>
        </w:rPr>
      </w:pPr>
      <w:bookmarkStart w:id="7" w:name="_heading=h.orkc3o7h9xbv" w:colFirst="0" w:colLast="0"/>
      <w:bookmarkEnd w:id="7"/>
    </w:p>
    <w:p w14:paraId="23F5925C" w14:textId="77777777" w:rsidR="00F63EE4" w:rsidRDefault="00A01B9C">
      <w:pPr>
        <w:spacing w:line="360" w:lineRule="auto"/>
        <w:ind w:left="-5" w:hanging="10"/>
        <w:jc w:val="both"/>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mismo día en que se le notificó la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Pr>
          <w:rFonts w:ascii="Palatino Linotype" w:eastAsia="Palatino Linotype" w:hAnsi="Palatino Linotype" w:cs="Palatino Linotype"/>
          <w:b/>
          <w:u w:val="single"/>
        </w:rPr>
        <w:t>dentro</w:t>
      </w:r>
      <w:r>
        <w:rPr>
          <w:rFonts w:ascii="Palatino Linotype" w:eastAsia="Palatino Linotype" w:hAnsi="Palatino Linotype" w:cs="Palatino Linotype"/>
        </w:rPr>
        <w:t xml:space="preserve"> de los quince días hábiles siguientes en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tenga conocimiento de la respuesta impugnada, no limita a los particulares para que lo puedan presentar </w:t>
      </w:r>
      <w:r>
        <w:rPr>
          <w:rFonts w:ascii="Palatino Linotype" w:eastAsia="Palatino Linotype" w:hAnsi="Palatino Linotype" w:cs="Palatino Linotype"/>
          <w:b/>
        </w:rPr>
        <w:t>el mismo día</w:t>
      </w:r>
      <w:r>
        <w:rPr>
          <w:rFonts w:ascii="Palatino Linotype" w:eastAsia="Palatino Linotype" w:hAnsi="Palatino Linotype" w:cs="Palatino Linotype"/>
        </w:rPr>
        <w:t xml:space="preserve"> en que le sea notificada dicha respuesta.</w:t>
      </w:r>
    </w:p>
    <w:p w14:paraId="1EFCA984" w14:textId="77777777" w:rsidR="00F63EE4" w:rsidRDefault="00A01B9C">
      <w:pPr>
        <w:spacing w:before="200" w:after="200" w:line="360" w:lineRule="auto"/>
        <w:jc w:val="both"/>
      </w:pPr>
      <w:r>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5DFFFB7A" w14:textId="77777777" w:rsidR="00F63EE4" w:rsidRDefault="00A01B9C">
      <w:pPr>
        <w:spacing w:before="120" w:after="120"/>
        <w:ind w:left="709" w:right="709"/>
        <w:jc w:val="both"/>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t xml:space="preserve"> </w:t>
      </w:r>
    </w:p>
    <w:p w14:paraId="405F5EF2" w14:textId="77777777" w:rsidR="00F63EE4" w:rsidRDefault="00F63EE4">
      <w:pPr>
        <w:spacing w:before="120" w:after="120"/>
        <w:ind w:left="709" w:right="709"/>
        <w:jc w:val="both"/>
      </w:pPr>
    </w:p>
    <w:p w14:paraId="25CA4BC6" w14:textId="77777777" w:rsidR="00F63EE4" w:rsidRDefault="00A01B9C">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5CC9A6F2" w14:textId="77777777" w:rsidR="00F63EE4" w:rsidRDefault="00F63EE4">
      <w:pPr>
        <w:spacing w:before="120" w:after="120" w:line="360" w:lineRule="auto"/>
        <w:ind w:right="49"/>
        <w:jc w:val="both"/>
        <w:rPr>
          <w:rFonts w:ascii="Palatino Linotype" w:eastAsia="Palatino Linotype" w:hAnsi="Palatino Linotype" w:cs="Palatino Linotype"/>
        </w:rPr>
      </w:pPr>
    </w:p>
    <w:p w14:paraId="3F167EB6" w14:textId="77777777" w:rsidR="00F63EE4" w:rsidRDefault="00A01B9C">
      <w:pPr>
        <w:spacing w:before="120"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ello, al haber interpuesto el recurso materia de este análisis el mismo día de la notificación de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considerarse en tiempo.</w:t>
      </w:r>
    </w:p>
    <w:p w14:paraId="5D07DC10" w14:textId="77777777" w:rsidR="00F63EE4" w:rsidRDefault="00A01B9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11924AC0" w14:textId="77777777" w:rsidR="00F63EE4" w:rsidRDefault="00A01B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44A61AC" w14:textId="77777777" w:rsidR="00F63EE4" w:rsidRDefault="00F63EE4">
      <w:pPr>
        <w:ind w:right="49"/>
        <w:jc w:val="both"/>
        <w:rPr>
          <w:rFonts w:ascii="Palatino Linotype" w:eastAsia="Palatino Linotype" w:hAnsi="Palatino Linotype" w:cs="Palatino Linotype"/>
        </w:rPr>
      </w:pPr>
    </w:p>
    <w:p w14:paraId="2491C69F" w14:textId="77777777" w:rsidR="00F63EE4" w:rsidRDefault="00A01B9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077D9204" w14:textId="77777777" w:rsidR="00F63EE4" w:rsidRDefault="00A01B9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7757452B" w14:textId="77777777" w:rsidR="00F63EE4" w:rsidRDefault="00A01B9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que recurre </w:t>
      </w:r>
      <w:r>
        <w:rPr>
          <w:rFonts w:ascii="Palatino Linotype" w:eastAsia="Palatino Linotype" w:hAnsi="Palatino Linotype" w:cs="Palatino Linotype"/>
          <w:i/>
          <w:sz w:val="22"/>
          <w:szCs w:val="22"/>
        </w:rPr>
        <w:t>o de su representante y, en su caso, …</w:t>
      </w:r>
    </w:p>
    <w:p w14:paraId="6A0578C8" w14:textId="77777777" w:rsidR="00F63EE4" w:rsidRDefault="00A01B9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6EF77BBA" w14:textId="77777777" w:rsidR="00F63EE4" w:rsidRDefault="00A01B9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7527E11" w14:textId="77777777" w:rsidR="00F63EE4" w:rsidRDefault="00F63EE4">
      <w:pPr>
        <w:tabs>
          <w:tab w:val="left" w:pos="851"/>
        </w:tabs>
        <w:ind w:right="901"/>
        <w:jc w:val="both"/>
        <w:rPr>
          <w:rFonts w:ascii="Palatino Linotype" w:eastAsia="Palatino Linotype" w:hAnsi="Palatino Linotype" w:cs="Palatino Linotype"/>
          <w:i/>
          <w:sz w:val="22"/>
          <w:szCs w:val="22"/>
        </w:rPr>
      </w:pPr>
    </w:p>
    <w:p w14:paraId="22BB1071" w14:textId="77777777" w:rsidR="00F63EE4" w:rsidRDefault="00A01B9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7D7296B7" w14:textId="77777777" w:rsidR="00F63EE4" w:rsidRDefault="00F63EE4">
      <w:pPr>
        <w:spacing w:line="360" w:lineRule="auto"/>
        <w:jc w:val="both"/>
        <w:rPr>
          <w:rFonts w:ascii="Palatino Linotype" w:eastAsia="Palatino Linotype" w:hAnsi="Palatino Linotype" w:cs="Palatino Linotype"/>
        </w:rPr>
      </w:pPr>
    </w:p>
    <w:p w14:paraId="300CD840"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7D0ED22" w14:textId="77777777" w:rsidR="00F63EE4" w:rsidRDefault="00F63EE4">
      <w:pPr>
        <w:spacing w:line="360" w:lineRule="auto"/>
        <w:jc w:val="both"/>
        <w:rPr>
          <w:rFonts w:ascii="Palatino Linotype" w:eastAsia="Palatino Linotype" w:hAnsi="Palatino Linotype" w:cs="Palatino Linotype"/>
        </w:rPr>
      </w:pPr>
    </w:p>
    <w:p w14:paraId="2526220C" w14:textId="77777777" w:rsidR="00F63EE4" w:rsidRDefault="00A01B9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2F4E107" w14:textId="77777777" w:rsidR="00F63EE4" w:rsidRDefault="00F63EE4">
      <w:pPr>
        <w:tabs>
          <w:tab w:val="left" w:pos="851"/>
        </w:tabs>
        <w:spacing w:line="360" w:lineRule="auto"/>
        <w:ind w:left="851" w:right="901"/>
        <w:jc w:val="both"/>
        <w:rPr>
          <w:rFonts w:ascii="Palatino Linotype" w:eastAsia="Palatino Linotype" w:hAnsi="Palatino Linotype" w:cs="Palatino Linotype"/>
          <w:sz w:val="22"/>
          <w:szCs w:val="22"/>
        </w:rPr>
      </w:pPr>
    </w:p>
    <w:p w14:paraId="4769AC00"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 la misma persona que realizó la solicitud de acceso a la información pública que ahora se impugna.</w:t>
      </w:r>
    </w:p>
    <w:p w14:paraId="3BF84967" w14:textId="77777777" w:rsidR="00F63EE4" w:rsidRDefault="00F63EE4">
      <w:pPr>
        <w:tabs>
          <w:tab w:val="left" w:pos="851"/>
        </w:tabs>
        <w:spacing w:line="360" w:lineRule="auto"/>
        <w:ind w:left="851" w:right="901"/>
        <w:jc w:val="both"/>
        <w:rPr>
          <w:rFonts w:ascii="Palatino Linotype" w:eastAsia="Palatino Linotype" w:hAnsi="Palatino Linotype" w:cs="Palatino Linotype"/>
          <w:sz w:val="22"/>
          <w:szCs w:val="22"/>
        </w:rPr>
      </w:pPr>
    </w:p>
    <w:p w14:paraId="3F24C03F"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FF003D4" w14:textId="77777777" w:rsidR="00F63EE4" w:rsidRDefault="00F63EE4">
      <w:pPr>
        <w:spacing w:line="360" w:lineRule="auto"/>
        <w:jc w:val="both"/>
        <w:rPr>
          <w:rFonts w:ascii="Palatino Linotype" w:eastAsia="Palatino Linotype" w:hAnsi="Palatino Linotype" w:cs="Palatino Linotype"/>
        </w:rPr>
      </w:pPr>
    </w:p>
    <w:p w14:paraId="35CFDF24" w14:textId="77777777" w:rsidR="00F63EE4" w:rsidRDefault="00A01B9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14:paraId="02B03D20" w14:textId="77777777" w:rsidR="00F63EE4" w:rsidRDefault="00A01B9C">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precisar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bases y procedimientos de contratación de cualquier servicio contratado por el Director y la Subdirectora del Organismo de Agua de Ixtapan de la Sal. </w:t>
      </w:r>
    </w:p>
    <w:p w14:paraId="3E25AE52" w14:textId="77777777" w:rsidR="00F63EE4" w:rsidRDefault="00F63EE4">
      <w:pPr>
        <w:tabs>
          <w:tab w:val="left" w:pos="709"/>
        </w:tabs>
        <w:spacing w:line="360" w:lineRule="auto"/>
        <w:jc w:val="both"/>
        <w:rPr>
          <w:rFonts w:ascii="Palatino Linotype" w:eastAsia="Palatino Linotype" w:hAnsi="Palatino Linotype" w:cs="Palatino Linotype"/>
        </w:rPr>
      </w:pPr>
    </w:p>
    <w:p w14:paraId="469D5463"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mediante el Director del ODAPAS de Ixtapan de la Sal en fecha veintiuno de abril de dos mil veintidós quien señaló que las bases para la contratación de servicios se encuentran establecidos en la Ley de Contratación Pública  del Estado de México, así como el Título Sexto del Reglamento de la Ley de Contratación Pública del Estado de México. </w:t>
      </w:r>
    </w:p>
    <w:p w14:paraId="1CBB2738" w14:textId="77777777" w:rsidR="00F63EE4" w:rsidRDefault="00F63EE4">
      <w:pPr>
        <w:spacing w:line="360" w:lineRule="auto"/>
        <w:jc w:val="both"/>
        <w:rPr>
          <w:rFonts w:ascii="Palatino Linotype" w:eastAsia="Palatino Linotype" w:hAnsi="Palatino Linotype" w:cs="Palatino Linotype"/>
        </w:rPr>
      </w:pPr>
    </w:p>
    <w:p w14:paraId="52DC4D3C"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el particular interpuso el presente Recurso de Revisión, señalando como motivo de su inconformidad lo siguiente: </w:t>
      </w:r>
    </w:p>
    <w:p w14:paraId="688BD1FC" w14:textId="77777777" w:rsidR="00F63EE4" w:rsidRDefault="00A01B9C">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“Manifiesta que existen Lineamientos a nivel estatal, los cuales son de regla general pero por ende ellos conforme al servicio requerido generar procesos distintos, a lo que considero evade mi solicitud de información. Por tal motivo solicitó, se apercibimiento y sancione a través de las medidas de apremio pertinentes al servidor público correspondiente.” (Sic)</w:t>
      </w:r>
    </w:p>
    <w:p w14:paraId="57038C8F" w14:textId="77777777" w:rsidR="00F63EE4" w:rsidRDefault="00F63EE4">
      <w:pPr>
        <w:tabs>
          <w:tab w:val="left" w:pos="709"/>
        </w:tabs>
        <w:spacing w:line="360" w:lineRule="auto"/>
        <w:ind w:right="49"/>
        <w:jc w:val="both"/>
        <w:rPr>
          <w:rFonts w:ascii="Palatino Linotype" w:eastAsia="Palatino Linotype" w:hAnsi="Palatino Linotype" w:cs="Palatino Linotype"/>
        </w:rPr>
      </w:pPr>
    </w:p>
    <w:p w14:paraId="3E3425E3" w14:textId="77777777" w:rsidR="00F63EE4" w:rsidRDefault="00A01B9C">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las manifestaciones vertidas por</w:t>
      </w:r>
      <w:r>
        <w:rPr>
          <w:rFonts w:ascii="Palatino Linotype" w:eastAsia="Palatino Linotype" w:hAnsi="Palatino Linotype" w:cs="Palatino Linotype"/>
          <w:b/>
        </w:rPr>
        <w:t xml:space="preserve"> EL RECURRENTE</w:t>
      </w:r>
      <w:r>
        <w:rPr>
          <w:rFonts w:ascii="Palatino Linotype" w:eastAsia="Palatino Linotype" w:hAnsi="Palatino Linotype" w:cs="Palatino Linotype"/>
        </w:rPr>
        <w:t xml:space="preserve"> se puede advertir que el particular se inconforma de que la respuesta 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corresponde a normatividad estatal de carácter general; sin embargo, su solicitud es referente a los lineamientos específicos a cada uno de los procedimientos derivados de contrataciones realizadas por los servidores públicos señalados en la solicitud de información pública. </w:t>
      </w:r>
    </w:p>
    <w:p w14:paraId="719E4A6E" w14:textId="77777777" w:rsidR="00F63EE4" w:rsidRDefault="00F63EE4">
      <w:pPr>
        <w:tabs>
          <w:tab w:val="left" w:pos="709"/>
        </w:tabs>
        <w:spacing w:line="360" w:lineRule="auto"/>
        <w:ind w:right="49"/>
        <w:jc w:val="both"/>
        <w:rPr>
          <w:rFonts w:ascii="Palatino Linotype" w:eastAsia="Palatino Linotype" w:hAnsi="Palatino Linotype" w:cs="Palatino Linotype"/>
        </w:rPr>
      </w:pPr>
    </w:p>
    <w:p w14:paraId="609A5D6A" w14:textId="77777777" w:rsidR="00F63EE4" w:rsidRDefault="00A01B9C">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resulta procedente analizar las constancias que integran el expediente electrónico del SAIMEX para determinar si con la información aportada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puede tener por atendido el derecho de Acceso a la Información pública del particular. </w:t>
      </w:r>
    </w:p>
    <w:p w14:paraId="1CFE844D" w14:textId="77777777" w:rsidR="00F63EE4" w:rsidRDefault="00F63EE4">
      <w:pPr>
        <w:tabs>
          <w:tab w:val="left" w:pos="709"/>
        </w:tabs>
        <w:spacing w:line="360" w:lineRule="auto"/>
        <w:ind w:right="49"/>
        <w:jc w:val="both"/>
        <w:rPr>
          <w:rFonts w:ascii="Palatino Linotype" w:eastAsia="Palatino Linotype" w:hAnsi="Palatino Linotype" w:cs="Palatino Linotype"/>
        </w:rPr>
      </w:pPr>
    </w:p>
    <w:p w14:paraId="6B263AD0" w14:textId="77777777" w:rsidR="00F63EE4" w:rsidRDefault="00A01B9C">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tal sentido,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4AB2A49" w14:textId="77777777" w:rsidR="00F63EE4" w:rsidRDefault="00A01B9C">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81FB94" w14:textId="77777777" w:rsidR="00F63EE4" w:rsidRDefault="00A01B9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69D1411" w14:textId="77777777" w:rsidR="00F63EE4" w:rsidRDefault="00A01B9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53178599" w14:textId="77777777" w:rsidR="00F63EE4" w:rsidRDefault="00F63EE4">
      <w:pPr>
        <w:spacing w:line="360" w:lineRule="auto"/>
        <w:jc w:val="both"/>
        <w:rPr>
          <w:rFonts w:ascii="Palatino Linotype" w:eastAsia="Palatino Linotype" w:hAnsi="Palatino Linotype" w:cs="Palatino Linotype"/>
        </w:rPr>
      </w:pPr>
    </w:p>
    <w:p w14:paraId="486D2BFA"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F3CF728" w14:textId="77777777" w:rsidR="00F63EE4" w:rsidRDefault="00F63EE4">
      <w:pPr>
        <w:spacing w:line="360" w:lineRule="auto"/>
        <w:jc w:val="both"/>
        <w:rPr>
          <w:rFonts w:ascii="Palatino Linotype" w:eastAsia="Palatino Linotype" w:hAnsi="Palatino Linotype" w:cs="Palatino Linotype"/>
        </w:rPr>
      </w:pPr>
    </w:p>
    <w:p w14:paraId="00E26B23" w14:textId="77777777" w:rsidR="00F63EE4" w:rsidRDefault="00A01B9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934DAA3" w14:textId="77777777" w:rsidR="00F63EE4" w:rsidRDefault="00F63EE4">
      <w:pPr>
        <w:ind w:left="567" w:right="758"/>
        <w:jc w:val="both"/>
        <w:rPr>
          <w:rFonts w:ascii="Palatino Linotype" w:eastAsia="Palatino Linotype" w:hAnsi="Palatino Linotype" w:cs="Palatino Linotype"/>
          <w:i/>
          <w:sz w:val="22"/>
          <w:szCs w:val="22"/>
        </w:rPr>
      </w:pPr>
    </w:p>
    <w:p w14:paraId="4BB4462E" w14:textId="77777777" w:rsidR="00F63EE4" w:rsidRDefault="00A01B9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DF52312" w14:textId="77777777" w:rsidR="00F63EE4" w:rsidRDefault="00F63EE4">
      <w:pPr>
        <w:spacing w:line="360" w:lineRule="auto"/>
        <w:ind w:right="-93"/>
        <w:jc w:val="both"/>
        <w:rPr>
          <w:rFonts w:ascii="Palatino Linotype" w:eastAsia="Palatino Linotype" w:hAnsi="Palatino Linotype" w:cs="Palatino Linotype"/>
        </w:rPr>
      </w:pPr>
    </w:p>
    <w:p w14:paraId="204F4F4B" w14:textId="77777777" w:rsidR="00F63EE4" w:rsidRDefault="00A01B9C">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DA1BD5A" w14:textId="77777777" w:rsidR="00F63EE4" w:rsidRDefault="00F63EE4">
      <w:pPr>
        <w:spacing w:line="360" w:lineRule="auto"/>
        <w:ind w:right="-93"/>
        <w:jc w:val="both"/>
        <w:rPr>
          <w:rFonts w:ascii="Palatino Linotype" w:eastAsia="Palatino Linotype" w:hAnsi="Palatino Linotype" w:cs="Palatino Linotype"/>
        </w:rPr>
      </w:pPr>
    </w:p>
    <w:p w14:paraId="60E9D5A6" w14:textId="77777777" w:rsidR="00F63EE4" w:rsidRDefault="00A01B9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05B624BD" w14:textId="77777777" w:rsidR="00F63EE4" w:rsidRDefault="00F63EE4">
      <w:pPr>
        <w:ind w:left="851" w:right="850"/>
        <w:jc w:val="both"/>
        <w:rPr>
          <w:rFonts w:ascii="Palatino Linotype" w:eastAsia="Palatino Linotype" w:hAnsi="Palatino Linotype" w:cs="Palatino Linotype"/>
        </w:rPr>
      </w:pPr>
    </w:p>
    <w:p w14:paraId="37AC1B8F" w14:textId="77777777" w:rsidR="00F63EE4" w:rsidRDefault="00A01B9C">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0AA1FEE" w14:textId="77777777" w:rsidR="00F63EE4" w:rsidRDefault="00F63EE4">
      <w:pPr>
        <w:spacing w:line="360" w:lineRule="auto"/>
        <w:ind w:right="-93"/>
        <w:jc w:val="both"/>
        <w:rPr>
          <w:rFonts w:ascii="Palatino Linotype" w:eastAsia="Palatino Linotype" w:hAnsi="Palatino Linotype" w:cs="Palatino Linotype"/>
        </w:rPr>
      </w:pPr>
    </w:p>
    <w:p w14:paraId="7997C546"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E780A23" w14:textId="77777777" w:rsidR="00F63EE4" w:rsidRDefault="00F63EE4">
      <w:pPr>
        <w:spacing w:line="360" w:lineRule="auto"/>
        <w:jc w:val="both"/>
        <w:rPr>
          <w:rFonts w:ascii="Palatino Linotype" w:eastAsia="Palatino Linotype" w:hAnsi="Palatino Linotype" w:cs="Palatino Linotype"/>
        </w:rPr>
      </w:pPr>
    </w:p>
    <w:p w14:paraId="6E29B65B" w14:textId="77777777" w:rsidR="00F63EE4" w:rsidRDefault="00A01B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145B280" w14:textId="77777777" w:rsidR="00F63EE4" w:rsidRDefault="00F63EE4">
      <w:pPr>
        <w:spacing w:line="360" w:lineRule="auto"/>
        <w:ind w:right="49"/>
        <w:jc w:val="both"/>
        <w:rPr>
          <w:rFonts w:ascii="Palatino Linotype" w:eastAsia="Palatino Linotype" w:hAnsi="Palatino Linotype" w:cs="Palatino Linotype"/>
        </w:rPr>
      </w:pPr>
    </w:p>
    <w:p w14:paraId="79DDB2A3"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91B04C3" w14:textId="77777777" w:rsidR="00F63EE4" w:rsidRDefault="00F63EE4">
      <w:pPr>
        <w:ind w:left="851" w:right="899"/>
        <w:jc w:val="both"/>
        <w:rPr>
          <w:rFonts w:ascii="Palatino Linotype" w:eastAsia="Palatino Linotype" w:hAnsi="Palatino Linotype" w:cs="Palatino Linotype"/>
          <w:i/>
          <w:sz w:val="22"/>
          <w:szCs w:val="22"/>
        </w:rPr>
      </w:pPr>
    </w:p>
    <w:p w14:paraId="2C9275E5"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9C1AFDB"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68419FB"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4E59F93" w14:textId="77777777" w:rsidR="00F63EE4" w:rsidRDefault="00F63EE4">
      <w:pPr>
        <w:ind w:left="851" w:right="899"/>
        <w:jc w:val="both"/>
        <w:rPr>
          <w:rFonts w:ascii="Palatino Linotype" w:eastAsia="Palatino Linotype" w:hAnsi="Palatino Linotype" w:cs="Palatino Linotype"/>
          <w:sz w:val="22"/>
          <w:szCs w:val="22"/>
        </w:rPr>
      </w:pPr>
    </w:p>
    <w:p w14:paraId="2827D219"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AB3E120" w14:textId="77777777" w:rsidR="00F63EE4" w:rsidRDefault="00F63EE4">
      <w:pPr>
        <w:ind w:left="851" w:right="899"/>
        <w:jc w:val="both"/>
        <w:rPr>
          <w:rFonts w:ascii="Palatino Linotype" w:eastAsia="Palatino Linotype" w:hAnsi="Palatino Linotype" w:cs="Palatino Linotype"/>
        </w:rPr>
      </w:pPr>
    </w:p>
    <w:p w14:paraId="01D04C84" w14:textId="77777777" w:rsidR="00F63EE4" w:rsidRDefault="00A01B9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2F1406CC"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558559"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1E96B85"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2CE8C09" w14:textId="77777777" w:rsidR="00F63EE4" w:rsidRDefault="00A01B9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8DEEA06" w14:textId="77777777" w:rsidR="00F63EE4" w:rsidRDefault="00A01B9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AC496DC" w14:textId="77777777" w:rsidR="00F63EE4" w:rsidRDefault="00F63EE4">
      <w:pPr>
        <w:spacing w:line="360" w:lineRule="auto"/>
        <w:ind w:right="-93"/>
        <w:jc w:val="both"/>
        <w:rPr>
          <w:rFonts w:ascii="Palatino Linotype" w:eastAsia="Palatino Linotype" w:hAnsi="Palatino Linotype" w:cs="Palatino Linotype"/>
        </w:rPr>
      </w:pPr>
    </w:p>
    <w:p w14:paraId="22DC55FB" w14:textId="77777777" w:rsidR="00F63EE4" w:rsidRDefault="00A01B9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precedente se advierte que lo solicitado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versa medularmente sobre contratos y adquisiciones de servicios y bienes, en ese tenor, la Ley de Contratación Pública del Estado de México, citada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señala en sus artículos 4 y 5  lo siguiente: </w:t>
      </w:r>
    </w:p>
    <w:p w14:paraId="79DB52C6"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 Para los efectos de esta Ley, en las adquisiciones, enajenaciones, arrendamientos y servicios, quedan comprendidos:</w:t>
      </w:r>
    </w:p>
    <w:p w14:paraId="6E0378E7"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adquisición de bienes muebles. </w:t>
      </w:r>
    </w:p>
    <w:p w14:paraId="1642233E"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La adquisición de bienes inmuebles, a través de compraventa. </w:t>
      </w:r>
    </w:p>
    <w:p w14:paraId="024EB59A"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La enajenación de bienes muebles e inmuebles. </w:t>
      </w:r>
    </w:p>
    <w:p w14:paraId="209991A4"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El arrendamiento de bienes muebles e inmuebles. </w:t>
      </w:r>
    </w:p>
    <w:p w14:paraId="3E74F900"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La contratación de los servicios, relacionados con bienes muebles que se encuentran incorporados o adheridos a bienes inmuebles, cuya instalación o mantenimiento no implique modificación al bien inmueble. </w:t>
      </w:r>
    </w:p>
    <w:p w14:paraId="28815D3A"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 contratación de los servicios de reconstrucción y mantenimiento de bienes muebles. </w:t>
      </w:r>
    </w:p>
    <w:p w14:paraId="05E246F3"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La contratación de los servicios de maquila, seguros y transportación, así como de los de limpieza y vigilancia de bienes inmuebles. </w:t>
      </w:r>
    </w:p>
    <w:p w14:paraId="54C899B0"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14:paraId="2EBCE4BB" w14:textId="77777777" w:rsidR="00F63EE4" w:rsidRDefault="00A01B9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general, otros actos que impliquen la contratación de servicios de cualquier naturaleza. </w:t>
      </w:r>
    </w:p>
    <w:p w14:paraId="1F9FB413" w14:textId="77777777" w:rsidR="00F63EE4" w:rsidRDefault="00A01B9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 </w:t>
      </w:r>
    </w:p>
    <w:p w14:paraId="4CCC0415" w14:textId="77777777" w:rsidR="00F63EE4" w:rsidRDefault="00A01B9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contratación de seguros de garantía financiera, así como de servicios profesionales, consultorías, asesorías, estudios e investigaciones en relación con créditos, empréstitos, préstamos o financiamientos de cualquier naturaleza, incluyendo la emisión de valores, o cualquier otro servicio financiero no estarán sujetos a lo dispuesto por esta Ley. </w:t>
      </w:r>
    </w:p>
    <w:p w14:paraId="49C588E6" w14:textId="77777777" w:rsidR="00F63EE4" w:rsidRDefault="00A01B9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Tampoco aplicará esta ley a la contratación de servicios financieros relacionados con la apertura de cuentas bancarias para la recepción y manejo, inversión y pago de recursos públicos.</w:t>
      </w:r>
    </w:p>
    <w:p w14:paraId="3A21AF47" w14:textId="77777777" w:rsidR="00F63EE4" w:rsidRDefault="00A01B9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w:t>
      </w:r>
      <w:r>
        <w:rPr>
          <w:rFonts w:ascii="Palatino Linotype" w:eastAsia="Palatino Linotype" w:hAnsi="Palatino Linotype" w:cs="Palatino Linotype"/>
          <w:i/>
          <w:sz w:val="22"/>
          <w:szCs w:val="22"/>
        </w:rPr>
        <w:t xml:space="preserve"> La Secretaría llevará a cabo los procedimientos de adquisición de bienes o servicios que requieran las dependencias, conforme a sus respectivos programas de adquisiciones. </w:t>
      </w:r>
    </w:p>
    <w:p w14:paraId="394E1AD3" w14:textId="77777777" w:rsidR="00F63EE4" w:rsidRDefault="00A01B9C">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Las entidades, tribunales administrativos y ayuntamientos, en el ámbito de su respectiva competencia, tendrán a su cargo el trámite de los procedimientos de adquisición de bienes, contratación de servicios, arrendamientos y enajenaciones de bienes muebles e inmuebles.</w:t>
      </w:r>
      <w:r>
        <w:rPr>
          <w:rFonts w:ascii="Palatino Linotype" w:eastAsia="Palatino Linotype" w:hAnsi="Palatino Linotype" w:cs="Palatino Linotype"/>
          <w:i/>
          <w:sz w:val="22"/>
          <w:szCs w:val="22"/>
        </w:rPr>
        <w:t>”</w:t>
      </w:r>
    </w:p>
    <w:p w14:paraId="0467D6F0" w14:textId="77777777" w:rsidR="00F63EE4" w:rsidRDefault="00A01B9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los ayuntamientos en el ámbito de su competencia, tendrán a su cargo el trámite de los procedimientos de adquisición de bienes, contratación de servicios, arrendamientos y enajenaciones de bienes muebles e inmuebles. </w:t>
      </w:r>
    </w:p>
    <w:p w14:paraId="1EAD7734" w14:textId="77777777" w:rsidR="00F63EE4" w:rsidRDefault="00A01B9C">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mismo ordenamiento señala en su artículo 67 que el procedimiento de licitación comprende las fases siguientes: </w:t>
      </w:r>
    </w:p>
    <w:p w14:paraId="7FC2BA56"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67.- </w:t>
      </w:r>
      <w:r>
        <w:rPr>
          <w:rFonts w:ascii="Palatino Linotype" w:eastAsia="Palatino Linotype" w:hAnsi="Palatino Linotype" w:cs="Palatino Linotype"/>
          <w:i/>
          <w:sz w:val="22"/>
          <w:szCs w:val="22"/>
        </w:rPr>
        <w:t xml:space="preserve">El procedimiento de licitación pública comprende las siguientes fases: </w:t>
      </w:r>
    </w:p>
    <w:p w14:paraId="6C737B23" w14:textId="77777777" w:rsidR="00F63EE4" w:rsidRDefault="00A01B9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Publicación de la convocatoria; </w:t>
      </w:r>
    </w:p>
    <w:p w14:paraId="2547DE56" w14:textId="77777777" w:rsidR="00F63EE4" w:rsidRDefault="00A01B9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Venta de las bases de licitación; </w:t>
      </w:r>
    </w:p>
    <w:p w14:paraId="51293D04"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Visita, en su caso, al sitio donde se vayan a suministrar los bienes o a prestar los servicios; </w:t>
      </w:r>
    </w:p>
    <w:p w14:paraId="3616B000"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Junta de aclaraciones, en su caso; </w:t>
      </w:r>
    </w:p>
    <w:p w14:paraId="1F6AB8E8"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Acto de presentación y apertura de propuestas; </w:t>
      </w:r>
    </w:p>
    <w:p w14:paraId="5C446C01"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Análisis y evaluación de propuestas; </w:t>
      </w:r>
    </w:p>
    <w:p w14:paraId="47F04664" w14:textId="77777777" w:rsidR="00F63EE4" w:rsidRDefault="00A01B9C">
      <w:pPr>
        <w:ind w:left="850" w:right="899"/>
        <w:jc w:val="both"/>
        <w:rPr>
          <w:rFonts w:ascii="Palatino Linotype" w:eastAsia="Palatino Linotype" w:hAnsi="Palatino Linotype" w:cs="Palatino Linotype"/>
          <w:i/>
          <w:sz w:val="22"/>
          <w:szCs w:val="22"/>
        </w:rPr>
      </w:pPr>
      <w:proofErr w:type="spellStart"/>
      <w:r>
        <w:rPr>
          <w:rFonts w:ascii="Palatino Linotype" w:eastAsia="Palatino Linotype" w:hAnsi="Palatino Linotype" w:cs="Palatino Linotype"/>
          <w:i/>
          <w:sz w:val="22"/>
          <w:szCs w:val="22"/>
        </w:rPr>
        <w:t>VII.Dictamen</w:t>
      </w:r>
      <w:proofErr w:type="spellEnd"/>
      <w:r>
        <w:rPr>
          <w:rFonts w:ascii="Palatino Linotype" w:eastAsia="Palatino Linotype" w:hAnsi="Palatino Linotype" w:cs="Palatino Linotype"/>
          <w:i/>
          <w:sz w:val="22"/>
          <w:szCs w:val="22"/>
        </w:rPr>
        <w:t xml:space="preserve"> de adjudicación; </w:t>
      </w:r>
    </w:p>
    <w:p w14:paraId="67C956F9"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Fallo; </w:t>
      </w:r>
    </w:p>
    <w:p w14:paraId="321A76D5"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Suscripción del contrato; y </w:t>
      </w:r>
    </w:p>
    <w:p w14:paraId="3C4DA431"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Suministro de los bienes o inicio de la prestación del servicio”</w:t>
      </w:r>
    </w:p>
    <w:p w14:paraId="09A0CB57" w14:textId="77777777" w:rsidR="00F63EE4" w:rsidRDefault="00A01B9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(énfasis añadido) </w:t>
      </w:r>
    </w:p>
    <w:p w14:paraId="78A56C6B" w14:textId="77777777" w:rsidR="00F63EE4" w:rsidRDefault="00F63EE4">
      <w:pPr>
        <w:ind w:left="851" w:right="899"/>
        <w:jc w:val="both"/>
        <w:rPr>
          <w:rFonts w:ascii="Palatino Linotype" w:eastAsia="Palatino Linotype" w:hAnsi="Palatino Linotype" w:cs="Palatino Linotype"/>
          <w:b/>
          <w:i/>
          <w:sz w:val="22"/>
          <w:szCs w:val="22"/>
        </w:rPr>
      </w:pPr>
    </w:p>
    <w:p w14:paraId="7D3D3E54" w14:textId="77777777" w:rsidR="00F63EE4" w:rsidRDefault="00A01B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la ley multicitada señala en su sección segunda las bases para llevar a cabo la licitación en donde se deberán observar como mínimo los requisitos enlistados en las fracciones del artículo 70, el cual a la letra dice: </w:t>
      </w:r>
    </w:p>
    <w:p w14:paraId="318D074A" w14:textId="77777777" w:rsidR="00F63EE4" w:rsidRDefault="00F63EE4">
      <w:pPr>
        <w:ind w:left="851" w:right="899"/>
        <w:jc w:val="both"/>
        <w:rPr>
          <w:rFonts w:ascii="Palatino Linotype" w:eastAsia="Palatino Linotype" w:hAnsi="Palatino Linotype" w:cs="Palatino Linotype"/>
          <w:b/>
          <w:i/>
          <w:sz w:val="22"/>
          <w:szCs w:val="22"/>
        </w:rPr>
      </w:pPr>
    </w:p>
    <w:p w14:paraId="0A5D7595" w14:textId="77777777" w:rsidR="00F63EE4" w:rsidRDefault="00A01B9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“SECCIÓN SEGUNDA</w:t>
      </w:r>
    </w:p>
    <w:p w14:paraId="3E74847C" w14:textId="77777777" w:rsidR="00F63EE4" w:rsidRDefault="00A01B9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BASES DE LICITACIÓN </w:t>
      </w:r>
    </w:p>
    <w:p w14:paraId="170B5B19" w14:textId="77777777" w:rsidR="00F63EE4" w:rsidRDefault="00A01B9C">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70.- Las bases de la licitación pública, deberán contener como mínimo, los requisitos siguientes: </w:t>
      </w:r>
    </w:p>
    <w:p w14:paraId="29B27D97"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Los datos generales de la convocante; </w:t>
      </w:r>
    </w:p>
    <w:p w14:paraId="3F88C37A"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La descripción completa y genérica de los bienes o servicios objeto de la licitación, incluyendo presentación, unidad de medida, cantidad y, en su caso, información específica sobre el mantenimiento, asistencia técnica y capacitación; relación de refacciones que deberán de ofertarse; normas aplicables; pruebas o muestreos que se realizarán; periodos de garantía; y otras opciones adicionales de oferta; </w:t>
      </w:r>
    </w:p>
    <w:p w14:paraId="7CBFECF1"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Lugar, plazo, calidad y demás condiciones de entrega de los bienes o prestación de servicios; </w:t>
      </w:r>
    </w:p>
    <w:p w14:paraId="69F1E0A5"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La indicación de si la licitación es nacional o internacional; así como si se desahogará a través de la modalidad de subasta inversa electrónica; </w:t>
      </w:r>
    </w:p>
    <w:p w14:paraId="7F4406F5"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El costo de las bases;</w:t>
      </w:r>
    </w:p>
    <w:p w14:paraId="6FCBF038"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Las condiciones de pago y la indicación de si se otorgará o no anticipo; en cuyo caso, deberá señalarse el porcentaje respectivo, el cual no podrá exceder del cincuenta por ciento del importe total del contrato. Las ofertas deberán de formularse en moneda nacional. Las convocantes en casos debidamente justificados, podrán determinar que las propuestas económicas se presenten en moneda extranjera; no obstante, el pago deberá efectuarse en moneda nacional en los términos que establezca la Ley Monetaria de los Estados Unidos Mexicanos; </w:t>
      </w:r>
    </w:p>
    <w:p w14:paraId="7DCB8110"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Los requisitos que deberán cumplir y los poderes con que deban acreditarse quienes tengan interés en participar en el procedimiento licitatorio, así como los documentos que habrán de presentar; </w:t>
      </w:r>
    </w:p>
    <w:p w14:paraId="0323323C"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La indicación de que si el interesado resulta adjudicado en un procedimiento de adquisición deberá señalar al momento de la firma del contrato, domicilio en el territorio del Estado de México, para efectos de oír y recibir notificaciones o cualquier documento; </w:t>
      </w:r>
    </w:p>
    <w:p w14:paraId="784ADF2A"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El señalamiento de que las convocantes preferirán, en igualdad de circunstancias las personas físicas o jurídicas colectivas que cuenten con el certificado de empresa mexiquense, en términos del Código Administrativo del Estado de México. </w:t>
      </w:r>
    </w:p>
    <w:p w14:paraId="6B605760"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bases podrán establecer porcentajes diferenciales de precio a favor de las mismas, el cual nunca podrá ser superior al cinco por ciento; </w:t>
      </w:r>
    </w:p>
    <w:p w14:paraId="6A04FE3A"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La fecha, hora y lugar de la junta de aclaraciones, en su caso. La asistencia de los oferentes a la junta de aclaraciones será optativa; </w:t>
      </w:r>
    </w:p>
    <w:p w14:paraId="5C99D6C1"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Las instrucciones para la elaboración y presentación de la oferta técnica y económica y la información relativa a las garantías que deberán otorgar los proveedores o prestadores de servicios que celebren contratos de adquisiciones o prestación de servicios a que se refiere el presente Reglamento; </w:t>
      </w:r>
    </w:p>
    <w:p w14:paraId="14D0823B"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La indicación de que las ofertas deberán presentarse en idioma español; </w:t>
      </w:r>
    </w:p>
    <w:p w14:paraId="1E20DC4A"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La fecha, hora y lugar de celebración del acto de presentación y apertura de propuestas; </w:t>
      </w:r>
    </w:p>
    <w:p w14:paraId="6DAFC7F7"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XIV. En el caso de contratos abiertos, las cantidades o plazos mínimos y máximos; XV. Las indicaciones para la presentación de muestras o catálogos y para la realización de pruebas, cuando éstas resulten necesarias para la determinación de ciertas características de los bienes o prestación de servicios requeridos, así como el nombre de los laboratorios acreditados que examinarán dichas muestras, cuyo costo y envío correrá a cargo del oferente; </w:t>
      </w:r>
    </w:p>
    <w:p w14:paraId="0B973AB5"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 El señalamiento de que la convocante podrá, tomando en cuenta los plazos establecidos dentro del procedimiento, comprobar los resultados de las muestras o las características consignadas en los catálogos, por conducto de las instituciones públicas que por la naturaleza de sus funciones e infraestructura le permitan realizarla; </w:t>
      </w:r>
    </w:p>
    <w:p w14:paraId="43B3DB7D"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XVII. Las indicaciones y alcances de las inspecciones o visitas que en su caso realice la convocante a las instalaciones del proveedor o prestador de servicios;</w:t>
      </w:r>
    </w:p>
    <w:p w14:paraId="65F82AEA"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XVIII. La indicación de que ninguna de las condiciones contenidas en las bases de la licitación y en las propuestas presentadas por los participantes, podrán ser negociadas o modificadas una vez iniciado el acto de presentación y apertura de propuestas; </w:t>
      </w:r>
    </w:p>
    <w:p w14:paraId="7C935169"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XIX. El señalamiento del procedimiento para la realización del acto de presentación y apertura de propuestas, análisis y evaluación de propuestas, contraoferta y fallo; </w:t>
      </w:r>
    </w:p>
    <w:p w14:paraId="3AA71365"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 Las causas expresas de descalificación, de las propuestas presentadas, en las que se incluirá el incumplimiento de alguno de los requisitos o condiciones establecidos en las bases de la licitación que afecten directamente la solvencia de dichas propuestas, entre las que se incluirá la comprobación del acuerdo entre los oferentes para elevar el precio de los bienes o servicios; </w:t>
      </w:r>
    </w:p>
    <w:p w14:paraId="369FD30C"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 Los criterios para la evaluación y selección de las propuestas para la adjudicación del contrato y la forma de comunicación del fallo. Tratándose de procedimientos en los que se considere la subasta inversa electrónica, únicamente se podrá aplicar el criterio de evaluación binario; </w:t>
      </w:r>
    </w:p>
    <w:p w14:paraId="2C704688"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XXII. La indicación de si la totalidad de los bienes o servicios objeto de la licitación o, en su caso, de cada partida de la misma, serán adjudicados a un solo licitante, o bien, si la adjudicación se hará mediante el procedimiento de abastecimiento simultáneo, en cuyo caso deberá precisarse el porcentaje de diferencial en precio que se considerará, el cual no podrá ser superior al cinco por ciento; </w:t>
      </w:r>
    </w:p>
    <w:p w14:paraId="6A4E9AB5"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XXIII. Las formalidades para la suscripción del contrato y para la tramitación de las facturas, así como el señalamiento de que el licitante que no firme el contrato adjudicado por causas imputables al mismo será sancionado en los términos de la Ley y este Reglamento; </w:t>
      </w:r>
    </w:p>
    <w:p w14:paraId="649200A5"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XXIV. El señalamiento de que los particulares que infrinjan las disposiciones contenidas en la Ley y este Reglamento, excepto las señaladas en el artículo 87 de la Ley, serán sancionados por la Secretaría, organismos auxiliares, tribunales administrativos y municipios, en el ámbito de su competencia, con multa equivalente a la cantidad de treinta a tres mil veces el salario mínimo general vigente en la capital del Estado, en la fecha de la infracción; </w:t>
      </w:r>
    </w:p>
    <w:p w14:paraId="502FB38D"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 Las penas convencionales por atraso en la entrega de los bienes o en la prestación de los servicios, y lo referente a controversias y recursos; </w:t>
      </w:r>
    </w:p>
    <w:p w14:paraId="5107FA7E"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XXVI. Los supuestos en los que podrá declararse suspendida, cancelada o desierta la licitación; </w:t>
      </w:r>
    </w:p>
    <w:p w14:paraId="3A219E8C"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XXVII. La indicación de que en caso de violación a las patentes y derechos de autor, la responsabilidad será del oferente. Asimismo que las patentes y derechos de autor para el caso de contratación de servicios de consultorías, asesorías, estudios e investigaciones, obras literarias, pasarán a favor de la convocante; y </w:t>
      </w:r>
    </w:p>
    <w:p w14:paraId="36CC347B" w14:textId="77777777" w:rsidR="00F63EE4" w:rsidRDefault="00A01B9C">
      <w:pPr>
        <w:ind w:left="851" w:right="899"/>
        <w:jc w:val="both"/>
        <w:rPr>
          <w:rFonts w:ascii="Palatino Linotype" w:eastAsia="Palatino Linotype" w:hAnsi="Palatino Linotype" w:cs="Palatino Linotype"/>
          <w:i/>
          <w:sz w:val="22"/>
          <w:szCs w:val="22"/>
        </w:rPr>
      </w:pPr>
      <w:proofErr w:type="spellStart"/>
      <w:r>
        <w:rPr>
          <w:rFonts w:ascii="Palatino Linotype" w:eastAsia="Palatino Linotype" w:hAnsi="Palatino Linotype" w:cs="Palatino Linotype"/>
          <w:i/>
          <w:sz w:val="22"/>
          <w:szCs w:val="22"/>
        </w:rPr>
        <w:t>XXVIII.El</w:t>
      </w:r>
      <w:proofErr w:type="spellEnd"/>
      <w:r>
        <w:rPr>
          <w:rFonts w:ascii="Palatino Linotype" w:eastAsia="Palatino Linotype" w:hAnsi="Palatino Linotype" w:cs="Palatino Linotype"/>
          <w:i/>
          <w:sz w:val="22"/>
          <w:szCs w:val="22"/>
        </w:rPr>
        <w:t xml:space="preserve"> lugar y fecha de la expedición de las bases de licitación y su autorización. </w:t>
      </w:r>
    </w:p>
    <w:p w14:paraId="5306216F"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todo caso, las bases contendrán disposiciones que regulen la simplificación de requisitos que presenten los proveedores sociales, así como la excepción de la presentación de garantías de cumplimiento de contrato y de defectos o vicios ocultos, cuando se solicite. “</w:t>
      </w:r>
    </w:p>
    <w:p w14:paraId="2D3D757E"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9D13845" w14:textId="77777777" w:rsidR="00F63EE4" w:rsidRDefault="00F63EE4">
      <w:pPr>
        <w:ind w:left="851" w:right="899"/>
        <w:jc w:val="both"/>
        <w:rPr>
          <w:rFonts w:ascii="Palatino Linotype" w:eastAsia="Palatino Linotype" w:hAnsi="Palatino Linotype" w:cs="Palatino Linotype"/>
          <w:b/>
          <w:i/>
          <w:sz w:val="22"/>
          <w:szCs w:val="22"/>
        </w:rPr>
      </w:pPr>
    </w:p>
    <w:p w14:paraId="5A686C35" w14:textId="77777777" w:rsidR="00F63EE4" w:rsidRDefault="00F63EE4">
      <w:pPr>
        <w:ind w:right="899"/>
        <w:jc w:val="both"/>
        <w:rPr>
          <w:rFonts w:ascii="Palatino Linotype" w:eastAsia="Palatino Linotype" w:hAnsi="Palatino Linotype" w:cs="Palatino Linotype"/>
          <w:b/>
          <w:i/>
          <w:sz w:val="22"/>
          <w:szCs w:val="22"/>
        </w:rPr>
      </w:pPr>
    </w:p>
    <w:p w14:paraId="730C0F7B" w14:textId="77777777" w:rsidR="00F63EE4" w:rsidRDefault="00A01B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anterior es posible señalar que la Ley de Contratación Pública prevé que para llevar a cabo un procedimiento de licitación pública, la autoridad convocante deberá publicar las bases con las formalidades necesarias que regirán cada procedimiento en específico, ya que la ley solo establece que los requisitos previstos en el artículo anterior, serán los mínimos necesarios, luego entonces cada uno de los procedimientos tiene sus propias bases. </w:t>
      </w:r>
    </w:p>
    <w:p w14:paraId="30BAE6E8" w14:textId="77777777" w:rsidR="00F63EE4" w:rsidRDefault="00F63EE4">
      <w:pPr>
        <w:ind w:right="899"/>
        <w:jc w:val="both"/>
        <w:rPr>
          <w:rFonts w:ascii="Palatino Linotype" w:eastAsia="Palatino Linotype" w:hAnsi="Palatino Linotype" w:cs="Palatino Linotype"/>
          <w:i/>
          <w:sz w:val="22"/>
          <w:szCs w:val="22"/>
        </w:rPr>
      </w:pPr>
      <w:bookmarkStart w:id="8" w:name="_heading=h.byi3i2pl3s41" w:colFirst="0" w:colLast="0"/>
      <w:bookmarkEnd w:id="8"/>
    </w:p>
    <w:p w14:paraId="0D392AA0" w14:textId="77777777" w:rsidR="00F63EE4" w:rsidRDefault="00A01B9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establecido lo anterior, se advierte que estos procedimientos deberán ser publicados conforme a lo establecido en la Ley de Transparencia y Acceso a la Información Pública del Estado de México y Municipios, en su artículo 92 dentro del apartado de obligaciones de transparencia comunes a todos los sujetos obligados fracción XXIX. Mismo que establece lo siguiente: </w:t>
      </w:r>
    </w:p>
    <w:p w14:paraId="6524F585"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EBCE66" w14:textId="77777777" w:rsidR="00F63EE4" w:rsidRDefault="00F63EE4">
      <w:pPr>
        <w:ind w:left="851" w:right="899"/>
        <w:jc w:val="both"/>
        <w:rPr>
          <w:rFonts w:ascii="Palatino Linotype" w:eastAsia="Palatino Linotype" w:hAnsi="Palatino Linotype" w:cs="Palatino Linotype"/>
          <w:i/>
          <w:sz w:val="22"/>
          <w:szCs w:val="22"/>
        </w:rPr>
      </w:pPr>
    </w:p>
    <w:p w14:paraId="525A0C26"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sobre los procesos y resultados sobre procedimientos de adjudicación directa, invitación restringida y licitación de cualquier naturaleza,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incluyendo la versión pública del expediente respectivo</w:t>
      </w:r>
      <w:r>
        <w:rPr>
          <w:rFonts w:ascii="Palatino Linotype" w:eastAsia="Palatino Linotype" w:hAnsi="Palatino Linotype" w:cs="Palatino Linotype"/>
          <w:i/>
          <w:sz w:val="22"/>
          <w:szCs w:val="22"/>
        </w:rPr>
        <w:t xml:space="preserve"> y de los contratos celebrados, que deberán contener, por los menos, lo siguiente: </w:t>
      </w:r>
    </w:p>
    <w:p w14:paraId="6390F9A0" w14:textId="77777777" w:rsidR="00F63EE4" w:rsidRDefault="00F63EE4">
      <w:pPr>
        <w:ind w:left="851" w:right="899"/>
        <w:jc w:val="both"/>
        <w:rPr>
          <w:rFonts w:ascii="Palatino Linotype" w:eastAsia="Palatino Linotype" w:hAnsi="Palatino Linotype" w:cs="Palatino Linotype"/>
          <w:i/>
          <w:sz w:val="22"/>
          <w:szCs w:val="22"/>
        </w:rPr>
      </w:pPr>
    </w:p>
    <w:p w14:paraId="4BC55793" w14:textId="77777777" w:rsidR="00F63EE4" w:rsidRDefault="00A01B9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De licitaciones públicas o procedimientos de invitación restringida: </w:t>
      </w:r>
    </w:p>
    <w:p w14:paraId="6CBD842E" w14:textId="77777777" w:rsidR="00F63EE4" w:rsidRDefault="00A01B9C">
      <w:pPr>
        <w:ind w:left="144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1) La convocatoria o invitación emitida, así como los fundamentos legales aplicados para llevarla a cabo;</w:t>
      </w:r>
      <w:r>
        <w:rPr>
          <w:rFonts w:ascii="Palatino Linotype" w:eastAsia="Palatino Linotype" w:hAnsi="Palatino Linotype" w:cs="Palatino Linotype"/>
          <w:sz w:val="22"/>
          <w:szCs w:val="22"/>
        </w:rPr>
        <w:t xml:space="preserve"> </w:t>
      </w:r>
    </w:p>
    <w:p w14:paraId="3D84DA7D"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Los nombres de los participantes o invitados;</w:t>
      </w:r>
    </w:p>
    <w:p w14:paraId="2CBEB7F7"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3) El nombre del ganador y las razones que lo justifican;</w:t>
      </w:r>
    </w:p>
    <w:p w14:paraId="2BA44E4E"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4) El área solicitante y la responsable de su ejecución; </w:t>
      </w:r>
    </w:p>
    <w:p w14:paraId="595CDC6D" w14:textId="77777777" w:rsidR="00F63EE4" w:rsidRDefault="00A01B9C">
      <w:pPr>
        <w:ind w:left="144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5) Las convocatorias e invitaciones emitidas;</w:t>
      </w:r>
    </w:p>
    <w:p w14:paraId="5A81367C"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Los dictámenes y fallo de adjudicación; </w:t>
      </w:r>
    </w:p>
    <w:p w14:paraId="2A141AAD" w14:textId="77777777" w:rsidR="00F63EE4" w:rsidRDefault="00A01B9C">
      <w:pPr>
        <w:ind w:left="144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7) El contrato y, en su caso, sus anexos;</w:t>
      </w:r>
      <w:r>
        <w:rPr>
          <w:rFonts w:ascii="Palatino Linotype" w:eastAsia="Palatino Linotype" w:hAnsi="Palatino Linotype" w:cs="Palatino Linotype"/>
          <w:b/>
          <w:i/>
          <w:sz w:val="22"/>
          <w:szCs w:val="22"/>
        </w:rPr>
        <w:t xml:space="preserve"> </w:t>
      </w:r>
    </w:p>
    <w:p w14:paraId="60501A57" w14:textId="77777777" w:rsidR="00F63EE4" w:rsidRDefault="00A01B9C">
      <w:pPr>
        <w:ind w:left="144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8) Los mecanismos de vigilancia y supervisión, incluyendo en su caso, los estudios de impacto urbano y ambiental, según corresponda;</w:t>
      </w:r>
    </w:p>
    <w:p w14:paraId="7C0F5DFC"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9) La partida presupuestal, de conformidad con el clasificador por objeto del gasto, en el caso de ser aplicable; </w:t>
      </w:r>
    </w:p>
    <w:p w14:paraId="74957957"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14:paraId="255CF4EB"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 Los convenios modificatorios que, en su caso, sean firmados, precisando el objeto y la fecha de celebración;</w:t>
      </w:r>
    </w:p>
    <w:p w14:paraId="7A2CAE04"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 Los informes de avance físico y financiero sobre las obras o servicios contratados; </w:t>
      </w:r>
    </w:p>
    <w:p w14:paraId="1F1CB6B5"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El convenio de terminación; y </w:t>
      </w:r>
    </w:p>
    <w:p w14:paraId="2B99FCEC"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14) El finiquito.</w:t>
      </w:r>
    </w:p>
    <w:p w14:paraId="4D88A1EE" w14:textId="77777777" w:rsidR="00F63EE4" w:rsidRDefault="00F63EE4">
      <w:pPr>
        <w:ind w:left="1440" w:right="899"/>
        <w:jc w:val="both"/>
        <w:rPr>
          <w:rFonts w:ascii="Palatino Linotype" w:eastAsia="Palatino Linotype" w:hAnsi="Palatino Linotype" w:cs="Palatino Linotype"/>
          <w:i/>
          <w:sz w:val="22"/>
          <w:szCs w:val="22"/>
        </w:rPr>
      </w:pPr>
    </w:p>
    <w:p w14:paraId="0DB90A25" w14:textId="77777777" w:rsidR="00F63EE4" w:rsidRDefault="00A01B9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De las adjudicaciones directas: </w:t>
      </w:r>
    </w:p>
    <w:p w14:paraId="0EC6E963"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La propuesta enviada por el participante; </w:t>
      </w:r>
    </w:p>
    <w:p w14:paraId="7FF43A6D"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Los motivos y fundamentos legales aplicados para llevarla a cabo; </w:t>
      </w:r>
    </w:p>
    <w:p w14:paraId="57726208"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La autorización del ejercicio de la opción; </w:t>
      </w:r>
    </w:p>
    <w:p w14:paraId="5A279F40"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En su caso, las cotizaciones consideradas, especificando los nombres de los proveedores y sus montos; </w:t>
      </w:r>
    </w:p>
    <w:p w14:paraId="3D154BFE"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El nombre de la persona física o jurídica colectiva adjudicada; </w:t>
      </w:r>
    </w:p>
    <w:p w14:paraId="75111EC5"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La unidad administrativa solicitante y la responsable de su ejecución; </w:t>
      </w:r>
    </w:p>
    <w:p w14:paraId="2CD6610E"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375628BC"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7F65752E"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9) Los informes de avance sobre las obras o servicios contratados; </w:t>
      </w:r>
    </w:p>
    <w:p w14:paraId="724D7173"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El convenio de terminación; y </w:t>
      </w:r>
    </w:p>
    <w:p w14:paraId="20063FD7" w14:textId="77777777" w:rsidR="00F63EE4" w:rsidRDefault="00A01B9C">
      <w:pPr>
        <w:ind w:left="1440"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 El finiquito.” (Sic)</w:t>
      </w:r>
    </w:p>
    <w:p w14:paraId="2ACBE6B6" w14:textId="77777777" w:rsidR="00F63EE4" w:rsidRDefault="00A01B9C">
      <w:pPr>
        <w:ind w:left="144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B5E9228" w14:textId="77777777" w:rsidR="00F63EE4" w:rsidRDefault="00A01B9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dentro de la información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hacer de conocimiento de los particulares se encuentra la relativa a las adquisiciones de bienes y la contratación de servicios, dentro de la cual se encontrarán las bases para la  contratación. </w:t>
      </w:r>
    </w:p>
    <w:p w14:paraId="2619F1A8" w14:textId="77777777" w:rsidR="00F63EE4" w:rsidRDefault="00A01B9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Razón por la cual es dable determinar que el ente recurrido tiene facultades para conocer y administrar de la información solicitada, en consecuencia, este Instituto determina </w:t>
      </w:r>
      <w:r>
        <w:rPr>
          <w:rFonts w:ascii="Palatino Linotype" w:eastAsia="Palatino Linotype" w:hAnsi="Palatino Linotype" w:cs="Palatino Linotype"/>
          <w:b/>
        </w:rPr>
        <w:t xml:space="preserve">MODIFICAR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 resultar fundadas las razones o motivos de inconformidad vertidos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presente Recurso de Revisión y se ordena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haga entrega de las bases y procedimientos de contratación de los servicios contratados por el Director y la Subdirectora referidos en la solicitud de información pública;</w:t>
      </w:r>
    </w:p>
    <w:p w14:paraId="4C588DE0" w14:textId="77777777" w:rsidR="00F63EE4" w:rsidRDefault="00A01B9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para el plazo de búsqueda de la información, toda vez que el mismo no fue delimitado por el particular en la solicitud de información, deberá de ser de un año inmediato anterior a la fecha de presentación de la solicitud, es decir del veinticinco de marzo de dos mil veintiuno al veinticinco de marzo de dos mil veintidós. </w:t>
      </w:r>
    </w:p>
    <w:p w14:paraId="7C47AE07" w14:textId="77777777" w:rsidR="00F63EE4" w:rsidRDefault="00A01B9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en atención al criterio 09/13 del Instituto Nacional de Transparencia, Acceso a la Información y Protección de Datos Personales, el cual  hace referencia a ello en el tenor que a continuación se muestra:</w:t>
      </w:r>
    </w:p>
    <w:p w14:paraId="64EC32B5" w14:textId="77777777" w:rsidR="00F63EE4" w:rsidRDefault="00A01B9C">
      <w:pPr>
        <w:shd w:val="clear" w:color="auto" w:fill="FFFFFF"/>
        <w:spacing w:line="360" w:lineRule="auto"/>
        <w:ind w:left="860" w:right="62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“Periodo de búsqueda de la información, cuando no se precisa en la solicitud de información.</w:t>
      </w:r>
      <w:r>
        <w:rPr>
          <w:rFonts w:ascii="Palatino Linotype" w:eastAsia="Palatino Linotype" w:hAnsi="Palatino Linotype" w:cs="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Pr>
          <w:rFonts w:ascii="Palatino Linotype" w:eastAsia="Palatino Linotype" w:hAnsi="Palatino Linotype" w:cs="Palatino Linotype"/>
          <w:b/>
          <w:i/>
          <w:sz w:val="22"/>
          <w:szCs w:val="22"/>
        </w:rPr>
        <w:t>deberá interpretarse que su requerimiento se refiere al del año inmediato anterior contado a partir de la fecha en que se presentó la solicitud</w:t>
      </w:r>
      <w:r>
        <w:rPr>
          <w:rFonts w:ascii="Palatino Linotype" w:eastAsia="Palatino Linotype" w:hAnsi="Palatino Linotype" w:cs="Palatino Linotype"/>
          <w:i/>
          <w:sz w:val="22"/>
          <w:szCs w:val="22"/>
        </w:rPr>
        <w:t>. Lo anterior permite que los sujetos obligados cuenten con mayores elementos para precisar y localizar la información solicitada.”(Sic)</w:t>
      </w:r>
    </w:p>
    <w:p w14:paraId="546246CF" w14:textId="77777777" w:rsidR="00F63EE4" w:rsidRDefault="00A01B9C">
      <w:pPr>
        <w:shd w:val="clear" w:color="auto" w:fill="FFFFFF"/>
        <w:spacing w:line="392"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 </w:t>
      </w:r>
    </w:p>
    <w:p w14:paraId="5943531B" w14:textId="77777777" w:rsidR="00F63EE4" w:rsidRDefault="00A01B9C">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Del criterio citado se deriva que en el caso de no existir un plazo específico mencionado en la solicitud, este se entenderá como un año anterior a la fecha de la solicitud.</w:t>
      </w:r>
    </w:p>
    <w:p w14:paraId="06D81FD5" w14:textId="77777777" w:rsidR="00F63EE4" w:rsidRDefault="00F63EE4">
      <w:pPr>
        <w:shd w:val="clear" w:color="auto" w:fill="FFFFFF"/>
        <w:spacing w:line="392" w:lineRule="auto"/>
        <w:jc w:val="both"/>
        <w:rPr>
          <w:rFonts w:ascii="Palatino Linotype" w:eastAsia="Palatino Linotype" w:hAnsi="Palatino Linotype" w:cs="Palatino Linotype"/>
          <w:color w:val="222222"/>
        </w:rPr>
      </w:pPr>
    </w:p>
    <w:p w14:paraId="2C49ECDF" w14:textId="77777777" w:rsidR="00F63EE4" w:rsidRDefault="00A01B9C">
      <w:pPr>
        <w:shd w:val="clear" w:color="auto" w:fill="FFFFFF"/>
        <w:spacing w:line="392" w:lineRule="auto"/>
        <w:jc w:val="both"/>
        <w:rPr>
          <w:rFonts w:ascii="Palatino Linotype" w:eastAsia="Palatino Linotype" w:hAnsi="Palatino Linotype" w:cs="Palatino Linotype"/>
          <w:color w:val="222222"/>
        </w:rPr>
      </w:pPr>
      <w:r w:rsidRPr="00C33E45">
        <w:rPr>
          <w:rFonts w:ascii="Palatino Linotype" w:eastAsia="Palatino Linotype" w:hAnsi="Palatino Linotype" w:cs="Palatino Linotype"/>
        </w:rPr>
        <w:t xml:space="preserve">Siendo preciso mencionar que </w:t>
      </w:r>
      <w:r w:rsidR="00EB22D4" w:rsidRPr="00C33E45">
        <w:rPr>
          <w:rFonts w:ascii="Palatino Linotype" w:eastAsia="Palatino Linotype" w:hAnsi="Palatino Linotype" w:cs="Palatino Linotype"/>
        </w:rPr>
        <w:t>e</w:t>
      </w:r>
      <w:r w:rsidRPr="00C33E45">
        <w:rPr>
          <w:rFonts w:ascii="Palatino Linotype" w:eastAsia="Palatino Linotype" w:hAnsi="Palatino Linotype" w:cs="Palatino Linotype"/>
        </w:rPr>
        <w:t xml:space="preserve">n caso de no contar con la información que se ordena  por no haberse generado a la fecha de la solicitud, </w:t>
      </w:r>
      <w:r w:rsidRPr="00C33E45">
        <w:rPr>
          <w:rFonts w:ascii="Palatino Linotype" w:eastAsia="Palatino Linotype" w:hAnsi="Palatino Linotype" w:cs="Palatino Linotype"/>
          <w:b/>
        </w:rPr>
        <w:t xml:space="preserve">EL SUJETO OBLIGADO </w:t>
      </w:r>
      <w:r w:rsidRPr="00C33E45">
        <w:rPr>
          <w:rFonts w:ascii="Palatino Linotype" w:eastAsia="Palatino Linotype" w:hAnsi="Palatino Linotype" w:cs="Palatino Linotype"/>
        </w:rPr>
        <w:t>deberá manifestarlo de forma fundada y motivada.</w:t>
      </w:r>
      <w:r>
        <w:rPr>
          <w:rFonts w:ascii="Palatino Linotype" w:eastAsia="Palatino Linotype" w:hAnsi="Palatino Linotype" w:cs="Palatino Linotype"/>
        </w:rPr>
        <w:t xml:space="preserve"> </w:t>
      </w:r>
      <w:r>
        <w:rPr>
          <w:rFonts w:ascii="Palatino Linotype" w:eastAsia="Palatino Linotype" w:hAnsi="Palatino Linotype" w:cs="Palatino Linotype"/>
          <w:color w:val="222222"/>
        </w:rPr>
        <w:t xml:space="preserve"> </w:t>
      </w:r>
    </w:p>
    <w:p w14:paraId="2B10ED39" w14:textId="77777777" w:rsidR="00F63EE4" w:rsidRDefault="00A01B9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último no se omite comentar que en la solicitud del particular se aprecian manifestaciones subjetivas, sobre lo cual es importante mencionar que si bien el solicitante está en su derecho de realizar manifestación de ideas, de acuerdo con los artículos 13 de la Convención Americana sobre Derechos Humanos y 19 del Pacto Internacional de Derechos Civiles y Políticos, así como el artículo el artículo 6, párrafo primero, de la Constitución Política de los Estados Unidos Mexicanos, que a la letra dice:</w:t>
      </w:r>
    </w:p>
    <w:p w14:paraId="43695EC0" w14:textId="77777777" w:rsidR="00F63EE4" w:rsidRDefault="00F63EE4">
      <w:pPr>
        <w:ind w:left="850" w:right="901"/>
        <w:jc w:val="both"/>
        <w:rPr>
          <w:rFonts w:ascii="Palatino Linotype" w:eastAsia="Palatino Linotype" w:hAnsi="Palatino Linotype" w:cs="Palatino Linotype"/>
          <w:i/>
          <w:sz w:val="22"/>
          <w:szCs w:val="22"/>
        </w:rPr>
      </w:pPr>
    </w:p>
    <w:p w14:paraId="3C64CAAF" w14:textId="77777777" w:rsidR="00F63EE4" w:rsidRDefault="00A01B9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6o. </w:t>
      </w:r>
      <w:r>
        <w:rPr>
          <w:rFonts w:ascii="Palatino Linotype" w:eastAsia="Palatino Linotype" w:hAnsi="Palatino Linotype" w:cs="Palatino Linotype"/>
          <w:b/>
          <w:i/>
          <w:sz w:val="22"/>
          <w:szCs w:val="22"/>
        </w:rPr>
        <w:t>La manifestación de las ideas no será objeto de ninguna inquisición judicial o administrativa, sino en el caso de que ataque a la moral</w:t>
      </w:r>
      <w:r>
        <w:rPr>
          <w:rFonts w:ascii="Palatino Linotype" w:eastAsia="Palatino Linotype" w:hAnsi="Palatino Linotype" w:cs="Palatino Linotype"/>
          <w:i/>
          <w:sz w:val="22"/>
          <w:szCs w:val="22"/>
        </w:rPr>
        <w:t>, la vida privada o los derechos de terceros, provoque algún delito, o perturbe el orden público; el derecho de réplica será ejercido en los términos dispuestos por la ley. El derecho a la información será garantizado por el Estado.</w:t>
      </w:r>
    </w:p>
    <w:p w14:paraId="01C07ABD" w14:textId="77777777" w:rsidR="00F63EE4" w:rsidRDefault="00A01B9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0314BFF" w14:textId="77777777" w:rsidR="00F63EE4" w:rsidRDefault="00A01B9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(Énfasis añadido)</w:t>
      </w:r>
    </w:p>
    <w:p w14:paraId="0E3D5D58" w14:textId="77777777" w:rsidR="00F63EE4" w:rsidRDefault="00F63EE4">
      <w:pPr>
        <w:ind w:left="850" w:right="901"/>
        <w:jc w:val="both"/>
        <w:rPr>
          <w:rFonts w:ascii="Palatino Linotype" w:eastAsia="Palatino Linotype" w:hAnsi="Palatino Linotype" w:cs="Palatino Linotype"/>
          <w:i/>
          <w:sz w:val="22"/>
          <w:szCs w:val="22"/>
        </w:rPr>
      </w:pPr>
    </w:p>
    <w:p w14:paraId="6332AC11"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en cita se puede apreciar que aun cuando los particulares cuentan con el derecho de manifestar sus ideas así como de acceder a la información pública que posean los Sujetos Obligados en ejercicio, éste derecho debe ser ejercido con el debido respeto personal e institucional tanto a quienes posean, generen y administren la información como de quienes se solicita, de manera que el ejercicio del derecho que realicen los particulares, debe estar acotado a una adecuada comunicación entre las partes; es decir particular - ente recurrido. Sin hacer uso de expresiones peyorativas, ofensivas o denigrantes. </w:t>
      </w:r>
    </w:p>
    <w:p w14:paraId="2A0003BC" w14:textId="77777777" w:rsidR="00F63EE4" w:rsidRDefault="00F63EE4">
      <w:pPr>
        <w:spacing w:line="360" w:lineRule="auto"/>
        <w:jc w:val="both"/>
        <w:rPr>
          <w:rFonts w:ascii="Palatino Linotype" w:eastAsia="Palatino Linotype" w:hAnsi="Palatino Linotype" w:cs="Palatino Linotype"/>
        </w:rPr>
      </w:pPr>
    </w:p>
    <w:p w14:paraId="5D9C0AED"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conmina al particular a que en futuras ocasiones formule sus solicitudes de acceso a la información bajo los principios y elementos consagrados en los preceptos normativos  que rigen la materia. </w:t>
      </w:r>
    </w:p>
    <w:p w14:paraId="465C18D0" w14:textId="77777777" w:rsidR="00F63EE4" w:rsidRDefault="00F63EE4">
      <w:pPr>
        <w:spacing w:line="360" w:lineRule="auto"/>
        <w:jc w:val="both"/>
        <w:rPr>
          <w:rFonts w:ascii="Palatino Linotype" w:eastAsia="Palatino Linotype" w:hAnsi="Palatino Linotype" w:cs="Palatino Linotype"/>
        </w:rPr>
      </w:pPr>
    </w:p>
    <w:p w14:paraId="5630C0EC" w14:textId="77777777" w:rsidR="00F63EE4" w:rsidRPr="00C33E45" w:rsidRDefault="00A01B9C">
      <w:pPr>
        <w:spacing w:line="360" w:lineRule="auto"/>
        <w:jc w:val="both"/>
        <w:rPr>
          <w:rFonts w:ascii="Palatino Linotype" w:eastAsia="Palatino Linotype" w:hAnsi="Palatino Linotype" w:cs="Palatino Linotype"/>
          <w:i/>
        </w:rPr>
      </w:pPr>
      <w:r w:rsidRPr="00C33E45">
        <w:rPr>
          <w:rFonts w:ascii="Palatino Linotype" w:eastAsia="Palatino Linotype" w:hAnsi="Palatino Linotype" w:cs="Palatino Linotype"/>
        </w:rPr>
        <w:t>Asimismo con respecto a la parte del Recurso de Revisión donde señala: “</w:t>
      </w:r>
      <w:r w:rsidRPr="00C33E45">
        <w:rPr>
          <w:rFonts w:ascii="Palatino Linotype" w:eastAsia="Palatino Linotype" w:hAnsi="Palatino Linotype" w:cs="Palatino Linotype"/>
          <w:i/>
        </w:rPr>
        <w:t>Por tal motivo solicitó, se apercibimiento y sancione a través de las medidas de apremio pertinentes al servidor público correspondiente.” (Sic)</w:t>
      </w:r>
    </w:p>
    <w:p w14:paraId="27660403" w14:textId="77777777" w:rsidR="00F63EE4" w:rsidRPr="00C33E45" w:rsidRDefault="00F63EE4">
      <w:pPr>
        <w:spacing w:line="360" w:lineRule="auto"/>
        <w:jc w:val="both"/>
        <w:rPr>
          <w:rFonts w:ascii="Palatino Linotype" w:eastAsia="Palatino Linotype" w:hAnsi="Palatino Linotype" w:cs="Palatino Linotype"/>
          <w:i/>
        </w:rPr>
      </w:pPr>
    </w:p>
    <w:p w14:paraId="0FB4BE9C" w14:textId="77777777" w:rsidR="00F63EE4" w:rsidRDefault="00A01B9C">
      <w:pPr>
        <w:spacing w:line="360" w:lineRule="auto"/>
        <w:jc w:val="both"/>
        <w:rPr>
          <w:rFonts w:ascii="Palatino Linotype" w:eastAsia="Palatino Linotype" w:hAnsi="Palatino Linotype" w:cs="Palatino Linotype"/>
        </w:rPr>
      </w:pPr>
      <w:r w:rsidRPr="00C33E45">
        <w:rPr>
          <w:rFonts w:ascii="Palatino Linotype" w:eastAsia="Palatino Linotype" w:hAnsi="Palatino Linotype" w:cs="Palatino Linotype"/>
        </w:rPr>
        <w:t xml:space="preserve">Es importante señalar que el Recurso de Revisión no es la vía para realizar investigaciones o calificar conductas administrativas,  aunado a ello de las constancias que obran en el expediente electrónico del SAIMEX no hay elementos para determinar que </w:t>
      </w:r>
      <w:r w:rsidRPr="00C33E45">
        <w:rPr>
          <w:rFonts w:ascii="Palatino Linotype" w:eastAsia="Palatino Linotype" w:hAnsi="Palatino Linotype" w:cs="Palatino Linotype"/>
          <w:b/>
        </w:rPr>
        <w:t xml:space="preserve">EL SUJETO OBLIGADO </w:t>
      </w:r>
      <w:r w:rsidRPr="00C33E45">
        <w:rPr>
          <w:rFonts w:ascii="Palatino Linotype" w:eastAsia="Palatino Linotype" w:hAnsi="Palatino Linotype" w:cs="Palatino Linotype"/>
        </w:rPr>
        <w:t>haya actuado con negligencia o dolo, razón por la cual este Instituto no puede pronunciarse sobre dichas manifestaciones.</w:t>
      </w:r>
      <w:r>
        <w:rPr>
          <w:rFonts w:ascii="Palatino Linotype" w:eastAsia="Palatino Linotype" w:hAnsi="Palatino Linotype" w:cs="Palatino Linotype"/>
        </w:rPr>
        <w:t xml:space="preserve"> </w:t>
      </w:r>
    </w:p>
    <w:p w14:paraId="24012025" w14:textId="77777777" w:rsidR="00F63EE4" w:rsidRDefault="00A01B9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A3AEB21" w14:textId="77777777" w:rsidR="00F63EE4" w:rsidRDefault="00F63EE4">
      <w:pPr>
        <w:spacing w:line="360" w:lineRule="auto"/>
        <w:jc w:val="center"/>
        <w:rPr>
          <w:rFonts w:ascii="Palatino Linotype" w:eastAsia="Palatino Linotype" w:hAnsi="Palatino Linotype" w:cs="Palatino Linotype"/>
          <w:b/>
          <w:sz w:val="26"/>
          <w:szCs w:val="26"/>
        </w:rPr>
      </w:pPr>
    </w:p>
    <w:p w14:paraId="215B39F7" w14:textId="77777777" w:rsidR="00F63EE4" w:rsidRDefault="00A01B9C">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43CB7E90" w14:textId="77777777" w:rsidR="00F63EE4" w:rsidRDefault="00A01B9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06537/INFOEM/IP/RR/2022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70C33F3D" w14:textId="77777777" w:rsidR="00F63EE4" w:rsidRDefault="00F63EE4">
      <w:pPr>
        <w:spacing w:line="360" w:lineRule="auto"/>
        <w:ind w:right="49"/>
        <w:jc w:val="both"/>
        <w:rPr>
          <w:rFonts w:ascii="Palatino Linotype" w:eastAsia="Palatino Linotype" w:hAnsi="Palatino Linotype" w:cs="Palatino Linotype"/>
        </w:rPr>
      </w:pPr>
    </w:p>
    <w:p w14:paraId="0D5DFAB4"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 Recurrente mediante el Sistema de Acceso a la Información Mexiquense (SAIMEX), de ser procedente en versión pública de lo siguiente: </w:t>
      </w:r>
    </w:p>
    <w:p w14:paraId="69678276" w14:textId="77777777" w:rsidR="00F63EE4" w:rsidRDefault="00A01B9C">
      <w:pPr>
        <w:tabs>
          <w:tab w:val="left" w:pos="709"/>
        </w:tabs>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2"/>
          <w:szCs w:val="22"/>
        </w:rPr>
        <w:t xml:space="preserve">El soporte documental donde consten las bases y </w:t>
      </w:r>
      <w:r w:rsidRPr="00C33E45">
        <w:rPr>
          <w:rFonts w:ascii="Palatino Linotype" w:eastAsia="Palatino Linotype" w:hAnsi="Palatino Linotype" w:cs="Palatino Linotype"/>
          <w:i/>
          <w:sz w:val="22"/>
          <w:szCs w:val="22"/>
        </w:rPr>
        <w:t>procedimientos de contratación de los servicios contratados por el Director y la Subdirectora referidos en la solicitud de información pública; por el periodo comprendido del veinticinco de marzo de dos mil veintiuno al veinticinco de marzo de dos mil veintidós.</w:t>
      </w:r>
      <w:r>
        <w:rPr>
          <w:rFonts w:ascii="Palatino Linotype" w:eastAsia="Palatino Linotype" w:hAnsi="Palatino Linotype" w:cs="Palatino Linotype"/>
          <w:i/>
          <w:sz w:val="20"/>
          <w:szCs w:val="20"/>
        </w:rPr>
        <w:t xml:space="preserve"> </w:t>
      </w:r>
    </w:p>
    <w:p w14:paraId="4304D61D" w14:textId="77777777" w:rsidR="00F63EE4" w:rsidRDefault="00F63EE4">
      <w:pPr>
        <w:tabs>
          <w:tab w:val="left" w:pos="709"/>
        </w:tabs>
        <w:ind w:left="850" w:right="899"/>
        <w:jc w:val="both"/>
        <w:rPr>
          <w:rFonts w:ascii="Palatino Linotype" w:eastAsia="Palatino Linotype" w:hAnsi="Palatino Linotype" w:cs="Palatino Linotype"/>
          <w:i/>
          <w:sz w:val="20"/>
          <w:szCs w:val="20"/>
        </w:rPr>
      </w:pPr>
    </w:p>
    <w:p w14:paraId="2B96E9EF" w14:textId="77777777" w:rsidR="00F63EE4" w:rsidRDefault="00A01B9C">
      <w:pPr>
        <w:tabs>
          <w:tab w:val="left" w:pos="709"/>
        </w:tabs>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Debiendo notificar al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57992FAB" w14:textId="77777777" w:rsidR="00F63EE4" w:rsidRDefault="00F63EE4">
      <w:pPr>
        <w:tabs>
          <w:tab w:val="left" w:pos="709"/>
        </w:tabs>
        <w:ind w:left="850" w:right="899"/>
        <w:jc w:val="both"/>
        <w:rPr>
          <w:rFonts w:ascii="Palatino Linotype" w:eastAsia="Palatino Linotype" w:hAnsi="Palatino Linotype" w:cs="Palatino Linotype"/>
          <w:i/>
          <w:sz w:val="20"/>
          <w:szCs w:val="20"/>
        </w:rPr>
      </w:pPr>
    </w:p>
    <w:p w14:paraId="2AC695A7" w14:textId="77777777" w:rsidR="00F63EE4" w:rsidRDefault="00A01B9C">
      <w:pPr>
        <w:tabs>
          <w:tab w:val="left" w:pos="709"/>
        </w:tabs>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caso de no contar con la información que se ordena  por no haberse generado a la fecha de la solicitud, </w:t>
      </w:r>
      <w:r>
        <w:rPr>
          <w:rFonts w:ascii="Palatino Linotype" w:eastAsia="Palatino Linotype" w:hAnsi="Palatino Linotype" w:cs="Palatino Linotype"/>
          <w:b/>
          <w:i/>
          <w:sz w:val="20"/>
          <w:szCs w:val="20"/>
        </w:rPr>
        <w:t>EL SUJETO OBLIGADO</w:t>
      </w:r>
      <w:r>
        <w:rPr>
          <w:rFonts w:ascii="Palatino Linotype" w:eastAsia="Palatino Linotype" w:hAnsi="Palatino Linotype" w:cs="Palatino Linotype"/>
          <w:i/>
          <w:sz w:val="20"/>
          <w:szCs w:val="20"/>
        </w:rPr>
        <w:t xml:space="preserve"> deberá manifestarlo de forma fundada y motivada.  </w:t>
      </w:r>
    </w:p>
    <w:p w14:paraId="1F67FC0A" w14:textId="77777777" w:rsidR="00F63EE4" w:rsidRDefault="00F63EE4">
      <w:pPr>
        <w:tabs>
          <w:tab w:val="left" w:pos="709"/>
        </w:tabs>
        <w:ind w:left="850" w:right="899"/>
        <w:jc w:val="both"/>
        <w:rPr>
          <w:rFonts w:ascii="Palatino Linotype" w:eastAsia="Palatino Linotype" w:hAnsi="Palatino Linotype" w:cs="Palatino Linotype"/>
          <w:i/>
          <w:sz w:val="20"/>
          <w:szCs w:val="20"/>
        </w:rPr>
      </w:pPr>
    </w:p>
    <w:p w14:paraId="733CD356"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F8483EC" w14:textId="77777777" w:rsidR="00F63EE4" w:rsidRDefault="00F63EE4">
      <w:pPr>
        <w:spacing w:line="360" w:lineRule="auto"/>
        <w:jc w:val="both"/>
        <w:rPr>
          <w:rFonts w:ascii="Palatino Linotype" w:eastAsia="Palatino Linotype" w:hAnsi="Palatino Linotype" w:cs="Palatino Linotype"/>
          <w:sz w:val="22"/>
          <w:szCs w:val="22"/>
        </w:rPr>
      </w:pPr>
    </w:p>
    <w:p w14:paraId="19C5F457"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3B6DF8" w14:textId="77777777" w:rsidR="00F63EE4" w:rsidRDefault="00F63EE4">
      <w:pPr>
        <w:spacing w:line="360" w:lineRule="auto"/>
        <w:jc w:val="both"/>
        <w:rPr>
          <w:rFonts w:ascii="Palatino Linotype" w:eastAsia="Palatino Linotype" w:hAnsi="Palatino Linotype" w:cs="Palatino Linotype"/>
          <w:sz w:val="22"/>
          <w:szCs w:val="22"/>
        </w:rPr>
      </w:pPr>
    </w:p>
    <w:p w14:paraId="34F69E0F" w14:textId="77777777" w:rsidR="00F63EE4" w:rsidRDefault="00A01B9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1A6C8E" w14:textId="77777777" w:rsidR="00F63EE4" w:rsidRDefault="00F63EE4">
      <w:pPr>
        <w:spacing w:line="360" w:lineRule="auto"/>
        <w:jc w:val="both"/>
        <w:rPr>
          <w:rFonts w:ascii="Palatino Linotype" w:eastAsia="Palatino Linotype" w:hAnsi="Palatino Linotype" w:cs="Palatino Linotype"/>
        </w:rPr>
      </w:pPr>
    </w:p>
    <w:p w14:paraId="3409067B" w14:textId="77777777" w:rsidR="00646EB9" w:rsidRPr="00D95C37" w:rsidRDefault="00646EB9" w:rsidP="00646EB9">
      <w:pPr>
        <w:widowControl w:val="0"/>
        <w:autoSpaceDE w:val="0"/>
        <w:autoSpaceDN w:val="0"/>
        <w:adjustRightInd w:val="0"/>
        <w:spacing w:line="360" w:lineRule="auto"/>
        <w:jc w:val="both"/>
        <w:rPr>
          <w:rFonts w:ascii="Palatino Linotype" w:hAnsi="Palatino Linotype" w:cs="Arial"/>
          <w:color w:val="000000" w:themeColor="text1"/>
        </w:rPr>
      </w:pPr>
      <w:r w:rsidRPr="00D95C37">
        <w:rPr>
          <w:rFonts w:ascii="Palatino Linotype" w:hAnsi="Palatino Linotype" w:cs="Arial"/>
          <w:color w:val="000000" w:themeColor="text1"/>
        </w:rPr>
        <w:t xml:space="preserve">ASÍ LO RESUELVE, POR </w:t>
      </w:r>
      <w:r w:rsidRPr="00D95C37">
        <w:rPr>
          <w:rFonts w:ascii="Palatino Linotype" w:hAnsi="Palatino Linotype" w:cs="Arial"/>
          <w:color w:val="000000" w:themeColor="text1"/>
          <w:lang w:val="es-419"/>
        </w:rPr>
        <w:t>UNANIMIDAD</w:t>
      </w:r>
      <w:r w:rsidRPr="00D95C37">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w:t>
      </w:r>
      <w:r w:rsidRPr="00D95C37">
        <w:rPr>
          <w:rFonts w:ascii="Palatino Linotype" w:hAnsi="Palatino Linotype" w:cs="Arial"/>
          <w:color w:val="000000" w:themeColor="text1"/>
          <w:lang w:val="es-419"/>
        </w:rPr>
        <w:t xml:space="preserve"> </w:t>
      </w:r>
      <w:r w:rsidRPr="00D95C37">
        <w:rPr>
          <w:rFonts w:ascii="Palatino Linotype" w:hAnsi="Palatino Linotype" w:cs="Arial"/>
          <w:color w:val="000000" w:themeColor="text1"/>
        </w:rPr>
        <w:t xml:space="preserve">JULIO DE DOS MIL VEINTIDÓS, ANTE EL SECRETARIO TÉCNICO DEL PLENO, ALEXIS TAPIA RAMÍREZ. </w:t>
      </w:r>
    </w:p>
    <w:p w14:paraId="480EB74F" w14:textId="77777777" w:rsidR="00F63EE4" w:rsidRDefault="00A01B9C">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779B355A" w14:textId="77777777" w:rsidR="00F63EE4" w:rsidRDefault="00A01B9C">
      <w:pPr>
        <w:rPr>
          <w:rFonts w:ascii="Palatino Linotype" w:eastAsia="Palatino Linotype" w:hAnsi="Palatino Linotype" w:cs="Palatino Linotype"/>
        </w:rPr>
      </w:pPr>
      <w:r>
        <w:br w:type="page"/>
      </w:r>
    </w:p>
    <w:p w14:paraId="185AADDE" w14:textId="77777777" w:rsidR="00F63EE4" w:rsidRDefault="00F63EE4">
      <w:pPr>
        <w:spacing w:line="360" w:lineRule="auto"/>
        <w:jc w:val="both"/>
        <w:rPr>
          <w:rFonts w:ascii="Palatino Linotype" w:eastAsia="Palatino Linotype" w:hAnsi="Palatino Linotype" w:cs="Palatino Linotype"/>
        </w:rPr>
      </w:pPr>
    </w:p>
    <w:p w14:paraId="69CCCDFA" w14:textId="77777777" w:rsidR="00F63EE4" w:rsidRDefault="00F63EE4">
      <w:pPr>
        <w:spacing w:line="360" w:lineRule="auto"/>
        <w:jc w:val="both"/>
        <w:rPr>
          <w:rFonts w:ascii="Palatino Linotype" w:eastAsia="Palatino Linotype" w:hAnsi="Palatino Linotype" w:cs="Palatino Linotype"/>
        </w:rPr>
      </w:pPr>
    </w:p>
    <w:p w14:paraId="7106CFBA" w14:textId="77777777" w:rsidR="00F63EE4" w:rsidRDefault="00F63EE4">
      <w:pPr>
        <w:spacing w:line="360" w:lineRule="auto"/>
        <w:jc w:val="both"/>
        <w:rPr>
          <w:rFonts w:ascii="Palatino Linotype" w:eastAsia="Palatino Linotype" w:hAnsi="Palatino Linotype" w:cs="Palatino Linotype"/>
        </w:rPr>
      </w:pPr>
    </w:p>
    <w:p w14:paraId="2D5BFF98" w14:textId="77777777" w:rsidR="00F63EE4" w:rsidRDefault="00F63EE4">
      <w:pPr>
        <w:spacing w:line="360" w:lineRule="auto"/>
        <w:jc w:val="both"/>
        <w:rPr>
          <w:rFonts w:ascii="Palatino Linotype" w:eastAsia="Palatino Linotype" w:hAnsi="Palatino Linotype" w:cs="Palatino Linotype"/>
        </w:rPr>
      </w:pPr>
    </w:p>
    <w:p w14:paraId="3D6928C9" w14:textId="77777777" w:rsidR="00F63EE4" w:rsidRDefault="00F63EE4">
      <w:pPr>
        <w:spacing w:line="360" w:lineRule="auto"/>
        <w:jc w:val="both"/>
        <w:rPr>
          <w:rFonts w:ascii="Palatino Linotype" w:eastAsia="Palatino Linotype" w:hAnsi="Palatino Linotype" w:cs="Palatino Linotype"/>
        </w:rPr>
      </w:pPr>
    </w:p>
    <w:p w14:paraId="064E7433" w14:textId="77777777" w:rsidR="00F63EE4" w:rsidRDefault="00F63EE4">
      <w:pPr>
        <w:spacing w:line="360" w:lineRule="auto"/>
        <w:jc w:val="both"/>
        <w:rPr>
          <w:rFonts w:ascii="Palatino Linotype" w:eastAsia="Palatino Linotype" w:hAnsi="Palatino Linotype" w:cs="Palatino Linotype"/>
        </w:rPr>
      </w:pPr>
    </w:p>
    <w:p w14:paraId="0ACC7F74" w14:textId="77777777" w:rsidR="00F63EE4" w:rsidRDefault="00F63EE4">
      <w:pPr>
        <w:spacing w:line="360" w:lineRule="auto"/>
        <w:jc w:val="both"/>
        <w:rPr>
          <w:rFonts w:ascii="Palatino Linotype" w:eastAsia="Palatino Linotype" w:hAnsi="Palatino Linotype" w:cs="Palatino Linotype"/>
        </w:rPr>
      </w:pPr>
    </w:p>
    <w:p w14:paraId="62423E16" w14:textId="77777777" w:rsidR="00F63EE4" w:rsidRDefault="00F63EE4">
      <w:pPr>
        <w:spacing w:line="360" w:lineRule="auto"/>
        <w:jc w:val="both"/>
        <w:rPr>
          <w:rFonts w:ascii="Palatino Linotype" w:eastAsia="Palatino Linotype" w:hAnsi="Palatino Linotype" w:cs="Palatino Linotype"/>
        </w:rPr>
      </w:pPr>
    </w:p>
    <w:p w14:paraId="2254ADA2" w14:textId="77777777" w:rsidR="00F63EE4" w:rsidRDefault="00F63EE4">
      <w:pPr>
        <w:spacing w:line="360" w:lineRule="auto"/>
        <w:jc w:val="both"/>
        <w:rPr>
          <w:rFonts w:ascii="Palatino Linotype" w:eastAsia="Palatino Linotype" w:hAnsi="Palatino Linotype" w:cs="Palatino Linotype"/>
        </w:rPr>
      </w:pPr>
    </w:p>
    <w:p w14:paraId="2595D8F3" w14:textId="77777777" w:rsidR="00F63EE4" w:rsidRDefault="00F63EE4">
      <w:pPr>
        <w:spacing w:line="360" w:lineRule="auto"/>
        <w:jc w:val="both"/>
        <w:rPr>
          <w:rFonts w:ascii="Palatino Linotype" w:eastAsia="Palatino Linotype" w:hAnsi="Palatino Linotype" w:cs="Palatino Linotype"/>
        </w:rPr>
      </w:pPr>
    </w:p>
    <w:p w14:paraId="00B0A57E" w14:textId="77777777" w:rsidR="00F63EE4" w:rsidRDefault="00F63EE4">
      <w:pPr>
        <w:spacing w:line="360" w:lineRule="auto"/>
        <w:jc w:val="both"/>
        <w:rPr>
          <w:rFonts w:ascii="Palatino Linotype" w:eastAsia="Palatino Linotype" w:hAnsi="Palatino Linotype" w:cs="Palatino Linotype"/>
        </w:rPr>
      </w:pPr>
    </w:p>
    <w:p w14:paraId="13C983A1" w14:textId="77777777" w:rsidR="00F63EE4" w:rsidRDefault="00F63EE4">
      <w:pPr>
        <w:spacing w:line="360" w:lineRule="auto"/>
        <w:jc w:val="both"/>
        <w:rPr>
          <w:rFonts w:ascii="Palatino Linotype" w:eastAsia="Palatino Linotype" w:hAnsi="Palatino Linotype" w:cs="Palatino Linotype"/>
        </w:rPr>
      </w:pPr>
    </w:p>
    <w:p w14:paraId="34CB7B73" w14:textId="77777777" w:rsidR="00F63EE4" w:rsidRDefault="00F63EE4">
      <w:pPr>
        <w:spacing w:line="360" w:lineRule="auto"/>
        <w:jc w:val="both"/>
        <w:rPr>
          <w:rFonts w:ascii="Palatino Linotype" w:eastAsia="Palatino Linotype" w:hAnsi="Palatino Linotype" w:cs="Palatino Linotype"/>
        </w:rPr>
      </w:pPr>
    </w:p>
    <w:p w14:paraId="7D4BC673" w14:textId="77777777" w:rsidR="00F63EE4" w:rsidRDefault="00F63EE4">
      <w:pPr>
        <w:spacing w:line="360" w:lineRule="auto"/>
        <w:jc w:val="both"/>
        <w:rPr>
          <w:rFonts w:ascii="Palatino Linotype" w:eastAsia="Palatino Linotype" w:hAnsi="Palatino Linotype" w:cs="Palatino Linotype"/>
        </w:rPr>
      </w:pPr>
    </w:p>
    <w:p w14:paraId="5F091FE6" w14:textId="77777777" w:rsidR="00F63EE4" w:rsidRDefault="00F63EE4">
      <w:pPr>
        <w:spacing w:line="360" w:lineRule="auto"/>
        <w:jc w:val="both"/>
        <w:rPr>
          <w:rFonts w:ascii="Palatino Linotype" w:eastAsia="Palatino Linotype" w:hAnsi="Palatino Linotype" w:cs="Palatino Linotype"/>
        </w:rPr>
      </w:pPr>
    </w:p>
    <w:p w14:paraId="7C19B55C" w14:textId="77777777" w:rsidR="00F63EE4" w:rsidRDefault="00F63EE4">
      <w:pPr>
        <w:spacing w:line="360" w:lineRule="auto"/>
        <w:jc w:val="both"/>
        <w:rPr>
          <w:rFonts w:ascii="Palatino Linotype" w:eastAsia="Palatino Linotype" w:hAnsi="Palatino Linotype" w:cs="Palatino Linotype"/>
        </w:rPr>
      </w:pPr>
    </w:p>
    <w:p w14:paraId="014F7F77" w14:textId="77777777" w:rsidR="00F63EE4" w:rsidRDefault="00F63EE4">
      <w:pPr>
        <w:spacing w:line="360" w:lineRule="auto"/>
        <w:jc w:val="both"/>
        <w:rPr>
          <w:rFonts w:ascii="Palatino Linotype" w:eastAsia="Palatino Linotype" w:hAnsi="Palatino Linotype" w:cs="Palatino Linotype"/>
        </w:rPr>
      </w:pPr>
    </w:p>
    <w:p w14:paraId="61D9A137" w14:textId="77777777" w:rsidR="00F63EE4" w:rsidRDefault="00F63EE4">
      <w:pPr>
        <w:spacing w:line="360" w:lineRule="auto"/>
        <w:jc w:val="both"/>
        <w:rPr>
          <w:rFonts w:ascii="Palatino Linotype" w:eastAsia="Palatino Linotype" w:hAnsi="Palatino Linotype" w:cs="Palatino Linotype"/>
        </w:rPr>
      </w:pPr>
    </w:p>
    <w:sectPr w:rsidR="00F63EE4">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E6F87" w14:textId="77777777" w:rsidR="00F96753" w:rsidRDefault="00F96753">
      <w:r>
        <w:separator/>
      </w:r>
    </w:p>
  </w:endnote>
  <w:endnote w:type="continuationSeparator" w:id="0">
    <w:p w14:paraId="63E2687B" w14:textId="77777777" w:rsidR="00F96753" w:rsidRDefault="00F9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089AE" w14:textId="77777777" w:rsidR="00F63EE4" w:rsidRDefault="00A01B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4594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4594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9B2DD" w14:textId="77777777" w:rsidR="00F63EE4" w:rsidRDefault="00A01B9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4594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4594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75F9B" w14:textId="77777777" w:rsidR="00F96753" w:rsidRDefault="00F96753">
      <w:r>
        <w:separator/>
      </w:r>
    </w:p>
  </w:footnote>
  <w:footnote w:type="continuationSeparator" w:id="0">
    <w:p w14:paraId="42F22890" w14:textId="77777777" w:rsidR="00F96753" w:rsidRDefault="00F96753">
      <w:r>
        <w:continuationSeparator/>
      </w:r>
    </w:p>
  </w:footnote>
  <w:footnote w:id="1">
    <w:p w14:paraId="12C6BC77" w14:textId="77777777" w:rsidR="00F63EE4" w:rsidRDefault="00A01B9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5AB0A" w14:textId="77777777" w:rsidR="00F63EE4" w:rsidRDefault="00945947">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46D8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94B6E" w14:textId="77777777" w:rsidR="00F63EE4" w:rsidRDefault="0094594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922C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8"/>
      <w:tblW w:w="9534" w:type="dxa"/>
      <w:tblInd w:w="-142" w:type="dxa"/>
      <w:tblLayout w:type="fixed"/>
      <w:tblLook w:val="0400" w:firstRow="0" w:lastRow="0" w:firstColumn="0" w:lastColumn="0" w:noHBand="0" w:noVBand="1"/>
    </w:tblPr>
    <w:tblGrid>
      <w:gridCol w:w="3261"/>
      <w:gridCol w:w="2551"/>
      <w:gridCol w:w="3722"/>
    </w:tblGrid>
    <w:tr w:rsidR="00F63EE4" w14:paraId="263C6CBB" w14:textId="77777777">
      <w:tc>
        <w:tcPr>
          <w:tcW w:w="3261" w:type="dxa"/>
          <w:vMerge w:val="restart"/>
        </w:tcPr>
        <w:p w14:paraId="478F77A7" w14:textId="77777777" w:rsidR="00F63EE4" w:rsidRDefault="00A01B9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5E4AAAB" wp14:editId="30740C75">
                <wp:extent cx="1692162" cy="852673"/>
                <wp:effectExtent l="0" t="0" r="0" b="0"/>
                <wp:docPr id="3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5EE2073" w14:textId="77777777" w:rsidR="00F63EE4" w:rsidRDefault="00A01B9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B5FD35C" w14:textId="77777777" w:rsidR="00F63EE4" w:rsidRDefault="00A01B9C">
          <w:pPr>
            <w:jc w:val="both"/>
            <w:rPr>
              <w:rFonts w:ascii="Palatino Linotype" w:eastAsia="Palatino Linotype" w:hAnsi="Palatino Linotype" w:cs="Palatino Linotype"/>
              <w:b/>
            </w:rPr>
          </w:pPr>
          <w:r>
            <w:rPr>
              <w:rFonts w:ascii="Palatino Linotype" w:eastAsia="Palatino Linotype" w:hAnsi="Palatino Linotype" w:cs="Palatino Linotype"/>
              <w:b/>
            </w:rPr>
            <w:t>06537/INFOEM/IP/RR/2022</w:t>
          </w:r>
        </w:p>
      </w:tc>
    </w:tr>
    <w:tr w:rsidR="00F63EE4" w14:paraId="37A2F214" w14:textId="77777777">
      <w:tc>
        <w:tcPr>
          <w:tcW w:w="3261" w:type="dxa"/>
          <w:vMerge/>
        </w:tcPr>
        <w:p w14:paraId="77240298" w14:textId="77777777" w:rsidR="00F63EE4" w:rsidRDefault="00F63EE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B84780E" w14:textId="77777777" w:rsidR="00F63EE4" w:rsidRDefault="00A01B9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63FE8E38" w14:textId="77777777" w:rsidR="00F63EE4" w:rsidRDefault="00A01B9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Ixtapan de la Sal</w:t>
          </w:r>
        </w:p>
      </w:tc>
    </w:tr>
    <w:tr w:rsidR="00F63EE4" w14:paraId="69B229C3" w14:textId="77777777">
      <w:trPr>
        <w:trHeight w:val="790"/>
      </w:trPr>
      <w:tc>
        <w:tcPr>
          <w:tcW w:w="3261" w:type="dxa"/>
          <w:vMerge/>
        </w:tcPr>
        <w:p w14:paraId="012DCD26" w14:textId="77777777" w:rsidR="00F63EE4" w:rsidRDefault="00F63EE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523E326" w14:textId="77777777" w:rsidR="00F63EE4" w:rsidRDefault="00A01B9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CCE196C" w14:textId="77777777" w:rsidR="00F63EE4" w:rsidRDefault="00A01B9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2F8FC66" w14:textId="77777777" w:rsidR="00F63EE4" w:rsidRDefault="00F63EE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8EFE4" w14:textId="77777777" w:rsidR="00F63EE4" w:rsidRDefault="00945947">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F0EB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9"/>
      <w:tblW w:w="9900" w:type="dxa"/>
      <w:tblInd w:w="-833" w:type="dxa"/>
      <w:tblLayout w:type="fixed"/>
      <w:tblLook w:val="0400" w:firstRow="0" w:lastRow="0" w:firstColumn="0" w:lastColumn="0" w:noHBand="0" w:noVBand="1"/>
    </w:tblPr>
    <w:tblGrid>
      <w:gridCol w:w="3805"/>
      <w:gridCol w:w="3000"/>
      <w:gridCol w:w="3095"/>
    </w:tblGrid>
    <w:tr w:rsidR="00F63EE4" w14:paraId="750B8624" w14:textId="77777777">
      <w:tc>
        <w:tcPr>
          <w:tcW w:w="3805" w:type="dxa"/>
          <w:vMerge w:val="restart"/>
          <w:shd w:val="clear" w:color="auto" w:fill="auto"/>
        </w:tcPr>
        <w:p w14:paraId="7E77D065" w14:textId="77777777" w:rsidR="00F63EE4" w:rsidRDefault="00A01B9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1840058" wp14:editId="600DF6ED">
                <wp:extent cx="1692162" cy="852673"/>
                <wp:effectExtent l="0" t="0" r="0" b="0"/>
                <wp:docPr id="3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582B956" w14:textId="77777777" w:rsidR="00F63EE4" w:rsidRDefault="00A01B9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30D01D2" w14:textId="77777777" w:rsidR="00F63EE4" w:rsidRDefault="00A01B9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06537/INFOEM/IP/RR/2022 </w:t>
          </w:r>
        </w:p>
      </w:tc>
    </w:tr>
    <w:tr w:rsidR="00F63EE4" w14:paraId="338ECAB1" w14:textId="77777777">
      <w:tc>
        <w:tcPr>
          <w:tcW w:w="3805" w:type="dxa"/>
          <w:vMerge/>
          <w:shd w:val="clear" w:color="auto" w:fill="auto"/>
        </w:tcPr>
        <w:p w14:paraId="5625FD66" w14:textId="77777777" w:rsidR="00F63EE4" w:rsidRDefault="00F63EE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A7728AB" w14:textId="77777777" w:rsidR="00F63EE4" w:rsidRDefault="00A01B9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185FF034" w14:textId="77777777" w:rsidR="00F63EE4" w:rsidRDefault="00F63EE4">
          <w:pPr>
            <w:jc w:val="both"/>
            <w:rPr>
              <w:rFonts w:ascii="Palatino Linotype" w:eastAsia="Palatino Linotype" w:hAnsi="Palatino Linotype" w:cs="Palatino Linotype"/>
              <w:b/>
            </w:rPr>
          </w:pPr>
        </w:p>
      </w:tc>
    </w:tr>
    <w:tr w:rsidR="00F63EE4" w14:paraId="34367CEC" w14:textId="77777777">
      <w:trPr>
        <w:trHeight w:val="228"/>
      </w:trPr>
      <w:tc>
        <w:tcPr>
          <w:tcW w:w="3805" w:type="dxa"/>
          <w:vMerge/>
          <w:shd w:val="clear" w:color="auto" w:fill="auto"/>
        </w:tcPr>
        <w:p w14:paraId="0802ACF0" w14:textId="77777777" w:rsidR="00F63EE4" w:rsidRDefault="00F63EE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9B13559" w14:textId="77777777" w:rsidR="00F63EE4" w:rsidRDefault="00A01B9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E588015" w14:textId="77777777" w:rsidR="00F63EE4" w:rsidRDefault="00A01B9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Ixtapan de la Sal</w:t>
          </w:r>
        </w:p>
      </w:tc>
    </w:tr>
    <w:tr w:rsidR="00F63EE4" w14:paraId="37BF0D1F" w14:textId="77777777">
      <w:tc>
        <w:tcPr>
          <w:tcW w:w="3805" w:type="dxa"/>
          <w:vMerge/>
          <w:shd w:val="clear" w:color="auto" w:fill="auto"/>
        </w:tcPr>
        <w:p w14:paraId="296334AA" w14:textId="77777777" w:rsidR="00F63EE4" w:rsidRDefault="00F63EE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DE829CF" w14:textId="77777777" w:rsidR="00F63EE4" w:rsidRDefault="00A01B9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E98D20D" w14:textId="77777777" w:rsidR="00F63EE4" w:rsidRDefault="00A01B9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7673448" w14:textId="77777777" w:rsidR="00F63EE4" w:rsidRDefault="00F63EE4">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E4"/>
    <w:rsid w:val="00177148"/>
    <w:rsid w:val="002C4329"/>
    <w:rsid w:val="00646EB9"/>
    <w:rsid w:val="008570F3"/>
    <w:rsid w:val="00945947"/>
    <w:rsid w:val="00A01B9C"/>
    <w:rsid w:val="00C33E45"/>
    <w:rsid w:val="00EB22D4"/>
    <w:rsid w:val="00F63EE4"/>
    <w:rsid w:val="00F96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898B5"/>
  <w15:docId w15:val="{3E6ACD79-D932-4D53-863D-01C3E87D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5"/>
    <w:tblPr>
      <w:tblStyleRowBandSize w:val="1"/>
      <w:tblStyleColBandSize w:val="1"/>
      <w:tblCellMar>
        <w:top w:w="100" w:type="dxa"/>
        <w:left w:w="100" w:type="dxa"/>
        <w:bottom w:w="100" w:type="dxa"/>
        <w:right w:w="100" w:type="dxa"/>
      </w:tblCellMar>
    </w:tblPr>
  </w:style>
  <w:style w:type="table" w:customStyle="1" w:styleId="a0">
    <w:basedOn w:val="TableNormalff5"/>
    <w:tblPr>
      <w:tblStyleRowBandSize w:val="1"/>
      <w:tblStyleColBandSize w:val="1"/>
      <w:tblCellMar>
        <w:top w:w="0" w:type="dxa"/>
        <w:left w:w="115" w:type="dxa"/>
        <w:bottom w:w="0" w:type="dxa"/>
        <w:right w:w="115" w:type="dxa"/>
      </w:tblCellMar>
    </w:tblPr>
  </w:style>
  <w:style w:type="table" w:customStyle="1" w:styleId="a1">
    <w:basedOn w:val="TableNormalff5"/>
    <w:tblPr>
      <w:tblStyleRowBandSize w:val="1"/>
      <w:tblStyleColBandSize w:val="1"/>
      <w:tblCellMar>
        <w:top w:w="0" w:type="dxa"/>
        <w:left w:w="115" w:type="dxa"/>
        <w:bottom w:w="0" w:type="dxa"/>
        <w:right w:w="115" w:type="dxa"/>
      </w:tblCellMar>
    </w:tblPr>
  </w:style>
  <w:style w:type="table" w:customStyle="1" w:styleId="a2">
    <w:basedOn w:val="TableNormalff5"/>
    <w:tblPr>
      <w:tblStyleRowBandSize w:val="1"/>
      <w:tblStyleColBandSize w:val="1"/>
      <w:tblCellMar>
        <w:top w:w="0" w:type="dxa"/>
        <w:left w:w="115" w:type="dxa"/>
        <w:bottom w:w="0" w:type="dxa"/>
        <w:right w:w="115" w:type="dxa"/>
      </w:tblCellMar>
    </w:tblPr>
  </w:style>
  <w:style w:type="table" w:customStyle="1" w:styleId="a3">
    <w:basedOn w:val="TableNormalff5"/>
    <w:tblPr>
      <w:tblStyleRowBandSize w:val="1"/>
      <w:tblStyleColBandSize w:val="1"/>
      <w:tblCellMar>
        <w:top w:w="0" w:type="dxa"/>
        <w:left w:w="115" w:type="dxa"/>
        <w:bottom w:w="0" w:type="dxa"/>
        <w:right w:w="115" w:type="dxa"/>
      </w:tblCellMar>
    </w:tblPr>
  </w:style>
  <w:style w:type="table" w:customStyle="1" w:styleId="a4">
    <w:basedOn w:val="TableNormalff5"/>
    <w:tblPr>
      <w:tblStyleRowBandSize w:val="1"/>
      <w:tblStyleColBandSize w:val="1"/>
      <w:tblCellMar>
        <w:top w:w="0" w:type="dxa"/>
        <w:left w:w="115" w:type="dxa"/>
        <w:bottom w:w="0" w:type="dxa"/>
        <w:right w:w="115" w:type="dxa"/>
      </w:tblCellMar>
    </w:tblPr>
  </w:style>
  <w:style w:type="table" w:customStyle="1" w:styleId="a5">
    <w:basedOn w:val="TableNormalff5"/>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f5"/>
    <w:tblPr>
      <w:tblStyleRowBandSize w:val="1"/>
      <w:tblStyleColBandSize w:val="1"/>
      <w:tblCellMar>
        <w:top w:w="0" w:type="dxa"/>
        <w:left w:w="115" w:type="dxa"/>
        <w:bottom w:w="0" w:type="dxa"/>
        <w:right w:w="115" w:type="dxa"/>
      </w:tblCellMar>
    </w:tblPr>
  </w:style>
  <w:style w:type="table" w:customStyle="1" w:styleId="a7">
    <w:basedOn w:val="TableNormalff5"/>
    <w:tblPr>
      <w:tblStyleRowBandSize w:val="1"/>
      <w:tblStyleColBandSize w:val="1"/>
      <w:tblCellMar>
        <w:top w:w="0" w:type="dxa"/>
        <w:left w:w="115" w:type="dxa"/>
        <w:bottom w:w="0" w:type="dxa"/>
        <w:right w:w="115" w:type="dxa"/>
      </w:tblCellMar>
    </w:tblPr>
  </w:style>
  <w:style w:type="table" w:customStyle="1" w:styleId="a8">
    <w:basedOn w:val="TableNormalff5"/>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f5"/>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f2"/>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4"/>
    <w:tblPr>
      <w:tblStyleRowBandSize w:val="1"/>
      <w:tblStyleColBandSize w:val="1"/>
      <w:tblCellMar>
        <w:top w:w="0" w:type="dxa"/>
        <w:left w:w="115" w:type="dxa"/>
        <w:bottom w:w="0" w:type="dxa"/>
        <w:right w:w="115" w:type="dxa"/>
      </w:tblCellMar>
    </w:tblPr>
  </w:style>
  <w:style w:type="table" w:customStyle="1" w:styleId="afff3">
    <w:basedOn w:val="TableNormalf4"/>
    <w:tblPr>
      <w:tblStyleRowBandSize w:val="1"/>
      <w:tblStyleColBandSize w:val="1"/>
      <w:tblCellMar>
        <w:top w:w="100" w:type="dxa"/>
        <w:left w:w="100" w:type="dxa"/>
        <w:bottom w:w="100" w:type="dxa"/>
        <w:right w:w="100" w:type="dxa"/>
      </w:tblCellMar>
    </w:tblPr>
  </w:style>
  <w:style w:type="table" w:customStyle="1" w:styleId="a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4"/>
    <w:tblPr>
      <w:tblStyleRowBandSize w:val="1"/>
      <w:tblStyleColBandSize w:val="1"/>
      <w:tblCellMar>
        <w:top w:w="100" w:type="dxa"/>
        <w:left w:w="100" w:type="dxa"/>
        <w:bottom w:w="100" w:type="dxa"/>
        <w:right w:w="100" w:type="dxa"/>
      </w:tblCellMar>
    </w:tblPr>
  </w:style>
  <w:style w:type="table" w:customStyle="1" w:styleId="a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4"/>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CjIu5ezNyXI8LUWGJRGty1wAeA==">AMUW2mWh2JS8/5T0iwkhIicqWPau4psU0r/UslpCtaCoKVf6OfxBiQL9hjPqMp4fXntOWonJqs54fuIBlNmAQFEeeiX9bJ+1upF6hrpPTFdy2IaFAfufp4yuPpPq0fD4YKXVigH5+DNdnFGO7ZGbW5RjdBms5gap7A300HjgSc0b7wKm/OpHn8g0DHSudAsuMvK8ijfE6D4Mf+fyghn/e/Z4CP2TZebMs954UgxNJNiPGdEE6ZGAg6a9HlnL4II8crtMIWv81+Ih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8321</Words>
  <Characters>45767</Characters>
  <Application>Microsoft Office Word</Application>
  <DocSecurity>0</DocSecurity>
  <Lines>381</Lines>
  <Paragraphs>107</Paragraphs>
  <ScaleCrop>false</ScaleCrop>
  <Company/>
  <LinksUpToDate>false</LinksUpToDate>
  <CharactersWithSpaces>53981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Rocío Popoca</cp:lastModifiedBy>
  <cp:revision>7</cp:revision>
  <cp:lastPrinted>2022-07-14T00:18:00Z</cp:lastPrinted>
  <dcterms:created xsi:type="dcterms:W3CDTF">2022-06-30T18:12:00Z</dcterms:created>
  <dcterms:modified xsi:type="dcterms:W3CDTF">2022-08-11T01:36:00Z</dcterms:modified>
</cp:coreProperties>
</file>