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113C6A" w14:textId="77777777" w:rsidR="002E5396" w:rsidRPr="00B51B20" w:rsidRDefault="002E5396" w:rsidP="002E5396">
      <w:pPr>
        <w:spacing w:before="240" w:after="240" w:line="360" w:lineRule="auto"/>
        <w:jc w:val="both"/>
        <w:rPr>
          <w:rFonts w:ascii="Palatino Linotype" w:hAnsi="Palatino Linotype" w:cs="Arial"/>
        </w:rPr>
      </w:pPr>
      <w:r w:rsidRPr="00B51B20">
        <w:rPr>
          <w:rFonts w:ascii="Palatino Linotype" w:hAnsi="Palatino Linotype"/>
        </w:rPr>
        <w:t xml:space="preserve">Resolución del Pleno del Instituto de Transparencia, Acceso a la Información Pública y Protección de Datos Personales del Estado de México y Municipios, </w:t>
      </w:r>
      <w:r w:rsidRPr="00B51B20">
        <w:rPr>
          <w:rFonts w:ascii="Palatino Linotype" w:eastAsia="Calibri" w:hAnsi="Palatino Linotype" w:cs="Arial"/>
        </w:rPr>
        <w:t>con domicilio en Metepec, Estado de México,</w:t>
      </w:r>
      <w:r w:rsidRPr="00B51B20">
        <w:rPr>
          <w:rFonts w:ascii="Palatino Linotype" w:hAnsi="Palatino Linotype"/>
        </w:rPr>
        <w:t xml:space="preserve"> de fecha</w:t>
      </w:r>
      <w:r w:rsidRPr="00B51B20">
        <w:rPr>
          <w:rStyle w:val="apple-converted-space"/>
          <w:rFonts w:ascii="Palatino Linotype" w:hAnsi="Palatino Linotype" w:cs="Arial"/>
        </w:rPr>
        <w:t xml:space="preserve"> </w:t>
      </w:r>
      <w:r w:rsidR="00D6542A" w:rsidRPr="00B51B20">
        <w:rPr>
          <w:rStyle w:val="apple-converted-space"/>
          <w:rFonts w:ascii="Palatino Linotype" w:hAnsi="Palatino Linotype" w:cs="Arial"/>
        </w:rPr>
        <w:t>dieciséis</w:t>
      </w:r>
      <w:r w:rsidR="00815FD8" w:rsidRPr="00B51B20">
        <w:rPr>
          <w:rStyle w:val="apple-converted-space"/>
          <w:rFonts w:ascii="Palatino Linotype" w:hAnsi="Palatino Linotype" w:cs="Arial"/>
        </w:rPr>
        <w:t xml:space="preserve"> de febrero</w:t>
      </w:r>
      <w:r w:rsidR="00FC37F3" w:rsidRPr="00B51B20">
        <w:rPr>
          <w:rStyle w:val="normaltextrun"/>
          <w:rFonts w:ascii="Palatino Linotype" w:hAnsi="Palatino Linotype" w:cs="Arial"/>
        </w:rPr>
        <w:t xml:space="preserve"> de</w:t>
      </w:r>
      <w:r w:rsidR="00204F0A" w:rsidRPr="00B51B20">
        <w:rPr>
          <w:rStyle w:val="normaltextrun"/>
          <w:rFonts w:ascii="Palatino Linotype" w:hAnsi="Palatino Linotype" w:cs="Arial"/>
        </w:rPr>
        <w:t>l dos mil veintidós</w:t>
      </w:r>
      <w:r w:rsidRPr="00B51B20">
        <w:rPr>
          <w:rStyle w:val="normaltextrun"/>
          <w:rFonts w:ascii="Palatino Linotype" w:hAnsi="Palatino Linotype" w:cs="Arial"/>
        </w:rPr>
        <w:t>.</w:t>
      </w:r>
    </w:p>
    <w:p w14:paraId="04478C19" w14:textId="54631AB2" w:rsidR="002E5396" w:rsidRPr="00B51B20" w:rsidRDefault="002E5396" w:rsidP="002E5396">
      <w:pPr>
        <w:spacing w:before="240" w:after="240" w:line="360" w:lineRule="auto"/>
        <w:jc w:val="both"/>
        <w:rPr>
          <w:rFonts w:ascii="Palatino Linotype" w:hAnsi="Palatino Linotype" w:cs="Arial"/>
        </w:rPr>
      </w:pPr>
      <w:r w:rsidRPr="00B51B20">
        <w:rPr>
          <w:rFonts w:ascii="Palatino Linotype" w:hAnsi="Palatino Linotype" w:cs="Arial"/>
          <w:b/>
        </w:rPr>
        <w:t>Visto</w:t>
      </w:r>
      <w:r w:rsidR="00607616" w:rsidRPr="00B51B20">
        <w:rPr>
          <w:rFonts w:ascii="Palatino Linotype" w:hAnsi="Palatino Linotype" w:cs="Arial"/>
        </w:rPr>
        <w:t xml:space="preserve"> el</w:t>
      </w:r>
      <w:r w:rsidRPr="00B51B20">
        <w:rPr>
          <w:rFonts w:ascii="Palatino Linotype" w:hAnsi="Palatino Linotype" w:cs="Arial"/>
        </w:rPr>
        <w:t xml:space="preserve"> expediente relativo</w:t>
      </w:r>
      <w:r w:rsidR="00607616" w:rsidRPr="00B51B20">
        <w:rPr>
          <w:rFonts w:ascii="Palatino Linotype" w:hAnsi="Palatino Linotype" w:cs="Arial"/>
        </w:rPr>
        <w:t xml:space="preserve"> al</w:t>
      </w:r>
      <w:r w:rsidRPr="00B51B20">
        <w:rPr>
          <w:rFonts w:ascii="Palatino Linotype" w:hAnsi="Palatino Linotype" w:cs="Arial"/>
        </w:rPr>
        <w:t xml:space="preserve"> recurso de revisión </w:t>
      </w:r>
      <w:r w:rsidR="00D6542A" w:rsidRPr="00B51B20">
        <w:rPr>
          <w:rFonts w:ascii="Palatino Linotype" w:hAnsi="Palatino Linotype" w:cs="Arial"/>
          <w:b/>
          <w:bCs/>
        </w:rPr>
        <w:t>06104</w:t>
      </w:r>
      <w:r w:rsidR="00523162" w:rsidRPr="00B51B20">
        <w:rPr>
          <w:rFonts w:ascii="Palatino Linotype" w:hAnsi="Palatino Linotype" w:cs="Arial"/>
          <w:b/>
          <w:bCs/>
        </w:rPr>
        <w:t>/</w:t>
      </w:r>
      <w:r w:rsidR="009D67A9" w:rsidRPr="00B51B20">
        <w:rPr>
          <w:rFonts w:ascii="Palatino Linotype" w:hAnsi="Palatino Linotype" w:cs="Arial"/>
          <w:b/>
          <w:bCs/>
        </w:rPr>
        <w:t>INFOEM/IP/RR/2021</w:t>
      </w:r>
      <w:r w:rsidRPr="00B51B20">
        <w:rPr>
          <w:rFonts w:ascii="Palatino Linotype" w:hAnsi="Palatino Linotype" w:cs="Arial"/>
        </w:rPr>
        <w:t>, interpuesto por</w:t>
      </w:r>
      <w:r w:rsidR="00607616" w:rsidRPr="00B51B20">
        <w:rPr>
          <w:rFonts w:ascii="Palatino Linotype" w:hAnsi="Palatino Linotype" w:cs="Arial"/>
          <w:b/>
        </w:rPr>
        <w:t xml:space="preserve"> </w:t>
      </w:r>
      <w:r w:rsidR="00D1295E">
        <w:rPr>
          <w:rFonts w:ascii="Palatino Linotype" w:hAnsi="Palatino Linotype" w:cs="Arial"/>
          <w:b/>
        </w:rPr>
        <w:t xml:space="preserve">XXXXX </w:t>
      </w:r>
      <w:proofErr w:type="spellStart"/>
      <w:r w:rsidR="00D1295E">
        <w:rPr>
          <w:rFonts w:ascii="Palatino Linotype" w:hAnsi="Palatino Linotype" w:cs="Arial"/>
          <w:b/>
        </w:rPr>
        <w:t>XXXXX</w:t>
      </w:r>
      <w:proofErr w:type="spellEnd"/>
      <w:r w:rsidR="00116785" w:rsidRPr="00B51B20">
        <w:rPr>
          <w:rFonts w:ascii="Palatino Linotype" w:hAnsi="Palatino Linotype" w:cs="Arial"/>
        </w:rPr>
        <w:t xml:space="preserve">, en lo sucesivo </w:t>
      </w:r>
      <w:r w:rsidR="00204F0A" w:rsidRPr="00B51B20">
        <w:rPr>
          <w:rFonts w:ascii="Palatino Linotype" w:hAnsi="Palatino Linotype" w:cs="Arial"/>
        </w:rPr>
        <w:t xml:space="preserve">la </w:t>
      </w:r>
      <w:r w:rsidR="004F55A8" w:rsidRPr="00B51B20">
        <w:rPr>
          <w:rFonts w:ascii="Palatino Linotype" w:hAnsi="Palatino Linotype" w:cs="Arial"/>
          <w:b/>
        </w:rPr>
        <w:t>RECURRENTE</w:t>
      </w:r>
      <w:r w:rsidRPr="00B51B20">
        <w:rPr>
          <w:rFonts w:ascii="Palatino Linotype" w:hAnsi="Palatino Linotype" w:cs="Arial"/>
        </w:rPr>
        <w:t xml:space="preserve"> en contra de la respuesta a su sol</w:t>
      </w:r>
      <w:r w:rsidR="00AC7486" w:rsidRPr="00B51B20">
        <w:rPr>
          <w:rFonts w:ascii="Palatino Linotype" w:hAnsi="Palatino Linotype" w:cs="Arial"/>
        </w:rPr>
        <w:t>icitud de información con número</w:t>
      </w:r>
      <w:r w:rsidR="00523162" w:rsidRPr="00B51B20">
        <w:rPr>
          <w:rFonts w:ascii="Palatino Linotype" w:hAnsi="Palatino Linotype" w:cs="Arial"/>
        </w:rPr>
        <w:t xml:space="preserve"> de folio </w:t>
      </w:r>
      <w:r w:rsidR="00D6542A" w:rsidRPr="00B51B20">
        <w:rPr>
          <w:rFonts w:ascii="Palatino Linotype" w:hAnsi="Palatino Linotype" w:cs="Arial"/>
          <w:b/>
        </w:rPr>
        <w:t>00831/IEEM/IP/2021</w:t>
      </w:r>
      <w:r w:rsidR="00116785" w:rsidRPr="00B51B20">
        <w:rPr>
          <w:rFonts w:ascii="Palatino Linotype" w:hAnsi="Palatino Linotype" w:cs="Arial"/>
          <w:b/>
          <w:bCs/>
        </w:rPr>
        <w:t>,</w:t>
      </w:r>
      <w:r w:rsidR="00116785" w:rsidRPr="00B51B20">
        <w:rPr>
          <w:rFonts w:ascii="Palatino Linotype" w:hAnsi="Palatino Linotype" w:cs="Arial"/>
          <w:b/>
        </w:rPr>
        <w:t xml:space="preserve"> </w:t>
      </w:r>
      <w:r w:rsidR="00116785" w:rsidRPr="00B51B20">
        <w:rPr>
          <w:rFonts w:ascii="Palatino Linotype" w:hAnsi="Palatino Linotype" w:cs="Arial"/>
        </w:rPr>
        <w:t xml:space="preserve">por parte </w:t>
      </w:r>
      <w:r w:rsidR="00815FD8" w:rsidRPr="00B51B20">
        <w:rPr>
          <w:rFonts w:ascii="Palatino Linotype" w:hAnsi="Palatino Linotype" w:cs="Arial"/>
          <w:b/>
        </w:rPr>
        <w:t>del Instituto Electoral del Estado de México</w:t>
      </w:r>
      <w:r w:rsidRPr="00B51B20">
        <w:rPr>
          <w:rFonts w:ascii="Palatino Linotype" w:hAnsi="Palatino Linotype" w:cs="Arial"/>
          <w:b/>
        </w:rPr>
        <w:t xml:space="preserve">, </w:t>
      </w:r>
      <w:r w:rsidRPr="00B51B20">
        <w:rPr>
          <w:rFonts w:ascii="Palatino Linotype" w:hAnsi="Palatino Linotype" w:cs="Arial"/>
        </w:rPr>
        <w:t xml:space="preserve">en lo sucesivo el </w:t>
      </w:r>
      <w:r w:rsidR="004F55A8" w:rsidRPr="00B51B20">
        <w:rPr>
          <w:rFonts w:ascii="Palatino Linotype" w:hAnsi="Palatino Linotype" w:cs="Arial"/>
          <w:b/>
        </w:rPr>
        <w:t>SUJETO OBLIGADO</w:t>
      </w:r>
      <w:r w:rsidRPr="00B51B20">
        <w:rPr>
          <w:rFonts w:ascii="Palatino Linotype" w:hAnsi="Palatino Linotype" w:cs="Arial"/>
          <w:b/>
        </w:rPr>
        <w:t xml:space="preserve">; </w:t>
      </w:r>
      <w:r w:rsidRPr="00B51B20">
        <w:rPr>
          <w:rFonts w:ascii="Palatino Linotype" w:hAnsi="Palatino Linotype" w:cs="Arial"/>
        </w:rPr>
        <w:t>se procede a dictar la pres</w:t>
      </w:r>
      <w:r w:rsidR="008C01E0" w:rsidRPr="00B51B20">
        <w:rPr>
          <w:rFonts w:ascii="Palatino Linotype" w:hAnsi="Palatino Linotype" w:cs="Arial"/>
        </w:rPr>
        <w:t>ente resolución, con base en los</w:t>
      </w:r>
      <w:r w:rsidRPr="00B51B20">
        <w:rPr>
          <w:rFonts w:ascii="Palatino Linotype" w:hAnsi="Palatino Linotype" w:cs="Arial"/>
        </w:rPr>
        <w:t xml:space="preserve"> siguientes:</w:t>
      </w:r>
    </w:p>
    <w:p w14:paraId="47D6498A" w14:textId="77777777" w:rsidR="002E5396" w:rsidRPr="00B51B20"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B51B20">
        <w:rPr>
          <w:rFonts w:ascii="Palatino Linotype" w:hAnsi="Palatino Linotype" w:cs="Arial"/>
          <w:b/>
          <w:sz w:val="24"/>
          <w:szCs w:val="24"/>
        </w:rPr>
        <w:t>A N T E C E D E N T E S:</w:t>
      </w:r>
    </w:p>
    <w:p w14:paraId="02CFFE4A" w14:textId="77777777" w:rsidR="002E5396" w:rsidRPr="00B51B20" w:rsidRDefault="002E5396" w:rsidP="002E5396">
      <w:pPr>
        <w:spacing w:before="240" w:after="240" w:line="360" w:lineRule="auto"/>
        <w:jc w:val="both"/>
        <w:rPr>
          <w:rFonts w:ascii="Palatino Linotype" w:hAnsi="Palatino Linotype" w:cs="Arial"/>
        </w:rPr>
      </w:pPr>
      <w:r w:rsidRPr="00B51B20">
        <w:rPr>
          <w:rFonts w:ascii="Palatino Linotype" w:hAnsi="Palatino Linotype" w:cs="Arial"/>
          <w:b/>
        </w:rPr>
        <w:t xml:space="preserve">1. Solicitud de acceso a la información. </w:t>
      </w:r>
      <w:r w:rsidR="00D6542A" w:rsidRPr="00B51B20">
        <w:rPr>
          <w:rFonts w:ascii="Palatino Linotype" w:hAnsi="Palatino Linotype" w:cs="Arial"/>
        </w:rPr>
        <w:t>Con fecha veintiocho de octubre</w:t>
      </w:r>
      <w:r w:rsidR="009D67A9" w:rsidRPr="00B51B20">
        <w:rPr>
          <w:rFonts w:ascii="Palatino Linotype" w:hAnsi="Palatino Linotype" w:cs="Arial"/>
        </w:rPr>
        <w:t xml:space="preserve"> </w:t>
      </w:r>
      <w:r w:rsidR="00FF6012" w:rsidRPr="00B51B20">
        <w:rPr>
          <w:rFonts w:ascii="Palatino Linotype" w:hAnsi="Palatino Linotype" w:cs="Arial"/>
        </w:rPr>
        <w:t>de</w:t>
      </w:r>
      <w:r w:rsidR="009D67A9" w:rsidRPr="00B51B20">
        <w:rPr>
          <w:rFonts w:ascii="Palatino Linotype" w:hAnsi="Palatino Linotype" w:cs="Arial"/>
        </w:rPr>
        <w:t>l dos mil veintiuno</w:t>
      </w:r>
      <w:r w:rsidRPr="00B51B20">
        <w:rPr>
          <w:rFonts w:ascii="Palatino Linotype" w:hAnsi="Palatino Linotype" w:cs="Arial"/>
        </w:rPr>
        <w:t xml:space="preserve">, la parte </w:t>
      </w:r>
      <w:r w:rsidR="004F55A8" w:rsidRPr="00B51B20">
        <w:rPr>
          <w:rFonts w:ascii="Palatino Linotype" w:hAnsi="Palatino Linotype" w:cs="Arial"/>
          <w:b/>
        </w:rPr>
        <w:t>RECURRENTE</w:t>
      </w:r>
      <w:r w:rsidRPr="00B51B20">
        <w:rPr>
          <w:rFonts w:ascii="Palatino Linotype" w:hAnsi="Palatino Linotype" w:cs="Arial"/>
        </w:rPr>
        <w:t xml:space="preserve"> formuló solicitud de acceso a información pública al </w:t>
      </w:r>
      <w:r w:rsidR="004F55A8" w:rsidRPr="00B51B20">
        <w:rPr>
          <w:rFonts w:ascii="Palatino Linotype" w:hAnsi="Palatino Linotype" w:cs="Arial"/>
          <w:b/>
        </w:rPr>
        <w:t>SUJETO OBLIGADO</w:t>
      </w:r>
      <w:r w:rsidR="004F55A8" w:rsidRPr="00B51B20">
        <w:rPr>
          <w:rFonts w:ascii="Palatino Linotype" w:hAnsi="Palatino Linotype" w:cs="Arial"/>
        </w:rPr>
        <w:t xml:space="preserve"> </w:t>
      </w:r>
      <w:r w:rsidRPr="00B51B20">
        <w:rPr>
          <w:rFonts w:ascii="Palatino Linotype" w:hAnsi="Palatino Linotype" w:cs="Arial"/>
        </w:rPr>
        <w:t xml:space="preserve">a través del Sistema de Acceso a la Información Mexiquense, en adelante </w:t>
      </w:r>
      <w:r w:rsidRPr="00B51B20">
        <w:rPr>
          <w:rFonts w:ascii="Palatino Linotype" w:hAnsi="Palatino Linotype" w:cs="Arial"/>
          <w:b/>
        </w:rPr>
        <w:t>SAIMEX,</w:t>
      </w:r>
      <w:r w:rsidRPr="00B51B20">
        <w:rPr>
          <w:rFonts w:ascii="Palatino Linotype" w:hAnsi="Palatino Linotype" w:cs="Arial"/>
        </w:rPr>
        <w:t xml:space="preserve"> requiriéndole lo siguiente:</w:t>
      </w:r>
    </w:p>
    <w:p w14:paraId="005B177B" w14:textId="77777777" w:rsidR="00AA47E4" w:rsidRPr="00B51B20" w:rsidRDefault="00AA47E4" w:rsidP="00607616">
      <w:pPr>
        <w:ind w:left="851" w:right="758"/>
        <w:jc w:val="both"/>
        <w:rPr>
          <w:rFonts w:ascii="Palatino Linotype" w:eastAsia="Palatino Linotype" w:hAnsi="Palatino Linotype" w:cs="Palatino Linotype"/>
          <w:i/>
          <w:sz w:val="22"/>
          <w:szCs w:val="22"/>
        </w:rPr>
      </w:pPr>
      <w:r w:rsidRPr="00B51B20">
        <w:rPr>
          <w:rFonts w:ascii="Palatino Linotype" w:eastAsia="Palatino Linotype" w:hAnsi="Palatino Linotype" w:cs="Palatino Linotype"/>
          <w:i/>
          <w:sz w:val="22"/>
          <w:szCs w:val="22"/>
        </w:rPr>
        <w:t>“</w:t>
      </w:r>
      <w:r w:rsidR="00D6542A" w:rsidRPr="00B51B20">
        <w:rPr>
          <w:rFonts w:ascii="Palatino Linotype" w:eastAsia="Palatino Linotype" w:hAnsi="Palatino Linotype" w:cs="Palatino Linotype"/>
          <w:i/>
          <w:sz w:val="22"/>
          <w:szCs w:val="22"/>
        </w:rPr>
        <w:t>Solicito las listas de asistencia del mes de julio de 2021 de la junta distrital de Valle de Chalco Solidaridad.</w:t>
      </w:r>
      <w:r w:rsidRPr="00B51B20">
        <w:rPr>
          <w:rFonts w:ascii="Palatino Linotype" w:eastAsia="Palatino Linotype" w:hAnsi="Palatino Linotype" w:cs="Palatino Linotype"/>
          <w:i/>
          <w:sz w:val="22"/>
          <w:szCs w:val="22"/>
        </w:rPr>
        <w:t>” (Sic)</w:t>
      </w:r>
    </w:p>
    <w:p w14:paraId="41A07ECF" w14:textId="77777777" w:rsidR="00AA47E4" w:rsidRPr="00B51B20" w:rsidRDefault="00AA47E4" w:rsidP="00AA47E4">
      <w:pPr>
        <w:spacing w:before="240" w:after="240" w:line="360" w:lineRule="auto"/>
        <w:jc w:val="both"/>
        <w:rPr>
          <w:rFonts w:ascii="Palatino Linotype" w:hAnsi="Palatino Linotype" w:cs="Arial"/>
        </w:rPr>
      </w:pPr>
      <w:r w:rsidRPr="00B51B20">
        <w:rPr>
          <w:rFonts w:ascii="Palatino Linotype" w:hAnsi="Palatino Linotype" w:cs="Arial"/>
          <w:b/>
        </w:rPr>
        <w:t xml:space="preserve">Modalidad elegida para la entrega de la información: </w:t>
      </w:r>
      <w:r w:rsidRPr="00B51B20">
        <w:rPr>
          <w:rFonts w:ascii="Palatino Linotype" w:hAnsi="Palatino Linotype" w:cs="Arial"/>
        </w:rPr>
        <w:t xml:space="preserve">a través del </w:t>
      </w:r>
      <w:r w:rsidRPr="00B51B20">
        <w:rPr>
          <w:rFonts w:ascii="Palatino Linotype" w:hAnsi="Palatino Linotype" w:cs="Arial"/>
          <w:b/>
        </w:rPr>
        <w:t>SAIMEX</w:t>
      </w:r>
      <w:r w:rsidRPr="00B51B20">
        <w:rPr>
          <w:rFonts w:ascii="Palatino Linotype" w:hAnsi="Palatino Linotype" w:cs="Arial"/>
        </w:rPr>
        <w:t>.</w:t>
      </w:r>
    </w:p>
    <w:p w14:paraId="452DB3B8" w14:textId="77777777" w:rsidR="00AA47E4" w:rsidRPr="00B51B20" w:rsidRDefault="00AA47E4" w:rsidP="00AA47E4">
      <w:pPr>
        <w:spacing w:before="240" w:after="240" w:line="360" w:lineRule="auto"/>
        <w:jc w:val="both"/>
        <w:rPr>
          <w:rFonts w:ascii="Palatino Linotype" w:hAnsi="Palatino Linotype" w:cs="Arial"/>
        </w:rPr>
      </w:pPr>
      <w:r w:rsidRPr="00B51B20">
        <w:rPr>
          <w:rFonts w:ascii="Palatino Linotype" w:hAnsi="Palatino Linotype" w:cs="Arial"/>
          <w:b/>
        </w:rPr>
        <w:t xml:space="preserve">2. Respuesta. </w:t>
      </w:r>
      <w:r w:rsidRPr="00B51B20">
        <w:rPr>
          <w:rFonts w:ascii="Palatino Linotype" w:hAnsi="Palatino Linotype" w:cs="Arial"/>
        </w:rPr>
        <w:t xml:space="preserve">Con </w:t>
      </w:r>
      <w:r w:rsidR="008F2AD9" w:rsidRPr="00B51B20">
        <w:rPr>
          <w:rFonts w:ascii="Palatino Linotype" w:hAnsi="Palatino Linotype" w:cs="Arial"/>
        </w:rPr>
        <w:t xml:space="preserve">fecha </w:t>
      </w:r>
      <w:r w:rsidR="00926155" w:rsidRPr="00B51B20">
        <w:rPr>
          <w:rFonts w:ascii="Palatino Linotype" w:hAnsi="Palatino Linotype" w:cs="Arial"/>
        </w:rPr>
        <w:t>veintidós</w:t>
      </w:r>
      <w:r w:rsidR="00815FD8" w:rsidRPr="00B51B20">
        <w:rPr>
          <w:rFonts w:ascii="Palatino Linotype" w:hAnsi="Palatino Linotype" w:cs="Arial"/>
        </w:rPr>
        <w:t xml:space="preserve"> de noviembre</w:t>
      </w:r>
      <w:r w:rsidR="00FF6012" w:rsidRPr="00B51B20">
        <w:rPr>
          <w:rFonts w:ascii="Palatino Linotype" w:hAnsi="Palatino Linotype" w:cs="Arial"/>
        </w:rPr>
        <w:t xml:space="preserve"> de</w:t>
      </w:r>
      <w:r w:rsidR="00AF6A2E" w:rsidRPr="00B51B20">
        <w:rPr>
          <w:rFonts w:ascii="Palatino Linotype" w:hAnsi="Palatino Linotype" w:cs="Arial"/>
        </w:rPr>
        <w:t>l dos mil veintiuno</w:t>
      </w:r>
      <w:r w:rsidRPr="00B51B20">
        <w:rPr>
          <w:rFonts w:ascii="Palatino Linotype" w:hAnsi="Palatino Linotype" w:cs="Arial"/>
        </w:rPr>
        <w:t xml:space="preserve"> el </w:t>
      </w:r>
      <w:r w:rsidR="00815FD8" w:rsidRPr="00B51B20">
        <w:rPr>
          <w:rFonts w:ascii="Palatino Linotype" w:hAnsi="Palatino Linotype" w:cs="Arial"/>
          <w:b/>
        </w:rPr>
        <w:t>SUJETO OBLIGADO</w:t>
      </w:r>
      <w:r w:rsidRPr="00B51B20">
        <w:rPr>
          <w:rFonts w:ascii="Palatino Linotype" w:hAnsi="Palatino Linotype" w:cs="Arial"/>
        </w:rPr>
        <w:t xml:space="preserve"> envió su respuesta</w:t>
      </w:r>
      <w:r w:rsidR="00607616" w:rsidRPr="00B51B20">
        <w:rPr>
          <w:rFonts w:ascii="Palatino Linotype" w:hAnsi="Palatino Linotype" w:cs="Arial"/>
        </w:rPr>
        <w:t xml:space="preserve"> a la solicitud</w:t>
      </w:r>
      <w:r w:rsidRPr="00B51B20">
        <w:rPr>
          <w:rFonts w:ascii="Palatino Linotype" w:hAnsi="Palatino Linotype" w:cs="Arial"/>
        </w:rPr>
        <w:t xml:space="preserve"> de acceso a la información a través del SAIMEX, la cual versa como sigue:</w:t>
      </w:r>
    </w:p>
    <w:p w14:paraId="05547257" w14:textId="77777777" w:rsidR="00815FD8" w:rsidRPr="00B51B20" w:rsidRDefault="00AA47E4" w:rsidP="00204F0A">
      <w:pPr>
        <w:spacing w:before="240" w:after="240"/>
        <w:ind w:left="851" w:right="902"/>
        <w:contextualSpacing/>
        <w:jc w:val="both"/>
        <w:rPr>
          <w:rFonts w:ascii="Palatino Linotype" w:hAnsi="Palatino Linotype"/>
          <w:i/>
          <w:color w:val="000000"/>
        </w:rPr>
      </w:pPr>
      <w:r w:rsidRPr="00B51B20">
        <w:rPr>
          <w:rFonts w:ascii="Palatino Linotype" w:hAnsi="Palatino Linotype"/>
          <w:i/>
          <w:color w:val="000000"/>
        </w:rPr>
        <w:t>“</w:t>
      </w:r>
      <w:r w:rsidR="00815FD8" w:rsidRPr="00B51B20">
        <w:rPr>
          <w:rFonts w:ascii="Palatino Linotype" w:hAnsi="Palatino Linotype"/>
          <w:i/>
          <w:color w:val="000000"/>
        </w:rPr>
        <w:t xml:space="preserve">En respuesta a la solicitud recibida, nos permitimos hacer de su conocimiento que con fundamento en el artículo 53, Fracciones: II, V y VI </w:t>
      </w:r>
      <w:r w:rsidR="00815FD8" w:rsidRPr="00B51B20">
        <w:rPr>
          <w:rFonts w:ascii="Palatino Linotype" w:hAnsi="Palatino Linotype"/>
          <w:i/>
          <w:color w:val="000000"/>
        </w:rPr>
        <w:lastRenderedPageBreak/>
        <w:t>de la Ley de Transparencia y Acceso a la Información Pública del Estado de México y Municipios, le contestamos que</w:t>
      </w:r>
    </w:p>
    <w:p w14:paraId="13B31494" w14:textId="77777777" w:rsidR="00204F0A" w:rsidRPr="00B51B20" w:rsidRDefault="00815FD8" w:rsidP="00204F0A">
      <w:pPr>
        <w:spacing w:before="240" w:after="240"/>
        <w:ind w:left="851" w:right="902"/>
        <w:contextualSpacing/>
        <w:jc w:val="both"/>
        <w:rPr>
          <w:rFonts w:ascii="Palatino Linotype" w:hAnsi="Palatino Linotype"/>
          <w:i/>
          <w:color w:val="000000"/>
        </w:rPr>
      </w:pPr>
      <w:r w:rsidRPr="00B51B20">
        <w:rPr>
          <w:rFonts w:ascii="Palatino Linotype" w:hAnsi="Palatino Linotype"/>
          <w:i/>
          <w:color w:val="000000"/>
        </w:rPr>
        <w:t>Se adjunta respuesta a su solicitud de información</w:t>
      </w:r>
      <w:r w:rsidR="00204F0A" w:rsidRPr="00B51B20">
        <w:rPr>
          <w:rFonts w:ascii="Palatino Linotype" w:hAnsi="Palatino Linotype"/>
          <w:i/>
          <w:color w:val="000000"/>
        </w:rPr>
        <w:t>.</w:t>
      </w:r>
    </w:p>
    <w:p w14:paraId="5829223E" w14:textId="77777777" w:rsidR="00AA47E4" w:rsidRPr="00B51B20" w:rsidRDefault="00AA47E4" w:rsidP="00204F0A">
      <w:pPr>
        <w:spacing w:before="240" w:after="240"/>
        <w:ind w:left="851" w:right="902"/>
        <w:contextualSpacing/>
        <w:jc w:val="both"/>
        <w:rPr>
          <w:rFonts w:ascii="Palatino Linotype" w:hAnsi="Palatino Linotype"/>
          <w:i/>
          <w:color w:val="000000"/>
        </w:rPr>
      </w:pPr>
      <w:r w:rsidRPr="00B51B20">
        <w:rPr>
          <w:rFonts w:ascii="Palatino Linotype" w:hAnsi="Palatino Linotype"/>
          <w:i/>
          <w:color w:val="000000"/>
        </w:rPr>
        <w:t>ATENTAMENTE</w:t>
      </w:r>
    </w:p>
    <w:p w14:paraId="3D13925E" w14:textId="77777777" w:rsidR="00AA47E4" w:rsidRPr="00B51B20" w:rsidRDefault="00815FD8" w:rsidP="00AA47E4">
      <w:pPr>
        <w:spacing w:before="240" w:after="240"/>
        <w:ind w:left="851" w:right="902"/>
        <w:contextualSpacing/>
        <w:jc w:val="both"/>
        <w:rPr>
          <w:rFonts w:ascii="Palatino Linotype" w:hAnsi="Palatino Linotype"/>
          <w:i/>
          <w:color w:val="000000"/>
        </w:rPr>
      </w:pPr>
      <w:r w:rsidRPr="00B51B20">
        <w:rPr>
          <w:rFonts w:ascii="Palatino Linotype" w:hAnsi="Palatino Linotype"/>
          <w:i/>
          <w:color w:val="000000"/>
        </w:rPr>
        <w:t>MAESTRA LILIBETH ÁLVAREZ RODRÍGUEZ</w:t>
      </w:r>
      <w:r w:rsidR="00AA47E4" w:rsidRPr="00B51B20">
        <w:rPr>
          <w:rFonts w:ascii="Palatino Linotype" w:hAnsi="Palatino Linotype"/>
          <w:i/>
          <w:color w:val="000000"/>
        </w:rPr>
        <w:t>” (Sic)</w:t>
      </w:r>
    </w:p>
    <w:p w14:paraId="32E304EE" w14:textId="77777777" w:rsidR="00C57D70" w:rsidRPr="00B51B20" w:rsidRDefault="00C57D70" w:rsidP="00C57D70">
      <w:pPr>
        <w:spacing w:before="240" w:after="240"/>
        <w:ind w:right="902"/>
        <w:contextualSpacing/>
        <w:jc w:val="both"/>
        <w:rPr>
          <w:rFonts w:ascii="Palatino Linotype" w:hAnsi="Palatino Linotype"/>
          <w:i/>
          <w:color w:val="000000"/>
        </w:rPr>
      </w:pPr>
    </w:p>
    <w:p w14:paraId="4A40DDB3" w14:textId="77777777" w:rsidR="00FF6012" w:rsidRPr="00B51B20" w:rsidRDefault="00A77769" w:rsidP="00AA47E4">
      <w:pPr>
        <w:spacing w:before="240" w:after="240" w:line="360" w:lineRule="auto"/>
        <w:contextualSpacing/>
        <w:jc w:val="both"/>
        <w:rPr>
          <w:rFonts w:ascii="Palatino Linotype" w:hAnsi="Palatino Linotype" w:cs="Arial"/>
        </w:rPr>
      </w:pPr>
      <w:r w:rsidRPr="00B51B20">
        <w:rPr>
          <w:rFonts w:ascii="Palatino Linotype" w:hAnsi="Palatino Linotype" w:cs="Arial"/>
        </w:rPr>
        <w:t xml:space="preserve">Adjuntando </w:t>
      </w:r>
      <w:r w:rsidR="00D37F34" w:rsidRPr="00B51B20">
        <w:rPr>
          <w:rFonts w:ascii="Palatino Linotype" w:hAnsi="Palatino Linotype" w:cs="Arial"/>
        </w:rPr>
        <w:t xml:space="preserve">a </w:t>
      </w:r>
      <w:r w:rsidR="00815FD8" w:rsidRPr="00B51B20">
        <w:rPr>
          <w:rFonts w:ascii="Palatino Linotype" w:hAnsi="Palatino Linotype" w:cs="Arial"/>
        </w:rPr>
        <w:t>su respuesta los</w:t>
      </w:r>
      <w:r w:rsidRPr="00B51B20">
        <w:rPr>
          <w:rFonts w:ascii="Palatino Linotype" w:hAnsi="Palatino Linotype" w:cs="Arial"/>
        </w:rPr>
        <w:t xml:space="preserve"> archivo</w:t>
      </w:r>
      <w:r w:rsidR="00815FD8" w:rsidRPr="00B51B20">
        <w:rPr>
          <w:rFonts w:ascii="Palatino Linotype" w:hAnsi="Palatino Linotype" w:cs="Arial"/>
        </w:rPr>
        <w:t>s</w:t>
      </w:r>
      <w:r w:rsidRPr="00B51B20">
        <w:rPr>
          <w:rFonts w:ascii="Palatino Linotype" w:hAnsi="Palatino Linotype" w:cs="Arial"/>
        </w:rPr>
        <w:t xml:space="preserve"> electrónico</w:t>
      </w:r>
      <w:r w:rsidR="00815FD8" w:rsidRPr="00B51B20">
        <w:rPr>
          <w:rFonts w:ascii="Palatino Linotype" w:hAnsi="Palatino Linotype" w:cs="Arial"/>
        </w:rPr>
        <w:t>s</w:t>
      </w:r>
      <w:r w:rsidR="00FF6012" w:rsidRPr="00B51B20">
        <w:rPr>
          <w:rFonts w:ascii="Palatino Linotype" w:hAnsi="Palatino Linotype" w:cs="Arial"/>
        </w:rPr>
        <w:t xml:space="preserve"> </w:t>
      </w:r>
      <w:r w:rsidR="00204F0A" w:rsidRPr="00B51B20">
        <w:rPr>
          <w:rFonts w:ascii="Palatino Linotype" w:hAnsi="Palatino Linotype" w:cs="Arial"/>
        </w:rPr>
        <w:t>denominado</w:t>
      </w:r>
      <w:r w:rsidR="00815FD8" w:rsidRPr="00B51B20">
        <w:rPr>
          <w:rFonts w:ascii="Palatino Linotype" w:hAnsi="Palatino Linotype" w:cs="Arial"/>
        </w:rPr>
        <w:t>s</w:t>
      </w:r>
      <w:r w:rsidR="00204F0A" w:rsidRPr="00B51B20">
        <w:rPr>
          <w:rFonts w:ascii="Palatino Linotype" w:hAnsi="Palatino Linotype" w:cs="Arial"/>
        </w:rPr>
        <w:t xml:space="preserve"> </w:t>
      </w:r>
      <w:r w:rsidR="00FF6012" w:rsidRPr="00B51B20">
        <w:rPr>
          <w:rFonts w:ascii="Palatino Linotype" w:hAnsi="Palatino Linotype" w:cs="Arial"/>
        </w:rPr>
        <w:t>“</w:t>
      </w:r>
      <w:hyperlink r:id="rId8" w:tgtFrame="_blank" w:history="1">
        <w:r w:rsidR="008F2AD9" w:rsidRPr="00B51B20">
          <w:rPr>
            <w:rFonts w:ascii="Palatino Linotype" w:hAnsi="Palatino Linotype"/>
          </w:rPr>
          <w:t>IEEM-DO-5597-2021.pdf</w:t>
        </w:r>
      </w:hyperlink>
      <w:r w:rsidR="00FF6012" w:rsidRPr="00B51B20">
        <w:rPr>
          <w:rFonts w:ascii="Palatino Linotype" w:hAnsi="Palatino Linotype" w:cs="Arial"/>
        </w:rPr>
        <w:t>”</w:t>
      </w:r>
      <w:r w:rsidR="008F2AD9" w:rsidRPr="00B51B20">
        <w:rPr>
          <w:rFonts w:ascii="Palatino Linotype" w:hAnsi="Palatino Linotype" w:cs="Arial"/>
        </w:rPr>
        <w:t xml:space="preserve">, </w:t>
      </w:r>
      <w:r w:rsidR="00815FD8" w:rsidRPr="00B51B20">
        <w:rPr>
          <w:rFonts w:ascii="Palatino Linotype" w:hAnsi="Palatino Linotype" w:cs="Arial"/>
        </w:rPr>
        <w:t xml:space="preserve"> “</w:t>
      </w:r>
      <w:hyperlink r:id="rId9" w:tgtFrame="_blank" w:history="1">
        <w:r w:rsidR="008F2AD9" w:rsidRPr="00B51B20">
          <w:rPr>
            <w:rFonts w:ascii="Palatino Linotype" w:hAnsi="Palatino Linotype"/>
          </w:rPr>
          <w:t>OFICIO RESPUESTA 831-2021 UT.pdf</w:t>
        </w:r>
      </w:hyperlink>
      <w:r w:rsidR="00815FD8" w:rsidRPr="00B51B20">
        <w:rPr>
          <w:rFonts w:ascii="Palatino Linotype" w:hAnsi="Palatino Linotype" w:cs="Arial"/>
        </w:rPr>
        <w:t>”</w:t>
      </w:r>
      <w:r w:rsidR="008F2AD9" w:rsidRPr="00B51B20">
        <w:rPr>
          <w:rFonts w:ascii="Palatino Linotype" w:hAnsi="Palatino Linotype" w:cs="Arial"/>
        </w:rPr>
        <w:t xml:space="preserve"> y “</w:t>
      </w:r>
      <w:hyperlink r:id="rId10" w:tgtFrame="_blank" w:history="1">
        <w:r w:rsidR="008F2AD9" w:rsidRPr="00B51B20">
          <w:rPr>
            <w:rFonts w:ascii="Palatino Linotype" w:hAnsi="Palatino Linotype"/>
          </w:rPr>
          <w:t>RESPUESTA 831-2021 DA.pdf</w:t>
        </w:r>
      </w:hyperlink>
      <w:r w:rsidR="008F2AD9" w:rsidRPr="00B51B20">
        <w:rPr>
          <w:rFonts w:ascii="Palatino Linotype" w:hAnsi="Palatino Linotype" w:cs="Arial"/>
        </w:rPr>
        <w:t>”</w:t>
      </w:r>
      <w:r w:rsidR="00815FD8" w:rsidRPr="00B51B20">
        <w:rPr>
          <w:rFonts w:ascii="Palatino Linotype" w:hAnsi="Palatino Linotype" w:cs="Arial"/>
        </w:rPr>
        <w:t>; los</w:t>
      </w:r>
      <w:r w:rsidRPr="00B51B20">
        <w:rPr>
          <w:rFonts w:ascii="Palatino Linotype" w:hAnsi="Palatino Linotype" w:cs="Arial"/>
        </w:rPr>
        <w:t xml:space="preserve"> cual</w:t>
      </w:r>
      <w:r w:rsidR="00815FD8" w:rsidRPr="00B51B20">
        <w:rPr>
          <w:rFonts w:ascii="Palatino Linotype" w:hAnsi="Palatino Linotype" w:cs="Arial"/>
        </w:rPr>
        <w:t>es</w:t>
      </w:r>
      <w:r w:rsidRPr="00B51B20">
        <w:rPr>
          <w:rFonts w:ascii="Palatino Linotype" w:hAnsi="Palatino Linotype" w:cs="Arial"/>
        </w:rPr>
        <w:t xml:space="preserve"> será</w:t>
      </w:r>
      <w:r w:rsidR="00815FD8" w:rsidRPr="00B51B20">
        <w:rPr>
          <w:rFonts w:ascii="Palatino Linotype" w:hAnsi="Palatino Linotype" w:cs="Arial"/>
        </w:rPr>
        <w:t>n</w:t>
      </w:r>
      <w:r w:rsidRPr="00B51B20">
        <w:rPr>
          <w:rFonts w:ascii="Palatino Linotype" w:hAnsi="Palatino Linotype" w:cs="Arial"/>
        </w:rPr>
        <w:t xml:space="preserve"> analizado</w:t>
      </w:r>
      <w:r w:rsidR="00815FD8" w:rsidRPr="00B51B20">
        <w:rPr>
          <w:rFonts w:ascii="Palatino Linotype" w:hAnsi="Palatino Linotype" w:cs="Arial"/>
        </w:rPr>
        <w:t>s</w:t>
      </w:r>
      <w:r w:rsidR="00FF6012" w:rsidRPr="00B51B20">
        <w:rPr>
          <w:rFonts w:ascii="Palatino Linotype" w:hAnsi="Palatino Linotype" w:cs="Arial"/>
        </w:rPr>
        <w:t xml:space="preserve"> en el aparto de estudio correspondiente.</w:t>
      </w:r>
    </w:p>
    <w:p w14:paraId="3586018E" w14:textId="77777777" w:rsidR="00FF6012" w:rsidRPr="00B51B20" w:rsidRDefault="00FF6012" w:rsidP="00AA47E4">
      <w:pPr>
        <w:spacing w:before="240" w:after="240" w:line="360" w:lineRule="auto"/>
        <w:contextualSpacing/>
        <w:jc w:val="both"/>
        <w:rPr>
          <w:rFonts w:ascii="Palatino Linotype" w:hAnsi="Palatino Linotype" w:cs="Arial"/>
          <w:b/>
        </w:rPr>
      </w:pPr>
    </w:p>
    <w:p w14:paraId="70F68325" w14:textId="77777777" w:rsidR="00AA47E4" w:rsidRPr="00B51B20" w:rsidRDefault="00607616" w:rsidP="00AA47E4">
      <w:pPr>
        <w:spacing w:before="240" w:after="240" w:line="360" w:lineRule="auto"/>
        <w:contextualSpacing/>
        <w:jc w:val="both"/>
        <w:rPr>
          <w:rFonts w:ascii="Palatino Linotype" w:hAnsi="Palatino Linotype" w:cs="Arial"/>
        </w:rPr>
      </w:pPr>
      <w:r w:rsidRPr="00B51B20">
        <w:rPr>
          <w:rFonts w:ascii="Palatino Linotype" w:hAnsi="Palatino Linotype" w:cs="Arial"/>
          <w:b/>
        </w:rPr>
        <w:t>3. Interposición del</w:t>
      </w:r>
      <w:r w:rsidR="00AA47E4" w:rsidRPr="00B51B20">
        <w:rPr>
          <w:rFonts w:ascii="Palatino Linotype" w:hAnsi="Palatino Linotype" w:cs="Arial"/>
          <w:b/>
        </w:rPr>
        <w:t xml:space="preserve"> recurso de revisión. </w:t>
      </w:r>
      <w:r w:rsidR="00AA47E4" w:rsidRPr="00B51B20">
        <w:rPr>
          <w:rFonts w:ascii="Palatino Linotype" w:hAnsi="Palatino Linotype" w:cs="Arial"/>
        </w:rPr>
        <w:t xml:space="preserve">Inconforme la solicitante con la respuesta del </w:t>
      </w:r>
      <w:r w:rsidR="004F55A8" w:rsidRPr="00B51B20">
        <w:rPr>
          <w:rFonts w:ascii="Palatino Linotype" w:hAnsi="Palatino Linotype" w:cs="Arial"/>
          <w:b/>
        </w:rPr>
        <w:t>SUJETO OBLIGADO</w:t>
      </w:r>
      <w:r w:rsidR="004F55A8" w:rsidRPr="00B51B20">
        <w:rPr>
          <w:rFonts w:ascii="Palatino Linotype" w:hAnsi="Palatino Linotype" w:cs="Arial"/>
        </w:rPr>
        <w:t xml:space="preserve"> interpuso el recurso</w:t>
      </w:r>
      <w:r w:rsidR="00AA47E4" w:rsidRPr="00B51B20">
        <w:rPr>
          <w:rFonts w:ascii="Palatino Linotype" w:hAnsi="Palatino Linotype" w:cs="Arial"/>
        </w:rPr>
        <w:t xml:space="preserve"> de revisión a travé</w:t>
      </w:r>
      <w:r w:rsidR="00204F0A" w:rsidRPr="00B51B20">
        <w:rPr>
          <w:rFonts w:ascii="Palatino Linotype" w:hAnsi="Palatino Linotype" w:cs="Arial"/>
        </w:rPr>
        <w:t>s</w:t>
      </w:r>
      <w:r w:rsidR="008F2AD9" w:rsidRPr="00B51B20">
        <w:rPr>
          <w:rFonts w:ascii="Palatino Linotype" w:hAnsi="Palatino Linotype" w:cs="Arial"/>
        </w:rPr>
        <w:t xml:space="preserve"> del SAIMEX en fecha seis</w:t>
      </w:r>
      <w:r w:rsidR="00815FD8" w:rsidRPr="00B51B20">
        <w:rPr>
          <w:rFonts w:ascii="Palatino Linotype" w:hAnsi="Palatino Linotype" w:cs="Arial"/>
        </w:rPr>
        <w:t xml:space="preserve"> de diciembre</w:t>
      </w:r>
      <w:r w:rsidR="00FF6012" w:rsidRPr="00B51B20">
        <w:rPr>
          <w:rFonts w:ascii="Palatino Linotype" w:hAnsi="Palatino Linotype" w:cs="Arial"/>
        </w:rPr>
        <w:t xml:space="preserve"> de</w:t>
      </w:r>
      <w:r w:rsidR="00AF6A2E" w:rsidRPr="00B51B20">
        <w:rPr>
          <w:rFonts w:ascii="Palatino Linotype" w:hAnsi="Palatino Linotype" w:cs="Arial"/>
        </w:rPr>
        <w:t>l dos mil veintiuno</w:t>
      </w:r>
      <w:r w:rsidR="00AA47E4" w:rsidRPr="00B51B20">
        <w:rPr>
          <w:rFonts w:ascii="Palatino Linotype" w:hAnsi="Palatino Linotype" w:cs="Arial"/>
        </w:rPr>
        <w:t>, a través del cual expresó lo siguiente:</w:t>
      </w:r>
    </w:p>
    <w:p w14:paraId="3C12051F" w14:textId="77777777" w:rsidR="00AA47E4" w:rsidRPr="00B51B20" w:rsidRDefault="00AA47E4" w:rsidP="00AA47E4">
      <w:pPr>
        <w:spacing w:before="240" w:after="240" w:line="360" w:lineRule="auto"/>
        <w:contextualSpacing/>
        <w:jc w:val="both"/>
        <w:rPr>
          <w:rFonts w:ascii="Palatino Linotype" w:hAnsi="Palatino Linotype" w:cs="Arial"/>
        </w:rPr>
      </w:pPr>
    </w:p>
    <w:p w14:paraId="1A5B58A5" w14:textId="77777777" w:rsidR="00AA47E4" w:rsidRPr="00B51B20" w:rsidRDefault="00AA47E4" w:rsidP="00AA47E4">
      <w:pPr>
        <w:spacing w:line="360" w:lineRule="auto"/>
        <w:rPr>
          <w:rFonts w:ascii="Palatino Linotype" w:hAnsi="Palatino Linotype" w:cs="Arial"/>
          <w:b/>
        </w:rPr>
      </w:pPr>
      <w:r w:rsidRPr="00B51B20">
        <w:rPr>
          <w:rFonts w:ascii="Palatino Linotype" w:hAnsi="Palatino Linotype" w:cs="Arial"/>
          <w:b/>
        </w:rPr>
        <w:t>a) Acto impugnado.</w:t>
      </w:r>
    </w:p>
    <w:p w14:paraId="3D647860" w14:textId="77777777" w:rsidR="00AA47E4" w:rsidRPr="00B51B20" w:rsidRDefault="00AA47E4" w:rsidP="005A59DC">
      <w:pPr>
        <w:spacing w:after="240"/>
        <w:ind w:left="851" w:right="900"/>
        <w:jc w:val="both"/>
        <w:rPr>
          <w:rFonts w:ascii="Palatino Linotype" w:hAnsi="Palatino Linotype"/>
          <w:i/>
          <w:color w:val="000000"/>
        </w:rPr>
      </w:pPr>
      <w:r w:rsidRPr="00B51B20">
        <w:rPr>
          <w:rFonts w:ascii="Palatino Linotype" w:hAnsi="Palatino Linotype"/>
          <w:i/>
          <w:color w:val="000000"/>
        </w:rPr>
        <w:t>“</w:t>
      </w:r>
      <w:r w:rsidR="008F2AD9" w:rsidRPr="00B51B20">
        <w:rPr>
          <w:rFonts w:ascii="Palatino Linotype" w:hAnsi="Palatino Linotype"/>
          <w:i/>
          <w:color w:val="000000"/>
        </w:rPr>
        <w:t>Negativa a la información a pesar de existir.</w:t>
      </w:r>
      <w:r w:rsidR="00523162" w:rsidRPr="00B51B20">
        <w:rPr>
          <w:rFonts w:ascii="Palatino Linotype" w:hAnsi="Palatino Linotype"/>
          <w:i/>
          <w:color w:val="000000"/>
        </w:rPr>
        <w:t>”</w:t>
      </w:r>
      <w:r w:rsidR="00AF6A2E" w:rsidRPr="00B51B20">
        <w:rPr>
          <w:rFonts w:ascii="Palatino Linotype" w:hAnsi="Palatino Linotype"/>
          <w:i/>
          <w:color w:val="000000"/>
        </w:rPr>
        <w:t xml:space="preserve"> </w:t>
      </w:r>
      <w:r w:rsidRPr="00B51B20">
        <w:rPr>
          <w:rFonts w:ascii="Palatino Linotype" w:hAnsi="Palatino Linotype"/>
          <w:i/>
          <w:color w:val="000000"/>
        </w:rPr>
        <w:t>(Sic)</w:t>
      </w:r>
    </w:p>
    <w:p w14:paraId="526ACAD3" w14:textId="77777777" w:rsidR="00AA47E4" w:rsidRPr="00B51B20" w:rsidRDefault="00AA47E4" w:rsidP="00AA47E4">
      <w:pPr>
        <w:spacing w:line="360" w:lineRule="auto"/>
        <w:jc w:val="both"/>
        <w:rPr>
          <w:rFonts w:ascii="Palatino Linotype" w:hAnsi="Palatino Linotype" w:cs="Arial"/>
          <w:b/>
        </w:rPr>
      </w:pPr>
      <w:r w:rsidRPr="00B51B20">
        <w:rPr>
          <w:rFonts w:ascii="Palatino Linotype" w:hAnsi="Palatino Linotype" w:cs="Arial"/>
          <w:b/>
        </w:rPr>
        <w:t>b) Motivos de inconformidad.</w:t>
      </w:r>
    </w:p>
    <w:p w14:paraId="65F3D339" w14:textId="77777777" w:rsidR="00AA47E4" w:rsidRPr="00B51B20" w:rsidRDefault="00AA47E4" w:rsidP="00AA47E4">
      <w:pPr>
        <w:spacing w:after="240"/>
        <w:ind w:left="851" w:right="900"/>
        <w:jc w:val="both"/>
        <w:rPr>
          <w:rFonts w:ascii="Palatino Linotype" w:hAnsi="Palatino Linotype"/>
          <w:i/>
          <w:color w:val="000000"/>
        </w:rPr>
      </w:pPr>
      <w:r w:rsidRPr="00B51B20">
        <w:rPr>
          <w:rFonts w:ascii="Palatino Linotype" w:hAnsi="Palatino Linotype"/>
          <w:i/>
          <w:color w:val="000000"/>
        </w:rPr>
        <w:t>“</w:t>
      </w:r>
      <w:r w:rsidR="008F2AD9" w:rsidRPr="00B51B20">
        <w:rPr>
          <w:rFonts w:ascii="Palatino Linotype" w:hAnsi="Palatino Linotype"/>
          <w:i/>
          <w:color w:val="000000"/>
        </w:rPr>
        <w:t xml:space="preserve">El Director de Administración del IEEM mediante el oficio 3675-2021 se justifica en la Cláusula Quinta de los Contratos individuales de trabajo del personal adscrito a los órganos desconcentrados así como al artículo 413 del Código Electoral del Estado de México así como a la Pandemia por COVID-19, para no entregar las listas de asistencia solicitadas, situaciones que no están previstas en el artículo 220 K de la Ley del Trabajo de los Servidores Públicos del Estado y Municipios que le imponen a las instituciones públicas la obligación de conservar y exhibir entre otros documentos, los de la siguiente fracción: “III. Controles de asistencia o la información magnética o electrónica de asistencia de los servidores públicos”. Por tal circunstancia, pido al Infoem a través de sus comisionados, que se ordene la entrega de la información y se notifique al órgano interno de control para que se finquen las responsabilidades administrativas contra el C. José Mondragón Pedrero, Director de </w:t>
      </w:r>
      <w:r w:rsidR="008F2AD9" w:rsidRPr="00B51B20">
        <w:rPr>
          <w:rFonts w:ascii="Palatino Linotype" w:hAnsi="Palatino Linotype"/>
          <w:i/>
          <w:color w:val="000000"/>
        </w:rPr>
        <w:lastRenderedPageBreak/>
        <w:t>Administración y los servidores electorales adicionales que resulten responsables por esta afectación a mi derecho humano a la información pública tomando en consideración las reincidencias y la falta de cuidado y diligencia al contestar las solicitudes de información pública.</w:t>
      </w:r>
      <w:r w:rsidR="00AF6A2E" w:rsidRPr="00B51B20">
        <w:rPr>
          <w:rFonts w:ascii="Palatino Linotype" w:hAnsi="Palatino Linotype"/>
          <w:i/>
          <w:color w:val="000000"/>
        </w:rPr>
        <w:t>” (</w:t>
      </w:r>
      <w:r w:rsidRPr="00B51B20">
        <w:rPr>
          <w:rFonts w:ascii="Palatino Linotype" w:hAnsi="Palatino Linotype"/>
          <w:i/>
          <w:color w:val="000000"/>
        </w:rPr>
        <w:t>Sic)</w:t>
      </w:r>
    </w:p>
    <w:p w14:paraId="55FB11FD" w14:textId="77777777" w:rsidR="005A59DC" w:rsidRPr="00B51B20" w:rsidRDefault="00607616" w:rsidP="00AA47E4">
      <w:pPr>
        <w:spacing w:before="240" w:after="240" w:line="360" w:lineRule="auto"/>
        <w:contextualSpacing/>
        <w:jc w:val="both"/>
        <w:rPr>
          <w:rFonts w:ascii="Palatino Linotype" w:eastAsia="Calibri" w:hAnsi="Palatino Linotype" w:cs="Arial"/>
        </w:rPr>
      </w:pPr>
      <w:r w:rsidRPr="00B51B20">
        <w:rPr>
          <w:rFonts w:ascii="Palatino Linotype" w:hAnsi="Palatino Linotype"/>
          <w:b/>
        </w:rPr>
        <w:t>4</w:t>
      </w:r>
      <w:r w:rsidR="00AA47E4" w:rsidRPr="00B51B20">
        <w:rPr>
          <w:rFonts w:ascii="Palatino Linotype" w:hAnsi="Palatino Linotype"/>
          <w:b/>
        </w:rPr>
        <w:t xml:space="preserve">. Turno. </w:t>
      </w:r>
      <w:r w:rsidR="00AA47E4" w:rsidRPr="00B51B20">
        <w:rPr>
          <w:rFonts w:ascii="Palatino Linotype" w:hAnsi="Palatino Linotype"/>
        </w:rPr>
        <w:t xml:space="preserve">De conformidad con el artículo 185, fracción I de la </w:t>
      </w:r>
      <w:r w:rsidR="00AA47E4" w:rsidRPr="00B51B20">
        <w:rPr>
          <w:rFonts w:ascii="Palatino Linotype" w:hAnsi="Palatino Linotype" w:cs="Arial"/>
        </w:rPr>
        <w:t>Ley de Transparencia y Acceso a la Información Pública del E</w:t>
      </w:r>
      <w:r w:rsidRPr="00B51B20">
        <w:rPr>
          <w:rFonts w:ascii="Palatino Linotype" w:hAnsi="Palatino Linotype" w:cs="Arial"/>
        </w:rPr>
        <w:t>stado de México y Municipios</w:t>
      </w:r>
      <w:r w:rsidR="00AA47E4" w:rsidRPr="00B51B20">
        <w:rPr>
          <w:rFonts w:ascii="Palatino Linotype" w:hAnsi="Palatino Linotype" w:cs="Arial"/>
        </w:rPr>
        <w:t xml:space="preserve">, el recurso de revisión número </w:t>
      </w:r>
      <w:r w:rsidR="008F2AD9" w:rsidRPr="00B51B20">
        <w:rPr>
          <w:rFonts w:ascii="Palatino Linotype" w:hAnsi="Palatino Linotype"/>
          <w:b/>
          <w:lang w:val="es-ES_tradnl"/>
        </w:rPr>
        <w:t>06104</w:t>
      </w:r>
      <w:r w:rsidR="00AF6A2E" w:rsidRPr="00B51B20">
        <w:rPr>
          <w:rFonts w:ascii="Palatino Linotype" w:hAnsi="Palatino Linotype"/>
          <w:b/>
          <w:lang w:val="es-ES_tradnl"/>
        </w:rPr>
        <w:t>/INFOEM/IP/RR/2021</w:t>
      </w:r>
      <w:r w:rsidR="008F2AD9" w:rsidRPr="00B51B20">
        <w:rPr>
          <w:rFonts w:ascii="Palatino Linotype" w:hAnsi="Palatino Linotype"/>
          <w:b/>
          <w:lang w:val="es-ES_tradnl"/>
        </w:rPr>
        <w:t>,</w:t>
      </w:r>
      <w:r w:rsidR="00AA47E4" w:rsidRPr="00B51B20">
        <w:rPr>
          <w:rFonts w:ascii="Palatino Linotype" w:hAnsi="Palatino Linotype"/>
          <w:b/>
          <w:lang w:val="es-ES_tradnl"/>
        </w:rPr>
        <w:t xml:space="preserve"> </w:t>
      </w:r>
      <w:r w:rsidR="00AA47E4" w:rsidRPr="00B51B20">
        <w:rPr>
          <w:rFonts w:ascii="Palatino Linotype" w:hAnsi="Palatino Linotype"/>
          <w:lang w:val="es-ES_tradnl"/>
        </w:rPr>
        <w:t>se turnó</w:t>
      </w:r>
      <w:r w:rsidR="00AA47E4" w:rsidRPr="00B51B20">
        <w:rPr>
          <w:rFonts w:ascii="Palatino Linotype" w:hAnsi="Palatino Linotype"/>
          <w:b/>
          <w:lang w:val="es-ES_tradnl"/>
        </w:rPr>
        <w:t xml:space="preserve"> </w:t>
      </w:r>
      <w:r w:rsidR="00AA47E4" w:rsidRPr="00B51B20">
        <w:rPr>
          <w:rFonts w:ascii="Palatino Linotype" w:eastAsia="Calibri" w:hAnsi="Palatino Linotype" w:cs="Arial"/>
        </w:rPr>
        <w:t xml:space="preserve">por el sistema electrónico del Instituto de Transparencia, Acceso a la Información Pública y Protección de Datos Personales del Estado de México y Municipios, </w:t>
      </w:r>
      <w:r w:rsidR="004F55A8" w:rsidRPr="00B51B20">
        <w:rPr>
          <w:rFonts w:ascii="Palatino Linotype" w:hAnsi="Palatino Linotype" w:cs="Arial"/>
        </w:rPr>
        <w:t>a la</w:t>
      </w:r>
      <w:r w:rsidR="004F55A8" w:rsidRPr="00B51B20">
        <w:rPr>
          <w:rFonts w:ascii="Palatino Linotype" w:eastAsia="Calibri" w:hAnsi="Palatino Linotype" w:cs="Arial"/>
        </w:rPr>
        <w:t xml:space="preserve"> Comisionada</w:t>
      </w:r>
      <w:r w:rsidR="00AA47E4" w:rsidRPr="00B51B20">
        <w:rPr>
          <w:rFonts w:ascii="Palatino Linotype" w:eastAsia="Calibri" w:hAnsi="Palatino Linotype" w:cs="Arial"/>
        </w:rPr>
        <w:t xml:space="preserve"> </w:t>
      </w:r>
      <w:r w:rsidR="002E0FEE" w:rsidRPr="00B51B20">
        <w:rPr>
          <w:rFonts w:ascii="Palatino Linotype" w:eastAsia="Calibri" w:hAnsi="Palatino Linotype" w:cs="Arial"/>
          <w:b/>
        </w:rPr>
        <w:t>Guadalupe Ramírez Peña,</w:t>
      </w:r>
      <w:r w:rsidR="00AA47E4" w:rsidRPr="00B51B20">
        <w:rPr>
          <w:rFonts w:ascii="Palatino Linotype" w:hAnsi="Palatino Linotype" w:cs="Arial"/>
        </w:rPr>
        <w:t xml:space="preserve"> para su análisis, estudio, elaboración del proyecto y </w:t>
      </w:r>
      <w:r w:rsidR="00AA47E4" w:rsidRPr="00B51B20">
        <w:rPr>
          <w:rFonts w:ascii="Palatino Linotype" w:eastAsia="Calibri" w:hAnsi="Palatino Linotype" w:cs="Arial"/>
        </w:rPr>
        <w:t>presentación a</w:t>
      </w:r>
      <w:r w:rsidRPr="00B51B20">
        <w:rPr>
          <w:rFonts w:ascii="Palatino Linotype" w:eastAsia="Calibri" w:hAnsi="Palatino Linotype" w:cs="Arial"/>
        </w:rPr>
        <w:t>nte el Pleno de este Instituto.</w:t>
      </w:r>
    </w:p>
    <w:p w14:paraId="1BEE0069" w14:textId="77777777" w:rsidR="00D37F34" w:rsidRPr="00B51B20" w:rsidRDefault="00D37F34" w:rsidP="00AA47E4">
      <w:pPr>
        <w:spacing w:before="240" w:after="240" w:line="360" w:lineRule="auto"/>
        <w:contextualSpacing/>
        <w:jc w:val="both"/>
        <w:rPr>
          <w:rFonts w:ascii="Palatino Linotype" w:eastAsia="Calibri" w:hAnsi="Palatino Linotype" w:cs="Arial"/>
        </w:rPr>
      </w:pPr>
    </w:p>
    <w:p w14:paraId="14928C65" w14:textId="77777777" w:rsidR="00AA47E4" w:rsidRPr="00B51B20" w:rsidRDefault="00607616" w:rsidP="00AA47E4">
      <w:pPr>
        <w:spacing w:before="240" w:after="240" w:line="360" w:lineRule="auto"/>
        <w:contextualSpacing/>
        <w:jc w:val="both"/>
        <w:rPr>
          <w:rFonts w:ascii="Palatino Linotype" w:hAnsi="Palatino Linotype" w:cs="Arial"/>
        </w:rPr>
      </w:pPr>
      <w:r w:rsidRPr="00B51B20">
        <w:rPr>
          <w:rFonts w:ascii="Palatino Linotype" w:hAnsi="Palatino Linotype" w:cs="Arial"/>
          <w:b/>
        </w:rPr>
        <w:t>5. Admisión del</w:t>
      </w:r>
      <w:r w:rsidR="00AA47E4" w:rsidRPr="00B51B20">
        <w:rPr>
          <w:rFonts w:ascii="Palatino Linotype" w:hAnsi="Palatino Linotype" w:cs="Arial"/>
          <w:b/>
        </w:rPr>
        <w:t xml:space="preserve"> recurso de revisión: </w:t>
      </w:r>
      <w:r w:rsidR="008F2AD9" w:rsidRPr="00B51B20">
        <w:rPr>
          <w:rFonts w:ascii="Palatino Linotype" w:hAnsi="Palatino Linotype" w:cs="Arial"/>
        </w:rPr>
        <w:t>En fecha nueve</w:t>
      </w:r>
      <w:r w:rsidR="00815FD8" w:rsidRPr="00B51B20">
        <w:rPr>
          <w:rFonts w:ascii="Palatino Linotype" w:hAnsi="Palatino Linotype" w:cs="Arial"/>
        </w:rPr>
        <w:t xml:space="preserve"> de diciembre</w:t>
      </w:r>
      <w:r w:rsidR="00367B45" w:rsidRPr="00B51B20">
        <w:rPr>
          <w:rFonts w:ascii="Palatino Linotype" w:hAnsi="Palatino Linotype" w:cs="Arial"/>
        </w:rPr>
        <w:t xml:space="preserve"> de</w:t>
      </w:r>
      <w:r w:rsidR="00AF6A2E" w:rsidRPr="00B51B20">
        <w:rPr>
          <w:rFonts w:ascii="Palatino Linotype" w:hAnsi="Palatino Linotype" w:cs="Arial"/>
        </w:rPr>
        <w:t>l dos mil veintiuno</w:t>
      </w:r>
      <w:r w:rsidR="000B2F29" w:rsidRPr="00B51B20">
        <w:rPr>
          <w:rFonts w:ascii="Palatino Linotype" w:hAnsi="Palatino Linotype" w:cs="Arial"/>
        </w:rPr>
        <w:t>, la Comisionada</w:t>
      </w:r>
      <w:r w:rsidR="00AA47E4" w:rsidRPr="00B51B20">
        <w:rPr>
          <w:rFonts w:ascii="Palatino Linotype" w:hAnsi="Palatino Linotype" w:cs="Arial"/>
        </w:rPr>
        <w:t xml:space="preserve"> ponente</w:t>
      </w:r>
      <w:r w:rsidRPr="00B51B20">
        <w:rPr>
          <w:rFonts w:ascii="Palatino Linotype" w:hAnsi="Palatino Linotype" w:cs="Arial"/>
        </w:rPr>
        <w:t>, admitió a trámite el</w:t>
      </w:r>
      <w:r w:rsidR="00AA47E4" w:rsidRPr="00B51B20">
        <w:rPr>
          <w:rFonts w:ascii="Palatino Linotype" w:hAnsi="Palatino Linotype" w:cs="Arial"/>
        </w:rPr>
        <w:t xml:space="preserve">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5520C6C5" w14:textId="77777777" w:rsidR="00B4797C" w:rsidRPr="00B51B20" w:rsidRDefault="00607616" w:rsidP="008E77DE">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rPr>
      </w:pPr>
      <w:r w:rsidRPr="00B51B20">
        <w:rPr>
          <w:rFonts w:ascii="Palatino Linotype" w:hAnsi="Palatino Linotype" w:cs="Arial"/>
          <w:b/>
          <w:sz w:val="24"/>
          <w:szCs w:val="24"/>
        </w:rPr>
        <w:t>6</w:t>
      </w:r>
      <w:r w:rsidR="00AA47E4" w:rsidRPr="00B51B20">
        <w:rPr>
          <w:rFonts w:ascii="Palatino Linotype" w:hAnsi="Palatino Linotype" w:cs="Arial"/>
          <w:b/>
          <w:sz w:val="24"/>
          <w:szCs w:val="24"/>
        </w:rPr>
        <w:t>. Manifestaciones</w:t>
      </w:r>
      <w:r w:rsidR="00AA47E4" w:rsidRPr="00B51B20">
        <w:rPr>
          <w:rFonts w:ascii="Palatino Linotype" w:hAnsi="Palatino Linotype" w:cs="Arial"/>
          <w:sz w:val="24"/>
          <w:szCs w:val="24"/>
        </w:rPr>
        <w:t xml:space="preserve">: </w:t>
      </w:r>
      <w:r w:rsidR="00D37F34" w:rsidRPr="00B51B20">
        <w:rPr>
          <w:rFonts w:ascii="Palatino Linotype" w:hAnsi="Palatino Linotype" w:cs="Arial"/>
          <w:sz w:val="24"/>
          <w:szCs w:val="24"/>
          <w:lang w:eastAsia="es-ES"/>
        </w:rPr>
        <w:t xml:space="preserve">De </w:t>
      </w:r>
      <w:r w:rsidR="004F55A8" w:rsidRPr="00B51B20">
        <w:rPr>
          <w:rFonts w:ascii="Palatino Linotype" w:hAnsi="Palatino Linotype" w:cs="Arial"/>
          <w:sz w:val="24"/>
          <w:szCs w:val="24"/>
          <w:lang w:eastAsia="es-ES"/>
        </w:rPr>
        <w:t>las constancias que integran el expediente</w:t>
      </w:r>
      <w:r w:rsidR="00D37F34" w:rsidRPr="00B51B20">
        <w:rPr>
          <w:rFonts w:ascii="Palatino Linotype" w:hAnsi="Palatino Linotype" w:cs="Arial"/>
          <w:sz w:val="24"/>
          <w:szCs w:val="24"/>
          <w:lang w:eastAsia="es-ES"/>
        </w:rPr>
        <w:t xml:space="preserve"> en que se actúan se advierte que </w:t>
      </w:r>
      <w:r w:rsidR="00204F0A" w:rsidRPr="00B51B20">
        <w:rPr>
          <w:rFonts w:ascii="Palatino Linotype" w:hAnsi="Palatino Linotype" w:cs="Arial"/>
          <w:sz w:val="24"/>
          <w:szCs w:val="24"/>
          <w:lang w:eastAsia="es-ES"/>
        </w:rPr>
        <w:t xml:space="preserve">la </w:t>
      </w:r>
      <w:r w:rsidR="004F55A8" w:rsidRPr="00B51B20">
        <w:rPr>
          <w:rFonts w:ascii="Palatino Linotype" w:hAnsi="Palatino Linotype" w:cs="Arial"/>
          <w:b/>
          <w:sz w:val="24"/>
          <w:szCs w:val="24"/>
          <w:lang w:eastAsia="es-ES"/>
        </w:rPr>
        <w:t>RECURRENTE</w:t>
      </w:r>
      <w:r w:rsidR="008E77DE" w:rsidRPr="00B51B20">
        <w:rPr>
          <w:rFonts w:ascii="Palatino Linotype" w:hAnsi="Palatino Linotype" w:cs="Arial"/>
          <w:sz w:val="24"/>
          <w:szCs w:val="24"/>
          <w:lang w:eastAsia="es-ES"/>
        </w:rPr>
        <w:t>, fue omisa en rendir sus alegatos.</w:t>
      </w:r>
    </w:p>
    <w:p w14:paraId="657669BA" w14:textId="6620B0A9" w:rsidR="008E77DE" w:rsidRPr="00B51B20" w:rsidRDefault="00D37F34" w:rsidP="008E77DE">
      <w:pPr>
        <w:spacing w:after="240" w:line="360" w:lineRule="auto"/>
        <w:contextualSpacing/>
        <w:jc w:val="both"/>
        <w:rPr>
          <w:rFonts w:ascii="Palatino Linotype" w:hAnsi="Palatino Linotype" w:cs="Arial"/>
        </w:rPr>
      </w:pPr>
      <w:r w:rsidRPr="00B51B20">
        <w:rPr>
          <w:rFonts w:ascii="Palatino Linotype" w:hAnsi="Palatino Linotype" w:cs="Arial"/>
        </w:rPr>
        <w:t xml:space="preserve">Por su parte, el </w:t>
      </w:r>
      <w:r w:rsidR="008E77DE" w:rsidRPr="00B51B20">
        <w:rPr>
          <w:rFonts w:ascii="Palatino Linotype" w:hAnsi="Palatino Linotype" w:cs="Arial"/>
          <w:b/>
        </w:rPr>
        <w:t>SUJETO OBLIGADO</w:t>
      </w:r>
      <w:r w:rsidR="008F2AD9" w:rsidRPr="00B51B20">
        <w:rPr>
          <w:rFonts w:ascii="Palatino Linotype" w:hAnsi="Palatino Linotype" w:cs="Arial"/>
        </w:rPr>
        <w:t xml:space="preserve"> en fecha catorce</w:t>
      </w:r>
      <w:r w:rsidR="008E77DE" w:rsidRPr="00B51B20">
        <w:rPr>
          <w:rFonts w:ascii="Palatino Linotype" w:hAnsi="Palatino Linotype" w:cs="Arial"/>
        </w:rPr>
        <w:t xml:space="preserve"> de diciembre</w:t>
      </w:r>
      <w:r w:rsidRPr="00B51B20">
        <w:rPr>
          <w:rFonts w:ascii="Palatino Linotype" w:hAnsi="Palatino Linotype" w:cs="Arial"/>
        </w:rPr>
        <w:t xml:space="preserve"> del dos mil veintiuno, remite en el apartado </w:t>
      </w:r>
      <w:r w:rsidR="008E77DE" w:rsidRPr="00B51B20">
        <w:rPr>
          <w:rFonts w:ascii="Palatino Linotype" w:hAnsi="Palatino Linotype" w:cs="Arial"/>
        </w:rPr>
        <w:t>de manifestaciones del SAIMEX los</w:t>
      </w:r>
      <w:r w:rsidRPr="00B51B20">
        <w:rPr>
          <w:rFonts w:ascii="Palatino Linotype" w:hAnsi="Palatino Linotype" w:cs="Arial"/>
        </w:rPr>
        <w:t xml:space="preserve"> archivo</w:t>
      </w:r>
      <w:r w:rsidR="008E77DE" w:rsidRPr="00B51B20">
        <w:rPr>
          <w:rFonts w:ascii="Palatino Linotype" w:hAnsi="Palatino Linotype" w:cs="Arial"/>
        </w:rPr>
        <w:t>s</w:t>
      </w:r>
      <w:r w:rsidRPr="00B51B20">
        <w:rPr>
          <w:rFonts w:ascii="Palatino Linotype" w:hAnsi="Palatino Linotype" w:cs="Arial"/>
        </w:rPr>
        <w:t xml:space="preserve"> electrónico</w:t>
      </w:r>
      <w:r w:rsidR="008E77DE" w:rsidRPr="00B51B20">
        <w:rPr>
          <w:rFonts w:ascii="Palatino Linotype" w:hAnsi="Palatino Linotype" w:cs="Arial"/>
        </w:rPr>
        <w:t>s</w:t>
      </w:r>
      <w:r w:rsidRPr="00B51B20">
        <w:rPr>
          <w:rFonts w:ascii="Palatino Linotype" w:hAnsi="Palatino Linotype" w:cs="Arial"/>
        </w:rPr>
        <w:t xml:space="preserve"> denominado</w:t>
      </w:r>
      <w:r w:rsidR="008E77DE" w:rsidRPr="00B51B20">
        <w:rPr>
          <w:rFonts w:ascii="Palatino Linotype" w:hAnsi="Palatino Linotype" w:cs="Arial"/>
        </w:rPr>
        <w:t>s</w:t>
      </w:r>
      <w:r w:rsidRPr="00B51B20">
        <w:rPr>
          <w:rFonts w:ascii="Palatino Linotype" w:hAnsi="Palatino Linotype" w:cs="Arial"/>
        </w:rPr>
        <w:t xml:space="preserve">: </w:t>
      </w:r>
      <w:r w:rsidRPr="00B51B20">
        <w:rPr>
          <w:rFonts w:ascii="Palatino Linotype" w:hAnsi="Palatino Linotype"/>
        </w:rPr>
        <w:t>“</w:t>
      </w:r>
      <w:hyperlink r:id="rId11" w:history="1">
        <w:r w:rsidR="008F2AD9" w:rsidRPr="00B51B20">
          <w:rPr>
            <w:rFonts w:ascii="Palatino Linotype" w:hAnsi="Palatino Linotype"/>
          </w:rPr>
          <w:t>INFORME JUSTIFICADO RR 6104-2021 UT.pdf</w:t>
        </w:r>
      </w:hyperlink>
      <w:r w:rsidRPr="00B51B20">
        <w:rPr>
          <w:rFonts w:ascii="Palatino Linotype" w:hAnsi="Palatino Linotype"/>
        </w:rPr>
        <w:t>”</w:t>
      </w:r>
      <w:r w:rsidR="008E77DE" w:rsidRPr="00B51B20">
        <w:rPr>
          <w:rFonts w:ascii="Palatino Linotype" w:hAnsi="Palatino Linotype" w:cs="Arial"/>
        </w:rPr>
        <w:t xml:space="preserve"> </w:t>
      </w:r>
      <w:r w:rsidR="003D4D8A" w:rsidRPr="00B51B20">
        <w:rPr>
          <w:rFonts w:ascii="Palatino Linotype" w:hAnsi="Palatino Linotype" w:cs="Arial"/>
        </w:rPr>
        <w:t>e</w:t>
      </w:r>
      <w:r w:rsidR="008E77DE" w:rsidRPr="00B51B20">
        <w:rPr>
          <w:rFonts w:ascii="Palatino Linotype" w:hAnsi="Palatino Linotype" w:cs="Arial"/>
        </w:rPr>
        <w:t xml:space="preserve"> “</w:t>
      </w:r>
      <w:hyperlink r:id="rId12" w:history="1">
        <w:r w:rsidR="008F2AD9" w:rsidRPr="00B51B20">
          <w:rPr>
            <w:rFonts w:ascii="Palatino Linotype" w:hAnsi="Palatino Linotype"/>
          </w:rPr>
          <w:br/>
          <w:t>INFORME JUSTIFICADO RR 6104-2021 DA.pdf</w:t>
        </w:r>
      </w:hyperlink>
      <w:r w:rsidR="008F2AD9" w:rsidRPr="00B51B20">
        <w:rPr>
          <w:rFonts w:ascii="Palatino Linotype" w:hAnsi="Palatino Linotype"/>
        </w:rPr>
        <w:t xml:space="preserve">”, </w:t>
      </w:r>
      <w:hyperlink r:id="rId13" w:history="1"/>
      <w:r w:rsidR="008E77DE" w:rsidRPr="00B51B20">
        <w:rPr>
          <w:rFonts w:ascii="Palatino Linotype" w:hAnsi="Palatino Linotype" w:cs="Arial"/>
        </w:rPr>
        <w:t xml:space="preserve">los cuales se pusieron a la vista de la </w:t>
      </w:r>
      <w:r w:rsidR="008E77DE" w:rsidRPr="00B51B20">
        <w:rPr>
          <w:rFonts w:ascii="Palatino Linotype" w:hAnsi="Palatino Linotype" w:cs="Arial"/>
          <w:b/>
        </w:rPr>
        <w:t>RECURRENTE</w:t>
      </w:r>
      <w:r w:rsidR="008E77DE" w:rsidRPr="00B51B20">
        <w:rPr>
          <w:rFonts w:ascii="Palatino Linotype" w:hAnsi="Palatino Linotype" w:cs="Arial"/>
        </w:rPr>
        <w:t xml:space="preserve">, en términos de la fracción III del artículo 185 de la Ley de </w:t>
      </w:r>
      <w:r w:rsidR="008E77DE" w:rsidRPr="00B51B20">
        <w:rPr>
          <w:rFonts w:ascii="Palatino Linotype" w:hAnsi="Palatino Linotype" w:cs="Arial"/>
        </w:rPr>
        <w:lastRenderedPageBreak/>
        <w:t>Transparencia y Acceso a la Información Pública del Estado de México y Municipios; para que en el término de tres días manifestara lo que a su derecho convenga; sin que la recurrente hiciera manifestación alguna.</w:t>
      </w:r>
    </w:p>
    <w:p w14:paraId="0AC2EF92" w14:textId="77777777" w:rsidR="00A77769" w:rsidRPr="00B51B20" w:rsidRDefault="00A77769" w:rsidP="008E77DE">
      <w:pPr>
        <w:spacing w:line="360" w:lineRule="auto"/>
        <w:contextualSpacing/>
        <w:jc w:val="both"/>
        <w:rPr>
          <w:rFonts w:ascii="Palatino Linotype" w:hAnsi="Palatino Linotype"/>
          <w:b/>
        </w:rPr>
      </w:pPr>
    </w:p>
    <w:p w14:paraId="736D7633" w14:textId="77777777" w:rsidR="00AA47E4" w:rsidRPr="00B51B20" w:rsidRDefault="008E77DE" w:rsidP="00AA47E4">
      <w:pPr>
        <w:spacing w:line="360" w:lineRule="auto"/>
        <w:contextualSpacing/>
        <w:jc w:val="both"/>
        <w:rPr>
          <w:rFonts w:ascii="Palatino Linotype" w:hAnsi="Palatino Linotype"/>
        </w:rPr>
      </w:pPr>
      <w:r w:rsidRPr="00B51B20">
        <w:rPr>
          <w:rFonts w:ascii="Palatino Linotype" w:hAnsi="Palatino Linotype"/>
          <w:b/>
        </w:rPr>
        <w:t>7</w:t>
      </w:r>
      <w:r w:rsidR="00523162" w:rsidRPr="00B51B20">
        <w:rPr>
          <w:rFonts w:ascii="Palatino Linotype" w:hAnsi="Palatino Linotype"/>
          <w:b/>
        </w:rPr>
        <w:t xml:space="preserve">.- </w:t>
      </w:r>
      <w:r w:rsidR="00AA47E4" w:rsidRPr="00B51B20">
        <w:rPr>
          <w:rFonts w:ascii="Palatino Linotype" w:hAnsi="Palatino Linotype"/>
          <w:b/>
        </w:rPr>
        <w:t xml:space="preserve">Cierre de instrucción. </w:t>
      </w:r>
      <w:r w:rsidR="003675B4" w:rsidRPr="00B51B20">
        <w:rPr>
          <w:rFonts w:ascii="Palatino Linotype" w:hAnsi="Palatino Linotype"/>
        </w:rPr>
        <w:t>En fecha</w:t>
      </w:r>
      <w:r w:rsidR="000B2F29" w:rsidRPr="00B51B20">
        <w:rPr>
          <w:rFonts w:ascii="Palatino Linotype" w:hAnsi="Palatino Linotype"/>
        </w:rPr>
        <w:t xml:space="preserve"> </w:t>
      </w:r>
      <w:r w:rsidRPr="00B51B20">
        <w:rPr>
          <w:rFonts w:ascii="Palatino Linotype" w:hAnsi="Palatino Linotype"/>
        </w:rPr>
        <w:t>ocho</w:t>
      </w:r>
      <w:r w:rsidR="008F2AD9" w:rsidRPr="00B51B20">
        <w:rPr>
          <w:rFonts w:ascii="Palatino Linotype" w:hAnsi="Palatino Linotype"/>
        </w:rPr>
        <w:t xml:space="preserve"> de febrero</w:t>
      </w:r>
      <w:r w:rsidR="003675B4" w:rsidRPr="00B51B20">
        <w:rPr>
          <w:rFonts w:ascii="Palatino Linotype" w:hAnsi="Palatino Linotype"/>
        </w:rPr>
        <w:t xml:space="preserve"> de</w:t>
      </w:r>
      <w:r w:rsidR="00B4797C" w:rsidRPr="00B51B20">
        <w:rPr>
          <w:rFonts w:ascii="Palatino Linotype" w:hAnsi="Palatino Linotype"/>
        </w:rPr>
        <w:t>l dos mil veintidós la Comisionada</w:t>
      </w:r>
      <w:r w:rsidR="00523162" w:rsidRPr="00B51B20">
        <w:rPr>
          <w:rFonts w:ascii="Palatino Linotype" w:hAnsi="Palatino Linotype"/>
        </w:rPr>
        <w:t xml:space="preserve"> ponente determinó </w:t>
      </w:r>
      <w:r w:rsidR="00AA47E4" w:rsidRPr="00B51B20">
        <w:rPr>
          <w:rFonts w:ascii="Palatino Linotype" w:hAnsi="Palatino Linotype"/>
        </w:rPr>
        <w:t>el cierre de instrucción en términos de la fracción VI del artículo 185 de la Ley de Transparencia y Acceso a la Información Pública del Estado de México y Municipios.</w:t>
      </w:r>
    </w:p>
    <w:p w14:paraId="495C6B47" w14:textId="77777777" w:rsidR="00DD4491" w:rsidRPr="00B51B20" w:rsidRDefault="00DD4491" w:rsidP="00AA47E4">
      <w:pPr>
        <w:spacing w:line="360" w:lineRule="auto"/>
        <w:contextualSpacing/>
        <w:jc w:val="both"/>
        <w:rPr>
          <w:rFonts w:ascii="Palatino Linotype" w:hAnsi="Palatino Linotype"/>
        </w:rPr>
      </w:pPr>
    </w:p>
    <w:p w14:paraId="798C5A3B" w14:textId="77777777" w:rsidR="00DD4491" w:rsidRPr="00B51B20" w:rsidRDefault="00DD4491" w:rsidP="00DD4491">
      <w:pPr>
        <w:spacing w:after="240" w:line="360" w:lineRule="auto"/>
        <w:jc w:val="both"/>
        <w:rPr>
          <w:rFonts w:ascii="Palatino Linotype" w:eastAsia="Palatino Linotype" w:hAnsi="Palatino Linotype" w:cs="Palatino Linotype"/>
        </w:rPr>
      </w:pPr>
      <w:r w:rsidRPr="00B51B20">
        <w:rPr>
          <w:rFonts w:ascii="Palatino Linotype" w:eastAsia="Palatino Linotype" w:hAnsi="Palatino Linotype" w:cs="Palatino Linotype"/>
          <w:b/>
        </w:rPr>
        <w:t>8. Ampliación del plazo para emitir resolución</w:t>
      </w:r>
      <w:r w:rsidRPr="00B51B20">
        <w:rPr>
          <w:rFonts w:ascii="Palatino Linotype" w:eastAsia="Palatino Linotype" w:hAnsi="Palatino Linotype" w:cs="Palatino Linotype"/>
        </w:rPr>
        <w:t>. En fecha ocho de febrero del dos mil veintidós,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a fin de realizar un mejor estudio del asunto.</w:t>
      </w:r>
    </w:p>
    <w:p w14:paraId="186E88AA" w14:textId="77777777" w:rsidR="003675B4" w:rsidRPr="00B51B20" w:rsidRDefault="003675B4" w:rsidP="003B19DA">
      <w:pPr>
        <w:pStyle w:val="Prrafodelista"/>
        <w:widowControl w:val="0"/>
        <w:tabs>
          <w:tab w:val="left" w:pos="709"/>
        </w:tabs>
        <w:autoSpaceDE w:val="0"/>
        <w:autoSpaceDN w:val="0"/>
        <w:adjustRightInd w:val="0"/>
        <w:spacing w:before="120" w:after="240" w:line="360" w:lineRule="auto"/>
        <w:ind w:left="0"/>
        <w:contextualSpacing/>
        <w:jc w:val="center"/>
        <w:rPr>
          <w:rFonts w:ascii="Palatino Linotype" w:hAnsi="Palatino Linotype" w:cs="Arial"/>
          <w:b/>
          <w:sz w:val="24"/>
          <w:szCs w:val="24"/>
        </w:rPr>
      </w:pPr>
    </w:p>
    <w:p w14:paraId="637DA5B7" w14:textId="77777777" w:rsidR="002E5396" w:rsidRPr="00B51B20" w:rsidRDefault="00F2018E" w:rsidP="003B19DA">
      <w:pPr>
        <w:pStyle w:val="Prrafodelista"/>
        <w:widowControl w:val="0"/>
        <w:tabs>
          <w:tab w:val="left" w:pos="709"/>
        </w:tabs>
        <w:autoSpaceDE w:val="0"/>
        <w:autoSpaceDN w:val="0"/>
        <w:adjustRightInd w:val="0"/>
        <w:spacing w:before="120" w:after="240" w:line="360" w:lineRule="auto"/>
        <w:ind w:left="0"/>
        <w:jc w:val="center"/>
        <w:rPr>
          <w:rFonts w:ascii="Palatino Linotype" w:hAnsi="Palatino Linotype" w:cs="Arial"/>
          <w:b/>
          <w:sz w:val="24"/>
          <w:szCs w:val="24"/>
        </w:rPr>
      </w:pPr>
      <w:r w:rsidRPr="00B51B20">
        <w:rPr>
          <w:rFonts w:ascii="Palatino Linotype" w:hAnsi="Palatino Linotype" w:cs="Arial"/>
          <w:b/>
          <w:sz w:val="24"/>
          <w:szCs w:val="24"/>
        </w:rPr>
        <w:t>II</w:t>
      </w:r>
      <w:r w:rsidRPr="00B51B20">
        <w:rPr>
          <w:rFonts w:ascii="Palatino Linotype" w:hAnsi="Palatino Linotype" w:cs="Arial"/>
          <w:b/>
          <w:sz w:val="24"/>
          <w:szCs w:val="24"/>
        </w:rPr>
        <w:tab/>
      </w:r>
      <w:r w:rsidR="002E5396" w:rsidRPr="00B51B20">
        <w:rPr>
          <w:rFonts w:ascii="Palatino Linotype" w:hAnsi="Palatino Linotype" w:cs="Arial"/>
          <w:b/>
          <w:sz w:val="24"/>
          <w:szCs w:val="24"/>
        </w:rPr>
        <w:t>C O N S I D E R A N D O:</w:t>
      </w:r>
    </w:p>
    <w:p w14:paraId="664B5404" w14:textId="77777777" w:rsidR="002E5396" w:rsidRPr="00B51B20" w:rsidRDefault="002E5396" w:rsidP="002E5396">
      <w:pPr>
        <w:spacing w:before="240" w:after="240" w:line="360" w:lineRule="auto"/>
        <w:jc w:val="both"/>
        <w:rPr>
          <w:rFonts w:ascii="Palatino Linotype" w:hAnsi="Palatino Linotype"/>
          <w:shd w:val="clear" w:color="auto" w:fill="FFFFFF"/>
        </w:rPr>
      </w:pPr>
      <w:r w:rsidRPr="00B51B20">
        <w:rPr>
          <w:rFonts w:ascii="Palatino Linotype" w:hAnsi="Palatino Linotype" w:cs="Arial"/>
          <w:b/>
        </w:rPr>
        <w:t xml:space="preserve">Primero. Competencia. </w:t>
      </w:r>
      <w:r w:rsidRPr="00B51B20">
        <w:rPr>
          <w:rFonts w:ascii="Palatino Linotype" w:hAnsi="Palatino Linotype"/>
          <w:shd w:val="clear" w:color="auto" w:fill="FFFFFF"/>
        </w:rPr>
        <w:t>El Instituto de Transparencia, Acceso a la Información Pública y Protección de Datos Personales del Estado de México y Municipios, es compe</w:t>
      </w:r>
      <w:r w:rsidR="00275567" w:rsidRPr="00B51B20">
        <w:rPr>
          <w:rFonts w:ascii="Palatino Linotype" w:hAnsi="Palatino Linotype"/>
          <w:shd w:val="clear" w:color="auto" w:fill="FFFFFF"/>
        </w:rPr>
        <w:t>t</w:t>
      </w:r>
      <w:r w:rsidR="004F55A8" w:rsidRPr="00B51B20">
        <w:rPr>
          <w:rFonts w:ascii="Palatino Linotype" w:hAnsi="Palatino Linotype"/>
          <w:shd w:val="clear" w:color="auto" w:fill="FFFFFF"/>
        </w:rPr>
        <w:t>ente para conocer y resolver el</w:t>
      </w:r>
      <w:r w:rsidRPr="00B51B20">
        <w:rPr>
          <w:rFonts w:ascii="Palatino Linotype" w:hAnsi="Palatino Linotype"/>
          <w:shd w:val="clear" w:color="auto" w:fill="FFFFFF"/>
        </w:rPr>
        <w:t xml:space="preserve"> presente recurso de revisión interpuesto por la parte </w:t>
      </w:r>
      <w:r w:rsidR="004F55A8" w:rsidRPr="00B51B20">
        <w:rPr>
          <w:rFonts w:ascii="Palatino Linotype" w:hAnsi="Palatino Linotype"/>
          <w:b/>
          <w:shd w:val="clear" w:color="auto" w:fill="FFFFFF"/>
        </w:rPr>
        <w:t>RECURRENTE</w:t>
      </w:r>
      <w:r w:rsidRPr="00B51B20">
        <w:rPr>
          <w:rFonts w:ascii="Palatino Linotype" w:hAnsi="Palatino Linotype"/>
          <w:shd w:val="clear" w:color="auto" w:fill="FFFFFF"/>
        </w:rPr>
        <w:t xml:space="preserve">, conforme a lo dispuesto en los artículos 6, apartado A de la Constitución Política de los Estados Unidos Mexicanos; 5, párrafos </w:t>
      </w:r>
      <w:r w:rsidR="00B4797C" w:rsidRPr="00B51B20">
        <w:rPr>
          <w:rFonts w:ascii="Palatino Linotype" w:hAnsi="Palatino Linotype"/>
          <w:shd w:val="clear" w:color="auto" w:fill="FFFFFF"/>
        </w:rPr>
        <w:t xml:space="preserve">trigésimo, </w:t>
      </w:r>
      <w:r w:rsidR="00EB2E0F" w:rsidRPr="00B51B20">
        <w:rPr>
          <w:rFonts w:ascii="Palatino Linotype" w:hAnsi="Palatino Linotype"/>
          <w:shd w:val="clear" w:color="auto" w:fill="FFFFFF"/>
        </w:rPr>
        <w:t xml:space="preserve"> trigésimo primero</w:t>
      </w:r>
      <w:r w:rsidR="00B4797C" w:rsidRPr="00B51B20">
        <w:rPr>
          <w:rFonts w:ascii="Palatino Linotype" w:hAnsi="Palatino Linotype"/>
          <w:shd w:val="clear" w:color="auto" w:fill="FFFFFF"/>
        </w:rPr>
        <w:t xml:space="preserve"> y trigésimo segundo</w:t>
      </w:r>
      <w:r w:rsidRPr="00B51B20">
        <w:rPr>
          <w:rFonts w:ascii="Palatino Linotype" w:hAnsi="Palatino Linotype"/>
          <w:shd w:val="clear" w:color="auto" w:fill="FFFFFF"/>
        </w:rPr>
        <w:t xml:space="preserve">, fracciones IV y V de la Constitución Política del Estado Libre y Soberano de México; 1, 2, fracción II; 13,  29, 36, fracciones I y II; </w:t>
      </w:r>
      <w:r w:rsidRPr="00B51B20">
        <w:rPr>
          <w:rFonts w:ascii="Palatino Linotype" w:hAnsi="Palatino Linotype"/>
          <w:shd w:val="clear" w:color="auto" w:fill="FFFFFF"/>
        </w:rPr>
        <w:lastRenderedPageBreak/>
        <w:t>176, 178, 179, 181 párrafo tercero y 185 de la Ley Transparencia y Acceso a la Información Pública del Estado de México y Municipios;</w:t>
      </w:r>
      <w:r w:rsidRPr="00B51B20">
        <w:rPr>
          <w:rStyle w:val="apple-converted-space"/>
          <w:rFonts w:ascii="Palatino Linotype" w:hAnsi="Palatino Linotype"/>
          <w:shd w:val="clear" w:color="auto" w:fill="FFFFFF"/>
        </w:rPr>
        <w:t xml:space="preserve"> </w:t>
      </w:r>
      <w:r w:rsidRPr="00B51B20">
        <w:rPr>
          <w:rFonts w:ascii="Palatino Linotype" w:hAnsi="Palatino Linotype" w:cs="Arial"/>
        </w:rPr>
        <w:t xml:space="preserve">9, fracciones I y XXIV y 11 </w:t>
      </w:r>
      <w:r w:rsidRPr="00B51B20">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72E304ED" w14:textId="77777777" w:rsidR="00EB2E0F" w:rsidRPr="00B51B20" w:rsidRDefault="002E5396" w:rsidP="00EB2E0F">
      <w:pPr>
        <w:spacing w:before="240" w:after="240" w:line="360" w:lineRule="auto"/>
        <w:jc w:val="both"/>
        <w:rPr>
          <w:rFonts w:ascii="Palatino Linotype" w:eastAsia="Palatino Linotype" w:hAnsi="Palatino Linotype" w:cs="Palatino Linotype"/>
        </w:rPr>
      </w:pPr>
      <w:r w:rsidRPr="00B51B20">
        <w:rPr>
          <w:rFonts w:ascii="Palatino Linotype" w:hAnsi="Palatino Linotype" w:cs="Arial"/>
          <w:b/>
        </w:rPr>
        <w:t>Segundo. Oportunidad y Procedibilidad del Recurso de Revisión</w:t>
      </w:r>
      <w:r w:rsidRPr="00B51B20">
        <w:rPr>
          <w:rFonts w:ascii="Palatino Linotype" w:hAnsi="Palatino Linotype" w:cs="Arial"/>
        </w:rPr>
        <w:t>. De conformidad con los requisitos de Oportunidad y Pro</w:t>
      </w:r>
      <w:r w:rsidR="004F55A8" w:rsidRPr="00B51B20">
        <w:rPr>
          <w:rFonts w:ascii="Palatino Linotype" w:hAnsi="Palatino Linotype" w:cs="Arial"/>
        </w:rPr>
        <w:t>cedibilidad que debe reunir el recurso de revisión interpuesto</w:t>
      </w:r>
      <w:r w:rsidRPr="00B51B20">
        <w:rPr>
          <w:rFonts w:ascii="Palatino Linotype" w:hAnsi="Palatino Linotype" w:cs="Arial"/>
        </w:rPr>
        <w:t xml:space="preserve">, previstos en los artículos 178 y 180 de la </w:t>
      </w:r>
      <w:r w:rsidRPr="00B51B20">
        <w:rPr>
          <w:rFonts w:ascii="Palatino Linotype" w:hAnsi="Palatino Linotype" w:cs="Arial"/>
          <w:lang w:eastAsia="es-MX"/>
        </w:rPr>
        <w:t xml:space="preserve">Ley de Transparencia y Acceso a la Información Pública del Estado de México y Municipios; </w:t>
      </w:r>
      <w:r w:rsidR="00275567" w:rsidRPr="00B51B20">
        <w:rPr>
          <w:rFonts w:ascii="Palatino Linotype" w:hAnsi="Palatino Linotype" w:cs="Arial"/>
          <w:lang w:eastAsia="es-MX"/>
        </w:rPr>
        <w:t>e</w:t>
      </w:r>
      <w:r w:rsidR="003675B4" w:rsidRPr="00B51B20">
        <w:rPr>
          <w:rFonts w:ascii="Palatino Linotype" w:hAnsi="Palatino Linotype" w:cs="Arial"/>
          <w:lang w:eastAsia="es-MX"/>
        </w:rPr>
        <w:t>n la especie se advierte que el</w:t>
      </w:r>
      <w:r w:rsidRPr="00B51B20">
        <w:rPr>
          <w:rFonts w:ascii="Palatino Linotype" w:hAnsi="Palatino Linotype" w:cs="Arial"/>
          <w:lang w:eastAsia="es-MX"/>
        </w:rPr>
        <w:t xml:space="preserve"> presente medio de impugnación fue interpuesto dentro del plazo de quince días previsto en el primer artículo de referencia; toda vez que el </w:t>
      </w:r>
      <w:r w:rsidR="004F55A8" w:rsidRPr="00B51B20">
        <w:rPr>
          <w:rFonts w:ascii="Palatino Linotype" w:hAnsi="Palatino Linotype" w:cs="Arial"/>
          <w:b/>
          <w:lang w:eastAsia="es-MX"/>
        </w:rPr>
        <w:t>SUJETO OBLIGADO</w:t>
      </w:r>
      <w:r w:rsidR="004F55A8" w:rsidRPr="00B51B20">
        <w:rPr>
          <w:rFonts w:ascii="Palatino Linotype" w:hAnsi="Palatino Linotype" w:cs="Arial"/>
          <w:lang w:eastAsia="es-MX"/>
        </w:rPr>
        <w:t xml:space="preserve"> </w:t>
      </w:r>
      <w:r w:rsidRPr="00B51B20">
        <w:rPr>
          <w:rFonts w:ascii="Palatino Linotype" w:hAnsi="Palatino Linotype" w:cs="Arial"/>
          <w:lang w:eastAsia="es-MX"/>
        </w:rPr>
        <w:t xml:space="preserve">emitió su respuesta a la solicitud planteada </w:t>
      </w:r>
      <w:r w:rsidR="00FA544C" w:rsidRPr="00B51B20">
        <w:rPr>
          <w:rFonts w:ascii="Palatino Linotype" w:hAnsi="Palatino Linotype" w:cs="Arial"/>
          <w:lang w:eastAsia="es-MX"/>
        </w:rPr>
        <w:t>po</w:t>
      </w:r>
      <w:r w:rsidR="00AD1F1D" w:rsidRPr="00B51B20">
        <w:rPr>
          <w:rFonts w:ascii="Palatino Linotype" w:hAnsi="Palatino Linotype" w:cs="Arial"/>
          <w:lang w:eastAsia="es-MX"/>
        </w:rPr>
        <w:t>r la</w:t>
      </w:r>
      <w:r w:rsidR="00AA23D5" w:rsidRPr="00B51B20">
        <w:rPr>
          <w:rFonts w:ascii="Palatino Linotype" w:hAnsi="Palatino Linotype" w:cs="Arial"/>
          <w:lang w:eastAsia="es-MX"/>
        </w:rPr>
        <w:t xml:space="preserve"> </w:t>
      </w:r>
      <w:r w:rsidR="008F2AD9" w:rsidRPr="00B51B20">
        <w:rPr>
          <w:rFonts w:ascii="Palatino Linotype" w:hAnsi="Palatino Linotype" w:cs="Arial"/>
          <w:lang w:eastAsia="es-MX"/>
        </w:rPr>
        <w:t>solicitante en fecha veintidós</w:t>
      </w:r>
      <w:r w:rsidR="008E77DE" w:rsidRPr="00B51B20">
        <w:rPr>
          <w:rFonts w:ascii="Palatino Linotype" w:hAnsi="Palatino Linotype" w:cs="Arial"/>
          <w:lang w:eastAsia="es-MX"/>
        </w:rPr>
        <w:t xml:space="preserve"> de noviembre</w:t>
      </w:r>
      <w:r w:rsidR="003675B4" w:rsidRPr="00B51B20">
        <w:rPr>
          <w:rFonts w:ascii="Palatino Linotype" w:hAnsi="Palatino Linotype" w:cs="Arial"/>
          <w:lang w:eastAsia="es-MX"/>
        </w:rPr>
        <w:t xml:space="preserve"> de</w:t>
      </w:r>
      <w:r w:rsidR="00EB2E0F" w:rsidRPr="00B51B20">
        <w:rPr>
          <w:rFonts w:ascii="Palatino Linotype" w:hAnsi="Palatino Linotype" w:cs="Arial"/>
          <w:lang w:eastAsia="es-MX"/>
        </w:rPr>
        <w:t>l año dos mil veintiuno</w:t>
      </w:r>
      <w:r w:rsidRPr="00B51B20">
        <w:rPr>
          <w:rFonts w:ascii="Palatino Linotype" w:hAnsi="Palatino Linotype" w:cs="Arial"/>
          <w:lang w:eastAsia="es-MX"/>
        </w:rPr>
        <w:t xml:space="preserve"> y </w:t>
      </w:r>
      <w:r w:rsidR="00204F0A" w:rsidRPr="00B51B20">
        <w:rPr>
          <w:rFonts w:ascii="Palatino Linotype" w:hAnsi="Palatino Linotype" w:cs="Arial"/>
          <w:lang w:eastAsia="es-MX"/>
        </w:rPr>
        <w:t>la</w:t>
      </w:r>
      <w:r w:rsidR="004F55A8" w:rsidRPr="00B51B20">
        <w:rPr>
          <w:rFonts w:ascii="Palatino Linotype" w:hAnsi="Palatino Linotype" w:cs="Arial"/>
          <w:b/>
          <w:lang w:eastAsia="es-MX"/>
        </w:rPr>
        <w:t xml:space="preserve"> RECURRENTE</w:t>
      </w:r>
      <w:r w:rsidR="004F55A8" w:rsidRPr="00B51B20">
        <w:rPr>
          <w:rFonts w:ascii="Palatino Linotype" w:hAnsi="Palatino Linotype" w:cs="Arial"/>
          <w:lang w:eastAsia="es-MX"/>
        </w:rPr>
        <w:t xml:space="preserve"> </w:t>
      </w:r>
      <w:r w:rsidRPr="00B51B20">
        <w:rPr>
          <w:rFonts w:ascii="Palatino Linotype" w:hAnsi="Palatino Linotype" w:cs="Arial"/>
          <w:lang w:eastAsia="es-MX"/>
        </w:rPr>
        <w:t xml:space="preserve">presentó </w:t>
      </w:r>
      <w:r w:rsidR="00F0712F" w:rsidRPr="00B51B20">
        <w:rPr>
          <w:rFonts w:ascii="Palatino Linotype" w:hAnsi="Palatino Linotype" w:cs="Arial"/>
          <w:lang w:eastAsia="es-MX"/>
        </w:rPr>
        <w:t>su</w:t>
      </w:r>
      <w:r w:rsidR="00275567" w:rsidRPr="00B51B20">
        <w:rPr>
          <w:rFonts w:ascii="Palatino Linotype" w:hAnsi="Palatino Linotype" w:cs="Arial"/>
          <w:lang w:eastAsia="es-MX"/>
        </w:rPr>
        <w:t xml:space="preserve"> </w:t>
      </w:r>
      <w:r w:rsidRPr="00B51B20">
        <w:rPr>
          <w:rFonts w:ascii="Palatino Linotype" w:hAnsi="Palatino Linotype" w:cs="Arial"/>
          <w:lang w:eastAsia="es-MX"/>
        </w:rPr>
        <w:t>rec</w:t>
      </w:r>
      <w:r w:rsidR="008035A8" w:rsidRPr="00B51B20">
        <w:rPr>
          <w:rFonts w:ascii="Palatino Linotype" w:hAnsi="Palatino Linotype" w:cs="Arial"/>
          <w:lang w:eastAsia="es-MX"/>
        </w:rPr>
        <w:t>urso</w:t>
      </w:r>
      <w:r w:rsidR="00F0712F" w:rsidRPr="00B51B20">
        <w:rPr>
          <w:rFonts w:ascii="Palatino Linotype" w:hAnsi="Palatino Linotype" w:cs="Arial"/>
          <w:lang w:eastAsia="es-MX"/>
        </w:rPr>
        <w:t xml:space="preserve"> de revisión el </w:t>
      </w:r>
      <w:r w:rsidR="008F2AD9" w:rsidRPr="00B51B20">
        <w:rPr>
          <w:rFonts w:ascii="Palatino Linotype" w:hAnsi="Palatino Linotype" w:cs="Arial"/>
          <w:lang w:eastAsia="es-MX"/>
        </w:rPr>
        <w:t>seis</w:t>
      </w:r>
      <w:r w:rsidR="008E77DE" w:rsidRPr="00B51B20">
        <w:rPr>
          <w:rFonts w:ascii="Palatino Linotype" w:hAnsi="Palatino Linotype" w:cs="Arial"/>
          <w:lang w:eastAsia="es-MX"/>
        </w:rPr>
        <w:t xml:space="preserve"> de diciembre</w:t>
      </w:r>
      <w:r w:rsidR="00EB2E0F" w:rsidRPr="00B51B20">
        <w:rPr>
          <w:rFonts w:ascii="Palatino Linotype" w:hAnsi="Palatino Linotype" w:cs="Arial"/>
          <w:lang w:eastAsia="es-MX"/>
        </w:rPr>
        <w:t xml:space="preserve"> del mismo año</w:t>
      </w:r>
      <w:r w:rsidR="008035A8" w:rsidRPr="00B51B20">
        <w:rPr>
          <w:rFonts w:ascii="Palatino Linotype" w:hAnsi="Palatino Linotype" w:cs="Arial"/>
          <w:lang w:eastAsia="es-MX"/>
        </w:rPr>
        <w:t xml:space="preserve">, </w:t>
      </w:r>
      <w:r w:rsidR="008F2AD9" w:rsidRPr="00B51B20">
        <w:rPr>
          <w:rFonts w:ascii="Palatino Linotype" w:eastAsia="Palatino Linotype" w:hAnsi="Palatino Linotype" w:cs="Palatino Linotype"/>
        </w:rPr>
        <w:t>esto es al décimo</w:t>
      </w:r>
      <w:r w:rsidR="00EB2E0F" w:rsidRPr="00B51B20">
        <w:rPr>
          <w:rFonts w:ascii="Palatino Linotype" w:eastAsia="Palatino Linotype" w:hAnsi="Palatino Linotype" w:cs="Palatino Linotype"/>
        </w:rPr>
        <w:t xml:space="preserve"> día hábil siguiente de aquel en que tuvo conocimiento de la respuesta; evidenciándose que la interposición del recurso se encuentra dentro de los márgenes temporales previstos en el citado precepto legal.</w:t>
      </w:r>
    </w:p>
    <w:p w14:paraId="0A40F262" w14:textId="2006FDEB" w:rsidR="008E77DE" w:rsidRPr="00B51B20" w:rsidRDefault="008E77DE" w:rsidP="008E77DE">
      <w:pPr>
        <w:spacing w:before="240" w:after="240" w:line="360" w:lineRule="auto"/>
        <w:contextualSpacing/>
        <w:jc w:val="both"/>
        <w:rPr>
          <w:rFonts w:ascii="Palatino Linotype" w:hAnsi="Palatino Linotype" w:cs="Arial"/>
        </w:rPr>
      </w:pPr>
      <w:r w:rsidRPr="00B51B20">
        <w:rPr>
          <w:rFonts w:ascii="Palatino Linotype" w:hAnsi="Palatino Linotype"/>
          <w:color w:val="000000"/>
        </w:rPr>
        <w:t xml:space="preserve">Al mismo tiempo, </w:t>
      </w:r>
      <w:r w:rsidRPr="00B51B20">
        <w:rPr>
          <w:rFonts w:ascii="Palatino Linotype" w:hAnsi="Palatino Linotype" w:cs="Arial"/>
        </w:rPr>
        <w:t>por cuanto hace a la procedibilidad del recurso de revisión, es de suma importancia señalar que la parte recurrente se identifica como "</w:t>
      </w:r>
      <w:r w:rsidR="00D1295E">
        <w:rPr>
          <w:rFonts w:ascii="Palatino Linotype" w:hAnsi="Palatino Linotype" w:cs="Arial"/>
          <w:b/>
        </w:rPr>
        <w:t>XXXX XXXX</w:t>
      </w:r>
      <w:r w:rsidRPr="00B51B20">
        <w:rPr>
          <w:rFonts w:ascii="Palatino Linotype" w:hAnsi="Palatino Linotype" w:cs="Arial"/>
        </w:rPr>
        <w:t>" como se advierte en el detalle de seguimiento del SAIMEX, no o</w:t>
      </w:r>
      <w:bookmarkStart w:id="0" w:name="_GoBack"/>
      <w:bookmarkEnd w:id="0"/>
      <w:r w:rsidRPr="00B51B20">
        <w:rPr>
          <w:rFonts w:ascii="Palatino Linotype" w:hAnsi="Palatino Linotype" w:cs="Arial"/>
        </w:rPr>
        <w:t>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89F5DDC" w14:textId="77777777" w:rsidR="008E77DE" w:rsidRPr="00B51B20" w:rsidRDefault="008E77DE" w:rsidP="008E77DE">
      <w:pPr>
        <w:spacing w:before="240" w:after="240"/>
        <w:ind w:left="567" w:right="474"/>
        <w:contextualSpacing/>
        <w:jc w:val="both"/>
        <w:rPr>
          <w:rFonts w:ascii="Palatino Linotype" w:hAnsi="Palatino Linotype" w:cs="Arial"/>
          <w:i/>
        </w:rPr>
      </w:pPr>
    </w:p>
    <w:p w14:paraId="14E0ACF9" w14:textId="77777777" w:rsidR="008E77DE" w:rsidRPr="00B51B20" w:rsidRDefault="008E77DE" w:rsidP="008E77DE">
      <w:pPr>
        <w:spacing w:before="240" w:after="240"/>
        <w:ind w:left="567" w:right="474"/>
        <w:contextualSpacing/>
        <w:jc w:val="both"/>
        <w:rPr>
          <w:rFonts w:ascii="Palatino Linotype" w:hAnsi="Palatino Linotype" w:cs="Arial"/>
          <w:i/>
          <w:sz w:val="22"/>
          <w:szCs w:val="22"/>
        </w:rPr>
      </w:pPr>
      <w:r w:rsidRPr="00B51B20">
        <w:rPr>
          <w:rFonts w:ascii="Palatino Linotype" w:hAnsi="Palatino Linotype" w:cs="Arial"/>
          <w:i/>
          <w:sz w:val="22"/>
          <w:szCs w:val="22"/>
        </w:rPr>
        <w:lastRenderedPageBreak/>
        <w:t>"</w:t>
      </w:r>
      <w:r w:rsidRPr="00B51B20">
        <w:rPr>
          <w:rFonts w:ascii="Palatino Linotype" w:hAnsi="Palatino Linotype" w:cs="Arial"/>
          <w:b/>
          <w:i/>
          <w:sz w:val="22"/>
          <w:szCs w:val="22"/>
        </w:rPr>
        <w:t>Las solicitudes anónimas</w:t>
      </w:r>
      <w:r w:rsidRPr="00B51B20">
        <w:rPr>
          <w:rFonts w:ascii="Palatino Linotype" w:hAnsi="Palatino Linotype" w:cs="Arial"/>
          <w:i/>
          <w:sz w:val="22"/>
          <w:szCs w:val="22"/>
        </w:rPr>
        <w:t xml:space="preserve">, con nombre incompleto o seudónimo </w:t>
      </w:r>
      <w:r w:rsidRPr="00B51B20">
        <w:rPr>
          <w:rFonts w:ascii="Palatino Linotype" w:hAnsi="Palatino Linotype" w:cs="Arial"/>
          <w:b/>
          <w:i/>
          <w:sz w:val="22"/>
          <w:szCs w:val="22"/>
        </w:rPr>
        <w:t>serán procedentes para su trámite por parte del sujeto obligado ante quien se presente</w:t>
      </w:r>
      <w:r w:rsidRPr="00B51B20">
        <w:rPr>
          <w:rFonts w:ascii="Palatino Linotype" w:hAnsi="Palatino Linotype" w:cs="Arial"/>
          <w:i/>
          <w:sz w:val="22"/>
          <w:szCs w:val="22"/>
        </w:rPr>
        <w:t>. No podrá requerirse información adicional con motivo del nombre proporcionado por el solicitante."</w:t>
      </w:r>
    </w:p>
    <w:p w14:paraId="0A587D3D" w14:textId="77777777" w:rsidR="008E77DE" w:rsidRPr="00B51B20" w:rsidRDefault="008E77DE" w:rsidP="008E77DE">
      <w:pPr>
        <w:spacing w:before="240" w:after="240" w:line="360" w:lineRule="auto"/>
        <w:contextualSpacing/>
        <w:jc w:val="both"/>
        <w:rPr>
          <w:rFonts w:eastAsiaTheme="minorHAnsi"/>
          <w:i/>
          <w:iCs/>
          <w:color w:val="1F1F1F"/>
          <w:w w:val="95"/>
          <w:sz w:val="22"/>
          <w:szCs w:val="22"/>
          <w:lang w:val="es-MX" w:eastAsia="en-US"/>
        </w:rPr>
      </w:pPr>
    </w:p>
    <w:p w14:paraId="7FC94A26" w14:textId="77777777" w:rsidR="008E77DE" w:rsidRPr="00B51B20" w:rsidRDefault="008E77DE" w:rsidP="008E77DE">
      <w:pPr>
        <w:spacing w:before="240" w:after="240" w:line="360" w:lineRule="auto"/>
        <w:contextualSpacing/>
        <w:jc w:val="both"/>
        <w:rPr>
          <w:rFonts w:ascii="Palatino Linotype" w:hAnsi="Palatino Linotype" w:cs="Arial"/>
        </w:rPr>
      </w:pPr>
      <w:r w:rsidRPr="00B51B20">
        <w:rPr>
          <w:rFonts w:ascii="Palatino Linotype" w:hAnsi="Palatino Linotype" w:cs="Arial"/>
        </w:rPr>
        <w:t>Robusteciendo lo anterior se encuentra lo dispuesto en el artículo 6, Apartado A, fracciones III de la Constitución Política de los Estados Unidos Mexicanos que establece:</w:t>
      </w:r>
    </w:p>
    <w:p w14:paraId="682E8E76" w14:textId="77777777" w:rsidR="008E77DE" w:rsidRPr="00B51B20" w:rsidRDefault="008E77DE" w:rsidP="008E77DE">
      <w:pPr>
        <w:spacing w:before="240" w:after="240"/>
        <w:ind w:right="474"/>
        <w:contextualSpacing/>
        <w:jc w:val="both"/>
        <w:rPr>
          <w:rFonts w:ascii="Palatino Linotype" w:hAnsi="Palatino Linotype" w:cs="Arial"/>
          <w:i/>
        </w:rPr>
      </w:pPr>
    </w:p>
    <w:p w14:paraId="5D1C2C0B" w14:textId="77777777" w:rsidR="008E77DE" w:rsidRPr="00B51B20" w:rsidRDefault="008E77DE" w:rsidP="008E77DE">
      <w:pPr>
        <w:spacing w:before="240" w:after="240"/>
        <w:ind w:left="567" w:right="474"/>
        <w:contextualSpacing/>
        <w:jc w:val="both"/>
        <w:rPr>
          <w:rFonts w:ascii="Palatino Linotype" w:hAnsi="Palatino Linotype" w:cs="Arial"/>
          <w:i/>
          <w:sz w:val="22"/>
          <w:szCs w:val="22"/>
        </w:rPr>
      </w:pPr>
      <w:r w:rsidRPr="00B51B20">
        <w:rPr>
          <w:rFonts w:ascii="Palatino Linotype" w:hAnsi="Palatino Linotype" w:cs="Arial"/>
          <w:i/>
          <w:sz w:val="22"/>
          <w:szCs w:val="22"/>
        </w:rPr>
        <w:t>"</w:t>
      </w:r>
      <w:r w:rsidRPr="00B51B20">
        <w:rPr>
          <w:rFonts w:ascii="Palatino Linotype" w:hAnsi="Palatino Linotype" w:cs="Arial"/>
          <w:b/>
          <w:i/>
          <w:sz w:val="22"/>
          <w:szCs w:val="22"/>
        </w:rPr>
        <w:t>Artículo 6.-</w:t>
      </w:r>
      <w:r w:rsidRPr="00B51B20">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CD28069" w14:textId="77777777" w:rsidR="008E77DE" w:rsidRPr="00B51B20" w:rsidRDefault="008E77DE" w:rsidP="008E77DE">
      <w:pPr>
        <w:spacing w:before="240" w:after="240"/>
        <w:ind w:left="567" w:right="474"/>
        <w:contextualSpacing/>
        <w:jc w:val="both"/>
        <w:rPr>
          <w:rFonts w:ascii="Palatino Linotype" w:hAnsi="Palatino Linotype" w:cs="Arial"/>
          <w:i/>
          <w:sz w:val="22"/>
          <w:szCs w:val="22"/>
        </w:rPr>
      </w:pPr>
      <w:r w:rsidRPr="00B51B20">
        <w:rPr>
          <w:rFonts w:ascii="Palatino Linotype" w:hAnsi="Palatino Linotype" w:cs="Arial"/>
          <w:i/>
          <w:sz w:val="22"/>
          <w:szCs w:val="22"/>
        </w:rPr>
        <w:t>Para efectos de lo dispuesto en el presente artículo se observará lo siguiente:</w:t>
      </w:r>
    </w:p>
    <w:p w14:paraId="5294EA86" w14:textId="77777777" w:rsidR="008E77DE" w:rsidRPr="00B51B20" w:rsidRDefault="008E77DE" w:rsidP="008E77DE">
      <w:pPr>
        <w:spacing w:before="240" w:after="240"/>
        <w:ind w:left="567" w:right="474"/>
        <w:contextualSpacing/>
        <w:jc w:val="both"/>
        <w:rPr>
          <w:rFonts w:ascii="Palatino Linotype" w:hAnsi="Palatino Linotype" w:cs="Arial"/>
          <w:i/>
          <w:sz w:val="22"/>
          <w:szCs w:val="22"/>
        </w:rPr>
      </w:pPr>
    </w:p>
    <w:p w14:paraId="35F6013B" w14:textId="77777777" w:rsidR="008E77DE" w:rsidRPr="00B51B20" w:rsidRDefault="008E77DE" w:rsidP="008E77DE">
      <w:pPr>
        <w:spacing w:before="240" w:after="240"/>
        <w:ind w:left="567" w:right="474"/>
        <w:contextualSpacing/>
        <w:jc w:val="both"/>
        <w:rPr>
          <w:rFonts w:ascii="Palatino Linotype" w:hAnsi="Palatino Linotype" w:cs="Arial"/>
          <w:i/>
          <w:sz w:val="22"/>
          <w:szCs w:val="22"/>
        </w:rPr>
      </w:pPr>
      <w:r w:rsidRPr="00B51B20">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14:paraId="3999F326" w14:textId="77777777" w:rsidR="008E77DE" w:rsidRPr="00B51B20" w:rsidRDefault="008E77DE" w:rsidP="008E77DE">
      <w:pPr>
        <w:spacing w:before="240" w:after="240"/>
        <w:ind w:left="567" w:right="474"/>
        <w:contextualSpacing/>
        <w:jc w:val="both"/>
        <w:rPr>
          <w:rFonts w:ascii="Palatino Linotype" w:hAnsi="Palatino Linotype" w:cs="Arial"/>
          <w:i/>
          <w:sz w:val="22"/>
          <w:szCs w:val="22"/>
        </w:rPr>
      </w:pPr>
    </w:p>
    <w:p w14:paraId="6211D3EA" w14:textId="77777777" w:rsidR="008E77DE" w:rsidRPr="00B51B20" w:rsidRDefault="008E77DE" w:rsidP="008E77DE">
      <w:pPr>
        <w:spacing w:before="240" w:after="240"/>
        <w:ind w:left="567" w:right="474"/>
        <w:contextualSpacing/>
        <w:jc w:val="both"/>
        <w:rPr>
          <w:rFonts w:ascii="Palatino Linotype" w:hAnsi="Palatino Linotype" w:cs="Arial"/>
          <w:i/>
          <w:sz w:val="22"/>
          <w:szCs w:val="22"/>
        </w:rPr>
      </w:pPr>
      <w:r w:rsidRPr="00B51B20">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 (Sic)</w:t>
      </w:r>
    </w:p>
    <w:p w14:paraId="60FBB36A" w14:textId="77777777" w:rsidR="008E77DE" w:rsidRPr="00B51B20" w:rsidRDefault="008E77DE" w:rsidP="008E77DE">
      <w:pPr>
        <w:spacing w:before="240" w:after="240"/>
        <w:ind w:left="567" w:right="474"/>
        <w:contextualSpacing/>
        <w:jc w:val="both"/>
        <w:rPr>
          <w:rFonts w:ascii="Palatino Linotype" w:hAnsi="Palatino Linotype" w:cs="Arial"/>
          <w:i/>
          <w:sz w:val="22"/>
          <w:szCs w:val="22"/>
        </w:rPr>
      </w:pPr>
    </w:p>
    <w:p w14:paraId="331EC991" w14:textId="77777777" w:rsidR="008E77DE" w:rsidRPr="00B51B20" w:rsidRDefault="008E77DE" w:rsidP="008E77DE">
      <w:pPr>
        <w:spacing w:before="240" w:after="240" w:line="360" w:lineRule="auto"/>
        <w:contextualSpacing/>
        <w:jc w:val="both"/>
        <w:rPr>
          <w:rFonts w:ascii="Palatino Linotype" w:hAnsi="Palatino Linotype" w:cs="Arial"/>
        </w:rPr>
      </w:pPr>
      <w:r w:rsidRPr="00B51B20">
        <w:rPr>
          <w:rFonts w:ascii="Palatino Linotype" w:hAnsi="Palatino Linotype" w:cs="Arial"/>
        </w:rPr>
        <w:t>Así como el artículo 5 fracción III, párrafo vigésimo noveno, trigésimo y trigésimo primero, de la Constitución Política del Estado Libre y Soberano de México, que determina lo siguiente:</w:t>
      </w:r>
    </w:p>
    <w:p w14:paraId="3F279445" w14:textId="77777777" w:rsidR="008E77DE" w:rsidRPr="00B51B20" w:rsidRDefault="008E77DE" w:rsidP="008E77DE">
      <w:pPr>
        <w:spacing w:before="240" w:after="240"/>
        <w:ind w:right="474"/>
        <w:contextualSpacing/>
        <w:jc w:val="both"/>
        <w:rPr>
          <w:rFonts w:ascii="Palatino Linotype" w:hAnsi="Palatino Linotype" w:cs="Arial"/>
          <w:i/>
          <w:sz w:val="22"/>
          <w:szCs w:val="22"/>
        </w:rPr>
      </w:pPr>
    </w:p>
    <w:p w14:paraId="6C6FF7AD" w14:textId="77777777" w:rsidR="008E77DE" w:rsidRPr="00B51B20" w:rsidRDefault="008E77DE" w:rsidP="008E77DE">
      <w:pPr>
        <w:spacing w:before="240" w:after="240"/>
        <w:ind w:left="567" w:right="474"/>
        <w:contextualSpacing/>
        <w:jc w:val="both"/>
        <w:rPr>
          <w:rFonts w:ascii="Palatino Linotype" w:hAnsi="Palatino Linotype" w:cs="Arial"/>
          <w:i/>
          <w:sz w:val="22"/>
          <w:szCs w:val="22"/>
        </w:rPr>
      </w:pPr>
      <w:r w:rsidRPr="00B51B20">
        <w:rPr>
          <w:rFonts w:ascii="Palatino Linotype" w:hAnsi="Palatino Linotype" w:cs="Arial"/>
          <w:i/>
          <w:sz w:val="22"/>
          <w:szCs w:val="22"/>
        </w:rPr>
        <w:t>"</w:t>
      </w:r>
      <w:r w:rsidRPr="00B51B20">
        <w:rPr>
          <w:rFonts w:ascii="Palatino Linotype" w:hAnsi="Palatino Linotype" w:cs="Arial"/>
          <w:b/>
          <w:i/>
          <w:sz w:val="22"/>
          <w:szCs w:val="22"/>
        </w:rPr>
        <w:t>Artículo 5.-</w:t>
      </w:r>
      <w:r w:rsidRPr="00B51B20">
        <w:rPr>
          <w:rFonts w:ascii="Palatino Linotype" w:hAnsi="Palatino Linotype" w:cs="Arial"/>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1E7D952C" w14:textId="77777777" w:rsidR="008E77DE" w:rsidRPr="00B51B20" w:rsidRDefault="008E77DE" w:rsidP="008E77DE">
      <w:pPr>
        <w:spacing w:before="240" w:after="240"/>
        <w:ind w:left="567" w:right="474"/>
        <w:contextualSpacing/>
        <w:jc w:val="both"/>
        <w:rPr>
          <w:rFonts w:ascii="Palatino Linotype" w:hAnsi="Palatino Linotype" w:cs="Arial"/>
          <w:i/>
          <w:sz w:val="22"/>
          <w:szCs w:val="22"/>
        </w:rPr>
      </w:pPr>
      <w:r w:rsidRPr="00B51B20">
        <w:rPr>
          <w:rFonts w:ascii="Palatino Linotype" w:hAnsi="Palatino Linotype" w:cs="Arial"/>
          <w:i/>
          <w:sz w:val="22"/>
          <w:szCs w:val="22"/>
        </w:rPr>
        <w:t>…</w:t>
      </w:r>
    </w:p>
    <w:p w14:paraId="52D06D0F" w14:textId="77777777" w:rsidR="008E77DE" w:rsidRPr="00B51B20" w:rsidRDefault="008E77DE" w:rsidP="008E77DE">
      <w:pPr>
        <w:spacing w:before="240" w:after="240"/>
        <w:ind w:left="567" w:right="474"/>
        <w:contextualSpacing/>
        <w:jc w:val="both"/>
        <w:rPr>
          <w:rFonts w:ascii="Palatino Linotype" w:hAnsi="Palatino Linotype" w:cs="Arial"/>
          <w:i/>
          <w:sz w:val="22"/>
          <w:szCs w:val="22"/>
        </w:rPr>
      </w:pPr>
      <w:r w:rsidRPr="00B51B20">
        <w:rPr>
          <w:rFonts w:ascii="Palatino Linotype" w:hAnsi="Palatino Linotype" w:cs="Arial"/>
          <w:i/>
          <w:sz w:val="22"/>
          <w:szCs w:val="22"/>
        </w:rPr>
        <w:lastRenderedPageBreak/>
        <w:t>Toda persona en el Estado de México, tiene derecho al libre acceso a la información plural y oportuna, así como a buscar recibir y difundir información e ideas de toda índole por cualquier medio de expresión.</w:t>
      </w:r>
    </w:p>
    <w:p w14:paraId="20F4BB82" w14:textId="77777777" w:rsidR="008E77DE" w:rsidRPr="00B51B20" w:rsidRDefault="008E77DE" w:rsidP="008E77DE">
      <w:pPr>
        <w:spacing w:before="240" w:after="240"/>
        <w:ind w:left="567" w:right="474"/>
        <w:contextualSpacing/>
        <w:jc w:val="both"/>
        <w:rPr>
          <w:rFonts w:ascii="Palatino Linotype" w:hAnsi="Palatino Linotype" w:cs="Arial"/>
          <w:i/>
          <w:sz w:val="22"/>
          <w:szCs w:val="22"/>
        </w:rPr>
      </w:pPr>
      <w:r w:rsidRPr="00B51B20">
        <w:rPr>
          <w:rFonts w:ascii="Palatino Linotype" w:hAnsi="Palatino Linotype" w:cs="Arial"/>
          <w:i/>
          <w:sz w:val="22"/>
          <w:szCs w:val="22"/>
        </w:rPr>
        <w:t>...</w:t>
      </w:r>
    </w:p>
    <w:p w14:paraId="67CA22A5" w14:textId="77777777" w:rsidR="008E77DE" w:rsidRPr="00B51B20" w:rsidRDefault="008E77DE" w:rsidP="008E77DE">
      <w:pPr>
        <w:spacing w:before="240" w:after="240"/>
        <w:ind w:left="567" w:right="474"/>
        <w:contextualSpacing/>
        <w:jc w:val="both"/>
        <w:rPr>
          <w:rFonts w:ascii="Palatino Linotype" w:hAnsi="Palatino Linotype" w:cs="Arial"/>
          <w:i/>
          <w:sz w:val="22"/>
          <w:szCs w:val="22"/>
        </w:rPr>
      </w:pPr>
      <w:r w:rsidRPr="00B51B20">
        <w:rPr>
          <w:rFonts w:ascii="Palatino Linotype" w:hAnsi="Palatino Linotype" w:cs="Arial"/>
          <w:i/>
          <w:sz w:val="22"/>
          <w:szCs w:val="22"/>
        </w:rPr>
        <w:t>El derecho a la información será garantizado por el Estado. La ley establecerá las previsiones que permitan asegurar la protección, el respeto y la difusión de este derecho.</w:t>
      </w:r>
    </w:p>
    <w:p w14:paraId="50A00B87" w14:textId="77777777" w:rsidR="008E77DE" w:rsidRPr="00B51B20" w:rsidRDefault="008E77DE" w:rsidP="008E77DE">
      <w:pPr>
        <w:spacing w:before="240" w:after="240"/>
        <w:ind w:left="567" w:right="474"/>
        <w:contextualSpacing/>
        <w:jc w:val="both"/>
        <w:rPr>
          <w:rFonts w:ascii="Palatino Linotype" w:hAnsi="Palatino Linotype" w:cs="Arial"/>
          <w:i/>
          <w:sz w:val="22"/>
          <w:szCs w:val="22"/>
        </w:rPr>
      </w:pPr>
      <w:r w:rsidRPr="00B51B20">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26E70FFD" w14:textId="77777777" w:rsidR="008E77DE" w:rsidRPr="00B51B20" w:rsidRDefault="008E77DE" w:rsidP="008E77DE">
      <w:pPr>
        <w:spacing w:before="240" w:after="240"/>
        <w:ind w:left="567" w:right="474"/>
        <w:contextualSpacing/>
        <w:jc w:val="both"/>
        <w:rPr>
          <w:rFonts w:ascii="Palatino Linotype" w:hAnsi="Palatino Linotype" w:cs="Arial"/>
          <w:i/>
          <w:sz w:val="22"/>
          <w:szCs w:val="22"/>
        </w:rPr>
      </w:pPr>
      <w:r w:rsidRPr="00B51B20">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14:paraId="095D1D81" w14:textId="77777777" w:rsidR="008E77DE" w:rsidRPr="00B51B20" w:rsidRDefault="008E77DE" w:rsidP="008E77DE">
      <w:pPr>
        <w:spacing w:before="240" w:after="240"/>
        <w:ind w:left="567" w:right="474"/>
        <w:contextualSpacing/>
        <w:jc w:val="both"/>
        <w:rPr>
          <w:rFonts w:ascii="Palatino Linotype" w:hAnsi="Palatino Linotype" w:cs="Arial"/>
          <w:i/>
          <w:sz w:val="22"/>
          <w:szCs w:val="22"/>
        </w:rPr>
      </w:pPr>
      <w:r w:rsidRPr="00B51B20">
        <w:rPr>
          <w:rFonts w:ascii="Palatino Linotype" w:hAnsi="Palatino Linotype" w:cs="Arial"/>
          <w:i/>
          <w:sz w:val="22"/>
          <w:szCs w:val="22"/>
        </w:rPr>
        <w:t>...</w:t>
      </w:r>
    </w:p>
    <w:p w14:paraId="54418101" w14:textId="77777777" w:rsidR="008E77DE" w:rsidRPr="00B51B20" w:rsidRDefault="008E77DE" w:rsidP="008E77DE">
      <w:pPr>
        <w:spacing w:before="240" w:after="240"/>
        <w:ind w:left="567" w:right="474"/>
        <w:contextualSpacing/>
        <w:jc w:val="both"/>
        <w:rPr>
          <w:rFonts w:ascii="Palatino Linotype" w:hAnsi="Palatino Linotype" w:cs="Arial"/>
          <w:i/>
          <w:sz w:val="22"/>
          <w:szCs w:val="22"/>
        </w:rPr>
      </w:pPr>
      <w:r w:rsidRPr="00B51B20">
        <w:rPr>
          <w:rFonts w:ascii="Palatino Linotype" w:hAnsi="Palatino Linotype" w:cs="Arial"/>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6FFEE478" w14:textId="77777777" w:rsidR="008E77DE" w:rsidRPr="00B51B20" w:rsidRDefault="008E77DE" w:rsidP="008E77DE">
      <w:pPr>
        <w:spacing w:before="240" w:after="240"/>
        <w:ind w:left="567" w:right="474"/>
        <w:contextualSpacing/>
        <w:jc w:val="both"/>
        <w:rPr>
          <w:rFonts w:ascii="Palatino Linotype" w:hAnsi="Palatino Linotype" w:cs="Arial"/>
          <w:i/>
          <w:sz w:val="22"/>
          <w:szCs w:val="22"/>
        </w:rPr>
      </w:pPr>
    </w:p>
    <w:p w14:paraId="208FB905" w14:textId="77777777" w:rsidR="008E77DE" w:rsidRPr="00B51B20" w:rsidRDefault="008E77DE" w:rsidP="008E77DE">
      <w:pPr>
        <w:spacing w:before="240" w:after="240" w:line="360" w:lineRule="auto"/>
        <w:contextualSpacing/>
        <w:jc w:val="both"/>
        <w:rPr>
          <w:rFonts w:ascii="Palatino Linotype" w:hAnsi="Palatino Linotype" w:cs="Arial"/>
        </w:rPr>
      </w:pPr>
      <w:r w:rsidRPr="00B51B20">
        <w:rPr>
          <w:rFonts w:ascii="Palatino Linotype" w:hAnsi="Palatino Linotype" w:cs="Arial"/>
        </w:rPr>
        <w:t>Por otra parte, del contenido del artículo 1 de la Constitución Política de los Estados</w:t>
      </w:r>
    </w:p>
    <w:p w14:paraId="44B9BE2C" w14:textId="77777777" w:rsidR="008E77DE" w:rsidRPr="00B51B20" w:rsidRDefault="008E77DE" w:rsidP="008E77DE">
      <w:pPr>
        <w:spacing w:before="240" w:after="240" w:line="360" w:lineRule="auto"/>
        <w:contextualSpacing/>
        <w:jc w:val="both"/>
        <w:rPr>
          <w:rFonts w:ascii="Palatino Linotype" w:hAnsi="Palatino Linotype" w:cs="Arial"/>
        </w:rPr>
      </w:pPr>
      <w:r w:rsidRPr="00B51B20">
        <w:rPr>
          <w:rFonts w:ascii="Palatino Linotype" w:hAnsi="Palatino Linotype" w:cs="Arial"/>
        </w:rPr>
        <w:t>Unidos mexicanos, se destaca lo siguiente:</w:t>
      </w:r>
    </w:p>
    <w:p w14:paraId="24C17128" w14:textId="77777777" w:rsidR="008E77DE" w:rsidRPr="00B51B20" w:rsidRDefault="008E77DE" w:rsidP="008E77DE">
      <w:pPr>
        <w:spacing w:before="240" w:after="240"/>
        <w:ind w:left="567" w:right="474"/>
        <w:contextualSpacing/>
        <w:jc w:val="both"/>
        <w:rPr>
          <w:rFonts w:ascii="Palatino Linotype" w:hAnsi="Palatino Linotype" w:cs="Arial"/>
          <w:i/>
          <w:sz w:val="22"/>
          <w:szCs w:val="22"/>
        </w:rPr>
      </w:pPr>
    </w:p>
    <w:p w14:paraId="2C1ED6D6" w14:textId="77777777" w:rsidR="008E77DE" w:rsidRPr="00B51B20" w:rsidRDefault="008E77DE" w:rsidP="008E77DE">
      <w:pPr>
        <w:spacing w:before="240" w:after="240"/>
        <w:ind w:left="567" w:right="474"/>
        <w:contextualSpacing/>
        <w:jc w:val="both"/>
        <w:rPr>
          <w:rFonts w:ascii="Palatino Linotype" w:hAnsi="Palatino Linotype" w:cs="Arial"/>
          <w:i/>
          <w:sz w:val="22"/>
          <w:szCs w:val="22"/>
        </w:rPr>
      </w:pPr>
      <w:r w:rsidRPr="00B51B20">
        <w:rPr>
          <w:rFonts w:ascii="Palatino Linotype" w:hAnsi="Palatino Linotype" w:cs="Arial"/>
          <w:i/>
          <w:sz w:val="22"/>
          <w:szCs w:val="22"/>
        </w:rPr>
        <w:t>"</w:t>
      </w:r>
      <w:r w:rsidRPr="00B51B20">
        <w:rPr>
          <w:rFonts w:ascii="Palatino Linotype" w:hAnsi="Palatino Linotype" w:cs="Arial"/>
          <w:b/>
          <w:i/>
          <w:sz w:val="22"/>
          <w:szCs w:val="22"/>
        </w:rPr>
        <w:t>Artículo 1</w:t>
      </w:r>
      <w:r w:rsidRPr="00B51B20">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6249846" w14:textId="77777777" w:rsidR="008E77DE" w:rsidRPr="00B51B20" w:rsidRDefault="008E77DE" w:rsidP="008E77DE">
      <w:pPr>
        <w:spacing w:before="240" w:after="240"/>
        <w:ind w:left="567" w:right="474"/>
        <w:contextualSpacing/>
        <w:jc w:val="both"/>
        <w:rPr>
          <w:rFonts w:ascii="Palatino Linotype" w:hAnsi="Palatino Linotype" w:cs="Arial"/>
          <w:i/>
          <w:sz w:val="22"/>
          <w:szCs w:val="22"/>
        </w:rPr>
      </w:pPr>
      <w:r w:rsidRPr="00B51B20">
        <w:rPr>
          <w:rFonts w:ascii="Palatino Linotype" w:hAnsi="Palatino Linotype" w:cs="Arial"/>
          <w:i/>
          <w:sz w:val="22"/>
          <w:szCs w:val="22"/>
        </w:rPr>
        <w:t>Las normas relativas a los derechos humanos se interpretarán de conformidad con esta Constitución y con los tratados internacionales de la materia favoreciendo en todo tiempo a las personas la protección más amplia.</w:t>
      </w:r>
    </w:p>
    <w:p w14:paraId="34F288AD" w14:textId="77777777" w:rsidR="008E77DE" w:rsidRPr="00B51B20" w:rsidRDefault="008E77DE" w:rsidP="008E77DE">
      <w:pPr>
        <w:spacing w:before="240" w:after="240"/>
        <w:ind w:left="567" w:right="474"/>
        <w:contextualSpacing/>
        <w:jc w:val="both"/>
        <w:rPr>
          <w:rFonts w:ascii="Palatino Linotype" w:hAnsi="Palatino Linotype" w:cs="Arial"/>
          <w:i/>
          <w:sz w:val="22"/>
          <w:szCs w:val="22"/>
        </w:rPr>
      </w:pPr>
      <w:r w:rsidRPr="00B51B20">
        <w:rPr>
          <w:rFonts w:ascii="Palatino Linotype" w:hAnsi="Palatino Linotype" w:cs="Arial"/>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5772271E" w14:textId="77777777" w:rsidR="008E77DE" w:rsidRPr="00B51B20" w:rsidRDefault="008E77DE" w:rsidP="008E77DE">
      <w:pPr>
        <w:spacing w:before="240" w:after="240" w:line="360" w:lineRule="auto"/>
        <w:contextualSpacing/>
        <w:jc w:val="both"/>
        <w:rPr>
          <w:rFonts w:eastAsiaTheme="minorHAnsi"/>
          <w:i/>
          <w:iCs/>
          <w:sz w:val="23"/>
          <w:szCs w:val="23"/>
          <w:lang w:val="es-MX" w:eastAsia="en-US"/>
        </w:rPr>
      </w:pPr>
    </w:p>
    <w:p w14:paraId="515394AC" w14:textId="77777777" w:rsidR="008E77DE" w:rsidRPr="00B51B20" w:rsidRDefault="008E77DE" w:rsidP="008E77DE">
      <w:pPr>
        <w:spacing w:before="240" w:after="240" w:line="360" w:lineRule="auto"/>
        <w:contextualSpacing/>
        <w:jc w:val="both"/>
        <w:rPr>
          <w:rFonts w:ascii="Palatino Linotype" w:hAnsi="Palatino Linotype" w:cs="Arial"/>
        </w:rPr>
      </w:pPr>
      <w:r w:rsidRPr="00B51B20">
        <w:rPr>
          <w:rFonts w:ascii="Palatino Linotype" w:hAnsi="Palatino Linotype" w:cs="Arial"/>
        </w:rPr>
        <w:lastRenderedPageBreak/>
        <w:t xml:space="preserve">Esto es, que el derecho humano de acceso a la información pública, se aprecia que toda persona, sin necesidad de acreditar interés alguno o justificar su interposición, deberá tener acceso a la información pública, es decir, dicho </w:t>
      </w:r>
      <w:r w:rsidRPr="00B51B20">
        <w:rPr>
          <w:rFonts w:ascii="Palatino Linotype" w:hAnsi="Palatino Linotype" w:cs="Arial"/>
          <w:i/>
        </w:rPr>
        <w:t>derecho fundamental exime a quien lo ejerce</w:t>
      </w:r>
      <w:r w:rsidRPr="00B51B20">
        <w:rPr>
          <w:rFonts w:ascii="Palatino Linotype" w:hAnsi="Palatino Linotype" w:cs="Arial"/>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0E7B5E1C" w14:textId="77777777" w:rsidR="008E77DE" w:rsidRPr="00B51B20" w:rsidRDefault="008E77DE" w:rsidP="008E77DE">
      <w:pPr>
        <w:spacing w:line="360" w:lineRule="auto"/>
        <w:jc w:val="both"/>
        <w:rPr>
          <w:rFonts w:ascii="Palatino Linotype" w:hAnsi="Palatino Linotype" w:cs="Arial"/>
        </w:rPr>
      </w:pPr>
    </w:p>
    <w:p w14:paraId="2DD6008F" w14:textId="77777777" w:rsidR="008E77DE" w:rsidRPr="00B51B20" w:rsidRDefault="008E77DE" w:rsidP="008E77DE">
      <w:pPr>
        <w:spacing w:line="360" w:lineRule="auto"/>
        <w:jc w:val="both"/>
        <w:rPr>
          <w:rFonts w:ascii="Palatino Linotype" w:hAnsi="Palatino Linotype"/>
        </w:rPr>
      </w:pPr>
      <w:r w:rsidRPr="00B51B20">
        <w:rPr>
          <w:rFonts w:ascii="Palatino Linotype" w:hAnsi="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05E0441F" w14:textId="77777777" w:rsidR="008E77DE" w:rsidRPr="00B51B20" w:rsidRDefault="008E77DE" w:rsidP="008E77DE">
      <w:pPr>
        <w:ind w:left="851" w:right="758"/>
        <w:contextualSpacing/>
        <w:jc w:val="both"/>
        <w:rPr>
          <w:rFonts w:ascii="Palatino Linotype" w:hAnsi="Palatino Linotype"/>
          <w:i/>
        </w:rPr>
      </w:pPr>
    </w:p>
    <w:p w14:paraId="07A20865" w14:textId="77777777" w:rsidR="008E77DE" w:rsidRPr="00B51B20" w:rsidRDefault="008E77DE" w:rsidP="008E77DE">
      <w:pPr>
        <w:ind w:left="851" w:right="758"/>
        <w:contextualSpacing/>
        <w:jc w:val="both"/>
        <w:rPr>
          <w:rFonts w:ascii="Palatino Linotype" w:hAnsi="Palatino Linotype"/>
          <w:i/>
          <w:sz w:val="22"/>
          <w:szCs w:val="22"/>
        </w:rPr>
      </w:pPr>
      <w:r w:rsidRPr="00B51B20">
        <w:rPr>
          <w:rFonts w:ascii="Palatino Linotype" w:hAnsi="Palatino Linotype"/>
          <w:i/>
          <w:sz w:val="22"/>
          <w:szCs w:val="22"/>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6E28C7D5" w14:textId="77777777" w:rsidR="008E77DE" w:rsidRPr="00B51B20" w:rsidRDefault="008E77DE" w:rsidP="008E77DE">
      <w:pPr>
        <w:spacing w:line="360" w:lineRule="auto"/>
        <w:jc w:val="both"/>
        <w:rPr>
          <w:rFonts w:ascii="Palatino Linotype" w:hAnsi="Palatino Linotype"/>
        </w:rPr>
      </w:pPr>
    </w:p>
    <w:p w14:paraId="2D87189D" w14:textId="77777777" w:rsidR="008E77DE" w:rsidRPr="00B51B20" w:rsidRDefault="008E77DE" w:rsidP="008E77DE">
      <w:pPr>
        <w:spacing w:line="360" w:lineRule="auto"/>
        <w:jc w:val="both"/>
        <w:rPr>
          <w:rFonts w:ascii="Palatino Linotype" w:hAnsi="Palatino Linotype"/>
        </w:rPr>
      </w:pPr>
      <w:r w:rsidRPr="00B51B20">
        <w:rPr>
          <w:rFonts w:ascii="Palatino Linotype" w:hAnsi="Palatino Linotype"/>
        </w:rPr>
        <w:t xml:space="preserve">En consecuencia, dado lo expuesto y fundado con anterioridad, se estima que el requisito relativo al nombre del recurrente no constituye un presupuesto indispensable de procedibilidad del Recurso de Revisión, en términos de los </w:t>
      </w:r>
      <w:r w:rsidRPr="00B51B20">
        <w:rPr>
          <w:rFonts w:ascii="Palatino Linotype" w:hAnsi="Palatino Linotype"/>
        </w:rPr>
        <w:lastRenderedPageBreak/>
        <w:t>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32C7F79B" w14:textId="77777777" w:rsidR="008E77DE" w:rsidRPr="00B51B20" w:rsidRDefault="008E77DE" w:rsidP="007E6426">
      <w:pPr>
        <w:pStyle w:val="paragraph"/>
        <w:spacing w:before="0" w:beforeAutospacing="0" w:after="0" w:afterAutospacing="0" w:line="360" w:lineRule="auto"/>
        <w:ind w:right="-150"/>
        <w:jc w:val="both"/>
        <w:textAlignment w:val="baseline"/>
        <w:rPr>
          <w:rStyle w:val="normaltextrun"/>
          <w:rFonts w:ascii="Palatino Linotype" w:hAnsi="Palatino Linotype" w:cs="Segoe UI"/>
          <w:lang w:val="es-ES"/>
        </w:rPr>
      </w:pPr>
    </w:p>
    <w:p w14:paraId="3C72D478" w14:textId="77777777" w:rsidR="007E6426" w:rsidRPr="00B51B20" w:rsidRDefault="007E6426" w:rsidP="007E6426">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r w:rsidRPr="00B51B20">
        <w:rPr>
          <w:rStyle w:val="normaltextrun"/>
          <w:rFonts w:ascii="Palatino Linotype" w:hAnsi="Palatino Linotype" w:cs="Segoe UI"/>
        </w:rPr>
        <w:t>Ahora bien</w:t>
      </w:r>
      <w:r w:rsidR="00154522" w:rsidRPr="00B51B20">
        <w:rPr>
          <w:rStyle w:val="normaltextrun"/>
          <w:rFonts w:ascii="Palatino Linotype" w:hAnsi="Palatino Linotype" w:cs="Segoe UI"/>
        </w:rPr>
        <w:t>,</w:t>
      </w:r>
      <w:r w:rsidRPr="00B51B20">
        <w:rPr>
          <w:rStyle w:val="normaltextrun"/>
          <w:rFonts w:ascii="Palatino Linotype" w:hAnsi="Palatino Linotype" w:cs="Segoe UI"/>
        </w:rPr>
        <w:t xml:space="preserve"> resulta</w:t>
      </w:r>
      <w:r w:rsidR="00FC163C" w:rsidRPr="00B51B20">
        <w:rPr>
          <w:rStyle w:val="normaltextrun"/>
          <w:rFonts w:ascii="Palatino Linotype" w:hAnsi="Palatino Linotype" w:cs="Segoe UI"/>
        </w:rPr>
        <w:t xml:space="preserve"> pr</w:t>
      </w:r>
      <w:r w:rsidR="00EA7A3F" w:rsidRPr="00B51B20">
        <w:rPr>
          <w:rStyle w:val="normaltextrun"/>
          <w:rFonts w:ascii="Palatino Linotype" w:hAnsi="Palatino Linotype" w:cs="Segoe UI"/>
        </w:rPr>
        <w:t>ocedente la interposición del</w:t>
      </w:r>
      <w:r w:rsidRPr="00B51B20">
        <w:rPr>
          <w:rStyle w:val="normaltextrun"/>
          <w:rFonts w:ascii="Palatino Linotype" w:hAnsi="Palatino Linotype" w:cs="Segoe UI"/>
        </w:rPr>
        <w:t xml:space="preserve"> </w:t>
      </w:r>
      <w:r w:rsidR="00854B1C" w:rsidRPr="00B51B20">
        <w:rPr>
          <w:rStyle w:val="normaltextrun"/>
          <w:rFonts w:ascii="Palatino Linotype" w:hAnsi="Palatino Linotype" w:cs="Segoe UI"/>
        </w:rPr>
        <w:t>recurso</w:t>
      </w:r>
      <w:r w:rsidR="00EA7A3F" w:rsidRPr="00B51B20">
        <w:rPr>
          <w:rStyle w:val="normaltextrun"/>
          <w:rFonts w:ascii="Palatino Linotype" w:hAnsi="Palatino Linotype" w:cs="Segoe UI"/>
        </w:rPr>
        <w:t xml:space="preserve"> revisión</w:t>
      </w:r>
      <w:r w:rsidR="00854B1C" w:rsidRPr="00B51B20">
        <w:rPr>
          <w:rStyle w:val="normaltextrun"/>
          <w:rFonts w:ascii="Palatino Linotype" w:hAnsi="Palatino Linotype" w:cs="Segoe UI"/>
        </w:rPr>
        <w:t xml:space="preserve">, según lo aducido por </w:t>
      </w:r>
      <w:r w:rsidR="00204F0A" w:rsidRPr="00B51B20">
        <w:rPr>
          <w:rStyle w:val="normaltextrun"/>
          <w:rFonts w:ascii="Palatino Linotype" w:hAnsi="Palatino Linotype" w:cs="Segoe UI"/>
        </w:rPr>
        <w:t xml:space="preserve">la </w:t>
      </w:r>
      <w:r w:rsidR="004F55A8" w:rsidRPr="00B51B20">
        <w:rPr>
          <w:rStyle w:val="normaltextrun"/>
          <w:rFonts w:ascii="Palatino Linotype" w:hAnsi="Palatino Linotype" w:cs="Segoe UI"/>
          <w:b/>
        </w:rPr>
        <w:t>RECURRENTE</w:t>
      </w:r>
      <w:r w:rsidR="00EA7A3F" w:rsidRPr="00B51B20">
        <w:rPr>
          <w:rStyle w:val="normaltextrun"/>
          <w:rFonts w:ascii="Palatino Linotype" w:hAnsi="Palatino Linotype" w:cs="Segoe UI"/>
        </w:rPr>
        <w:t xml:space="preserve"> en su acto impugnado como en sus</w:t>
      </w:r>
      <w:r w:rsidRPr="00B51B20">
        <w:rPr>
          <w:rStyle w:val="normaltextrun"/>
          <w:rFonts w:ascii="Palatino Linotype" w:hAnsi="Palatino Linotype" w:cs="Segoe UI"/>
        </w:rPr>
        <w:t xml:space="preserve"> motivos de inconformidad, de acuerdo al artículo</w:t>
      </w:r>
      <w:r w:rsidRPr="00B51B20">
        <w:rPr>
          <w:rStyle w:val="apple-converted-space"/>
          <w:rFonts w:ascii="Palatino Linotype" w:hAnsi="Palatino Linotype" w:cs="Segoe UI"/>
        </w:rPr>
        <w:t xml:space="preserve"> </w:t>
      </w:r>
      <w:r w:rsidR="008F2AD9" w:rsidRPr="00B51B20">
        <w:rPr>
          <w:rStyle w:val="normaltextrun"/>
          <w:rFonts w:ascii="Palatino Linotype" w:hAnsi="Palatino Linotype" w:cs="Segoe UI"/>
        </w:rPr>
        <w:t>179 fracción I</w:t>
      </w:r>
      <w:r w:rsidRPr="00B51B20">
        <w:rPr>
          <w:rStyle w:val="normaltextrun"/>
          <w:rFonts w:ascii="Palatino Linotype" w:hAnsi="Palatino Linotype" w:cs="Segoe UI"/>
        </w:rPr>
        <w:t xml:space="preserve"> de la Ley de Transparencia y Acceso a la Información Pública del Estado de México y Municipios; que a la letra dice:</w:t>
      </w:r>
    </w:p>
    <w:p w14:paraId="1C4DCD4C" w14:textId="77777777" w:rsidR="00154522" w:rsidRPr="00B51B20" w:rsidRDefault="00154522" w:rsidP="007E6426">
      <w:pPr>
        <w:pStyle w:val="paragraph"/>
        <w:spacing w:before="0" w:beforeAutospacing="0" w:after="0" w:afterAutospacing="0" w:line="360" w:lineRule="auto"/>
        <w:ind w:right="-150"/>
        <w:jc w:val="both"/>
        <w:textAlignment w:val="baseline"/>
        <w:rPr>
          <w:rStyle w:val="eop"/>
          <w:rFonts w:ascii="Palatino Linotype" w:hAnsi="Palatino Linotype" w:cs="Segoe UI"/>
        </w:rPr>
      </w:pPr>
    </w:p>
    <w:p w14:paraId="6FC99DF2" w14:textId="77777777" w:rsidR="007E6426" w:rsidRPr="00B51B20" w:rsidRDefault="007E6426"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B51B20">
        <w:rPr>
          <w:rStyle w:val="normaltextrun"/>
          <w:rFonts w:ascii="Palatino Linotype" w:hAnsi="Palatino Linotype" w:cs="Segoe UI"/>
          <w:b/>
          <w:bCs/>
          <w:i/>
          <w:iCs/>
          <w:sz w:val="22"/>
          <w:szCs w:val="22"/>
        </w:rPr>
        <w:t>“</w:t>
      </w:r>
      <w:r w:rsidRPr="00B51B20">
        <w:rPr>
          <w:rFonts w:ascii="Palatino Linotype" w:hAnsi="Palatino Linotype"/>
          <w:b/>
          <w:i/>
          <w:sz w:val="22"/>
          <w:szCs w:val="22"/>
        </w:rPr>
        <w:t>Artículo 179</w:t>
      </w:r>
      <w:r w:rsidRPr="00B51B20">
        <w:rPr>
          <w:rFonts w:ascii="Palatino Linotype" w:hAnsi="Palatino Linotype"/>
          <w:i/>
          <w:sz w:val="22"/>
          <w:szCs w:val="22"/>
        </w:rPr>
        <w:t xml:space="preserve">. </w:t>
      </w:r>
      <w:r w:rsidRPr="00B51B20">
        <w:rPr>
          <w:rFonts w:ascii="Palatino Linotype" w:hAnsi="Palatino Linotype"/>
          <w:b/>
          <w:i/>
          <w:sz w:val="22"/>
          <w:szCs w:val="22"/>
        </w:rPr>
        <w:t>El recurso de revisión</w:t>
      </w:r>
      <w:r w:rsidRPr="00B51B20">
        <w:rPr>
          <w:rFonts w:ascii="Palatino Linotype" w:hAnsi="Palatino Linotype"/>
          <w:i/>
          <w:sz w:val="22"/>
          <w:szCs w:val="22"/>
        </w:rPr>
        <w:t xml:space="preserve"> es un medio de protección que la Ley otorga a los particulares, para hacer valer su derecho de acceso a la información pública</w:t>
      </w:r>
      <w:r w:rsidRPr="00B51B20">
        <w:rPr>
          <w:rFonts w:ascii="Palatino Linotype" w:hAnsi="Palatino Linotype"/>
          <w:b/>
          <w:i/>
          <w:sz w:val="22"/>
          <w:szCs w:val="22"/>
        </w:rPr>
        <w:t>, y procederá en contra de las siguientes causas</w:t>
      </w:r>
      <w:r w:rsidRPr="00B51B20">
        <w:rPr>
          <w:rFonts w:ascii="Palatino Linotype" w:hAnsi="Palatino Linotype"/>
          <w:i/>
          <w:sz w:val="22"/>
          <w:szCs w:val="22"/>
        </w:rPr>
        <w:t>:</w:t>
      </w:r>
    </w:p>
    <w:p w14:paraId="24BD35BE" w14:textId="77777777" w:rsidR="007E6426" w:rsidRPr="00B51B20" w:rsidRDefault="008F2AD9" w:rsidP="00154522">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B51B20">
        <w:rPr>
          <w:rFonts w:ascii="Palatino Linotype" w:hAnsi="Palatino Linotype"/>
          <w:i/>
          <w:sz w:val="22"/>
          <w:szCs w:val="22"/>
        </w:rPr>
        <w:t>I</w:t>
      </w:r>
      <w:r w:rsidR="008E77DE" w:rsidRPr="00B51B20">
        <w:rPr>
          <w:rFonts w:ascii="Palatino Linotype" w:hAnsi="Palatino Linotype"/>
          <w:i/>
          <w:sz w:val="22"/>
          <w:szCs w:val="22"/>
        </w:rPr>
        <w:t xml:space="preserve">. La </w:t>
      </w:r>
      <w:r w:rsidRPr="00B51B20">
        <w:rPr>
          <w:rFonts w:ascii="Palatino Linotype" w:hAnsi="Palatino Linotype"/>
          <w:i/>
          <w:sz w:val="22"/>
          <w:szCs w:val="22"/>
        </w:rPr>
        <w:t>negativa de la información solicitada</w:t>
      </w:r>
      <w:r w:rsidR="00F81330" w:rsidRPr="00B51B20">
        <w:rPr>
          <w:rFonts w:ascii="Palatino Linotype" w:hAnsi="Palatino Linotype"/>
          <w:i/>
          <w:sz w:val="22"/>
          <w:szCs w:val="22"/>
        </w:rPr>
        <w:t>…</w:t>
      </w:r>
      <w:r w:rsidR="00854B1C" w:rsidRPr="00B51B20">
        <w:rPr>
          <w:rFonts w:ascii="Palatino Linotype" w:hAnsi="Palatino Linotype"/>
          <w:i/>
          <w:sz w:val="22"/>
          <w:szCs w:val="22"/>
        </w:rPr>
        <w:t>” (</w:t>
      </w:r>
      <w:r w:rsidR="007E6426" w:rsidRPr="00B51B20">
        <w:rPr>
          <w:rFonts w:ascii="Palatino Linotype" w:hAnsi="Palatino Linotype"/>
          <w:i/>
          <w:sz w:val="22"/>
          <w:szCs w:val="22"/>
        </w:rPr>
        <w:t>Sic)</w:t>
      </w:r>
    </w:p>
    <w:p w14:paraId="09C37200" w14:textId="77777777" w:rsidR="00854B1C" w:rsidRPr="00B51B20" w:rsidRDefault="00854B1C" w:rsidP="00E115C4">
      <w:pPr>
        <w:pStyle w:val="paragraph"/>
        <w:spacing w:before="240" w:beforeAutospacing="0" w:after="240" w:afterAutospacing="0" w:line="360" w:lineRule="auto"/>
        <w:ind w:right="-91"/>
        <w:contextualSpacing/>
        <w:jc w:val="both"/>
        <w:textAlignment w:val="baseline"/>
        <w:rPr>
          <w:rFonts w:ascii="Palatino Linotype" w:hAnsi="Palatino Linotype"/>
          <w:b/>
          <w:i/>
          <w:sz w:val="22"/>
          <w:szCs w:val="22"/>
        </w:rPr>
      </w:pPr>
    </w:p>
    <w:p w14:paraId="29F9116A" w14:textId="77777777" w:rsidR="002E5396" w:rsidRPr="00B51B20" w:rsidRDefault="002E5396" w:rsidP="002E5396">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B51B20">
        <w:rPr>
          <w:rFonts w:ascii="Palatino Linotype" w:hAnsi="Palatino Linotype" w:cs="Arial"/>
          <w:b/>
        </w:rPr>
        <w:t>Tercero. Materia de Revisión</w:t>
      </w:r>
      <w:r w:rsidRPr="00B51B20">
        <w:rPr>
          <w:rFonts w:ascii="Palatino Linotype" w:hAnsi="Palatino Linotype" w:cs="Arial"/>
        </w:rPr>
        <w:t xml:space="preserve">: </w:t>
      </w:r>
      <w:r w:rsidRPr="00B51B20">
        <w:rPr>
          <w:rStyle w:val="normaltextrun"/>
          <w:rFonts w:ascii="Palatino Linotype" w:hAnsi="Palatino Linotype" w:cs="Segoe UI"/>
        </w:rPr>
        <w:t>Con base en</w:t>
      </w:r>
      <w:r w:rsidR="00FC163C" w:rsidRPr="00B51B20">
        <w:rPr>
          <w:rStyle w:val="normaltextrun"/>
          <w:rFonts w:ascii="Palatino Linotype" w:hAnsi="Palatino Linotype" w:cs="Segoe UI"/>
        </w:rPr>
        <w:t xml:space="preserve"> </w:t>
      </w:r>
      <w:r w:rsidR="004F55A8" w:rsidRPr="00B51B20">
        <w:rPr>
          <w:rStyle w:val="normaltextrun"/>
          <w:rFonts w:ascii="Palatino Linotype" w:hAnsi="Palatino Linotype" w:cs="Segoe UI"/>
        </w:rPr>
        <w:t>las constancias que obran en el</w:t>
      </w:r>
      <w:r w:rsidRPr="00B51B20">
        <w:rPr>
          <w:rStyle w:val="normaltextrun"/>
          <w:rFonts w:ascii="Palatino Linotype" w:hAnsi="Palatino Linotype" w:cs="Segoe UI"/>
        </w:rPr>
        <w:t xml:space="preserve"> expediente que se actúa, este Instituto tiene la convicción de que la presente resolución tiene como objetivo central determinar si la respuesta </w:t>
      </w:r>
      <w:r w:rsidR="00633801" w:rsidRPr="00B51B20">
        <w:rPr>
          <w:rStyle w:val="normaltextrun"/>
          <w:rFonts w:ascii="Palatino Linotype" w:hAnsi="Palatino Linotype" w:cs="Segoe UI"/>
        </w:rPr>
        <w:t>proporcionada</w:t>
      </w:r>
      <w:r w:rsidR="00CD1FAF" w:rsidRPr="00B51B20">
        <w:rPr>
          <w:rStyle w:val="normaltextrun"/>
          <w:rFonts w:ascii="Palatino Linotype" w:hAnsi="Palatino Linotype" w:cs="Segoe UI"/>
        </w:rPr>
        <w:t xml:space="preserve">, </w:t>
      </w:r>
      <w:r w:rsidRPr="00B51B20">
        <w:rPr>
          <w:rStyle w:val="normaltextrun"/>
          <w:rFonts w:ascii="Palatino Linotype" w:hAnsi="Palatino Linotype" w:cs="Segoe UI"/>
        </w:rPr>
        <w:t xml:space="preserve">por el </w:t>
      </w:r>
      <w:r w:rsidR="008E77DE" w:rsidRPr="00B51B20">
        <w:rPr>
          <w:rStyle w:val="normaltextrun"/>
          <w:rFonts w:ascii="Palatino Linotype" w:hAnsi="Palatino Linotype" w:cs="Segoe UI"/>
          <w:b/>
        </w:rPr>
        <w:t>SUJETO OBLIGADO</w:t>
      </w:r>
      <w:r w:rsidR="00EA7A3F" w:rsidRPr="00B51B20">
        <w:rPr>
          <w:rStyle w:val="normaltextrun"/>
          <w:rFonts w:ascii="Palatino Linotype" w:hAnsi="Palatino Linotype" w:cs="Segoe UI"/>
        </w:rPr>
        <w:t>, es</w:t>
      </w:r>
      <w:r w:rsidRPr="00B51B20">
        <w:rPr>
          <w:rStyle w:val="normaltextrun"/>
          <w:rFonts w:ascii="Palatino Linotype" w:hAnsi="Palatino Linotype" w:cs="Segoe UI"/>
        </w:rPr>
        <w:t xml:space="preserve"> correcta y suficiente para tener por atendida la solicitud de acceso a la información.</w:t>
      </w:r>
    </w:p>
    <w:p w14:paraId="531DD7D0" w14:textId="1E271997" w:rsidR="00BC47CA" w:rsidRPr="00B51B20" w:rsidRDefault="002E5396" w:rsidP="000B2F29">
      <w:pPr>
        <w:spacing w:before="240" w:after="240" w:line="360" w:lineRule="auto"/>
        <w:jc w:val="both"/>
        <w:rPr>
          <w:rFonts w:ascii="Palatino Linotype" w:hAnsi="Palatino Linotype"/>
        </w:rPr>
      </w:pPr>
      <w:r w:rsidRPr="00B51B20">
        <w:rPr>
          <w:rFonts w:ascii="Palatino Linotype" w:hAnsi="Palatino Linotype" w:cs="Arial"/>
          <w:b/>
        </w:rPr>
        <w:lastRenderedPageBreak/>
        <w:t xml:space="preserve">Cuarto. Estudio de fondo del asunto. </w:t>
      </w:r>
      <w:r w:rsidRPr="00B51B20">
        <w:rPr>
          <w:rFonts w:ascii="Palatino Linotype" w:hAnsi="Palatino Linotype"/>
        </w:rPr>
        <w:t>Del análisis de la solic</w:t>
      </w:r>
      <w:r w:rsidR="00017AB4" w:rsidRPr="00B51B20">
        <w:rPr>
          <w:rFonts w:ascii="Palatino Linotype" w:hAnsi="Palatino Linotype"/>
        </w:rPr>
        <w:t>itud de información motivo del r</w:t>
      </w:r>
      <w:r w:rsidRPr="00B51B20">
        <w:rPr>
          <w:rFonts w:ascii="Palatino Linotype" w:hAnsi="Palatino Linotype"/>
        </w:rPr>
        <w:t>ecurso de revisión que ahora se resuelve</w:t>
      </w:r>
      <w:r w:rsidR="00DE4E6A" w:rsidRPr="00B51B20">
        <w:rPr>
          <w:rFonts w:ascii="Palatino Linotype" w:hAnsi="Palatino Linotype"/>
        </w:rPr>
        <w:t>,</w:t>
      </w:r>
      <w:r w:rsidRPr="00B51B20">
        <w:rPr>
          <w:rFonts w:ascii="Palatino Linotype" w:hAnsi="Palatino Linotype"/>
        </w:rPr>
        <w:t xml:space="preserve"> se advier</w:t>
      </w:r>
      <w:r w:rsidR="00AA23D5" w:rsidRPr="00B51B20">
        <w:rPr>
          <w:rFonts w:ascii="Palatino Linotype" w:hAnsi="Palatino Linotype"/>
        </w:rPr>
        <w:t>te</w:t>
      </w:r>
      <w:r w:rsidR="008E77DE" w:rsidRPr="00B51B20">
        <w:rPr>
          <w:rFonts w:ascii="Palatino Linotype" w:hAnsi="Palatino Linotype"/>
        </w:rPr>
        <w:t xml:space="preserve"> que </w:t>
      </w:r>
      <w:r w:rsidR="003D4D8A" w:rsidRPr="00B51B20">
        <w:rPr>
          <w:rFonts w:ascii="Palatino Linotype" w:hAnsi="Palatino Linotype"/>
        </w:rPr>
        <w:t xml:space="preserve">la </w:t>
      </w:r>
      <w:r w:rsidR="008E77DE" w:rsidRPr="00B51B20">
        <w:rPr>
          <w:rFonts w:ascii="Palatino Linotype" w:hAnsi="Palatino Linotype"/>
        </w:rPr>
        <w:t>particular requirió al</w:t>
      </w:r>
      <w:r w:rsidR="00017AB4" w:rsidRPr="00B51B20">
        <w:rPr>
          <w:rFonts w:ascii="Palatino Linotype" w:hAnsi="Palatino Linotype"/>
        </w:rPr>
        <w:t xml:space="preserve"> </w:t>
      </w:r>
      <w:r w:rsidR="008E77DE" w:rsidRPr="00B51B20">
        <w:rPr>
          <w:rFonts w:ascii="Palatino Linotype" w:hAnsi="Palatino Linotype"/>
        </w:rPr>
        <w:t>Instituto Electoral del Estado de México</w:t>
      </w:r>
      <w:r w:rsidR="00017AB4" w:rsidRPr="00B51B20">
        <w:rPr>
          <w:rFonts w:ascii="Palatino Linotype" w:hAnsi="Palatino Linotype"/>
        </w:rPr>
        <w:t xml:space="preserve">, </w:t>
      </w:r>
      <w:r w:rsidR="00D35465" w:rsidRPr="00B51B20">
        <w:rPr>
          <w:rFonts w:ascii="Palatino Linotype" w:hAnsi="Palatino Linotype"/>
        </w:rPr>
        <w:t>lo siguiente:</w:t>
      </w:r>
    </w:p>
    <w:p w14:paraId="3AED2B44" w14:textId="77777777" w:rsidR="008E77DE" w:rsidRPr="00B51B20" w:rsidRDefault="008F2AD9" w:rsidP="008F2AD9">
      <w:pPr>
        <w:pStyle w:val="Prrafodelista"/>
        <w:numPr>
          <w:ilvl w:val="0"/>
          <w:numId w:val="8"/>
        </w:numPr>
        <w:spacing w:before="240" w:after="240" w:line="360" w:lineRule="auto"/>
        <w:jc w:val="both"/>
        <w:rPr>
          <w:rFonts w:ascii="Palatino Linotype" w:hAnsi="Palatino Linotype"/>
          <w:sz w:val="24"/>
          <w:szCs w:val="24"/>
        </w:rPr>
      </w:pPr>
      <w:r w:rsidRPr="00B51B20">
        <w:rPr>
          <w:rFonts w:ascii="Palatino Linotype" w:hAnsi="Palatino Linotype"/>
          <w:sz w:val="24"/>
          <w:szCs w:val="24"/>
        </w:rPr>
        <w:t>Las listas de asistencia del mes de julio de 2021 de la junta distrital de Valle de Chalco Solidaridad</w:t>
      </w:r>
      <w:r w:rsidR="008E77DE" w:rsidRPr="00B51B20">
        <w:rPr>
          <w:rFonts w:ascii="Palatino Linotype" w:hAnsi="Palatino Linotype"/>
          <w:sz w:val="24"/>
          <w:szCs w:val="24"/>
        </w:rPr>
        <w:t>.</w:t>
      </w:r>
    </w:p>
    <w:p w14:paraId="37A1AE57" w14:textId="77777777" w:rsidR="005D0C5E" w:rsidRPr="00B51B20" w:rsidRDefault="00C82CD3" w:rsidP="00017AB4">
      <w:pPr>
        <w:spacing w:before="240" w:after="240" w:line="360" w:lineRule="auto"/>
        <w:jc w:val="both"/>
        <w:rPr>
          <w:rFonts w:ascii="Palatino Linotype" w:hAnsi="Palatino Linotype"/>
        </w:rPr>
      </w:pPr>
      <w:r w:rsidRPr="00B51B20">
        <w:rPr>
          <w:rFonts w:ascii="Palatino Linotype" w:hAnsi="Palatino Linotype"/>
        </w:rPr>
        <w:t xml:space="preserve">Por su parte el </w:t>
      </w:r>
      <w:r w:rsidR="005D0C5E" w:rsidRPr="00B51B20">
        <w:rPr>
          <w:rFonts w:ascii="Palatino Linotype" w:hAnsi="Palatino Linotype"/>
          <w:b/>
        </w:rPr>
        <w:t>SUJETO OBLIGADO</w:t>
      </w:r>
      <w:r w:rsidRPr="00B51B20">
        <w:rPr>
          <w:rFonts w:ascii="Palatino Linotype" w:hAnsi="Palatino Linotype"/>
        </w:rPr>
        <w:t xml:space="preserve">, </w:t>
      </w:r>
      <w:r w:rsidR="005D0C5E" w:rsidRPr="00B51B20">
        <w:rPr>
          <w:rFonts w:ascii="Palatino Linotype" w:hAnsi="Palatino Linotype"/>
        </w:rPr>
        <w:t>emitió su respuesta a través de los siguientes archivos electrónicos:</w:t>
      </w:r>
    </w:p>
    <w:p w14:paraId="50AA02E4" w14:textId="77777777" w:rsidR="00E23F9C" w:rsidRPr="00B51B20" w:rsidRDefault="00E23F9C" w:rsidP="00DD33AE">
      <w:pPr>
        <w:spacing w:before="240" w:after="240" w:line="360" w:lineRule="auto"/>
        <w:jc w:val="both"/>
        <w:rPr>
          <w:rFonts w:ascii="Palatino Linotype" w:hAnsi="Palatino Linotype" w:cs="Arial"/>
        </w:rPr>
      </w:pPr>
      <w:r w:rsidRPr="00B51B20">
        <w:rPr>
          <w:rFonts w:ascii="Palatino Linotype" w:hAnsi="Palatino Linotype" w:cs="Arial"/>
        </w:rPr>
        <w:t>“</w:t>
      </w:r>
      <w:hyperlink r:id="rId14" w:tgtFrame="_blank" w:history="1">
        <w:r w:rsidRPr="00B51B20">
          <w:rPr>
            <w:rFonts w:ascii="Palatino Linotype" w:hAnsi="Palatino Linotype"/>
          </w:rPr>
          <w:t>IEEM-DO-5597-2021.pdf</w:t>
        </w:r>
      </w:hyperlink>
      <w:r w:rsidRPr="00B51B20">
        <w:rPr>
          <w:rFonts w:ascii="Palatino Linotype" w:hAnsi="Palatino Linotype" w:cs="Arial"/>
        </w:rPr>
        <w:t xml:space="preserve">”,  </w:t>
      </w:r>
      <w:r w:rsidR="00D46D2A" w:rsidRPr="00B51B20">
        <w:rPr>
          <w:rFonts w:ascii="Palatino Linotype" w:hAnsi="Palatino Linotype" w:cs="Arial"/>
        </w:rPr>
        <w:t xml:space="preserve">el cual contiene el oficio número IEEM/DO/5597/2021, por medio del cual el Director de Organización, informó al Titular de la Unidad de Transparencia ambos del </w:t>
      </w:r>
      <w:r w:rsidR="00D46D2A" w:rsidRPr="00B51B20">
        <w:rPr>
          <w:rFonts w:ascii="Palatino Linotype" w:hAnsi="Palatino Linotype" w:cs="Arial"/>
          <w:b/>
        </w:rPr>
        <w:t>SUJETO OBLIGADO</w:t>
      </w:r>
      <w:r w:rsidR="00D46D2A" w:rsidRPr="00B51B20">
        <w:rPr>
          <w:rFonts w:ascii="Palatino Linotype" w:hAnsi="Palatino Linotype" w:cs="Arial"/>
        </w:rPr>
        <w:t>, que después de una búsqueda exhaustiva y razonable en los archivos de la Junta y Consejo Distrital Electoral 27 con cabecera en Valle de Chalco Solidaridad instalados para el proceso electoral 2021, entregados en 28 de julio por las vocalías de esta Junta Distrital a esta Dirección de Organización, así como los archivos de la mencionada dirección, no se localizó listas de asistencia del mes de julio del 2021 de la Junta Distrital Electoral número 27 con cabecera en Valle de Chalco Solidaridad.</w:t>
      </w:r>
    </w:p>
    <w:p w14:paraId="253DC304" w14:textId="77777777" w:rsidR="00D46D2A" w:rsidRPr="00B51B20" w:rsidRDefault="00D46D2A" w:rsidP="00DD33AE">
      <w:pPr>
        <w:spacing w:before="240" w:after="240" w:line="360" w:lineRule="auto"/>
        <w:jc w:val="both"/>
        <w:rPr>
          <w:rFonts w:ascii="Palatino Linotype" w:hAnsi="Palatino Linotype" w:cs="Arial"/>
        </w:rPr>
      </w:pPr>
      <w:r w:rsidRPr="00B51B20">
        <w:rPr>
          <w:rFonts w:ascii="Palatino Linotype" w:hAnsi="Palatino Linotype" w:cs="Arial"/>
        </w:rPr>
        <w:t>Señalando la misma Dirección de Organización, que de acuerdo a sus facultades no es el competente para generar o poseer las listas de asistencias de las Juntas Distritales instaladas para los procesos electorales.</w:t>
      </w:r>
    </w:p>
    <w:p w14:paraId="4D6F304B" w14:textId="1772ABD9" w:rsidR="00E23F9C" w:rsidRPr="00B51B20" w:rsidRDefault="00E23F9C" w:rsidP="00DD33AE">
      <w:pPr>
        <w:spacing w:before="240" w:after="240" w:line="360" w:lineRule="auto"/>
        <w:jc w:val="both"/>
        <w:rPr>
          <w:rFonts w:ascii="Palatino Linotype" w:hAnsi="Palatino Linotype" w:cs="Arial"/>
        </w:rPr>
      </w:pPr>
      <w:r w:rsidRPr="00B51B20">
        <w:rPr>
          <w:rFonts w:ascii="Palatino Linotype" w:hAnsi="Palatino Linotype" w:cs="Arial"/>
        </w:rPr>
        <w:t>“</w:t>
      </w:r>
      <w:hyperlink r:id="rId15" w:tgtFrame="_blank" w:history="1">
        <w:r w:rsidRPr="00B51B20">
          <w:rPr>
            <w:rFonts w:ascii="Palatino Linotype" w:hAnsi="Palatino Linotype"/>
          </w:rPr>
          <w:t>OFICIO RESPUESTA 831-2021 UT.pdf</w:t>
        </w:r>
      </w:hyperlink>
      <w:r w:rsidRPr="00B51B20">
        <w:rPr>
          <w:rFonts w:ascii="Palatino Linotype" w:hAnsi="Palatino Linotype" w:cs="Arial"/>
        </w:rPr>
        <w:t xml:space="preserve">”, </w:t>
      </w:r>
      <w:r w:rsidR="00D46D2A" w:rsidRPr="00B51B20">
        <w:rPr>
          <w:rFonts w:ascii="Palatino Linotype" w:hAnsi="Palatino Linotype" w:cs="Arial"/>
        </w:rPr>
        <w:t xml:space="preserve">el cual contiene el número de oficio número IEEM/UT/2089/2021, por medio del cual el Titular de la Unidad de </w:t>
      </w:r>
      <w:r w:rsidR="00D46D2A" w:rsidRPr="00B51B20">
        <w:rPr>
          <w:rFonts w:ascii="Palatino Linotype" w:hAnsi="Palatino Linotype" w:cs="Arial"/>
        </w:rPr>
        <w:lastRenderedPageBreak/>
        <w:t>Transparencia, le notificó a</w:t>
      </w:r>
      <w:r w:rsidR="003D4D8A" w:rsidRPr="00B51B20">
        <w:rPr>
          <w:rFonts w:ascii="Palatino Linotype" w:hAnsi="Palatino Linotype" w:cs="Arial"/>
        </w:rPr>
        <w:t xml:space="preserve"> la</w:t>
      </w:r>
      <w:r w:rsidR="00D46D2A" w:rsidRPr="00B51B20">
        <w:rPr>
          <w:rFonts w:ascii="Palatino Linotype" w:hAnsi="Palatino Linotype" w:cs="Arial"/>
        </w:rPr>
        <w:t xml:space="preserve"> particular las respuesta otorgadas por el Director de Organización y de Administración respectivamente. </w:t>
      </w:r>
    </w:p>
    <w:p w14:paraId="3D9C7DCB" w14:textId="77777777" w:rsidR="00C16B1E" w:rsidRPr="00B51B20" w:rsidRDefault="00E23F9C" w:rsidP="00DD33AE">
      <w:pPr>
        <w:spacing w:before="240" w:after="240" w:line="360" w:lineRule="auto"/>
        <w:jc w:val="both"/>
        <w:rPr>
          <w:rFonts w:ascii="Palatino Linotype" w:hAnsi="Palatino Linotype" w:cs="Arial"/>
        </w:rPr>
      </w:pPr>
      <w:r w:rsidRPr="00B51B20">
        <w:rPr>
          <w:rFonts w:ascii="Palatino Linotype" w:hAnsi="Palatino Linotype" w:cs="Arial"/>
        </w:rPr>
        <w:t>“</w:t>
      </w:r>
      <w:hyperlink r:id="rId16" w:tgtFrame="_blank" w:history="1">
        <w:r w:rsidRPr="00B51B20">
          <w:rPr>
            <w:rFonts w:ascii="Palatino Linotype" w:hAnsi="Palatino Linotype"/>
          </w:rPr>
          <w:t>RESPUESTA 831-2021 DA.pdf</w:t>
        </w:r>
      </w:hyperlink>
      <w:r w:rsidRPr="00B51B20">
        <w:rPr>
          <w:rFonts w:ascii="Palatino Linotype" w:hAnsi="Palatino Linotype" w:cs="Arial"/>
        </w:rPr>
        <w:t xml:space="preserve">”, </w:t>
      </w:r>
      <w:r w:rsidR="00D46D2A" w:rsidRPr="00B51B20">
        <w:rPr>
          <w:rFonts w:ascii="Palatino Linotype" w:hAnsi="Palatino Linotype" w:cs="Arial"/>
        </w:rPr>
        <w:t>el cual contiene el oficio número IEEM/DA/3675/2021</w:t>
      </w:r>
      <w:r w:rsidR="00C16B1E" w:rsidRPr="00B51B20">
        <w:rPr>
          <w:rFonts w:ascii="Palatino Linotype" w:hAnsi="Palatino Linotype" w:cs="Arial"/>
        </w:rPr>
        <w:t xml:space="preserve">, por medio del cual el Director de Administración, hizo del conocimiento Titular de la Unidad de Transparencia ambos del </w:t>
      </w:r>
      <w:r w:rsidR="00C16B1E" w:rsidRPr="00B51B20">
        <w:rPr>
          <w:rFonts w:ascii="Palatino Linotype" w:hAnsi="Palatino Linotype" w:cs="Arial"/>
          <w:b/>
        </w:rPr>
        <w:t xml:space="preserve">SUJETO OBLIGADO, </w:t>
      </w:r>
      <w:r w:rsidR="00C16B1E" w:rsidRPr="00B51B20">
        <w:rPr>
          <w:rFonts w:ascii="Palatino Linotype" w:hAnsi="Palatino Linotype" w:cs="Arial"/>
          <w:b/>
          <w:u w:val="single"/>
        </w:rPr>
        <w:t>que los Órganos Desconcentrados son de carácter eventual</w:t>
      </w:r>
      <w:r w:rsidR="00C16B1E" w:rsidRPr="00B51B20">
        <w:rPr>
          <w:rFonts w:ascii="Palatino Linotype" w:hAnsi="Palatino Linotype" w:cs="Arial"/>
        </w:rPr>
        <w:t xml:space="preserve"> y sólo mantienen sus funciones durante el desarrollo del proceso electoral, concluyendo las mismas hasta que adquieren </w:t>
      </w:r>
      <w:proofErr w:type="spellStart"/>
      <w:r w:rsidR="00C16B1E" w:rsidRPr="00B51B20">
        <w:rPr>
          <w:rFonts w:ascii="Palatino Linotype" w:hAnsi="Palatino Linotype" w:cs="Arial"/>
        </w:rPr>
        <w:t>definitividad</w:t>
      </w:r>
      <w:proofErr w:type="spellEnd"/>
      <w:r w:rsidR="00C16B1E" w:rsidRPr="00B51B20">
        <w:rPr>
          <w:rFonts w:ascii="Palatino Linotype" w:hAnsi="Palatino Linotype" w:cs="Arial"/>
        </w:rPr>
        <w:t xml:space="preserve"> los resultados, las declaraciones de validez o la entrega de las constancias de mayoría o asignación, en las respectivas e</w:t>
      </w:r>
      <w:r w:rsidR="00332007" w:rsidRPr="00B51B20">
        <w:rPr>
          <w:rFonts w:ascii="Palatino Linotype" w:hAnsi="Palatino Linotype" w:cs="Arial"/>
        </w:rPr>
        <w:t>lecciones en las que participan, lo anterior, derivado</w:t>
      </w:r>
      <w:r w:rsidR="00C16B1E" w:rsidRPr="00B51B20">
        <w:rPr>
          <w:rFonts w:ascii="Palatino Linotype" w:hAnsi="Palatino Linotype" w:cs="Arial"/>
        </w:rPr>
        <w:t xml:space="preserve"> que en los contratos </w:t>
      </w:r>
      <w:r w:rsidR="00332007" w:rsidRPr="00B51B20">
        <w:rPr>
          <w:rFonts w:ascii="Palatino Linotype" w:hAnsi="Palatino Linotype" w:cs="Arial"/>
        </w:rPr>
        <w:t>individuales de trabajo por tiempo determinado del personal adscrito a los Órganos Desconcentrados, en su cláusula quinta señala:</w:t>
      </w:r>
    </w:p>
    <w:p w14:paraId="3792B8B4" w14:textId="77777777" w:rsidR="00332007" w:rsidRPr="00B51B20" w:rsidRDefault="00332007" w:rsidP="00DD33AE">
      <w:pPr>
        <w:spacing w:before="240" w:after="240" w:line="360" w:lineRule="auto"/>
        <w:jc w:val="both"/>
        <w:rPr>
          <w:rFonts w:ascii="Palatino Linotype" w:hAnsi="Palatino Linotype" w:cs="Arial"/>
        </w:rPr>
      </w:pPr>
      <w:r w:rsidRPr="00B51B20">
        <w:rPr>
          <w:noProof/>
          <w:lang w:val="en-US" w:eastAsia="en-US"/>
        </w:rPr>
        <w:drawing>
          <wp:inline distT="0" distB="0" distL="0" distR="0" wp14:anchorId="6895C8C8" wp14:editId="55449757">
            <wp:extent cx="5540375" cy="1733266"/>
            <wp:effectExtent l="0" t="0" r="317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3175" t="44533" r="28983" b="34704"/>
                    <a:stretch/>
                  </pic:blipFill>
                  <pic:spPr bwMode="auto">
                    <a:xfrm>
                      <a:off x="0" y="0"/>
                      <a:ext cx="5587888" cy="1748130"/>
                    </a:xfrm>
                    <a:prstGeom prst="rect">
                      <a:avLst/>
                    </a:prstGeom>
                    <a:ln>
                      <a:noFill/>
                    </a:ln>
                    <a:extLst>
                      <a:ext uri="{53640926-AAD7-44D8-BBD7-CCE9431645EC}">
                        <a14:shadowObscured xmlns:a14="http://schemas.microsoft.com/office/drawing/2010/main"/>
                      </a:ext>
                    </a:extLst>
                  </pic:spPr>
                </pic:pic>
              </a:graphicData>
            </a:graphic>
          </wp:inline>
        </w:drawing>
      </w:r>
    </w:p>
    <w:p w14:paraId="12C490B5" w14:textId="77777777" w:rsidR="00332007" w:rsidRPr="00B51B20" w:rsidRDefault="00332007" w:rsidP="00DD33AE">
      <w:pPr>
        <w:spacing w:before="240" w:after="240" w:line="360" w:lineRule="auto"/>
        <w:jc w:val="both"/>
        <w:rPr>
          <w:rFonts w:ascii="Palatino Linotype" w:hAnsi="Palatino Linotype" w:cs="Arial"/>
        </w:rPr>
      </w:pPr>
      <w:r w:rsidRPr="00B51B20">
        <w:rPr>
          <w:rFonts w:ascii="Palatino Linotype" w:hAnsi="Palatino Linotype" w:cs="Arial"/>
        </w:rPr>
        <w:t>C</w:t>
      </w:r>
      <w:r w:rsidR="005B0700" w:rsidRPr="00B51B20">
        <w:rPr>
          <w:rFonts w:ascii="Palatino Linotype" w:hAnsi="Palatino Linotype" w:cs="Arial"/>
        </w:rPr>
        <w:t>oncluyendo con base en lo anterior, que después de haber realizado una bús</w:t>
      </w:r>
      <w:r w:rsidR="00926155" w:rsidRPr="00B51B20">
        <w:rPr>
          <w:rFonts w:ascii="Palatino Linotype" w:hAnsi="Palatino Linotype" w:cs="Arial"/>
        </w:rPr>
        <w:t>queda exhaustiva, razonable y minuciosa</w:t>
      </w:r>
      <w:r w:rsidR="005B0700" w:rsidRPr="00B51B20">
        <w:rPr>
          <w:rFonts w:ascii="Palatino Linotype" w:hAnsi="Palatino Linotype" w:cs="Arial"/>
        </w:rPr>
        <w:t xml:space="preserve">, en los archivos de la mencionada dirección, no se cuenta con documentos relacionados a las listas de asistencias solicitadas, toda vez que en el marco del proceso electoral 2021, para la renovación de diputaciones y los Ayuntamientos del Estado de México, los Órganos Desconcentrados del </w:t>
      </w:r>
      <w:r w:rsidR="005B0700" w:rsidRPr="00E61D83">
        <w:rPr>
          <w:rFonts w:ascii="Palatino Linotype" w:hAnsi="Palatino Linotype" w:cs="Arial"/>
          <w:b/>
        </w:rPr>
        <w:lastRenderedPageBreak/>
        <w:t>SUJETO OBLIGADO</w:t>
      </w:r>
      <w:r w:rsidR="005B0700" w:rsidRPr="00B51B20">
        <w:rPr>
          <w:rFonts w:ascii="Palatino Linotype" w:hAnsi="Palatino Linotype" w:cs="Arial"/>
        </w:rPr>
        <w:t xml:space="preserve">, se instalaron y llevaron a cabo sus funciones durante la suspensión de actividades presenciales realizadas con motivo de la Pandemia por COVID-19, por lo que se privilegió el trabajo a distancia por parte de los referidos órganos. </w:t>
      </w:r>
    </w:p>
    <w:p w14:paraId="19F035E4" w14:textId="266E0A80" w:rsidR="00A501F2" w:rsidRPr="00B51B20" w:rsidRDefault="00DD33AE" w:rsidP="00DD33AE">
      <w:pPr>
        <w:spacing w:before="240" w:after="240" w:line="360" w:lineRule="auto"/>
        <w:jc w:val="both"/>
        <w:rPr>
          <w:rFonts w:ascii="Palatino Linotype" w:hAnsi="Palatino Linotype" w:cs="Arial"/>
        </w:rPr>
      </w:pPr>
      <w:r w:rsidRPr="00B51B20">
        <w:rPr>
          <w:rFonts w:ascii="Palatino Linotype" w:hAnsi="Palatino Linotype" w:cs="Arial"/>
        </w:rPr>
        <w:t xml:space="preserve">Inconforme </w:t>
      </w:r>
      <w:r w:rsidR="00204F0A" w:rsidRPr="00B51B20">
        <w:rPr>
          <w:rFonts w:ascii="Palatino Linotype" w:hAnsi="Palatino Linotype" w:cs="Arial"/>
        </w:rPr>
        <w:t xml:space="preserve">la </w:t>
      </w:r>
      <w:r w:rsidR="003D4D8A" w:rsidRPr="00B51B20">
        <w:rPr>
          <w:rFonts w:ascii="Palatino Linotype" w:hAnsi="Palatino Linotype" w:cs="Arial"/>
          <w:b/>
          <w:bCs/>
        </w:rPr>
        <w:t>RECURRENTE</w:t>
      </w:r>
      <w:r w:rsidR="00C10079" w:rsidRPr="00B51B20">
        <w:rPr>
          <w:rFonts w:ascii="Palatino Linotype" w:hAnsi="Palatino Linotype" w:cs="Arial"/>
        </w:rPr>
        <w:t xml:space="preserve"> con la respuesta</w:t>
      </w:r>
      <w:r w:rsidRPr="00B51B20">
        <w:rPr>
          <w:rFonts w:ascii="Palatino Linotype" w:hAnsi="Palatino Linotype" w:cs="Arial"/>
        </w:rPr>
        <w:t>, interpuso el Recurso d</w:t>
      </w:r>
      <w:r w:rsidR="00C10079" w:rsidRPr="00B51B20">
        <w:rPr>
          <w:rFonts w:ascii="Palatino Linotype" w:hAnsi="Palatino Linotype" w:cs="Arial"/>
        </w:rPr>
        <w:t xml:space="preserve">e Revisión que se resuelve, </w:t>
      </w:r>
      <w:r w:rsidR="006A6677" w:rsidRPr="00B51B20">
        <w:rPr>
          <w:rFonts w:ascii="Palatino Linotype" w:hAnsi="Palatino Linotype" w:cs="Arial"/>
        </w:rPr>
        <w:t xml:space="preserve">en lo medular </w:t>
      </w:r>
      <w:r w:rsidR="005B0700" w:rsidRPr="00B51B20">
        <w:rPr>
          <w:rFonts w:ascii="Palatino Linotype" w:hAnsi="Palatino Linotype" w:cs="Arial"/>
        </w:rPr>
        <w:t>por la negativa de la información solicitada.</w:t>
      </w:r>
    </w:p>
    <w:p w14:paraId="2F501FE8" w14:textId="77777777" w:rsidR="00E603CC" w:rsidRPr="00B51B20" w:rsidRDefault="00DD33AE" w:rsidP="002F0E46">
      <w:pPr>
        <w:spacing w:before="240" w:after="240" w:line="360" w:lineRule="auto"/>
        <w:jc w:val="both"/>
        <w:rPr>
          <w:rFonts w:ascii="Palatino Linotype" w:hAnsi="Palatino Linotype" w:cs="Arial"/>
        </w:rPr>
      </w:pPr>
      <w:r w:rsidRPr="00B51B20">
        <w:rPr>
          <w:rFonts w:ascii="Palatino Linotype" w:hAnsi="Palatino Linotype" w:cs="Arial"/>
        </w:rPr>
        <w:t>Una vez notificado el recurso de revi</w:t>
      </w:r>
      <w:r w:rsidR="007122F1" w:rsidRPr="00B51B20">
        <w:rPr>
          <w:rFonts w:ascii="Palatino Linotype" w:hAnsi="Palatino Linotype" w:cs="Arial"/>
        </w:rPr>
        <w:t xml:space="preserve">sión al </w:t>
      </w:r>
      <w:r w:rsidR="00C9302C" w:rsidRPr="00B51B20">
        <w:rPr>
          <w:rFonts w:ascii="Palatino Linotype" w:hAnsi="Palatino Linotype" w:cs="Arial"/>
          <w:b/>
        </w:rPr>
        <w:t>SUJETO OBLIGADO</w:t>
      </w:r>
      <w:r w:rsidR="007122F1" w:rsidRPr="00B51B20">
        <w:rPr>
          <w:rFonts w:ascii="Palatino Linotype" w:hAnsi="Palatino Linotype" w:cs="Arial"/>
        </w:rPr>
        <w:t xml:space="preserve">, </w:t>
      </w:r>
      <w:r w:rsidR="005B0700" w:rsidRPr="00B51B20">
        <w:rPr>
          <w:rFonts w:ascii="Palatino Linotype" w:hAnsi="Palatino Linotype" w:cs="Arial"/>
        </w:rPr>
        <w:t xml:space="preserve">emitió su informe justificado, a través de los siguientes archivos electrónicos: </w:t>
      </w:r>
      <w:r w:rsidR="005B0700" w:rsidRPr="00B51B20">
        <w:rPr>
          <w:rFonts w:ascii="Palatino Linotype" w:hAnsi="Palatino Linotype"/>
        </w:rPr>
        <w:t>“</w:t>
      </w:r>
      <w:hyperlink r:id="rId18" w:history="1">
        <w:r w:rsidR="005B0700" w:rsidRPr="00B51B20">
          <w:rPr>
            <w:rFonts w:ascii="Palatino Linotype" w:hAnsi="Palatino Linotype"/>
          </w:rPr>
          <w:t>INFORME JUSTIFICADO RR 6104-2021 UT.pdf</w:t>
        </w:r>
      </w:hyperlink>
      <w:r w:rsidR="005B0700" w:rsidRPr="00B51B20">
        <w:rPr>
          <w:rFonts w:ascii="Palatino Linotype" w:hAnsi="Palatino Linotype"/>
        </w:rPr>
        <w:t>”</w:t>
      </w:r>
      <w:r w:rsidR="005B0700" w:rsidRPr="00B51B20">
        <w:rPr>
          <w:rFonts w:ascii="Palatino Linotype" w:hAnsi="Palatino Linotype" w:cs="Arial"/>
        </w:rPr>
        <w:t xml:space="preserve"> y “</w:t>
      </w:r>
      <w:hyperlink r:id="rId19" w:history="1">
        <w:r w:rsidR="005B0700" w:rsidRPr="00B51B20">
          <w:rPr>
            <w:rFonts w:ascii="Palatino Linotype" w:hAnsi="Palatino Linotype"/>
          </w:rPr>
          <w:br/>
          <w:t>INFORME JUSTIFICADO RR 6104-2021 DA.pdf</w:t>
        </w:r>
      </w:hyperlink>
      <w:r w:rsidR="005B0700" w:rsidRPr="00B51B20">
        <w:rPr>
          <w:rFonts w:ascii="Palatino Linotype" w:hAnsi="Palatino Linotype"/>
        </w:rPr>
        <w:t>”, a través de los cuales tanto el Director de Administración como el Titular de la Unidad de Transparencia, ambos del Instituto Electoral del Estado de México, ratificaron su respuesta inicial.</w:t>
      </w:r>
    </w:p>
    <w:p w14:paraId="2FE4C3F9" w14:textId="77777777" w:rsidR="00633801" w:rsidRPr="00B51B20" w:rsidRDefault="00C52873" w:rsidP="00C52873">
      <w:pPr>
        <w:spacing w:before="240" w:after="240" w:line="360" w:lineRule="auto"/>
        <w:jc w:val="both"/>
        <w:rPr>
          <w:rFonts w:ascii="Palatino Linotype" w:eastAsia="Palatino Linotype" w:hAnsi="Palatino Linotype" w:cs="Palatino Linotype"/>
        </w:rPr>
      </w:pPr>
      <w:r w:rsidRPr="00B51B20">
        <w:rPr>
          <w:rFonts w:ascii="Palatino Linotype" w:hAnsi="Palatino Linotype"/>
        </w:rPr>
        <w:t xml:space="preserve">En tal contexto, del análisis de las constancias que integran el expediente en que se </w:t>
      </w:r>
      <w:r w:rsidR="00A7660E" w:rsidRPr="00B51B20">
        <w:rPr>
          <w:rFonts w:ascii="Palatino Linotype" w:hAnsi="Palatino Linotype"/>
        </w:rPr>
        <w:t>actúa,</w:t>
      </w:r>
      <w:r w:rsidRPr="00B51B20">
        <w:rPr>
          <w:rFonts w:ascii="Palatino Linotype" w:hAnsi="Palatino Linotype"/>
        </w:rPr>
        <w:t xml:space="preserve"> así como de la materia sobre la que versa la solicitud de acceso a la información pública, se advierte que los motivos de inconformidad acontecen</w:t>
      </w:r>
      <w:r w:rsidR="00BB5235" w:rsidRPr="00B51B20">
        <w:rPr>
          <w:rFonts w:ascii="Palatino Linotype" w:hAnsi="Palatino Linotype"/>
        </w:rPr>
        <w:t xml:space="preserve"> </w:t>
      </w:r>
      <w:r w:rsidR="00633801" w:rsidRPr="00B51B20">
        <w:rPr>
          <w:rFonts w:ascii="Palatino Linotype" w:hAnsi="Palatino Linotype"/>
        </w:rPr>
        <w:t>in</w:t>
      </w:r>
      <w:r w:rsidR="002F0E46" w:rsidRPr="00B51B20">
        <w:rPr>
          <w:rFonts w:ascii="Palatino Linotype" w:hAnsi="Palatino Linotype"/>
        </w:rPr>
        <w:t>fundados para modificar</w:t>
      </w:r>
      <w:r w:rsidR="00633801" w:rsidRPr="00B51B20">
        <w:rPr>
          <w:rFonts w:ascii="Palatino Linotype" w:hAnsi="Palatino Linotype"/>
        </w:rPr>
        <w:t xml:space="preserve"> o revocar</w:t>
      </w:r>
      <w:r w:rsidRPr="00B51B20">
        <w:rPr>
          <w:rFonts w:ascii="Palatino Linotype" w:hAnsi="Palatino Linotype"/>
        </w:rPr>
        <w:t xml:space="preserve"> la respuesta del </w:t>
      </w:r>
      <w:r w:rsidR="00C9302C" w:rsidRPr="00B51B20">
        <w:rPr>
          <w:rFonts w:ascii="Palatino Linotype" w:hAnsi="Palatino Linotype"/>
          <w:b/>
        </w:rPr>
        <w:t>SUJETO OBLIGADO</w:t>
      </w:r>
      <w:r w:rsidR="00633801" w:rsidRPr="00B51B20">
        <w:rPr>
          <w:rFonts w:ascii="Palatino Linotype" w:hAnsi="Palatino Linotype"/>
        </w:rPr>
        <w:t>,</w:t>
      </w:r>
      <w:r w:rsidRPr="00B51B20">
        <w:rPr>
          <w:rFonts w:ascii="Palatino Linotype" w:hAnsi="Palatino Linotype"/>
        </w:rPr>
        <w:t xml:space="preserve"> </w:t>
      </w:r>
      <w:r w:rsidR="00633801" w:rsidRPr="00B51B20">
        <w:rPr>
          <w:rFonts w:ascii="Palatino Linotype" w:eastAsia="Palatino Linotype" w:hAnsi="Palatino Linotype" w:cs="Palatino Linotype"/>
        </w:rPr>
        <w:t>en razón de las consideraciones de derecho que a continuación se exponen:</w:t>
      </w:r>
    </w:p>
    <w:p w14:paraId="763F063D" w14:textId="77777777" w:rsidR="003805BC" w:rsidRPr="00B51B20" w:rsidRDefault="001A0CFD" w:rsidP="003805BC">
      <w:pPr>
        <w:spacing w:before="240" w:after="240" w:line="360" w:lineRule="auto"/>
        <w:jc w:val="both"/>
        <w:rPr>
          <w:rFonts w:ascii="Palatino Linotype" w:eastAsia="Palatino Linotype" w:hAnsi="Palatino Linotype" w:cs="Palatino Linotype"/>
        </w:rPr>
      </w:pPr>
      <w:r w:rsidRPr="00B51B20">
        <w:rPr>
          <w:rFonts w:ascii="Palatino Linotype" w:eastAsia="Palatino Linotype" w:hAnsi="Palatino Linotype" w:cs="Palatino Linotype"/>
        </w:rPr>
        <w:t>E</w:t>
      </w:r>
      <w:r w:rsidR="003805BC" w:rsidRPr="00B51B20">
        <w:rPr>
          <w:rFonts w:ascii="Palatino Linotype" w:eastAsia="Palatino Linotype" w:hAnsi="Palatino Linotype" w:cs="Palatino Linotype"/>
        </w:rPr>
        <w:t xml:space="preserve">s conveniente analizar si la respuesta del </w:t>
      </w:r>
      <w:r w:rsidR="00C9302C" w:rsidRPr="00B51B20">
        <w:rPr>
          <w:rFonts w:ascii="Palatino Linotype" w:eastAsia="Palatino Linotype" w:hAnsi="Palatino Linotype" w:cs="Palatino Linotype"/>
          <w:b/>
        </w:rPr>
        <w:t>SUJETO OBLIGADO</w:t>
      </w:r>
      <w:r w:rsidR="003805BC" w:rsidRPr="00B51B20">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003805BC" w:rsidRPr="00B51B20">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cualquier persona, </w:t>
      </w:r>
      <w:r w:rsidR="003805BC" w:rsidRPr="00B51B20">
        <w:rPr>
          <w:rFonts w:ascii="Palatino Linotype" w:eastAsia="Palatino Linotype" w:hAnsi="Palatino Linotype" w:cs="Palatino Linotype"/>
          <w:color w:val="000000"/>
        </w:rPr>
        <w:lastRenderedPageBreak/>
        <w:t>privilegiando el principio de máxima publicidad, como así lo establece dicha determinación, que a continuación se trascribe para un mejor entendimiento:</w:t>
      </w:r>
    </w:p>
    <w:p w14:paraId="6ADF49BE" w14:textId="77777777" w:rsidR="003805BC" w:rsidRPr="00B51B20" w:rsidRDefault="003805BC" w:rsidP="003805BC">
      <w:pPr>
        <w:spacing w:before="240"/>
        <w:ind w:left="709" w:right="760"/>
        <w:jc w:val="both"/>
        <w:rPr>
          <w:rFonts w:ascii="Palatino Linotype" w:eastAsia="Palatino Linotype" w:hAnsi="Palatino Linotype" w:cs="Palatino Linotype"/>
          <w:i/>
          <w:sz w:val="22"/>
          <w:szCs w:val="22"/>
        </w:rPr>
      </w:pPr>
      <w:r w:rsidRPr="00B51B20">
        <w:rPr>
          <w:rFonts w:ascii="Palatino Linotype" w:eastAsia="Palatino Linotype" w:hAnsi="Palatino Linotype" w:cs="Palatino Linotype"/>
          <w:i/>
          <w:sz w:val="22"/>
          <w:szCs w:val="22"/>
        </w:rPr>
        <w:t>“</w:t>
      </w:r>
      <w:r w:rsidRPr="00B51B20">
        <w:rPr>
          <w:rFonts w:ascii="Palatino Linotype" w:eastAsia="Palatino Linotype" w:hAnsi="Palatino Linotype" w:cs="Palatino Linotype"/>
          <w:b/>
          <w:i/>
          <w:sz w:val="22"/>
          <w:szCs w:val="22"/>
        </w:rPr>
        <w:t>Artículo 4.</w:t>
      </w:r>
      <w:r w:rsidRPr="00B51B2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31CFA55" w14:textId="77777777" w:rsidR="003805BC" w:rsidRPr="00B51B20" w:rsidRDefault="003805BC" w:rsidP="003805BC">
      <w:pPr>
        <w:ind w:left="709" w:right="760"/>
        <w:jc w:val="both"/>
        <w:rPr>
          <w:rFonts w:ascii="Palatino Linotype" w:eastAsia="Palatino Linotype" w:hAnsi="Palatino Linotype" w:cs="Palatino Linotype"/>
          <w:i/>
          <w:sz w:val="22"/>
          <w:szCs w:val="22"/>
        </w:rPr>
      </w:pPr>
      <w:r w:rsidRPr="00B51B2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51B20">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9BC4F8A" w14:textId="77777777" w:rsidR="003805BC" w:rsidRPr="00B51B20" w:rsidRDefault="003805BC" w:rsidP="003805BC">
      <w:pPr>
        <w:ind w:left="709" w:right="760"/>
        <w:jc w:val="both"/>
        <w:rPr>
          <w:rFonts w:ascii="Palatino Linotype" w:eastAsia="Palatino Linotype" w:hAnsi="Palatino Linotype" w:cs="Palatino Linotype"/>
          <w:i/>
          <w:sz w:val="22"/>
          <w:szCs w:val="22"/>
        </w:rPr>
      </w:pPr>
      <w:r w:rsidRPr="00B51B20">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B51B20">
        <w:rPr>
          <w:rFonts w:ascii="Palatino Linotype" w:eastAsia="Palatino Linotype" w:hAnsi="Palatino Linotype" w:cs="Palatino Linotype"/>
          <w:i/>
          <w:sz w:val="22"/>
          <w:szCs w:val="22"/>
        </w:rPr>
        <w:t>.”(Sic)</w:t>
      </w:r>
    </w:p>
    <w:p w14:paraId="284457F9" w14:textId="77777777" w:rsidR="003805BC" w:rsidRPr="00B51B20" w:rsidRDefault="003805BC" w:rsidP="003805BC">
      <w:pPr>
        <w:ind w:left="709" w:right="760"/>
        <w:jc w:val="both"/>
        <w:rPr>
          <w:rFonts w:ascii="Palatino Linotype" w:eastAsia="Palatino Linotype" w:hAnsi="Palatino Linotype" w:cs="Palatino Linotype"/>
          <w:i/>
        </w:rPr>
      </w:pPr>
    </w:p>
    <w:p w14:paraId="60EFA214" w14:textId="77777777" w:rsidR="003805BC" w:rsidRPr="00B51B20" w:rsidRDefault="003805BC" w:rsidP="003805BC">
      <w:pPr>
        <w:spacing w:before="240" w:after="240" w:line="360" w:lineRule="auto"/>
        <w:jc w:val="both"/>
        <w:rPr>
          <w:rFonts w:ascii="Palatino Linotype" w:eastAsia="Palatino Linotype" w:hAnsi="Palatino Linotype" w:cs="Palatino Linotype"/>
        </w:rPr>
      </w:pPr>
      <w:r w:rsidRPr="00B51B20">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429C310" w14:textId="77777777" w:rsidR="003805BC" w:rsidRPr="00B51B20" w:rsidRDefault="003805BC" w:rsidP="003805BC">
      <w:pPr>
        <w:ind w:left="567" w:right="758"/>
        <w:jc w:val="both"/>
        <w:rPr>
          <w:rFonts w:ascii="Palatino Linotype" w:eastAsia="Palatino Linotype" w:hAnsi="Palatino Linotype" w:cs="Palatino Linotype"/>
          <w:i/>
          <w:sz w:val="22"/>
          <w:szCs w:val="22"/>
        </w:rPr>
      </w:pPr>
      <w:r w:rsidRPr="00B51B20">
        <w:rPr>
          <w:rFonts w:ascii="Palatino Linotype" w:eastAsia="Palatino Linotype" w:hAnsi="Palatino Linotype" w:cs="Palatino Linotype"/>
          <w:i/>
          <w:sz w:val="22"/>
          <w:szCs w:val="22"/>
        </w:rPr>
        <w:t>“</w:t>
      </w:r>
      <w:r w:rsidRPr="00B51B20">
        <w:rPr>
          <w:rFonts w:ascii="Palatino Linotype" w:eastAsia="Palatino Linotype" w:hAnsi="Palatino Linotype" w:cs="Palatino Linotype"/>
          <w:b/>
          <w:i/>
          <w:sz w:val="22"/>
          <w:szCs w:val="22"/>
        </w:rPr>
        <w:t>Artículo12.-</w:t>
      </w:r>
      <w:r w:rsidRPr="00B51B2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312D28EF" w14:textId="77777777" w:rsidR="003805BC" w:rsidRPr="00B51B20" w:rsidRDefault="003805BC" w:rsidP="003805BC">
      <w:pPr>
        <w:ind w:left="567" w:right="758"/>
        <w:jc w:val="both"/>
        <w:rPr>
          <w:rFonts w:ascii="Palatino Linotype" w:eastAsia="Palatino Linotype" w:hAnsi="Palatino Linotype" w:cs="Palatino Linotype"/>
          <w:i/>
          <w:sz w:val="22"/>
          <w:szCs w:val="22"/>
        </w:rPr>
      </w:pPr>
      <w:r w:rsidRPr="00B51B2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B51B20">
        <w:rPr>
          <w:rFonts w:ascii="Palatino Linotype" w:eastAsia="Palatino Linotype" w:hAnsi="Palatino Linotype" w:cs="Palatino Linotype"/>
          <w:i/>
          <w:sz w:val="22"/>
          <w:szCs w:val="22"/>
        </w:rPr>
        <w:t xml:space="preserve">. </w:t>
      </w:r>
      <w:r w:rsidRPr="00B51B20">
        <w:rPr>
          <w:rFonts w:ascii="Palatino Linotype" w:eastAsia="Palatino Linotype" w:hAnsi="Palatino Linotype" w:cs="Palatino Linotype"/>
          <w:b/>
          <w:i/>
          <w:sz w:val="22"/>
          <w:szCs w:val="22"/>
        </w:rPr>
        <w:t xml:space="preserve">La obligación de proporcionar información no comprende el procesamiento de la </w:t>
      </w:r>
      <w:r w:rsidRPr="00B51B20">
        <w:rPr>
          <w:rFonts w:ascii="Palatino Linotype" w:eastAsia="Palatino Linotype" w:hAnsi="Palatino Linotype" w:cs="Palatino Linotype"/>
          <w:b/>
          <w:i/>
          <w:sz w:val="22"/>
          <w:szCs w:val="22"/>
        </w:rPr>
        <w:lastRenderedPageBreak/>
        <w:t>misma, ni el presentarla conforme al interés del solicitante; no estarán obligados a generarla, resumirla, efectuar cálculos o practicar investigaciones.” (Sic)</w:t>
      </w:r>
    </w:p>
    <w:p w14:paraId="2C8836C9" w14:textId="77777777" w:rsidR="003805BC" w:rsidRPr="00B51B20" w:rsidRDefault="003805BC" w:rsidP="003805BC">
      <w:pPr>
        <w:spacing w:line="360" w:lineRule="auto"/>
        <w:ind w:right="-93"/>
        <w:jc w:val="both"/>
        <w:rPr>
          <w:rFonts w:ascii="Palatino Linotype" w:eastAsia="Palatino Linotype" w:hAnsi="Palatino Linotype" w:cs="Palatino Linotype"/>
          <w:color w:val="000000"/>
        </w:rPr>
      </w:pPr>
    </w:p>
    <w:p w14:paraId="00AA8E52" w14:textId="77777777" w:rsidR="003805BC" w:rsidRPr="00B51B20" w:rsidRDefault="003805BC" w:rsidP="003805BC">
      <w:pPr>
        <w:spacing w:line="360" w:lineRule="auto"/>
        <w:ind w:right="-93"/>
        <w:jc w:val="both"/>
        <w:rPr>
          <w:rFonts w:ascii="Palatino Linotype" w:eastAsia="Palatino Linotype" w:hAnsi="Palatino Linotype" w:cs="Palatino Linotype"/>
          <w:color w:val="000000"/>
        </w:rPr>
      </w:pPr>
      <w:r w:rsidRPr="00B51B20">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2A229657" w14:textId="77777777" w:rsidR="003805BC" w:rsidRPr="00B51B20" w:rsidRDefault="003805BC" w:rsidP="003805BC">
      <w:pPr>
        <w:spacing w:line="360" w:lineRule="auto"/>
        <w:ind w:right="-93"/>
        <w:jc w:val="both"/>
        <w:rPr>
          <w:rFonts w:ascii="Palatino Linotype" w:eastAsia="Palatino Linotype" w:hAnsi="Palatino Linotype" w:cs="Palatino Linotype"/>
          <w:color w:val="000000"/>
        </w:rPr>
      </w:pPr>
    </w:p>
    <w:p w14:paraId="0BEE4414" w14:textId="77777777" w:rsidR="003805BC" w:rsidRPr="00B51B20" w:rsidRDefault="003805BC" w:rsidP="003805BC">
      <w:pPr>
        <w:spacing w:line="360" w:lineRule="auto"/>
        <w:jc w:val="both"/>
        <w:rPr>
          <w:rFonts w:ascii="Palatino Linotype" w:hAnsi="Palatino Linotype"/>
          <w:b/>
          <w:bCs/>
          <w:color w:val="000000"/>
        </w:rPr>
      </w:pPr>
      <w:r w:rsidRPr="00B51B20">
        <w:rPr>
          <w:rFonts w:ascii="Palatino Linotype" w:hAnsi="Palatino Linotype" w:cs="Arial"/>
          <w:color w:val="000000"/>
        </w:rPr>
        <w:t xml:space="preserve">Sirve de apoyo a lo anterior, el criterio 03-17, expuesto por </w:t>
      </w:r>
      <w:r w:rsidRPr="00B51B20">
        <w:rPr>
          <w:rFonts w:ascii="Palatino Linotype" w:eastAsia="Arial Unicode MS" w:hAnsi="Palatino Linotype" w:cs="Arial"/>
          <w:color w:val="000000"/>
        </w:rPr>
        <w:t>el Instituto Nacional de Transparencia, Acceso a la Información y Protección de Datos Personales,</w:t>
      </w:r>
      <w:r w:rsidRPr="00B51B20">
        <w:rPr>
          <w:rFonts w:ascii="Palatino Linotype" w:hAnsi="Palatino Linotype"/>
          <w:bCs/>
          <w:color w:val="000000"/>
        </w:rPr>
        <w:t xml:space="preserve"> que dice:</w:t>
      </w:r>
      <w:r w:rsidRPr="00B51B20">
        <w:rPr>
          <w:rFonts w:ascii="Palatino Linotype" w:hAnsi="Palatino Linotype"/>
          <w:b/>
          <w:bCs/>
          <w:color w:val="000000"/>
        </w:rPr>
        <w:t xml:space="preserve"> </w:t>
      </w:r>
    </w:p>
    <w:p w14:paraId="4EB66248" w14:textId="77777777" w:rsidR="003805BC" w:rsidRPr="00B51B20" w:rsidRDefault="003805BC" w:rsidP="003805BC">
      <w:pPr>
        <w:ind w:left="851" w:right="850"/>
        <w:jc w:val="both"/>
        <w:rPr>
          <w:rFonts w:ascii="Palatino Linotype" w:hAnsi="Palatino Linotype" w:cs="Arial"/>
          <w:color w:val="000000"/>
        </w:rPr>
      </w:pPr>
    </w:p>
    <w:p w14:paraId="45E55064" w14:textId="77777777" w:rsidR="003805BC" w:rsidRPr="00B51B20" w:rsidRDefault="003805BC" w:rsidP="003805BC">
      <w:pPr>
        <w:ind w:left="851" w:right="901"/>
        <w:jc w:val="both"/>
        <w:rPr>
          <w:rFonts w:ascii="Palatino Linotype" w:hAnsi="Palatino Linotype" w:cs="Arial"/>
          <w:i/>
          <w:color w:val="000000"/>
          <w:sz w:val="22"/>
          <w:szCs w:val="22"/>
        </w:rPr>
      </w:pPr>
      <w:r w:rsidRPr="00B51B20">
        <w:rPr>
          <w:rFonts w:ascii="Palatino Linotype" w:hAnsi="Palatino Linotype" w:cs="Arial"/>
          <w:i/>
          <w:color w:val="000000"/>
          <w:sz w:val="22"/>
          <w:szCs w:val="22"/>
        </w:rPr>
        <w:t>“</w:t>
      </w:r>
      <w:r w:rsidRPr="00B51B20">
        <w:rPr>
          <w:rFonts w:ascii="Palatino Linotype" w:hAnsi="Palatino Linotype" w:cs="Arial"/>
          <w:b/>
          <w:i/>
          <w:color w:val="000000"/>
          <w:sz w:val="22"/>
          <w:szCs w:val="22"/>
        </w:rPr>
        <w:t>No existe obligación de elaborar documentos ad hoc para atender las solicitudes de acceso a la información.</w:t>
      </w:r>
      <w:r w:rsidRPr="00B51B20">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949E19A" w14:textId="77777777" w:rsidR="003805BC" w:rsidRPr="00B51B20" w:rsidRDefault="003805BC" w:rsidP="003805BC">
      <w:pPr>
        <w:ind w:left="851" w:right="901"/>
        <w:jc w:val="both"/>
        <w:rPr>
          <w:rFonts w:ascii="Palatino Linotype" w:hAnsi="Palatino Linotype" w:cs="Arial"/>
          <w:i/>
          <w:color w:val="000000"/>
          <w:sz w:val="22"/>
          <w:szCs w:val="22"/>
        </w:rPr>
      </w:pPr>
      <w:r w:rsidRPr="00B51B20">
        <w:rPr>
          <w:rFonts w:ascii="Palatino Linotype" w:hAnsi="Palatino Linotype" w:cs="Arial"/>
          <w:i/>
          <w:color w:val="000000"/>
          <w:sz w:val="22"/>
          <w:szCs w:val="22"/>
        </w:rPr>
        <w:t xml:space="preserve">Resoluciones: </w:t>
      </w:r>
    </w:p>
    <w:p w14:paraId="7260792E" w14:textId="77777777" w:rsidR="003805BC" w:rsidRPr="00B51B20" w:rsidRDefault="003805BC" w:rsidP="003805BC">
      <w:pPr>
        <w:ind w:left="851" w:right="901"/>
        <w:jc w:val="both"/>
        <w:rPr>
          <w:rFonts w:ascii="Palatino Linotype" w:hAnsi="Palatino Linotype" w:cs="Arial"/>
          <w:i/>
          <w:color w:val="000000"/>
          <w:sz w:val="22"/>
          <w:szCs w:val="22"/>
        </w:rPr>
      </w:pPr>
      <w:r w:rsidRPr="00B51B20">
        <w:rPr>
          <w:rFonts w:ascii="Palatino Linotype" w:hAnsi="Palatino Linotype" w:cs="Arial"/>
          <w:i/>
          <w:color w:val="000000"/>
          <w:sz w:val="22"/>
          <w:szCs w:val="22"/>
        </w:rPr>
        <w:sym w:font="Symbol" w:char="F0B7"/>
      </w:r>
      <w:r w:rsidRPr="00B51B20">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7A15C84D" w14:textId="77777777" w:rsidR="003805BC" w:rsidRPr="00B51B20" w:rsidRDefault="003805BC" w:rsidP="003805BC">
      <w:pPr>
        <w:ind w:left="851" w:right="901"/>
        <w:jc w:val="both"/>
        <w:rPr>
          <w:rFonts w:ascii="Palatino Linotype" w:hAnsi="Palatino Linotype" w:cs="Arial"/>
          <w:i/>
          <w:color w:val="000000"/>
          <w:sz w:val="22"/>
          <w:szCs w:val="22"/>
        </w:rPr>
      </w:pPr>
      <w:r w:rsidRPr="00B51B20">
        <w:rPr>
          <w:rFonts w:ascii="Palatino Linotype" w:hAnsi="Palatino Linotype" w:cs="Arial"/>
          <w:i/>
          <w:color w:val="000000"/>
          <w:sz w:val="22"/>
          <w:szCs w:val="22"/>
        </w:rPr>
        <w:sym w:font="Symbol" w:char="F0B7"/>
      </w:r>
      <w:r w:rsidRPr="00B51B20">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30B23613" w14:textId="77777777" w:rsidR="003805BC" w:rsidRPr="00B51B20" w:rsidRDefault="003805BC" w:rsidP="003805BC">
      <w:pPr>
        <w:ind w:left="851" w:right="901"/>
        <w:jc w:val="both"/>
        <w:rPr>
          <w:rFonts w:ascii="Palatino Linotype" w:hAnsi="Palatino Linotype" w:cs="Arial"/>
          <w:i/>
          <w:color w:val="000000"/>
          <w:sz w:val="22"/>
          <w:szCs w:val="22"/>
        </w:rPr>
      </w:pPr>
      <w:r w:rsidRPr="00B51B20">
        <w:rPr>
          <w:rFonts w:ascii="Palatino Linotype" w:hAnsi="Palatino Linotype" w:cs="Arial"/>
          <w:i/>
          <w:color w:val="000000"/>
          <w:sz w:val="22"/>
          <w:szCs w:val="22"/>
        </w:rPr>
        <w:lastRenderedPageBreak/>
        <w:sym w:font="Symbol" w:char="F0B7"/>
      </w:r>
      <w:r w:rsidRPr="00B51B20">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14:paraId="3FD1335F" w14:textId="77777777" w:rsidR="003805BC" w:rsidRPr="00B51B20" w:rsidRDefault="003805BC" w:rsidP="003805BC">
      <w:pPr>
        <w:spacing w:line="360" w:lineRule="auto"/>
        <w:jc w:val="both"/>
        <w:rPr>
          <w:rFonts w:ascii="Palatino Linotype" w:hAnsi="Palatino Linotype" w:cs="Arial"/>
        </w:rPr>
      </w:pPr>
    </w:p>
    <w:p w14:paraId="57AC8D64" w14:textId="77777777" w:rsidR="003805BC" w:rsidRPr="00B51B20" w:rsidRDefault="003805BC" w:rsidP="003805BC">
      <w:pPr>
        <w:spacing w:line="360" w:lineRule="auto"/>
        <w:jc w:val="both"/>
        <w:rPr>
          <w:rFonts w:ascii="Palatino Linotype" w:hAnsi="Palatino Linotype" w:cs="Arial"/>
          <w:color w:val="000000" w:themeColor="text1"/>
        </w:rPr>
      </w:pPr>
      <w:r w:rsidRPr="00B51B20">
        <w:rPr>
          <w:rFonts w:ascii="Palatino Linotype" w:hAnsi="Palatino Linotype" w:cs="Arial"/>
        </w:rPr>
        <w:t xml:space="preserve">En esa tesitura, el artículo 24 en su último párrafo de la Ley de la Materia, dispone que los Sujetos Obligados </w:t>
      </w:r>
      <w:r w:rsidRPr="00B51B20">
        <w:rPr>
          <w:rFonts w:ascii="Palatino Linotype" w:hAnsi="Palatino Linotype" w:cs="Arial"/>
          <w:color w:val="000000" w:themeColor="text1"/>
        </w:rPr>
        <w:t xml:space="preserve">sólo proporcionarán la información pública que </w:t>
      </w:r>
      <w:r w:rsidRPr="00B51B20">
        <w:rPr>
          <w:rFonts w:ascii="Palatino Linotype" w:hAnsi="Palatino Linotype" w:cs="Arial"/>
        </w:rPr>
        <w:t>generen</w:t>
      </w:r>
      <w:r w:rsidRPr="00B51B20">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11B912EB" w14:textId="77777777" w:rsidR="003805BC" w:rsidRPr="00B51B20" w:rsidRDefault="003805BC" w:rsidP="003805BC">
      <w:pPr>
        <w:spacing w:line="360" w:lineRule="auto"/>
        <w:jc w:val="both"/>
        <w:rPr>
          <w:rFonts w:ascii="Palatino Linotype" w:hAnsi="Palatino Linotype" w:cs="Arial"/>
          <w:color w:val="000000" w:themeColor="text1"/>
        </w:rPr>
      </w:pPr>
    </w:p>
    <w:p w14:paraId="04176FD5" w14:textId="77777777" w:rsidR="003805BC" w:rsidRPr="00B51B20" w:rsidRDefault="003805BC" w:rsidP="003805BC">
      <w:pPr>
        <w:spacing w:before="240" w:after="240" w:line="360" w:lineRule="auto"/>
        <w:ind w:right="49"/>
        <w:contextualSpacing/>
        <w:jc w:val="both"/>
        <w:rPr>
          <w:rFonts w:ascii="Palatino Linotype" w:hAnsi="Palatino Linotype" w:cs="Arial"/>
        </w:rPr>
      </w:pPr>
      <w:r w:rsidRPr="00B51B20">
        <w:rPr>
          <w:rFonts w:ascii="Palatino Linotype" w:hAnsi="Palatino Linotype" w:cs="Arial"/>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229E32C" w14:textId="77777777" w:rsidR="003805BC" w:rsidRPr="00B51B20" w:rsidRDefault="003805BC" w:rsidP="003805BC">
      <w:pPr>
        <w:spacing w:before="240" w:after="240" w:line="360" w:lineRule="auto"/>
        <w:ind w:right="49"/>
        <w:contextualSpacing/>
        <w:jc w:val="both"/>
        <w:rPr>
          <w:rFonts w:ascii="Palatino Linotype" w:hAnsi="Palatino Linotype" w:cs="Arial"/>
        </w:rPr>
      </w:pPr>
    </w:p>
    <w:p w14:paraId="6BFCC993" w14:textId="77777777" w:rsidR="003805BC" w:rsidRPr="00B51B20" w:rsidRDefault="003805BC" w:rsidP="003805BC">
      <w:pPr>
        <w:spacing w:line="360" w:lineRule="auto"/>
        <w:jc w:val="both"/>
        <w:rPr>
          <w:rFonts w:ascii="Palatino Linotype" w:hAnsi="Palatino Linotype" w:cs="Arial"/>
        </w:rPr>
      </w:pPr>
      <w:r w:rsidRPr="00B51B20">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B51B20">
        <w:rPr>
          <w:rFonts w:ascii="Palatino Linotype" w:hAnsi="Palatino Linotype" w:cs="Arial"/>
        </w:rPr>
        <w:lastRenderedPageBreak/>
        <w:t xml:space="preserve">informático u holográfico de conformidad con el artículo 3, fracción XI de la Ley de la materia, el cual señala lo siguiente: </w:t>
      </w:r>
    </w:p>
    <w:p w14:paraId="5BCE0E40" w14:textId="77777777" w:rsidR="003805BC" w:rsidRPr="00B51B20" w:rsidRDefault="003805BC" w:rsidP="003805BC">
      <w:pPr>
        <w:ind w:left="851" w:right="899"/>
        <w:jc w:val="both"/>
        <w:rPr>
          <w:rFonts w:ascii="Palatino Linotype" w:hAnsi="Palatino Linotype" w:cs="Arial"/>
          <w:i/>
          <w:sz w:val="22"/>
          <w:szCs w:val="22"/>
        </w:rPr>
      </w:pPr>
    </w:p>
    <w:p w14:paraId="0B05A537" w14:textId="77777777" w:rsidR="003805BC" w:rsidRPr="00B51B20" w:rsidRDefault="003805BC" w:rsidP="003805BC">
      <w:pPr>
        <w:ind w:left="851" w:right="899"/>
        <w:jc w:val="both"/>
        <w:rPr>
          <w:rFonts w:ascii="Palatino Linotype" w:hAnsi="Palatino Linotype" w:cs="Arial"/>
          <w:i/>
          <w:sz w:val="22"/>
          <w:szCs w:val="22"/>
        </w:rPr>
      </w:pPr>
      <w:r w:rsidRPr="00B51B20">
        <w:rPr>
          <w:rFonts w:ascii="Palatino Linotype" w:hAnsi="Palatino Linotype" w:cs="Arial"/>
          <w:i/>
          <w:sz w:val="22"/>
          <w:szCs w:val="22"/>
        </w:rPr>
        <w:t>“</w:t>
      </w:r>
      <w:r w:rsidRPr="00B51B20">
        <w:rPr>
          <w:rFonts w:ascii="Palatino Linotype" w:hAnsi="Palatino Linotype" w:cs="Arial"/>
          <w:b/>
          <w:i/>
          <w:sz w:val="22"/>
          <w:szCs w:val="22"/>
        </w:rPr>
        <w:t xml:space="preserve">Artículo 3. </w:t>
      </w:r>
      <w:r w:rsidRPr="00B51B20">
        <w:rPr>
          <w:rFonts w:ascii="Palatino Linotype" w:hAnsi="Palatino Linotype" w:cs="Arial"/>
          <w:i/>
          <w:sz w:val="22"/>
          <w:szCs w:val="22"/>
        </w:rPr>
        <w:t>Para los efectos de la presente Ley se entenderá por:</w:t>
      </w:r>
    </w:p>
    <w:p w14:paraId="729FDB09" w14:textId="77777777" w:rsidR="003805BC" w:rsidRPr="00B51B20" w:rsidRDefault="003805BC" w:rsidP="003805BC">
      <w:pPr>
        <w:ind w:left="851" w:right="899"/>
        <w:jc w:val="both"/>
        <w:rPr>
          <w:rFonts w:ascii="Palatino Linotype" w:hAnsi="Palatino Linotype" w:cs="Arial"/>
          <w:i/>
          <w:sz w:val="22"/>
          <w:szCs w:val="22"/>
        </w:rPr>
      </w:pPr>
      <w:r w:rsidRPr="00B51B20">
        <w:rPr>
          <w:rFonts w:ascii="Palatino Linotype" w:hAnsi="Palatino Linotype" w:cs="Arial"/>
          <w:i/>
          <w:sz w:val="22"/>
          <w:szCs w:val="22"/>
        </w:rPr>
        <w:t>…</w:t>
      </w:r>
    </w:p>
    <w:p w14:paraId="79A2E0FA" w14:textId="77777777" w:rsidR="003805BC" w:rsidRPr="00B51B20" w:rsidRDefault="003805BC" w:rsidP="003805BC">
      <w:pPr>
        <w:ind w:left="851" w:right="899"/>
        <w:jc w:val="both"/>
        <w:rPr>
          <w:rFonts w:ascii="Palatino Linotype" w:hAnsi="Palatino Linotype" w:cs="Arial"/>
          <w:i/>
          <w:color w:val="000000"/>
          <w:sz w:val="22"/>
          <w:szCs w:val="22"/>
        </w:rPr>
      </w:pPr>
      <w:r w:rsidRPr="00B51B20">
        <w:rPr>
          <w:rFonts w:ascii="Palatino Linotype" w:hAnsi="Palatino Linotype" w:cs="Arial"/>
          <w:b/>
          <w:i/>
          <w:color w:val="000000"/>
          <w:sz w:val="22"/>
          <w:szCs w:val="22"/>
        </w:rPr>
        <w:t>XI. Documento:</w:t>
      </w:r>
      <w:r w:rsidRPr="00B51B20">
        <w:rPr>
          <w:rFonts w:ascii="Palatino Linotype" w:hAnsi="Palatino Linotype" w:cs="Arial"/>
          <w:i/>
          <w:color w:val="000000"/>
          <w:sz w:val="22"/>
          <w:szCs w:val="22"/>
        </w:rPr>
        <w:t xml:space="preserve"> Los expedientes, reportes, estudios, actas</w:t>
      </w:r>
      <w:r w:rsidRPr="00B51B20">
        <w:rPr>
          <w:rFonts w:ascii="Palatino Linotype" w:hAnsi="Palatino Linotype" w:cs="Arial"/>
          <w:b/>
          <w:i/>
          <w:color w:val="000000"/>
          <w:sz w:val="22"/>
          <w:szCs w:val="22"/>
        </w:rPr>
        <w:t>,</w:t>
      </w:r>
      <w:r w:rsidRPr="00B51B20">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89DC8A2" w14:textId="77777777" w:rsidR="003805BC" w:rsidRPr="00B51B20" w:rsidRDefault="003805BC" w:rsidP="003805BC">
      <w:pPr>
        <w:ind w:left="851" w:right="899"/>
        <w:jc w:val="both"/>
        <w:rPr>
          <w:rFonts w:ascii="Palatino Linotype" w:hAnsi="Palatino Linotype" w:cs="Arial"/>
          <w:sz w:val="22"/>
          <w:szCs w:val="22"/>
        </w:rPr>
      </w:pPr>
    </w:p>
    <w:p w14:paraId="5826EBC2" w14:textId="77777777" w:rsidR="003805BC" w:rsidRPr="00B51B20" w:rsidRDefault="003805BC" w:rsidP="003805BC">
      <w:pPr>
        <w:autoSpaceDE w:val="0"/>
        <w:autoSpaceDN w:val="0"/>
        <w:adjustRightInd w:val="0"/>
        <w:spacing w:line="360" w:lineRule="auto"/>
        <w:jc w:val="both"/>
        <w:rPr>
          <w:rFonts w:ascii="Palatino Linotype" w:hAnsi="Palatino Linotype" w:cs="Arial"/>
        </w:rPr>
      </w:pPr>
      <w:r w:rsidRPr="00B51B20">
        <w:rPr>
          <w:rFonts w:ascii="Palatino Linotype" w:hAnsi="Palatino Linotype" w:cs="Arial"/>
        </w:rPr>
        <w:t xml:space="preserve">Siendo aplicable, el Criterio </w:t>
      </w:r>
      <w:r w:rsidRPr="00B51B20">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B51B20">
        <w:rPr>
          <w:rFonts w:ascii="Palatino Linotype" w:hAnsi="Palatino Linotype" w:cs="Arial"/>
        </w:rPr>
        <w:t>cuyo rubro y texto refieren lo siguiente:</w:t>
      </w:r>
    </w:p>
    <w:p w14:paraId="682F4385" w14:textId="77777777" w:rsidR="003805BC" w:rsidRPr="00B51B20" w:rsidRDefault="003805BC" w:rsidP="003805BC">
      <w:pPr>
        <w:ind w:left="851" w:right="899"/>
        <w:jc w:val="both"/>
        <w:rPr>
          <w:rFonts w:ascii="Palatino Linotype" w:hAnsi="Palatino Linotype" w:cs="Arial"/>
        </w:rPr>
      </w:pPr>
    </w:p>
    <w:p w14:paraId="783E418B" w14:textId="77777777" w:rsidR="003805BC" w:rsidRPr="00B51B20" w:rsidRDefault="003805BC" w:rsidP="003805BC">
      <w:pPr>
        <w:ind w:left="851" w:right="899"/>
        <w:jc w:val="both"/>
        <w:rPr>
          <w:rFonts w:ascii="Palatino Linotype" w:hAnsi="Palatino Linotype" w:cs="Arial"/>
          <w:b/>
          <w:i/>
          <w:sz w:val="22"/>
          <w:szCs w:val="22"/>
        </w:rPr>
      </w:pPr>
      <w:r w:rsidRPr="00B51B20">
        <w:rPr>
          <w:rFonts w:ascii="Palatino Linotype" w:hAnsi="Palatino Linotype" w:cs="Arial"/>
          <w:b/>
          <w:sz w:val="22"/>
          <w:szCs w:val="22"/>
        </w:rPr>
        <w:t>“</w:t>
      </w:r>
      <w:r w:rsidRPr="00B51B20">
        <w:rPr>
          <w:rFonts w:ascii="Palatino Linotype" w:hAnsi="Palatino Linotype" w:cs="Arial"/>
          <w:b/>
          <w:i/>
          <w:sz w:val="22"/>
          <w:szCs w:val="22"/>
        </w:rPr>
        <w:t>CRITERIO 0002-11</w:t>
      </w:r>
    </w:p>
    <w:p w14:paraId="076577D9" w14:textId="77777777" w:rsidR="003805BC" w:rsidRPr="00B51B20" w:rsidRDefault="003805BC" w:rsidP="003805BC">
      <w:pPr>
        <w:ind w:left="851" w:right="899"/>
        <w:jc w:val="both"/>
        <w:rPr>
          <w:rFonts w:ascii="Palatino Linotype" w:hAnsi="Palatino Linotype" w:cs="Arial"/>
          <w:i/>
          <w:sz w:val="22"/>
          <w:szCs w:val="22"/>
        </w:rPr>
      </w:pPr>
      <w:r w:rsidRPr="00B51B20">
        <w:rPr>
          <w:rFonts w:ascii="Palatino Linotype" w:hAnsi="Palatino Linotype" w:cs="Arial"/>
          <w:b/>
          <w:i/>
          <w:sz w:val="22"/>
          <w:szCs w:val="22"/>
        </w:rPr>
        <w:t xml:space="preserve">INFORMACIÓN PÚBLICA, CONCEPTO DE, EN MATERIA DE TRANSPARENCIA. INTERPRETACIÓN SISTEMÁTICA DE LOS ARTÍCULOS 2°, FRACCIÓN </w:t>
      </w:r>
      <w:r w:rsidRPr="00B51B20">
        <w:rPr>
          <w:rFonts w:ascii="Palatino Linotype" w:hAnsi="Palatino Linotype" w:cs="Arial"/>
          <w:b/>
          <w:bCs/>
          <w:i/>
          <w:sz w:val="22"/>
          <w:szCs w:val="22"/>
        </w:rPr>
        <w:t xml:space="preserve">V, XV, Y XVI, </w:t>
      </w:r>
      <w:r w:rsidRPr="00B51B20">
        <w:rPr>
          <w:rFonts w:ascii="Palatino Linotype" w:hAnsi="Palatino Linotype" w:cs="Arial"/>
          <w:b/>
          <w:i/>
          <w:sz w:val="22"/>
          <w:szCs w:val="22"/>
        </w:rPr>
        <w:t>3°, 4°, 11 Y 41.</w:t>
      </w:r>
      <w:r w:rsidRPr="00B51B20">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AB3672B" w14:textId="77777777" w:rsidR="003805BC" w:rsidRPr="00B51B20" w:rsidRDefault="003805BC" w:rsidP="003805BC">
      <w:pPr>
        <w:ind w:left="851" w:right="899"/>
        <w:jc w:val="both"/>
        <w:rPr>
          <w:rFonts w:ascii="Palatino Linotype" w:hAnsi="Palatino Linotype" w:cs="Arial"/>
          <w:i/>
          <w:sz w:val="22"/>
          <w:szCs w:val="22"/>
        </w:rPr>
      </w:pPr>
      <w:r w:rsidRPr="00B51B20">
        <w:rPr>
          <w:rFonts w:ascii="Palatino Linotype" w:hAnsi="Palatino Linotype" w:cs="Arial"/>
          <w:i/>
          <w:sz w:val="22"/>
          <w:szCs w:val="22"/>
        </w:rPr>
        <w:t>En consecuencia el acceso a la información se refiere a que se cumplan cualquiera de los siguientes tres supuestos:</w:t>
      </w:r>
    </w:p>
    <w:p w14:paraId="2F89C453" w14:textId="77777777" w:rsidR="003805BC" w:rsidRPr="00B51B20" w:rsidRDefault="003805BC" w:rsidP="003805BC">
      <w:pPr>
        <w:ind w:left="851" w:right="899"/>
        <w:jc w:val="both"/>
        <w:rPr>
          <w:rFonts w:ascii="Palatino Linotype" w:hAnsi="Palatino Linotype" w:cs="Arial"/>
          <w:i/>
          <w:sz w:val="22"/>
          <w:szCs w:val="22"/>
        </w:rPr>
      </w:pPr>
      <w:r w:rsidRPr="00B51B20">
        <w:rPr>
          <w:rFonts w:ascii="Palatino Linotype" w:hAnsi="Palatino Linotype" w:cs="Arial"/>
          <w:i/>
          <w:sz w:val="22"/>
          <w:szCs w:val="22"/>
        </w:rPr>
        <w:t>1) Que se trate de información registrada en cualquier soporte documental, que en ejercicio de las atribuciones conferidas, sea generada por los Sujetos Obligados;</w:t>
      </w:r>
    </w:p>
    <w:p w14:paraId="533D669D" w14:textId="77777777" w:rsidR="003805BC" w:rsidRPr="00B51B20" w:rsidRDefault="003805BC" w:rsidP="003805BC">
      <w:pPr>
        <w:ind w:left="851" w:right="899"/>
        <w:jc w:val="both"/>
        <w:rPr>
          <w:rFonts w:ascii="Palatino Linotype" w:hAnsi="Palatino Linotype" w:cs="Arial"/>
          <w:b/>
          <w:i/>
          <w:sz w:val="22"/>
          <w:szCs w:val="22"/>
        </w:rPr>
      </w:pPr>
      <w:r w:rsidRPr="00B51B20">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7596734B" w14:textId="77777777" w:rsidR="003805BC" w:rsidRPr="00B51B20" w:rsidRDefault="003805BC" w:rsidP="003805BC">
      <w:pPr>
        <w:ind w:left="851" w:right="899"/>
        <w:jc w:val="both"/>
        <w:rPr>
          <w:rFonts w:ascii="Palatino Linotype" w:hAnsi="Palatino Linotype" w:cs="Arial"/>
          <w:b/>
          <w:i/>
          <w:sz w:val="22"/>
          <w:szCs w:val="22"/>
        </w:rPr>
      </w:pPr>
      <w:r w:rsidRPr="00B51B20">
        <w:rPr>
          <w:rFonts w:ascii="Palatino Linotype" w:hAnsi="Palatino Linotype" w:cs="Arial"/>
          <w:b/>
          <w:i/>
          <w:sz w:val="22"/>
          <w:szCs w:val="22"/>
        </w:rPr>
        <w:lastRenderedPageBreak/>
        <w:t xml:space="preserve">3) Que se trate de información registrada en cualquier soporte documental, que en ejercicio de las atribuciones conferidas, se encuentre en posesión de los Sujetos Obligados.” </w:t>
      </w:r>
    </w:p>
    <w:p w14:paraId="27D1F16B" w14:textId="77777777" w:rsidR="003805BC" w:rsidRPr="00B51B20" w:rsidRDefault="003805BC" w:rsidP="003805BC">
      <w:pPr>
        <w:spacing w:line="360" w:lineRule="auto"/>
        <w:ind w:right="-93"/>
        <w:jc w:val="both"/>
        <w:rPr>
          <w:rFonts w:ascii="Palatino Linotype" w:eastAsia="Palatino Linotype" w:hAnsi="Palatino Linotype" w:cs="Palatino Linotype"/>
          <w:color w:val="000000"/>
        </w:rPr>
      </w:pPr>
    </w:p>
    <w:p w14:paraId="3C276260" w14:textId="77777777" w:rsidR="003805BC" w:rsidRPr="00B51B20" w:rsidRDefault="003805BC" w:rsidP="003805BC">
      <w:pPr>
        <w:spacing w:line="360" w:lineRule="auto"/>
        <w:ind w:right="-93"/>
        <w:jc w:val="both"/>
        <w:rPr>
          <w:rFonts w:ascii="Palatino Linotype" w:hAnsi="Palatino Linotype" w:cs="Arial"/>
        </w:rPr>
      </w:pPr>
      <w:r w:rsidRPr="00B51B20">
        <w:rPr>
          <w:rFonts w:ascii="Palatino Linotype" w:eastAsia="Palatino Linotype" w:hAnsi="Palatino Linotype" w:cs="Palatino Linotype"/>
          <w:color w:val="000000"/>
        </w:rPr>
        <w:t>En virtud de lo anterior</w:t>
      </w:r>
      <w:r w:rsidRPr="00B51B20">
        <w:rPr>
          <w:rFonts w:ascii="Palatino Linotype" w:eastAsia="Palatino Linotype" w:hAnsi="Palatino Linotype" w:cs="Palatino Linotype"/>
        </w:rPr>
        <w:t xml:space="preserve">, se determina que la información emitida por el </w:t>
      </w:r>
      <w:r w:rsidR="00C11D2B" w:rsidRPr="00B51B20">
        <w:rPr>
          <w:rFonts w:ascii="Palatino Linotype" w:eastAsia="Palatino Linotype" w:hAnsi="Palatino Linotype" w:cs="Palatino Linotype"/>
          <w:b/>
        </w:rPr>
        <w:t>SUJETO OBLIGADO</w:t>
      </w:r>
      <w:r w:rsidRPr="00B51B20">
        <w:rPr>
          <w:rFonts w:ascii="Palatino Linotype" w:eastAsia="Palatino Linotype" w:hAnsi="Palatino Linotype" w:cs="Palatino Linotype"/>
        </w:rPr>
        <w:t xml:space="preserve"> en su respuesta, cumple con lo establ</w:t>
      </w:r>
      <w:r w:rsidR="00C9302C" w:rsidRPr="00B51B20">
        <w:rPr>
          <w:rFonts w:ascii="Palatino Linotype" w:eastAsia="Palatino Linotype" w:hAnsi="Palatino Linotype" w:cs="Palatino Linotype"/>
        </w:rPr>
        <w:t xml:space="preserve">ecido por los artículos 4, 12 y </w:t>
      </w:r>
      <w:r w:rsidRPr="00B51B20">
        <w:rPr>
          <w:rFonts w:ascii="Palatino Linotype" w:eastAsia="Palatino Linotype" w:hAnsi="Palatino Linotype" w:cs="Palatino Linotype"/>
        </w:rPr>
        <w:t xml:space="preserve">24 último párrafo de la Ley de </w:t>
      </w:r>
      <w:r w:rsidRPr="00B51B20">
        <w:rPr>
          <w:rFonts w:ascii="Palatino Linotype" w:hAnsi="Palatino Linotype" w:cs="Arial"/>
        </w:rPr>
        <w:t>Transparencia y Acceso a la Información Pública del Estado de México y Municipios, conforme a lo siguiente:</w:t>
      </w:r>
    </w:p>
    <w:p w14:paraId="4DF5C1CF" w14:textId="77777777" w:rsidR="009248F0" w:rsidRPr="00B51B20" w:rsidRDefault="009248F0" w:rsidP="009248F0">
      <w:pPr>
        <w:spacing w:line="360" w:lineRule="auto"/>
        <w:ind w:right="-93"/>
        <w:jc w:val="both"/>
        <w:rPr>
          <w:rFonts w:ascii="Palatino Linotype" w:hAnsi="Palatino Linotype" w:cs="Arial"/>
        </w:rPr>
      </w:pPr>
    </w:p>
    <w:p w14:paraId="70F85072" w14:textId="77777777" w:rsidR="003D4D8A" w:rsidRDefault="00D82D00" w:rsidP="009248F0">
      <w:pPr>
        <w:pStyle w:val="Prrafodelista"/>
        <w:tabs>
          <w:tab w:val="left" w:pos="0"/>
        </w:tabs>
        <w:spacing w:line="360" w:lineRule="auto"/>
        <w:ind w:left="0" w:right="49"/>
        <w:jc w:val="both"/>
        <w:rPr>
          <w:rFonts w:ascii="Palatino Linotype" w:hAnsi="Palatino Linotype" w:cs="Arial"/>
          <w:sz w:val="24"/>
          <w:szCs w:val="24"/>
        </w:rPr>
      </w:pPr>
      <w:r w:rsidRPr="00B51B20">
        <w:rPr>
          <w:rFonts w:ascii="Palatino Linotype" w:hAnsi="Palatino Linotype" w:cs="Arial"/>
          <w:sz w:val="24"/>
          <w:szCs w:val="24"/>
        </w:rPr>
        <w:t xml:space="preserve">El </w:t>
      </w:r>
      <w:r w:rsidRPr="00B51B20">
        <w:rPr>
          <w:rFonts w:ascii="Palatino Linotype" w:hAnsi="Palatino Linotype" w:cs="Arial"/>
          <w:b/>
          <w:sz w:val="24"/>
          <w:szCs w:val="24"/>
        </w:rPr>
        <w:t>SUJETO OBLIGADO</w:t>
      </w:r>
      <w:r w:rsidRPr="00B51B20">
        <w:rPr>
          <w:rFonts w:ascii="Palatino Linotype" w:hAnsi="Palatino Linotype" w:cs="Arial"/>
          <w:sz w:val="24"/>
          <w:szCs w:val="24"/>
        </w:rPr>
        <w:t>, en respuesta</w:t>
      </w:r>
      <w:r w:rsidR="003D4D8A" w:rsidRPr="00B51B20">
        <w:rPr>
          <w:rFonts w:ascii="Palatino Linotype" w:hAnsi="Palatino Linotype" w:cs="Arial"/>
          <w:sz w:val="24"/>
          <w:szCs w:val="24"/>
        </w:rPr>
        <w:t xml:space="preserve"> a su solicitud de información, así</w:t>
      </w:r>
      <w:r w:rsidRPr="00B51B20">
        <w:rPr>
          <w:rFonts w:ascii="Palatino Linotype" w:hAnsi="Palatino Linotype" w:cs="Arial"/>
          <w:sz w:val="24"/>
          <w:szCs w:val="24"/>
        </w:rPr>
        <w:t xml:space="preserve"> como en </w:t>
      </w:r>
      <w:r w:rsidR="003D4D8A" w:rsidRPr="00B51B20">
        <w:rPr>
          <w:rFonts w:ascii="Palatino Linotype" w:hAnsi="Palatino Linotype" w:cs="Arial"/>
          <w:sz w:val="24"/>
          <w:szCs w:val="24"/>
        </w:rPr>
        <w:t xml:space="preserve">su </w:t>
      </w:r>
      <w:r w:rsidRPr="00B51B20">
        <w:rPr>
          <w:rFonts w:ascii="Palatino Linotype" w:hAnsi="Palatino Linotype" w:cs="Arial"/>
          <w:sz w:val="24"/>
          <w:szCs w:val="24"/>
        </w:rPr>
        <w:t xml:space="preserve">informe justificado, señaló </w:t>
      </w:r>
      <w:r w:rsidR="003D4D8A" w:rsidRPr="00B51B20">
        <w:rPr>
          <w:rFonts w:ascii="Palatino Linotype" w:hAnsi="Palatino Linotype" w:cs="Arial"/>
          <w:sz w:val="24"/>
          <w:szCs w:val="24"/>
        </w:rPr>
        <w:t xml:space="preserve">que </w:t>
      </w:r>
      <w:r w:rsidRPr="00B51B20">
        <w:rPr>
          <w:rFonts w:ascii="Palatino Linotype" w:hAnsi="Palatino Linotype" w:cs="Arial"/>
          <w:sz w:val="24"/>
          <w:szCs w:val="24"/>
        </w:rPr>
        <w:t>las actividades de sus órganos desconcentrados</w:t>
      </w:r>
      <w:r w:rsidR="003D4D8A" w:rsidRPr="00B51B20">
        <w:rPr>
          <w:rFonts w:ascii="Palatino Linotype" w:hAnsi="Palatino Linotype" w:cs="Arial"/>
          <w:sz w:val="24"/>
          <w:szCs w:val="24"/>
        </w:rPr>
        <w:t xml:space="preserve">, </w:t>
      </w:r>
      <w:r w:rsidRPr="00B51B20">
        <w:rPr>
          <w:rFonts w:ascii="Palatino Linotype" w:hAnsi="Palatino Linotype" w:cs="Arial"/>
          <w:sz w:val="24"/>
          <w:szCs w:val="24"/>
        </w:rPr>
        <w:t>en específico de sus Juntas Distritales, se instalaron y llevaron a cabo sus actividades durante la suspensión de actividades presenciales realizadas con motivo de la pandemia por COVID-19, privilegiando el trabajo a distancia</w:t>
      </w:r>
      <w:r w:rsidR="003D4D8A" w:rsidRPr="00B51B20">
        <w:rPr>
          <w:rFonts w:ascii="Palatino Linotype" w:hAnsi="Palatino Linotype" w:cs="Arial"/>
          <w:sz w:val="24"/>
          <w:szCs w:val="24"/>
        </w:rPr>
        <w:t>.</w:t>
      </w:r>
    </w:p>
    <w:p w14:paraId="12208CAB" w14:textId="77777777" w:rsidR="00B51B20" w:rsidRPr="00B51B20" w:rsidRDefault="00B51B20" w:rsidP="009248F0">
      <w:pPr>
        <w:pStyle w:val="Prrafodelista"/>
        <w:tabs>
          <w:tab w:val="left" w:pos="0"/>
        </w:tabs>
        <w:spacing w:line="360" w:lineRule="auto"/>
        <w:ind w:left="0" w:right="49"/>
        <w:jc w:val="both"/>
        <w:rPr>
          <w:rFonts w:ascii="Palatino Linotype" w:hAnsi="Palatino Linotype" w:cs="Arial"/>
          <w:sz w:val="24"/>
          <w:szCs w:val="24"/>
        </w:rPr>
      </w:pPr>
    </w:p>
    <w:p w14:paraId="6819003B" w14:textId="178A3AC8" w:rsidR="009248F0" w:rsidRPr="00B51B20" w:rsidRDefault="003D4D8A" w:rsidP="009248F0">
      <w:pPr>
        <w:pStyle w:val="Prrafodelista"/>
        <w:tabs>
          <w:tab w:val="left" w:pos="0"/>
        </w:tabs>
        <w:spacing w:line="360" w:lineRule="auto"/>
        <w:ind w:left="0" w:right="49"/>
        <w:jc w:val="both"/>
        <w:rPr>
          <w:rFonts w:ascii="Palatino Linotype" w:hAnsi="Palatino Linotype" w:cs="Arial"/>
          <w:sz w:val="24"/>
          <w:szCs w:val="24"/>
        </w:rPr>
      </w:pPr>
      <w:r w:rsidRPr="00B51B20">
        <w:rPr>
          <w:rFonts w:ascii="Palatino Linotype" w:hAnsi="Palatino Linotype" w:cs="Arial"/>
          <w:sz w:val="24"/>
          <w:szCs w:val="24"/>
        </w:rPr>
        <w:t>A</w:t>
      </w:r>
      <w:r w:rsidR="00D82D00" w:rsidRPr="00B51B20">
        <w:rPr>
          <w:rFonts w:ascii="Palatino Linotype" w:hAnsi="Palatino Linotype" w:cs="Arial"/>
          <w:sz w:val="24"/>
          <w:szCs w:val="24"/>
        </w:rPr>
        <w:t>l respecto, e</w:t>
      </w:r>
      <w:r w:rsidR="009248F0" w:rsidRPr="00B51B20">
        <w:rPr>
          <w:rFonts w:ascii="Palatino Linotype" w:hAnsi="Palatino Linotype" w:cs="Arial"/>
          <w:sz w:val="24"/>
          <w:szCs w:val="24"/>
        </w:rPr>
        <w:t xml:space="preserve">n el Estado de México, ante el incremento de los contagios derivado de virus </w:t>
      </w:r>
      <w:proofErr w:type="spellStart"/>
      <w:r w:rsidR="009248F0" w:rsidRPr="00B51B20">
        <w:rPr>
          <w:rFonts w:ascii="Palatino Linotype" w:hAnsi="Palatino Linotype" w:cs="Arial"/>
          <w:sz w:val="24"/>
          <w:szCs w:val="24"/>
        </w:rPr>
        <w:t>Sars</w:t>
      </w:r>
      <w:proofErr w:type="spellEnd"/>
      <w:r w:rsidR="009248F0" w:rsidRPr="00B51B20">
        <w:rPr>
          <w:rFonts w:ascii="Palatino Linotype" w:hAnsi="Palatino Linotype" w:cs="Arial"/>
          <w:sz w:val="24"/>
          <w:szCs w:val="24"/>
        </w:rPr>
        <w:t xml:space="preserve"> -cov-2 (COVID 19)</w:t>
      </w:r>
      <w:r w:rsidR="00926155" w:rsidRPr="00B51B20">
        <w:rPr>
          <w:rFonts w:ascii="Palatino Linotype" w:hAnsi="Palatino Linotype" w:cs="Arial"/>
          <w:sz w:val="24"/>
          <w:szCs w:val="24"/>
        </w:rPr>
        <w:t xml:space="preserve">, </w:t>
      </w:r>
      <w:r w:rsidRPr="00B51B20">
        <w:rPr>
          <w:rFonts w:ascii="Palatino Linotype" w:hAnsi="Palatino Linotype" w:cs="Arial"/>
          <w:sz w:val="24"/>
          <w:szCs w:val="24"/>
        </w:rPr>
        <w:t>se tomaron</w:t>
      </w:r>
      <w:r w:rsidR="009248F0" w:rsidRPr="00B51B20">
        <w:rPr>
          <w:rFonts w:ascii="Palatino Linotype" w:hAnsi="Palatino Linotype" w:cs="Arial"/>
          <w:sz w:val="24"/>
          <w:szCs w:val="24"/>
        </w:rPr>
        <w:t xml:space="preserve"> las medidas pertinentes para frenar dichos contagios, a través del Acuerdo por el que se establece el Plan para regreso seguro a las Actividades Económicas, Sociales, Gubernamentales y Educativas con motivo del virus </w:t>
      </w:r>
      <w:proofErr w:type="spellStart"/>
      <w:r w:rsidR="009248F0" w:rsidRPr="00B51B20">
        <w:rPr>
          <w:rFonts w:ascii="Palatino Linotype" w:hAnsi="Palatino Linotype" w:cs="Arial"/>
          <w:sz w:val="24"/>
          <w:szCs w:val="24"/>
        </w:rPr>
        <w:t>Sars</w:t>
      </w:r>
      <w:proofErr w:type="spellEnd"/>
      <w:r w:rsidR="009248F0" w:rsidRPr="00B51B20">
        <w:rPr>
          <w:rFonts w:ascii="Palatino Linotype" w:hAnsi="Palatino Linotype" w:cs="Arial"/>
          <w:sz w:val="24"/>
          <w:szCs w:val="24"/>
        </w:rPr>
        <w:t xml:space="preserve"> -cov-2 (</w:t>
      </w:r>
      <w:proofErr w:type="spellStart"/>
      <w:r w:rsidR="009248F0" w:rsidRPr="00B51B20">
        <w:rPr>
          <w:rFonts w:ascii="Palatino Linotype" w:hAnsi="Palatino Linotype" w:cs="Arial"/>
          <w:sz w:val="24"/>
          <w:szCs w:val="24"/>
        </w:rPr>
        <w:t>covid</w:t>
      </w:r>
      <w:proofErr w:type="spellEnd"/>
      <w:r w:rsidR="009248F0" w:rsidRPr="00B51B20">
        <w:rPr>
          <w:rFonts w:ascii="Palatino Linotype" w:hAnsi="Palatino Linotype" w:cs="Arial"/>
          <w:sz w:val="24"/>
          <w:szCs w:val="24"/>
        </w:rPr>
        <w:t xml:space="preserve"> 19), publicado en el periódico oficial Gaceta de Gobierno de fecha 3 de julio de 2020, el cual puede ser consultado en: </w:t>
      </w:r>
      <w:hyperlink r:id="rId20" w:history="1">
        <w:r w:rsidR="009248F0" w:rsidRPr="00B51B20">
          <w:rPr>
            <w:rStyle w:val="Hipervnculo"/>
            <w:rFonts w:ascii="Palatino Linotype" w:hAnsi="Palatino Linotype" w:cs="Arial"/>
            <w:sz w:val="24"/>
            <w:szCs w:val="24"/>
          </w:rPr>
          <w:t>http://legislacion.edomex.gob.mx/sites/legislacion.edomex.gob.mx/files/files/pdf/gct/2020/jul033.pdf</w:t>
        </w:r>
      </w:hyperlink>
      <w:r w:rsidR="009248F0" w:rsidRPr="00B51B20">
        <w:rPr>
          <w:rFonts w:ascii="Palatino Linotype" w:hAnsi="Palatino Linotype" w:cs="Arial"/>
          <w:sz w:val="24"/>
          <w:szCs w:val="24"/>
        </w:rPr>
        <w:t>, mismo que al ser consultado se advirtió lo siguiente:</w:t>
      </w:r>
    </w:p>
    <w:p w14:paraId="222AD611" w14:textId="77777777" w:rsidR="009248F0" w:rsidRPr="00B51B20" w:rsidRDefault="009248F0" w:rsidP="009248F0">
      <w:pPr>
        <w:pStyle w:val="Prrafodelista"/>
        <w:tabs>
          <w:tab w:val="left" w:pos="0"/>
        </w:tabs>
        <w:spacing w:line="360" w:lineRule="auto"/>
        <w:ind w:left="0" w:right="49"/>
        <w:jc w:val="both"/>
        <w:rPr>
          <w:rFonts w:ascii="Palatino Linotype" w:hAnsi="Palatino Linotype" w:cs="Arial"/>
          <w:sz w:val="24"/>
          <w:szCs w:val="24"/>
        </w:rPr>
      </w:pPr>
    </w:p>
    <w:p w14:paraId="6062FC9A" w14:textId="77777777" w:rsidR="009248F0" w:rsidRPr="00B51B20" w:rsidRDefault="009248F0" w:rsidP="009248F0">
      <w:pPr>
        <w:pStyle w:val="Prrafodelista"/>
        <w:tabs>
          <w:tab w:val="left" w:pos="0"/>
        </w:tabs>
        <w:spacing w:line="360" w:lineRule="auto"/>
        <w:ind w:left="0" w:right="49"/>
        <w:jc w:val="both"/>
        <w:rPr>
          <w:rFonts w:ascii="Palatino Linotype" w:hAnsi="Palatino Linotype" w:cs="Arial"/>
          <w:sz w:val="24"/>
          <w:szCs w:val="24"/>
        </w:rPr>
      </w:pPr>
      <w:r w:rsidRPr="00B51B20">
        <w:rPr>
          <w:rFonts w:ascii="Palatino Linotype" w:hAnsi="Palatino Linotype" w:cs="Arial"/>
          <w:sz w:val="24"/>
          <w:szCs w:val="24"/>
        </w:rPr>
        <w:t xml:space="preserve">El Acuerdo en estudio tiene por objeto establecer el Plan para el regreso seguro, gradual y ordenado a las actividades económicas, sociales, </w:t>
      </w:r>
      <w:r w:rsidRPr="00B51B20">
        <w:rPr>
          <w:rFonts w:ascii="Palatino Linotype" w:hAnsi="Palatino Linotype" w:cs="Arial"/>
          <w:b/>
          <w:sz w:val="24"/>
          <w:szCs w:val="24"/>
        </w:rPr>
        <w:t>gubernamentales</w:t>
      </w:r>
      <w:r w:rsidRPr="00B51B20">
        <w:rPr>
          <w:rFonts w:ascii="Palatino Linotype" w:hAnsi="Palatino Linotype" w:cs="Arial"/>
          <w:sz w:val="24"/>
          <w:szCs w:val="24"/>
        </w:rPr>
        <w:t xml:space="preserve"> y </w:t>
      </w:r>
      <w:r w:rsidRPr="00B51B20">
        <w:rPr>
          <w:rFonts w:ascii="Palatino Linotype" w:hAnsi="Palatino Linotype" w:cs="Arial"/>
          <w:sz w:val="24"/>
          <w:szCs w:val="24"/>
        </w:rPr>
        <w:lastRenderedPageBreak/>
        <w:t xml:space="preserve">educativas en el Estado de México. Para el regreso a las actividades referidas en el presente Acuerdo, se deberán tomar en consideración: </w:t>
      </w:r>
    </w:p>
    <w:p w14:paraId="50818326" w14:textId="77777777" w:rsidR="009248F0" w:rsidRPr="00B51B20" w:rsidRDefault="009248F0" w:rsidP="009248F0">
      <w:pPr>
        <w:pStyle w:val="Prrafodelista"/>
        <w:tabs>
          <w:tab w:val="left" w:pos="0"/>
        </w:tabs>
        <w:spacing w:line="360" w:lineRule="auto"/>
        <w:ind w:left="0" w:right="49"/>
        <w:jc w:val="both"/>
        <w:rPr>
          <w:rFonts w:ascii="Palatino Linotype" w:hAnsi="Palatino Linotype" w:cs="Arial"/>
          <w:sz w:val="24"/>
          <w:szCs w:val="24"/>
        </w:rPr>
      </w:pPr>
    </w:p>
    <w:p w14:paraId="13913587" w14:textId="77777777" w:rsidR="009248F0" w:rsidRPr="00B51B20" w:rsidRDefault="009248F0" w:rsidP="009248F0">
      <w:pPr>
        <w:pStyle w:val="Prrafodelista"/>
        <w:numPr>
          <w:ilvl w:val="0"/>
          <w:numId w:val="9"/>
        </w:numPr>
        <w:tabs>
          <w:tab w:val="left" w:pos="0"/>
        </w:tabs>
        <w:spacing w:line="360" w:lineRule="auto"/>
        <w:ind w:right="49"/>
        <w:contextualSpacing/>
        <w:jc w:val="both"/>
        <w:rPr>
          <w:rFonts w:ascii="Palatino Linotype" w:hAnsi="Palatino Linotype" w:cs="Arial"/>
        </w:rPr>
      </w:pPr>
      <w:r w:rsidRPr="00B51B20">
        <w:rPr>
          <w:rFonts w:ascii="Palatino Linotype" w:hAnsi="Palatino Linotype" w:cs="Arial"/>
        </w:rPr>
        <w:t>El sistema de semáforos establecido por la Secretaría de Salud del Gobierno Federal, mediante los Acuerdos publicados en el Diario Oficial de la Federación los días 14 y 15 de mayo de 2020;</w:t>
      </w:r>
    </w:p>
    <w:p w14:paraId="44BF4506" w14:textId="77777777" w:rsidR="009248F0" w:rsidRPr="00B51B20" w:rsidRDefault="009248F0" w:rsidP="009248F0">
      <w:pPr>
        <w:pStyle w:val="Prrafodelista"/>
        <w:numPr>
          <w:ilvl w:val="0"/>
          <w:numId w:val="9"/>
        </w:numPr>
        <w:tabs>
          <w:tab w:val="left" w:pos="0"/>
        </w:tabs>
        <w:spacing w:line="360" w:lineRule="auto"/>
        <w:ind w:right="49"/>
        <w:contextualSpacing/>
        <w:jc w:val="both"/>
        <w:rPr>
          <w:rFonts w:ascii="Palatino Linotype" w:hAnsi="Palatino Linotype" w:cs="Arial"/>
        </w:rPr>
      </w:pPr>
      <w:r w:rsidRPr="00B51B20">
        <w:rPr>
          <w:rFonts w:ascii="Palatino Linotype" w:hAnsi="Palatino Linotype" w:cs="Arial"/>
        </w:rPr>
        <w:t>El “Acuerdo por el que se fortalecen las medidas preventivas y de seguridad para la mitigación y control de los riesgos para la salud que implica la enfermedad por el virus (COVID-19), en el Estado de México y se establece un programa de verificación para su cumplimiento”, expedido por la Secretaría de Salud y la Comisión para la Protección Contra Riesgos Sanitarios del Estado de México, publicado con fecha 22 de abril de 2020, en el Periódico Oficial “Gaceta del Gobierno”, el cual continuará vigente y será aplicable en todo lo que no contravenga al Acuerdo;</w:t>
      </w:r>
    </w:p>
    <w:p w14:paraId="78C7CDDE" w14:textId="77777777" w:rsidR="009248F0" w:rsidRPr="00B51B20" w:rsidRDefault="009248F0" w:rsidP="009248F0">
      <w:pPr>
        <w:pStyle w:val="Prrafodelista"/>
        <w:numPr>
          <w:ilvl w:val="0"/>
          <w:numId w:val="9"/>
        </w:numPr>
        <w:tabs>
          <w:tab w:val="left" w:pos="0"/>
        </w:tabs>
        <w:spacing w:line="360" w:lineRule="auto"/>
        <w:ind w:right="49"/>
        <w:contextualSpacing/>
        <w:jc w:val="both"/>
        <w:rPr>
          <w:rFonts w:ascii="Palatino Linotype" w:hAnsi="Palatino Linotype" w:cs="Arial"/>
        </w:rPr>
      </w:pPr>
      <w:r w:rsidRPr="00B51B20">
        <w:rPr>
          <w:rFonts w:ascii="Palatino Linotype" w:hAnsi="Palatino Linotype" w:cs="Arial"/>
        </w:rPr>
        <w:t>La evolución del riesgo sanitario en las cuatro regiones que comprenden el Estado de México:</w:t>
      </w:r>
    </w:p>
    <w:p w14:paraId="2431C3EC" w14:textId="77777777" w:rsidR="009248F0" w:rsidRPr="00B51B20" w:rsidRDefault="009248F0" w:rsidP="009248F0">
      <w:pPr>
        <w:pStyle w:val="Prrafodelista"/>
        <w:numPr>
          <w:ilvl w:val="0"/>
          <w:numId w:val="10"/>
        </w:numPr>
        <w:tabs>
          <w:tab w:val="left" w:pos="0"/>
        </w:tabs>
        <w:spacing w:line="360" w:lineRule="auto"/>
        <w:ind w:right="49"/>
        <w:contextualSpacing/>
        <w:jc w:val="both"/>
        <w:rPr>
          <w:rFonts w:ascii="Palatino Linotype" w:hAnsi="Palatino Linotype" w:cs="Arial"/>
        </w:rPr>
      </w:pPr>
      <w:r w:rsidRPr="00B51B20">
        <w:rPr>
          <w:rFonts w:ascii="Palatino Linotype" w:hAnsi="Palatino Linotype" w:cs="Arial"/>
          <w:b/>
          <w:bCs/>
        </w:rPr>
        <w:t>Municipios de la Zona Metropolitana Valle de México:</w:t>
      </w:r>
      <w:r w:rsidRPr="00B51B20">
        <w:rPr>
          <w:rFonts w:ascii="Palatino Linotype" w:hAnsi="Palatino Linotype" w:cs="Arial"/>
        </w:rPr>
        <w:t xml:space="preserve"> Acolman, Amecameca, Apaxco, Atenco, Atizapán de Zaragoza, </w:t>
      </w:r>
      <w:proofErr w:type="spellStart"/>
      <w:r w:rsidRPr="00B51B20">
        <w:rPr>
          <w:rFonts w:ascii="Palatino Linotype" w:hAnsi="Palatino Linotype" w:cs="Arial"/>
        </w:rPr>
        <w:t>Atlautla</w:t>
      </w:r>
      <w:proofErr w:type="spellEnd"/>
      <w:r w:rsidRPr="00B51B20">
        <w:rPr>
          <w:rFonts w:ascii="Palatino Linotype" w:hAnsi="Palatino Linotype" w:cs="Arial"/>
        </w:rPr>
        <w:t xml:space="preserve">, Axapusco, </w:t>
      </w:r>
      <w:proofErr w:type="spellStart"/>
      <w:r w:rsidRPr="00B51B20">
        <w:rPr>
          <w:rFonts w:ascii="Palatino Linotype" w:hAnsi="Palatino Linotype" w:cs="Arial"/>
        </w:rPr>
        <w:t>Ayapango</w:t>
      </w:r>
      <w:proofErr w:type="spellEnd"/>
      <w:r w:rsidRPr="00B51B20">
        <w:rPr>
          <w:rFonts w:ascii="Palatino Linotype" w:hAnsi="Palatino Linotype" w:cs="Arial"/>
        </w:rPr>
        <w:t xml:space="preserve">, Coacalco de Berriozábal, Cocotitlán, Coyotepec, Cuautitlán, Cuautitlán Izcalli, Chalco, </w:t>
      </w:r>
      <w:proofErr w:type="spellStart"/>
      <w:r w:rsidRPr="00B51B20">
        <w:rPr>
          <w:rFonts w:ascii="Palatino Linotype" w:hAnsi="Palatino Linotype" w:cs="Arial"/>
        </w:rPr>
        <w:t>Chiautla</w:t>
      </w:r>
      <w:proofErr w:type="spellEnd"/>
      <w:r w:rsidRPr="00B51B20">
        <w:rPr>
          <w:rFonts w:ascii="Palatino Linotype" w:hAnsi="Palatino Linotype" w:cs="Arial"/>
        </w:rPr>
        <w:t xml:space="preserve">, Chicoloapan, Chiconcuac, Chimalhuacán, Ecatepec de Morelos, Ecatzingo, Huehuetoca, </w:t>
      </w:r>
      <w:proofErr w:type="spellStart"/>
      <w:r w:rsidRPr="00B51B20">
        <w:rPr>
          <w:rFonts w:ascii="Palatino Linotype" w:hAnsi="Palatino Linotype" w:cs="Arial"/>
        </w:rPr>
        <w:t>Hueypoxtla</w:t>
      </w:r>
      <w:proofErr w:type="spellEnd"/>
      <w:r w:rsidRPr="00B51B20">
        <w:rPr>
          <w:rFonts w:ascii="Palatino Linotype" w:hAnsi="Palatino Linotype" w:cs="Arial"/>
        </w:rPr>
        <w:t xml:space="preserve">, Huixquilucan, Isidro Fabela, Ixtapaluca, </w:t>
      </w:r>
      <w:proofErr w:type="spellStart"/>
      <w:r w:rsidRPr="00B51B20">
        <w:rPr>
          <w:rFonts w:ascii="Palatino Linotype" w:hAnsi="Palatino Linotype" w:cs="Arial"/>
        </w:rPr>
        <w:t>Jaltenco</w:t>
      </w:r>
      <w:proofErr w:type="spellEnd"/>
      <w:r w:rsidRPr="00B51B20">
        <w:rPr>
          <w:rFonts w:ascii="Palatino Linotype" w:hAnsi="Palatino Linotype" w:cs="Arial"/>
        </w:rPr>
        <w:t xml:space="preserve">, </w:t>
      </w:r>
      <w:proofErr w:type="spellStart"/>
      <w:r w:rsidRPr="00B51B20">
        <w:rPr>
          <w:rFonts w:ascii="Palatino Linotype" w:hAnsi="Palatino Linotype" w:cs="Arial"/>
        </w:rPr>
        <w:t>Jilotzingo</w:t>
      </w:r>
      <w:proofErr w:type="spellEnd"/>
      <w:r w:rsidRPr="00B51B20">
        <w:rPr>
          <w:rFonts w:ascii="Palatino Linotype" w:hAnsi="Palatino Linotype" w:cs="Arial"/>
        </w:rPr>
        <w:t xml:space="preserve">, Juchitepec, La Paz, Melchor Ocampo, Naucalpan de Juárez, Nextlalpan, Nezahualcóyotl, Nicolás Romero, Nopaltepec, </w:t>
      </w:r>
      <w:proofErr w:type="spellStart"/>
      <w:r w:rsidRPr="00B51B20">
        <w:rPr>
          <w:rFonts w:ascii="Palatino Linotype" w:hAnsi="Palatino Linotype" w:cs="Arial"/>
        </w:rPr>
        <w:t>Otumba</w:t>
      </w:r>
      <w:proofErr w:type="spellEnd"/>
      <w:r w:rsidRPr="00B51B20">
        <w:rPr>
          <w:rFonts w:ascii="Palatino Linotype" w:hAnsi="Palatino Linotype" w:cs="Arial"/>
        </w:rPr>
        <w:t xml:space="preserve">, Ozumba, Papalotla, San Martín de las Pirámides, Tecámac, </w:t>
      </w:r>
      <w:proofErr w:type="spellStart"/>
      <w:r w:rsidRPr="00B51B20">
        <w:rPr>
          <w:rFonts w:ascii="Palatino Linotype" w:hAnsi="Palatino Linotype" w:cs="Arial"/>
        </w:rPr>
        <w:t>Temamatla</w:t>
      </w:r>
      <w:proofErr w:type="spellEnd"/>
      <w:r w:rsidRPr="00B51B20">
        <w:rPr>
          <w:rFonts w:ascii="Palatino Linotype" w:hAnsi="Palatino Linotype" w:cs="Arial"/>
        </w:rPr>
        <w:t xml:space="preserve">, </w:t>
      </w:r>
      <w:proofErr w:type="spellStart"/>
      <w:r w:rsidRPr="00B51B20">
        <w:rPr>
          <w:rFonts w:ascii="Palatino Linotype" w:hAnsi="Palatino Linotype" w:cs="Arial"/>
        </w:rPr>
        <w:t>Temascalapa</w:t>
      </w:r>
      <w:proofErr w:type="spellEnd"/>
      <w:r w:rsidRPr="00B51B20">
        <w:rPr>
          <w:rFonts w:ascii="Palatino Linotype" w:hAnsi="Palatino Linotype" w:cs="Arial"/>
        </w:rPr>
        <w:t xml:space="preserve">, Tenango del Aire, Teoloyucan, Teotihuacán, </w:t>
      </w:r>
      <w:proofErr w:type="spellStart"/>
      <w:r w:rsidRPr="00B51B20">
        <w:rPr>
          <w:rFonts w:ascii="Palatino Linotype" w:hAnsi="Palatino Linotype" w:cs="Arial"/>
        </w:rPr>
        <w:t>Tepetlaoxtoc</w:t>
      </w:r>
      <w:proofErr w:type="spellEnd"/>
      <w:r w:rsidRPr="00B51B20">
        <w:rPr>
          <w:rFonts w:ascii="Palatino Linotype" w:hAnsi="Palatino Linotype" w:cs="Arial"/>
        </w:rPr>
        <w:t xml:space="preserve">, Tepetlixpa, Tepotzotlán, </w:t>
      </w:r>
      <w:proofErr w:type="spellStart"/>
      <w:r w:rsidRPr="00B51B20">
        <w:rPr>
          <w:rFonts w:ascii="Palatino Linotype" w:hAnsi="Palatino Linotype" w:cs="Arial"/>
        </w:rPr>
        <w:lastRenderedPageBreak/>
        <w:t>Tequixquiac</w:t>
      </w:r>
      <w:proofErr w:type="spellEnd"/>
      <w:r w:rsidRPr="00B51B20">
        <w:rPr>
          <w:rFonts w:ascii="Palatino Linotype" w:hAnsi="Palatino Linotype" w:cs="Arial"/>
        </w:rPr>
        <w:t xml:space="preserve">, Texcoco, </w:t>
      </w:r>
      <w:proofErr w:type="spellStart"/>
      <w:r w:rsidRPr="00B51B20">
        <w:rPr>
          <w:rFonts w:ascii="Palatino Linotype" w:hAnsi="Palatino Linotype" w:cs="Arial"/>
        </w:rPr>
        <w:t>Tezoyuca</w:t>
      </w:r>
      <w:proofErr w:type="spellEnd"/>
      <w:r w:rsidRPr="00B51B20">
        <w:rPr>
          <w:rFonts w:ascii="Palatino Linotype" w:hAnsi="Palatino Linotype" w:cs="Arial"/>
        </w:rPr>
        <w:t xml:space="preserve">, Tlalmanalco, Tlalnepantla de Baz, </w:t>
      </w:r>
      <w:proofErr w:type="spellStart"/>
      <w:r w:rsidRPr="00B51B20">
        <w:rPr>
          <w:rFonts w:ascii="Palatino Linotype" w:hAnsi="Palatino Linotype" w:cs="Arial"/>
        </w:rPr>
        <w:t>Tonanitla</w:t>
      </w:r>
      <w:proofErr w:type="spellEnd"/>
      <w:r w:rsidRPr="00B51B20">
        <w:rPr>
          <w:rFonts w:ascii="Palatino Linotype" w:hAnsi="Palatino Linotype" w:cs="Arial"/>
        </w:rPr>
        <w:t xml:space="preserve">, Tultepec, Tultitlán, </w:t>
      </w:r>
      <w:r w:rsidRPr="00B51B20">
        <w:rPr>
          <w:rFonts w:ascii="Palatino Linotype" w:hAnsi="Palatino Linotype" w:cs="Arial"/>
          <w:b/>
          <w:u w:val="single"/>
        </w:rPr>
        <w:t>Valle de Chalco Solidaridad</w:t>
      </w:r>
      <w:r w:rsidRPr="00B51B20">
        <w:rPr>
          <w:rFonts w:ascii="Palatino Linotype" w:hAnsi="Palatino Linotype" w:cs="Arial"/>
        </w:rPr>
        <w:t>, Villa del Carbón y Zumpango.</w:t>
      </w:r>
    </w:p>
    <w:p w14:paraId="2435FB65" w14:textId="77777777" w:rsidR="009248F0" w:rsidRPr="00B51B20" w:rsidRDefault="009248F0" w:rsidP="009248F0">
      <w:pPr>
        <w:pStyle w:val="Prrafodelista"/>
        <w:numPr>
          <w:ilvl w:val="0"/>
          <w:numId w:val="10"/>
        </w:numPr>
        <w:tabs>
          <w:tab w:val="left" w:pos="0"/>
        </w:tabs>
        <w:spacing w:line="360" w:lineRule="auto"/>
        <w:ind w:right="49"/>
        <w:contextualSpacing/>
        <w:jc w:val="both"/>
        <w:rPr>
          <w:rFonts w:ascii="Palatino Linotype" w:hAnsi="Palatino Linotype" w:cs="Arial"/>
        </w:rPr>
      </w:pPr>
      <w:r w:rsidRPr="00B51B20">
        <w:rPr>
          <w:rFonts w:ascii="Palatino Linotype" w:hAnsi="Palatino Linotype" w:cs="Arial"/>
          <w:b/>
          <w:bCs/>
        </w:rPr>
        <w:t>Municipios del Valle de Toluca:</w:t>
      </w:r>
      <w:r w:rsidRPr="00B51B20">
        <w:rPr>
          <w:rFonts w:ascii="Palatino Linotype" w:hAnsi="Palatino Linotype" w:cs="Arial"/>
        </w:rPr>
        <w:t xml:space="preserve"> Almoloya de Juárez, Almoloya del Río, Atizapán, Calimaya, Capulhuac, Chapultepec, Lerma, Metepec, Mexicaltzingo, Ocoyoacac, Otzolotepec, Rayón, San Antonio la Isla, San Mateo Atenco, Temoaya, Tenango del Valle, Texcalyacac, Tianguistenco, Toluca, Xalatlaco, Xonacatlán y Zinacantepec.</w:t>
      </w:r>
    </w:p>
    <w:p w14:paraId="45FA102E" w14:textId="77777777" w:rsidR="009248F0" w:rsidRPr="00B51B20" w:rsidRDefault="009248F0" w:rsidP="009248F0">
      <w:pPr>
        <w:pStyle w:val="Prrafodelista"/>
        <w:numPr>
          <w:ilvl w:val="0"/>
          <w:numId w:val="10"/>
        </w:numPr>
        <w:tabs>
          <w:tab w:val="left" w:pos="0"/>
        </w:tabs>
        <w:spacing w:line="360" w:lineRule="auto"/>
        <w:ind w:right="49"/>
        <w:contextualSpacing/>
        <w:jc w:val="both"/>
        <w:rPr>
          <w:rFonts w:ascii="Palatino Linotype" w:hAnsi="Palatino Linotype" w:cs="Arial"/>
        </w:rPr>
      </w:pPr>
      <w:r w:rsidRPr="00B51B20">
        <w:rPr>
          <w:rFonts w:ascii="Palatino Linotype" w:hAnsi="Palatino Linotype" w:cs="Arial"/>
          <w:b/>
          <w:bCs/>
        </w:rPr>
        <w:t>Municipios de la Zona Norte:</w:t>
      </w:r>
      <w:r w:rsidRPr="00B51B20">
        <w:rPr>
          <w:rFonts w:ascii="Palatino Linotype" w:hAnsi="Palatino Linotype" w:cs="Arial"/>
        </w:rPr>
        <w:t xml:space="preserve"> Ixtlahuaca, San Felipe del Progreso, El Oro, Atlacomulco, Jiquipilco, </w:t>
      </w:r>
      <w:proofErr w:type="spellStart"/>
      <w:r w:rsidRPr="00B51B20">
        <w:rPr>
          <w:rFonts w:ascii="Palatino Linotype" w:hAnsi="Palatino Linotype" w:cs="Arial"/>
        </w:rPr>
        <w:t>Jocotitlán</w:t>
      </w:r>
      <w:proofErr w:type="spellEnd"/>
      <w:r w:rsidRPr="00B51B20">
        <w:rPr>
          <w:rFonts w:ascii="Palatino Linotype" w:hAnsi="Palatino Linotype" w:cs="Arial"/>
        </w:rPr>
        <w:t xml:space="preserve">, San José del Rincón, </w:t>
      </w:r>
      <w:proofErr w:type="spellStart"/>
      <w:r w:rsidRPr="00B51B20">
        <w:rPr>
          <w:rFonts w:ascii="Palatino Linotype" w:hAnsi="Palatino Linotype" w:cs="Arial"/>
        </w:rPr>
        <w:t>Acambay</w:t>
      </w:r>
      <w:proofErr w:type="spellEnd"/>
      <w:r w:rsidRPr="00B51B20">
        <w:rPr>
          <w:rFonts w:ascii="Palatino Linotype" w:hAnsi="Palatino Linotype" w:cs="Arial"/>
        </w:rPr>
        <w:t xml:space="preserve"> de Ruíz Castañeda, Jilotepec, </w:t>
      </w:r>
      <w:proofErr w:type="spellStart"/>
      <w:r w:rsidRPr="00B51B20">
        <w:rPr>
          <w:rFonts w:ascii="Palatino Linotype" w:hAnsi="Palatino Linotype" w:cs="Arial"/>
        </w:rPr>
        <w:t>Soyaniquilpan</w:t>
      </w:r>
      <w:proofErr w:type="spellEnd"/>
      <w:r w:rsidRPr="00B51B20">
        <w:rPr>
          <w:rFonts w:ascii="Palatino Linotype" w:hAnsi="Palatino Linotype" w:cs="Arial"/>
        </w:rPr>
        <w:t xml:space="preserve"> de Juárez, Aculco, Morelos, Temascalcingo, Timilpan, </w:t>
      </w:r>
      <w:proofErr w:type="spellStart"/>
      <w:r w:rsidRPr="00B51B20">
        <w:rPr>
          <w:rFonts w:ascii="Palatino Linotype" w:hAnsi="Palatino Linotype" w:cs="Arial"/>
        </w:rPr>
        <w:t>Polotitlán</w:t>
      </w:r>
      <w:proofErr w:type="spellEnd"/>
      <w:r w:rsidRPr="00B51B20">
        <w:rPr>
          <w:rFonts w:ascii="Palatino Linotype" w:hAnsi="Palatino Linotype" w:cs="Arial"/>
        </w:rPr>
        <w:t xml:space="preserve"> y Chapa de Mota.</w:t>
      </w:r>
    </w:p>
    <w:p w14:paraId="254BA149" w14:textId="77777777" w:rsidR="009248F0" w:rsidRPr="00B51B20" w:rsidRDefault="009248F0" w:rsidP="009248F0">
      <w:pPr>
        <w:pStyle w:val="Prrafodelista"/>
        <w:numPr>
          <w:ilvl w:val="0"/>
          <w:numId w:val="10"/>
        </w:numPr>
        <w:tabs>
          <w:tab w:val="left" w:pos="0"/>
        </w:tabs>
        <w:spacing w:line="360" w:lineRule="auto"/>
        <w:ind w:right="49"/>
        <w:contextualSpacing/>
        <w:jc w:val="both"/>
        <w:rPr>
          <w:rFonts w:ascii="Palatino Linotype" w:hAnsi="Palatino Linotype" w:cs="Arial"/>
        </w:rPr>
      </w:pPr>
      <w:r w:rsidRPr="00B51B20">
        <w:rPr>
          <w:rFonts w:ascii="Palatino Linotype" w:hAnsi="Palatino Linotype" w:cs="Arial"/>
          <w:b/>
          <w:bCs/>
        </w:rPr>
        <w:t>Municipios de la Zona Sur:</w:t>
      </w:r>
      <w:r w:rsidRPr="00B51B20">
        <w:rPr>
          <w:rFonts w:ascii="Palatino Linotype" w:hAnsi="Palatino Linotype" w:cs="Arial"/>
        </w:rPr>
        <w:t xml:space="preserve"> Almoloya de </w:t>
      </w:r>
      <w:proofErr w:type="spellStart"/>
      <w:r w:rsidRPr="00B51B20">
        <w:rPr>
          <w:rFonts w:ascii="Palatino Linotype" w:hAnsi="Palatino Linotype" w:cs="Arial"/>
        </w:rPr>
        <w:t>Alquisiras</w:t>
      </w:r>
      <w:proofErr w:type="spellEnd"/>
      <w:r w:rsidRPr="00B51B20">
        <w:rPr>
          <w:rFonts w:ascii="Palatino Linotype" w:hAnsi="Palatino Linotype" w:cs="Arial"/>
        </w:rPr>
        <w:t xml:space="preserve">, </w:t>
      </w:r>
      <w:proofErr w:type="spellStart"/>
      <w:r w:rsidRPr="00B51B20">
        <w:rPr>
          <w:rFonts w:ascii="Palatino Linotype" w:hAnsi="Palatino Linotype" w:cs="Arial"/>
        </w:rPr>
        <w:t>Amanalco</w:t>
      </w:r>
      <w:proofErr w:type="spellEnd"/>
      <w:r w:rsidRPr="00B51B20">
        <w:rPr>
          <w:rFonts w:ascii="Palatino Linotype" w:hAnsi="Palatino Linotype" w:cs="Arial"/>
        </w:rPr>
        <w:t xml:space="preserve">, </w:t>
      </w:r>
      <w:proofErr w:type="spellStart"/>
      <w:r w:rsidRPr="00B51B20">
        <w:rPr>
          <w:rFonts w:ascii="Palatino Linotype" w:hAnsi="Palatino Linotype" w:cs="Arial"/>
        </w:rPr>
        <w:t>Amatepec</w:t>
      </w:r>
      <w:proofErr w:type="spellEnd"/>
      <w:r w:rsidRPr="00B51B20">
        <w:rPr>
          <w:rFonts w:ascii="Palatino Linotype" w:hAnsi="Palatino Linotype" w:cs="Arial"/>
        </w:rPr>
        <w:t xml:space="preserve">, Coatepec Harinas, Donato Guerra, Ixtapan de la Sal, Ixtapan del Oro, </w:t>
      </w:r>
      <w:proofErr w:type="spellStart"/>
      <w:r w:rsidRPr="00B51B20">
        <w:rPr>
          <w:rFonts w:ascii="Palatino Linotype" w:hAnsi="Palatino Linotype" w:cs="Arial"/>
        </w:rPr>
        <w:t>Joquicingo</w:t>
      </w:r>
      <w:proofErr w:type="spellEnd"/>
      <w:r w:rsidRPr="00B51B20">
        <w:rPr>
          <w:rFonts w:ascii="Palatino Linotype" w:hAnsi="Palatino Linotype" w:cs="Arial"/>
        </w:rPr>
        <w:t xml:space="preserve">, Malinalco, Ocuilan, </w:t>
      </w:r>
      <w:proofErr w:type="spellStart"/>
      <w:r w:rsidRPr="00B51B20">
        <w:rPr>
          <w:rFonts w:ascii="Palatino Linotype" w:hAnsi="Palatino Linotype" w:cs="Arial"/>
        </w:rPr>
        <w:t>Otzoloapan</w:t>
      </w:r>
      <w:proofErr w:type="spellEnd"/>
      <w:r w:rsidRPr="00B51B20">
        <w:rPr>
          <w:rFonts w:ascii="Palatino Linotype" w:hAnsi="Palatino Linotype" w:cs="Arial"/>
        </w:rPr>
        <w:t xml:space="preserve">, San Simón de Guerrero, Santo Tomás, Sultepec, Tejupilco, Temascaltepec, </w:t>
      </w:r>
      <w:r w:rsidRPr="00B51B20">
        <w:rPr>
          <w:rFonts w:ascii="Palatino Linotype" w:hAnsi="Palatino Linotype" w:cs="Arial"/>
          <w:u w:val="single"/>
        </w:rPr>
        <w:t>Tenancingo</w:t>
      </w:r>
      <w:r w:rsidRPr="00B51B20">
        <w:rPr>
          <w:rFonts w:ascii="Palatino Linotype" w:hAnsi="Palatino Linotype" w:cs="Arial"/>
        </w:rPr>
        <w:t xml:space="preserve">, Texcaltitlán, </w:t>
      </w:r>
      <w:proofErr w:type="spellStart"/>
      <w:r w:rsidRPr="00B51B20">
        <w:rPr>
          <w:rFonts w:ascii="Palatino Linotype" w:hAnsi="Palatino Linotype" w:cs="Arial"/>
        </w:rPr>
        <w:t>Tlatlaya</w:t>
      </w:r>
      <w:proofErr w:type="spellEnd"/>
      <w:r w:rsidRPr="00B51B20">
        <w:rPr>
          <w:rFonts w:ascii="Palatino Linotype" w:hAnsi="Palatino Linotype" w:cs="Arial"/>
        </w:rPr>
        <w:t xml:space="preserve">, </w:t>
      </w:r>
      <w:proofErr w:type="spellStart"/>
      <w:r w:rsidRPr="00B51B20">
        <w:rPr>
          <w:rFonts w:ascii="Palatino Linotype" w:hAnsi="Palatino Linotype" w:cs="Arial"/>
        </w:rPr>
        <w:t>Tonatico</w:t>
      </w:r>
      <w:proofErr w:type="spellEnd"/>
      <w:r w:rsidRPr="00B51B20">
        <w:rPr>
          <w:rFonts w:ascii="Palatino Linotype" w:hAnsi="Palatino Linotype" w:cs="Arial"/>
        </w:rPr>
        <w:t xml:space="preserve">, Valle de Bravo, Villa de Allende, Villa Guerrero, Villa Victoria, </w:t>
      </w:r>
      <w:proofErr w:type="spellStart"/>
      <w:r w:rsidRPr="00B51B20">
        <w:rPr>
          <w:rFonts w:ascii="Palatino Linotype" w:hAnsi="Palatino Linotype" w:cs="Arial"/>
        </w:rPr>
        <w:t>Luvianos</w:t>
      </w:r>
      <w:proofErr w:type="spellEnd"/>
      <w:r w:rsidRPr="00B51B20">
        <w:rPr>
          <w:rFonts w:ascii="Palatino Linotype" w:hAnsi="Palatino Linotype" w:cs="Arial"/>
        </w:rPr>
        <w:t xml:space="preserve">, </w:t>
      </w:r>
      <w:proofErr w:type="spellStart"/>
      <w:r w:rsidRPr="00B51B20">
        <w:rPr>
          <w:rFonts w:ascii="Palatino Linotype" w:hAnsi="Palatino Linotype" w:cs="Arial"/>
        </w:rPr>
        <w:t>Zacazonapan</w:t>
      </w:r>
      <w:proofErr w:type="spellEnd"/>
      <w:r w:rsidRPr="00B51B20">
        <w:rPr>
          <w:rFonts w:ascii="Palatino Linotype" w:hAnsi="Palatino Linotype" w:cs="Arial"/>
        </w:rPr>
        <w:t xml:space="preserve">, Zacualpan y </w:t>
      </w:r>
      <w:proofErr w:type="spellStart"/>
      <w:r w:rsidRPr="00B51B20">
        <w:rPr>
          <w:rFonts w:ascii="Palatino Linotype" w:hAnsi="Palatino Linotype" w:cs="Arial"/>
        </w:rPr>
        <w:t>Zumpahuacán</w:t>
      </w:r>
      <w:proofErr w:type="spellEnd"/>
      <w:r w:rsidRPr="00B51B20">
        <w:rPr>
          <w:rFonts w:ascii="Palatino Linotype" w:hAnsi="Palatino Linotype" w:cs="Arial"/>
        </w:rPr>
        <w:t>.</w:t>
      </w:r>
    </w:p>
    <w:p w14:paraId="61772890" w14:textId="77777777" w:rsidR="009248F0" w:rsidRPr="00B51B20" w:rsidRDefault="009248F0" w:rsidP="009248F0">
      <w:pPr>
        <w:pStyle w:val="Prrafodelista"/>
        <w:numPr>
          <w:ilvl w:val="0"/>
          <w:numId w:val="9"/>
        </w:numPr>
        <w:tabs>
          <w:tab w:val="left" w:pos="0"/>
        </w:tabs>
        <w:spacing w:line="360" w:lineRule="auto"/>
        <w:ind w:right="49"/>
        <w:contextualSpacing/>
        <w:jc w:val="both"/>
        <w:rPr>
          <w:rFonts w:ascii="Palatino Linotype" w:hAnsi="Palatino Linotype" w:cs="Arial"/>
        </w:rPr>
      </w:pPr>
      <w:r w:rsidRPr="00B51B20">
        <w:rPr>
          <w:rFonts w:ascii="Palatino Linotype" w:hAnsi="Palatino Linotype" w:cs="Arial"/>
        </w:rPr>
        <w:t>El mantenimiento de las medidas de prevención e higiene emitidas por las Autoridades Sanitarias.</w:t>
      </w:r>
    </w:p>
    <w:p w14:paraId="335BFB3F" w14:textId="77777777" w:rsidR="009248F0" w:rsidRPr="00B51B20" w:rsidRDefault="009248F0" w:rsidP="009248F0">
      <w:pPr>
        <w:pStyle w:val="Prrafodelista"/>
        <w:tabs>
          <w:tab w:val="left" w:pos="0"/>
        </w:tabs>
        <w:spacing w:line="360" w:lineRule="auto"/>
        <w:ind w:left="0" w:right="49"/>
        <w:jc w:val="both"/>
        <w:rPr>
          <w:rFonts w:ascii="Palatino Linotype" w:hAnsi="Palatino Linotype" w:cs="Arial"/>
          <w:sz w:val="24"/>
          <w:szCs w:val="24"/>
        </w:rPr>
      </w:pPr>
    </w:p>
    <w:p w14:paraId="6AC27F0B" w14:textId="77777777" w:rsidR="009248F0" w:rsidRPr="00B51B20" w:rsidRDefault="009248F0" w:rsidP="009248F0">
      <w:pPr>
        <w:pStyle w:val="Prrafodelista"/>
        <w:tabs>
          <w:tab w:val="left" w:pos="0"/>
        </w:tabs>
        <w:spacing w:line="360" w:lineRule="auto"/>
        <w:ind w:left="0" w:right="49"/>
        <w:jc w:val="both"/>
        <w:rPr>
          <w:rFonts w:ascii="Palatino Linotype" w:hAnsi="Palatino Linotype" w:cs="Arial"/>
          <w:sz w:val="24"/>
          <w:szCs w:val="24"/>
        </w:rPr>
      </w:pPr>
      <w:r w:rsidRPr="00B51B20">
        <w:rPr>
          <w:rFonts w:ascii="Palatino Linotype" w:hAnsi="Palatino Linotype" w:cs="Arial"/>
          <w:sz w:val="24"/>
          <w:szCs w:val="24"/>
        </w:rPr>
        <w:t>Es pertinente referir que la reapertura de actividades en el Estado de México se llevará a cabo a partir de cinco dimensiones:</w:t>
      </w:r>
    </w:p>
    <w:p w14:paraId="4290BD0F" w14:textId="77777777" w:rsidR="009248F0" w:rsidRPr="00B51B20" w:rsidRDefault="009248F0" w:rsidP="009248F0">
      <w:pPr>
        <w:pStyle w:val="Prrafodelista"/>
        <w:tabs>
          <w:tab w:val="left" w:pos="0"/>
        </w:tabs>
        <w:spacing w:line="360" w:lineRule="auto"/>
        <w:ind w:left="0" w:right="49"/>
        <w:jc w:val="both"/>
        <w:rPr>
          <w:rFonts w:ascii="Palatino Linotype" w:hAnsi="Palatino Linotype" w:cs="Arial"/>
          <w:sz w:val="24"/>
          <w:szCs w:val="24"/>
        </w:rPr>
      </w:pPr>
    </w:p>
    <w:p w14:paraId="45B1D026" w14:textId="77777777" w:rsidR="009248F0" w:rsidRPr="00B51B20" w:rsidRDefault="009248F0" w:rsidP="009248F0">
      <w:pPr>
        <w:pStyle w:val="Prrafodelista"/>
        <w:numPr>
          <w:ilvl w:val="0"/>
          <w:numId w:val="11"/>
        </w:numPr>
        <w:tabs>
          <w:tab w:val="left" w:pos="0"/>
        </w:tabs>
        <w:spacing w:line="360" w:lineRule="auto"/>
        <w:ind w:right="49"/>
        <w:contextualSpacing/>
        <w:jc w:val="both"/>
        <w:rPr>
          <w:rFonts w:ascii="Palatino Linotype" w:hAnsi="Palatino Linotype" w:cs="Arial"/>
        </w:rPr>
      </w:pPr>
      <w:r w:rsidRPr="00B51B20">
        <w:rPr>
          <w:rFonts w:ascii="Palatino Linotype" w:hAnsi="Palatino Linotype" w:cs="Arial"/>
        </w:rPr>
        <w:t>Economía;</w:t>
      </w:r>
    </w:p>
    <w:p w14:paraId="518B2AA1" w14:textId="77777777" w:rsidR="009248F0" w:rsidRPr="00B51B20" w:rsidRDefault="009248F0" w:rsidP="009248F0">
      <w:pPr>
        <w:pStyle w:val="Prrafodelista"/>
        <w:numPr>
          <w:ilvl w:val="0"/>
          <w:numId w:val="11"/>
        </w:numPr>
        <w:tabs>
          <w:tab w:val="left" w:pos="0"/>
        </w:tabs>
        <w:spacing w:line="360" w:lineRule="auto"/>
        <w:ind w:right="49"/>
        <w:contextualSpacing/>
        <w:jc w:val="both"/>
        <w:rPr>
          <w:rFonts w:ascii="Palatino Linotype" w:hAnsi="Palatino Linotype" w:cs="Arial"/>
        </w:rPr>
      </w:pPr>
      <w:r w:rsidRPr="00B51B20">
        <w:rPr>
          <w:rFonts w:ascii="Palatino Linotype" w:hAnsi="Palatino Linotype" w:cs="Arial"/>
        </w:rPr>
        <w:t>Espacios Públicos;</w:t>
      </w:r>
    </w:p>
    <w:p w14:paraId="62EF40BF" w14:textId="77777777" w:rsidR="009248F0" w:rsidRPr="00B51B20" w:rsidRDefault="009248F0" w:rsidP="009248F0">
      <w:pPr>
        <w:pStyle w:val="Prrafodelista"/>
        <w:numPr>
          <w:ilvl w:val="0"/>
          <w:numId w:val="11"/>
        </w:numPr>
        <w:tabs>
          <w:tab w:val="left" w:pos="0"/>
        </w:tabs>
        <w:spacing w:line="360" w:lineRule="auto"/>
        <w:ind w:right="49"/>
        <w:contextualSpacing/>
        <w:jc w:val="both"/>
        <w:rPr>
          <w:rFonts w:ascii="Palatino Linotype" w:hAnsi="Palatino Linotype" w:cs="Arial"/>
        </w:rPr>
      </w:pPr>
      <w:r w:rsidRPr="00B51B20">
        <w:rPr>
          <w:rFonts w:ascii="Palatino Linotype" w:hAnsi="Palatino Linotype" w:cs="Arial"/>
        </w:rPr>
        <w:lastRenderedPageBreak/>
        <w:t>Población Vulnerable;</w:t>
      </w:r>
    </w:p>
    <w:p w14:paraId="0F93CC8F" w14:textId="77777777" w:rsidR="009248F0" w:rsidRPr="00B51B20" w:rsidRDefault="009248F0" w:rsidP="009248F0">
      <w:pPr>
        <w:pStyle w:val="Prrafodelista"/>
        <w:numPr>
          <w:ilvl w:val="0"/>
          <w:numId w:val="11"/>
        </w:numPr>
        <w:tabs>
          <w:tab w:val="left" w:pos="0"/>
        </w:tabs>
        <w:spacing w:line="360" w:lineRule="auto"/>
        <w:ind w:right="49"/>
        <w:contextualSpacing/>
        <w:jc w:val="both"/>
        <w:rPr>
          <w:rFonts w:ascii="Palatino Linotype" w:hAnsi="Palatino Linotype" w:cs="Arial"/>
        </w:rPr>
      </w:pPr>
      <w:r w:rsidRPr="00B51B20">
        <w:rPr>
          <w:rFonts w:ascii="Palatino Linotype" w:hAnsi="Palatino Linotype" w:cs="Arial"/>
        </w:rPr>
        <w:t xml:space="preserve">Actividades Gubernamentales, y </w:t>
      </w:r>
    </w:p>
    <w:p w14:paraId="341B5661" w14:textId="77777777" w:rsidR="009248F0" w:rsidRPr="00B51B20" w:rsidRDefault="009248F0" w:rsidP="009248F0">
      <w:pPr>
        <w:pStyle w:val="Prrafodelista"/>
        <w:numPr>
          <w:ilvl w:val="0"/>
          <w:numId w:val="11"/>
        </w:numPr>
        <w:tabs>
          <w:tab w:val="left" w:pos="0"/>
        </w:tabs>
        <w:spacing w:line="360" w:lineRule="auto"/>
        <w:ind w:right="49"/>
        <w:contextualSpacing/>
        <w:jc w:val="both"/>
        <w:rPr>
          <w:rFonts w:ascii="Palatino Linotype" w:hAnsi="Palatino Linotype" w:cs="Arial"/>
        </w:rPr>
      </w:pPr>
      <w:r w:rsidRPr="00B51B20">
        <w:rPr>
          <w:rFonts w:ascii="Palatino Linotype" w:hAnsi="Palatino Linotype" w:cs="Arial"/>
        </w:rPr>
        <w:t>Educación.</w:t>
      </w:r>
    </w:p>
    <w:p w14:paraId="17CD8535" w14:textId="77777777" w:rsidR="009248F0" w:rsidRPr="00B51B20" w:rsidRDefault="009248F0" w:rsidP="009248F0">
      <w:pPr>
        <w:tabs>
          <w:tab w:val="left" w:pos="0"/>
        </w:tabs>
        <w:spacing w:line="360" w:lineRule="auto"/>
        <w:ind w:right="51"/>
        <w:contextualSpacing/>
        <w:jc w:val="both"/>
        <w:rPr>
          <w:rFonts w:ascii="Palatino Linotype" w:hAnsi="Palatino Linotype" w:cs="Arial"/>
        </w:rPr>
      </w:pPr>
    </w:p>
    <w:p w14:paraId="427BFE0C" w14:textId="77777777" w:rsidR="009248F0" w:rsidRPr="00B51B20" w:rsidRDefault="009248F0" w:rsidP="009248F0">
      <w:pPr>
        <w:tabs>
          <w:tab w:val="left" w:pos="0"/>
        </w:tabs>
        <w:spacing w:line="360" w:lineRule="auto"/>
        <w:ind w:right="51"/>
        <w:contextualSpacing/>
        <w:jc w:val="both"/>
        <w:rPr>
          <w:rFonts w:ascii="Palatino Linotype" w:hAnsi="Palatino Linotype" w:cs="Arial"/>
        </w:rPr>
      </w:pPr>
      <w:r w:rsidRPr="00B51B20">
        <w:rPr>
          <w:rFonts w:ascii="Palatino Linotype" w:hAnsi="Palatino Linotype" w:cs="Arial"/>
        </w:rPr>
        <w:t>Por lo que se refiere al regreso gradual a las actividades no esenciales se determinará por: a) región; b) contribución a la economía de las familias mexiquenses, y c) el nivel de riesgo sanitario que determine la autoridad sanitaria, de conformidad con el sistema de semáforos siguiente:</w:t>
      </w:r>
    </w:p>
    <w:p w14:paraId="29CDEA40" w14:textId="77777777" w:rsidR="009248F0" w:rsidRPr="00B51B20" w:rsidRDefault="009248F0" w:rsidP="009248F0">
      <w:pPr>
        <w:tabs>
          <w:tab w:val="left" w:pos="0"/>
        </w:tabs>
        <w:spacing w:line="360" w:lineRule="auto"/>
        <w:ind w:right="49"/>
        <w:contextualSpacing/>
        <w:jc w:val="both"/>
        <w:rPr>
          <w:noProof/>
        </w:rPr>
      </w:pPr>
    </w:p>
    <w:p w14:paraId="5BA0758F" w14:textId="77777777" w:rsidR="009248F0" w:rsidRPr="00B51B20" w:rsidRDefault="009248F0" w:rsidP="009248F0">
      <w:pPr>
        <w:tabs>
          <w:tab w:val="left" w:pos="0"/>
        </w:tabs>
        <w:spacing w:line="360" w:lineRule="auto"/>
        <w:ind w:right="49"/>
        <w:contextualSpacing/>
        <w:jc w:val="both"/>
        <w:rPr>
          <w:rFonts w:ascii="Palatino Linotype" w:hAnsi="Palatino Linotype" w:cs="Arial"/>
        </w:rPr>
      </w:pPr>
      <w:r w:rsidRPr="00B51B20">
        <w:rPr>
          <w:noProof/>
          <w:lang w:val="en-US" w:eastAsia="en-US"/>
        </w:rPr>
        <w:drawing>
          <wp:inline distT="0" distB="0" distL="0" distR="0" wp14:anchorId="436EDA05" wp14:editId="0EAEBD7F">
            <wp:extent cx="5486400" cy="143827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638" t="42588" r="57909" b="46289"/>
                    <a:stretch/>
                  </pic:blipFill>
                  <pic:spPr bwMode="auto">
                    <a:xfrm>
                      <a:off x="0" y="0"/>
                      <a:ext cx="5486400" cy="1438275"/>
                    </a:xfrm>
                    <a:prstGeom prst="rect">
                      <a:avLst/>
                    </a:prstGeom>
                    <a:ln>
                      <a:noFill/>
                    </a:ln>
                    <a:extLst>
                      <a:ext uri="{53640926-AAD7-44D8-BBD7-CCE9431645EC}">
                        <a14:shadowObscured xmlns:a14="http://schemas.microsoft.com/office/drawing/2010/main"/>
                      </a:ext>
                    </a:extLst>
                  </pic:spPr>
                </pic:pic>
              </a:graphicData>
            </a:graphic>
          </wp:inline>
        </w:drawing>
      </w:r>
    </w:p>
    <w:p w14:paraId="35CAE6C3" w14:textId="77777777" w:rsidR="009248F0" w:rsidRPr="00B51B20" w:rsidRDefault="009248F0" w:rsidP="009248F0">
      <w:pPr>
        <w:pStyle w:val="Prrafodelista"/>
        <w:tabs>
          <w:tab w:val="left" w:pos="0"/>
        </w:tabs>
        <w:spacing w:line="360" w:lineRule="auto"/>
        <w:ind w:left="0" w:right="49"/>
        <w:jc w:val="both"/>
        <w:rPr>
          <w:rFonts w:ascii="Palatino Linotype" w:hAnsi="Palatino Linotype" w:cs="Arial"/>
          <w:sz w:val="24"/>
          <w:szCs w:val="24"/>
        </w:rPr>
      </w:pPr>
      <w:r w:rsidRPr="00B51B20">
        <w:rPr>
          <w:rFonts w:ascii="Palatino Linotype" w:hAnsi="Palatino Linotype" w:cs="Arial"/>
        </w:rPr>
        <w:t xml:space="preserve"> </w:t>
      </w:r>
      <w:r w:rsidRPr="00B51B20">
        <w:rPr>
          <w:rFonts w:ascii="Palatino Linotype" w:hAnsi="Palatino Linotype" w:cs="Arial"/>
          <w:sz w:val="24"/>
          <w:szCs w:val="24"/>
        </w:rPr>
        <w:t>Estableciendo en los artículos cuarto, quinto sexto y séptimo las actividades permitidas durante el semáforo, atendiendo al nivel de riesgo epidemiológico, así como el nivel de riesgo sanitario determinado por la autoridad sanitaria competente, en atención a las actividades gubernamentales, el acuerdo en comento establece:</w:t>
      </w:r>
    </w:p>
    <w:p w14:paraId="44038B53" w14:textId="77777777" w:rsidR="009248F0" w:rsidRPr="00B51B20" w:rsidRDefault="009248F0" w:rsidP="009248F0">
      <w:pPr>
        <w:pStyle w:val="Prrafodelista"/>
        <w:tabs>
          <w:tab w:val="left" w:pos="0"/>
        </w:tabs>
        <w:spacing w:line="360" w:lineRule="auto"/>
        <w:ind w:left="0" w:right="49"/>
        <w:jc w:val="both"/>
        <w:rPr>
          <w:rFonts w:ascii="Palatino Linotype" w:hAnsi="Palatino Linotype" w:cs="Arial"/>
        </w:rPr>
      </w:pPr>
    </w:p>
    <w:p w14:paraId="5704C9BD" w14:textId="77777777" w:rsidR="009248F0" w:rsidRPr="00B51B20" w:rsidRDefault="006F54CC"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t>“</w:t>
      </w:r>
      <w:r w:rsidR="009248F0" w:rsidRPr="00B51B20">
        <w:rPr>
          <w:rFonts w:ascii="Palatino Linotype" w:hAnsi="Palatino Linotype" w:cs="Arial"/>
          <w:i/>
        </w:rPr>
        <w:t xml:space="preserve">CUARTO. Actividades permitidas durante la etapa de Riesgo Máximo. (ROJO) I. Las actividades determinadas como “esenciales” continuarán rigiendo su funcionamiento conforme al “Acuerdo por el que se fortalecen las medidas preventivas y de seguridad para la mitigación y control de los riesgos para la salud que implica la enfermedad por el virus (COVID-19), en el Estado de México y se establece un programa de verificación para su </w:t>
      </w:r>
      <w:r w:rsidR="009248F0" w:rsidRPr="00B51B20">
        <w:rPr>
          <w:rFonts w:ascii="Palatino Linotype" w:hAnsi="Palatino Linotype" w:cs="Arial"/>
          <w:i/>
        </w:rPr>
        <w:lastRenderedPageBreak/>
        <w:t xml:space="preserve">cumplimiento”, expedido por la Secretaría de Salud y la Comisión para la Protección Contra Riesgos Sanitarios del Estado de México, publicado con fecha 22 de abril de 2020, en el Periódico Oficial “Gaceta del Gobierno”. </w:t>
      </w:r>
    </w:p>
    <w:p w14:paraId="6DBC48A6"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t>II. Las “nuevas actividades esenciales” -industria de la construcción, minería y fabricación de equipo de transporte-, podrán realizar actividades, siempre y cuando cumplan con lo previsto en los “Lineamientos de Seguridad Sanitaria en el Entorno Laboral”, emitidos por el Gobierno Federal: (</w:t>
      </w:r>
      <w:hyperlink r:id="rId22" w:history="1">
        <w:r w:rsidRPr="00B51B20">
          <w:rPr>
            <w:rStyle w:val="Hipervnculo"/>
            <w:rFonts w:ascii="Palatino Linotype" w:hAnsi="Palatino Linotype" w:cs="Arial"/>
            <w:i/>
          </w:rPr>
          <w:t>https://www.gob.mx/cms/uploads/attachment/file/552550/Lineamientos_de_Seguridad_Sanitaria_F.pdf</w:t>
        </w:r>
      </w:hyperlink>
      <w:r w:rsidRPr="00B51B20">
        <w:rPr>
          <w:rFonts w:ascii="Palatino Linotype" w:hAnsi="Palatino Linotype" w:cs="Arial"/>
          <w:i/>
        </w:rPr>
        <w:t xml:space="preserve">) </w:t>
      </w:r>
    </w:p>
    <w:p w14:paraId="6B3C0535"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t>De igual forma, en su operación deberán observar las siguientes medidas:</w:t>
      </w:r>
    </w:p>
    <w:p w14:paraId="78A0BAA9"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t xml:space="preserve"> a) Industria de la construcción y minería: </w:t>
      </w:r>
    </w:p>
    <w:p w14:paraId="4925E1B3"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t xml:space="preserve">1. Instalar un punto de desinfección y toma de temperatura por cada 15 trabajadores y contratistas en los turnos que se manejen; </w:t>
      </w:r>
    </w:p>
    <w:p w14:paraId="4D50770E"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t>2. Desinfectar herramientas y maquinaria de uso común al menos dos veces al día;</w:t>
      </w:r>
    </w:p>
    <w:p w14:paraId="22F42490"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t xml:space="preserve">3. Evitar concentraciones de más de 10 trabajadores en un mismo espacio; </w:t>
      </w:r>
    </w:p>
    <w:p w14:paraId="0B2B5EF0"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t xml:space="preserve">4. Llevar un estricto control de asistencia y acceso de los trabajadores y evitar el ingreso de personas ajenas a las obras; </w:t>
      </w:r>
    </w:p>
    <w:p w14:paraId="19E5E0A0"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t xml:space="preserve">5. Uso obligatorio de cubre bocas; </w:t>
      </w:r>
    </w:p>
    <w:p w14:paraId="22E71FE3"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t xml:space="preserve">6. En obras con más de 50 trabajadores, establecer horarios escalonados de entrada y salida; </w:t>
      </w:r>
    </w:p>
    <w:p w14:paraId="17BEFF10"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t xml:space="preserve">7. Continuar con el uso de guantes y lentes de seguridad. </w:t>
      </w:r>
    </w:p>
    <w:p w14:paraId="154BDA1D"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t xml:space="preserve">b) Fabricación de equipo de transporte: </w:t>
      </w:r>
    </w:p>
    <w:p w14:paraId="19FB4116"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t xml:space="preserve">1. Establecer barreras físicas en las líneas de producción y áreas de trabajo para mantener la sana distancia entre trabajadores; </w:t>
      </w:r>
    </w:p>
    <w:p w14:paraId="56FCA575"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t xml:space="preserve">2. Contar con protocolos de seguridad sanitaria para el transporte de personal, </w:t>
      </w:r>
      <w:proofErr w:type="spellStart"/>
      <w:r w:rsidRPr="00B51B20">
        <w:rPr>
          <w:rFonts w:ascii="Palatino Linotype" w:hAnsi="Palatino Linotype" w:cs="Arial"/>
          <w:i/>
        </w:rPr>
        <w:t>así́como</w:t>
      </w:r>
      <w:proofErr w:type="spellEnd"/>
      <w:r w:rsidRPr="00B51B20">
        <w:rPr>
          <w:rFonts w:ascii="Palatino Linotype" w:hAnsi="Palatino Linotype" w:cs="Arial"/>
          <w:i/>
        </w:rPr>
        <w:t xml:space="preserve"> para las áreas de carga, entrada y salida de transportistas; </w:t>
      </w:r>
    </w:p>
    <w:p w14:paraId="356469BF"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t xml:space="preserve">3. Impulsar estrategia de puertas abiertas para incrementar los flujos de aire natural; </w:t>
      </w:r>
    </w:p>
    <w:p w14:paraId="6839A1F8"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lastRenderedPageBreak/>
        <w:t xml:space="preserve">4. Implementar horarios escalonados de entrada y salida que eviten aglomeraciones en el transporte público; </w:t>
      </w:r>
    </w:p>
    <w:p w14:paraId="0607A248"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t xml:space="preserve">5. En el caso de grandes empresas (ancla), se encargarán de que su cadena de proveeduría cumpla con los “Lineamientos Técnicos de Seguridad Sanitaria en el Entorno Laboral” emitidos por el Gobierno Federal. </w:t>
      </w:r>
    </w:p>
    <w:p w14:paraId="6DE948F2"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t xml:space="preserve">III. Apertura de unidades económicas de bajo impacto o pequeños negocios, tales como papelerías, tiendas de ropa, jugueterías, mueblerías, refaccionarias, tiendas de artículos electrónicos, así como comercios al por menor y al por mayor, cuidando, en todo momento, que no se generen aglomeraciones al interior de sus establecimientos. </w:t>
      </w:r>
    </w:p>
    <w:p w14:paraId="29A04CDF"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t xml:space="preserve">IV. Industrias manufactureras, observando en todo momento las medidas previstas en el presente Acuerdo y demás disposiciones sanitarias aplicables. </w:t>
      </w:r>
    </w:p>
    <w:p w14:paraId="05B1E2A7"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t xml:space="preserve">V. Las siguientes actividades podrán iniciar operaciones, limitando en todos los casos su aforo a un 30% de su capacidad: </w:t>
      </w:r>
    </w:p>
    <w:p w14:paraId="1450D9C4"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t xml:space="preserve">a) Actividades relacionadas con servicios personales como peluquerías, tintorerías, talleres, locales de reparación de electrodomésticos y mantenimiento en general; </w:t>
      </w:r>
    </w:p>
    <w:p w14:paraId="7CBEF769"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t xml:space="preserve">b) Restaurantes y establecimientos de venta de alimentos preparados y bebidas en espacios cerrados; exceptuando bares, cantinas y demás establecimientos análogos previstos en el artículo Séptimo del presente Acuerdo; </w:t>
      </w:r>
    </w:p>
    <w:p w14:paraId="452674B9"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t xml:space="preserve">c) Servicio de hospedaje al público en general (adicional al aforo previsto para actividades esenciales); </w:t>
      </w:r>
    </w:p>
    <w:p w14:paraId="6F58C787"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t xml:space="preserve">d) Estacionamientos; </w:t>
      </w:r>
    </w:p>
    <w:p w14:paraId="3BEB7C95"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t xml:space="preserve">e) Tiendas departamentales, centros y plazas comerciales, y </w:t>
      </w:r>
    </w:p>
    <w:p w14:paraId="54172164"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t xml:space="preserve">f) Espacios públicos, parques, zoológicos, áreas naturales, actividades acuáticas y campos deportivos, así como todas las actividades físicas y recreativas al aire libre. VI. Las siguientes actividades podrán iniciar operaciones, limitando en todos los casos su aforo a un 40% de su capacidad: </w:t>
      </w:r>
    </w:p>
    <w:p w14:paraId="1668DB30"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lastRenderedPageBreak/>
        <w:t xml:space="preserve">a) Restaurantes y establecimientos de venta de alimentos preparados y bebidas en espacios abiertos; sin que se pueda exceder dicho porcentaje sumando espacios cerrados y abiertos. Se exceptúan bares, cantinas y demás establecimientos análogos previstos en el artículo Séptimo del presente Acuerdo. </w:t>
      </w:r>
    </w:p>
    <w:p w14:paraId="4FAD7C74"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t xml:space="preserve">VII. Se permitirá la reanudación de servicios varios, profesionales, científicos o técnicos, que estén directamente relacionados con las actividades o las necesidades para la reapertura en esta etapa, privilegiando y facilitando el trabajo a distancia. Se exceptuará de lo anterior los servicios relacionados con la organización de eventos sociales y análogos. </w:t>
      </w:r>
    </w:p>
    <w:p w14:paraId="4D8C5AF0" w14:textId="77777777" w:rsidR="009248F0" w:rsidRDefault="009248F0" w:rsidP="009248F0">
      <w:pPr>
        <w:pStyle w:val="Prrafodelista"/>
        <w:tabs>
          <w:tab w:val="left" w:pos="709"/>
        </w:tabs>
        <w:spacing w:line="360" w:lineRule="auto"/>
        <w:ind w:left="567" w:right="474"/>
        <w:jc w:val="both"/>
        <w:rPr>
          <w:rFonts w:ascii="Palatino Linotype" w:hAnsi="Palatino Linotype" w:cs="Arial"/>
          <w:b/>
          <w:i/>
          <w:u w:val="single"/>
        </w:rPr>
      </w:pPr>
      <w:r w:rsidRPr="00B51B20">
        <w:rPr>
          <w:rFonts w:ascii="Palatino Linotype" w:hAnsi="Palatino Linotype" w:cs="Arial"/>
          <w:b/>
          <w:i/>
          <w:u w:val="single"/>
        </w:rPr>
        <w:t>VIII. Actividades gubernamentales, en términos del artículo Décimo Primero del presente Acuerdo.</w:t>
      </w:r>
    </w:p>
    <w:p w14:paraId="05C13239" w14:textId="77777777" w:rsidR="00B51B20" w:rsidRPr="00B51B20" w:rsidRDefault="00B51B20" w:rsidP="009248F0">
      <w:pPr>
        <w:pStyle w:val="Prrafodelista"/>
        <w:tabs>
          <w:tab w:val="left" w:pos="709"/>
        </w:tabs>
        <w:spacing w:line="360" w:lineRule="auto"/>
        <w:ind w:left="567" w:right="474"/>
        <w:jc w:val="both"/>
        <w:rPr>
          <w:rFonts w:ascii="Palatino Linotype" w:hAnsi="Palatino Linotype" w:cs="Arial"/>
          <w:b/>
          <w:i/>
          <w:u w:val="single"/>
        </w:rPr>
      </w:pPr>
    </w:p>
    <w:p w14:paraId="1C897923" w14:textId="77777777" w:rsidR="00EF6C6A" w:rsidRPr="00B51B20" w:rsidRDefault="00EF6C6A" w:rsidP="009248F0">
      <w:pPr>
        <w:pStyle w:val="Prrafodelista"/>
        <w:tabs>
          <w:tab w:val="left" w:pos="709"/>
        </w:tabs>
        <w:spacing w:line="360" w:lineRule="auto"/>
        <w:ind w:left="567" w:right="474"/>
        <w:jc w:val="both"/>
        <w:rPr>
          <w:rFonts w:ascii="Palatino Linotype" w:hAnsi="Palatino Linotype" w:cs="Arial"/>
          <w:b/>
          <w:i/>
        </w:rPr>
      </w:pPr>
      <w:r w:rsidRPr="00B51B20">
        <w:rPr>
          <w:rFonts w:ascii="Palatino Linotype" w:hAnsi="Palatino Linotype" w:cs="Arial"/>
          <w:b/>
          <w:i/>
        </w:rPr>
        <w:t>QUINTO. Actividades permitidas durante la etapa de Riesgo Alto. (NARANJA)</w:t>
      </w:r>
    </w:p>
    <w:p w14:paraId="60F90649" w14:textId="77777777" w:rsidR="00EF6C6A" w:rsidRPr="00B51B20" w:rsidRDefault="00EF6C6A" w:rsidP="00EF6C6A">
      <w:pPr>
        <w:pStyle w:val="Prrafodelista"/>
        <w:numPr>
          <w:ilvl w:val="0"/>
          <w:numId w:val="12"/>
        </w:numPr>
        <w:tabs>
          <w:tab w:val="left" w:pos="709"/>
        </w:tabs>
        <w:spacing w:line="360" w:lineRule="auto"/>
        <w:ind w:right="474"/>
        <w:jc w:val="both"/>
        <w:rPr>
          <w:rFonts w:ascii="Palatino Linotype" w:hAnsi="Palatino Linotype" w:cs="Arial"/>
          <w:i/>
        </w:rPr>
      </w:pPr>
      <w:r w:rsidRPr="00B51B20">
        <w:rPr>
          <w:rFonts w:ascii="Palatino Linotype" w:hAnsi="Palatino Linotype" w:cs="Arial"/>
          <w:i/>
        </w:rPr>
        <w:t>Las actividades esenciales y nuevas esenciales continuarán su funcionamiento conforme a lo previsto en el artículo Cuarto del presente Acuerdo.</w:t>
      </w:r>
    </w:p>
    <w:p w14:paraId="4C72FECD" w14:textId="77777777" w:rsidR="00EF6C6A" w:rsidRPr="00B51B20" w:rsidRDefault="00EF6C6A" w:rsidP="00EF6C6A">
      <w:pPr>
        <w:tabs>
          <w:tab w:val="left" w:pos="709"/>
        </w:tabs>
        <w:spacing w:line="360" w:lineRule="auto"/>
        <w:ind w:left="627" w:right="474"/>
        <w:jc w:val="both"/>
        <w:rPr>
          <w:rFonts w:ascii="Palatino Linotype" w:hAnsi="Palatino Linotype" w:cs="Arial"/>
          <w:i/>
          <w:sz w:val="22"/>
          <w:szCs w:val="22"/>
        </w:rPr>
      </w:pPr>
      <w:r w:rsidRPr="00B51B20">
        <w:rPr>
          <w:rFonts w:ascii="Palatino Linotype" w:hAnsi="Palatino Linotype" w:cs="Arial"/>
          <w:i/>
          <w:sz w:val="22"/>
          <w:szCs w:val="22"/>
        </w:rPr>
        <w:t xml:space="preserve">II. Las actividades previstas en las fracciones III a VIII del artículo Cuarto del presente Acuerdo, continuarán su funcionamiento en los términos previstos en el mismo. </w:t>
      </w:r>
    </w:p>
    <w:p w14:paraId="72A5E7F8" w14:textId="77777777" w:rsidR="00EF6C6A" w:rsidRPr="00B51B20" w:rsidRDefault="00EF6C6A" w:rsidP="00EF6C6A">
      <w:pPr>
        <w:tabs>
          <w:tab w:val="left" w:pos="709"/>
        </w:tabs>
        <w:spacing w:line="360" w:lineRule="auto"/>
        <w:ind w:left="627" w:right="474"/>
        <w:jc w:val="both"/>
        <w:rPr>
          <w:rFonts w:ascii="Palatino Linotype" w:hAnsi="Palatino Linotype" w:cs="Arial"/>
          <w:i/>
          <w:sz w:val="22"/>
          <w:szCs w:val="22"/>
        </w:rPr>
      </w:pPr>
      <w:r w:rsidRPr="00B51B20">
        <w:rPr>
          <w:rFonts w:ascii="Palatino Linotype" w:hAnsi="Palatino Linotype" w:cs="Arial"/>
          <w:i/>
          <w:sz w:val="22"/>
          <w:szCs w:val="22"/>
        </w:rPr>
        <w:t xml:space="preserve">III. Las siguientes actividades podrán iniciar operaciones, limitando en todos los casos su aforo a un 30% de su capacidad: </w:t>
      </w:r>
    </w:p>
    <w:p w14:paraId="61C10BB4" w14:textId="0E6E5B2E" w:rsidR="00EF6C6A" w:rsidRPr="00B51B20" w:rsidRDefault="00EF6C6A" w:rsidP="00B51B20">
      <w:pPr>
        <w:pStyle w:val="Prrafodelista"/>
        <w:numPr>
          <w:ilvl w:val="0"/>
          <w:numId w:val="13"/>
        </w:numPr>
        <w:tabs>
          <w:tab w:val="left" w:pos="709"/>
        </w:tabs>
        <w:spacing w:line="360" w:lineRule="auto"/>
        <w:ind w:right="474"/>
        <w:jc w:val="both"/>
        <w:rPr>
          <w:rFonts w:ascii="Palatino Linotype" w:hAnsi="Palatino Linotype" w:cs="Arial"/>
          <w:i/>
        </w:rPr>
      </w:pPr>
      <w:r w:rsidRPr="00B51B20">
        <w:rPr>
          <w:rFonts w:ascii="Palatino Linotype" w:hAnsi="Palatino Linotype" w:cs="Arial"/>
          <w:i/>
        </w:rPr>
        <w:t xml:space="preserve">Servicios religiosos. </w:t>
      </w:r>
    </w:p>
    <w:p w14:paraId="5FB06DBA" w14:textId="77777777" w:rsidR="00B51B20" w:rsidRPr="00B51B20" w:rsidRDefault="00B51B20" w:rsidP="00B51B20">
      <w:pPr>
        <w:pStyle w:val="Prrafodelista"/>
        <w:tabs>
          <w:tab w:val="left" w:pos="709"/>
        </w:tabs>
        <w:spacing w:line="360" w:lineRule="auto"/>
        <w:ind w:left="987" w:right="474"/>
        <w:jc w:val="both"/>
        <w:rPr>
          <w:rFonts w:ascii="Palatino Linotype" w:hAnsi="Palatino Linotype" w:cs="Arial"/>
          <w:i/>
        </w:rPr>
      </w:pPr>
    </w:p>
    <w:p w14:paraId="45EAE6E9" w14:textId="77777777" w:rsidR="00EF6C6A" w:rsidRPr="00B51B20" w:rsidRDefault="00EF6C6A" w:rsidP="00EF6C6A">
      <w:pPr>
        <w:tabs>
          <w:tab w:val="left" w:pos="709"/>
        </w:tabs>
        <w:spacing w:line="360" w:lineRule="auto"/>
        <w:ind w:left="627" w:right="474"/>
        <w:jc w:val="both"/>
        <w:rPr>
          <w:rFonts w:ascii="Palatino Linotype" w:hAnsi="Palatino Linotype" w:cs="Arial"/>
          <w:b/>
          <w:i/>
          <w:sz w:val="22"/>
          <w:szCs w:val="22"/>
        </w:rPr>
      </w:pPr>
      <w:r w:rsidRPr="00B51B20">
        <w:rPr>
          <w:rFonts w:ascii="Palatino Linotype" w:hAnsi="Palatino Linotype" w:cs="Arial"/>
          <w:b/>
          <w:i/>
          <w:sz w:val="22"/>
          <w:szCs w:val="22"/>
        </w:rPr>
        <w:t xml:space="preserve">SEXTO. Actividades permitidas durante la etapa de Riesgo Intermedio. (AMARILLO) </w:t>
      </w:r>
    </w:p>
    <w:p w14:paraId="5FA94F69" w14:textId="77777777" w:rsidR="00EF6C6A" w:rsidRPr="00B51B20" w:rsidRDefault="00EF6C6A" w:rsidP="00EF6C6A">
      <w:pPr>
        <w:tabs>
          <w:tab w:val="left" w:pos="709"/>
        </w:tabs>
        <w:spacing w:line="360" w:lineRule="auto"/>
        <w:ind w:left="627" w:right="474"/>
        <w:jc w:val="both"/>
        <w:rPr>
          <w:rFonts w:ascii="Palatino Linotype" w:hAnsi="Palatino Linotype" w:cs="Arial"/>
          <w:i/>
          <w:sz w:val="22"/>
          <w:szCs w:val="22"/>
        </w:rPr>
      </w:pPr>
      <w:r w:rsidRPr="00B51B20">
        <w:rPr>
          <w:rFonts w:ascii="Palatino Linotype" w:hAnsi="Palatino Linotype" w:cs="Arial"/>
          <w:i/>
          <w:sz w:val="22"/>
          <w:szCs w:val="22"/>
        </w:rPr>
        <w:t xml:space="preserve">I. Las actividades esenciales y nuevas esenciales continuarán su funcionamiento conforme a lo previsto en el artículo Cuarto del presente Acuerdo. </w:t>
      </w:r>
    </w:p>
    <w:p w14:paraId="7D585605" w14:textId="77777777" w:rsidR="00EF6C6A" w:rsidRPr="00B51B20" w:rsidRDefault="00EF6C6A" w:rsidP="00EF6C6A">
      <w:pPr>
        <w:tabs>
          <w:tab w:val="left" w:pos="709"/>
        </w:tabs>
        <w:spacing w:line="360" w:lineRule="auto"/>
        <w:ind w:left="627" w:right="474"/>
        <w:jc w:val="both"/>
        <w:rPr>
          <w:rFonts w:ascii="Palatino Linotype" w:hAnsi="Palatino Linotype" w:cs="Arial"/>
          <w:i/>
          <w:sz w:val="22"/>
          <w:szCs w:val="22"/>
        </w:rPr>
      </w:pPr>
      <w:r w:rsidRPr="00B51B20">
        <w:rPr>
          <w:rFonts w:ascii="Palatino Linotype" w:hAnsi="Palatino Linotype" w:cs="Arial"/>
          <w:i/>
          <w:sz w:val="22"/>
          <w:szCs w:val="22"/>
        </w:rPr>
        <w:t xml:space="preserve">II. Las actividades previstas en las fracciones III, IV, VII y VIII del artículo Cuarto del presente Acuerdo continuarán su operación conforme lo previsto en el mismo. III. Las </w:t>
      </w:r>
      <w:r w:rsidRPr="00B51B20">
        <w:rPr>
          <w:rFonts w:ascii="Palatino Linotype" w:hAnsi="Palatino Linotype" w:cs="Arial"/>
          <w:i/>
          <w:sz w:val="22"/>
          <w:szCs w:val="22"/>
        </w:rPr>
        <w:lastRenderedPageBreak/>
        <w:t xml:space="preserve">actividades previstas en las fracciones V y VI del artículo Cuarto y fracción III del artículo Quinto del presente Acuerdo, podrán aumentar su aforo al 60% de su capacidad. </w:t>
      </w:r>
    </w:p>
    <w:p w14:paraId="40E8E6B7" w14:textId="77777777" w:rsidR="00EF6C6A" w:rsidRPr="00B51B20" w:rsidRDefault="00EF6C6A" w:rsidP="00EF6C6A">
      <w:pPr>
        <w:tabs>
          <w:tab w:val="left" w:pos="709"/>
        </w:tabs>
        <w:spacing w:line="360" w:lineRule="auto"/>
        <w:ind w:left="627" w:right="474"/>
        <w:jc w:val="both"/>
        <w:rPr>
          <w:rFonts w:ascii="Palatino Linotype" w:hAnsi="Palatino Linotype" w:cs="Arial"/>
          <w:i/>
          <w:sz w:val="22"/>
          <w:szCs w:val="22"/>
        </w:rPr>
      </w:pPr>
      <w:r w:rsidRPr="00B51B20">
        <w:rPr>
          <w:rFonts w:ascii="Palatino Linotype" w:hAnsi="Palatino Linotype" w:cs="Arial"/>
          <w:i/>
          <w:sz w:val="22"/>
          <w:szCs w:val="22"/>
        </w:rPr>
        <w:t xml:space="preserve">IV. Las siguientes actividades podrán iniciar operaciones, limitando en todos los casos su aforo al 60% de su capacidad: </w:t>
      </w:r>
    </w:p>
    <w:p w14:paraId="41E7DFB5" w14:textId="77777777" w:rsidR="00EF6C6A" w:rsidRPr="00B51B20" w:rsidRDefault="00EF6C6A" w:rsidP="00EF6C6A">
      <w:pPr>
        <w:tabs>
          <w:tab w:val="left" w:pos="709"/>
        </w:tabs>
        <w:spacing w:line="360" w:lineRule="auto"/>
        <w:ind w:left="627" w:right="474"/>
        <w:jc w:val="both"/>
        <w:rPr>
          <w:rFonts w:ascii="Palatino Linotype" w:hAnsi="Palatino Linotype" w:cs="Arial"/>
          <w:i/>
          <w:sz w:val="22"/>
          <w:szCs w:val="22"/>
        </w:rPr>
      </w:pPr>
      <w:r w:rsidRPr="00B51B20">
        <w:rPr>
          <w:rFonts w:ascii="Palatino Linotype" w:hAnsi="Palatino Linotype" w:cs="Arial"/>
          <w:i/>
          <w:sz w:val="22"/>
          <w:szCs w:val="22"/>
        </w:rPr>
        <w:t xml:space="preserve">a) Servicios profesionales, científicos y técnicos distintos a los previstos en el artículo Cuarto, corporativos, organizaciones civiles y políticas, privilegiando y facilitando el trabajo a distancia; </w:t>
      </w:r>
    </w:p>
    <w:p w14:paraId="777E0BCD" w14:textId="77777777" w:rsidR="00EF6C6A" w:rsidRPr="00B51B20" w:rsidRDefault="00EF6C6A" w:rsidP="00EF6C6A">
      <w:pPr>
        <w:tabs>
          <w:tab w:val="left" w:pos="709"/>
        </w:tabs>
        <w:spacing w:line="360" w:lineRule="auto"/>
        <w:ind w:left="627" w:right="474"/>
        <w:jc w:val="both"/>
        <w:rPr>
          <w:rFonts w:ascii="Palatino Linotype" w:hAnsi="Palatino Linotype" w:cs="Arial"/>
          <w:i/>
          <w:sz w:val="22"/>
          <w:szCs w:val="22"/>
        </w:rPr>
      </w:pPr>
      <w:r w:rsidRPr="00B51B20">
        <w:rPr>
          <w:rFonts w:ascii="Palatino Linotype" w:hAnsi="Palatino Linotype" w:cs="Arial"/>
          <w:i/>
          <w:sz w:val="22"/>
          <w:szCs w:val="22"/>
        </w:rPr>
        <w:t xml:space="preserve">b) Museos, cines y teatros. </w:t>
      </w:r>
    </w:p>
    <w:p w14:paraId="3997AAA3" w14:textId="77777777" w:rsidR="00EF6C6A" w:rsidRPr="00B51B20" w:rsidRDefault="00EF6C6A" w:rsidP="00EF6C6A">
      <w:pPr>
        <w:tabs>
          <w:tab w:val="left" w:pos="709"/>
        </w:tabs>
        <w:spacing w:line="360" w:lineRule="auto"/>
        <w:ind w:left="627" w:right="474"/>
        <w:jc w:val="both"/>
        <w:rPr>
          <w:rFonts w:ascii="Palatino Linotype" w:hAnsi="Palatino Linotype" w:cs="Arial"/>
          <w:i/>
          <w:sz w:val="22"/>
          <w:szCs w:val="22"/>
        </w:rPr>
      </w:pPr>
      <w:r w:rsidRPr="00B51B20">
        <w:rPr>
          <w:rFonts w:ascii="Palatino Linotype" w:hAnsi="Palatino Linotype" w:cs="Arial"/>
          <w:i/>
          <w:sz w:val="22"/>
          <w:szCs w:val="22"/>
        </w:rPr>
        <w:t xml:space="preserve">V. Se reanudarán los eventos deportivos sin público, observando las medidas sanitarias y las pruebas correspondientes para asegurar la salud de los atletas. SÉPTIMO. Actividades permitidas durante la etapa de Riesgo Bajo. (VERDE) </w:t>
      </w:r>
    </w:p>
    <w:p w14:paraId="0A7A101A" w14:textId="77777777" w:rsidR="00EF6C6A" w:rsidRPr="00B51B20" w:rsidRDefault="00EF6C6A" w:rsidP="00EF6C6A">
      <w:pPr>
        <w:tabs>
          <w:tab w:val="left" w:pos="709"/>
        </w:tabs>
        <w:spacing w:line="360" w:lineRule="auto"/>
        <w:ind w:left="627" w:right="474"/>
        <w:jc w:val="both"/>
        <w:rPr>
          <w:rFonts w:ascii="Palatino Linotype" w:hAnsi="Palatino Linotype" w:cs="Arial"/>
          <w:i/>
          <w:sz w:val="22"/>
          <w:szCs w:val="22"/>
        </w:rPr>
      </w:pPr>
      <w:r w:rsidRPr="00B51B20">
        <w:rPr>
          <w:rFonts w:ascii="Palatino Linotype" w:hAnsi="Palatino Linotype" w:cs="Arial"/>
          <w:i/>
          <w:sz w:val="22"/>
          <w:szCs w:val="22"/>
        </w:rPr>
        <w:t xml:space="preserve">I. Las actividades previstas en los artículos Cuarto, Quinto y Sexto del presente Acuerdo podrán operar sin limitación de aforo. </w:t>
      </w:r>
    </w:p>
    <w:p w14:paraId="07C8639B" w14:textId="77777777" w:rsidR="00EF6C6A" w:rsidRPr="00B51B20" w:rsidRDefault="00EF6C6A" w:rsidP="00EF6C6A">
      <w:pPr>
        <w:tabs>
          <w:tab w:val="left" w:pos="709"/>
        </w:tabs>
        <w:spacing w:line="360" w:lineRule="auto"/>
        <w:ind w:left="627" w:right="474"/>
        <w:jc w:val="both"/>
        <w:rPr>
          <w:rFonts w:ascii="Palatino Linotype" w:hAnsi="Palatino Linotype" w:cs="Arial"/>
          <w:i/>
          <w:sz w:val="22"/>
          <w:szCs w:val="22"/>
        </w:rPr>
      </w:pPr>
      <w:r w:rsidRPr="00B51B20">
        <w:rPr>
          <w:rFonts w:ascii="Palatino Linotype" w:hAnsi="Palatino Linotype" w:cs="Arial"/>
          <w:i/>
          <w:sz w:val="22"/>
          <w:szCs w:val="22"/>
        </w:rPr>
        <w:t xml:space="preserve">II. El resto de las actividades no contempladas en los artículos anteriores podrán reiniciar operaciones sin restricción de aforo, tales como: locales o espacios destinados a actividades culturales, auditorios, foros y palenques, gimnasios, balnearios, albercas públicas, boliches, </w:t>
      </w:r>
      <w:proofErr w:type="spellStart"/>
      <w:r w:rsidRPr="00B51B20">
        <w:rPr>
          <w:rFonts w:ascii="Palatino Linotype" w:hAnsi="Palatino Linotype" w:cs="Arial"/>
          <w:i/>
          <w:sz w:val="22"/>
          <w:szCs w:val="22"/>
        </w:rPr>
        <w:t>baños</w:t>
      </w:r>
      <w:proofErr w:type="spellEnd"/>
      <w:r w:rsidRPr="00B51B20">
        <w:rPr>
          <w:rFonts w:ascii="Palatino Linotype" w:hAnsi="Palatino Linotype" w:cs="Arial"/>
          <w:i/>
          <w:sz w:val="22"/>
          <w:szCs w:val="22"/>
        </w:rPr>
        <w:t xml:space="preserve"> públicos, vapores y spas, bares, cantinas, discotecas y </w:t>
      </w:r>
      <w:proofErr w:type="spellStart"/>
      <w:r w:rsidRPr="00B51B20">
        <w:rPr>
          <w:rFonts w:ascii="Palatino Linotype" w:hAnsi="Palatino Linotype" w:cs="Arial"/>
          <w:i/>
          <w:sz w:val="22"/>
          <w:szCs w:val="22"/>
        </w:rPr>
        <w:t>videobares</w:t>
      </w:r>
      <w:proofErr w:type="spellEnd"/>
      <w:r w:rsidRPr="00B51B20">
        <w:rPr>
          <w:rFonts w:ascii="Palatino Linotype" w:hAnsi="Palatino Linotype" w:cs="Arial"/>
          <w:i/>
          <w:sz w:val="22"/>
          <w:szCs w:val="22"/>
        </w:rPr>
        <w:t xml:space="preserve">, centros nocturnos, centros </w:t>
      </w:r>
      <w:proofErr w:type="spellStart"/>
      <w:r w:rsidRPr="00B51B20">
        <w:rPr>
          <w:rFonts w:ascii="Palatino Linotype" w:hAnsi="Palatino Linotype" w:cs="Arial"/>
          <w:i/>
          <w:sz w:val="22"/>
          <w:szCs w:val="22"/>
        </w:rPr>
        <w:t>botaneros</w:t>
      </w:r>
      <w:proofErr w:type="spellEnd"/>
      <w:r w:rsidRPr="00B51B20">
        <w:rPr>
          <w:rFonts w:ascii="Palatino Linotype" w:hAnsi="Palatino Linotype" w:cs="Arial"/>
          <w:i/>
          <w:sz w:val="22"/>
          <w:szCs w:val="22"/>
        </w:rPr>
        <w:t xml:space="preserve"> y cerveceros, salas de sorteos de números, centros de apuestas remotas (casinos), billares y establecimientos para venta de bebidas alcohólicas para su consumo inmediato y/o al copeo. Se deberán observar las medidas de prevención e higiene que determine la autoridad sanitaria. </w:t>
      </w:r>
    </w:p>
    <w:p w14:paraId="2DA1E097" w14:textId="77777777" w:rsidR="00EF6C6A" w:rsidRPr="00B51B20" w:rsidRDefault="00EF6C6A" w:rsidP="00EF6C6A">
      <w:pPr>
        <w:tabs>
          <w:tab w:val="left" w:pos="709"/>
        </w:tabs>
        <w:spacing w:line="360" w:lineRule="auto"/>
        <w:ind w:left="627" w:right="474"/>
        <w:jc w:val="both"/>
        <w:rPr>
          <w:rFonts w:ascii="Palatino Linotype" w:hAnsi="Palatino Linotype" w:cs="Arial"/>
          <w:i/>
          <w:sz w:val="22"/>
          <w:szCs w:val="22"/>
        </w:rPr>
      </w:pPr>
      <w:r w:rsidRPr="00B51B20">
        <w:rPr>
          <w:rFonts w:ascii="Palatino Linotype" w:hAnsi="Palatino Linotype" w:cs="Arial"/>
          <w:i/>
          <w:sz w:val="22"/>
          <w:szCs w:val="22"/>
        </w:rPr>
        <w:t>III. Cuando así lo determinen las autoridades educativas y sanitarias correspondientes, durante esta etapa, se podrán reanudar las actividades educativas.</w:t>
      </w:r>
    </w:p>
    <w:p w14:paraId="3631CBEF"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b/>
          <w:i/>
          <w:u w:val="single"/>
        </w:rPr>
      </w:pPr>
      <w:r w:rsidRPr="00B51B20">
        <w:rPr>
          <w:rFonts w:ascii="Palatino Linotype" w:hAnsi="Palatino Linotype" w:cs="Arial"/>
          <w:b/>
          <w:i/>
          <w:u w:val="single"/>
        </w:rPr>
        <w:t>….</w:t>
      </w:r>
    </w:p>
    <w:p w14:paraId="2F6969D0"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i/>
        </w:rPr>
        <w:t xml:space="preserve">DÉCIMO PRIMERO. Actividades gubernamentales. </w:t>
      </w:r>
    </w:p>
    <w:p w14:paraId="7A0D302B"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i/>
        </w:rPr>
      </w:pPr>
      <w:r w:rsidRPr="00B51B20">
        <w:rPr>
          <w:rFonts w:ascii="Palatino Linotype" w:hAnsi="Palatino Linotype" w:cs="Arial"/>
          <w:b/>
          <w:i/>
        </w:rPr>
        <w:t xml:space="preserve">Las actividades gubernamentales que se encuentran suspendidas se reanudarán sin perjuicio de lo previsto en el artículo Noveno del presente Acuerdo y, de ser </w:t>
      </w:r>
      <w:r w:rsidRPr="00B51B20">
        <w:rPr>
          <w:rFonts w:ascii="Palatino Linotype" w:hAnsi="Palatino Linotype" w:cs="Arial"/>
          <w:b/>
          <w:i/>
        </w:rPr>
        <w:lastRenderedPageBreak/>
        <w:t>el caso, conforme a los Acuerdos que sobre el particular expidan las dependencias e instituciones públicas competentes.</w:t>
      </w:r>
      <w:r w:rsidRPr="00B51B20">
        <w:rPr>
          <w:rFonts w:ascii="Palatino Linotype" w:hAnsi="Palatino Linotype" w:cs="Arial"/>
          <w:i/>
        </w:rPr>
        <w:t xml:space="preserve"> </w:t>
      </w:r>
    </w:p>
    <w:p w14:paraId="66FDD921"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b/>
          <w:i/>
        </w:rPr>
      </w:pPr>
      <w:r w:rsidRPr="00B51B20">
        <w:rPr>
          <w:rFonts w:ascii="Palatino Linotype" w:hAnsi="Palatino Linotype" w:cs="Arial"/>
          <w:b/>
          <w:i/>
        </w:rPr>
        <w:t xml:space="preserve">Las instituciones públicas deberán garantizar las medidas de prevención e higiene emitidas por las autoridades sanitarias. </w:t>
      </w:r>
    </w:p>
    <w:p w14:paraId="337FBC67" w14:textId="77777777" w:rsidR="009248F0" w:rsidRPr="00B51B20" w:rsidRDefault="009248F0" w:rsidP="009248F0">
      <w:pPr>
        <w:pStyle w:val="Prrafodelista"/>
        <w:tabs>
          <w:tab w:val="left" w:pos="709"/>
        </w:tabs>
        <w:spacing w:line="360" w:lineRule="auto"/>
        <w:ind w:left="567" w:right="474"/>
        <w:jc w:val="both"/>
        <w:rPr>
          <w:rFonts w:ascii="Palatino Linotype" w:hAnsi="Palatino Linotype" w:cs="Arial"/>
          <w:b/>
          <w:i/>
        </w:rPr>
      </w:pPr>
      <w:r w:rsidRPr="00B51B20">
        <w:rPr>
          <w:rFonts w:ascii="Palatino Linotype" w:hAnsi="Palatino Linotype" w:cs="Arial"/>
          <w:b/>
          <w:i/>
        </w:rPr>
        <w:t>Las actividades jurisdiccionales se reanudarán en términos de los Acuerdos que expidan para tal efecto las autoridades competentes.” (Sic)</w:t>
      </w:r>
    </w:p>
    <w:p w14:paraId="466B8718" w14:textId="77777777" w:rsidR="009248F0" w:rsidRPr="00B51B20" w:rsidRDefault="009248F0" w:rsidP="009248F0">
      <w:pPr>
        <w:pStyle w:val="Prrafodelista"/>
        <w:tabs>
          <w:tab w:val="left" w:pos="0"/>
        </w:tabs>
        <w:spacing w:line="360" w:lineRule="auto"/>
        <w:ind w:left="0" w:right="49" w:hanging="142"/>
        <w:jc w:val="both"/>
        <w:rPr>
          <w:rFonts w:ascii="Palatino Linotype" w:hAnsi="Palatino Linotype" w:cs="Arial"/>
          <w:i/>
        </w:rPr>
      </w:pPr>
    </w:p>
    <w:p w14:paraId="262A8F18" w14:textId="1E5705CF" w:rsidR="00EF6C6A" w:rsidRPr="00B51B20" w:rsidRDefault="009248F0" w:rsidP="009248F0">
      <w:pPr>
        <w:pStyle w:val="Prrafodelista"/>
        <w:tabs>
          <w:tab w:val="left" w:pos="0"/>
        </w:tabs>
        <w:spacing w:line="360" w:lineRule="auto"/>
        <w:ind w:left="0" w:right="49"/>
        <w:jc w:val="both"/>
        <w:rPr>
          <w:rFonts w:ascii="Palatino Linotype" w:hAnsi="Palatino Linotype" w:cs="Arial"/>
        </w:rPr>
      </w:pPr>
      <w:r w:rsidRPr="00B51B20">
        <w:rPr>
          <w:rFonts w:ascii="Palatino Linotype" w:hAnsi="Palatino Linotype" w:cs="Arial"/>
        </w:rPr>
        <w:t xml:space="preserve">De los dispositivos legales en comento se aprecia cuáles son las actividades permitidas durante </w:t>
      </w:r>
      <w:r w:rsidR="00EF6C6A" w:rsidRPr="00B51B20">
        <w:rPr>
          <w:rFonts w:ascii="Palatino Linotype" w:hAnsi="Palatino Linotype" w:cs="Arial"/>
        </w:rPr>
        <w:t>la etapa de riesgo máximo</w:t>
      </w:r>
      <w:r w:rsidRPr="00B51B20">
        <w:rPr>
          <w:rFonts w:ascii="Palatino Linotype" w:hAnsi="Palatino Linotype" w:cs="Arial"/>
        </w:rPr>
        <w:t xml:space="preserve"> (</w:t>
      </w:r>
      <w:r w:rsidR="00EF6C6A" w:rsidRPr="00B51B20">
        <w:rPr>
          <w:rFonts w:ascii="Palatino Linotype" w:hAnsi="Palatino Linotype" w:cs="Arial"/>
        </w:rPr>
        <w:t>rojo</w:t>
      </w:r>
      <w:r w:rsidRPr="00B51B20">
        <w:rPr>
          <w:rFonts w:ascii="Palatino Linotype" w:hAnsi="Palatino Linotype" w:cs="Arial"/>
        </w:rPr>
        <w:t xml:space="preserve">), </w:t>
      </w:r>
      <w:r w:rsidR="00EF6C6A" w:rsidRPr="00B51B20">
        <w:rPr>
          <w:rFonts w:ascii="Palatino Linotype" w:hAnsi="Palatino Linotype" w:cs="Arial"/>
        </w:rPr>
        <w:t>alto (naranja), intermedio (amarillo) y bajo (Verde).</w:t>
      </w:r>
    </w:p>
    <w:p w14:paraId="49C04A5C" w14:textId="77777777" w:rsidR="00EF6C6A" w:rsidRPr="00B51B20" w:rsidRDefault="00EF6C6A" w:rsidP="009248F0">
      <w:pPr>
        <w:pStyle w:val="Prrafodelista"/>
        <w:tabs>
          <w:tab w:val="left" w:pos="0"/>
        </w:tabs>
        <w:spacing w:line="360" w:lineRule="auto"/>
        <w:ind w:left="0" w:right="49"/>
        <w:jc w:val="both"/>
        <w:rPr>
          <w:rFonts w:ascii="Palatino Linotype" w:hAnsi="Palatino Linotype" w:cs="Arial"/>
        </w:rPr>
      </w:pPr>
    </w:p>
    <w:p w14:paraId="70F17F90" w14:textId="3CE6D327" w:rsidR="009248F0" w:rsidRPr="00B51B20" w:rsidRDefault="00EF6C6A" w:rsidP="009248F0">
      <w:pPr>
        <w:pStyle w:val="Prrafodelista"/>
        <w:tabs>
          <w:tab w:val="left" w:pos="0"/>
        </w:tabs>
        <w:spacing w:line="360" w:lineRule="auto"/>
        <w:ind w:left="0" w:right="49"/>
        <w:jc w:val="both"/>
        <w:rPr>
          <w:rFonts w:ascii="Palatino Linotype" w:hAnsi="Palatino Linotype" w:cs="Arial"/>
        </w:rPr>
      </w:pPr>
      <w:r w:rsidRPr="00B51B20">
        <w:rPr>
          <w:rFonts w:ascii="Palatino Linotype" w:hAnsi="Palatino Linotype" w:cs="Arial"/>
        </w:rPr>
        <w:t>L</w:t>
      </w:r>
      <w:r w:rsidR="009248F0" w:rsidRPr="00B51B20">
        <w:rPr>
          <w:rFonts w:ascii="Palatino Linotype" w:hAnsi="Palatino Linotype" w:cs="Arial"/>
        </w:rPr>
        <w:t xml:space="preserve">uego entonces las actividades gubernamentales se reanudarán en términos de los acuerdos que expidan para tal efecto las autoridades competentes, </w:t>
      </w:r>
      <w:r w:rsidRPr="00B51B20">
        <w:rPr>
          <w:rFonts w:ascii="Palatino Linotype" w:hAnsi="Palatino Linotype" w:cs="Arial"/>
        </w:rPr>
        <w:t>en este caso el Instituto Electoral del Estado de México</w:t>
      </w:r>
      <w:r w:rsidR="009248F0" w:rsidRPr="00B51B20">
        <w:rPr>
          <w:rFonts w:ascii="Palatino Linotype" w:hAnsi="Palatino Linotype" w:cs="Arial"/>
        </w:rPr>
        <w:t xml:space="preserve">, debió emitir </w:t>
      </w:r>
      <w:r w:rsidR="00B51B20">
        <w:rPr>
          <w:rFonts w:ascii="Palatino Linotype" w:hAnsi="Palatino Linotype" w:cs="Arial"/>
        </w:rPr>
        <w:t xml:space="preserve">y atender </w:t>
      </w:r>
      <w:r w:rsidR="009248F0" w:rsidRPr="00B51B20">
        <w:rPr>
          <w:rFonts w:ascii="Palatino Linotype" w:hAnsi="Palatino Linotype" w:cs="Arial"/>
        </w:rPr>
        <w:t>los acuerdo</w:t>
      </w:r>
      <w:r w:rsidR="002F5C11" w:rsidRPr="00B51B20">
        <w:rPr>
          <w:rFonts w:ascii="Palatino Linotype" w:hAnsi="Palatino Linotype" w:cs="Arial"/>
        </w:rPr>
        <w:t>s</w:t>
      </w:r>
      <w:r w:rsidR="009248F0" w:rsidRPr="00B51B20">
        <w:rPr>
          <w:rFonts w:ascii="Palatino Linotype" w:hAnsi="Palatino Linotype" w:cs="Arial"/>
        </w:rPr>
        <w:t xml:space="preserve"> correspondientes a la suspensión de sus actividades esenciales por el semáforo rojo, </w:t>
      </w:r>
      <w:r w:rsidRPr="00B51B20">
        <w:rPr>
          <w:rFonts w:ascii="Palatino Linotype" w:hAnsi="Palatino Linotype" w:cs="Arial"/>
        </w:rPr>
        <w:t xml:space="preserve">naranja, amarillo y verde; respectivamente, </w:t>
      </w:r>
      <w:r w:rsidR="009248F0" w:rsidRPr="00B51B20">
        <w:rPr>
          <w:rFonts w:ascii="Palatino Linotype" w:hAnsi="Palatino Linotype" w:cs="Arial"/>
        </w:rPr>
        <w:t>con la finalidad de la mitigación y control de los riesgos para la salud que implica la enfermedad por el virus (COVID-19)</w:t>
      </w:r>
      <w:r w:rsidRPr="00B51B20">
        <w:rPr>
          <w:rFonts w:ascii="Palatino Linotype" w:hAnsi="Palatino Linotype" w:cs="Arial"/>
        </w:rPr>
        <w:t>.</w:t>
      </w:r>
    </w:p>
    <w:p w14:paraId="7BB7B6D6" w14:textId="77777777" w:rsidR="00B83B96" w:rsidRPr="00B51B20" w:rsidRDefault="00B83B96" w:rsidP="009248F0">
      <w:pPr>
        <w:pStyle w:val="Prrafodelista"/>
        <w:tabs>
          <w:tab w:val="left" w:pos="0"/>
        </w:tabs>
        <w:spacing w:line="360" w:lineRule="auto"/>
        <w:ind w:left="0" w:right="49"/>
        <w:jc w:val="both"/>
        <w:rPr>
          <w:rFonts w:ascii="Palatino Linotype" w:hAnsi="Palatino Linotype" w:cs="Arial"/>
        </w:rPr>
      </w:pPr>
    </w:p>
    <w:p w14:paraId="418CE477" w14:textId="204D10D1" w:rsidR="00B83B96" w:rsidRPr="00B51B20" w:rsidRDefault="00B83B96" w:rsidP="00EC7395">
      <w:pPr>
        <w:pStyle w:val="Prrafodelista"/>
        <w:tabs>
          <w:tab w:val="left" w:pos="0"/>
        </w:tabs>
        <w:spacing w:line="360" w:lineRule="auto"/>
        <w:ind w:left="0" w:right="49"/>
        <w:jc w:val="both"/>
        <w:rPr>
          <w:rFonts w:ascii="Palatino Linotype" w:hAnsi="Palatino Linotype" w:cs="Arial"/>
          <w:i/>
        </w:rPr>
      </w:pPr>
      <w:r w:rsidRPr="00B51B20">
        <w:rPr>
          <w:rFonts w:ascii="Palatino Linotype" w:hAnsi="Palatino Linotype" w:cs="Arial"/>
        </w:rPr>
        <w:t>Sobre las Ju</w:t>
      </w:r>
      <w:r w:rsidR="003D4D8A" w:rsidRPr="00B51B20">
        <w:rPr>
          <w:rFonts w:ascii="Palatino Linotype" w:hAnsi="Palatino Linotype" w:cs="Arial"/>
        </w:rPr>
        <w:t>n</w:t>
      </w:r>
      <w:r w:rsidRPr="00B51B20">
        <w:rPr>
          <w:rFonts w:ascii="Palatino Linotype" w:hAnsi="Palatino Linotype" w:cs="Arial"/>
        </w:rPr>
        <w:t xml:space="preserve">tas Distritales el </w:t>
      </w:r>
      <w:r w:rsidRPr="00B51B20">
        <w:rPr>
          <w:rFonts w:ascii="Palatino Linotype" w:hAnsi="Palatino Linotype" w:cs="Arial"/>
          <w:b/>
        </w:rPr>
        <w:t>SUJETO OBLIGADO</w:t>
      </w:r>
      <w:r w:rsidRPr="00B51B20">
        <w:rPr>
          <w:rFonts w:ascii="Palatino Linotype" w:hAnsi="Palatino Linotype" w:cs="Arial"/>
        </w:rPr>
        <w:t>, señaló</w:t>
      </w:r>
      <w:r w:rsidR="00EC7395">
        <w:rPr>
          <w:rFonts w:ascii="Palatino Linotype" w:hAnsi="Palatino Linotype" w:cs="Arial"/>
        </w:rPr>
        <w:t>,</w:t>
      </w:r>
      <w:r w:rsidRPr="00B51B20">
        <w:rPr>
          <w:rFonts w:ascii="Palatino Linotype" w:hAnsi="Palatino Linotype" w:cs="Arial"/>
        </w:rPr>
        <w:t xml:space="preserve"> que </w:t>
      </w:r>
      <w:r w:rsidRPr="00B51B20">
        <w:rPr>
          <w:rFonts w:ascii="Palatino Linotype" w:hAnsi="Palatino Linotype" w:cs="Arial"/>
          <w:b/>
          <w:u w:val="single"/>
        </w:rPr>
        <w:t>son órganos temporales, que se instalan únicamente durante el proceso electoral ordinario, teniendo un horario de veinticuatro horas de lunes a domingo, con excepción de lo</w:t>
      </w:r>
      <w:r w:rsidR="00EC7395">
        <w:rPr>
          <w:rFonts w:ascii="Palatino Linotype" w:hAnsi="Palatino Linotype" w:cs="Arial"/>
          <w:b/>
          <w:u w:val="single"/>
        </w:rPr>
        <w:t>s días de descanso obligatorio.</w:t>
      </w:r>
    </w:p>
    <w:p w14:paraId="55256FBD" w14:textId="77777777" w:rsidR="00EF6C6A" w:rsidRPr="00B51B20" w:rsidRDefault="00EF6C6A" w:rsidP="009248F0">
      <w:pPr>
        <w:pStyle w:val="Prrafodelista"/>
        <w:tabs>
          <w:tab w:val="left" w:pos="0"/>
        </w:tabs>
        <w:spacing w:line="360" w:lineRule="auto"/>
        <w:ind w:left="0" w:right="49"/>
        <w:jc w:val="both"/>
        <w:rPr>
          <w:rFonts w:ascii="Palatino Linotype" w:hAnsi="Palatino Linotype" w:cs="Arial"/>
        </w:rPr>
      </w:pPr>
    </w:p>
    <w:p w14:paraId="183C7C94" w14:textId="77777777" w:rsidR="00D64D29" w:rsidRPr="00B51B20" w:rsidRDefault="00F037A0" w:rsidP="00D64D29">
      <w:pPr>
        <w:pStyle w:val="Prrafodelista"/>
        <w:tabs>
          <w:tab w:val="left" w:pos="0"/>
        </w:tabs>
        <w:spacing w:line="360" w:lineRule="auto"/>
        <w:ind w:left="0" w:right="49"/>
        <w:jc w:val="both"/>
        <w:rPr>
          <w:rFonts w:ascii="Palatino Linotype" w:hAnsi="Palatino Linotype" w:cs="Arial"/>
        </w:rPr>
      </w:pPr>
      <w:r w:rsidRPr="00B51B20">
        <w:rPr>
          <w:rFonts w:ascii="Palatino Linotype" w:hAnsi="Palatino Linotype" w:cs="Arial"/>
        </w:rPr>
        <w:t xml:space="preserve">Ahora bien, tomando en consideración lo anterior como las manifestaciones del </w:t>
      </w:r>
      <w:r w:rsidRPr="00B51B20">
        <w:rPr>
          <w:rFonts w:ascii="Palatino Linotype" w:hAnsi="Palatino Linotype" w:cs="Arial"/>
          <w:b/>
        </w:rPr>
        <w:t>SUJETO OBLIGADO</w:t>
      </w:r>
      <w:r w:rsidRPr="00B51B20">
        <w:rPr>
          <w:rFonts w:ascii="Palatino Linotype" w:hAnsi="Palatino Linotype" w:cs="Arial"/>
        </w:rPr>
        <w:t xml:space="preserve">, tanto en respuesta como en informe justificado, </w:t>
      </w:r>
      <w:r w:rsidR="00D64D29" w:rsidRPr="00B51B20">
        <w:rPr>
          <w:rFonts w:ascii="Palatino Linotype" w:hAnsi="Palatino Linotype" w:cs="Arial"/>
        </w:rPr>
        <w:t xml:space="preserve">se procedió a realizar una revisión del Código Electoral del Estado de México como del Reglamento Interno del Instituto Electoral del Estado de México, </w:t>
      </w:r>
      <w:r w:rsidR="00D64D29" w:rsidRPr="00B51B20">
        <w:rPr>
          <w:rFonts w:ascii="Palatino Linotype" w:hAnsi="Palatino Linotype" w:cs="Arial"/>
          <w:b/>
          <w:u w:val="single"/>
        </w:rPr>
        <w:t xml:space="preserve">sin que se localizara un precepto legal en donde </w:t>
      </w:r>
      <w:r w:rsidR="00D64D29" w:rsidRPr="00B51B20">
        <w:rPr>
          <w:rFonts w:ascii="Palatino Linotype" w:hAnsi="Palatino Linotype" w:cs="Arial"/>
          <w:b/>
          <w:u w:val="single"/>
        </w:rPr>
        <w:lastRenderedPageBreak/>
        <w:t xml:space="preserve">se establezca que las Juntas Distritales deban registrar las asistencias de sus servidores públicos; </w:t>
      </w:r>
      <w:r w:rsidR="00D64D29" w:rsidRPr="00B51B20">
        <w:rPr>
          <w:rFonts w:ascii="Palatino Linotype" w:hAnsi="Palatino Linotype" w:cs="Arial"/>
        </w:rPr>
        <w:t>sino que, únicamente se deberán registrar las asistencias de los servidores públicos del Instituto Electoral del Estado de México</w:t>
      </w:r>
      <w:r w:rsidR="006F54CC" w:rsidRPr="00B51B20">
        <w:rPr>
          <w:rFonts w:ascii="Palatino Linotype" w:hAnsi="Palatino Linotype" w:cs="Arial"/>
        </w:rPr>
        <w:t>, quien se les asignó un horario laboral</w:t>
      </w:r>
      <w:r w:rsidR="00C379C5" w:rsidRPr="00B51B20">
        <w:rPr>
          <w:rFonts w:ascii="Palatino Linotype" w:hAnsi="Palatino Linotype" w:cs="Arial"/>
        </w:rPr>
        <w:t>,</w:t>
      </w:r>
      <w:r w:rsidR="006F54CC" w:rsidRPr="00B51B20">
        <w:rPr>
          <w:rFonts w:ascii="Palatino Linotype" w:hAnsi="Palatino Linotype" w:cs="Arial"/>
        </w:rPr>
        <w:t xml:space="preserve"> a diferencia de las Juntas Distritales, como lo señalo el </w:t>
      </w:r>
      <w:r w:rsidR="006F54CC" w:rsidRPr="00B51B20">
        <w:rPr>
          <w:rFonts w:ascii="Palatino Linotype" w:hAnsi="Palatino Linotype" w:cs="Arial"/>
          <w:b/>
        </w:rPr>
        <w:t>SUJETO OBLIGADO</w:t>
      </w:r>
      <w:r w:rsidR="006F54CC" w:rsidRPr="00B51B20">
        <w:rPr>
          <w:rFonts w:ascii="Palatino Linotype" w:hAnsi="Palatino Linotype" w:cs="Arial"/>
        </w:rPr>
        <w:t>, todos los días son laborales</w:t>
      </w:r>
      <w:r w:rsidR="00C379C5" w:rsidRPr="00B51B20">
        <w:rPr>
          <w:rFonts w:ascii="Palatino Linotype" w:hAnsi="Palatino Linotype" w:cs="Arial"/>
        </w:rPr>
        <w:t xml:space="preserve"> de lunes a viernes con excepción de los días de descanso obligatorio durante el periodo electoral</w:t>
      </w:r>
      <w:r w:rsidR="006F54CC" w:rsidRPr="00B51B20">
        <w:rPr>
          <w:rFonts w:ascii="Palatino Linotype" w:hAnsi="Palatino Linotype" w:cs="Arial"/>
        </w:rPr>
        <w:t xml:space="preserve">, </w:t>
      </w:r>
      <w:r w:rsidR="00D64D29" w:rsidRPr="00B51B20">
        <w:rPr>
          <w:rFonts w:ascii="Palatino Linotype" w:hAnsi="Palatino Linotype" w:cs="Arial"/>
        </w:rPr>
        <w:t xml:space="preserve"> como así lo señala</w:t>
      </w:r>
      <w:r w:rsidR="00C379C5" w:rsidRPr="00B51B20">
        <w:rPr>
          <w:rFonts w:ascii="Palatino Linotype" w:hAnsi="Palatino Linotype" w:cs="Arial"/>
        </w:rPr>
        <w:t>n los</w:t>
      </w:r>
      <w:r w:rsidR="00D64D29" w:rsidRPr="00B51B20">
        <w:rPr>
          <w:rFonts w:ascii="Palatino Linotype" w:hAnsi="Palatino Linotype" w:cs="Arial"/>
        </w:rPr>
        <w:t xml:space="preserve"> artículo</w:t>
      </w:r>
      <w:r w:rsidR="00C379C5" w:rsidRPr="00B51B20">
        <w:rPr>
          <w:rFonts w:ascii="Palatino Linotype" w:hAnsi="Palatino Linotype" w:cs="Arial"/>
        </w:rPr>
        <w:t>s</w:t>
      </w:r>
      <w:r w:rsidR="00D64D29" w:rsidRPr="00B51B20">
        <w:rPr>
          <w:rFonts w:ascii="Palatino Linotype" w:hAnsi="Palatino Linotype" w:cs="Arial"/>
        </w:rPr>
        <w:t xml:space="preserve"> </w:t>
      </w:r>
      <w:r w:rsidR="00C379C5" w:rsidRPr="00B51B20">
        <w:rPr>
          <w:rFonts w:ascii="Palatino Linotype" w:hAnsi="Palatino Linotype" w:cs="Arial"/>
        </w:rPr>
        <w:t>413 y 61 de los</w:t>
      </w:r>
      <w:r w:rsidR="00D64D29" w:rsidRPr="00B51B20">
        <w:rPr>
          <w:rFonts w:ascii="Palatino Linotype" w:hAnsi="Palatino Linotype" w:cs="Arial"/>
        </w:rPr>
        <w:t xml:space="preserve"> ordenamiento</w:t>
      </w:r>
      <w:r w:rsidR="00C379C5" w:rsidRPr="00B51B20">
        <w:rPr>
          <w:rFonts w:ascii="Palatino Linotype" w:hAnsi="Palatino Linotype" w:cs="Arial"/>
        </w:rPr>
        <w:t>s</w:t>
      </w:r>
      <w:r w:rsidR="00D64D29" w:rsidRPr="00B51B20">
        <w:rPr>
          <w:rFonts w:ascii="Palatino Linotype" w:hAnsi="Palatino Linotype" w:cs="Arial"/>
        </w:rPr>
        <w:t xml:space="preserve"> legal</w:t>
      </w:r>
      <w:r w:rsidR="00C379C5" w:rsidRPr="00B51B20">
        <w:rPr>
          <w:rFonts w:ascii="Palatino Linotype" w:hAnsi="Palatino Linotype" w:cs="Arial"/>
        </w:rPr>
        <w:t>es</w:t>
      </w:r>
      <w:r w:rsidR="00D64D29" w:rsidRPr="00B51B20">
        <w:rPr>
          <w:rFonts w:ascii="Palatino Linotype" w:hAnsi="Palatino Linotype" w:cs="Arial"/>
        </w:rPr>
        <w:t xml:space="preserve"> </w:t>
      </w:r>
      <w:r w:rsidR="006F54CC" w:rsidRPr="00B51B20">
        <w:rPr>
          <w:rFonts w:ascii="Palatino Linotype" w:hAnsi="Palatino Linotype" w:cs="Arial"/>
        </w:rPr>
        <w:t>señalado</w:t>
      </w:r>
      <w:r w:rsidR="00C379C5" w:rsidRPr="00B51B20">
        <w:rPr>
          <w:rFonts w:ascii="Palatino Linotype" w:hAnsi="Palatino Linotype" w:cs="Arial"/>
        </w:rPr>
        <w:t xml:space="preserve">s, respectivamente, </w:t>
      </w:r>
      <w:r w:rsidR="006F54CC" w:rsidRPr="00B51B20">
        <w:rPr>
          <w:rFonts w:ascii="Palatino Linotype" w:hAnsi="Palatino Linotype" w:cs="Arial"/>
        </w:rPr>
        <w:t>que indica lo siguiente:</w:t>
      </w:r>
    </w:p>
    <w:p w14:paraId="63840837" w14:textId="77777777" w:rsidR="00D64D29" w:rsidRPr="00B51B20" w:rsidRDefault="00D64D29" w:rsidP="00D64D29">
      <w:pPr>
        <w:pStyle w:val="Prrafodelista"/>
        <w:tabs>
          <w:tab w:val="left" w:pos="0"/>
        </w:tabs>
        <w:spacing w:line="360" w:lineRule="auto"/>
        <w:ind w:left="0" w:right="49"/>
        <w:jc w:val="both"/>
        <w:rPr>
          <w:rFonts w:ascii="Palatino Linotype" w:hAnsi="Palatino Linotype" w:cs="Arial"/>
        </w:rPr>
      </w:pPr>
    </w:p>
    <w:p w14:paraId="5B3C06A3" w14:textId="77777777" w:rsidR="00C379C5" w:rsidRPr="00B51B20" w:rsidRDefault="00C379C5" w:rsidP="006F54CC">
      <w:pPr>
        <w:tabs>
          <w:tab w:val="left" w:pos="709"/>
        </w:tabs>
        <w:spacing w:line="360" w:lineRule="auto"/>
        <w:ind w:left="627" w:right="474"/>
        <w:jc w:val="both"/>
        <w:rPr>
          <w:rFonts w:ascii="Palatino Linotype" w:hAnsi="Palatino Linotype" w:cs="Arial"/>
          <w:b/>
          <w:i/>
          <w:sz w:val="22"/>
          <w:szCs w:val="22"/>
          <w:u w:val="single"/>
        </w:rPr>
      </w:pPr>
      <w:r w:rsidRPr="00B51B20">
        <w:rPr>
          <w:rFonts w:ascii="Palatino Linotype" w:hAnsi="Palatino Linotype" w:cs="Arial"/>
          <w:i/>
          <w:sz w:val="22"/>
          <w:szCs w:val="22"/>
        </w:rPr>
        <w:t xml:space="preserve">“Artículo 413. </w:t>
      </w:r>
      <w:r w:rsidRPr="00B51B20">
        <w:rPr>
          <w:rFonts w:ascii="Palatino Linotype" w:hAnsi="Palatino Linotype" w:cs="Arial"/>
          <w:b/>
          <w:i/>
          <w:sz w:val="22"/>
          <w:szCs w:val="22"/>
          <w:u w:val="single"/>
        </w:rPr>
        <w:t xml:space="preserve">Durante el proceso electoral todos los días y horas son hábiles. Los plazos se computarán de momento a momento. Si están señalados por días, éstos se considerarán de veinticuatro horas. </w:t>
      </w:r>
    </w:p>
    <w:p w14:paraId="28D78132" w14:textId="77777777" w:rsidR="00C379C5" w:rsidRPr="00B51B20" w:rsidRDefault="00C379C5" w:rsidP="006F54CC">
      <w:pPr>
        <w:tabs>
          <w:tab w:val="left" w:pos="709"/>
        </w:tabs>
        <w:spacing w:line="360" w:lineRule="auto"/>
        <w:ind w:left="627" w:right="474"/>
        <w:jc w:val="both"/>
        <w:rPr>
          <w:rFonts w:ascii="Palatino Linotype" w:hAnsi="Palatino Linotype" w:cs="Arial"/>
          <w:i/>
          <w:sz w:val="22"/>
          <w:szCs w:val="22"/>
        </w:rPr>
      </w:pPr>
      <w:r w:rsidRPr="00B51B20">
        <w:rPr>
          <w:rFonts w:ascii="Palatino Linotype" w:hAnsi="Palatino Linotype" w:cs="Arial"/>
          <w:i/>
          <w:sz w:val="22"/>
          <w:szCs w:val="22"/>
        </w:rPr>
        <w:t xml:space="preserve">Durante los períodos no electorales, son hábiles los días lunes a viernes de cada semana, con excepción de aquellos que sean de descanso obligatorio. </w:t>
      </w:r>
    </w:p>
    <w:p w14:paraId="6E8416CE" w14:textId="77777777" w:rsidR="00C379C5" w:rsidRPr="00B51B20" w:rsidRDefault="00C379C5" w:rsidP="006F54CC">
      <w:pPr>
        <w:tabs>
          <w:tab w:val="left" w:pos="709"/>
        </w:tabs>
        <w:spacing w:line="360" w:lineRule="auto"/>
        <w:ind w:left="627" w:right="474"/>
        <w:jc w:val="both"/>
        <w:rPr>
          <w:rFonts w:ascii="Palatino Linotype" w:hAnsi="Palatino Linotype" w:cs="Arial"/>
          <w:i/>
          <w:sz w:val="22"/>
          <w:szCs w:val="22"/>
        </w:rPr>
      </w:pPr>
      <w:r w:rsidRPr="00B51B20">
        <w:rPr>
          <w:rFonts w:ascii="Palatino Linotype" w:hAnsi="Palatino Linotype" w:cs="Arial"/>
          <w:i/>
          <w:sz w:val="22"/>
          <w:szCs w:val="22"/>
        </w:rPr>
        <w:t xml:space="preserve">El cómputo de los plazos se hará a partir del día siguiente de aquél en que se hubiere notificado o se tuviere conocimiento del acto o la resolución que se impugne. </w:t>
      </w:r>
    </w:p>
    <w:p w14:paraId="5C6BCD27" w14:textId="77777777" w:rsidR="00C379C5" w:rsidRPr="00B51B20" w:rsidRDefault="00C379C5" w:rsidP="006F54CC">
      <w:pPr>
        <w:tabs>
          <w:tab w:val="left" w:pos="709"/>
        </w:tabs>
        <w:spacing w:line="360" w:lineRule="auto"/>
        <w:ind w:left="627" w:right="474"/>
        <w:jc w:val="both"/>
        <w:rPr>
          <w:rFonts w:ascii="Palatino Linotype" w:hAnsi="Palatino Linotype" w:cs="Arial"/>
          <w:i/>
          <w:sz w:val="22"/>
          <w:szCs w:val="22"/>
        </w:rPr>
      </w:pPr>
      <w:r w:rsidRPr="00B51B20">
        <w:rPr>
          <w:rFonts w:ascii="Palatino Linotype" w:hAnsi="Palatino Linotype" w:cs="Arial"/>
          <w:i/>
          <w:sz w:val="22"/>
          <w:szCs w:val="22"/>
        </w:rPr>
        <w:t>Se entenderá que el actor tuvo conocimiento del acto que impugna, si estuvo presente por sí mismo o a través de representante en la sesión en la que se dictó.” (Sic)</w:t>
      </w:r>
    </w:p>
    <w:p w14:paraId="2EAA35CC" w14:textId="77777777" w:rsidR="006F54CC" w:rsidRPr="00B51B20" w:rsidRDefault="006F54CC" w:rsidP="006F54CC">
      <w:pPr>
        <w:tabs>
          <w:tab w:val="left" w:pos="709"/>
        </w:tabs>
        <w:spacing w:line="360" w:lineRule="auto"/>
        <w:ind w:left="627" w:right="474"/>
        <w:jc w:val="both"/>
        <w:rPr>
          <w:rFonts w:ascii="Palatino Linotype" w:hAnsi="Palatino Linotype" w:cs="Arial"/>
          <w:i/>
          <w:sz w:val="22"/>
          <w:szCs w:val="22"/>
        </w:rPr>
      </w:pPr>
      <w:r w:rsidRPr="00B51B20">
        <w:rPr>
          <w:rFonts w:ascii="Palatino Linotype" w:hAnsi="Palatino Linotype" w:cs="Arial"/>
          <w:i/>
          <w:sz w:val="22"/>
          <w:szCs w:val="22"/>
        </w:rPr>
        <w:t>“</w:t>
      </w:r>
      <w:r w:rsidR="00D64D29" w:rsidRPr="00B51B20">
        <w:rPr>
          <w:rFonts w:ascii="Palatino Linotype" w:hAnsi="Palatino Linotype" w:cs="Arial"/>
          <w:i/>
          <w:sz w:val="22"/>
          <w:szCs w:val="22"/>
        </w:rPr>
        <w:t xml:space="preserve">Artículo 61. Los servidores públicos electorales tienen la obligación de presentarse e iniciar labores en su área de trabajo, </w:t>
      </w:r>
      <w:r w:rsidR="00D64D29" w:rsidRPr="00B51B20">
        <w:rPr>
          <w:rFonts w:ascii="Palatino Linotype" w:hAnsi="Palatino Linotype" w:cs="Arial"/>
          <w:b/>
          <w:i/>
          <w:sz w:val="22"/>
          <w:szCs w:val="22"/>
          <w:u w:val="single"/>
        </w:rPr>
        <w:t>en el horario establecido por la Junta General</w:t>
      </w:r>
      <w:r w:rsidR="00D64D29" w:rsidRPr="00B51B20">
        <w:rPr>
          <w:rFonts w:ascii="Palatino Linotype" w:hAnsi="Palatino Linotype" w:cs="Arial"/>
          <w:i/>
          <w:sz w:val="22"/>
          <w:szCs w:val="22"/>
        </w:rPr>
        <w:t xml:space="preserve">. </w:t>
      </w:r>
    </w:p>
    <w:p w14:paraId="52DEAAC6" w14:textId="77777777" w:rsidR="006F54CC" w:rsidRPr="00B51B20" w:rsidRDefault="00D64D29" w:rsidP="006F54CC">
      <w:pPr>
        <w:tabs>
          <w:tab w:val="left" w:pos="709"/>
        </w:tabs>
        <w:spacing w:line="360" w:lineRule="auto"/>
        <w:ind w:left="627" w:right="474"/>
        <w:jc w:val="both"/>
        <w:rPr>
          <w:rFonts w:ascii="Palatino Linotype" w:hAnsi="Palatino Linotype" w:cs="Arial"/>
          <w:b/>
          <w:i/>
          <w:sz w:val="22"/>
          <w:szCs w:val="22"/>
        </w:rPr>
      </w:pPr>
      <w:r w:rsidRPr="00B51B20">
        <w:rPr>
          <w:rFonts w:ascii="Palatino Linotype" w:hAnsi="Palatino Linotype" w:cs="Arial"/>
          <w:b/>
          <w:i/>
          <w:sz w:val="22"/>
          <w:szCs w:val="22"/>
        </w:rPr>
        <w:t>El personal del Instituto deberá registrar diariamente sus horas de entrada y salida. Se exceptuará de lo anterior al personal que determine la Junta General.</w:t>
      </w:r>
    </w:p>
    <w:p w14:paraId="434A5BB3" w14:textId="77777777" w:rsidR="002F5C11" w:rsidRPr="00B51B20" w:rsidRDefault="00D64D29" w:rsidP="006F54CC">
      <w:pPr>
        <w:tabs>
          <w:tab w:val="left" w:pos="709"/>
        </w:tabs>
        <w:spacing w:line="360" w:lineRule="auto"/>
        <w:ind w:left="627" w:right="474"/>
        <w:jc w:val="both"/>
        <w:rPr>
          <w:rFonts w:ascii="Palatino Linotype" w:hAnsi="Palatino Linotype" w:cs="Arial"/>
          <w:i/>
          <w:sz w:val="22"/>
          <w:szCs w:val="22"/>
        </w:rPr>
      </w:pPr>
      <w:r w:rsidRPr="00B51B20">
        <w:rPr>
          <w:rFonts w:ascii="Palatino Linotype" w:hAnsi="Palatino Linotype" w:cs="Arial"/>
          <w:i/>
          <w:sz w:val="22"/>
          <w:szCs w:val="22"/>
        </w:rPr>
        <w:t xml:space="preserve">Corresponde al superior jerárquico inmediato eximir el registro de entrada y salida a su personal por el día correspondiente, e informarlo a la </w:t>
      </w:r>
      <w:r w:rsidRPr="00B51B20">
        <w:rPr>
          <w:rFonts w:ascii="Palatino Linotype" w:hAnsi="Palatino Linotype" w:cs="Arial"/>
          <w:i/>
          <w:sz w:val="22"/>
          <w:szCs w:val="22"/>
          <w:u w:val="single"/>
        </w:rPr>
        <w:t>Dirección de Administración</w:t>
      </w:r>
      <w:r w:rsidRPr="00B51B20">
        <w:rPr>
          <w:rFonts w:ascii="Palatino Linotype" w:hAnsi="Palatino Linotype" w:cs="Arial"/>
          <w:i/>
          <w:sz w:val="22"/>
          <w:szCs w:val="22"/>
        </w:rPr>
        <w:t>, para los efectos conducentes.</w:t>
      </w:r>
      <w:r w:rsidR="006F54CC" w:rsidRPr="00B51B20">
        <w:rPr>
          <w:rFonts w:ascii="Palatino Linotype" w:hAnsi="Palatino Linotype" w:cs="Arial"/>
          <w:i/>
          <w:sz w:val="22"/>
          <w:szCs w:val="22"/>
        </w:rPr>
        <w:t>”(Sic)</w:t>
      </w:r>
    </w:p>
    <w:p w14:paraId="16ACBFD7" w14:textId="77777777" w:rsidR="00EF6C6A" w:rsidRPr="00B51B20" w:rsidRDefault="00EF6C6A" w:rsidP="009248F0">
      <w:pPr>
        <w:pStyle w:val="Prrafodelista"/>
        <w:tabs>
          <w:tab w:val="left" w:pos="0"/>
        </w:tabs>
        <w:spacing w:line="360" w:lineRule="auto"/>
        <w:ind w:left="0" w:right="49"/>
        <w:jc w:val="both"/>
        <w:rPr>
          <w:rFonts w:ascii="Palatino Linotype" w:hAnsi="Palatino Linotype" w:cs="Arial"/>
        </w:rPr>
      </w:pPr>
    </w:p>
    <w:p w14:paraId="16760F01" w14:textId="1AFE965E" w:rsidR="00E61D83" w:rsidRPr="00371042" w:rsidRDefault="00E61D83" w:rsidP="009248F0">
      <w:pPr>
        <w:pStyle w:val="Prrafodelista"/>
        <w:tabs>
          <w:tab w:val="left" w:pos="0"/>
        </w:tabs>
        <w:spacing w:line="360" w:lineRule="auto"/>
        <w:ind w:left="0" w:right="49"/>
        <w:jc w:val="both"/>
        <w:rPr>
          <w:rFonts w:ascii="Palatino Linotype" w:hAnsi="Palatino Linotype" w:cs="Arial"/>
          <w:sz w:val="24"/>
          <w:szCs w:val="24"/>
        </w:rPr>
      </w:pPr>
      <w:r w:rsidRPr="00371042">
        <w:rPr>
          <w:rFonts w:ascii="Palatino Linotype" w:hAnsi="Palatino Linotype" w:cs="Arial"/>
          <w:sz w:val="24"/>
          <w:szCs w:val="24"/>
        </w:rPr>
        <w:lastRenderedPageBreak/>
        <w:t>Lo anterior es así, toda vez que, de acuerdo a la estructura orgánica del Instituto Electoral del Estado de México, que señala el art</w:t>
      </w:r>
      <w:r w:rsidR="00085172">
        <w:rPr>
          <w:rFonts w:ascii="Palatino Linotype" w:hAnsi="Palatino Linotype" w:cs="Arial"/>
          <w:sz w:val="24"/>
          <w:szCs w:val="24"/>
        </w:rPr>
        <w:t>ículo 7</w:t>
      </w:r>
      <w:r w:rsidRPr="00371042">
        <w:rPr>
          <w:rFonts w:ascii="Palatino Linotype" w:hAnsi="Palatino Linotype" w:cs="Arial"/>
          <w:sz w:val="24"/>
          <w:szCs w:val="24"/>
        </w:rPr>
        <w:t xml:space="preserve"> del Reglamento Interno del Instituto </w:t>
      </w:r>
      <w:r w:rsidR="00371042" w:rsidRPr="00371042">
        <w:rPr>
          <w:rFonts w:ascii="Palatino Linotype" w:hAnsi="Palatino Linotype" w:cs="Arial"/>
          <w:sz w:val="24"/>
          <w:szCs w:val="24"/>
        </w:rPr>
        <w:t>alusivo</w:t>
      </w:r>
      <w:r w:rsidRPr="00371042">
        <w:rPr>
          <w:rFonts w:ascii="Palatino Linotype" w:hAnsi="Palatino Linotype" w:cs="Arial"/>
          <w:sz w:val="24"/>
          <w:szCs w:val="24"/>
        </w:rPr>
        <w:t>, se conforma de la siguiente manera:</w:t>
      </w:r>
    </w:p>
    <w:p w14:paraId="70B51E36" w14:textId="77777777" w:rsidR="00E61D83" w:rsidRDefault="00E61D83" w:rsidP="009248F0">
      <w:pPr>
        <w:pStyle w:val="Prrafodelista"/>
        <w:tabs>
          <w:tab w:val="left" w:pos="0"/>
        </w:tabs>
        <w:spacing w:line="360" w:lineRule="auto"/>
        <w:ind w:left="0" w:right="49"/>
        <w:jc w:val="both"/>
        <w:rPr>
          <w:rFonts w:ascii="Palatino Linotype" w:hAnsi="Palatino Linotype" w:cs="Arial"/>
        </w:rPr>
      </w:pPr>
    </w:p>
    <w:p w14:paraId="020EEF0A"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Pr>
          <w:rFonts w:ascii="Palatino Linotype" w:hAnsi="Palatino Linotype" w:cs="Arial"/>
          <w:i/>
          <w:sz w:val="22"/>
          <w:szCs w:val="22"/>
        </w:rPr>
        <w:t>“</w:t>
      </w:r>
      <w:r w:rsidRPr="00E61D83">
        <w:rPr>
          <w:rFonts w:ascii="Palatino Linotype" w:hAnsi="Palatino Linotype" w:cs="Arial"/>
          <w:i/>
          <w:sz w:val="22"/>
          <w:szCs w:val="22"/>
        </w:rPr>
        <w:t xml:space="preserve">Artículo 7. La estructura orgánica del Instituto se conforma de la siguiente manera: I. Son Órganos de Dirección: </w:t>
      </w:r>
    </w:p>
    <w:p w14:paraId="3AFC97F1" w14:textId="77777777" w:rsidR="00371042" w:rsidRPr="00371042" w:rsidRDefault="00E61D83" w:rsidP="00E61D83">
      <w:pPr>
        <w:tabs>
          <w:tab w:val="left" w:pos="709"/>
        </w:tabs>
        <w:spacing w:line="360" w:lineRule="auto"/>
        <w:ind w:left="627" w:right="474"/>
        <w:jc w:val="both"/>
        <w:rPr>
          <w:rFonts w:ascii="Palatino Linotype" w:hAnsi="Palatino Linotype" w:cs="Arial"/>
          <w:b/>
          <w:i/>
          <w:sz w:val="22"/>
          <w:szCs w:val="22"/>
        </w:rPr>
      </w:pPr>
      <w:r w:rsidRPr="00371042">
        <w:rPr>
          <w:rFonts w:ascii="Palatino Linotype" w:hAnsi="Palatino Linotype" w:cs="Arial"/>
          <w:b/>
          <w:i/>
          <w:sz w:val="22"/>
          <w:szCs w:val="22"/>
        </w:rPr>
        <w:t xml:space="preserve">A) Centrales: </w:t>
      </w:r>
    </w:p>
    <w:p w14:paraId="21E9C04F"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a) El Consejo General; </w:t>
      </w:r>
    </w:p>
    <w:p w14:paraId="7E92A05B"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b) La Junta General; y </w:t>
      </w:r>
    </w:p>
    <w:p w14:paraId="494D446E"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e) La Secretaría Ejecutiva. </w:t>
      </w:r>
    </w:p>
    <w:p w14:paraId="6FDA50B0" w14:textId="77777777" w:rsidR="00371042" w:rsidRPr="00371042" w:rsidRDefault="00E61D83" w:rsidP="00E61D83">
      <w:pPr>
        <w:tabs>
          <w:tab w:val="left" w:pos="709"/>
        </w:tabs>
        <w:spacing w:line="360" w:lineRule="auto"/>
        <w:ind w:left="627" w:right="474"/>
        <w:jc w:val="both"/>
        <w:rPr>
          <w:rFonts w:ascii="Palatino Linotype" w:hAnsi="Palatino Linotype" w:cs="Arial"/>
          <w:b/>
          <w:i/>
          <w:sz w:val="22"/>
          <w:szCs w:val="22"/>
        </w:rPr>
      </w:pPr>
      <w:r w:rsidRPr="00371042">
        <w:rPr>
          <w:rFonts w:ascii="Palatino Linotype" w:hAnsi="Palatino Linotype" w:cs="Arial"/>
          <w:b/>
          <w:i/>
          <w:sz w:val="22"/>
          <w:szCs w:val="22"/>
        </w:rPr>
        <w:t xml:space="preserve">B) Desconcentrados: </w:t>
      </w:r>
    </w:p>
    <w:p w14:paraId="58DD0810"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a) Distritales: </w:t>
      </w:r>
    </w:p>
    <w:p w14:paraId="1FDCC275"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371042">
        <w:rPr>
          <w:rFonts w:ascii="Palatino Linotype" w:hAnsi="Palatino Linotype" w:cs="Arial"/>
          <w:b/>
          <w:i/>
          <w:sz w:val="22"/>
          <w:szCs w:val="22"/>
        </w:rPr>
        <w:t>1. Las Juntas Distritales</w:t>
      </w:r>
      <w:r w:rsidRPr="00E61D83">
        <w:rPr>
          <w:rFonts w:ascii="Palatino Linotype" w:hAnsi="Palatino Linotype" w:cs="Arial"/>
          <w:i/>
          <w:sz w:val="22"/>
          <w:szCs w:val="22"/>
        </w:rPr>
        <w:t xml:space="preserve">; y </w:t>
      </w:r>
    </w:p>
    <w:p w14:paraId="55471D39"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2. Los Consejos Distritales.</w:t>
      </w:r>
    </w:p>
    <w:p w14:paraId="190F0AAF"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 b) Municipales: </w:t>
      </w:r>
    </w:p>
    <w:p w14:paraId="5953FD94"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1. Las Juntas Municipales; y </w:t>
      </w:r>
    </w:p>
    <w:p w14:paraId="15386036"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2. Los Consejos Municipales Electorales; </w:t>
      </w:r>
    </w:p>
    <w:p w14:paraId="315B9930" w14:textId="77777777" w:rsidR="00371042" w:rsidRPr="00371042" w:rsidRDefault="00E61D83" w:rsidP="00E61D83">
      <w:pPr>
        <w:tabs>
          <w:tab w:val="left" w:pos="709"/>
        </w:tabs>
        <w:spacing w:line="360" w:lineRule="auto"/>
        <w:ind w:left="627" w:right="474"/>
        <w:jc w:val="both"/>
        <w:rPr>
          <w:rFonts w:ascii="Palatino Linotype" w:hAnsi="Palatino Linotype" w:cs="Arial"/>
          <w:b/>
          <w:i/>
          <w:sz w:val="22"/>
          <w:szCs w:val="22"/>
        </w:rPr>
      </w:pPr>
      <w:r w:rsidRPr="00371042">
        <w:rPr>
          <w:rFonts w:ascii="Palatino Linotype" w:hAnsi="Palatino Linotype" w:cs="Arial"/>
          <w:b/>
          <w:i/>
          <w:sz w:val="22"/>
          <w:szCs w:val="22"/>
        </w:rPr>
        <w:t xml:space="preserve">II. Son órganos Ejecutivos: </w:t>
      </w:r>
    </w:p>
    <w:p w14:paraId="14B98DD7" w14:textId="77777777" w:rsidR="00371042" w:rsidRPr="00371042" w:rsidRDefault="00E61D83" w:rsidP="00E61D83">
      <w:pPr>
        <w:tabs>
          <w:tab w:val="left" w:pos="709"/>
        </w:tabs>
        <w:spacing w:line="360" w:lineRule="auto"/>
        <w:ind w:left="627" w:right="474"/>
        <w:jc w:val="both"/>
        <w:rPr>
          <w:rFonts w:ascii="Palatino Linotype" w:hAnsi="Palatino Linotype" w:cs="Arial"/>
          <w:b/>
          <w:i/>
          <w:sz w:val="22"/>
          <w:szCs w:val="22"/>
        </w:rPr>
      </w:pPr>
      <w:r w:rsidRPr="00371042">
        <w:rPr>
          <w:rFonts w:ascii="Palatino Linotype" w:hAnsi="Palatino Linotype" w:cs="Arial"/>
          <w:b/>
          <w:i/>
          <w:sz w:val="22"/>
          <w:szCs w:val="22"/>
        </w:rPr>
        <w:t xml:space="preserve">A) Centrales: </w:t>
      </w:r>
    </w:p>
    <w:p w14:paraId="70228B37"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a) La Junta General; </w:t>
      </w:r>
    </w:p>
    <w:p w14:paraId="2A8BA8D3"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b) La Secretaría Ejecutiva; y </w:t>
      </w:r>
    </w:p>
    <w:p w14:paraId="1CCF5505"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c) Las Direcciones: </w:t>
      </w:r>
    </w:p>
    <w:p w14:paraId="2EF0723C"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•Jurídico Consultiva; </w:t>
      </w:r>
    </w:p>
    <w:p w14:paraId="2468ED1F"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•Organización; </w:t>
      </w:r>
    </w:p>
    <w:p w14:paraId="7451B462"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•Participación Ciudadana; </w:t>
      </w:r>
    </w:p>
    <w:p w14:paraId="40D106C8"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•Partidos Políticos; y </w:t>
      </w:r>
    </w:p>
    <w:p w14:paraId="2918F5A0"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lastRenderedPageBreak/>
        <w:t xml:space="preserve">•Administración. </w:t>
      </w:r>
    </w:p>
    <w:p w14:paraId="64BB0F9D" w14:textId="77777777" w:rsidR="00371042" w:rsidRDefault="00E61D83" w:rsidP="00E61D83">
      <w:pPr>
        <w:tabs>
          <w:tab w:val="left" w:pos="709"/>
        </w:tabs>
        <w:spacing w:line="360" w:lineRule="auto"/>
        <w:ind w:left="627" w:right="474"/>
        <w:jc w:val="both"/>
        <w:rPr>
          <w:rFonts w:ascii="Palatino Linotype" w:hAnsi="Palatino Linotype" w:cs="Arial"/>
          <w:b/>
          <w:i/>
          <w:sz w:val="22"/>
          <w:szCs w:val="22"/>
        </w:rPr>
      </w:pPr>
      <w:r w:rsidRPr="00371042">
        <w:rPr>
          <w:rFonts w:ascii="Palatino Linotype" w:hAnsi="Palatino Linotype" w:cs="Arial"/>
          <w:b/>
          <w:i/>
          <w:sz w:val="22"/>
          <w:szCs w:val="22"/>
        </w:rPr>
        <w:t xml:space="preserve">B) Desconcentrados: </w:t>
      </w:r>
    </w:p>
    <w:p w14:paraId="363041E9" w14:textId="77777777" w:rsidR="00371042" w:rsidRDefault="00E61D83" w:rsidP="00E61D83">
      <w:pPr>
        <w:tabs>
          <w:tab w:val="left" w:pos="709"/>
        </w:tabs>
        <w:spacing w:line="360" w:lineRule="auto"/>
        <w:ind w:left="627" w:right="474"/>
        <w:jc w:val="both"/>
        <w:rPr>
          <w:rFonts w:ascii="Palatino Linotype" w:hAnsi="Palatino Linotype" w:cs="Arial"/>
          <w:b/>
          <w:i/>
          <w:sz w:val="22"/>
          <w:szCs w:val="22"/>
        </w:rPr>
      </w:pPr>
      <w:r w:rsidRPr="00371042">
        <w:rPr>
          <w:rFonts w:ascii="Palatino Linotype" w:hAnsi="Palatino Linotype" w:cs="Arial"/>
          <w:b/>
          <w:i/>
          <w:sz w:val="22"/>
          <w:szCs w:val="22"/>
        </w:rPr>
        <w:t xml:space="preserve">a) Distritales: </w:t>
      </w:r>
    </w:p>
    <w:p w14:paraId="2855CEAE"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371042">
        <w:rPr>
          <w:rFonts w:ascii="Palatino Linotype" w:hAnsi="Palatino Linotype" w:cs="Arial"/>
          <w:b/>
          <w:i/>
          <w:sz w:val="22"/>
          <w:szCs w:val="22"/>
        </w:rPr>
        <w:t>1. Las Juntas Distritales</w:t>
      </w:r>
      <w:r w:rsidRPr="00E61D83">
        <w:rPr>
          <w:rFonts w:ascii="Palatino Linotype" w:hAnsi="Palatino Linotype" w:cs="Arial"/>
          <w:i/>
          <w:sz w:val="22"/>
          <w:szCs w:val="22"/>
        </w:rPr>
        <w:t xml:space="preserve">. </w:t>
      </w:r>
    </w:p>
    <w:p w14:paraId="14146375"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b) Municipales: </w:t>
      </w:r>
    </w:p>
    <w:p w14:paraId="17573923"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1. Las Juntas Municipales. </w:t>
      </w:r>
    </w:p>
    <w:p w14:paraId="0B36AD72" w14:textId="77777777" w:rsidR="00371042" w:rsidRPr="00371042" w:rsidRDefault="00E61D83" w:rsidP="00E61D83">
      <w:pPr>
        <w:tabs>
          <w:tab w:val="left" w:pos="709"/>
        </w:tabs>
        <w:spacing w:line="360" w:lineRule="auto"/>
        <w:ind w:left="627" w:right="474"/>
        <w:jc w:val="both"/>
        <w:rPr>
          <w:rFonts w:ascii="Palatino Linotype" w:hAnsi="Palatino Linotype" w:cs="Arial"/>
          <w:b/>
          <w:i/>
          <w:sz w:val="22"/>
          <w:szCs w:val="22"/>
        </w:rPr>
      </w:pPr>
      <w:r w:rsidRPr="00371042">
        <w:rPr>
          <w:rFonts w:ascii="Palatino Linotype" w:hAnsi="Palatino Linotype" w:cs="Arial"/>
          <w:b/>
          <w:i/>
          <w:sz w:val="22"/>
          <w:szCs w:val="22"/>
        </w:rPr>
        <w:t xml:space="preserve">III. Son Órganos Técnicos: </w:t>
      </w:r>
    </w:p>
    <w:p w14:paraId="273A8539" w14:textId="77777777" w:rsidR="00371042" w:rsidRPr="00371042" w:rsidRDefault="00E61D83" w:rsidP="00E61D83">
      <w:pPr>
        <w:tabs>
          <w:tab w:val="left" w:pos="709"/>
        </w:tabs>
        <w:spacing w:line="360" w:lineRule="auto"/>
        <w:ind w:left="627" w:right="474"/>
        <w:jc w:val="both"/>
        <w:rPr>
          <w:rFonts w:ascii="Palatino Linotype" w:hAnsi="Palatino Linotype" w:cs="Arial"/>
          <w:b/>
          <w:i/>
          <w:sz w:val="22"/>
          <w:szCs w:val="22"/>
        </w:rPr>
      </w:pPr>
      <w:r w:rsidRPr="00371042">
        <w:rPr>
          <w:rFonts w:ascii="Palatino Linotype" w:hAnsi="Palatino Linotype" w:cs="Arial"/>
          <w:b/>
          <w:i/>
          <w:sz w:val="22"/>
          <w:szCs w:val="22"/>
        </w:rPr>
        <w:t xml:space="preserve">A) Centrales: </w:t>
      </w:r>
    </w:p>
    <w:p w14:paraId="6F0E0F49"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a) Las Direcciones: </w:t>
      </w:r>
    </w:p>
    <w:p w14:paraId="1BE89B3A"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 ·Jurídico Consultiva; </w:t>
      </w:r>
    </w:p>
    <w:p w14:paraId="471F0F52"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 ·Organización; </w:t>
      </w:r>
    </w:p>
    <w:p w14:paraId="6671A8A1"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 ·Participación Ciudadana; </w:t>
      </w:r>
    </w:p>
    <w:p w14:paraId="41150786"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 Partidos Políticos; y </w:t>
      </w:r>
    </w:p>
    <w:p w14:paraId="7D90A4D0"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 ·Administración </w:t>
      </w:r>
    </w:p>
    <w:p w14:paraId="06D9933F"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b) La Unidad Técnica de Fiscalización; </w:t>
      </w:r>
    </w:p>
    <w:p w14:paraId="48CA8A85"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c) La Unidad Técnica para la Administración de Personal Electoral; </w:t>
      </w:r>
    </w:p>
    <w:p w14:paraId="62E6438C"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d) La Unidad de Comunicación Social; </w:t>
      </w:r>
    </w:p>
    <w:p w14:paraId="041C1151"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e) La Unidad de Informática y Estadística; </w:t>
      </w:r>
    </w:p>
    <w:p w14:paraId="42B9CD9D"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f) El Centro de Formación y Documentación Electoral; </w:t>
      </w:r>
    </w:p>
    <w:p w14:paraId="7886B9CD"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g) La Unidad de Transparencia; y </w:t>
      </w:r>
    </w:p>
    <w:p w14:paraId="48A75C7E"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h) Los que determine el Consejo General. </w:t>
      </w:r>
    </w:p>
    <w:p w14:paraId="731D4E56"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B) De la Presidencia del Consejo General: </w:t>
      </w:r>
    </w:p>
    <w:p w14:paraId="7CA8E240"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a) La Unidad de Género. </w:t>
      </w:r>
    </w:p>
    <w:p w14:paraId="03036CFF" w14:textId="77777777" w:rsidR="00371042" w:rsidRPr="00371042" w:rsidRDefault="00E61D83" w:rsidP="00E61D83">
      <w:pPr>
        <w:tabs>
          <w:tab w:val="left" w:pos="709"/>
        </w:tabs>
        <w:spacing w:line="360" w:lineRule="auto"/>
        <w:ind w:left="627" w:right="474"/>
        <w:jc w:val="both"/>
        <w:rPr>
          <w:rFonts w:ascii="Palatino Linotype" w:hAnsi="Palatino Linotype" w:cs="Arial"/>
          <w:b/>
          <w:i/>
          <w:sz w:val="22"/>
          <w:szCs w:val="22"/>
        </w:rPr>
      </w:pPr>
      <w:r w:rsidRPr="00371042">
        <w:rPr>
          <w:rFonts w:ascii="Palatino Linotype" w:hAnsi="Palatino Linotype" w:cs="Arial"/>
          <w:b/>
          <w:i/>
          <w:sz w:val="22"/>
          <w:szCs w:val="22"/>
        </w:rPr>
        <w:t xml:space="preserve">IV. Son Órganos Operativos: </w:t>
      </w:r>
    </w:p>
    <w:p w14:paraId="1CCA5C7C" w14:textId="77777777" w:rsidR="00371042" w:rsidRPr="00371042" w:rsidRDefault="00E61D83" w:rsidP="00E61D83">
      <w:pPr>
        <w:tabs>
          <w:tab w:val="left" w:pos="709"/>
        </w:tabs>
        <w:spacing w:line="360" w:lineRule="auto"/>
        <w:ind w:left="627" w:right="474"/>
        <w:jc w:val="both"/>
        <w:rPr>
          <w:rFonts w:ascii="Palatino Linotype" w:hAnsi="Palatino Linotype" w:cs="Arial"/>
          <w:b/>
          <w:i/>
          <w:sz w:val="22"/>
          <w:szCs w:val="22"/>
        </w:rPr>
      </w:pPr>
      <w:r w:rsidRPr="00371042">
        <w:rPr>
          <w:rFonts w:ascii="Palatino Linotype" w:hAnsi="Palatino Linotype" w:cs="Arial"/>
          <w:b/>
          <w:i/>
          <w:sz w:val="22"/>
          <w:szCs w:val="22"/>
        </w:rPr>
        <w:t xml:space="preserve">A) Centrales: </w:t>
      </w:r>
    </w:p>
    <w:p w14:paraId="05E45B72"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a) La Secretaría Ejecutiva; </w:t>
      </w:r>
    </w:p>
    <w:p w14:paraId="3246DA91"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b) La Contraloría General; </w:t>
      </w:r>
    </w:p>
    <w:p w14:paraId="1659880D"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lastRenderedPageBreak/>
        <w:t xml:space="preserve">c) Las Direcciones; </w:t>
      </w:r>
    </w:p>
    <w:p w14:paraId="6850F3FD"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 Jurídico Consultiva; </w:t>
      </w:r>
    </w:p>
    <w:p w14:paraId="79843D56"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 Organización; </w:t>
      </w:r>
    </w:p>
    <w:p w14:paraId="0C4EFFBB"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 Participación Ciudadana; </w:t>
      </w:r>
    </w:p>
    <w:p w14:paraId="2994A86F"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 Partidos Políticos; y </w:t>
      </w:r>
    </w:p>
    <w:p w14:paraId="5B3CF522"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 Administración. </w:t>
      </w:r>
    </w:p>
    <w:p w14:paraId="70951DBC"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d) La Unidad Técnica de Fiscalización;</w:t>
      </w:r>
    </w:p>
    <w:p w14:paraId="27F6F4AE"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 e) La Unidad Técnica para la Administración de Personal Electoral f) La Unidad de Informática y Estadística; </w:t>
      </w:r>
    </w:p>
    <w:p w14:paraId="0C77457D"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g) La Unidad de Comunicación Social; </w:t>
      </w:r>
    </w:p>
    <w:p w14:paraId="4956A524"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h) El Centro de Formación y Documentación Electoral; y</w:t>
      </w:r>
    </w:p>
    <w:p w14:paraId="332394A0"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 i) La Unidad de Transparencia. </w:t>
      </w:r>
    </w:p>
    <w:p w14:paraId="5296B3CC"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B) De la Presidencia del Consejo General: </w:t>
      </w:r>
    </w:p>
    <w:p w14:paraId="3AE362EA"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a) La Unidad de Género. </w:t>
      </w:r>
    </w:p>
    <w:p w14:paraId="3F4BA7E7"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371042">
        <w:rPr>
          <w:rFonts w:ascii="Palatino Linotype" w:hAnsi="Palatino Linotype" w:cs="Arial"/>
          <w:b/>
          <w:i/>
          <w:sz w:val="22"/>
          <w:szCs w:val="22"/>
        </w:rPr>
        <w:t>C) Desconcentrados:</w:t>
      </w:r>
      <w:r w:rsidRPr="00E61D83">
        <w:rPr>
          <w:rFonts w:ascii="Palatino Linotype" w:hAnsi="Palatino Linotype" w:cs="Arial"/>
          <w:i/>
          <w:sz w:val="22"/>
          <w:szCs w:val="22"/>
        </w:rPr>
        <w:t xml:space="preserve"> </w:t>
      </w:r>
    </w:p>
    <w:p w14:paraId="6BCFF749"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a) Distritales: </w:t>
      </w:r>
    </w:p>
    <w:p w14:paraId="33D9D9DD"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371042">
        <w:rPr>
          <w:rFonts w:ascii="Palatino Linotype" w:hAnsi="Palatino Linotype" w:cs="Arial"/>
          <w:b/>
          <w:i/>
          <w:sz w:val="22"/>
          <w:szCs w:val="22"/>
        </w:rPr>
        <w:t>1. Las Juntas Distritales</w:t>
      </w:r>
      <w:r w:rsidRPr="00E61D83">
        <w:rPr>
          <w:rFonts w:ascii="Palatino Linotype" w:hAnsi="Palatino Linotype" w:cs="Arial"/>
          <w:i/>
          <w:sz w:val="22"/>
          <w:szCs w:val="22"/>
        </w:rPr>
        <w:t xml:space="preserve">; y </w:t>
      </w:r>
    </w:p>
    <w:p w14:paraId="752F4662"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2. Los Consejos Distritales </w:t>
      </w:r>
    </w:p>
    <w:p w14:paraId="4FD13BA9"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b) Municipales: </w:t>
      </w:r>
    </w:p>
    <w:p w14:paraId="3FE6BCF4"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1. Las Juntas Municipales; y </w:t>
      </w:r>
    </w:p>
    <w:p w14:paraId="0C841BD8"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2. Los Consejos Municipales Electorales. </w:t>
      </w:r>
    </w:p>
    <w:p w14:paraId="0058D2C6"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V. Son Órganos de Vigilancia: </w:t>
      </w:r>
    </w:p>
    <w:p w14:paraId="02174619"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a) El Consejo General; </w:t>
      </w:r>
    </w:p>
    <w:p w14:paraId="5775365F"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b) La Contraloría General; y </w:t>
      </w:r>
    </w:p>
    <w:p w14:paraId="6BE514F7"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c) La Unidad Técnica de Fiscalización. </w:t>
      </w:r>
    </w:p>
    <w:p w14:paraId="0B4501C0"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VI. Son Órganos de Administración: </w:t>
      </w:r>
    </w:p>
    <w:p w14:paraId="0AA736CD"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a) El Consejo General: </w:t>
      </w:r>
    </w:p>
    <w:p w14:paraId="7AA97F80"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lastRenderedPageBreak/>
        <w:t xml:space="preserve">b) La Junta General; </w:t>
      </w:r>
    </w:p>
    <w:p w14:paraId="38049B70"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c) La Secretaría Ejecutiva; </w:t>
      </w:r>
    </w:p>
    <w:p w14:paraId="1C9E118C"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d) La Dirección de Administración; y </w:t>
      </w:r>
    </w:p>
    <w:p w14:paraId="27DC4E46"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e) Los que determine el Consejo General. </w:t>
      </w:r>
    </w:p>
    <w:p w14:paraId="1EFF35C5"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VII. Son Órganos de Investigación: </w:t>
      </w:r>
    </w:p>
    <w:p w14:paraId="7D4B75F3"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a) El Centro de Formación y Documentación Electoral; y </w:t>
      </w:r>
    </w:p>
    <w:p w14:paraId="7764BE22"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b) Los que determine el Consejo General. </w:t>
      </w:r>
    </w:p>
    <w:p w14:paraId="0CD0A697"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VIII. Son órganos de Docencia: </w:t>
      </w:r>
    </w:p>
    <w:p w14:paraId="42BE93EE"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a) La Dirección de Participación Ciudadana; </w:t>
      </w:r>
    </w:p>
    <w:p w14:paraId="677B305D" w14:textId="77777777" w:rsidR="00371042"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 xml:space="preserve">b) El Centro de Formación y Documentación Electoral; y </w:t>
      </w:r>
    </w:p>
    <w:p w14:paraId="4D681673" w14:textId="70E55104" w:rsidR="00E61D83" w:rsidRPr="00E61D83" w:rsidRDefault="00E61D83" w:rsidP="00E61D83">
      <w:pPr>
        <w:tabs>
          <w:tab w:val="left" w:pos="709"/>
        </w:tabs>
        <w:spacing w:line="360" w:lineRule="auto"/>
        <w:ind w:left="627" w:right="474"/>
        <w:jc w:val="both"/>
        <w:rPr>
          <w:rFonts w:ascii="Palatino Linotype" w:hAnsi="Palatino Linotype" w:cs="Arial"/>
          <w:i/>
          <w:sz w:val="22"/>
          <w:szCs w:val="22"/>
        </w:rPr>
      </w:pPr>
      <w:r w:rsidRPr="00E61D83">
        <w:rPr>
          <w:rFonts w:ascii="Palatino Linotype" w:hAnsi="Palatino Linotype" w:cs="Arial"/>
          <w:i/>
          <w:sz w:val="22"/>
          <w:szCs w:val="22"/>
        </w:rPr>
        <w:t>c) Los que determine el Consejo General.</w:t>
      </w:r>
      <w:r w:rsidR="00371042">
        <w:rPr>
          <w:rFonts w:ascii="Palatino Linotype" w:hAnsi="Palatino Linotype" w:cs="Arial"/>
          <w:i/>
          <w:sz w:val="22"/>
          <w:szCs w:val="22"/>
        </w:rPr>
        <w:t>”(SIC)</w:t>
      </w:r>
    </w:p>
    <w:p w14:paraId="185B1541" w14:textId="77777777" w:rsidR="00E61D83" w:rsidRDefault="00E61D83" w:rsidP="009248F0">
      <w:pPr>
        <w:pStyle w:val="Prrafodelista"/>
        <w:tabs>
          <w:tab w:val="left" w:pos="0"/>
        </w:tabs>
        <w:spacing w:line="360" w:lineRule="auto"/>
        <w:ind w:left="0" w:right="49"/>
        <w:jc w:val="both"/>
        <w:rPr>
          <w:rFonts w:ascii="Palatino Linotype" w:hAnsi="Palatino Linotype" w:cs="Arial"/>
        </w:rPr>
      </w:pPr>
    </w:p>
    <w:p w14:paraId="3BBB8BC6" w14:textId="5492C937" w:rsidR="00371042" w:rsidRDefault="00371042" w:rsidP="009248F0">
      <w:pPr>
        <w:pStyle w:val="Prrafodelista"/>
        <w:tabs>
          <w:tab w:val="left" w:pos="0"/>
        </w:tabs>
        <w:spacing w:line="360" w:lineRule="auto"/>
        <w:ind w:left="0" w:right="49"/>
        <w:jc w:val="both"/>
        <w:rPr>
          <w:rFonts w:ascii="Palatino Linotype" w:hAnsi="Palatino Linotype" w:cs="Arial"/>
        </w:rPr>
      </w:pPr>
      <w:r>
        <w:rPr>
          <w:rFonts w:ascii="Palatino Linotype" w:hAnsi="Palatino Linotype" w:cs="Arial"/>
        </w:rPr>
        <w:t xml:space="preserve">De lo anterior observamos que el </w:t>
      </w:r>
      <w:r w:rsidRPr="00371042">
        <w:rPr>
          <w:rFonts w:ascii="Palatino Linotype" w:hAnsi="Palatino Linotype" w:cs="Arial"/>
          <w:b/>
        </w:rPr>
        <w:t>SUJETO OBLIGADO</w:t>
      </w:r>
      <w:r>
        <w:rPr>
          <w:rFonts w:ascii="Palatino Linotype" w:hAnsi="Palatino Linotype" w:cs="Arial"/>
        </w:rPr>
        <w:t>, se divide en dos órganos</w:t>
      </w:r>
      <w:r w:rsidR="00085172">
        <w:rPr>
          <w:rFonts w:ascii="Palatino Linotype" w:hAnsi="Palatino Linotype" w:cs="Arial"/>
        </w:rPr>
        <w:t>:</w:t>
      </w:r>
      <w:r>
        <w:rPr>
          <w:rFonts w:ascii="Palatino Linotype" w:hAnsi="Palatino Linotype" w:cs="Arial"/>
        </w:rPr>
        <w:t xml:space="preserve"> centralizados y desconcentrados, dentro de los centrales ubicamos todas las áreas que conforma el Instituto Electoral del Estado de M</w:t>
      </w:r>
      <w:r w:rsidR="00085172">
        <w:rPr>
          <w:rFonts w:ascii="Palatino Linotype" w:hAnsi="Palatino Linotype" w:cs="Arial"/>
        </w:rPr>
        <w:t xml:space="preserve">éxico, encargados de la dirección del SUJETO OBLIGADO y </w:t>
      </w:r>
      <w:r>
        <w:rPr>
          <w:rFonts w:ascii="Palatino Linotype" w:hAnsi="Palatino Linotype" w:cs="Arial"/>
        </w:rPr>
        <w:t xml:space="preserve">los desconcentrados encontramos a las </w:t>
      </w:r>
      <w:r w:rsidR="00085172">
        <w:rPr>
          <w:rFonts w:ascii="Palatino Linotype" w:hAnsi="Palatino Linotype" w:cs="Arial"/>
        </w:rPr>
        <w:t>juntas</w:t>
      </w:r>
      <w:r>
        <w:rPr>
          <w:rFonts w:ascii="Palatino Linotype" w:hAnsi="Palatino Linotype" w:cs="Arial"/>
        </w:rPr>
        <w:t xml:space="preserve"> distritales</w:t>
      </w:r>
      <w:r w:rsidR="00085172">
        <w:rPr>
          <w:rFonts w:ascii="Palatino Linotype" w:hAnsi="Palatino Linotype" w:cs="Arial"/>
        </w:rPr>
        <w:t xml:space="preserve"> que se instalaran durante el proceso electoral, lo que se robustece con lo señalado por el artículo 11 del ornamento legal referido en el párrafo anterior, que señala:</w:t>
      </w:r>
    </w:p>
    <w:p w14:paraId="5A403C29" w14:textId="77777777" w:rsidR="00085172" w:rsidRDefault="00085172" w:rsidP="009248F0">
      <w:pPr>
        <w:pStyle w:val="Prrafodelista"/>
        <w:tabs>
          <w:tab w:val="left" w:pos="0"/>
        </w:tabs>
        <w:spacing w:line="360" w:lineRule="auto"/>
        <w:ind w:left="0" w:right="49"/>
        <w:jc w:val="both"/>
        <w:rPr>
          <w:rFonts w:ascii="Palatino Linotype" w:hAnsi="Palatino Linotype" w:cs="Arial"/>
        </w:rPr>
      </w:pPr>
    </w:p>
    <w:p w14:paraId="39083614" w14:textId="77777777" w:rsidR="00085172" w:rsidRDefault="00085172" w:rsidP="00085172">
      <w:pPr>
        <w:tabs>
          <w:tab w:val="left" w:pos="709"/>
        </w:tabs>
        <w:spacing w:line="360" w:lineRule="auto"/>
        <w:ind w:left="627" w:right="474"/>
        <w:jc w:val="both"/>
        <w:rPr>
          <w:rFonts w:ascii="Palatino Linotype" w:hAnsi="Palatino Linotype" w:cs="Arial"/>
          <w:i/>
          <w:sz w:val="22"/>
          <w:szCs w:val="22"/>
        </w:rPr>
      </w:pPr>
      <w:r>
        <w:rPr>
          <w:rFonts w:ascii="Palatino Linotype" w:hAnsi="Palatino Linotype" w:cs="Arial"/>
          <w:i/>
          <w:sz w:val="22"/>
          <w:szCs w:val="22"/>
        </w:rPr>
        <w:t>“</w:t>
      </w:r>
      <w:r w:rsidRPr="00085172">
        <w:rPr>
          <w:rFonts w:ascii="Palatino Linotype" w:hAnsi="Palatino Linotype" w:cs="Arial"/>
          <w:i/>
          <w:sz w:val="22"/>
          <w:szCs w:val="22"/>
        </w:rPr>
        <w:t xml:space="preserve">Artículo 11. El Instituto tendrá la siguiente estructura: </w:t>
      </w:r>
    </w:p>
    <w:p w14:paraId="62E57954" w14:textId="77777777" w:rsidR="00085172" w:rsidRDefault="00085172" w:rsidP="00085172">
      <w:pPr>
        <w:tabs>
          <w:tab w:val="left" w:pos="709"/>
        </w:tabs>
        <w:spacing w:line="360" w:lineRule="auto"/>
        <w:ind w:left="627" w:right="474"/>
        <w:jc w:val="both"/>
        <w:rPr>
          <w:rFonts w:ascii="Palatino Linotype" w:hAnsi="Palatino Linotype" w:cs="Arial"/>
          <w:i/>
          <w:sz w:val="22"/>
          <w:szCs w:val="22"/>
        </w:rPr>
      </w:pPr>
      <w:r w:rsidRPr="00085172">
        <w:rPr>
          <w:rFonts w:ascii="Palatino Linotype" w:hAnsi="Palatino Linotype" w:cs="Arial"/>
          <w:i/>
          <w:sz w:val="22"/>
          <w:szCs w:val="22"/>
        </w:rPr>
        <w:t xml:space="preserve">I. Un Consejo General; </w:t>
      </w:r>
    </w:p>
    <w:p w14:paraId="1843BC5C" w14:textId="77777777" w:rsidR="00085172" w:rsidRDefault="00085172" w:rsidP="00085172">
      <w:pPr>
        <w:tabs>
          <w:tab w:val="left" w:pos="709"/>
        </w:tabs>
        <w:spacing w:line="360" w:lineRule="auto"/>
        <w:ind w:left="627" w:right="474"/>
        <w:jc w:val="both"/>
        <w:rPr>
          <w:rFonts w:ascii="Palatino Linotype" w:hAnsi="Palatino Linotype" w:cs="Arial"/>
          <w:i/>
          <w:sz w:val="22"/>
          <w:szCs w:val="22"/>
        </w:rPr>
      </w:pPr>
      <w:r w:rsidRPr="00085172">
        <w:rPr>
          <w:rFonts w:ascii="Palatino Linotype" w:hAnsi="Palatino Linotype" w:cs="Arial"/>
          <w:i/>
          <w:sz w:val="22"/>
          <w:szCs w:val="22"/>
        </w:rPr>
        <w:t xml:space="preserve">II. La Junta General; </w:t>
      </w:r>
    </w:p>
    <w:p w14:paraId="248C403E" w14:textId="77777777" w:rsidR="00085172" w:rsidRDefault="00085172" w:rsidP="00085172">
      <w:pPr>
        <w:tabs>
          <w:tab w:val="left" w:pos="709"/>
        </w:tabs>
        <w:spacing w:line="360" w:lineRule="auto"/>
        <w:ind w:left="627" w:right="474"/>
        <w:jc w:val="both"/>
        <w:rPr>
          <w:rFonts w:ascii="Palatino Linotype" w:hAnsi="Palatino Linotype" w:cs="Arial"/>
          <w:i/>
          <w:sz w:val="22"/>
          <w:szCs w:val="22"/>
        </w:rPr>
      </w:pPr>
      <w:r w:rsidRPr="00085172">
        <w:rPr>
          <w:rFonts w:ascii="Palatino Linotype" w:hAnsi="Palatino Linotype" w:cs="Arial"/>
          <w:i/>
          <w:sz w:val="22"/>
          <w:szCs w:val="22"/>
        </w:rPr>
        <w:t xml:space="preserve">III. La Secretaría Ejecutiva; </w:t>
      </w:r>
    </w:p>
    <w:p w14:paraId="568A8EC8" w14:textId="77777777" w:rsidR="00085172" w:rsidRDefault="00085172" w:rsidP="00085172">
      <w:pPr>
        <w:tabs>
          <w:tab w:val="left" w:pos="709"/>
        </w:tabs>
        <w:spacing w:line="360" w:lineRule="auto"/>
        <w:ind w:left="627" w:right="474"/>
        <w:jc w:val="both"/>
        <w:rPr>
          <w:rFonts w:ascii="Palatino Linotype" w:hAnsi="Palatino Linotype" w:cs="Arial"/>
          <w:i/>
          <w:sz w:val="22"/>
          <w:szCs w:val="22"/>
        </w:rPr>
      </w:pPr>
      <w:r w:rsidRPr="00085172">
        <w:rPr>
          <w:rFonts w:ascii="Palatino Linotype" w:hAnsi="Palatino Linotype" w:cs="Arial"/>
          <w:i/>
          <w:sz w:val="22"/>
          <w:szCs w:val="22"/>
        </w:rPr>
        <w:t xml:space="preserve">IV. La Contraloría General; </w:t>
      </w:r>
    </w:p>
    <w:p w14:paraId="0A93D91F" w14:textId="77777777" w:rsidR="00085172" w:rsidRDefault="00085172" w:rsidP="00085172">
      <w:pPr>
        <w:tabs>
          <w:tab w:val="left" w:pos="709"/>
        </w:tabs>
        <w:spacing w:line="360" w:lineRule="auto"/>
        <w:ind w:left="627" w:right="474"/>
        <w:jc w:val="both"/>
        <w:rPr>
          <w:rFonts w:ascii="Palatino Linotype" w:hAnsi="Palatino Linotype" w:cs="Arial"/>
          <w:i/>
          <w:sz w:val="22"/>
          <w:szCs w:val="22"/>
        </w:rPr>
      </w:pPr>
      <w:r w:rsidRPr="00085172">
        <w:rPr>
          <w:rFonts w:ascii="Palatino Linotype" w:hAnsi="Palatino Linotype" w:cs="Arial"/>
          <w:i/>
          <w:sz w:val="22"/>
          <w:szCs w:val="22"/>
        </w:rPr>
        <w:t xml:space="preserve">V. Las Direcciones: </w:t>
      </w:r>
    </w:p>
    <w:p w14:paraId="6D102CA6" w14:textId="77777777" w:rsidR="00085172" w:rsidRDefault="00085172" w:rsidP="00085172">
      <w:pPr>
        <w:tabs>
          <w:tab w:val="left" w:pos="709"/>
        </w:tabs>
        <w:spacing w:line="360" w:lineRule="auto"/>
        <w:ind w:left="627" w:right="474"/>
        <w:jc w:val="both"/>
        <w:rPr>
          <w:rFonts w:ascii="Palatino Linotype" w:hAnsi="Palatino Linotype" w:cs="Arial"/>
          <w:i/>
          <w:sz w:val="22"/>
          <w:szCs w:val="22"/>
        </w:rPr>
      </w:pPr>
      <w:r w:rsidRPr="00085172">
        <w:rPr>
          <w:rFonts w:ascii="Palatino Linotype" w:hAnsi="Palatino Linotype" w:cs="Arial"/>
          <w:i/>
          <w:sz w:val="22"/>
          <w:szCs w:val="22"/>
        </w:rPr>
        <w:t xml:space="preserve">a) Jurídico Consultiva; </w:t>
      </w:r>
    </w:p>
    <w:p w14:paraId="7E6965AA" w14:textId="77777777" w:rsidR="00085172" w:rsidRDefault="00085172" w:rsidP="00085172">
      <w:pPr>
        <w:tabs>
          <w:tab w:val="left" w:pos="709"/>
        </w:tabs>
        <w:spacing w:line="360" w:lineRule="auto"/>
        <w:ind w:left="627" w:right="474"/>
        <w:jc w:val="both"/>
        <w:rPr>
          <w:rFonts w:ascii="Palatino Linotype" w:hAnsi="Palatino Linotype" w:cs="Arial"/>
          <w:i/>
          <w:sz w:val="22"/>
          <w:szCs w:val="22"/>
        </w:rPr>
      </w:pPr>
      <w:r w:rsidRPr="00085172">
        <w:rPr>
          <w:rFonts w:ascii="Palatino Linotype" w:hAnsi="Palatino Linotype" w:cs="Arial"/>
          <w:i/>
          <w:sz w:val="22"/>
          <w:szCs w:val="22"/>
        </w:rPr>
        <w:t xml:space="preserve">b) Organización; </w:t>
      </w:r>
    </w:p>
    <w:p w14:paraId="13A02DFF" w14:textId="77777777" w:rsidR="00085172" w:rsidRDefault="00085172" w:rsidP="00085172">
      <w:pPr>
        <w:tabs>
          <w:tab w:val="left" w:pos="709"/>
        </w:tabs>
        <w:spacing w:line="360" w:lineRule="auto"/>
        <w:ind w:left="627" w:right="474"/>
        <w:jc w:val="both"/>
        <w:rPr>
          <w:rFonts w:ascii="Palatino Linotype" w:hAnsi="Palatino Linotype" w:cs="Arial"/>
          <w:i/>
          <w:sz w:val="22"/>
          <w:szCs w:val="22"/>
        </w:rPr>
      </w:pPr>
      <w:r w:rsidRPr="00085172">
        <w:rPr>
          <w:rFonts w:ascii="Palatino Linotype" w:hAnsi="Palatino Linotype" w:cs="Arial"/>
          <w:i/>
          <w:sz w:val="22"/>
          <w:szCs w:val="22"/>
        </w:rPr>
        <w:lastRenderedPageBreak/>
        <w:t xml:space="preserve">c) Participación Ciudadana; </w:t>
      </w:r>
    </w:p>
    <w:p w14:paraId="26B50D0D" w14:textId="77777777" w:rsidR="00085172" w:rsidRDefault="00085172" w:rsidP="00085172">
      <w:pPr>
        <w:tabs>
          <w:tab w:val="left" w:pos="709"/>
        </w:tabs>
        <w:spacing w:line="360" w:lineRule="auto"/>
        <w:ind w:left="627" w:right="474"/>
        <w:jc w:val="both"/>
        <w:rPr>
          <w:rFonts w:ascii="Palatino Linotype" w:hAnsi="Palatino Linotype" w:cs="Arial"/>
          <w:i/>
          <w:sz w:val="22"/>
          <w:szCs w:val="22"/>
        </w:rPr>
      </w:pPr>
      <w:r w:rsidRPr="00085172">
        <w:rPr>
          <w:rFonts w:ascii="Palatino Linotype" w:hAnsi="Palatino Linotype" w:cs="Arial"/>
          <w:i/>
          <w:sz w:val="22"/>
          <w:szCs w:val="22"/>
        </w:rPr>
        <w:t xml:space="preserve">d) Partidos Políticos; y </w:t>
      </w:r>
    </w:p>
    <w:p w14:paraId="6D682F53" w14:textId="77777777" w:rsidR="00085172" w:rsidRDefault="00085172" w:rsidP="00085172">
      <w:pPr>
        <w:tabs>
          <w:tab w:val="left" w:pos="709"/>
        </w:tabs>
        <w:spacing w:line="360" w:lineRule="auto"/>
        <w:ind w:left="627" w:right="474"/>
        <w:jc w:val="both"/>
        <w:rPr>
          <w:rFonts w:ascii="Palatino Linotype" w:hAnsi="Palatino Linotype" w:cs="Arial"/>
          <w:i/>
          <w:sz w:val="22"/>
          <w:szCs w:val="22"/>
        </w:rPr>
      </w:pPr>
      <w:r w:rsidRPr="00085172">
        <w:rPr>
          <w:rFonts w:ascii="Palatino Linotype" w:hAnsi="Palatino Linotype" w:cs="Arial"/>
          <w:i/>
          <w:sz w:val="22"/>
          <w:szCs w:val="22"/>
        </w:rPr>
        <w:t xml:space="preserve">e) Administración. </w:t>
      </w:r>
    </w:p>
    <w:p w14:paraId="1EB38E59" w14:textId="77777777" w:rsidR="00085172" w:rsidRDefault="00085172" w:rsidP="00085172">
      <w:pPr>
        <w:tabs>
          <w:tab w:val="left" w:pos="709"/>
        </w:tabs>
        <w:spacing w:line="360" w:lineRule="auto"/>
        <w:ind w:left="627" w:right="474"/>
        <w:jc w:val="both"/>
        <w:rPr>
          <w:rFonts w:ascii="Palatino Linotype" w:hAnsi="Palatino Linotype" w:cs="Arial"/>
          <w:i/>
          <w:sz w:val="22"/>
          <w:szCs w:val="22"/>
        </w:rPr>
      </w:pPr>
      <w:r w:rsidRPr="00085172">
        <w:rPr>
          <w:rFonts w:ascii="Palatino Linotype" w:hAnsi="Palatino Linotype" w:cs="Arial"/>
          <w:i/>
          <w:sz w:val="22"/>
          <w:szCs w:val="22"/>
        </w:rPr>
        <w:t xml:space="preserve">VI. Las Unidades: </w:t>
      </w:r>
    </w:p>
    <w:p w14:paraId="1CEAEC19" w14:textId="77777777" w:rsidR="00085172" w:rsidRDefault="00085172" w:rsidP="00085172">
      <w:pPr>
        <w:tabs>
          <w:tab w:val="left" w:pos="709"/>
        </w:tabs>
        <w:spacing w:line="360" w:lineRule="auto"/>
        <w:ind w:left="627" w:right="474"/>
        <w:jc w:val="both"/>
        <w:rPr>
          <w:rFonts w:ascii="Palatino Linotype" w:hAnsi="Palatino Linotype" w:cs="Arial"/>
          <w:i/>
          <w:sz w:val="22"/>
          <w:szCs w:val="22"/>
        </w:rPr>
      </w:pPr>
      <w:r w:rsidRPr="00085172">
        <w:rPr>
          <w:rFonts w:ascii="Palatino Linotype" w:hAnsi="Palatino Linotype" w:cs="Arial"/>
          <w:i/>
          <w:sz w:val="22"/>
          <w:szCs w:val="22"/>
        </w:rPr>
        <w:t xml:space="preserve">a) La Unidad de Informática y Estadística; </w:t>
      </w:r>
    </w:p>
    <w:p w14:paraId="28B591F2" w14:textId="77777777" w:rsidR="00085172" w:rsidRDefault="00085172" w:rsidP="00085172">
      <w:pPr>
        <w:tabs>
          <w:tab w:val="left" w:pos="709"/>
        </w:tabs>
        <w:spacing w:line="360" w:lineRule="auto"/>
        <w:ind w:left="627" w:right="474"/>
        <w:jc w:val="both"/>
        <w:rPr>
          <w:rFonts w:ascii="Palatino Linotype" w:hAnsi="Palatino Linotype" w:cs="Arial"/>
          <w:i/>
          <w:sz w:val="22"/>
          <w:szCs w:val="22"/>
        </w:rPr>
      </w:pPr>
      <w:r w:rsidRPr="00085172">
        <w:rPr>
          <w:rFonts w:ascii="Palatino Linotype" w:hAnsi="Palatino Linotype" w:cs="Arial"/>
          <w:i/>
          <w:sz w:val="22"/>
          <w:szCs w:val="22"/>
        </w:rPr>
        <w:t xml:space="preserve">b) La Unidad de Comunicación Social; </w:t>
      </w:r>
    </w:p>
    <w:p w14:paraId="1E7330BD" w14:textId="77777777" w:rsidR="00085172" w:rsidRDefault="00085172" w:rsidP="00085172">
      <w:pPr>
        <w:tabs>
          <w:tab w:val="left" w:pos="709"/>
        </w:tabs>
        <w:spacing w:line="360" w:lineRule="auto"/>
        <w:ind w:left="627" w:right="474"/>
        <w:jc w:val="both"/>
        <w:rPr>
          <w:rFonts w:ascii="Palatino Linotype" w:hAnsi="Palatino Linotype" w:cs="Arial"/>
          <w:i/>
          <w:sz w:val="22"/>
          <w:szCs w:val="22"/>
        </w:rPr>
      </w:pPr>
      <w:r w:rsidRPr="00085172">
        <w:rPr>
          <w:rFonts w:ascii="Palatino Linotype" w:hAnsi="Palatino Linotype" w:cs="Arial"/>
          <w:i/>
          <w:sz w:val="22"/>
          <w:szCs w:val="22"/>
        </w:rPr>
        <w:t xml:space="preserve">c) La Unidad Técnica de Fiscalización; </w:t>
      </w:r>
    </w:p>
    <w:p w14:paraId="3AC48FFD" w14:textId="77777777" w:rsidR="00085172" w:rsidRDefault="00085172" w:rsidP="00085172">
      <w:pPr>
        <w:tabs>
          <w:tab w:val="left" w:pos="709"/>
        </w:tabs>
        <w:spacing w:line="360" w:lineRule="auto"/>
        <w:ind w:left="627" w:right="474"/>
        <w:jc w:val="both"/>
        <w:rPr>
          <w:rFonts w:ascii="Palatino Linotype" w:hAnsi="Palatino Linotype" w:cs="Arial"/>
          <w:i/>
          <w:sz w:val="22"/>
          <w:szCs w:val="22"/>
        </w:rPr>
      </w:pPr>
      <w:r w:rsidRPr="00085172">
        <w:rPr>
          <w:rFonts w:ascii="Palatino Linotype" w:hAnsi="Palatino Linotype" w:cs="Arial"/>
          <w:i/>
          <w:sz w:val="22"/>
          <w:szCs w:val="22"/>
        </w:rPr>
        <w:t xml:space="preserve">d) La Unidad Técnica para la Administración de Personal Electoral; </w:t>
      </w:r>
    </w:p>
    <w:p w14:paraId="4512B841" w14:textId="77777777" w:rsidR="00085172" w:rsidRDefault="00085172" w:rsidP="00085172">
      <w:pPr>
        <w:tabs>
          <w:tab w:val="left" w:pos="709"/>
        </w:tabs>
        <w:spacing w:line="360" w:lineRule="auto"/>
        <w:ind w:left="627" w:right="474"/>
        <w:jc w:val="both"/>
        <w:rPr>
          <w:rFonts w:ascii="Palatino Linotype" w:hAnsi="Palatino Linotype" w:cs="Arial"/>
          <w:i/>
          <w:sz w:val="22"/>
          <w:szCs w:val="22"/>
        </w:rPr>
      </w:pPr>
      <w:r w:rsidRPr="00085172">
        <w:rPr>
          <w:rFonts w:ascii="Palatino Linotype" w:hAnsi="Palatino Linotype" w:cs="Arial"/>
          <w:i/>
          <w:sz w:val="22"/>
          <w:szCs w:val="22"/>
        </w:rPr>
        <w:t xml:space="preserve">e) El Centro de Formación y Documentación Electoral; y </w:t>
      </w:r>
    </w:p>
    <w:p w14:paraId="228923A8" w14:textId="77777777" w:rsidR="00085172" w:rsidRDefault="00085172" w:rsidP="00085172">
      <w:pPr>
        <w:tabs>
          <w:tab w:val="left" w:pos="709"/>
        </w:tabs>
        <w:spacing w:line="360" w:lineRule="auto"/>
        <w:ind w:left="627" w:right="474"/>
        <w:jc w:val="both"/>
        <w:rPr>
          <w:rFonts w:ascii="Palatino Linotype" w:hAnsi="Palatino Linotype" w:cs="Arial"/>
          <w:i/>
          <w:sz w:val="22"/>
          <w:szCs w:val="22"/>
        </w:rPr>
      </w:pPr>
      <w:r w:rsidRPr="00085172">
        <w:rPr>
          <w:rFonts w:ascii="Palatino Linotype" w:hAnsi="Palatino Linotype" w:cs="Arial"/>
          <w:i/>
          <w:sz w:val="22"/>
          <w:szCs w:val="22"/>
        </w:rPr>
        <w:t xml:space="preserve">f) La Unidad de Transparencia. </w:t>
      </w:r>
    </w:p>
    <w:p w14:paraId="4B94E7FF" w14:textId="661F02CD" w:rsidR="00371042" w:rsidRDefault="00085172" w:rsidP="00085172">
      <w:pPr>
        <w:tabs>
          <w:tab w:val="left" w:pos="709"/>
        </w:tabs>
        <w:spacing w:line="360" w:lineRule="auto"/>
        <w:ind w:left="627" w:right="474"/>
        <w:jc w:val="both"/>
        <w:rPr>
          <w:rFonts w:ascii="Palatino Linotype" w:hAnsi="Palatino Linotype" w:cs="Arial"/>
          <w:i/>
          <w:sz w:val="22"/>
          <w:szCs w:val="22"/>
        </w:rPr>
      </w:pPr>
      <w:r w:rsidRPr="00085172">
        <w:rPr>
          <w:rFonts w:ascii="Palatino Linotype" w:hAnsi="Palatino Linotype" w:cs="Arial"/>
          <w:i/>
          <w:sz w:val="22"/>
          <w:szCs w:val="22"/>
        </w:rPr>
        <w:t>El Consejo General podrá aprobar la creación de nuevas Direcciones o Unidades Técnicas para el mejor funcionamiento del Instituto, de acuerdo con las necesidades del servicio y la disponibilidad presupuestar, a propuesta de la Presidencia de la Junta General. Durante el proceso electoral, el Instituto contará, en su caso, con: a) Juntas y Consejos Distritales; y</w:t>
      </w:r>
    </w:p>
    <w:p w14:paraId="4EBB5A79" w14:textId="4014B03D" w:rsidR="00085172" w:rsidRPr="00085172" w:rsidRDefault="00085172" w:rsidP="00085172">
      <w:pPr>
        <w:pStyle w:val="Prrafodelista"/>
        <w:numPr>
          <w:ilvl w:val="0"/>
          <w:numId w:val="13"/>
        </w:numPr>
        <w:tabs>
          <w:tab w:val="left" w:pos="709"/>
        </w:tabs>
        <w:spacing w:line="360" w:lineRule="auto"/>
        <w:ind w:right="474"/>
        <w:jc w:val="both"/>
        <w:rPr>
          <w:rFonts w:ascii="Palatino Linotype" w:hAnsi="Palatino Linotype" w:cs="Arial"/>
          <w:i/>
        </w:rPr>
      </w:pPr>
      <w:r w:rsidRPr="00085172">
        <w:rPr>
          <w:rFonts w:ascii="Palatino Linotype" w:hAnsi="Palatino Linotype" w:cs="Arial"/>
          <w:i/>
        </w:rPr>
        <w:t>Juntas y Consejos Municipales</w:t>
      </w:r>
      <w:r>
        <w:rPr>
          <w:rFonts w:ascii="Palatino Linotype" w:hAnsi="Palatino Linotype" w:cs="Arial"/>
          <w:i/>
        </w:rPr>
        <w:t>.</w:t>
      </w:r>
      <w:r w:rsidRPr="00085172">
        <w:rPr>
          <w:rFonts w:ascii="Palatino Linotype" w:hAnsi="Palatino Linotype" w:cs="Arial"/>
          <w:i/>
        </w:rPr>
        <w:t>” (Sic)</w:t>
      </w:r>
    </w:p>
    <w:p w14:paraId="6DDBDABE" w14:textId="77777777" w:rsidR="00085172" w:rsidRPr="00085172" w:rsidRDefault="00085172" w:rsidP="00085172">
      <w:pPr>
        <w:pStyle w:val="Prrafodelista"/>
        <w:tabs>
          <w:tab w:val="left" w:pos="709"/>
        </w:tabs>
        <w:spacing w:line="360" w:lineRule="auto"/>
        <w:ind w:left="987" w:right="474"/>
        <w:jc w:val="both"/>
        <w:rPr>
          <w:rFonts w:ascii="Palatino Linotype" w:hAnsi="Palatino Linotype" w:cs="Arial"/>
          <w:i/>
        </w:rPr>
      </w:pPr>
    </w:p>
    <w:p w14:paraId="21B5642B" w14:textId="781A875B" w:rsidR="00085172" w:rsidRDefault="00085172" w:rsidP="009248F0">
      <w:pPr>
        <w:pStyle w:val="Prrafodelista"/>
        <w:tabs>
          <w:tab w:val="left" w:pos="0"/>
        </w:tabs>
        <w:spacing w:line="360" w:lineRule="auto"/>
        <w:ind w:left="0" w:right="49"/>
        <w:jc w:val="both"/>
        <w:rPr>
          <w:rFonts w:ascii="Palatino Linotype" w:hAnsi="Palatino Linotype" w:cs="Arial"/>
        </w:rPr>
      </w:pPr>
      <w:r>
        <w:rPr>
          <w:rFonts w:ascii="Palatino Linotype" w:hAnsi="Palatino Linotype" w:cs="Arial"/>
        </w:rPr>
        <w:t xml:space="preserve">Con base a lo anterior, podemos decir que las Juntas Distritales forman parte de la estructura descentralizada del </w:t>
      </w:r>
      <w:r w:rsidRPr="00E5265E">
        <w:rPr>
          <w:rFonts w:ascii="Palatino Linotype" w:hAnsi="Palatino Linotype" w:cs="Arial"/>
          <w:b/>
        </w:rPr>
        <w:t>SUJETO OBLIGADO</w:t>
      </w:r>
      <w:r>
        <w:rPr>
          <w:rFonts w:ascii="Palatino Linotype" w:hAnsi="Palatino Linotype" w:cs="Arial"/>
        </w:rPr>
        <w:t xml:space="preserve">, </w:t>
      </w:r>
      <w:r w:rsidR="00E5265E">
        <w:rPr>
          <w:rFonts w:ascii="Palatino Linotype" w:hAnsi="Palatino Linotype" w:cs="Arial"/>
        </w:rPr>
        <w:t xml:space="preserve">lo que se robustece con lo señalado por los artículos 12 del Reglamento Interior referido y 85, 205, 206 del </w:t>
      </w:r>
      <w:r w:rsidR="00E5265E" w:rsidRPr="00E5265E">
        <w:rPr>
          <w:rFonts w:ascii="Palatino Linotype" w:hAnsi="Palatino Linotype" w:cs="Arial"/>
        </w:rPr>
        <w:t>Código Elec</w:t>
      </w:r>
      <w:r w:rsidR="00E5265E">
        <w:rPr>
          <w:rFonts w:ascii="Palatino Linotype" w:hAnsi="Palatino Linotype" w:cs="Arial"/>
        </w:rPr>
        <w:t>toral del Estado d</w:t>
      </w:r>
      <w:r w:rsidR="00E5265E" w:rsidRPr="00E5265E">
        <w:rPr>
          <w:rFonts w:ascii="Palatino Linotype" w:hAnsi="Palatino Linotype" w:cs="Arial"/>
        </w:rPr>
        <w:t>e México</w:t>
      </w:r>
      <w:r w:rsidR="00E5265E">
        <w:rPr>
          <w:rFonts w:ascii="Palatino Linotype" w:hAnsi="Palatino Linotype" w:cs="Arial"/>
        </w:rPr>
        <w:t>, que señala:</w:t>
      </w:r>
    </w:p>
    <w:p w14:paraId="410139E6" w14:textId="77777777" w:rsidR="00E5265E" w:rsidRDefault="00E5265E" w:rsidP="009248F0">
      <w:pPr>
        <w:pStyle w:val="Prrafodelista"/>
        <w:tabs>
          <w:tab w:val="left" w:pos="0"/>
        </w:tabs>
        <w:spacing w:line="360" w:lineRule="auto"/>
        <w:ind w:left="0" w:right="49"/>
        <w:jc w:val="both"/>
        <w:rPr>
          <w:rFonts w:ascii="Palatino Linotype" w:hAnsi="Palatino Linotype" w:cs="Arial"/>
        </w:rPr>
      </w:pPr>
    </w:p>
    <w:p w14:paraId="4AB7A79B" w14:textId="77777777" w:rsidR="00E5265E" w:rsidRDefault="00E5265E" w:rsidP="00E5265E">
      <w:pPr>
        <w:tabs>
          <w:tab w:val="left" w:pos="709"/>
        </w:tabs>
        <w:spacing w:line="360" w:lineRule="auto"/>
        <w:ind w:left="627" w:right="474"/>
        <w:jc w:val="both"/>
        <w:rPr>
          <w:rFonts w:ascii="Palatino Linotype" w:hAnsi="Palatino Linotype" w:cs="Arial"/>
          <w:i/>
          <w:sz w:val="22"/>
          <w:szCs w:val="22"/>
        </w:rPr>
      </w:pPr>
      <w:r>
        <w:rPr>
          <w:rFonts w:ascii="Palatino Linotype" w:hAnsi="Palatino Linotype" w:cs="Arial"/>
          <w:i/>
          <w:sz w:val="22"/>
          <w:szCs w:val="22"/>
        </w:rPr>
        <w:t>“</w:t>
      </w:r>
      <w:r w:rsidRPr="00E5265E">
        <w:rPr>
          <w:rFonts w:ascii="Palatino Linotype" w:hAnsi="Palatino Linotype" w:cs="Arial"/>
          <w:i/>
          <w:sz w:val="22"/>
          <w:szCs w:val="22"/>
        </w:rPr>
        <w:t xml:space="preserve">Artículo 12. De conformidad con lo previsto en el párrafo segundo del artículo 192 del Código y otras disposiciones aplicables, </w:t>
      </w:r>
      <w:r w:rsidRPr="00E5265E">
        <w:rPr>
          <w:rFonts w:ascii="Palatino Linotype" w:hAnsi="Palatino Linotype" w:cs="Arial"/>
          <w:b/>
          <w:i/>
          <w:sz w:val="22"/>
          <w:szCs w:val="22"/>
        </w:rPr>
        <w:t>la adscripción de las áreas del Instituto será la siguiente</w:t>
      </w:r>
      <w:r w:rsidRPr="00E5265E">
        <w:rPr>
          <w:rFonts w:ascii="Palatino Linotype" w:hAnsi="Palatino Linotype" w:cs="Arial"/>
          <w:i/>
          <w:sz w:val="22"/>
          <w:szCs w:val="22"/>
        </w:rPr>
        <w:t xml:space="preserve">: </w:t>
      </w:r>
    </w:p>
    <w:p w14:paraId="3B52C2BD" w14:textId="77777777" w:rsidR="00E5265E" w:rsidRDefault="00E5265E" w:rsidP="00E5265E">
      <w:pPr>
        <w:tabs>
          <w:tab w:val="left" w:pos="709"/>
        </w:tabs>
        <w:spacing w:line="360" w:lineRule="auto"/>
        <w:ind w:left="627" w:right="474"/>
        <w:jc w:val="both"/>
        <w:rPr>
          <w:rFonts w:ascii="Palatino Linotype" w:hAnsi="Palatino Linotype" w:cs="Arial"/>
          <w:i/>
          <w:sz w:val="22"/>
          <w:szCs w:val="22"/>
        </w:rPr>
      </w:pPr>
      <w:r w:rsidRPr="00E5265E">
        <w:rPr>
          <w:rFonts w:ascii="Palatino Linotype" w:hAnsi="Palatino Linotype" w:cs="Arial"/>
          <w:i/>
          <w:sz w:val="22"/>
          <w:szCs w:val="22"/>
        </w:rPr>
        <w:t xml:space="preserve">I. Al Consejo General: </w:t>
      </w:r>
    </w:p>
    <w:p w14:paraId="7B968C12" w14:textId="77777777" w:rsidR="00E5265E" w:rsidRDefault="00E5265E" w:rsidP="00E5265E">
      <w:pPr>
        <w:tabs>
          <w:tab w:val="left" w:pos="709"/>
        </w:tabs>
        <w:spacing w:line="360" w:lineRule="auto"/>
        <w:ind w:left="627" w:right="474"/>
        <w:jc w:val="both"/>
        <w:rPr>
          <w:rFonts w:ascii="Palatino Linotype" w:hAnsi="Palatino Linotype" w:cs="Arial"/>
          <w:i/>
          <w:sz w:val="22"/>
          <w:szCs w:val="22"/>
        </w:rPr>
      </w:pPr>
      <w:r w:rsidRPr="00E5265E">
        <w:rPr>
          <w:rFonts w:ascii="Palatino Linotype" w:hAnsi="Palatino Linotype" w:cs="Arial"/>
          <w:i/>
          <w:sz w:val="22"/>
          <w:szCs w:val="22"/>
        </w:rPr>
        <w:t xml:space="preserve">a) La Contraloría General; </w:t>
      </w:r>
    </w:p>
    <w:p w14:paraId="5A134A06" w14:textId="77777777" w:rsidR="00E5265E" w:rsidRDefault="00E5265E" w:rsidP="00E5265E">
      <w:pPr>
        <w:tabs>
          <w:tab w:val="left" w:pos="709"/>
        </w:tabs>
        <w:spacing w:line="360" w:lineRule="auto"/>
        <w:ind w:left="627" w:right="474"/>
        <w:jc w:val="both"/>
        <w:rPr>
          <w:rFonts w:ascii="Palatino Linotype" w:hAnsi="Palatino Linotype" w:cs="Arial"/>
          <w:i/>
          <w:sz w:val="22"/>
          <w:szCs w:val="22"/>
        </w:rPr>
      </w:pPr>
      <w:r w:rsidRPr="00E5265E">
        <w:rPr>
          <w:rFonts w:ascii="Palatino Linotype" w:hAnsi="Palatino Linotype" w:cs="Arial"/>
          <w:i/>
          <w:sz w:val="22"/>
          <w:szCs w:val="22"/>
        </w:rPr>
        <w:lastRenderedPageBreak/>
        <w:t xml:space="preserve">b) La Unidad Técnica de Fiscalización; </w:t>
      </w:r>
    </w:p>
    <w:p w14:paraId="5F31F5DB" w14:textId="77777777" w:rsidR="00E5265E" w:rsidRDefault="00E5265E" w:rsidP="00E5265E">
      <w:pPr>
        <w:tabs>
          <w:tab w:val="left" w:pos="709"/>
        </w:tabs>
        <w:spacing w:line="360" w:lineRule="auto"/>
        <w:ind w:left="627" w:right="474"/>
        <w:jc w:val="both"/>
        <w:rPr>
          <w:rFonts w:ascii="Palatino Linotype" w:hAnsi="Palatino Linotype" w:cs="Arial"/>
          <w:i/>
          <w:sz w:val="22"/>
          <w:szCs w:val="22"/>
        </w:rPr>
      </w:pPr>
      <w:r w:rsidRPr="00E5265E">
        <w:rPr>
          <w:rFonts w:ascii="Palatino Linotype" w:hAnsi="Palatino Linotype" w:cs="Arial"/>
          <w:i/>
          <w:sz w:val="22"/>
          <w:szCs w:val="22"/>
        </w:rPr>
        <w:t xml:space="preserve">c) La Unidad de Comunicación Social; y </w:t>
      </w:r>
    </w:p>
    <w:p w14:paraId="46A984E2" w14:textId="77777777" w:rsidR="00E5265E" w:rsidRDefault="00E5265E" w:rsidP="00E5265E">
      <w:pPr>
        <w:tabs>
          <w:tab w:val="left" w:pos="709"/>
        </w:tabs>
        <w:spacing w:line="360" w:lineRule="auto"/>
        <w:ind w:left="627" w:right="474"/>
        <w:jc w:val="both"/>
        <w:rPr>
          <w:rFonts w:ascii="Palatino Linotype" w:hAnsi="Palatino Linotype" w:cs="Arial"/>
          <w:i/>
          <w:sz w:val="22"/>
          <w:szCs w:val="22"/>
        </w:rPr>
      </w:pPr>
      <w:r w:rsidRPr="00E5265E">
        <w:rPr>
          <w:rFonts w:ascii="Palatino Linotype" w:hAnsi="Palatino Linotype" w:cs="Arial"/>
          <w:i/>
          <w:sz w:val="22"/>
          <w:szCs w:val="22"/>
        </w:rPr>
        <w:t xml:space="preserve">d) El Centro de Formación y Documentación Electoral. </w:t>
      </w:r>
    </w:p>
    <w:p w14:paraId="3C740567" w14:textId="77777777" w:rsidR="00E5265E" w:rsidRDefault="00E5265E" w:rsidP="00E5265E">
      <w:pPr>
        <w:tabs>
          <w:tab w:val="left" w:pos="709"/>
        </w:tabs>
        <w:spacing w:line="360" w:lineRule="auto"/>
        <w:ind w:left="627" w:right="474"/>
        <w:jc w:val="both"/>
        <w:rPr>
          <w:rFonts w:ascii="Palatino Linotype" w:hAnsi="Palatino Linotype" w:cs="Arial"/>
          <w:i/>
          <w:sz w:val="22"/>
          <w:szCs w:val="22"/>
        </w:rPr>
      </w:pPr>
      <w:r w:rsidRPr="00E5265E">
        <w:rPr>
          <w:rFonts w:ascii="Palatino Linotype" w:hAnsi="Palatino Linotype" w:cs="Arial"/>
          <w:i/>
          <w:sz w:val="22"/>
          <w:szCs w:val="22"/>
        </w:rPr>
        <w:t xml:space="preserve">II. A la Secretaría Ejecutiva: </w:t>
      </w:r>
    </w:p>
    <w:p w14:paraId="6FDC78FD" w14:textId="77777777" w:rsidR="00E5265E" w:rsidRDefault="00E5265E" w:rsidP="00E5265E">
      <w:pPr>
        <w:tabs>
          <w:tab w:val="left" w:pos="709"/>
        </w:tabs>
        <w:spacing w:line="360" w:lineRule="auto"/>
        <w:ind w:left="627" w:right="474"/>
        <w:jc w:val="both"/>
        <w:rPr>
          <w:rFonts w:ascii="Palatino Linotype" w:hAnsi="Palatino Linotype" w:cs="Arial"/>
          <w:i/>
          <w:sz w:val="22"/>
          <w:szCs w:val="22"/>
        </w:rPr>
      </w:pPr>
      <w:r w:rsidRPr="00E5265E">
        <w:rPr>
          <w:rFonts w:ascii="Palatino Linotype" w:hAnsi="Palatino Linotype" w:cs="Arial"/>
          <w:i/>
          <w:sz w:val="22"/>
          <w:szCs w:val="22"/>
        </w:rPr>
        <w:t xml:space="preserve">a) La Dirección Jurídico Consultiva; </w:t>
      </w:r>
    </w:p>
    <w:p w14:paraId="3AE8CEB8" w14:textId="77777777" w:rsidR="00E5265E" w:rsidRDefault="00E5265E" w:rsidP="00E5265E">
      <w:pPr>
        <w:tabs>
          <w:tab w:val="left" w:pos="709"/>
        </w:tabs>
        <w:spacing w:line="360" w:lineRule="auto"/>
        <w:ind w:left="627" w:right="474"/>
        <w:jc w:val="both"/>
        <w:rPr>
          <w:rFonts w:ascii="Palatino Linotype" w:hAnsi="Palatino Linotype" w:cs="Arial"/>
          <w:i/>
          <w:sz w:val="22"/>
          <w:szCs w:val="22"/>
        </w:rPr>
      </w:pPr>
      <w:r w:rsidRPr="00E5265E">
        <w:rPr>
          <w:rFonts w:ascii="Palatino Linotype" w:hAnsi="Palatino Linotype" w:cs="Arial"/>
          <w:i/>
          <w:sz w:val="22"/>
          <w:szCs w:val="22"/>
        </w:rPr>
        <w:t xml:space="preserve">b) La Dirección de Organización; </w:t>
      </w:r>
    </w:p>
    <w:p w14:paraId="2AC0F74B" w14:textId="77777777" w:rsidR="00E5265E" w:rsidRDefault="00E5265E" w:rsidP="00E5265E">
      <w:pPr>
        <w:tabs>
          <w:tab w:val="left" w:pos="709"/>
        </w:tabs>
        <w:spacing w:line="360" w:lineRule="auto"/>
        <w:ind w:left="627" w:right="474"/>
        <w:jc w:val="both"/>
        <w:rPr>
          <w:rFonts w:ascii="Palatino Linotype" w:hAnsi="Palatino Linotype" w:cs="Arial"/>
          <w:i/>
          <w:sz w:val="22"/>
          <w:szCs w:val="22"/>
        </w:rPr>
      </w:pPr>
      <w:r w:rsidRPr="00E5265E">
        <w:rPr>
          <w:rFonts w:ascii="Palatino Linotype" w:hAnsi="Palatino Linotype" w:cs="Arial"/>
          <w:i/>
          <w:sz w:val="22"/>
          <w:szCs w:val="22"/>
        </w:rPr>
        <w:t xml:space="preserve">c) La Dirección de Participación Ciudadana; </w:t>
      </w:r>
    </w:p>
    <w:p w14:paraId="41852261" w14:textId="77777777" w:rsidR="00E5265E" w:rsidRDefault="00E5265E" w:rsidP="00E5265E">
      <w:pPr>
        <w:tabs>
          <w:tab w:val="left" w:pos="709"/>
        </w:tabs>
        <w:spacing w:line="360" w:lineRule="auto"/>
        <w:ind w:left="627" w:right="474"/>
        <w:jc w:val="both"/>
        <w:rPr>
          <w:rFonts w:ascii="Palatino Linotype" w:hAnsi="Palatino Linotype" w:cs="Arial"/>
          <w:i/>
          <w:sz w:val="22"/>
          <w:szCs w:val="22"/>
        </w:rPr>
      </w:pPr>
      <w:r w:rsidRPr="00E5265E">
        <w:rPr>
          <w:rFonts w:ascii="Palatino Linotype" w:hAnsi="Palatino Linotype" w:cs="Arial"/>
          <w:i/>
          <w:sz w:val="22"/>
          <w:szCs w:val="22"/>
        </w:rPr>
        <w:t xml:space="preserve">d) La Dirección de Partidos Políticos; </w:t>
      </w:r>
    </w:p>
    <w:p w14:paraId="625AAEFC" w14:textId="77777777" w:rsidR="00E5265E" w:rsidRDefault="00E5265E" w:rsidP="00E5265E">
      <w:pPr>
        <w:tabs>
          <w:tab w:val="left" w:pos="709"/>
        </w:tabs>
        <w:spacing w:line="360" w:lineRule="auto"/>
        <w:ind w:left="627" w:right="474"/>
        <w:jc w:val="both"/>
        <w:rPr>
          <w:rFonts w:ascii="Palatino Linotype" w:hAnsi="Palatino Linotype" w:cs="Arial"/>
          <w:i/>
          <w:sz w:val="22"/>
          <w:szCs w:val="22"/>
        </w:rPr>
      </w:pPr>
      <w:r w:rsidRPr="00E5265E">
        <w:rPr>
          <w:rFonts w:ascii="Palatino Linotype" w:hAnsi="Palatino Linotype" w:cs="Arial"/>
          <w:i/>
          <w:sz w:val="22"/>
          <w:szCs w:val="22"/>
        </w:rPr>
        <w:t xml:space="preserve">e) La Dirección de Administración; </w:t>
      </w:r>
    </w:p>
    <w:p w14:paraId="31C5C658" w14:textId="77777777" w:rsidR="00E5265E" w:rsidRDefault="00E5265E" w:rsidP="00E5265E">
      <w:pPr>
        <w:tabs>
          <w:tab w:val="left" w:pos="709"/>
        </w:tabs>
        <w:spacing w:line="360" w:lineRule="auto"/>
        <w:ind w:left="627" w:right="474"/>
        <w:jc w:val="both"/>
        <w:rPr>
          <w:rFonts w:ascii="Palatino Linotype" w:hAnsi="Palatino Linotype" w:cs="Arial"/>
          <w:i/>
          <w:sz w:val="22"/>
          <w:szCs w:val="22"/>
        </w:rPr>
      </w:pPr>
      <w:r w:rsidRPr="00E5265E">
        <w:rPr>
          <w:rFonts w:ascii="Palatino Linotype" w:hAnsi="Palatino Linotype" w:cs="Arial"/>
          <w:i/>
          <w:sz w:val="22"/>
          <w:szCs w:val="22"/>
        </w:rPr>
        <w:t xml:space="preserve">f) La Unidad Técnica para la Administración de Personal Electoral; </w:t>
      </w:r>
    </w:p>
    <w:p w14:paraId="444D6F55" w14:textId="77777777" w:rsidR="00E5265E" w:rsidRDefault="00E5265E" w:rsidP="00E5265E">
      <w:pPr>
        <w:tabs>
          <w:tab w:val="left" w:pos="709"/>
        </w:tabs>
        <w:spacing w:line="360" w:lineRule="auto"/>
        <w:ind w:left="627" w:right="474"/>
        <w:jc w:val="both"/>
        <w:rPr>
          <w:rFonts w:ascii="Palatino Linotype" w:hAnsi="Palatino Linotype" w:cs="Arial"/>
          <w:i/>
          <w:sz w:val="22"/>
          <w:szCs w:val="22"/>
        </w:rPr>
      </w:pPr>
      <w:r w:rsidRPr="00E5265E">
        <w:rPr>
          <w:rFonts w:ascii="Palatino Linotype" w:hAnsi="Palatino Linotype" w:cs="Arial"/>
          <w:i/>
          <w:sz w:val="22"/>
          <w:szCs w:val="22"/>
        </w:rPr>
        <w:t xml:space="preserve">g) La Unidad de Informática y Estadística; y </w:t>
      </w:r>
    </w:p>
    <w:p w14:paraId="466B3CA5" w14:textId="0D09995E" w:rsidR="00E5265E" w:rsidRPr="00E5265E" w:rsidRDefault="00E5265E" w:rsidP="00E5265E">
      <w:pPr>
        <w:tabs>
          <w:tab w:val="left" w:pos="709"/>
        </w:tabs>
        <w:spacing w:line="360" w:lineRule="auto"/>
        <w:ind w:left="627" w:right="474"/>
        <w:jc w:val="both"/>
        <w:rPr>
          <w:rFonts w:ascii="Palatino Linotype" w:hAnsi="Palatino Linotype" w:cs="Arial"/>
          <w:i/>
          <w:sz w:val="22"/>
          <w:szCs w:val="22"/>
        </w:rPr>
      </w:pPr>
      <w:r w:rsidRPr="00E5265E">
        <w:rPr>
          <w:rFonts w:ascii="Palatino Linotype" w:hAnsi="Palatino Linotype" w:cs="Arial"/>
          <w:i/>
          <w:sz w:val="22"/>
          <w:szCs w:val="22"/>
        </w:rPr>
        <w:t>h) La Unidad de Transparencia. La Unidad de Género estará adscrita a la Presidencia del Consejo General.</w:t>
      </w:r>
      <w:r>
        <w:rPr>
          <w:rFonts w:ascii="Palatino Linotype" w:hAnsi="Palatino Linotype" w:cs="Arial"/>
          <w:i/>
          <w:sz w:val="22"/>
          <w:szCs w:val="22"/>
        </w:rPr>
        <w:t>” (Sic)</w:t>
      </w:r>
    </w:p>
    <w:p w14:paraId="6034EA4D" w14:textId="1F778AA7" w:rsidR="00E5265E" w:rsidRDefault="00E5265E" w:rsidP="00E5265E">
      <w:pPr>
        <w:tabs>
          <w:tab w:val="left" w:pos="709"/>
        </w:tabs>
        <w:spacing w:line="360" w:lineRule="auto"/>
        <w:ind w:left="627" w:right="474"/>
        <w:jc w:val="both"/>
        <w:rPr>
          <w:rFonts w:ascii="Palatino Linotype" w:hAnsi="Palatino Linotype" w:cs="Arial"/>
          <w:i/>
          <w:sz w:val="22"/>
          <w:szCs w:val="22"/>
        </w:rPr>
      </w:pPr>
      <w:r w:rsidRPr="00E5265E">
        <w:rPr>
          <w:rFonts w:ascii="Palatino Linotype" w:hAnsi="Palatino Linotype" w:cs="Arial"/>
          <w:i/>
          <w:sz w:val="22"/>
          <w:szCs w:val="22"/>
        </w:rPr>
        <w:t xml:space="preserve">Artículo 85. La organización y desarrollo de la elección de candidaturas independientes será responsabilidad de las direcciones ejecutivas y unidades técnicas del Instituto, </w:t>
      </w:r>
      <w:r w:rsidRPr="00E5265E">
        <w:rPr>
          <w:rFonts w:ascii="Palatino Linotype" w:hAnsi="Palatino Linotype" w:cs="Arial"/>
          <w:b/>
          <w:i/>
          <w:sz w:val="22"/>
          <w:szCs w:val="22"/>
        </w:rPr>
        <w:t>en lo concerniente a los órganos desconcentrados, serán competentes</w:t>
      </w:r>
      <w:r w:rsidRPr="00E5265E">
        <w:rPr>
          <w:rFonts w:ascii="Palatino Linotype" w:hAnsi="Palatino Linotype" w:cs="Arial"/>
          <w:i/>
          <w:sz w:val="22"/>
          <w:szCs w:val="22"/>
        </w:rPr>
        <w:t xml:space="preserve"> los consejos y </w:t>
      </w:r>
      <w:r w:rsidRPr="00E5265E">
        <w:rPr>
          <w:rFonts w:ascii="Palatino Linotype" w:hAnsi="Palatino Linotype" w:cs="Arial"/>
          <w:b/>
          <w:i/>
          <w:sz w:val="22"/>
          <w:szCs w:val="22"/>
        </w:rPr>
        <w:t>juntas distritales</w:t>
      </w:r>
      <w:r w:rsidRPr="00E5265E">
        <w:rPr>
          <w:rFonts w:ascii="Palatino Linotype" w:hAnsi="Palatino Linotype" w:cs="Arial"/>
          <w:i/>
          <w:sz w:val="22"/>
          <w:szCs w:val="22"/>
        </w:rPr>
        <w:t xml:space="preserve"> y municipales que correspondan. </w:t>
      </w:r>
    </w:p>
    <w:p w14:paraId="019DF779" w14:textId="7CB722F5" w:rsidR="00085172" w:rsidRDefault="00E5265E" w:rsidP="00E5265E">
      <w:pPr>
        <w:tabs>
          <w:tab w:val="left" w:pos="709"/>
        </w:tabs>
        <w:spacing w:line="360" w:lineRule="auto"/>
        <w:ind w:left="627" w:right="474"/>
        <w:jc w:val="both"/>
        <w:rPr>
          <w:rFonts w:ascii="Palatino Linotype" w:hAnsi="Palatino Linotype" w:cs="Arial"/>
          <w:i/>
          <w:sz w:val="22"/>
          <w:szCs w:val="22"/>
        </w:rPr>
      </w:pPr>
      <w:r w:rsidRPr="00E5265E">
        <w:rPr>
          <w:rFonts w:ascii="Palatino Linotype" w:hAnsi="Palatino Linotype" w:cs="Arial"/>
          <w:i/>
          <w:sz w:val="22"/>
          <w:szCs w:val="22"/>
        </w:rPr>
        <w:t>El Consejo General emitirá las reglas de operación respectivas, utilizando racionalmente las unidades administrativas del mismo, conforme a la definición de sus atribuciones, observando para ello las disposiciones de este Código y demás normativa aplicable.</w:t>
      </w:r>
    </w:p>
    <w:p w14:paraId="18C4FFC0" w14:textId="21B918C3" w:rsidR="00E5265E" w:rsidRDefault="00E5265E" w:rsidP="00E5265E">
      <w:pPr>
        <w:tabs>
          <w:tab w:val="left" w:pos="709"/>
        </w:tabs>
        <w:spacing w:line="360" w:lineRule="auto"/>
        <w:ind w:left="627" w:right="474"/>
        <w:jc w:val="both"/>
        <w:rPr>
          <w:rFonts w:ascii="Palatino Linotype" w:hAnsi="Palatino Linotype" w:cs="Arial"/>
          <w:i/>
          <w:sz w:val="22"/>
          <w:szCs w:val="22"/>
        </w:rPr>
      </w:pPr>
      <w:r>
        <w:rPr>
          <w:rFonts w:ascii="Palatino Linotype" w:hAnsi="Palatino Linotype" w:cs="Arial"/>
          <w:i/>
          <w:sz w:val="22"/>
          <w:szCs w:val="22"/>
        </w:rPr>
        <w:t>…</w:t>
      </w:r>
    </w:p>
    <w:p w14:paraId="1447866A" w14:textId="77777777" w:rsidR="00E5265E" w:rsidRDefault="00E5265E" w:rsidP="00E5265E">
      <w:pPr>
        <w:tabs>
          <w:tab w:val="left" w:pos="709"/>
        </w:tabs>
        <w:spacing w:line="360" w:lineRule="auto"/>
        <w:ind w:left="627" w:right="474"/>
        <w:jc w:val="both"/>
        <w:rPr>
          <w:rFonts w:ascii="Palatino Linotype" w:hAnsi="Palatino Linotype" w:cs="Arial"/>
          <w:i/>
          <w:sz w:val="22"/>
          <w:szCs w:val="22"/>
        </w:rPr>
      </w:pPr>
      <w:r w:rsidRPr="00E5265E">
        <w:rPr>
          <w:rFonts w:ascii="Palatino Linotype" w:hAnsi="Palatino Linotype" w:cs="Arial"/>
          <w:i/>
          <w:sz w:val="22"/>
          <w:szCs w:val="22"/>
        </w:rPr>
        <w:t xml:space="preserve">TÍTULO TERCERO </w:t>
      </w:r>
    </w:p>
    <w:p w14:paraId="279F039B" w14:textId="77777777" w:rsidR="00E5265E" w:rsidRDefault="00E5265E" w:rsidP="00E5265E">
      <w:pPr>
        <w:tabs>
          <w:tab w:val="left" w:pos="709"/>
        </w:tabs>
        <w:spacing w:line="360" w:lineRule="auto"/>
        <w:ind w:left="627" w:right="474"/>
        <w:jc w:val="both"/>
        <w:rPr>
          <w:rFonts w:ascii="Palatino Linotype" w:hAnsi="Palatino Linotype" w:cs="Arial"/>
          <w:i/>
          <w:sz w:val="22"/>
          <w:szCs w:val="22"/>
        </w:rPr>
      </w:pPr>
      <w:r w:rsidRPr="00E5265E">
        <w:rPr>
          <w:rFonts w:ascii="Palatino Linotype" w:hAnsi="Palatino Linotype" w:cs="Arial"/>
          <w:i/>
          <w:sz w:val="22"/>
          <w:szCs w:val="22"/>
        </w:rPr>
        <w:t xml:space="preserve">De los órganos desconcentrados </w:t>
      </w:r>
    </w:p>
    <w:p w14:paraId="54562973" w14:textId="77777777" w:rsidR="00E5265E" w:rsidRDefault="00E5265E" w:rsidP="00E5265E">
      <w:pPr>
        <w:tabs>
          <w:tab w:val="left" w:pos="709"/>
        </w:tabs>
        <w:spacing w:line="360" w:lineRule="auto"/>
        <w:ind w:left="627" w:right="474"/>
        <w:jc w:val="both"/>
        <w:rPr>
          <w:rFonts w:ascii="Palatino Linotype" w:hAnsi="Palatino Linotype" w:cs="Arial"/>
          <w:i/>
          <w:sz w:val="22"/>
          <w:szCs w:val="22"/>
        </w:rPr>
      </w:pPr>
      <w:r w:rsidRPr="00E5265E">
        <w:rPr>
          <w:rFonts w:ascii="Palatino Linotype" w:hAnsi="Palatino Linotype" w:cs="Arial"/>
          <w:i/>
          <w:sz w:val="22"/>
          <w:szCs w:val="22"/>
        </w:rPr>
        <w:t xml:space="preserve">CAPÍTULO PRIMERO </w:t>
      </w:r>
    </w:p>
    <w:p w14:paraId="76827888" w14:textId="77777777" w:rsidR="00E5265E" w:rsidRDefault="00E5265E" w:rsidP="00E5265E">
      <w:pPr>
        <w:tabs>
          <w:tab w:val="left" w:pos="709"/>
        </w:tabs>
        <w:spacing w:line="360" w:lineRule="auto"/>
        <w:ind w:left="627" w:right="474"/>
        <w:jc w:val="both"/>
        <w:rPr>
          <w:rFonts w:ascii="Palatino Linotype" w:hAnsi="Palatino Linotype" w:cs="Arial"/>
          <w:i/>
          <w:sz w:val="22"/>
          <w:szCs w:val="22"/>
        </w:rPr>
      </w:pPr>
      <w:r w:rsidRPr="00E5265E">
        <w:rPr>
          <w:rFonts w:ascii="Palatino Linotype" w:hAnsi="Palatino Linotype" w:cs="Arial"/>
          <w:i/>
          <w:sz w:val="22"/>
          <w:szCs w:val="22"/>
        </w:rPr>
        <w:t xml:space="preserve">De los órganos en los distritos electorales </w:t>
      </w:r>
    </w:p>
    <w:p w14:paraId="55B89214" w14:textId="77777777" w:rsidR="00E5265E" w:rsidRPr="00E5265E" w:rsidRDefault="00E5265E" w:rsidP="00E5265E">
      <w:pPr>
        <w:tabs>
          <w:tab w:val="left" w:pos="709"/>
        </w:tabs>
        <w:spacing w:line="360" w:lineRule="auto"/>
        <w:ind w:left="627" w:right="474"/>
        <w:jc w:val="both"/>
        <w:rPr>
          <w:rFonts w:ascii="Palatino Linotype" w:hAnsi="Palatino Linotype" w:cs="Arial"/>
          <w:b/>
          <w:i/>
          <w:sz w:val="22"/>
          <w:szCs w:val="22"/>
        </w:rPr>
      </w:pPr>
      <w:r w:rsidRPr="00E5265E">
        <w:rPr>
          <w:rFonts w:ascii="Palatino Linotype" w:hAnsi="Palatino Linotype" w:cs="Arial"/>
          <w:b/>
          <w:i/>
          <w:sz w:val="22"/>
          <w:szCs w:val="22"/>
        </w:rPr>
        <w:t xml:space="preserve">Artículo 205. En cada uno de los distritos electorales el Instituto contará con los siguientes órganos: </w:t>
      </w:r>
    </w:p>
    <w:p w14:paraId="2B4B25DA" w14:textId="77777777" w:rsidR="00E5265E" w:rsidRPr="00E5265E" w:rsidRDefault="00E5265E" w:rsidP="00E5265E">
      <w:pPr>
        <w:tabs>
          <w:tab w:val="left" w:pos="709"/>
        </w:tabs>
        <w:spacing w:line="360" w:lineRule="auto"/>
        <w:ind w:left="627" w:right="474"/>
        <w:jc w:val="both"/>
        <w:rPr>
          <w:rFonts w:ascii="Palatino Linotype" w:hAnsi="Palatino Linotype" w:cs="Arial"/>
          <w:b/>
          <w:i/>
          <w:sz w:val="22"/>
          <w:szCs w:val="22"/>
        </w:rPr>
      </w:pPr>
      <w:r w:rsidRPr="00E5265E">
        <w:rPr>
          <w:rFonts w:ascii="Palatino Linotype" w:hAnsi="Palatino Linotype" w:cs="Arial"/>
          <w:b/>
          <w:i/>
          <w:sz w:val="22"/>
          <w:szCs w:val="22"/>
        </w:rPr>
        <w:lastRenderedPageBreak/>
        <w:t xml:space="preserve">I. La Junta Distrital. </w:t>
      </w:r>
    </w:p>
    <w:p w14:paraId="0D62843A" w14:textId="77777777" w:rsidR="00E5265E" w:rsidRDefault="00E5265E" w:rsidP="00E5265E">
      <w:pPr>
        <w:tabs>
          <w:tab w:val="left" w:pos="709"/>
        </w:tabs>
        <w:spacing w:line="360" w:lineRule="auto"/>
        <w:ind w:left="627" w:right="474"/>
        <w:jc w:val="both"/>
        <w:rPr>
          <w:rFonts w:ascii="Palatino Linotype" w:hAnsi="Palatino Linotype" w:cs="Arial"/>
          <w:i/>
          <w:sz w:val="22"/>
          <w:szCs w:val="22"/>
        </w:rPr>
      </w:pPr>
      <w:r w:rsidRPr="00E5265E">
        <w:rPr>
          <w:rFonts w:ascii="Palatino Linotype" w:hAnsi="Palatino Linotype" w:cs="Arial"/>
          <w:i/>
          <w:sz w:val="22"/>
          <w:szCs w:val="22"/>
        </w:rPr>
        <w:t xml:space="preserve">II. El Consejo Distrital. Los órganos distritales tendrán su sede en la cabecera de cada uno de los distritos electorales. </w:t>
      </w:r>
    </w:p>
    <w:p w14:paraId="54F7A97C" w14:textId="2FB1275C" w:rsidR="00E5265E" w:rsidRPr="00E5265E" w:rsidRDefault="00E5265E" w:rsidP="00E5265E">
      <w:pPr>
        <w:tabs>
          <w:tab w:val="left" w:pos="709"/>
        </w:tabs>
        <w:spacing w:line="360" w:lineRule="auto"/>
        <w:ind w:left="627" w:right="474"/>
        <w:jc w:val="both"/>
        <w:rPr>
          <w:rFonts w:ascii="Palatino Linotype" w:hAnsi="Palatino Linotype" w:cs="Arial"/>
          <w:b/>
          <w:i/>
          <w:sz w:val="22"/>
          <w:szCs w:val="22"/>
        </w:rPr>
      </w:pPr>
      <w:r w:rsidRPr="00E5265E">
        <w:rPr>
          <w:rFonts w:ascii="Palatino Linotype" w:hAnsi="Palatino Linotype" w:cs="Arial"/>
          <w:b/>
          <w:i/>
          <w:sz w:val="22"/>
          <w:szCs w:val="22"/>
        </w:rPr>
        <w:t xml:space="preserve">Artículo 206. Las Juntas Distritales </w:t>
      </w:r>
      <w:r w:rsidRPr="00E5265E">
        <w:rPr>
          <w:rFonts w:ascii="Palatino Linotype" w:hAnsi="Palatino Linotype" w:cs="Arial"/>
          <w:b/>
          <w:i/>
          <w:sz w:val="22"/>
          <w:szCs w:val="22"/>
          <w:u w:val="single"/>
        </w:rPr>
        <w:t>son órganos temporales que se integran para cada proceso electoral ordinario</w:t>
      </w:r>
      <w:r w:rsidRPr="00E5265E">
        <w:rPr>
          <w:rFonts w:ascii="Palatino Linotype" w:hAnsi="Palatino Linotype" w:cs="Arial"/>
          <w:b/>
          <w:i/>
          <w:sz w:val="22"/>
          <w:szCs w:val="22"/>
        </w:rPr>
        <w:t>, por un vocal Ejecutivo, un vocal de Organización Electoral y un Vocal de Capacitación.</w:t>
      </w:r>
      <w:r w:rsidR="009B546E">
        <w:rPr>
          <w:rFonts w:ascii="Palatino Linotype" w:hAnsi="Palatino Linotype" w:cs="Arial"/>
          <w:b/>
          <w:i/>
          <w:sz w:val="22"/>
          <w:szCs w:val="22"/>
        </w:rPr>
        <w:t>”(Sic)</w:t>
      </w:r>
    </w:p>
    <w:p w14:paraId="5E52CD2E" w14:textId="77777777" w:rsidR="00E5265E" w:rsidRPr="00E5265E" w:rsidRDefault="00E5265E" w:rsidP="00E5265E">
      <w:pPr>
        <w:tabs>
          <w:tab w:val="left" w:pos="709"/>
        </w:tabs>
        <w:spacing w:line="360" w:lineRule="auto"/>
        <w:ind w:left="627" w:right="474"/>
        <w:jc w:val="both"/>
        <w:rPr>
          <w:rFonts w:ascii="Palatino Linotype" w:hAnsi="Palatino Linotype" w:cs="Arial"/>
          <w:i/>
          <w:sz w:val="22"/>
          <w:szCs w:val="22"/>
        </w:rPr>
      </w:pPr>
    </w:p>
    <w:p w14:paraId="6116D9EB" w14:textId="467FF335" w:rsidR="009B546E" w:rsidRPr="009B546E" w:rsidRDefault="00E5265E" w:rsidP="009B546E">
      <w:pPr>
        <w:pStyle w:val="Prrafodelista"/>
        <w:tabs>
          <w:tab w:val="left" w:pos="0"/>
        </w:tabs>
        <w:spacing w:line="360" w:lineRule="auto"/>
        <w:ind w:left="0" w:right="49"/>
        <w:jc w:val="both"/>
        <w:rPr>
          <w:rFonts w:ascii="Palatino Linotype" w:hAnsi="Palatino Linotype" w:cs="Arial"/>
        </w:rPr>
      </w:pPr>
      <w:r>
        <w:rPr>
          <w:rFonts w:ascii="Palatino Linotype" w:hAnsi="Palatino Linotype" w:cs="Arial"/>
        </w:rPr>
        <w:t xml:space="preserve">Por consiguiente, a trayendo de nueva cuenta los artículos </w:t>
      </w:r>
      <w:r w:rsidR="00EC7395" w:rsidRPr="00B51B20">
        <w:rPr>
          <w:rFonts w:ascii="Palatino Linotype" w:hAnsi="Palatino Linotype" w:cs="Arial"/>
        </w:rPr>
        <w:t>413 del Código</w:t>
      </w:r>
      <w:r w:rsidR="00EC7395">
        <w:rPr>
          <w:rFonts w:ascii="Palatino Linotype" w:hAnsi="Palatino Linotype" w:cs="Arial"/>
        </w:rPr>
        <w:t xml:space="preserve"> Electoral del Estado de México y </w:t>
      </w:r>
      <w:r w:rsidR="00EC7395" w:rsidRPr="00B51B20">
        <w:rPr>
          <w:rFonts w:ascii="Palatino Linotype" w:hAnsi="Palatino Linotype" w:cs="Arial"/>
        </w:rPr>
        <w:t>61</w:t>
      </w:r>
      <w:r w:rsidR="00EC7395">
        <w:rPr>
          <w:rFonts w:ascii="Palatino Linotype" w:hAnsi="Palatino Linotype" w:cs="Arial"/>
        </w:rPr>
        <w:t xml:space="preserve"> del Reglamento Interno del Instituto Electoral del Estado d</w:t>
      </w:r>
      <w:r w:rsidR="00EC7395" w:rsidRPr="00EC7395">
        <w:rPr>
          <w:rFonts w:ascii="Palatino Linotype" w:hAnsi="Palatino Linotype" w:cs="Arial"/>
        </w:rPr>
        <w:t>e México</w:t>
      </w:r>
      <w:r w:rsidR="00EC7395">
        <w:rPr>
          <w:rFonts w:ascii="Palatino Linotype" w:hAnsi="Palatino Linotype" w:cs="Arial"/>
        </w:rPr>
        <w:t xml:space="preserve">, previamente señalados, podemos decir que al ser la Juntas Distritales órganos descentralizados o desconcentrados del </w:t>
      </w:r>
      <w:r w:rsidR="00EC7395" w:rsidRPr="00EC7395">
        <w:rPr>
          <w:rFonts w:ascii="Palatino Linotype" w:hAnsi="Palatino Linotype" w:cs="Arial"/>
          <w:b/>
        </w:rPr>
        <w:t>SUJETO OBLIGADO</w:t>
      </w:r>
      <w:r w:rsidR="00EC7395">
        <w:rPr>
          <w:rFonts w:ascii="Palatino Linotype" w:hAnsi="Palatino Linotype" w:cs="Arial"/>
        </w:rPr>
        <w:t>, que se instalan únicamente en los procesos electorales ordinarios, son temporales, cuyo horario es</w:t>
      </w:r>
      <w:r w:rsidR="009B546E">
        <w:rPr>
          <w:rFonts w:ascii="Palatino Linotype" w:hAnsi="Palatino Linotype" w:cs="Arial"/>
        </w:rPr>
        <w:t>,</w:t>
      </w:r>
      <w:r w:rsidR="00EC7395">
        <w:rPr>
          <w:rFonts w:ascii="Palatino Linotype" w:hAnsi="Palatino Linotype" w:cs="Arial"/>
        </w:rPr>
        <w:t xml:space="preserve"> como así lo señaló puntualmente la Dirección de Administración del Instituto Electoral del Estado de México, </w:t>
      </w:r>
      <w:r w:rsidR="009B546E" w:rsidRPr="009B546E">
        <w:rPr>
          <w:rFonts w:ascii="Palatino Linotype" w:hAnsi="Palatino Linotype" w:cs="Arial"/>
        </w:rPr>
        <w:t>de veinticuatro horas de lunes a domingo, con excepción de lo</w:t>
      </w:r>
      <w:r w:rsidR="009B546E">
        <w:rPr>
          <w:rFonts w:ascii="Palatino Linotype" w:hAnsi="Palatino Linotype" w:cs="Arial"/>
        </w:rPr>
        <w:t>s días de descanso obligatorio, sin que se observe que el artículo 61, referido, le sea aplicable a las Juntas Distritales como órgano desconcentrado, ya que esté se entiende que es aplicable al personal centralizado del Instituto que tiene un h</w:t>
      </w:r>
      <w:r w:rsidR="00BE27DF">
        <w:rPr>
          <w:rFonts w:ascii="Palatino Linotype" w:hAnsi="Palatino Linotype" w:cs="Arial"/>
        </w:rPr>
        <w:t xml:space="preserve">orario fijo de entrada y salida; además, que debido a la pandemia derivada del virus </w:t>
      </w:r>
      <w:r w:rsidR="00BE27DF" w:rsidRPr="00BE27DF">
        <w:rPr>
          <w:rFonts w:ascii="Palatino Linotype" w:hAnsi="Palatino Linotype" w:cs="Arial"/>
        </w:rPr>
        <w:t>COVID-19</w:t>
      </w:r>
      <w:r w:rsidR="00BE27DF">
        <w:rPr>
          <w:rFonts w:ascii="Palatino Linotype" w:hAnsi="Palatino Linotype" w:cs="Arial"/>
        </w:rPr>
        <w:t xml:space="preserve">, como así lo puntualizó también el </w:t>
      </w:r>
      <w:r w:rsidR="00BE27DF" w:rsidRPr="00BE27DF">
        <w:rPr>
          <w:rFonts w:ascii="Palatino Linotype" w:hAnsi="Palatino Linotype" w:cs="Arial"/>
          <w:b/>
        </w:rPr>
        <w:t>SUJETO OBLIGADO</w:t>
      </w:r>
      <w:r w:rsidR="00BE27DF">
        <w:rPr>
          <w:rFonts w:ascii="Palatino Linotype" w:hAnsi="Palatino Linotype" w:cs="Arial"/>
        </w:rPr>
        <w:t>, se le dio prioridad al trabajo a distancia de los órganos descentralizados.</w:t>
      </w:r>
    </w:p>
    <w:p w14:paraId="7BDD8D13" w14:textId="77777777" w:rsidR="009B546E" w:rsidRDefault="009B546E" w:rsidP="009248F0">
      <w:pPr>
        <w:pStyle w:val="Prrafodelista"/>
        <w:tabs>
          <w:tab w:val="left" w:pos="0"/>
        </w:tabs>
        <w:spacing w:line="360" w:lineRule="auto"/>
        <w:ind w:left="0" w:right="49"/>
        <w:jc w:val="both"/>
        <w:rPr>
          <w:rFonts w:ascii="Palatino Linotype" w:hAnsi="Palatino Linotype" w:cs="Arial"/>
        </w:rPr>
      </w:pPr>
    </w:p>
    <w:p w14:paraId="7C485E76" w14:textId="1486364B" w:rsidR="006F54CC" w:rsidRPr="00B51B20" w:rsidRDefault="006F54CC" w:rsidP="009248F0">
      <w:pPr>
        <w:pStyle w:val="Prrafodelista"/>
        <w:tabs>
          <w:tab w:val="left" w:pos="0"/>
        </w:tabs>
        <w:spacing w:line="360" w:lineRule="auto"/>
        <w:ind w:left="0" w:right="49"/>
        <w:jc w:val="both"/>
        <w:rPr>
          <w:rFonts w:ascii="Palatino Linotype" w:hAnsi="Palatino Linotype" w:cs="Arial"/>
        </w:rPr>
      </w:pPr>
      <w:r w:rsidRPr="00B51B20">
        <w:rPr>
          <w:rFonts w:ascii="Palatino Linotype" w:hAnsi="Palatino Linotype" w:cs="Arial"/>
        </w:rPr>
        <w:t xml:space="preserve">Máxime, que el área del </w:t>
      </w:r>
      <w:r w:rsidRPr="00B51B20">
        <w:rPr>
          <w:rFonts w:ascii="Palatino Linotype" w:hAnsi="Palatino Linotype" w:cs="Arial"/>
          <w:b/>
        </w:rPr>
        <w:t>SUJETO OBLIGADO</w:t>
      </w:r>
      <w:r w:rsidRPr="00B51B20">
        <w:rPr>
          <w:rFonts w:ascii="Palatino Linotype" w:hAnsi="Palatino Linotype" w:cs="Arial"/>
        </w:rPr>
        <w:t xml:space="preserve"> que se pronunció fue la Dirección de Administración, quien es la competente para generar la información solicitada por el </w:t>
      </w:r>
      <w:r w:rsidRPr="00B51B20">
        <w:rPr>
          <w:rFonts w:ascii="Palatino Linotype" w:hAnsi="Palatino Linotype" w:cs="Arial"/>
          <w:b/>
        </w:rPr>
        <w:t>RECURRENTE</w:t>
      </w:r>
      <w:r w:rsidRPr="00B51B20">
        <w:rPr>
          <w:rFonts w:ascii="Palatino Linotype" w:hAnsi="Palatino Linotype" w:cs="Arial"/>
        </w:rPr>
        <w:t xml:space="preserve">, </w:t>
      </w:r>
      <w:r w:rsidR="00C379C5" w:rsidRPr="00B51B20">
        <w:rPr>
          <w:rFonts w:ascii="Palatino Linotype" w:hAnsi="Palatino Linotype" w:cs="Arial"/>
        </w:rPr>
        <w:t>por así determinarlo</w:t>
      </w:r>
      <w:r w:rsidRPr="00B51B20">
        <w:rPr>
          <w:rFonts w:ascii="Palatino Linotype" w:hAnsi="Palatino Linotype" w:cs="Arial"/>
        </w:rPr>
        <w:t xml:space="preserve"> los artículos </w:t>
      </w:r>
      <w:r w:rsidR="00C379C5" w:rsidRPr="00B51B20">
        <w:rPr>
          <w:rFonts w:ascii="Palatino Linotype" w:hAnsi="Palatino Linotype" w:cs="Arial"/>
        </w:rPr>
        <w:t>62 y 69 del Reglamento Interno del Instituto Electoral del Estado de México, y 203 del Código Electoral del Estado de México, que señalan:</w:t>
      </w:r>
    </w:p>
    <w:p w14:paraId="7F5CE061" w14:textId="77777777" w:rsidR="00C379C5" w:rsidRPr="00B51B20" w:rsidRDefault="00C379C5" w:rsidP="009248F0">
      <w:pPr>
        <w:pStyle w:val="Prrafodelista"/>
        <w:tabs>
          <w:tab w:val="left" w:pos="0"/>
        </w:tabs>
        <w:spacing w:line="360" w:lineRule="auto"/>
        <w:ind w:left="0" w:right="49"/>
        <w:jc w:val="both"/>
        <w:rPr>
          <w:rFonts w:ascii="Palatino Linotype" w:hAnsi="Palatino Linotype" w:cs="Arial"/>
        </w:rPr>
      </w:pPr>
    </w:p>
    <w:p w14:paraId="2918F1D6" w14:textId="77777777" w:rsidR="00C379C5" w:rsidRPr="00B51B20" w:rsidRDefault="00C379C5" w:rsidP="00C379C5">
      <w:pPr>
        <w:tabs>
          <w:tab w:val="left" w:pos="709"/>
        </w:tabs>
        <w:spacing w:line="360" w:lineRule="auto"/>
        <w:ind w:left="627" w:right="474"/>
        <w:jc w:val="both"/>
        <w:rPr>
          <w:rFonts w:ascii="Palatino Linotype" w:hAnsi="Palatino Linotype" w:cs="Arial"/>
          <w:i/>
          <w:sz w:val="22"/>
          <w:szCs w:val="22"/>
        </w:rPr>
      </w:pPr>
      <w:r w:rsidRPr="00B51B20">
        <w:rPr>
          <w:rFonts w:ascii="Palatino Linotype" w:hAnsi="Palatino Linotype" w:cs="Arial"/>
          <w:i/>
          <w:sz w:val="22"/>
          <w:szCs w:val="22"/>
        </w:rPr>
        <w:lastRenderedPageBreak/>
        <w:t xml:space="preserve">“Artículo 62. </w:t>
      </w:r>
      <w:r w:rsidRPr="00B51B20">
        <w:rPr>
          <w:rFonts w:ascii="Palatino Linotype" w:hAnsi="Palatino Linotype" w:cs="Arial"/>
          <w:b/>
          <w:i/>
          <w:sz w:val="22"/>
          <w:szCs w:val="22"/>
        </w:rPr>
        <w:t>Los mecanismos o sistemas de control</w:t>
      </w:r>
      <w:r w:rsidRPr="00B51B20">
        <w:rPr>
          <w:rFonts w:ascii="Palatino Linotype" w:hAnsi="Palatino Linotype" w:cs="Arial"/>
          <w:i/>
          <w:sz w:val="22"/>
          <w:szCs w:val="22"/>
        </w:rPr>
        <w:t xml:space="preserve"> de puntualidad y </w:t>
      </w:r>
      <w:r w:rsidRPr="00B51B20">
        <w:rPr>
          <w:rFonts w:ascii="Palatino Linotype" w:hAnsi="Palatino Linotype" w:cs="Arial"/>
          <w:b/>
          <w:i/>
          <w:sz w:val="22"/>
          <w:szCs w:val="22"/>
        </w:rPr>
        <w:t>asistencia</w:t>
      </w:r>
      <w:r w:rsidRPr="00B51B20">
        <w:rPr>
          <w:rFonts w:ascii="Palatino Linotype" w:hAnsi="Palatino Linotype" w:cs="Arial"/>
          <w:i/>
          <w:sz w:val="22"/>
          <w:szCs w:val="22"/>
        </w:rPr>
        <w:t xml:space="preserve"> </w:t>
      </w:r>
      <w:r w:rsidRPr="00B51B20">
        <w:rPr>
          <w:rFonts w:ascii="Palatino Linotype" w:hAnsi="Palatino Linotype" w:cs="Arial"/>
          <w:b/>
          <w:i/>
          <w:sz w:val="22"/>
          <w:szCs w:val="22"/>
        </w:rPr>
        <w:t>serán regulados por la Dirección de Administración</w:t>
      </w:r>
      <w:r w:rsidRPr="00B51B20">
        <w:rPr>
          <w:rFonts w:ascii="Palatino Linotype" w:hAnsi="Palatino Linotype" w:cs="Arial"/>
          <w:i/>
          <w:sz w:val="22"/>
          <w:szCs w:val="22"/>
        </w:rPr>
        <w:t xml:space="preserve"> y supervisados por la Contraloría General.</w:t>
      </w:r>
    </w:p>
    <w:p w14:paraId="3D025750" w14:textId="77777777" w:rsidR="00C379C5" w:rsidRPr="00B51B20" w:rsidRDefault="00C379C5" w:rsidP="00C379C5">
      <w:pPr>
        <w:tabs>
          <w:tab w:val="left" w:pos="709"/>
        </w:tabs>
        <w:spacing w:line="360" w:lineRule="auto"/>
        <w:ind w:left="627" w:right="474"/>
        <w:jc w:val="both"/>
        <w:rPr>
          <w:rFonts w:ascii="Palatino Linotype" w:hAnsi="Palatino Linotype" w:cs="Arial"/>
          <w:i/>
          <w:sz w:val="22"/>
          <w:szCs w:val="22"/>
        </w:rPr>
      </w:pPr>
      <w:r w:rsidRPr="00B51B20">
        <w:rPr>
          <w:rFonts w:ascii="Palatino Linotype" w:hAnsi="Palatino Linotype" w:cs="Arial"/>
          <w:i/>
          <w:sz w:val="22"/>
          <w:szCs w:val="22"/>
        </w:rPr>
        <w:t>…</w:t>
      </w:r>
    </w:p>
    <w:p w14:paraId="1DDC7739" w14:textId="77777777" w:rsidR="00C379C5" w:rsidRPr="00B51B20" w:rsidRDefault="00C379C5" w:rsidP="00C379C5">
      <w:pPr>
        <w:tabs>
          <w:tab w:val="left" w:pos="709"/>
        </w:tabs>
        <w:spacing w:line="360" w:lineRule="auto"/>
        <w:ind w:left="627" w:right="474"/>
        <w:jc w:val="both"/>
        <w:rPr>
          <w:rFonts w:ascii="Palatino Linotype" w:hAnsi="Palatino Linotype" w:cs="Arial"/>
          <w:b/>
          <w:i/>
          <w:sz w:val="22"/>
          <w:szCs w:val="22"/>
        </w:rPr>
      </w:pPr>
      <w:r w:rsidRPr="00B51B20">
        <w:rPr>
          <w:rFonts w:ascii="Palatino Linotype" w:hAnsi="Palatino Linotype" w:cs="Arial"/>
          <w:i/>
          <w:sz w:val="22"/>
          <w:szCs w:val="22"/>
        </w:rPr>
        <w:t xml:space="preserve">Artículo 69. </w:t>
      </w:r>
      <w:r w:rsidRPr="00B51B20">
        <w:rPr>
          <w:rFonts w:ascii="Palatino Linotype" w:hAnsi="Palatino Linotype" w:cs="Arial"/>
          <w:b/>
          <w:i/>
          <w:sz w:val="22"/>
          <w:szCs w:val="22"/>
        </w:rPr>
        <w:t xml:space="preserve">El reporte o listas de asistencia serán validados de manera mensual por cada área, y deberán contener nombre, firma de conformidad y aceptación del servidor público electoral. </w:t>
      </w:r>
    </w:p>
    <w:p w14:paraId="2DD69369" w14:textId="77777777" w:rsidR="00C379C5" w:rsidRPr="00B51B20" w:rsidRDefault="00C379C5" w:rsidP="00C379C5">
      <w:pPr>
        <w:tabs>
          <w:tab w:val="left" w:pos="709"/>
        </w:tabs>
        <w:spacing w:line="360" w:lineRule="auto"/>
        <w:ind w:left="627" w:right="474"/>
        <w:jc w:val="both"/>
        <w:rPr>
          <w:rFonts w:ascii="Palatino Linotype" w:hAnsi="Palatino Linotype" w:cs="Arial"/>
          <w:b/>
          <w:i/>
          <w:sz w:val="22"/>
          <w:szCs w:val="22"/>
        </w:rPr>
      </w:pPr>
      <w:r w:rsidRPr="00B51B20">
        <w:rPr>
          <w:rFonts w:ascii="Palatino Linotype" w:hAnsi="Palatino Linotype" w:cs="Arial"/>
          <w:b/>
          <w:i/>
          <w:sz w:val="22"/>
          <w:szCs w:val="22"/>
        </w:rPr>
        <w:t xml:space="preserve">Los Directores o Jefes de Unidad según corresponda, recibirán el reporte de su personal, debiendo remitirlo de manera mensual a </w:t>
      </w:r>
      <w:r w:rsidRPr="00B51B20">
        <w:rPr>
          <w:rFonts w:ascii="Palatino Linotype" w:hAnsi="Palatino Linotype" w:cs="Arial"/>
          <w:b/>
          <w:i/>
          <w:sz w:val="22"/>
          <w:szCs w:val="22"/>
          <w:u w:val="single"/>
        </w:rPr>
        <w:t>la Dirección de Administración</w:t>
      </w:r>
      <w:r w:rsidRPr="00B51B20">
        <w:rPr>
          <w:rFonts w:ascii="Palatino Linotype" w:hAnsi="Palatino Linotype" w:cs="Arial"/>
          <w:b/>
          <w:i/>
          <w:sz w:val="22"/>
          <w:szCs w:val="22"/>
        </w:rPr>
        <w:t>, para los trámites correspondientes.</w:t>
      </w:r>
    </w:p>
    <w:p w14:paraId="1BE1E47C" w14:textId="77777777" w:rsidR="00C379C5" w:rsidRPr="00B51B20" w:rsidRDefault="00C379C5" w:rsidP="00C379C5">
      <w:pPr>
        <w:tabs>
          <w:tab w:val="left" w:pos="709"/>
        </w:tabs>
        <w:spacing w:line="360" w:lineRule="auto"/>
        <w:ind w:left="627" w:right="474"/>
        <w:jc w:val="both"/>
        <w:rPr>
          <w:rFonts w:ascii="Palatino Linotype" w:hAnsi="Palatino Linotype" w:cs="Arial"/>
          <w:b/>
          <w:i/>
          <w:sz w:val="22"/>
          <w:szCs w:val="22"/>
        </w:rPr>
      </w:pPr>
    </w:p>
    <w:p w14:paraId="44072B82" w14:textId="77777777" w:rsidR="00B83B96" w:rsidRPr="00B51B20" w:rsidRDefault="00C379C5" w:rsidP="00C379C5">
      <w:pPr>
        <w:tabs>
          <w:tab w:val="left" w:pos="709"/>
        </w:tabs>
        <w:spacing w:line="360" w:lineRule="auto"/>
        <w:ind w:left="627" w:right="474"/>
        <w:jc w:val="both"/>
        <w:rPr>
          <w:rFonts w:ascii="Palatino Linotype" w:hAnsi="Palatino Linotype" w:cs="Arial"/>
          <w:i/>
          <w:sz w:val="22"/>
          <w:szCs w:val="22"/>
        </w:rPr>
      </w:pPr>
      <w:r w:rsidRPr="00B51B20">
        <w:rPr>
          <w:rFonts w:ascii="Palatino Linotype" w:hAnsi="Palatino Linotype" w:cs="Arial"/>
          <w:i/>
          <w:sz w:val="22"/>
          <w:szCs w:val="22"/>
        </w:rPr>
        <w:t xml:space="preserve">Artículo 203. La Dirección de Administración tiene las siguientes atribuciones: </w:t>
      </w:r>
    </w:p>
    <w:p w14:paraId="621CF87C" w14:textId="77777777" w:rsidR="00B83B96" w:rsidRPr="00B51B20" w:rsidRDefault="00C379C5" w:rsidP="00C379C5">
      <w:pPr>
        <w:tabs>
          <w:tab w:val="left" w:pos="709"/>
        </w:tabs>
        <w:spacing w:line="360" w:lineRule="auto"/>
        <w:ind w:left="627" w:right="474"/>
        <w:jc w:val="both"/>
        <w:rPr>
          <w:rFonts w:ascii="Palatino Linotype" w:hAnsi="Palatino Linotype" w:cs="Arial"/>
          <w:i/>
          <w:sz w:val="22"/>
          <w:szCs w:val="22"/>
        </w:rPr>
      </w:pPr>
      <w:r w:rsidRPr="00B51B20">
        <w:rPr>
          <w:rFonts w:ascii="Palatino Linotype" w:hAnsi="Palatino Linotype" w:cs="Arial"/>
          <w:i/>
          <w:sz w:val="22"/>
          <w:szCs w:val="22"/>
        </w:rPr>
        <w:t xml:space="preserve">I. Aplicar las políticas, normas y procedimientos para la administración de los recursos financieros y materiales del Instituto. </w:t>
      </w:r>
    </w:p>
    <w:p w14:paraId="0C759A39" w14:textId="77777777" w:rsidR="00B83B96" w:rsidRPr="00B51B20" w:rsidRDefault="00C379C5" w:rsidP="00C379C5">
      <w:pPr>
        <w:tabs>
          <w:tab w:val="left" w:pos="709"/>
        </w:tabs>
        <w:spacing w:line="360" w:lineRule="auto"/>
        <w:ind w:left="627" w:right="474"/>
        <w:jc w:val="both"/>
        <w:rPr>
          <w:rFonts w:ascii="Palatino Linotype" w:hAnsi="Palatino Linotype" w:cs="Arial"/>
          <w:i/>
          <w:sz w:val="22"/>
          <w:szCs w:val="22"/>
        </w:rPr>
      </w:pPr>
      <w:r w:rsidRPr="00B51B20">
        <w:rPr>
          <w:rFonts w:ascii="Palatino Linotype" w:hAnsi="Palatino Linotype" w:cs="Arial"/>
          <w:i/>
          <w:sz w:val="22"/>
          <w:szCs w:val="22"/>
        </w:rPr>
        <w:t xml:space="preserve">II. Organizar y dirigir la administración de los recursos materiales y financieros, así como la prestación de los servicios generales en el Instituto. </w:t>
      </w:r>
    </w:p>
    <w:p w14:paraId="16AA22C6" w14:textId="77777777" w:rsidR="00B83B96" w:rsidRPr="00B51B20" w:rsidRDefault="00C379C5" w:rsidP="00C379C5">
      <w:pPr>
        <w:tabs>
          <w:tab w:val="left" w:pos="709"/>
        </w:tabs>
        <w:spacing w:line="360" w:lineRule="auto"/>
        <w:ind w:left="627" w:right="474"/>
        <w:jc w:val="both"/>
        <w:rPr>
          <w:rFonts w:ascii="Palatino Linotype" w:hAnsi="Palatino Linotype" w:cs="Arial"/>
          <w:i/>
          <w:sz w:val="22"/>
          <w:szCs w:val="22"/>
        </w:rPr>
      </w:pPr>
      <w:r w:rsidRPr="00B51B20">
        <w:rPr>
          <w:rFonts w:ascii="Palatino Linotype" w:hAnsi="Palatino Linotype" w:cs="Arial"/>
          <w:i/>
          <w:sz w:val="22"/>
          <w:szCs w:val="22"/>
        </w:rPr>
        <w:t xml:space="preserve">III. Formular el anteproyecto anual de presupuesto del Instituto. </w:t>
      </w:r>
    </w:p>
    <w:p w14:paraId="1804C3E6" w14:textId="77777777" w:rsidR="00B83B96" w:rsidRPr="00B51B20" w:rsidRDefault="00C379C5" w:rsidP="00C379C5">
      <w:pPr>
        <w:tabs>
          <w:tab w:val="left" w:pos="709"/>
        </w:tabs>
        <w:spacing w:line="360" w:lineRule="auto"/>
        <w:ind w:left="627" w:right="474"/>
        <w:jc w:val="both"/>
        <w:rPr>
          <w:rFonts w:ascii="Palatino Linotype" w:hAnsi="Palatino Linotype" w:cs="Arial"/>
          <w:i/>
          <w:sz w:val="22"/>
          <w:szCs w:val="22"/>
        </w:rPr>
      </w:pPr>
      <w:r w:rsidRPr="00B51B20">
        <w:rPr>
          <w:rFonts w:ascii="Palatino Linotype" w:hAnsi="Palatino Linotype" w:cs="Arial"/>
          <w:i/>
          <w:sz w:val="22"/>
          <w:szCs w:val="22"/>
        </w:rPr>
        <w:t xml:space="preserve">IV. Establecer y operar los sistemas administrativos para el ejercicio y control del presupuesto. </w:t>
      </w:r>
    </w:p>
    <w:p w14:paraId="09DC0A5A" w14:textId="77777777" w:rsidR="00B83B96" w:rsidRPr="00B51B20" w:rsidRDefault="00C379C5" w:rsidP="00C379C5">
      <w:pPr>
        <w:tabs>
          <w:tab w:val="left" w:pos="709"/>
        </w:tabs>
        <w:spacing w:line="360" w:lineRule="auto"/>
        <w:ind w:left="627" w:right="474"/>
        <w:jc w:val="both"/>
        <w:rPr>
          <w:rFonts w:ascii="Palatino Linotype" w:hAnsi="Palatino Linotype" w:cs="Arial"/>
          <w:i/>
          <w:sz w:val="22"/>
          <w:szCs w:val="22"/>
        </w:rPr>
      </w:pPr>
      <w:r w:rsidRPr="00B51B20">
        <w:rPr>
          <w:rFonts w:ascii="Palatino Linotype" w:hAnsi="Palatino Linotype" w:cs="Arial"/>
          <w:i/>
          <w:sz w:val="22"/>
          <w:szCs w:val="22"/>
        </w:rPr>
        <w:t xml:space="preserve">V. Elaborar el proyecto de manual de organización y el Catálogo de cargos y puestos del Instituto y someterlo para su aprobación a la Junta General, con excepción de los puestos permanentes relacionados con el Servicio Profesional Electoral Nacional. </w:t>
      </w:r>
    </w:p>
    <w:p w14:paraId="5985D039" w14:textId="77777777" w:rsidR="00B83B96" w:rsidRPr="00B51B20" w:rsidRDefault="00C379C5" w:rsidP="00C379C5">
      <w:pPr>
        <w:tabs>
          <w:tab w:val="left" w:pos="709"/>
        </w:tabs>
        <w:spacing w:line="360" w:lineRule="auto"/>
        <w:ind w:left="627" w:right="474"/>
        <w:jc w:val="both"/>
        <w:rPr>
          <w:rFonts w:ascii="Palatino Linotype" w:hAnsi="Palatino Linotype" w:cs="Arial"/>
          <w:b/>
          <w:i/>
          <w:sz w:val="22"/>
          <w:szCs w:val="22"/>
        </w:rPr>
      </w:pPr>
      <w:r w:rsidRPr="00B51B20">
        <w:rPr>
          <w:rFonts w:ascii="Palatino Linotype" w:hAnsi="Palatino Linotype" w:cs="Arial"/>
          <w:b/>
          <w:i/>
          <w:sz w:val="22"/>
          <w:szCs w:val="22"/>
        </w:rPr>
        <w:t xml:space="preserve">VI. Atender las necesidades administrativas de los órganos del Instituto. </w:t>
      </w:r>
    </w:p>
    <w:p w14:paraId="7D91F704" w14:textId="77777777" w:rsidR="00B83B96" w:rsidRPr="00B51B20" w:rsidRDefault="00C379C5" w:rsidP="00C379C5">
      <w:pPr>
        <w:tabs>
          <w:tab w:val="left" w:pos="709"/>
        </w:tabs>
        <w:spacing w:line="360" w:lineRule="auto"/>
        <w:ind w:left="627" w:right="474"/>
        <w:jc w:val="both"/>
        <w:rPr>
          <w:rFonts w:ascii="Palatino Linotype" w:hAnsi="Palatino Linotype" w:cs="Arial"/>
          <w:i/>
          <w:sz w:val="22"/>
          <w:szCs w:val="22"/>
        </w:rPr>
      </w:pPr>
      <w:r w:rsidRPr="00B51B20">
        <w:rPr>
          <w:rFonts w:ascii="Palatino Linotype" w:hAnsi="Palatino Linotype" w:cs="Arial"/>
          <w:i/>
          <w:sz w:val="22"/>
          <w:szCs w:val="22"/>
        </w:rPr>
        <w:t xml:space="preserve">VII. Suministrar a los partidos políticos nacionales o locales con registro y a los candidatos independientes el financiamiento público al que tienen derecho. </w:t>
      </w:r>
    </w:p>
    <w:p w14:paraId="63BE4C43" w14:textId="77777777" w:rsidR="00B83B96" w:rsidRPr="00B51B20" w:rsidRDefault="00C379C5" w:rsidP="00C379C5">
      <w:pPr>
        <w:tabs>
          <w:tab w:val="left" w:pos="709"/>
        </w:tabs>
        <w:spacing w:line="360" w:lineRule="auto"/>
        <w:ind w:left="627" w:right="474"/>
        <w:jc w:val="both"/>
        <w:rPr>
          <w:rFonts w:ascii="Palatino Linotype" w:hAnsi="Palatino Linotype" w:cs="Arial"/>
          <w:i/>
          <w:sz w:val="22"/>
          <w:szCs w:val="22"/>
        </w:rPr>
      </w:pPr>
      <w:r w:rsidRPr="00B51B20">
        <w:rPr>
          <w:rFonts w:ascii="Palatino Linotype" w:hAnsi="Palatino Linotype" w:cs="Arial"/>
          <w:i/>
          <w:sz w:val="22"/>
          <w:szCs w:val="22"/>
        </w:rPr>
        <w:t xml:space="preserve">VIII. Acordar con el Secretario Ejecutivo los asuntos de su competencia. </w:t>
      </w:r>
    </w:p>
    <w:p w14:paraId="16809144" w14:textId="77777777" w:rsidR="00C379C5" w:rsidRPr="00B51B20" w:rsidRDefault="00C379C5" w:rsidP="00C379C5">
      <w:pPr>
        <w:tabs>
          <w:tab w:val="left" w:pos="709"/>
        </w:tabs>
        <w:spacing w:line="360" w:lineRule="auto"/>
        <w:ind w:left="627" w:right="474"/>
        <w:jc w:val="both"/>
        <w:rPr>
          <w:rFonts w:ascii="Palatino Linotype" w:hAnsi="Palatino Linotype" w:cs="Arial"/>
          <w:i/>
          <w:sz w:val="22"/>
          <w:szCs w:val="22"/>
        </w:rPr>
      </w:pPr>
      <w:r w:rsidRPr="00B51B20">
        <w:rPr>
          <w:rFonts w:ascii="Palatino Linotype" w:hAnsi="Palatino Linotype" w:cs="Arial"/>
          <w:i/>
          <w:sz w:val="22"/>
          <w:szCs w:val="22"/>
        </w:rPr>
        <w:t>IX. Las demás que le confiera este Código.</w:t>
      </w:r>
      <w:r w:rsidR="00B83B96" w:rsidRPr="00B51B20">
        <w:rPr>
          <w:rFonts w:ascii="Palatino Linotype" w:hAnsi="Palatino Linotype" w:cs="Arial"/>
          <w:i/>
          <w:sz w:val="22"/>
          <w:szCs w:val="22"/>
        </w:rPr>
        <w:t>”(Sic)</w:t>
      </w:r>
    </w:p>
    <w:p w14:paraId="5D5198E5" w14:textId="77777777" w:rsidR="00C379C5" w:rsidRPr="00B51B20" w:rsidRDefault="00C379C5" w:rsidP="00C379C5">
      <w:pPr>
        <w:tabs>
          <w:tab w:val="left" w:pos="709"/>
        </w:tabs>
        <w:spacing w:line="360" w:lineRule="auto"/>
        <w:ind w:left="627" w:right="474"/>
        <w:jc w:val="both"/>
        <w:rPr>
          <w:rFonts w:ascii="Palatino Linotype" w:hAnsi="Palatino Linotype" w:cs="Arial"/>
          <w:b/>
          <w:i/>
          <w:sz w:val="22"/>
          <w:szCs w:val="22"/>
        </w:rPr>
      </w:pPr>
    </w:p>
    <w:p w14:paraId="1E637611" w14:textId="77777777" w:rsidR="00D82D00" w:rsidRPr="00B51B20" w:rsidRDefault="00D82D00" w:rsidP="00D82D00">
      <w:pPr>
        <w:autoSpaceDE w:val="0"/>
        <w:autoSpaceDN w:val="0"/>
        <w:adjustRightInd w:val="0"/>
        <w:spacing w:line="360" w:lineRule="auto"/>
        <w:jc w:val="both"/>
        <w:rPr>
          <w:rFonts w:ascii="Palatino Linotype" w:hAnsi="Palatino Linotype" w:cs="Arial"/>
        </w:rPr>
      </w:pPr>
      <w:r w:rsidRPr="00B51B20">
        <w:rPr>
          <w:rFonts w:ascii="Palatino Linotype" w:hAnsi="Palatino Linotype" w:cs="Arial"/>
        </w:rPr>
        <w:t xml:space="preserve">Por consiguiente, las manifestaciones del </w:t>
      </w:r>
      <w:r w:rsidRPr="00B51B20">
        <w:rPr>
          <w:rFonts w:ascii="Palatino Linotype" w:hAnsi="Palatino Linotype" w:cs="Arial"/>
          <w:b/>
        </w:rPr>
        <w:t>SUJETO OBLIGADO</w:t>
      </w:r>
      <w:r w:rsidRPr="00B51B20">
        <w:rPr>
          <w:rFonts w:ascii="Palatino Linotype" w:hAnsi="Palatino Linotype" w:cs="Arial"/>
        </w:rPr>
        <w:t xml:space="preserve"> en respuesta se traducen en un hecho negativo, ante 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68B51ABA" w14:textId="77777777" w:rsidR="00D82D00" w:rsidRPr="00B51B20" w:rsidRDefault="00D82D00" w:rsidP="00D82D00">
      <w:pPr>
        <w:autoSpaceDE w:val="0"/>
        <w:autoSpaceDN w:val="0"/>
        <w:adjustRightInd w:val="0"/>
        <w:spacing w:line="360" w:lineRule="auto"/>
        <w:jc w:val="both"/>
        <w:rPr>
          <w:rFonts w:ascii="Palatino Linotype" w:hAnsi="Palatino Linotype" w:cs="Arial"/>
        </w:rPr>
      </w:pPr>
    </w:p>
    <w:p w14:paraId="06CF4663" w14:textId="77777777" w:rsidR="00D82D00" w:rsidRPr="00B51B20" w:rsidRDefault="00D82D00" w:rsidP="00D82D00">
      <w:pPr>
        <w:spacing w:before="120" w:after="120"/>
        <w:ind w:right="851"/>
        <w:jc w:val="center"/>
        <w:rPr>
          <w:rFonts w:ascii="Palatino Linotype" w:hAnsi="Palatino Linotype" w:cs="Arial"/>
          <w:i/>
          <w:sz w:val="22"/>
          <w:szCs w:val="22"/>
        </w:rPr>
      </w:pPr>
      <w:r w:rsidRPr="00B51B20">
        <w:rPr>
          <w:rFonts w:ascii="Palatino Linotype" w:hAnsi="Palatino Linotype" w:cs="Arial"/>
        </w:rPr>
        <w:t>“</w:t>
      </w:r>
      <w:r w:rsidRPr="00B51B20">
        <w:rPr>
          <w:rFonts w:ascii="Palatino Linotype" w:hAnsi="Palatino Linotype" w:cs="Arial"/>
          <w:b/>
          <w:i/>
          <w:sz w:val="22"/>
          <w:szCs w:val="22"/>
        </w:rPr>
        <w:t>HECHOS NEGATIVOS, NO SON SUSCEPTIBLES DE DEMOSTRACIÓN</w:t>
      </w:r>
      <w:r w:rsidRPr="00B51B20">
        <w:rPr>
          <w:rFonts w:ascii="Palatino Linotype" w:hAnsi="Palatino Linotype" w:cs="Arial"/>
          <w:i/>
          <w:sz w:val="22"/>
          <w:szCs w:val="22"/>
        </w:rPr>
        <w:t>.</w:t>
      </w:r>
    </w:p>
    <w:p w14:paraId="58CBFE42" w14:textId="77777777" w:rsidR="00D82D00" w:rsidRPr="00B51B20" w:rsidRDefault="00D82D00" w:rsidP="00D82D00">
      <w:pPr>
        <w:ind w:left="851" w:right="851"/>
        <w:jc w:val="both"/>
        <w:rPr>
          <w:rFonts w:ascii="Palatino Linotype" w:hAnsi="Palatino Linotype" w:cs="Arial"/>
          <w:i/>
          <w:sz w:val="22"/>
          <w:szCs w:val="22"/>
        </w:rPr>
      </w:pPr>
      <w:r w:rsidRPr="00B51B20">
        <w:rPr>
          <w:rFonts w:ascii="Palatino Linotype" w:hAnsi="Palatino Linotype" w:cs="Arial"/>
          <w:i/>
          <w:sz w:val="22"/>
          <w:szCs w:val="22"/>
        </w:rPr>
        <w:t>Tratándose de un hecho negativo, el Juez no tiene por qué invocar prueba alguna de la que se desprenda, ya que es bien sabido que esta clase de hechos no son susceptibles de demostración.</w:t>
      </w:r>
    </w:p>
    <w:p w14:paraId="24E60FF5" w14:textId="77777777" w:rsidR="00D82D00" w:rsidRPr="00B51B20" w:rsidRDefault="00D82D00" w:rsidP="00D82D00">
      <w:pPr>
        <w:ind w:left="851" w:right="851"/>
        <w:jc w:val="both"/>
        <w:rPr>
          <w:rFonts w:ascii="Palatino Linotype" w:hAnsi="Palatino Linotype" w:cs="Arial"/>
          <w:i/>
          <w:sz w:val="22"/>
          <w:szCs w:val="22"/>
        </w:rPr>
      </w:pPr>
    </w:p>
    <w:p w14:paraId="28FEE5A6" w14:textId="77777777" w:rsidR="00D82D00" w:rsidRPr="00B51B20" w:rsidRDefault="00D82D00" w:rsidP="00D82D00">
      <w:pPr>
        <w:spacing w:before="120" w:after="120"/>
        <w:ind w:left="851" w:right="851"/>
        <w:jc w:val="both"/>
        <w:rPr>
          <w:rFonts w:ascii="Palatino Linotype" w:hAnsi="Palatino Linotype" w:cs="Arial"/>
          <w:i/>
          <w:sz w:val="22"/>
          <w:szCs w:val="22"/>
        </w:rPr>
      </w:pPr>
      <w:r w:rsidRPr="00B51B20">
        <w:rPr>
          <w:rFonts w:ascii="Palatino Linotype" w:hAnsi="Palatino Linotype" w:cs="Arial"/>
          <w:i/>
          <w:sz w:val="22"/>
          <w:szCs w:val="22"/>
        </w:rPr>
        <w:t>Amparo en revisión 2022/61. José García Florín (Menor). 9 de octubre de 1961. Cinco votos. Ponente: José Rivera Pérez Campos.” (Sic)</w:t>
      </w:r>
    </w:p>
    <w:p w14:paraId="55BCDB42" w14:textId="77777777" w:rsidR="00D82D00" w:rsidRPr="00B51B20" w:rsidRDefault="00D82D00" w:rsidP="009248F0">
      <w:pPr>
        <w:autoSpaceDE w:val="0"/>
        <w:autoSpaceDN w:val="0"/>
        <w:adjustRightInd w:val="0"/>
        <w:spacing w:before="240" w:after="240" w:line="360" w:lineRule="auto"/>
        <w:ind w:right="51"/>
        <w:contextualSpacing/>
        <w:jc w:val="both"/>
        <w:rPr>
          <w:rFonts w:ascii="Palatino Linotype" w:hAnsi="Palatino Linotype" w:cs="Arial"/>
        </w:rPr>
      </w:pPr>
    </w:p>
    <w:p w14:paraId="49345788" w14:textId="77777777" w:rsidR="00D82D00" w:rsidRPr="00B51B20" w:rsidRDefault="00D82D00" w:rsidP="00D82D00">
      <w:pPr>
        <w:pStyle w:val="Sinespaciado"/>
        <w:spacing w:before="120" w:after="120" w:line="360" w:lineRule="auto"/>
        <w:jc w:val="both"/>
        <w:rPr>
          <w:rFonts w:ascii="Palatino Linotype" w:hAnsi="Palatino Linotype"/>
          <w:sz w:val="24"/>
          <w:szCs w:val="24"/>
          <w:lang w:eastAsia="es-MX"/>
        </w:rPr>
      </w:pPr>
      <w:r w:rsidRPr="00B51B20">
        <w:rPr>
          <w:rFonts w:ascii="Palatino Linotype" w:hAnsi="Palatino Linotype"/>
          <w:sz w:val="24"/>
          <w:szCs w:val="24"/>
          <w:lang w:eastAsia="es-MX"/>
        </w:rPr>
        <w:t xml:space="preserve">Además, al existir un pronunciamiento por parte del </w:t>
      </w:r>
      <w:r w:rsidR="00CE541B" w:rsidRPr="00B51B20">
        <w:rPr>
          <w:rFonts w:ascii="Palatino Linotype" w:hAnsi="Palatino Linotype"/>
          <w:b/>
          <w:sz w:val="24"/>
          <w:szCs w:val="24"/>
          <w:lang w:eastAsia="es-MX"/>
        </w:rPr>
        <w:t>SUJETO OBLIGADO</w:t>
      </w:r>
      <w:r w:rsidRPr="00B51B20">
        <w:rPr>
          <w:rFonts w:ascii="Palatino Linotype" w:hAnsi="Palatino Linotype"/>
          <w:sz w:val="24"/>
          <w:szCs w:val="24"/>
          <w:lang w:eastAsia="es-MX"/>
        </w:rPr>
        <w:t>, este 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780ECD1A" w14:textId="77777777" w:rsidR="00926155" w:rsidRPr="00B51B20" w:rsidRDefault="00926155" w:rsidP="00D82D00">
      <w:pPr>
        <w:pStyle w:val="Sinespaciado"/>
        <w:spacing w:before="120" w:after="120" w:line="360" w:lineRule="auto"/>
        <w:jc w:val="both"/>
        <w:rPr>
          <w:rFonts w:ascii="Palatino Linotype" w:hAnsi="Palatino Linotype"/>
          <w:sz w:val="24"/>
          <w:szCs w:val="24"/>
          <w:lang w:eastAsia="es-MX"/>
        </w:rPr>
      </w:pPr>
    </w:p>
    <w:p w14:paraId="6ADF5056" w14:textId="77777777" w:rsidR="00D82D00" w:rsidRPr="00B51B20" w:rsidRDefault="00D82D00" w:rsidP="00D82D00">
      <w:pPr>
        <w:spacing w:before="120" w:after="120"/>
        <w:ind w:left="851" w:right="851"/>
        <w:jc w:val="both"/>
        <w:rPr>
          <w:rFonts w:ascii="Palatino Linotype" w:hAnsi="Palatino Linotype"/>
          <w:i/>
          <w:sz w:val="22"/>
          <w:szCs w:val="22"/>
        </w:rPr>
      </w:pPr>
      <w:r w:rsidRPr="00B51B20">
        <w:rPr>
          <w:rFonts w:ascii="Palatino Linotype" w:hAnsi="Palatino Linotype"/>
          <w:i/>
          <w:sz w:val="22"/>
          <w:szCs w:val="22"/>
        </w:rPr>
        <w:t>“</w:t>
      </w:r>
      <w:r w:rsidRPr="00B51B20">
        <w:rPr>
          <w:rFonts w:ascii="Palatino Linotype" w:hAnsi="Palatino Linotype"/>
          <w:b/>
          <w:i/>
          <w:sz w:val="22"/>
          <w:szCs w:val="22"/>
        </w:rPr>
        <w:t xml:space="preserve">El Instituto Federal de Acceso a la Información y Protección de Datos no cuenta con facultades para pronunciarse respecto de la veracidad de los </w:t>
      </w:r>
      <w:r w:rsidRPr="00B51B20">
        <w:rPr>
          <w:rFonts w:ascii="Palatino Linotype" w:hAnsi="Palatino Linotype"/>
          <w:b/>
          <w:i/>
          <w:sz w:val="22"/>
          <w:szCs w:val="22"/>
        </w:rPr>
        <w:lastRenderedPageBreak/>
        <w:t>documentos proporcionados por los sujetos obligados.</w:t>
      </w:r>
      <w:r w:rsidRPr="00B51B20">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00CE541B" w:rsidRPr="00B51B20">
        <w:rPr>
          <w:rFonts w:ascii="Palatino Linotype" w:hAnsi="Palatino Linotype"/>
          <w:i/>
          <w:sz w:val="22"/>
          <w:szCs w:val="22"/>
        </w:rPr>
        <w:t>(Sic)</w:t>
      </w:r>
    </w:p>
    <w:p w14:paraId="1419D0AE" w14:textId="77777777" w:rsidR="00D82D00" w:rsidRPr="00B51B20" w:rsidRDefault="00D82D00" w:rsidP="00D82D00">
      <w:pPr>
        <w:pStyle w:val="Prrafodelista"/>
        <w:autoSpaceDE w:val="0"/>
        <w:autoSpaceDN w:val="0"/>
        <w:adjustRightInd w:val="0"/>
        <w:spacing w:line="360" w:lineRule="auto"/>
        <w:ind w:left="0"/>
        <w:jc w:val="both"/>
        <w:rPr>
          <w:rFonts w:ascii="Palatino Linotype" w:hAnsi="Palatino Linotype" w:cs="Arial"/>
          <w:sz w:val="24"/>
          <w:szCs w:val="24"/>
        </w:rPr>
      </w:pPr>
    </w:p>
    <w:p w14:paraId="3D676A2B" w14:textId="77777777" w:rsidR="00D82D00" w:rsidRPr="00B51B20" w:rsidRDefault="00D82D00" w:rsidP="00D82D00">
      <w:pPr>
        <w:pStyle w:val="Prrafodelista"/>
        <w:autoSpaceDE w:val="0"/>
        <w:autoSpaceDN w:val="0"/>
        <w:adjustRightInd w:val="0"/>
        <w:spacing w:line="360" w:lineRule="auto"/>
        <w:ind w:left="0"/>
        <w:jc w:val="both"/>
        <w:rPr>
          <w:rFonts w:ascii="Palatino Linotype" w:hAnsi="Palatino Linotype" w:cs="Arial"/>
          <w:sz w:val="24"/>
          <w:szCs w:val="24"/>
        </w:rPr>
      </w:pPr>
      <w:r w:rsidRPr="00B51B20">
        <w:rPr>
          <w:rFonts w:ascii="Palatino Linotype" w:hAnsi="Palatino Linotype" w:cs="Arial"/>
          <w:sz w:val="24"/>
          <w:szCs w:val="24"/>
        </w:rPr>
        <w:t>De lo precedente,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4360CDFC" w14:textId="77777777" w:rsidR="009248F0" w:rsidRPr="00B51B20" w:rsidRDefault="009248F0" w:rsidP="009248F0">
      <w:pPr>
        <w:spacing w:line="360" w:lineRule="auto"/>
        <w:ind w:right="-93"/>
        <w:jc w:val="both"/>
        <w:rPr>
          <w:rFonts w:ascii="Palatino Linotype" w:hAnsi="Palatino Linotype" w:cs="Arial"/>
          <w:b/>
          <w:i/>
          <w:sz w:val="22"/>
          <w:szCs w:val="22"/>
        </w:rPr>
      </w:pPr>
    </w:p>
    <w:p w14:paraId="73CB18A2" w14:textId="77777777" w:rsidR="00C11D2B" w:rsidRPr="00B51B20" w:rsidRDefault="00C11D2B" w:rsidP="00C11D2B">
      <w:pPr>
        <w:spacing w:before="240" w:after="240" w:line="360" w:lineRule="auto"/>
        <w:ind w:right="51"/>
        <w:contextualSpacing/>
        <w:jc w:val="both"/>
        <w:rPr>
          <w:rFonts w:ascii="Palatino Linotype" w:hAnsi="Palatino Linotype" w:cs="Arial"/>
          <w:b/>
        </w:rPr>
      </w:pPr>
      <w:r w:rsidRPr="00B51B20">
        <w:rPr>
          <w:rFonts w:ascii="Palatino Linotype" w:hAnsi="Palatino Linotype" w:cs="Arial"/>
        </w:rPr>
        <w:t xml:space="preserve">De conformidad con </w:t>
      </w:r>
      <w:r w:rsidR="00CE541B" w:rsidRPr="00B51B20">
        <w:rPr>
          <w:rFonts w:ascii="Palatino Linotype" w:hAnsi="Palatino Linotype" w:cs="Arial"/>
        </w:rPr>
        <w:t xml:space="preserve">todo </w:t>
      </w:r>
      <w:r w:rsidRPr="00B51B20">
        <w:rPr>
          <w:rFonts w:ascii="Palatino Linotype" w:hAnsi="Palatino Linotype" w:cs="Arial"/>
        </w:rPr>
        <w:t xml:space="preserve">lo anterior, y una vez analizada las constancias que integran el expediente en que se actúa, el motivo inconformidad vertidos en relación a la respuesta, devienen infundados, por lo que lo </w:t>
      </w:r>
      <w:r w:rsidRPr="00B51B20">
        <w:rPr>
          <w:rFonts w:ascii="Palatino Linotype" w:hAnsi="Palatino Linotype" w:cs="Arial"/>
          <w:b/>
        </w:rPr>
        <w:t>PROCEDENTE</w:t>
      </w:r>
      <w:r w:rsidRPr="00B51B20">
        <w:rPr>
          <w:rFonts w:ascii="Palatino Linotype" w:hAnsi="Palatino Linotype" w:cs="Arial"/>
        </w:rPr>
        <w:t xml:space="preserve"> será </w:t>
      </w:r>
      <w:r w:rsidRPr="00B51B20">
        <w:rPr>
          <w:rFonts w:ascii="Palatino Linotype" w:hAnsi="Palatino Linotype" w:cs="Arial"/>
          <w:b/>
        </w:rPr>
        <w:t>CONFIRMAR</w:t>
      </w:r>
      <w:r w:rsidRPr="00B51B20">
        <w:rPr>
          <w:rFonts w:ascii="Palatino Linotype" w:hAnsi="Palatino Linotype" w:cs="Arial"/>
        </w:rPr>
        <w:t xml:space="preserve"> la respuesta del </w:t>
      </w:r>
      <w:r w:rsidR="006A1938" w:rsidRPr="00B51B20">
        <w:rPr>
          <w:rFonts w:ascii="Palatino Linotype" w:hAnsi="Palatino Linotype" w:cs="Arial"/>
          <w:b/>
        </w:rPr>
        <w:t>SUJETO OBLIGADO.</w:t>
      </w:r>
    </w:p>
    <w:p w14:paraId="517CE1C2" w14:textId="77777777" w:rsidR="00CE541B" w:rsidRPr="00B51B20" w:rsidRDefault="00CE541B" w:rsidP="00C11D2B">
      <w:pPr>
        <w:spacing w:before="240" w:after="240" w:line="360" w:lineRule="auto"/>
        <w:ind w:right="51"/>
        <w:contextualSpacing/>
        <w:jc w:val="both"/>
        <w:rPr>
          <w:rFonts w:ascii="Palatino Linotype" w:hAnsi="Palatino Linotype" w:cs="Arial"/>
        </w:rPr>
      </w:pPr>
    </w:p>
    <w:p w14:paraId="3EEDA053" w14:textId="77777777" w:rsidR="00264FF6" w:rsidRPr="00B51B20" w:rsidRDefault="00264FF6" w:rsidP="00264FF6">
      <w:pPr>
        <w:spacing w:before="240" w:after="240" w:line="360" w:lineRule="auto"/>
        <w:contextualSpacing/>
        <w:jc w:val="both"/>
        <w:rPr>
          <w:rFonts w:ascii="Palatino Linotype" w:eastAsia="Palatino Linotype" w:hAnsi="Palatino Linotype" w:cs="Palatino Linotype"/>
        </w:rPr>
      </w:pPr>
      <w:r w:rsidRPr="00B51B20">
        <w:rPr>
          <w:rFonts w:ascii="Palatino Linotype" w:eastAsia="Palatino Linotype" w:hAnsi="Palatino Linotype" w:cs="Palatino Linotype"/>
        </w:rPr>
        <w:t xml:space="preserve">Por lo anteriormente expuesto y con fundamento en lo prescrito en los artículos 5 párrafos vigésimo noveno, treinta y treinta y uno de la Constitución Política del Estado Libre y Soberano de México; 2, fracción II; 29, 36 fracciones I y II; 176, 178, </w:t>
      </w:r>
      <w:r w:rsidRPr="00B51B20">
        <w:rPr>
          <w:rFonts w:ascii="Palatino Linotype" w:eastAsia="Palatino Linotype" w:hAnsi="Palatino Linotype" w:cs="Palatino Linotype"/>
        </w:rPr>
        <w:lastRenderedPageBreak/>
        <w:t>181, 185 y 186 fracción III de la Ley de Transparencia y Acceso a la Información Pública del Estado de México y Municipios, este Pleno:</w:t>
      </w:r>
    </w:p>
    <w:p w14:paraId="3D2C699E" w14:textId="77777777" w:rsidR="00264FF6" w:rsidRPr="00B51B20" w:rsidRDefault="00264FF6" w:rsidP="00BE2564">
      <w:pPr>
        <w:pStyle w:val="Prrafodelista"/>
        <w:widowControl w:val="0"/>
        <w:numPr>
          <w:ilvl w:val="0"/>
          <w:numId w:val="2"/>
        </w:numPr>
        <w:tabs>
          <w:tab w:val="left" w:pos="709"/>
        </w:tabs>
        <w:autoSpaceDE w:val="0"/>
        <w:autoSpaceDN w:val="0"/>
        <w:adjustRightInd w:val="0"/>
        <w:spacing w:before="120" w:after="240" w:line="360" w:lineRule="auto"/>
        <w:jc w:val="center"/>
        <w:rPr>
          <w:rFonts w:ascii="Palatino Linotype" w:eastAsia="Palatino Linotype" w:hAnsi="Palatino Linotype" w:cs="Palatino Linotype"/>
          <w:b/>
        </w:rPr>
      </w:pPr>
      <w:r w:rsidRPr="00B51B20">
        <w:rPr>
          <w:rFonts w:ascii="Palatino Linotype" w:eastAsia="Palatino Linotype" w:hAnsi="Palatino Linotype" w:cs="Palatino Linotype"/>
          <w:b/>
        </w:rPr>
        <w:t>R E S U E L V E:</w:t>
      </w:r>
    </w:p>
    <w:p w14:paraId="6BDCA797" w14:textId="77777777" w:rsidR="00264FF6" w:rsidRPr="00B51B20" w:rsidRDefault="00264FF6" w:rsidP="00264FF6">
      <w:pPr>
        <w:pStyle w:val="Textoindependiente"/>
        <w:kinsoku w:val="0"/>
        <w:overflowPunct w:val="0"/>
        <w:spacing w:line="405" w:lineRule="auto"/>
        <w:ind w:left="0"/>
        <w:jc w:val="both"/>
        <w:rPr>
          <w:rFonts w:ascii="Palatino Linotype" w:eastAsia="Times New Roman" w:hAnsi="Palatino Linotype" w:cs="Arial"/>
          <w:sz w:val="24"/>
          <w:szCs w:val="24"/>
          <w:lang w:val="es-ES" w:eastAsia="es-ES"/>
        </w:rPr>
      </w:pPr>
      <w:r w:rsidRPr="00B51B20">
        <w:rPr>
          <w:rFonts w:ascii="Palatino Linotype" w:eastAsia="Times New Roman" w:hAnsi="Palatino Linotype" w:cs="Arial"/>
          <w:b/>
          <w:sz w:val="24"/>
          <w:szCs w:val="24"/>
          <w:lang w:val="es-ES" w:eastAsia="es-ES"/>
        </w:rPr>
        <w:t>Primero.</w:t>
      </w:r>
      <w:r w:rsidRPr="00B51B20">
        <w:rPr>
          <w:rFonts w:ascii="Palatino Linotype" w:eastAsia="Times New Roman" w:hAnsi="Palatino Linotype" w:cs="Arial"/>
          <w:sz w:val="24"/>
          <w:szCs w:val="24"/>
          <w:lang w:val="es-ES" w:eastAsia="es-ES"/>
        </w:rPr>
        <w:t xml:space="preserve"> Resulta infundado el motivo de inconformidad aducido por </w:t>
      </w:r>
      <w:r w:rsidR="00204F0A" w:rsidRPr="00B51B20">
        <w:rPr>
          <w:rFonts w:ascii="Palatino Linotype" w:eastAsia="Times New Roman" w:hAnsi="Palatino Linotype" w:cs="Arial"/>
          <w:sz w:val="24"/>
          <w:szCs w:val="24"/>
          <w:lang w:val="es-ES" w:eastAsia="es-ES"/>
        </w:rPr>
        <w:t xml:space="preserve">la </w:t>
      </w:r>
      <w:r w:rsidR="009F0D84" w:rsidRPr="00B51B20">
        <w:rPr>
          <w:rFonts w:ascii="Palatino Linotype" w:eastAsia="Times New Roman" w:hAnsi="Palatino Linotype" w:cs="Arial"/>
          <w:b/>
          <w:sz w:val="24"/>
          <w:szCs w:val="24"/>
          <w:lang w:val="es-ES" w:eastAsia="es-ES"/>
        </w:rPr>
        <w:t>RECURRENTE</w:t>
      </w:r>
      <w:r w:rsidRPr="00B51B20">
        <w:rPr>
          <w:rFonts w:ascii="Palatino Linotype" w:eastAsia="Times New Roman" w:hAnsi="Palatino Linotype" w:cs="Arial"/>
          <w:sz w:val="24"/>
          <w:szCs w:val="24"/>
          <w:lang w:val="es-ES" w:eastAsia="es-ES"/>
        </w:rPr>
        <w:t xml:space="preserve"> </w:t>
      </w:r>
      <w:r w:rsidRPr="00B51B20">
        <w:rPr>
          <w:rFonts w:ascii="Palatino Linotype" w:eastAsia="Palatino Linotype" w:hAnsi="Palatino Linotype" w:cs="Palatino Linotype"/>
          <w:sz w:val="24"/>
          <w:szCs w:val="24"/>
        </w:rPr>
        <w:t xml:space="preserve">en el recurso de revisión </w:t>
      </w:r>
      <w:r w:rsidR="00CE541B" w:rsidRPr="00B51B20">
        <w:rPr>
          <w:rFonts w:ascii="Palatino Linotype" w:eastAsia="Palatino Linotype" w:hAnsi="Palatino Linotype" w:cs="Palatino Linotype"/>
          <w:b/>
          <w:sz w:val="24"/>
          <w:szCs w:val="24"/>
        </w:rPr>
        <w:t>06104</w:t>
      </w:r>
      <w:r w:rsidRPr="00B51B20">
        <w:rPr>
          <w:rFonts w:ascii="Palatino Linotype" w:eastAsia="Palatino Linotype" w:hAnsi="Palatino Linotype" w:cs="Palatino Linotype"/>
          <w:b/>
          <w:sz w:val="24"/>
          <w:szCs w:val="24"/>
        </w:rPr>
        <w:t>/INFOEM/IP/RR/2021</w:t>
      </w:r>
      <w:r w:rsidRPr="00B51B20">
        <w:rPr>
          <w:rFonts w:ascii="Palatino Linotype" w:eastAsia="Palatino Linotype" w:hAnsi="Palatino Linotype" w:cs="Palatino Linotype"/>
          <w:sz w:val="24"/>
          <w:szCs w:val="24"/>
        </w:rPr>
        <w:t>; por lo que,</w:t>
      </w:r>
      <w:r w:rsidRPr="00B51B20">
        <w:rPr>
          <w:rFonts w:ascii="Palatino Linotype" w:eastAsia="Times New Roman" w:hAnsi="Palatino Linotype" w:cs="Arial"/>
          <w:sz w:val="24"/>
          <w:szCs w:val="24"/>
          <w:lang w:val="es-ES" w:eastAsia="es-ES"/>
        </w:rPr>
        <w:t xml:space="preserve"> en términos de los argumentos señalados en el Considerando Cuarto se </w:t>
      </w:r>
      <w:r w:rsidRPr="00B51B20">
        <w:rPr>
          <w:rFonts w:ascii="Palatino Linotype" w:eastAsia="Times New Roman" w:hAnsi="Palatino Linotype" w:cs="Arial"/>
          <w:b/>
          <w:sz w:val="24"/>
          <w:szCs w:val="24"/>
          <w:lang w:val="es-ES" w:eastAsia="es-ES"/>
        </w:rPr>
        <w:t>CONFIRMA</w:t>
      </w:r>
      <w:r w:rsidRPr="00B51B20">
        <w:rPr>
          <w:rFonts w:ascii="Palatino Linotype" w:eastAsia="Times New Roman" w:hAnsi="Palatino Linotype" w:cs="Arial"/>
          <w:sz w:val="24"/>
          <w:szCs w:val="24"/>
          <w:lang w:val="es-ES" w:eastAsia="es-ES"/>
        </w:rPr>
        <w:t xml:space="preserve"> la respuesta emitida por el </w:t>
      </w:r>
      <w:r w:rsidR="009F0D84" w:rsidRPr="00B51B20">
        <w:rPr>
          <w:rFonts w:ascii="Palatino Linotype" w:eastAsia="Times New Roman" w:hAnsi="Palatino Linotype" w:cs="Arial"/>
          <w:b/>
          <w:sz w:val="24"/>
          <w:szCs w:val="24"/>
          <w:lang w:val="es-ES" w:eastAsia="es-ES"/>
        </w:rPr>
        <w:t>SUJETO OBLIGADO</w:t>
      </w:r>
      <w:r w:rsidRPr="00B51B20">
        <w:rPr>
          <w:rFonts w:ascii="Palatino Linotype" w:eastAsia="Times New Roman" w:hAnsi="Palatino Linotype" w:cs="Arial"/>
          <w:sz w:val="24"/>
          <w:szCs w:val="24"/>
          <w:lang w:val="es-ES" w:eastAsia="es-ES"/>
        </w:rPr>
        <w:t>.</w:t>
      </w:r>
    </w:p>
    <w:p w14:paraId="0B1639DB" w14:textId="77777777" w:rsidR="00264FF6" w:rsidRPr="00B51B20" w:rsidRDefault="00264FF6" w:rsidP="00264FF6">
      <w:pPr>
        <w:pStyle w:val="Textoindependiente"/>
        <w:kinsoku w:val="0"/>
        <w:overflowPunct w:val="0"/>
        <w:spacing w:line="405" w:lineRule="auto"/>
        <w:ind w:left="0"/>
        <w:jc w:val="both"/>
        <w:rPr>
          <w:rFonts w:ascii="Palatino Linotype" w:eastAsia="Times New Roman" w:hAnsi="Palatino Linotype" w:cs="Arial"/>
          <w:sz w:val="24"/>
          <w:szCs w:val="24"/>
          <w:lang w:val="es-ES" w:eastAsia="es-ES"/>
        </w:rPr>
      </w:pPr>
    </w:p>
    <w:p w14:paraId="6EB62C8B" w14:textId="77777777" w:rsidR="00264FF6" w:rsidRPr="00B51B20" w:rsidRDefault="00264FF6" w:rsidP="00264FF6">
      <w:pPr>
        <w:pStyle w:val="Textoindependiente"/>
        <w:kinsoku w:val="0"/>
        <w:overflowPunct w:val="0"/>
        <w:spacing w:line="405" w:lineRule="auto"/>
        <w:ind w:left="0"/>
        <w:jc w:val="both"/>
        <w:rPr>
          <w:rFonts w:ascii="Palatino Linotype" w:eastAsia="Times New Roman" w:hAnsi="Palatino Linotype" w:cs="Arial"/>
          <w:sz w:val="24"/>
          <w:szCs w:val="24"/>
          <w:lang w:val="es-ES" w:eastAsia="es-ES"/>
        </w:rPr>
      </w:pPr>
      <w:r w:rsidRPr="00B51B20">
        <w:rPr>
          <w:rFonts w:ascii="Palatino Linotype" w:eastAsia="Times New Roman" w:hAnsi="Palatino Linotype" w:cs="Arial"/>
          <w:b/>
          <w:sz w:val="24"/>
          <w:szCs w:val="24"/>
          <w:lang w:val="es-ES" w:eastAsia="es-ES"/>
        </w:rPr>
        <w:t>Segundo</w:t>
      </w:r>
      <w:r w:rsidR="00A04105" w:rsidRPr="00B51B20">
        <w:rPr>
          <w:rFonts w:ascii="Palatino Linotype" w:eastAsia="Times New Roman" w:hAnsi="Palatino Linotype" w:cs="Arial"/>
          <w:sz w:val="24"/>
          <w:szCs w:val="24"/>
          <w:lang w:val="es-ES" w:eastAsia="es-ES"/>
        </w:rPr>
        <w:t>. Notifíquese</w:t>
      </w:r>
      <w:r w:rsidRPr="00B51B20">
        <w:rPr>
          <w:rFonts w:ascii="Palatino Linotype" w:eastAsia="Times New Roman" w:hAnsi="Palatino Linotype" w:cs="Arial"/>
          <w:sz w:val="24"/>
          <w:szCs w:val="24"/>
          <w:lang w:val="es-ES" w:eastAsia="es-ES"/>
        </w:rPr>
        <w:t xml:space="preserve"> </w:t>
      </w:r>
      <w:r w:rsidR="007B06C5" w:rsidRPr="00B51B20">
        <w:rPr>
          <w:rFonts w:ascii="Palatino Linotype" w:eastAsia="Times New Roman" w:hAnsi="Palatino Linotype" w:cs="Arial"/>
          <w:sz w:val="24"/>
          <w:szCs w:val="24"/>
          <w:lang w:val="es-ES" w:eastAsia="es-ES"/>
        </w:rPr>
        <w:t xml:space="preserve">a través del SAIMEX, </w:t>
      </w:r>
      <w:r w:rsidRPr="00B51B20">
        <w:rPr>
          <w:rFonts w:ascii="Palatino Linotype" w:eastAsia="Times New Roman" w:hAnsi="Palatino Linotype" w:cs="Arial"/>
          <w:sz w:val="24"/>
          <w:szCs w:val="24"/>
          <w:lang w:val="es-ES" w:eastAsia="es-ES"/>
        </w:rPr>
        <w:t xml:space="preserve">al Responsable de la Unidad de Transparencia del </w:t>
      </w:r>
      <w:r w:rsidR="009F0D84" w:rsidRPr="00B51B20">
        <w:rPr>
          <w:rFonts w:ascii="Palatino Linotype" w:eastAsia="Times New Roman" w:hAnsi="Palatino Linotype" w:cs="Arial"/>
          <w:b/>
          <w:sz w:val="24"/>
          <w:szCs w:val="24"/>
          <w:lang w:val="es-ES" w:eastAsia="es-ES"/>
        </w:rPr>
        <w:t>SUJETO OBLIGADO</w:t>
      </w:r>
      <w:r w:rsidRPr="00B51B20">
        <w:rPr>
          <w:rFonts w:ascii="Palatino Linotype" w:eastAsia="Times New Roman" w:hAnsi="Palatino Linotype" w:cs="Arial"/>
          <w:sz w:val="24"/>
          <w:szCs w:val="24"/>
          <w:lang w:val="es-ES" w:eastAsia="es-ES"/>
        </w:rPr>
        <w:t>, la presente resolución para su conocimiento.</w:t>
      </w:r>
    </w:p>
    <w:p w14:paraId="5DD7D438" w14:textId="77777777" w:rsidR="00264FF6" w:rsidRPr="00B51B20" w:rsidRDefault="00264FF6" w:rsidP="00264FF6">
      <w:pPr>
        <w:pStyle w:val="Textoindependiente"/>
        <w:kinsoku w:val="0"/>
        <w:overflowPunct w:val="0"/>
        <w:spacing w:line="405" w:lineRule="auto"/>
        <w:ind w:left="0"/>
        <w:jc w:val="both"/>
        <w:rPr>
          <w:rFonts w:ascii="Palatino Linotype" w:eastAsia="Times New Roman" w:hAnsi="Palatino Linotype" w:cs="Arial"/>
          <w:sz w:val="24"/>
          <w:szCs w:val="24"/>
          <w:lang w:val="es-ES" w:eastAsia="es-ES"/>
        </w:rPr>
      </w:pPr>
    </w:p>
    <w:p w14:paraId="3BF54EC5" w14:textId="77777777" w:rsidR="00CE541B" w:rsidRPr="00B51B20" w:rsidRDefault="00CE541B" w:rsidP="00CE541B">
      <w:pPr>
        <w:pStyle w:val="Textoindependiente"/>
        <w:kinsoku w:val="0"/>
        <w:overflowPunct w:val="0"/>
        <w:spacing w:line="405" w:lineRule="auto"/>
        <w:ind w:left="0"/>
        <w:jc w:val="both"/>
        <w:rPr>
          <w:rFonts w:ascii="Palatino Linotype" w:hAnsi="Palatino Linotype" w:cs="Arial"/>
          <w:sz w:val="24"/>
          <w:szCs w:val="24"/>
        </w:rPr>
      </w:pPr>
      <w:r w:rsidRPr="00B51B20">
        <w:rPr>
          <w:rFonts w:ascii="Palatino Linotype" w:hAnsi="Palatino Linotype" w:cs="Arial"/>
          <w:b/>
          <w:sz w:val="24"/>
          <w:szCs w:val="24"/>
        </w:rPr>
        <w:t xml:space="preserve">Tercero.  </w:t>
      </w:r>
      <w:r w:rsidR="00C61B4C" w:rsidRPr="00B51B20">
        <w:rPr>
          <w:rFonts w:ascii="Palatino Linotype" w:hAnsi="Palatino Linotype" w:cs="Arial"/>
          <w:b/>
          <w:sz w:val="24"/>
          <w:szCs w:val="24"/>
        </w:rPr>
        <w:t xml:space="preserve">Notifíquese a </w:t>
      </w:r>
      <w:r w:rsidRPr="00B51B20">
        <w:rPr>
          <w:rFonts w:ascii="Palatino Linotype" w:hAnsi="Palatino Linotype" w:cs="Arial"/>
          <w:sz w:val="24"/>
          <w:szCs w:val="24"/>
        </w:rPr>
        <w:t xml:space="preserve"> la parte recurrente,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4CDBC105" w14:textId="77777777" w:rsidR="00B45A6B" w:rsidRDefault="00B45A6B" w:rsidP="002E5396">
      <w:pPr>
        <w:spacing w:before="240" w:after="240" w:line="360" w:lineRule="auto"/>
        <w:jc w:val="both"/>
        <w:rPr>
          <w:rFonts w:ascii="Palatino Linotype" w:hAnsi="Palatino Linotype"/>
        </w:rPr>
      </w:pPr>
      <w:r w:rsidRPr="00B51B20">
        <w:rPr>
          <w:rFonts w:ascii="Palatino Linotype" w:hAnsi="Palatino Linotype"/>
          <w:noProof/>
          <w:color w:val="222222"/>
          <w:lang w:val="en-US" w:eastAsia="en-US"/>
        </w:rPr>
        <mc:AlternateContent>
          <mc:Choice Requires="wps">
            <w:drawing>
              <wp:anchor distT="0" distB="0" distL="114300" distR="114300" simplePos="0" relativeHeight="251659264" behindDoc="0" locked="0" layoutInCell="1" allowOverlap="1" wp14:anchorId="60A87625" wp14:editId="39C94E72">
                <wp:simplePos x="0" y="0"/>
                <wp:positionH relativeFrom="margin">
                  <wp:align>left</wp:align>
                </wp:positionH>
                <wp:positionV relativeFrom="paragraph">
                  <wp:posOffset>3172703</wp:posOffset>
                </wp:positionV>
                <wp:extent cx="5485570" cy="1713523"/>
                <wp:effectExtent l="0" t="0" r="20320" b="20320"/>
                <wp:wrapNone/>
                <wp:docPr id="1" name="Conector recto 1"/>
                <wp:cNvGraphicFramePr/>
                <a:graphic xmlns:a="http://schemas.openxmlformats.org/drawingml/2006/main">
                  <a:graphicData uri="http://schemas.microsoft.com/office/word/2010/wordprocessingShape">
                    <wps:wsp>
                      <wps:cNvCnPr/>
                      <wps:spPr>
                        <a:xfrm>
                          <a:off x="0" y="0"/>
                          <a:ext cx="5485570" cy="17135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AE301B3" id="Conector recto 1"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49.8pt" to="431.95pt,3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" strokecolor="black [3200]" strokeweight=".5pt">
                <v:stroke joinstyle="miter"/>
                <w10:wrap anchorx="margin"/>
              </v:line>
            </w:pict>
          </mc:Fallback>
        </mc:AlternateContent>
      </w:r>
      <w:r w:rsidR="00057382" w:rsidRPr="00B51B20">
        <w:rPr>
          <w:rFonts w:ascii="Palatino Linotype" w:hAnsi="Palatino Linotype"/>
          <w:color w:val="222222"/>
          <w:shd w:val="clear" w:color="auto" w:fill="FFFFFF"/>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00057382" w:rsidRPr="00B51B20">
        <w:rPr>
          <w:rFonts w:ascii="Palatino Linotype" w:hAnsi="Palatino Linotype"/>
          <w:color w:val="222222"/>
          <w:shd w:val="clear" w:color="auto" w:fill="FFFFFF"/>
        </w:rPr>
        <w:lastRenderedPageBreak/>
        <w:t>MORALES MARTÍNEZ</w:t>
      </w:r>
      <w:r w:rsidR="007B06C5" w:rsidRPr="00B51B20">
        <w:rPr>
          <w:rFonts w:ascii="Palatino Linotype" w:hAnsi="Palatino Linotype"/>
          <w:color w:val="222222"/>
          <w:shd w:val="clear" w:color="auto" w:fill="FFFFFF"/>
        </w:rPr>
        <w:t xml:space="preserve"> (AUSENCIA JUSTIFICADA), </w:t>
      </w:r>
      <w:r w:rsidR="00057382" w:rsidRPr="00B51B20">
        <w:rPr>
          <w:rFonts w:ascii="Palatino Linotype" w:hAnsi="Palatino Linotype"/>
          <w:color w:val="222222"/>
          <w:shd w:val="clear" w:color="auto" w:fill="FFFFFF"/>
        </w:rPr>
        <w:t xml:space="preserve">LUIS GUSTAVO PARRA NORIEGA Y GUADALUPE RAMÍREZ PEÑA; EN LA </w:t>
      </w:r>
      <w:r w:rsidR="00CE541B" w:rsidRPr="00B51B20">
        <w:rPr>
          <w:rFonts w:ascii="Palatino Linotype" w:hAnsi="Palatino Linotype"/>
          <w:color w:val="222222"/>
          <w:shd w:val="clear" w:color="auto" w:fill="FFFFFF"/>
        </w:rPr>
        <w:t>SEXTA</w:t>
      </w:r>
      <w:r w:rsidR="00997F0F" w:rsidRPr="00B51B20">
        <w:rPr>
          <w:rFonts w:ascii="Palatino Linotype" w:hAnsi="Palatino Linotype"/>
          <w:color w:val="222222"/>
          <w:shd w:val="clear" w:color="auto" w:fill="FFFFFF"/>
        </w:rPr>
        <w:t xml:space="preserve"> </w:t>
      </w:r>
      <w:r w:rsidR="00057382" w:rsidRPr="00B51B20">
        <w:rPr>
          <w:rFonts w:ascii="Palatino Linotype" w:hAnsi="Palatino Linotype"/>
          <w:color w:val="222222"/>
          <w:shd w:val="clear" w:color="auto" w:fill="FFFFFF"/>
        </w:rPr>
        <w:t xml:space="preserve">SESIÓN ORDINARIA CELEBRADA EL </w:t>
      </w:r>
      <w:r w:rsidR="00CE541B" w:rsidRPr="00B51B20">
        <w:rPr>
          <w:rFonts w:ascii="Palatino Linotype" w:hAnsi="Palatino Linotype"/>
          <w:color w:val="222222"/>
          <w:shd w:val="clear" w:color="auto" w:fill="FFFFFF"/>
        </w:rPr>
        <w:t>DIECISÉIS</w:t>
      </w:r>
      <w:r w:rsidR="006A1938" w:rsidRPr="00B51B20">
        <w:rPr>
          <w:rFonts w:ascii="Palatino Linotype" w:hAnsi="Palatino Linotype"/>
        </w:rPr>
        <w:t xml:space="preserve"> DE FEBRERO</w:t>
      </w:r>
      <w:r w:rsidR="00057382" w:rsidRPr="00B51B20">
        <w:rPr>
          <w:rFonts w:ascii="Palatino Linotype" w:hAnsi="Palatino Linotype"/>
        </w:rPr>
        <w:t xml:space="preserve"> </w:t>
      </w:r>
      <w:r w:rsidR="00225356" w:rsidRPr="00B51B20">
        <w:rPr>
          <w:rFonts w:ascii="Palatino Linotype" w:hAnsi="Palatino Linotype"/>
        </w:rPr>
        <w:t xml:space="preserve">DE </w:t>
      </w:r>
      <w:r w:rsidR="007B06C5" w:rsidRPr="00B51B20">
        <w:rPr>
          <w:rFonts w:ascii="Palatino Linotype" w:hAnsi="Palatino Linotype"/>
        </w:rPr>
        <w:t>DOS MIL VEINTIDÓS</w:t>
      </w:r>
      <w:r w:rsidR="002E5396" w:rsidRPr="00B51B20">
        <w:rPr>
          <w:rFonts w:ascii="Palatino Linotype" w:hAnsi="Palatino Linotype"/>
        </w:rPr>
        <w:t>, ANTE EL SECRETARIO TÉCNICO DEL PLENO ALEXIS TAPIA RAMÍREZ.</w:t>
      </w:r>
    </w:p>
    <w:p w14:paraId="2588B469" w14:textId="77777777" w:rsidR="00B45A6B" w:rsidRPr="00B45A6B" w:rsidRDefault="00B45A6B" w:rsidP="002E5396">
      <w:pPr>
        <w:spacing w:before="240" w:after="240" w:line="360" w:lineRule="auto"/>
        <w:jc w:val="both"/>
        <w:rPr>
          <w:rFonts w:ascii="Palatino Linotype" w:hAnsi="Palatino Linotype"/>
        </w:rPr>
        <w:sectPr w:rsidR="00B45A6B" w:rsidRPr="00B45A6B" w:rsidSect="00546029">
          <w:headerReference w:type="default" r:id="rId23"/>
          <w:footerReference w:type="default" r:id="rId24"/>
          <w:headerReference w:type="first" r:id="rId25"/>
          <w:footerReference w:type="first" r:id="rId26"/>
          <w:pgSz w:w="12240" w:h="15840" w:code="1"/>
          <w:pgMar w:top="1417" w:right="1701" w:bottom="1417" w:left="1701" w:header="709" w:footer="709" w:gutter="0"/>
          <w:cols w:space="708"/>
          <w:titlePg/>
          <w:docGrid w:linePitch="360"/>
        </w:sectPr>
      </w:pPr>
    </w:p>
    <w:p w14:paraId="087DE096" w14:textId="77777777" w:rsidR="00CF1512" w:rsidRDefault="00CF1512" w:rsidP="002E5396">
      <w:pPr>
        <w:spacing w:before="240" w:after="240" w:line="360" w:lineRule="auto"/>
        <w:jc w:val="both"/>
        <w:rPr>
          <w:rFonts w:ascii="Palatino Linotype" w:hAnsi="Palatino Linotype" w:cs="Arial"/>
        </w:rPr>
      </w:pPr>
    </w:p>
    <w:p w14:paraId="601D960F" w14:textId="77777777" w:rsidR="00CF1512" w:rsidRDefault="00CF1512" w:rsidP="002E5396">
      <w:pPr>
        <w:spacing w:before="240" w:after="240" w:line="360" w:lineRule="auto"/>
        <w:jc w:val="both"/>
        <w:rPr>
          <w:rFonts w:ascii="Palatino Linotype" w:hAnsi="Palatino Linotype" w:cs="Arial"/>
        </w:rPr>
      </w:pPr>
    </w:p>
    <w:p w14:paraId="6A12A6CC" w14:textId="77777777" w:rsidR="00CF1512" w:rsidRPr="00080788" w:rsidRDefault="00CF1512" w:rsidP="002E5396">
      <w:pPr>
        <w:spacing w:before="240" w:after="240" w:line="360" w:lineRule="auto"/>
        <w:jc w:val="both"/>
        <w:rPr>
          <w:rFonts w:ascii="Palatino Linotype" w:hAnsi="Palatino Linotype" w:cs="Arial"/>
        </w:rPr>
      </w:pPr>
    </w:p>
    <w:sectPr w:rsidR="00CF1512" w:rsidRPr="00080788" w:rsidSect="00546029">
      <w:headerReference w:type="first" r:id="rId27"/>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07C0CA" w14:textId="77777777" w:rsidR="00420F80" w:rsidRDefault="00420F80" w:rsidP="00224D6A">
      <w:r>
        <w:separator/>
      </w:r>
    </w:p>
  </w:endnote>
  <w:endnote w:type="continuationSeparator" w:id="0">
    <w:p w14:paraId="0CDF3A06" w14:textId="77777777" w:rsidR="00420F80" w:rsidRDefault="00420F80"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F6B3D" w14:textId="6445F224" w:rsidR="00E5265E" w:rsidRPr="00F12350" w:rsidRDefault="00E5265E"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97CF3">
      <w:rPr>
        <w:rFonts w:ascii="Palatino Linotype" w:hAnsi="Palatino Linotype" w:cs="Arial"/>
        <w:b/>
        <w:bCs/>
        <w:noProof/>
        <w:sz w:val="20"/>
        <w:szCs w:val="20"/>
      </w:rPr>
      <w:t>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97CF3">
      <w:rPr>
        <w:rFonts w:ascii="Palatino Linotype" w:hAnsi="Palatino Linotype" w:cs="Arial"/>
        <w:b/>
        <w:bCs/>
        <w:noProof/>
        <w:sz w:val="20"/>
        <w:szCs w:val="20"/>
      </w:rPr>
      <w:t>39</w:t>
    </w:r>
    <w:r w:rsidRPr="00F12350">
      <w:rPr>
        <w:rFonts w:ascii="Palatino Linotype" w:hAnsi="Palatino Linotype" w:cs="Arial"/>
        <w:b/>
        <w:bCs/>
        <w:sz w:val="20"/>
        <w:szCs w:val="20"/>
      </w:rPr>
      <w:fldChar w:fldCharType="end"/>
    </w:r>
  </w:p>
  <w:p w14:paraId="1181F5F4" w14:textId="77777777" w:rsidR="00E5265E" w:rsidRDefault="00E5265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F19CB" w14:textId="1B0AB358" w:rsidR="00E5265E" w:rsidRPr="00F12350" w:rsidRDefault="00E5265E"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1295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1295E">
      <w:rPr>
        <w:rFonts w:ascii="Palatino Linotype" w:hAnsi="Palatino Linotype" w:cs="Arial"/>
        <w:b/>
        <w:bCs/>
        <w:noProof/>
        <w:sz w:val="20"/>
        <w:szCs w:val="20"/>
      </w:rPr>
      <w:t>39</w:t>
    </w:r>
    <w:r w:rsidRPr="00F12350">
      <w:rPr>
        <w:rFonts w:ascii="Palatino Linotype" w:hAnsi="Palatino Linotype" w:cs="Arial"/>
        <w:b/>
        <w:bCs/>
        <w:sz w:val="20"/>
        <w:szCs w:val="20"/>
      </w:rPr>
      <w:fldChar w:fldCharType="end"/>
    </w:r>
  </w:p>
  <w:p w14:paraId="090D5618" w14:textId="77777777" w:rsidR="00E5265E" w:rsidRDefault="00E5265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2C7A92" w14:textId="77777777" w:rsidR="00420F80" w:rsidRDefault="00420F80" w:rsidP="00224D6A">
      <w:r>
        <w:separator/>
      </w:r>
    </w:p>
  </w:footnote>
  <w:footnote w:type="continuationSeparator" w:id="0">
    <w:p w14:paraId="25FE130C" w14:textId="77777777" w:rsidR="00420F80" w:rsidRDefault="00420F80" w:rsidP="00224D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470FF" w14:textId="77777777" w:rsidR="00E5265E" w:rsidRDefault="00E5265E" w:rsidP="00E72E93">
    <w:pPr>
      <w:pStyle w:val="Encabezado"/>
      <w:jc w:val="both"/>
    </w:pPr>
    <w:r>
      <w:rPr>
        <w:noProof/>
        <w:lang w:val="en-US" w:eastAsia="en-US"/>
      </w:rPr>
      <w:drawing>
        <wp:anchor distT="0" distB="0" distL="114300" distR="114300" simplePos="0" relativeHeight="251661312" behindDoc="1" locked="0" layoutInCell="1" allowOverlap="1" wp14:anchorId="26CBB7A1" wp14:editId="70505E52">
          <wp:simplePos x="0" y="0"/>
          <wp:positionH relativeFrom="page">
            <wp:posOffset>414274</wp:posOffset>
          </wp:positionH>
          <wp:positionV relativeFrom="paragraph">
            <wp:posOffset>-453618</wp:posOffset>
          </wp:positionV>
          <wp:extent cx="7635600" cy="9943200"/>
          <wp:effectExtent l="0" t="0" r="381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E5265E" w14:paraId="117677CA" w14:textId="77777777" w:rsidTr="003A781E">
      <w:tc>
        <w:tcPr>
          <w:tcW w:w="2551" w:type="dxa"/>
          <w:vAlign w:val="center"/>
          <w:hideMark/>
        </w:tcPr>
        <w:p w14:paraId="043FA030" w14:textId="77777777" w:rsidR="00E5265E" w:rsidRDefault="00E5265E"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14:paraId="17F0F1BC" w14:textId="77777777" w:rsidR="00E5265E" w:rsidRDefault="00E5265E" w:rsidP="00607616">
          <w:pPr>
            <w:jc w:val="both"/>
            <w:rPr>
              <w:rFonts w:ascii="Palatino Linotype" w:hAnsi="Palatino Linotype"/>
              <w:b/>
              <w:sz w:val="22"/>
              <w:szCs w:val="22"/>
              <w:lang w:val="es-ES_tradnl"/>
            </w:rPr>
          </w:pPr>
          <w:r>
            <w:rPr>
              <w:rFonts w:ascii="Palatino Linotype" w:hAnsi="Palatino Linotype"/>
              <w:b/>
              <w:sz w:val="22"/>
              <w:szCs w:val="22"/>
              <w:lang w:val="es-ES_tradnl"/>
            </w:rPr>
            <w:t xml:space="preserve">06104/INFOEM/IP/RR/2021. </w:t>
          </w:r>
        </w:p>
      </w:tc>
    </w:tr>
    <w:tr w:rsidR="00E5265E" w14:paraId="067C1947" w14:textId="77777777" w:rsidTr="003A781E">
      <w:trPr>
        <w:trHeight w:val="228"/>
      </w:trPr>
      <w:tc>
        <w:tcPr>
          <w:tcW w:w="2551" w:type="dxa"/>
          <w:vAlign w:val="center"/>
          <w:hideMark/>
        </w:tcPr>
        <w:p w14:paraId="08DE4698" w14:textId="77777777" w:rsidR="00E5265E" w:rsidRDefault="00E5265E"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14:paraId="5246F043" w14:textId="77777777" w:rsidR="00E5265E" w:rsidRDefault="00E5265E" w:rsidP="00523162">
          <w:pPr>
            <w:jc w:val="both"/>
            <w:rPr>
              <w:rFonts w:ascii="Palatino Linotype" w:hAnsi="Palatino Linotype"/>
              <w:b/>
              <w:sz w:val="22"/>
              <w:szCs w:val="22"/>
              <w:lang w:val="es-ES_tradnl"/>
            </w:rPr>
          </w:pPr>
          <w:r>
            <w:rPr>
              <w:rFonts w:ascii="Palatino Linotype" w:hAnsi="Palatino Linotype"/>
              <w:b/>
              <w:sz w:val="22"/>
              <w:szCs w:val="22"/>
              <w:lang w:val="es-ES_tradnl"/>
            </w:rPr>
            <w:t>Instituto Electoral del Estado de México.</w:t>
          </w:r>
        </w:p>
      </w:tc>
    </w:tr>
    <w:tr w:rsidR="00E5265E" w14:paraId="108CDE4A" w14:textId="77777777" w:rsidTr="003A781E">
      <w:tc>
        <w:tcPr>
          <w:tcW w:w="2551" w:type="dxa"/>
          <w:vAlign w:val="center"/>
          <w:hideMark/>
        </w:tcPr>
        <w:p w14:paraId="61E27196" w14:textId="77777777" w:rsidR="00E5265E" w:rsidRDefault="00E5265E" w:rsidP="00E72E9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14:paraId="472C7B8E" w14:textId="77777777" w:rsidR="00E5265E" w:rsidRDefault="00E5265E"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7387F59" w14:textId="77777777" w:rsidR="00E5265E" w:rsidRDefault="00E5265E" w:rsidP="00E4481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BCF77" w14:textId="77777777" w:rsidR="00E5265E" w:rsidRDefault="00E5265E" w:rsidP="00C16B45">
    <w:pPr>
      <w:pStyle w:val="Encabezado"/>
      <w:jc w:val="both"/>
    </w:pPr>
    <w:r>
      <w:rPr>
        <w:noProof/>
        <w:lang w:val="en-US" w:eastAsia="en-US"/>
      </w:rPr>
      <w:drawing>
        <wp:anchor distT="0" distB="0" distL="114300" distR="114300" simplePos="0" relativeHeight="251659264" behindDoc="1" locked="0" layoutInCell="1" allowOverlap="1" wp14:anchorId="563F70E4" wp14:editId="5ADAB378">
          <wp:simplePos x="0" y="0"/>
          <wp:positionH relativeFrom="page">
            <wp:posOffset>399821</wp:posOffset>
          </wp:positionH>
          <wp:positionV relativeFrom="paragraph">
            <wp:posOffset>-168885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812" w:type="dxa"/>
      <w:tblInd w:w="3119" w:type="dxa"/>
      <w:tblLayout w:type="fixed"/>
      <w:tblLook w:val="04A0" w:firstRow="1" w:lastRow="0" w:firstColumn="1" w:lastColumn="0" w:noHBand="0" w:noVBand="1"/>
    </w:tblPr>
    <w:tblGrid>
      <w:gridCol w:w="2551"/>
      <w:gridCol w:w="3261"/>
    </w:tblGrid>
    <w:tr w:rsidR="00E5265E" w14:paraId="53E695D9" w14:textId="77777777" w:rsidTr="00FF6012">
      <w:tc>
        <w:tcPr>
          <w:tcW w:w="2551" w:type="dxa"/>
          <w:vAlign w:val="center"/>
          <w:hideMark/>
        </w:tcPr>
        <w:p w14:paraId="13A2E020" w14:textId="77777777" w:rsidR="00E5265E" w:rsidRDefault="00E5265E" w:rsidP="00224D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261" w:type="dxa"/>
          <w:vAlign w:val="center"/>
          <w:hideMark/>
        </w:tcPr>
        <w:p w14:paraId="6A7CE192" w14:textId="77777777" w:rsidR="00E5265E" w:rsidRDefault="00E5265E" w:rsidP="00607616">
          <w:pPr>
            <w:jc w:val="both"/>
            <w:rPr>
              <w:rFonts w:ascii="Palatino Linotype" w:hAnsi="Palatino Linotype"/>
              <w:b/>
              <w:sz w:val="22"/>
              <w:szCs w:val="22"/>
              <w:lang w:val="es-ES_tradnl"/>
            </w:rPr>
          </w:pPr>
          <w:r>
            <w:rPr>
              <w:rFonts w:ascii="Palatino Linotype" w:hAnsi="Palatino Linotype"/>
              <w:b/>
              <w:sz w:val="22"/>
              <w:szCs w:val="22"/>
              <w:lang w:val="es-ES_tradnl"/>
            </w:rPr>
            <w:t xml:space="preserve">06104/INFOEM/IP/RR/2021. </w:t>
          </w:r>
        </w:p>
      </w:tc>
    </w:tr>
    <w:tr w:rsidR="00E5265E" w14:paraId="0905AC1B" w14:textId="77777777" w:rsidTr="00FF6012">
      <w:tc>
        <w:tcPr>
          <w:tcW w:w="2551" w:type="dxa"/>
          <w:vAlign w:val="center"/>
          <w:hideMark/>
        </w:tcPr>
        <w:p w14:paraId="500F90AE" w14:textId="77777777" w:rsidR="00E5265E" w:rsidRDefault="00E5265E" w:rsidP="00224D6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261" w:type="dxa"/>
          <w:vAlign w:val="center"/>
          <w:hideMark/>
        </w:tcPr>
        <w:p w14:paraId="002E3DCE" w14:textId="553EC13D" w:rsidR="00E5265E" w:rsidRDefault="00D1295E" w:rsidP="00224D6A">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 </w:t>
          </w:r>
          <w:proofErr w:type="spellStart"/>
          <w:r>
            <w:rPr>
              <w:rFonts w:ascii="Palatino Linotype" w:hAnsi="Palatino Linotype"/>
              <w:b/>
              <w:sz w:val="22"/>
              <w:szCs w:val="22"/>
              <w:lang w:val="es-ES_tradnl"/>
            </w:rPr>
            <w:t>XXXXX</w:t>
          </w:r>
          <w:proofErr w:type="spellEnd"/>
          <w:r w:rsidR="00E5265E">
            <w:rPr>
              <w:rFonts w:ascii="Palatino Linotype" w:hAnsi="Palatino Linotype"/>
              <w:b/>
              <w:sz w:val="22"/>
              <w:szCs w:val="22"/>
              <w:lang w:val="es-ES_tradnl"/>
            </w:rPr>
            <w:t>.</w:t>
          </w:r>
        </w:p>
      </w:tc>
    </w:tr>
    <w:tr w:rsidR="00E5265E" w14:paraId="0534562A" w14:textId="77777777" w:rsidTr="00FF6012">
      <w:trPr>
        <w:trHeight w:val="228"/>
      </w:trPr>
      <w:tc>
        <w:tcPr>
          <w:tcW w:w="2551" w:type="dxa"/>
          <w:vAlign w:val="center"/>
          <w:hideMark/>
        </w:tcPr>
        <w:p w14:paraId="39A837FD" w14:textId="77777777" w:rsidR="00E5265E" w:rsidRDefault="00E5265E" w:rsidP="00224D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261" w:type="dxa"/>
          <w:vAlign w:val="center"/>
          <w:hideMark/>
        </w:tcPr>
        <w:p w14:paraId="0578C543" w14:textId="77777777" w:rsidR="00E5265E" w:rsidRDefault="00E5265E" w:rsidP="00D37F34">
          <w:pPr>
            <w:jc w:val="both"/>
            <w:rPr>
              <w:rFonts w:ascii="Palatino Linotype" w:hAnsi="Palatino Linotype"/>
              <w:b/>
              <w:sz w:val="22"/>
              <w:szCs w:val="22"/>
              <w:lang w:val="es-ES_tradnl"/>
            </w:rPr>
          </w:pPr>
          <w:r>
            <w:rPr>
              <w:rFonts w:ascii="Palatino Linotype" w:hAnsi="Palatino Linotype"/>
              <w:b/>
              <w:sz w:val="22"/>
              <w:szCs w:val="22"/>
              <w:lang w:val="es-ES_tradnl"/>
            </w:rPr>
            <w:t>Instituto Electoral del Estado de México.</w:t>
          </w:r>
        </w:p>
      </w:tc>
    </w:tr>
    <w:tr w:rsidR="00E5265E" w14:paraId="533FC18D" w14:textId="77777777" w:rsidTr="00FF6012">
      <w:tc>
        <w:tcPr>
          <w:tcW w:w="2551" w:type="dxa"/>
          <w:vAlign w:val="center"/>
          <w:hideMark/>
        </w:tcPr>
        <w:p w14:paraId="43DA2CEC" w14:textId="77777777" w:rsidR="00E5265E" w:rsidRDefault="00E5265E" w:rsidP="00224D6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261" w:type="dxa"/>
          <w:vAlign w:val="center"/>
          <w:hideMark/>
        </w:tcPr>
        <w:p w14:paraId="23FA4542" w14:textId="77777777" w:rsidR="00E5265E" w:rsidRDefault="00E5265E" w:rsidP="00224D6A">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4FF1307D" w14:textId="77777777" w:rsidR="00E5265E" w:rsidRDefault="00E5265E" w:rsidP="00224D6A">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A9934" w14:textId="77777777" w:rsidR="00E5265E" w:rsidRDefault="00E5265E" w:rsidP="00C16B45">
    <w:pPr>
      <w:pStyle w:val="Encabezado"/>
      <w:jc w:val="both"/>
    </w:pPr>
  </w:p>
  <w:p w14:paraId="5DF4645D" w14:textId="77777777" w:rsidR="00E5265E" w:rsidRDefault="00E5265E" w:rsidP="00224D6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20E60"/>
    <w:multiLevelType w:val="hybridMultilevel"/>
    <w:tmpl w:val="AE5C808A"/>
    <w:lvl w:ilvl="0" w:tplc="AD729EBA">
      <w:start w:val="1"/>
      <w:numFmt w:val="upperRoman"/>
      <w:lvlText w:val="%1."/>
      <w:lvlJc w:val="left"/>
      <w:pPr>
        <w:ind w:left="1347" w:hanging="72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 w15:restartNumberingAfterBreak="0">
    <w:nsid w:val="10F95F3C"/>
    <w:multiLevelType w:val="hybridMultilevel"/>
    <w:tmpl w:val="755A8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6251837"/>
    <w:multiLevelType w:val="hybridMultilevel"/>
    <w:tmpl w:val="6C382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75D2098"/>
    <w:multiLevelType w:val="hybridMultilevel"/>
    <w:tmpl w:val="D256B2C4"/>
    <w:lvl w:ilvl="0" w:tplc="83CE1DFC">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3AAC0CD0"/>
    <w:multiLevelType w:val="hybridMultilevel"/>
    <w:tmpl w:val="D0282DD6"/>
    <w:lvl w:ilvl="0" w:tplc="023AE92C">
      <w:start w:val="1"/>
      <w:numFmt w:val="lowerLetter"/>
      <w:lvlText w:val="%1)"/>
      <w:lvlJc w:val="left"/>
      <w:pPr>
        <w:ind w:left="987" w:hanging="360"/>
      </w:pPr>
      <w:rPr>
        <w:rFonts w:hint="default"/>
      </w:rPr>
    </w:lvl>
    <w:lvl w:ilvl="1" w:tplc="080A0019" w:tentative="1">
      <w:start w:val="1"/>
      <w:numFmt w:val="lowerLetter"/>
      <w:lvlText w:val="%2."/>
      <w:lvlJc w:val="left"/>
      <w:pPr>
        <w:ind w:left="1707" w:hanging="360"/>
      </w:p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5" w15:restartNumberingAfterBreak="0">
    <w:nsid w:val="3D9F47C7"/>
    <w:multiLevelType w:val="hybridMultilevel"/>
    <w:tmpl w:val="06DED0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A14C68"/>
    <w:multiLevelType w:val="hybridMultilevel"/>
    <w:tmpl w:val="FC840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452776"/>
    <w:multiLevelType w:val="hybridMultilevel"/>
    <w:tmpl w:val="AE28A544"/>
    <w:lvl w:ilvl="0" w:tplc="AE2A269E">
      <w:start w:val="1"/>
      <w:numFmt w:val="decimal"/>
      <w:lvlText w:val="%1."/>
      <w:lvlJc w:val="left"/>
      <w:pPr>
        <w:ind w:left="1440" w:hanging="360"/>
      </w:pPr>
      <w:rPr>
        <w:b/>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687F14CE"/>
    <w:multiLevelType w:val="hybridMultilevel"/>
    <w:tmpl w:val="09F44904"/>
    <w:lvl w:ilvl="0" w:tplc="69E27CA2">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6ACB290C"/>
    <w:multiLevelType w:val="hybridMultilevel"/>
    <w:tmpl w:val="D99485EE"/>
    <w:lvl w:ilvl="0" w:tplc="30ACAD4C">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994058C"/>
    <w:multiLevelType w:val="hybridMultilevel"/>
    <w:tmpl w:val="E8C08B3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D74212B"/>
    <w:multiLevelType w:val="hybridMultilevel"/>
    <w:tmpl w:val="579425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1"/>
  </w:num>
  <w:num w:numId="4">
    <w:abstractNumId w:val="5"/>
  </w:num>
  <w:num w:numId="5">
    <w:abstractNumId w:val="8"/>
  </w:num>
  <w:num w:numId="6">
    <w:abstractNumId w:val="6"/>
  </w:num>
  <w:num w:numId="7">
    <w:abstractNumId w:val="3"/>
  </w:num>
  <w:num w:numId="8">
    <w:abstractNumId w:val="2"/>
  </w:num>
  <w:num w:numId="9">
    <w:abstractNumId w:val="1"/>
  </w:num>
  <w:num w:numId="10">
    <w:abstractNumId w:val="7"/>
  </w:num>
  <w:num w:numId="11">
    <w:abstractNumId w:val="10"/>
  </w:num>
  <w:num w:numId="12">
    <w:abstractNumId w:val="0"/>
  </w:num>
  <w:num w:numId="1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33B1"/>
    <w:rsid w:val="0000626B"/>
    <w:rsid w:val="000065CB"/>
    <w:rsid w:val="00013BC3"/>
    <w:rsid w:val="00017AB4"/>
    <w:rsid w:val="00020628"/>
    <w:rsid w:val="00021168"/>
    <w:rsid w:val="000216E2"/>
    <w:rsid w:val="00021952"/>
    <w:rsid w:val="00022E04"/>
    <w:rsid w:val="000302F2"/>
    <w:rsid w:val="000337DA"/>
    <w:rsid w:val="00057382"/>
    <w:rsid w:val="00062052"/>
    <w:rsid w:val="00066EA9"/>
    <w:rsid w:val="00066F1A"/>
    <w:rsid w:val="00072D95"/>
    <w:rsid w:val="000750A7"/>
    <w:rsid w:val="00076C9A"/>
    <w:rsid w:val="00080788"/>
    <w:rsid w:val="00085172"/>
    <w:rsid w:val="00097DC6"/>
    <w:rsid w:val="000A3261"/>
    <w:rsid w:val="000A7478"/>
    <w:rsid w:val="000B2F29"/>
    <w:rsid w:val="000B3107"/>
    <w:rsid w:val="000B37AE"/>
    <w:rsid w:val="000C3480"/>
    <w:rsid w:val="000D4727"/>
    <w:rsid w:val="000D4A20"/>
    <w:rsid w:val="000E0F0F"/>
    <w:rsid w:val="000E4227"/>
    <w:rsid w:val="000E7709"/>
    <w:rsid w:val="000E77F3"/>
    <w:rsid w:val="000E7C24"/>
    <w:rsid w:val="000E7CB7"/>
    <w:rsid w:val="000F2D64"/>
    <w:rsid w:val="000F51C1"/>
    <w:rsid w:val="000F659E"/>
    <w:rsid w:val="001059EC"/>
    <w:rsid w:val="00114A6D"/>
    <w:rsid w:val="00114A9A"/>
    <w:rsid w:val="00116785"/>
    <w:rsid w:val="00117C06"/>
    <w:rsid w:val="0012337E"/>
    <w:rsid w:val="001304BD"/>
    <w:rsid w:val="001342BD"/>
    <w:rsid w:val="00135CAE"/>
    <w:rsid w:val="00137A4F"/>
    <w:rsid w:val="00142FA9"/>
    <w:rsid w:val="00143B6A"/>
    <w:rsid w:val="00146257"/>
    <w:rsid w:val="00153C0D"/>
    <w:rsid w:val="00154522"/>
    <w:rsid w:val="00161C08"/>
    <w:rsid w:val="001639B7"/>
    <w:rsid w:val="00164DEC"/>
    <w:rsid w:val="0016718A"/>
    <w:rsid w:val="00171420"/>
    <w:rsid w:val="001714D5"/>
    <w:rsid w:val="001739E0"/>
    <w:rsid w:val="00173DD2"/>
    <w:rsid w:val="001778FE"/>
    <w:rsid w:val="00181755"/>
    <w:rsid w:val="00184165"/>
    <w:rsid w:val="00186050"/>
    <w:rsid w:val="001919AA"/>
    <w:rsid w:val="001919E8"/>
    <w:rsid w:val="0019336E"/>
    <w:rsid w:val="0019366F"/>
    <w:rsid w:val="00194DE5"/>
    <w:rsid w:val="00195135"/>
    <w:rsid w:val="001A0CFD"/>
    <w:rsid w:val="001A17B0"/>
    <w:rsid w:val="001A4769"/>
    <w:rsid w:val="001A5DB6"/>
    <w:rsid w:val="001A73AF"/>
    <w:rsid w:val="001B5585"/>
    <w:rsid w:val="001C16F6"/>
    <w:rsid w:val="001C54FE"/>
    <w:rsid w:val="001D67FB"/>
    <w:rsid w:val="001E04EA"/>
    <w:rsid w:val="001E35F1"/>
    <w:rsid w:val="001E571F"/>
    <w:rsid w:val="001F5725"/>
    <w:rsid w:val="001F70C7"/>
    <w:rsid w:val="001F72FB"/>
    <w:rsid w:val="001F7300"/>
    <w:rsid w:val="00204F0A"/>
    <w:rsid w:val="00206CFD"/>
    <w:rsid w:val="0021444D"/>
    <w:rsid w:val="00214E16"/>
    <w:rsid w:val="002175D9"/>
    <w:rsid w:val="00220365"/>
    <w:rsid w:val="00223917"/>
    <w:rsid w:val="00223B07"/>
    <w:rsid w:val="00224D6A"/>
    <w:rsid w:val="00225356"/>
    <w:rsid w:val="0022754A"/>
    <w:rsid w:val="0023470C"/>
    <w:rsid w:val="00235A8C"/>
    <w:rsid w:val="00237A11"/>
    <w:rsid w:val="002417A9"/>
    <w:rsid w:val="002420B5"/>
    <w:rsid w:val="0024214B"/>
    <w:rsid w:val="00256048"/>
    <w:rsid w:val="00264A2B"/>
    <w:rsid w:val="00264FF6"/>
    <w:rsid w:val="00266B48"/>
    <w:rsid w:val="00273EF3"/>
    <w:rsid w:val="00275567"/>
    <w:rsid w:val="00276DAD"/>
    <w:rsid w:val="00284E68"/>
    <w:rsid w:val="00293CA1"/>
    <w:rsid w:val="002A05B6"/>
    <w:rsid w:val="002A35DF"/>
    <w:rsid w:val="002A51B2"/>
    <w:rsid w:val="002B0D00"/>
    <w:rsid w:val="002C3D27"/>
    <w:rsid w:val="002C430A"/>
    <w:rsid w:val="002D0122"/>
    <w:rsid w:val="002D2177"/>
    <w:rsid w:val="002D5D7C"/>
    <w:rsid w:val="002D6562"/>
    <w:rsid w:val="002E0FEE"/>
    <w:rsid w:val="002E1C93"/>
    <w:rsid w:val="002E5396"/>
    <w:rsid w:val="002F0E46"/>
    <w:rsid w:val="002F5C11"/>
    <w:rsid w:val="00304AEB"/>
    <w:rsid w:val="00310FEA"/>
    <w:rsid w:val="003132E1"/>
    <w:rsid w:val="00313ADE"/>
    <w:rsid w:val="003214F0"/>
    <w:rsid w:val="003239B7"/>
    <w:rsid w:val="00325BCC"/>
    <w:rsid w:val="0033087D"/>
    <w:rsid w:val="00332007"/>
    <w:rsid w:val="00334A3B"/>
    <w:rsid w:val="00336113"/>
    <w:rsid w:val="00340981"/>
    <w:rsid w:val="00343DBF"/>
    <w:rsid w:val="003443C1"/>
    <w:rsid w:val="00345F68"/>
    <w:rsid w:val="00363976"/>
    <w:rsid w:val="00365264"/>
    <w:rsid w:val="003675B4"/>
    <w:rsid w:val="00367B45"/>
    <w:rsid w:val="00370411"/>
    <w:rsid w:val="00371042"/>
    <w:rsid w:val="00371611"/>
    <w:rsid w:val="00376E5B"/>
    <w:rsid w:val="003805BC"/>
    <w:rsid w:val="00381705"/>
    <w:rsid w:val="00382DC3"/>
    <w:rsid w:val="003843FF"/>
    <w:rsid w:val="00386076"/>
    <w:rsid w:val="00392F63"/>
    <w:rsid w:val="0039561D"/>
    <w:rsid w:val="003956C5"/>
    <w:rsid w:val="003A10D3"/>
    <w:rsid w:val="003A24CA"/>
    <w:rsid w:val="003A781E"/>
    <w:rsid w:val="003B0CBF"/>
    <w:rsid w:val="003B1205"/>
    <w:rsid w:val="003B19DA"/>
    <w:rsid w:val="003B4C11"/>
    <w:rsid w:val="003B6824"/>
    <w:rsid w:val="003C1448"/>
    <w:rsid w:val="003C4A56"/>
    <w:rsid w:val="003D4D8A"/>
    <w:rsid w:val="003E67EC"/>
    <w:rsid w:val="003E7C61"/>
    <w:rsid w:val="003E7E3F"/>
    <w:rsid w:val="003F367C"/>
    <w:rsid w:val="00410C9F"/>
    <w:rsid w:val="00410F2C"/>
    <w:rsid w:val="00416F97"/>
    <w:rsid w:val="00420F80"/>
    <w:rsid w:val="00421840"/>
    <w:rsid w:val="00422958"/>
    <w:rsid w:val="00425F15"/>
    <w:rsid w:val="00430001"/>
    <w:rsid w:val="00431776"/>
    <w:rsid w:val="00435474"/>
    <w:rsid w:val="00441DEC"/>
    <w:rsid w:val="0044607B"/>
    <w:rsid w:val="004464C9"/>
    <w:rsid w:val="00451B62"/>
    <w:rsid w:val="00452381"/>
    <w:rsid w:val="00452AA3"/>
    <w:rsid w:val="00455513"/>
    <w:rsid w:val="00457936"/>
    <w:rsid w:val="00461C88"/>
    <w:rsid w:val="00463004"/>
    <w:rsid w:val="00463DA0"/>
    <w:rsid w:val="004674B2"/>
    <w:rsid w:val="00485EA8"/>
    <w:rsid w:val="004879EC"/>
    <w:rsid w:val="00490FD1"/>
    <w:rsid w:val="00497306"/>
    <w:rsid w:val="00497433"/>
    <w:rsid w:val="004A78DC"/>
    <w:rsid w:val="004B0649"/>
    <w:rsid w:val="004B0F26"/>
    <w:rsid w:val="004B7469"/>
    <w:rsid w:val="004B7530"/>
    <w:rsid w:val="004C3356"/>
    <w:rsid w:val="004C66D0"/>
    <w:rsid w:val="004C7BE4"/>
    <w:rsid w:val="004D295E"/>
    <w:rsid w:val="004D4789"/>
    <w:rsid w:val="004D6F01"/>
    <w:rsid w:val="004E51D4"/>
    <w:rsid w:val="004E52CD"/>
    <w:rsid w:val="004F55A8"/>
    <w:rsid w:val="004F6F27"/>
    <w:rsid w:val="005029F6"/>
    <w:rsid w:val="00502E92"/>
    <w:rsid w:val="00505840"/>
    <w:rsid w:val="005124BF"/>
    <w:rsid w:val="005165E9"/>
    <w:rsid w:val="0051785D"/>
    <w:rsid w:val="00523162"/>
    <w:rsid w:val="00523D85"/>
    <w:rsid w:val="00523E38"/>
    <w:rsid w:val="005243F3"/>
    <w:rsid w:val="00526638"/>
    <w:rsid w:val="00530E63"/>
    <w:rsid w:val="005323AC"/>
    <w:rsid w:val="005426EA"/>
    <w:rsid w:val="00546029"/>
    <w:rsid w:val="005507DC"/>
    <w:rsid w:val="0055177F"/>
    <w:rsid w:val="005642F3"/>
    <w:rsid w:val="005801D7"/>
    <w:rsid w:val="00580FEE"/>
    <w:rsid w:val="00581E17"/>
    <w:rsid w:val="00595457"/>
    <w:rsid w:val="005957A1"/>
    <w:rsid w:val="005A336B"/>
    <w:rsid w:val="005A4239"/>
    <w:rsid w:val="005A59DC"/>
    <w:rsid w:val="005B0700"/>
    <w:rsid w:val="005B2516"/>
    <w:rsid w:val="005B4FF1"/>
    <w:rsid w:val="005B5471"/>
    <w:rsid w:val="005C2B9A"/>
    <w:rsid w:val="005C5535"/>
    <w:rsid w:val="005D0014"/>
    <w:rsid w:val="005D0C5E"/>
    <w:rsid w:val="005D418B"/>
    <w:rsid w:val="005F0C47"/>
    <w:rsid w:val="005F4F30"/>
    <w:rsid w:val="00600DF9"/>
    <w:rsid w:val="0060122B"/>
    <w:rsid w:val="00603299"/>
    <w:rsid w:val="0060547A"/>
    <w:rsid w:val="00607616"/>
    <w:rsid w:val="00625BB7"/>
    <w:rsid w:val="006302EB"/>
    <w:rsid w:val="00633801"/>
    <w:rsid w:val="0063409B"/>
    <w:rsid w:val="00640896"/>
    <w:rsid w:val="00641CF7"/>
    <w:rsid w:val="00642ED3"/>
    <w:rsid w:val="00651917"/>
    <w:rsid w:val="00651AE4"/>
    <w:rsid w:val="00651B2F"/>
    <w:rsid w:val="00664964"/>
    <w:rsid w:val="00666A8D"/>
    <w:rsid w:val="00671278"/>
    <w:rsid w:val="00672D97"/>
    <w:rsid w:val="0067330D"/>
    <w:rsid w:val="00673AC9"/>
    <w:rsid w:val="00673F19"/>
    <w:rsid w:val="00686C66"/>
    <w:rsid w:val="00691592"/>
    <w:rsid w:val="0069454E"/>
    <w:rsid w:val="00695C47"/>
    <w:rsid w:val="00696312"/>
    <w:rsid w:val="006975B4"/>
    <w:rsid w:val="00697CF3"/>
    <w:rsid w:val="006A1938"/>
    <w:rsid w:val="006A4E45"/>
    <w:rsid w:val="006A6677"/>
    <w:rsid w:val="006C0E62"/>
    <w:rsid w:val="006C60A8"/>
    <w:rsid w:val="006E32F0"/>
    <w:rsid w:val="006F2CD4"/>
    <w:rsid w:val="006F37E6"/>
    <w:rsid w:val="006F40FE"/>
    <w:rsid w:val="006F525D"/>
    <w:rsid w:val="006F54CC"/>
    <w:rsid w:val="00710653"/>
    <w:rsid w:val="007122F1"/>
    <w:rsid w:val="00713DD7"/>
    <w:rsid w:val="00720105"/>
    <w:rsid w:val="00722A61"/>
    <w:rsid w:val="00723982"/>
    <w:rsid w:val="00725B96"/>
    <w:rsid w:val="0073045B"/>
    <w:rsid w:val="007340F9"/>
    <w:rsid w:val="007372F8"/>
    <w:rsid w:val="00743286"/>
    <w:rsid w:val="00745A16"/>
    <w:rsid w:val="00747FEA"/>
    <w:rsid w:val="00752494"/>
    <w:rsid w:val="00762CC0"/>
    <w:rsid w:val="00765059"/>
    <w:rsid w:val="0077066B"/>
    <w:rsid w:val="007712FA"/>
    <w:rsid w:val="00776053"/>
    <w:rsid w:val="00776D97"/>
    <w:rsid w:val="00777D38"/>
    <w:rsid w:val="00782D84"/>
    <w:rsid w:val="0079066D"/>
    <w:rsid w:val="00795888"/>
    <w:rsid w:val="007A0BDE"/>
    <w:rsid w:val="007A1454"/>
    <w:rsid w:val="007A227A"/>
    <w:rsid w:val="007A6AB4"/>
    <w:rsid w:val="007B06C5"/>
    <w:rsid w:val="007B1492"/>
    <w:rsid w:val="007B1D27"/>
    <w:rsid w:val="007B4FF6"/>
    <w:rsid w:val="007B6F90"/>
    <w:rsid w:val="007C08DD"/>
    <w:rsid w:val="007C26DD"/>
    <w:rsid w:val="007D1767"/>
    <w:rsid w:val="007D2A90"/>
    <w:rsid w:val="007D2B2F"/>
    <w:rsid w:val="007D5323"/>
    <w:rsid w:val="007D70B1"/>
    <w:rsid w:val="007E28D4"/>
    <w:rsid w:val="007E6426"/>
    <w:rsid w:val="007F09BB"/>
    <w:rsid w:val="008029E6"/>
    <w:rsid w:val="008035A8"/>
    <w:rsid w:val="0080428C"/>
    <w:rsid w:val="00815FD8"/>
    <w:rsid w:val="00821319"/>
    <w:rsid w:val="008233A9"/>
    <w:rsid w:val="008317A2"/>
    <w:rsid w:val="00834EA2"/>
    <w:rsid w:val="008422E5"/>
    <w:rsid w:val="0084361B"/>
    <w:rsid w:val="00854B1C"/>
    <w:rsid w:val="00854E39"/>
    <w:rsid w:val="008558D7"/>
    <w:rsid w:val="0085799A"/>
    <w:rsid w:val="0086027F"/>
    <w:rsid w:val="0086352A"/>
    <w:rsid w:val="008637C7"/>
    <w:rsid w:val="00867675"/>
    <w:rsid w:val="0087361A"/>
    <w:rsid w:val="0087684B"/>
    <w:rsid w:val="00877D50"/>
    <w:rsid w:val="00880949"/>
    <w:rsid w:val="008836B2"/>
    <w:rsid w:val="00883EF7"/>
    <w:rsid w:val="00891D21"/>
    <w:rsid w:val="0089424B"/>
    <w:rsid w:val="008A05A3"/>
    <w:rsid w:val="008A0CDC"/>
    <w:rsid w:val="008A100D"/>
    <w:rsid w:val="008A3111"/>
    <w:rsid w:val="008A5F08"/>
    <w:rsid w:val="008B0441"/>
    <w:rsid w:val="008B189C"/>
    <w:rsid w:val="008B5639"/>
    <w:rsid w:val="008C01E0"/>
    <w:rsid w:val="008C2631"/>
    <w:rsid w:val="008C2881"/>
    <w:rsid w:val="008D7A6F"/>
    <w:rsid w:val="008E05FD"/>
    <w:rsid w:val="008E3BFA"/>
    <w:rsid w:val="008E520C"/>
    <w:rsid w:val="008E77DE"/>
    <w:rsid w:val="008F2AD9"/>
    <w:rsid w:val="008F324A"/>
    <w:rsid w:val="0090554D"/>
    <w:rsid w:val="00907540"/>
    <w:rsid w:val="0091364E"/>
    <w:rsid w:val="00921A6C"/>
    <w:rsid w:val="009248F0"/>
    <w:rsid w:val="00924C8C"/>
    <w:rsid w:val="00924D37"/>
    <w:rsid w:val="00926155"/>
    <w:rsid w:val="00944CD5"/>
    <w:rsid w:val="00945457"/>
    <w:rsid w:val="00950BEC"/>
    <w:rsid w:val="00950DD8"/>
    <w:rsid w:val="00957724"/>
    <w:rsid w:val="00966ED1"/>
    <w:rsid w:val="00976507"/>
    <w:rsid w:val="0098057B"/>
    <w:rsid w:val="00987D58"/>
    <w:rsid w:val="009902CB"/>
    <w:rsid w:val="0099311E"/>
    <w:rsid w:val="00997B8F"/>
    <w:rsid w:val="00997F0F"/>
    <w:rsid w:val="009A15B8"/>
    <w:rsid w:val="009A47BE"/>
    <w:rsid w:val="009B546E"/>
    <w:rsid w:val="009C0C03"/>
    <w:rsid w:val="009D11CB"/>
    <w:rsid w:val="009D67A9"/>
    <w:rsid w:val="009E1FAD"/>
    <w:rsid w:val="009E29B5"/>
    <w:rsid w:val="009E71E7"/>
    <w:rsid w:val="009F00A5"/>
    <w:rsid w:val="009F06EB"/>
    <w:rsid w:val="009F0D84"/>
    <w:rsid w:val="00A04105"/>
    <w:rsid w:val="00A11D70"/>
    <w:rsid w:val="00A14290"/>
    <w:rsid w:val="00A147B8"/>
    <w:rsid w:val="00A26A48"/>
    <w:rsid w:val="00A32E26"/>
    <w:rsid w:val="00A3384C"/>
    <w:rsid w:val="00A34630"/>
    <w:rsid w:val="00A501F2"/>
    <w:rsid w:val="00A5794E"/>
    <w:rsid w:val="00A6296F"/>
    <w:rsid w:val="00A63E3B"/>
    <w:rsid w:val="00A64402"/>
    <w:rsid w:val="00A65589"/>
    <w:rsid w:val="00A73EBC"/>
    <w:rsid w:val="00A7660E"/>
    <w:rsid w:val="00A77769"/>
    <w:rsid w:val="00A84300"/>
    <w:rsid w:val="00A85C83"/>
    <w:rsid w:val="00A9340E"/>
    <w:rsid w:val="00A97C81"/>
    <w:rsid w:val="00AA1D9C"/>
    <w:rsid w:val="00AA23D5"/>
    <w:rsid w:val="00AA3766"/>
    <w:rsid w:val="00AA47E4"/>
    <w:rsid w:val="00AA5B9D"/>
    <w:rsid w:val="00AB36CE"/>
    <w:rsid w:val="00AB4201"/>
    <w:rsid w:val="00AB4D6F"/>
    <w:rsid w:val="00AC2D4D"/>
    <w:rsid w:val="00AC6C2A"/>
    <w:rsid w:val="00AC7486"/>
    <w:rsid w:val="00AD1F1D"/>
    <w:rsid w:val="00AD754C"/>
    <w:rsid w:val="00AF1553"/>
    <w:rsid w:val="00AF6A2E"/>
    <w:rsid w:val="00B00578"/>
    <w:rsid w:val="00B02E01"/>
    <w:rsid w:val="00B03EB3"/>
    <w:rsid w:val="00B10115"/>
    <w:rsid w:val="00B14305"/>
    <w:rsid w:val="00B14A3E"/>
    <w:rsid w:val="00B20D9F"/>
    <w:rsid w:val="00B276BE"/>
    <w:rsid w:val="00B307A8"/>
    <w:rsid w:val="00B34FD8"/>
    <w:rsid w:val="00B3711F"/>
    <w:rsid w:val="00B405C8"/>
    <w:rsid w:val="00B40A84"/>
    <w:rsid w:val="00B43A42"/>
    <w:rsid w:val="00B45A6B"/>
    <w:rsid w:val="00B46471"/>
    <w:rsid w:val="00B4797C"/>
    <w:rsid w:val="00B51B20"/>
    <w:rsid w:val="00B55F88"/>
    <w:rsid w:val="00B6364F"/>
    <w:rsid w:val="00B83B96"/>
    <w:rsid w:val="00B92C62"/>
    <w:rsid w:val="00B94E90"/>
    <w:rsid w:val="00B966F1"/>
    <w:rsid w:val="00BA033C"/>
    <w:rsid w:val="00BA137B"/>
    <w:rsid w:val="00BA71E9"/>
    <w:rsid w:val="00BB2A04"/>
    <w:rsid w:val="00BB2B3D"/>
    <w:rsid w:val="00BB4ED8"/>
    <w:rsid w:val="00BB5235"/>
    <w:rsid w:val="00BB61F7"/>
    <w:rsid w:val="00BB75C3"/>
    <w:rsid w:val="00BB7CA5"/>
    <w:rsid w:val="00BC47CA"/>
    <w:rsid w:val="00BC6271"/>
    <w:rsid w:val="00BD1EA0"/>
    <w:rsid w:val="00BD1F18"/>
    <w:rsid w:val="00BD626D"/>
    <w:rsid w:val="00BE2564"/>
    <w:rsid w:val="00BE27DF"/>
    <w:rsid w:val="00BE545E"/>
    <w:rsid w:val="00BE5DED"/>
    <w:rsid w:val="00BF025D"/>
    <w:rsid w:val="00BF5449"/>
    <w:rsid w:val="00C01EF3"/>
    <w:rsid w:val="00C051EB"/>
    <w:rsid w:val="00C055C3"/>
    <w:rsid w:val="00C05B60"/>
    <w:rsid w:val="00C10079"/>
    <w:rsid w:val="00C1056D"/>
    <w:rsid w:val="00C11D2B"/>
    <w:rsid w:val="00C12F96"/>
    <w:rsid w:val="00C16B1E"/>
    <w:rsid w:val="00C16B45"/>
    <w:rsid w:val="00C17246"/>
    <w:rsid w:val="00C31A4E"/>
    <w:rsid w:val="00C367B8"/>
    <w:rsid w:val="00C379C5"/>
    <w:rsid w:val="00C407B9"/>
    <w:rsid w:val="00C41145"/>
    <w:rsid w:val="00C52873"/>
    <w:rsid w:val="00C57D70"/>
    <w:rsid w:val="00C61B4C"/>
    <w:rsid w:val="00C6446B"/>
    <w:rsid w:val="00C66BA8"/>
    <w:rsid w:val="00C7645F"/>
    <w:rsid w:val="00C82CD3"/>
    <w:rsid w:val="00C83776"/>
    <w:rsid w:val="00C845C8"/>
    <w:rsid w:val="00C910ED"/>
    <w:rsid w:val="00C9302C"/>
    <w:rsid w:val="00C94686"/>
    <w:rsid w:val="00CA75B6"/>
    <w:rsid w:val="00CA7CFD"/>
    <w:rsid w:val="00CC2539"/>
    <w:rsid w:val="00CC3412"/>
    <w:rsid w:val="00CC51B6"/>
    <w:rsid w:val="00CD1FAF"/>
    <w:rsid w:val="00CD2828"/>
    <w:rsid w:val="00CD4117"/>
    <w:rsid w:val="00CE3484"/>
    <w:rsid w:val="00CE541B"/>
    <w:rsid w:val="00CF1512"/>
    <w:rsid w:val="00D027C7"/>
    <w:rsid w:val="00D03D82"/>
    <w:rsid w:val="00D04AE4"/>
    <w:rsid w:val="00D04B37"/>
    <w:rsid w:val="00D1295E"/>
    <w:rsid w:val="00D129B1"/>
    <w:rsid w:val="00D135C7"/>
    <w:rsid w:val="00D213EC"/>
    <w:rsid w:val="00D215DE"/>
    <w:rsid w:val="00D24040"/>
    <w:rsid w:val="00D24B11"/>
    <w:rsid w:val="00D2638F"/>
    <w:rsid w:val="00D27626"/>
    <w:rsid w:val="00D312D8"/>
    <w:rsid w:val="00D35465"/>
    <w:rsid w:val="00D37F34"/>
    <w:rsid w:val="00D425DE"/>
    <w:rsid w:val="00D46D2A"/>
    <w:rsid w:val="00D46D73"/>
    <w:rsid w:val="00D50BF2"/>
    <w:rsid w:val="00D528AC"/>
    <w:rsid w:val="00D52EE5"/>
    <w:rsid w:val="00D60D50"/>
    <w:rsid w:val="00D642F2"/>
    <w:rsid w:val="00D64D29"/>
    <w:rsid w:val="00D6542A"/>
    <w:rsid w:val="00D6635A"/>
    <w:rsid w:val="00D66AE4"/>
    <w:rsid w:val="00D66DC4"/>
    <w:rsid w:val="00D733F2"/>
    <w:rsid w:val="00D817CC"/>
    <w:rsid w:val="00D82D00"/>
    <w:rsid w:val="00D84317"/>
    <w:rsid w:val="00DA0637"/>
    <w:rsid w:val="00DB0A46"/>
    <w:rsid w:val="00DB61BC"/>
    <w:rsid w:val="00DC1614"/>
    <w:rsid w:val="00DC1FC8"/>
    <w:rsid w:val="00DC3DCD"/>
    <w:rsid w:val="00DD15E4"/>
    <w:rsid w:val="00DD330C"/>
    <w:rsid w:val="00DD33AE"/>
    <w:rsid w:val="00DD4491"/>
    <w:rsid w:val="00DD4F62"/>
    <w:rsid w:val="00DD57B6"/>
    <w:rsid w:val="00DE25D7"/>
    <w:rsid w:val="00DE4E6A"/>
    <w:rsid w:val="00DE772D"/>
    <w:rsid w:val="00DF0BF6"/>
    <w:rsid w:val="00DF1FFB"/>
    <w:rsid w:val="00DF3918"/>
    <w:rsid w:val="00E00033"/>
    <w:rsid w:val="00E003BF"/>
    <w:rsid w:val="00E06B17"/>
    <w:rsid w:val="00E115C4"/>
    <w:rsid w:val="00E125EA"/>
    <w:rsid w:val="00E13192"/>
    <w:rsid w:val="00E13216"/>
    <w:rsid w:val="00E178CB"/>
    <w:rsid w:val="00E17FB8"/>
    <w:rsid w:val="00E21332"/>
    <w:rsid w:val="00E21B63"/>
    <w:rsid w:val="00E22EA1"/>
    <w:rsid w:val="00E23F9C"/>
    <w:rsid w:val="00E245A7"/>
    <w:rsid w:val="00E25C16"/>
    <w:rsid w:val="00E2702C"/>
    <w:rsid w:val="00E3118E"/>
    <w:rsid w:val="00E33B23"/>
    <w:rsid w:val="00E34595"/>
    <w:rsid w:val="00E4013E"/>
    <w:rsid w:val="00E4481D"/>
    <w:rsid w:val="00E45BB9"/>
    <w:rsid w:val="00E5265E"/>
    <w:rsid w:val="00E53ECD"/>
    <w:rsid w:val="00E57EEA"/>
    <w:rsid w:val="00E603CC"/>
    <w:rsid w:val="00E60B73"/>
    <w:rsid w:val="00E61D83"/>
    <w:rsid w:val="00E66006"/>
    <w:rsid w:val="00E6674E"/>
    <w:rsid w:val="00E67840"/>
    <w:rsid w:val="00E72E93"/>
    <w:rsid w:val="00E745E6"/>
    <w:rsid w:val="00E864C7"/>
    <w:rsid w:val="00E87E7E"/>
    <w:rsid w:val="00E906E9"/>
    <w:rsid w:val="00E9188C"/>
    <w:rsid w:val="00E96956"/>
    <w:rsid w:val="00E969C6"/>
    <w:rsid w:val="00EA040E"/>
    <w:rsid w:val="00EA28F2"/>
    <w:rsid w:val="00EA7A3F"/>
    <w:rsid w:val="00EB2E0F"/>
    <w:rsid w:val="00EB3132"/>
    <w:rsid w:val="00EB709C"/>
    <w:rsid w:val="00EB7E13"/>
    <w:rsid w:val="00EC1780"/>
    <w:rsid w:val="00EC32C0"/>
    <w:rsid w:val="00EC4BCE"/>
    <w:rsid w:val="00EC6D97"/>
    <w:rsid w:val="00EC7395"/>
    <w:rsid w:val="00ED1CFD"/>
    <w:rsid w:val="00ED39F1"/>
    <w:rsid w:val="00EE7DFF"/>
    <w:rsid w:val="00EF50C0"/>
    <w:rsid w:val="00EF5A54"/>
    <w:rsid w:val="00EF6C6A"/>
    <w:rsid w:val="00EF7185"/>
    <w:rsid w:val="00EF7597"/>
    <w:rsid w:val="00F00C11"/>
    <w:rsid w:val="00F00C56"/>
    <w:rsid w:val="00F037A0"/>
    <w:rsid w:val="00F041BB"/>
    <w:rsid w:val="00F0712F"/>
    <w:rsid w:val="00F2018E"/>
    <w:rsid w:val="00F22048"/>
    <w:rsid w:val="00F2486F"/>
    <w:rsid w:val="00F261C4"/>
    <w:rsid w:val="00F33C22"/>
    <w:rsid w:val="00F34104"/>
    <w:rsid w:val="00F363AD"/>
    <w:rsid w:val="00F47C9F"/>
    <w:rsid w:val="00F53239"/>
    <w:rsid w:val="00F56D15"/>
    <w:rsid w:val="00F62C28"/>
    <w:rsid w:val="00F64AB3"/>
    <w:rsid w:val="00F677C7"/>
    <w:rsid w:val="00F706E0"/>
    <w:rsid w:val="00F726CE"/>
    <w:rsid w:val="00F81330"/>
    <w:rsid w:val="00F828E4"/>
    <w:rsid w:val="00F84DB8"/>
    <w:rsid w:val="00F930F7"/>
    <w:rsid w:val="00FA0A5D"/>
    <w:rsid w:val="00FA544C"/>
    <w:rsid w:val="00FB268B"/>
    <w:rsid w:val="00FB2CEE"/>
    <w:rsid w:val="00FB32A7"/>
    <w:rsid w:val="00FB34FF"/>
    <w:rsid w:val="00FB5D95"/>
    <w:rsid w:val="00FB75C0"/>
    <w:rsid w:val="00FC163C"/>
    <w:rsid w:val="00FC2357"/>
    <w:rsid w:val="00FC37F3"/>
    <w:rsid w:val="00FC3C69"/>
    <w:rsid w:val="00FD67D1"/>
    <w:rsid w:val="00FE56B6"/>
    <w:rsid w:val="00FF16A4"/>
    <w:rsid w:val="00FF38D2"/>
    <w:rsid w:val="00FF3FCB"/>
    <w:rsid w:val="00FF46CC"/>
    <w:rsid w:val="00FF4C60"/>
    <w:rsid w:val="00FF60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1D07E2"/>
  <w15:chartTrackingRefBased/>
  <w15:docId w15:val="{9B9AAB1C-9840-4E3A-9F87-52CB3767C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114A6D"/>
    <w:rPr>
      <w:vertAlign w:val="superscript"/>
    </w:rPr>
  </w:style>
  <w:style w:type="paragraph" w:customStyle="1" w:styleId="Default">
    <w:name w:val="Default"/>
    <w:rsid w:val="00DD33A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DD33AE"/>
    <w:pPr>
      <w:spacing w:before="100" w:beforeAutospacing="1" w:after="100" w:afterAutospacing="1"/>
    </w:pPr>
    <w:rPr>
      <w:lang w:val="es-MX" w:eastAsia="es-MX"/>
    </w:rPr>
  </w:style>
  <w:style w:type="paragraph" w:customStyle="1" w:styleId="Standard">
    <w:name w:val="Standard"/>
    <w:rsid w:val="00DD33AE"/>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paragraph" w:customStyle="1" w:styleId="j">
    <w:name w:val="j"/>
    <w:basedOn w:val="Normal"/>
    <w:rsid w:val="00DD33AE"/>
    <w:pPr>
      <w:spacing w:before="100" w:beforeAutospacing="1" w:after="100" w:afterAutospacing="1"/>
    </w:pPr>
    <w:rPr>
      <w:lang w:val="es-MX" w:eastAsia="es-MX"/>
    </w:rPr>
  </w:style>
  <w:style w:type="character" w:customStyle="1" w:styleId="nacep">
    <w:name w:val="n_acep"/>
    <w:basedOn w:val="Fuentedeprrafopredeter"/>
    <w:rsid w:val="00DD33AE"/>
  </w:style>
  <w:style w:type="character" w:customStyle="1" w:styleId="m-5890655947528156101gmail-msofootnotereference">
    <w:name w:val="m_-5890655947528156101gmail-msofootnotereference"/>
    <w:basedOn w:val="Fuentedeprrafopredeter"/>
    <w:rsid w:val="00DD33AE"/>
  </w:style>
  <w:style w:type="paragraph" w:customStyle="1" w:styleId="m-5890655947528156101gmail-msofootnotetext">
    <w:name w:val="m_-5890655947528156101gmail-msofootnotetext"/>
    <w:basedOn w:val="Normal"/>
    <w:rsid w:val="00DD33AE"/>
    <w:pPr>
      <w:spacing w:before="100" w:beforeAutospacing="1" w:after="100" w:afterAutospacing="1"/>
    </w:pPr>
    <w:rPr>
      <w:lang w:val="es-MX" w:eastAsia="es-MX"/>
    </w:rPr>
  </w:style>
  <w:style w:type="character" w:customStyle="1" w:styleId="apple-style-span">
    <w:name w:val="apple-style-span"/>
    <w:rsid w:val="00DD33AE"/>
  </w:style>
  <w:style w:type="character" w:styleId="Hipervnculovisitado">
    <w:name w:val="FollowedHyperlink"/>
    <w:basedOn w:val="Fuentedeprrafopredeter"/>
    <w:uiPriority w:val="99"/>
    <w:semiHidden/>
    <w:unhideWhenUsed/>
    <w:rsid w:val="001D67F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84978">
      <w:bodyDiv w:val="1"/>
      <w:marLeft w:val="0"/>
      <w:marRight w:val="0"/>
      <w:marTop w:val="0"/>
      <w:marBottom w:val="0"/>
      <w:divBdr>
        <w:top w:val="none" w:sz="0" w:space="0" w:color="auto"/>
        <w:left w:val="none" w:sz="0" w:space="0" w:color="auto"/>
        <w:bottom w:val="none" w:sz="0" w:space="0" w:color="auto"/>
        <w:right w:val="none" w:sz="0" w:space="0" w:color="auto"/>
      </w:divBdr>
    </w:div>
    <w:div w:id="172384831">
      <w:bodyDiv w:val="1"/>
      <w:marLeft w:val="0"/>
      <w:marRight w:val="0"/>
      <w:marTop w:val="0"/>
      <w:marBottom w:val="0"/>
      <w:divBdr>
        <w:top w:val="none" w:sz="0" w:space="0" w:color="auto"/>
        <w:left w:val="none" w:sz="0" w:space="0" w:color="auto"/>
        <w:bottom w:val="none" w:sz="0" w:space="0" w:color="auto"/>
        <w:right w:val="none" w:sz="0" w:space="0" w:color="auto"/>
      </w:divBdr>
    </w:div>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11957216">
      <w:bodyDiv w:val="1"/>
      <w:marLeft w:val="0"/>
      <w:marRight w:val="0"/>
      <w:marTop w:val="0"/>
      <w:marBottom w:val="0"/>
      <w:divBdr>
        <w:top w:val="none" w:sz="0" w:space="0" w:color="auto"/>
        <w:left w:val="none" w:sz="0" w:space="0" w:color="auto"/>
        <w:bottom w:val="none" w:sz="0" w:space="0" w:color="auto"/>
        <w:right w:val="none" w:sz="0" w:space="0" w:color="auto"/>
      </w:divBdr>
    </w:div>
    <w:div w:id="330331449">
      <w:bodyDiv w:val="1"/>
      <w:marLeft w:val="0"/>
      <w:marRight w:val="0"/>
      <w:marTop w:val="0"/>
      <w:marBottom w:val="0"/>
      <w:divBdr>
        <w:top w:val="none" w:sz="0" w:space="0" w:color="auto"/>
        <w:left w:val="none" w:sz="0" w:space="0" w:color="auto"/>
        <w:bottom w:val="none" w:sz="0" w:space="0" w:color="auto"/>
        <w:right w:val="none" w:sz="0" w:space="0" w:color="auto"/>
      </w:divBdr>
    </w:div>
    <w:div w:id="355541789">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419722677">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06736630">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719397786">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35321916">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813061187">
      <w:bodyDiv w:val="1"/>
      <w:marLeft w:val="0"/>
      <w:marRight w:val="0"/>
      <w:marTop w:val="0"/>
      <w:marBottom w:val="0"/>
      <w:divBdr>
        <w:top w:val="none" w:sz="0" w:space="0" w:color="auto"/>
        <w:left w:val="none" w:sz="0" w:space="0" w:color="auto"/>
        <w:bottom w:val="none" w:sz="0" w:space="0" w:color="auto"/>
        <w:right w:val="none" w:sz="0" w:space="0" w:color="auto"/>
      </w:divBdr>
    </w:div>
    <w:div w:id="824585337">
      <w:bodyDiv w:val="1"/>
      <w:marLeft w:val="0"/>
      <w:marRight w:val="0"/>
      <w:marTop w:val="0"/>
      <w:marBottom w:val="0"/>
      <w:divBdr>
        <w:top w:val="none" w:sz="0" w:space="0" w:color="auto"/>
        <w:left w:val="none" w:sz="0" w:space="0" w:color="auto"/>
        <w:bottom w:val="none" w:sz="0" w:space="0" w:color="auto"/>
        <w:right w:val="none" w:sz="0" w:space="0" w:color="auto"/>
      </w:divBdr>
    </w:div>
    <w:div w:id="832329647">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39467400">
      <w:bodyDiv w:val="1"/>
      <w:marLeft w:val="0"/>
      <w:marRight w:val="0"/>
      <w:marTop w:val="0"/>
      <w:marBottom w:val="0"/>
      <w:divBdr>
        <w:top w:val="none" w:sz="0" w:space="0" w:color="auto"/>
        <w:left w:val="none" w:sz="0" w:space="0" w:color="auto"/>
        <w:bottom w:val="none" w:sz="0" w:space="0" w:color="auto"/>
        <w:right w:val="none" w:sz="0" w:space="0" w:color="auto"/>
      </w:divBdr>
    </w:div>
    <w:div w:id="860167792">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871844705">
      <w:bodyDiv w:val="1"/>
      <w:marLeft w:val="0"/>
      <w:marRight w:val="0"/>
      <w:marTop w:val="0"/>
      <w:marBottom w:val="0"/>
      <w:divBdr>
        <w:top w:val="none" w:sz="0" w:space="0" w:color="auto"/>
        <w:left w:val="none" w:sz="0" w:space="0" w:color="auto"/>
        <w:bottom w:val="none" w:sz="0" w:space="0" w:color="auto"/>
        <w:right w:val="none" w:sz="0" w:space="0" w:color="auto"/>
      </w:divBdr>
    </w:div>
    <w:div w:id="877938250">
      <w:bodyDiv w:val="1"/>
      <w:marLeft w:val="0"/>
      <w:marRight w:val="0"/>
      <w:marTop w:val="0"/>
      <w:marBottom w:val="0"/>
      <w:divBdr>
        <w:top w:val="none" w:sz="0" w:space="0" w:color="auto"/>
        <w:left w:val="none" w:sz="0" w:space="0" w:color="auto"/>
        <w:bottom w:val="none" w:sz="0" w:space="0" w:color="auto"/>
        <w:right w:val="none" w:sz="0" w:space="0" w:color="auto"/>
      </w:divBdr>
    </w:div>
    <w:div w:id="897983042">
      <w:bodyDiv w:val="1"/>
      <w:marLeft w:val="0"/>
      <w:marRight w:val="0"/>
      <w:marTop w:val="0"/>
      <w:marBottom w:val="0"/>
      <w:divBdr>
        <w:top w:val="none" w:sz="0" w:space="0" w:color="auto"/>
        <w:left w:val="none" w:sz="0" w:space="0" w:color="auto"/>
        <w:bottom w:val="none" w:sz="0" w:space="0" w:color="auto"/>
        <w:right w:val="none" w:sz="0" w:space="0" w:color="auto"/>
      </w:divBdr>
    </w:div>
    <w:div w:id="908853472">
      <w:bodyDiv w:val="1"/>
      <w:marLeft w:val="0"/>
      <w:marRight w:val="0"/>
      <w:marTop w:val="0"/>
      <w:marBottom w:val="0"/>
      <w:divBdr>
        <w:top w:val="none" w:sz="0" w:space="0" w:color="auto"/>
        <w:left w:val="none" w:sz="0" w:space="0" w:color="auto"/>
        <w:bottom w:val="none" w:sz="0" w:space="0" w:color="auto"/>
        <w:right w:val="none" w:sz="0" w:space="0" w:color="auto"/>
      </w:divBdr>
    </w:div>
    <w:div w:id="1030762129">
      <w:bodyDiv w:val="1"/>
      <w:marLeft w:val="0"/>
      <w:marRight w:val="0"/>
      <w:marTop w:val="0"/>
      <w:marBottom w:val="0"/>
      <w:divBdr>
        <w:top w:val="none" w:sz="0" w:space="0" w:color="auto"/>
        <w:left w:val="none" w:sz="0" w:space="0" w:color="auto"/>
        <w:bottom w:val="none" w:sz="0" w:space="0" w:color="auto"/>
        <w:right w:val="none" w:sz="0" w:space="0" w:color="auto"/>
      </w:divBdr>
    </w:div>
    <w:div w:id="1136532456">
      <w:bodyDiv w:val="1"/>
      <w:marLeft w:val="0"/>
      <w:marRight w:val="0"/>
      <w:marTop w:val="0"/>
      <w:marBottom w:val="0"/>
      <w:divBdr>
        <w:top w:val="none" w:sz="0" w:space="0" w:color="auto"/>
        <w:left w:val="none" w:sz="0" w:space="0" w:color="auto"/>
        <w:bottom w:val="none" w:sz="0" w:space="0" w:color="auto"/>
        <w:right w:val="none" w:sz="0" w:space="0" w:color="auto"/>
      </w:divBdr>
    </w:div>
    <w:div w:id="1156649579">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274944716">
      <w:bodyDiv w:val="1"/>
      <w:marLeft w:val="0"/>
      <w:marRight w:val="0"/>
      <w:marTop w:val="0"/>
      <w:marBottom w:val="0"/>
      <w:divBdr>
        <w:top w:val="none" w:sz="0" w:space="0" w:color="auto"/>
        <w:left w:val="none" w:sz="0" w:space="0" w:color="auto"/>
        <w:bottom w:val="none" w:sz="0" w:space="0" w:color="auto"/>
        <w:right w:val="none" w:sz="0" w:space="0" w:color="auto"/>
      </w:divBdr>
    </w:div>
    <w:div w:id="1401563217">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40830679">
      <w:bodyDiv w:val="1"/>
      <w:marLeft w:val="0"/>
      <w:marRight w:val="0"/>
      <w:marTop w:val="0"/>
      <w:marBottom w:val="0"/>
      <w:divBdr>
        <w:top w:val="none" w:sz="0" w:space="0" w:color="auto"/>
        <w:left w:val="none" w:sz="0" w:space="0" w:color="auto"/>
        <w:bottom w:val="none" w:sz="0" w:space="0" w:color="auto"/>
        <w:right w:val="none" w:sz="0" w:space="0" w:color="auto"/>
      </w:divBdr>
    </w:div>
    <w:div w:id="1443306518">
      <w:bodyDiv w:val="1"/>
      <w:marLeft w:val="0"/>
      <w:marRight w:val="0"/>
      <w:marTop w:val="0"/>
      <w:marBottom w:val="0"/>
      <w:divBdr>
        <w:top w:val="none" w:sz="0" w:space="0" w:color="auto"/>
        <w:left w:val="none" w:sz="0" w:space="0" w:color="auto"/>
        <w:bottom w:val="none" w:sz="0" w:space="0" w:color="auto"/>
        <w:right w:val="none" w:sz="0" w:space="0" w:color="auto"/>
      </w:divBdr>
    </w:div>
    <w:div w:id="1477798122">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607154074">
      <w:bodyDiv w:val="1"/>
      <w:marLeft w:val="0"/>
      <w:marRight w:val="0"/>
      <w:marTop w:val="0"/>
      <w:marBottom w:val="0"/>
      <w:divBdr>
        <w:top w:val="none" w:sz="0" w:space="0" w:color="auto"/>
        <w:left w:val="none" w:sz="0" w:space="0" w:color="auto"/>
        <w:bottom w:val="none" w:sz="0" w:space="0" w:color="auto"/>
        <w:right w:val="none" w:sz="0" w:space="0" w:color="auto"/>
      </w:divBdr>
    </w:div>
    <w:div w:id="1618175211">
      <w:bodyDiv w:val="1"/>
      <w:marLeft w:val="0"/>
      <w:marRight w:val="0"/>
      <w:marTop w:val="0"/>
      <w:marBottom w:val="0"/>
      <w:divBdr>
        <w:top w:val="none" w:sz="0" w:space="0" w:color="auto"/>
        <w:left w:val="none" w:sz="0" w:space="0" w:color="auto"/>
        <w:bottom w:val="none" w:sz="0" w:space="0" w:color="auto"/>
        <w:right w:val="none" w:sz="0" w:space="0" w:color="auto"/>
      </w:divBdr>
    </w:div>
    <w:div w:id="1852987984">
      <w:bodyDiv w:val="1"/>
      <w:marLeft w:val="0"/>
      <w:marRight w:val="0"/>
      <w:marTop w:val="0"/>
      <w:marBottom w:val="0"/>
      <w:divBdr>
        <w:top w:val="none" w:sz="0" w:space="0" w:color="auto"/>
        <w:left w:val="none" w:sz="0" w:space="0" w:color="auto"/>
        <w:bottom w:val="none" w:sz="0" w:space="0" w:color="auto"/>
        <w:right w:val="none" w:sz="0" w:space="0" w:color="auto"/>
      </w:divBdr>
    </w:div>
    <w:div w:id="1901868520">
      <w:bodyDiv w:val="1"/>
      <w:marLeft w:val="0"/>
      <w:marRight w:val="0"/>
      <w:marTop w:val="0"/>
      <w:marBottom w:val="0"/>
      <w:divBdr>
        <w:top w:val="none" w:sz="0" w:space="0" w:color="auto"/>
        <w:left w:val="none" w:sz="0" w:space="0" w:color="auto"/>
        <w:bottom w:val="none" w:sz="0" w:space="0" w:color="auto"/>
        <w:right w:val="none" w:sz="0" w:space="0" w:color="auto"/>
      </w:divBdr>
    </w:div>
    <w:div w:id="1951424382">
      <w:bodyDiv w:val="1"/>
      <w:marLeft w:val="0"/>
      <w:marRight w:val="0"/>
      <w:marTop w:val="0"/>
      <w:marBottom w:val="0"/>
      <w:divBdr>
        <w:top w:val="none" w:sz="0" w:space="0" w:color="auto"/>
        <w:left w:val="none" w:sz="0" w:space="0" w:color="auto"/>
        <w:bottom w:val="none" w:sz="0" w:space="0" w:color="auto"/>
        <w:right w:val="none" w:sz="0" w:space="0" w:color="auto"/>
      </w:divBdr>
    </w:div>
    <w:div w:id="1991783355">
      <w:bodyDiv w:val="1"/>
      <w:marLeft w:val="0"/>
      <w:marRight w:val="0"/>
      <w:marTop w:val="0"/>
      <w:marBottom w:val="0"/>
      <w:divBdr>
        <w:top w:val="none" w:sz="0" w:space="0" w:color="auto"/>
        <w:left w:val="none" w:sz="0" w:space="0" w:color="auto"/>
        <w:bottom w:val="none" w:sz="0" w:space="0" w:color="auto"/>
        <w:right w:val="none" w:sz="0" w:space="0" w:color="auto"/>
      </w:divBdr>
    </w:div>
    <w:div w:id="1994215775">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 w:id="214284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52078.page" TargetMode="External"/><Relationship Id="rId13" Type="http://schemas.openxmlformats.org/officeDocument/2006/relationships/hyperlink" Target="https://www.saimex.org.mx/saimex/solicitud/downloadAttach/653370.page" TargetMode="External"/><Relationship Id="rId18" Type="http://schemas.openxmlformats.org/officeDocument/2006/relationships/hyperlink" Target="https://www.saimex.org.mx/saimex/solicitud/downloadAttach/1292665.pag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saimex.org.mx/saimex/solicitud/downloadAttach/1292666.page" TargetMode="External"/><Relationship Id="rId17" Type="http://schemas.openxmlformats.org/officeDocument/2006/relationships/image" Target="media/image1.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saimex.org.mx/saimex/solicitud/downloadAttach/1269505.page" TargetMode="External"/><Relationship Id="rId20" Type="http://schemas.openxmlformats.org/officeDocument/2006/relationships/hyperlink" Target="http://legislacion.edomex.gob.mx/sites/legislacion.edomex.gob.mx/files/files/pdf/gct/2020/jul033.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92665.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aimex.org.mx/saimex/solicitud/downloadAttach/1269504.page"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s://www.saimex.org.mx/saimex/solicitud/downloadAttach/1269505.page" TargetMode="External"/><Relationship Id="rId19" Type="http://schemas.openxmlformats.org/officeDocument/2006/relationships/hyperlink" Target="https://www.saimex.org.mx/saimex/solicitud/downloadAttach/1292666.page" TargetMode="External"/><Relationship Id="rId4" Type="http://schemas.openxmlformats.org/officeDocument/2006/relationships/settings" Target="settings.xml"/><Relationship Id="rId9" Type="http://schemas.openxmlformats.org/officeDocument/2006/relationships/hyperlink" Target="https://www.saimex.org.mx/saimex/solicitud/downloadAttach/1269504.page" TargetMode="External"/><Relationship Id="rId14" Type="http://schemas.openxmlformats.org/officeDocument/2006/relationships/hyperlink" Target="https://www.saimex.org.mx/saimex/solicitud/downloadAttach/1252078.page" TargetMode="External"/><Relationship Id="rId22" Type="http://schemas.openxmlformats.org/officeDocument/2006/relationships/hyperlink" Target="https://www.gob.mx/cms/uploads/attachment/file/552550/Lineamientos_de_Seguridad_Sanitaria_F.pdf"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78FD4-1BB0-41B5-A097-B56550ACD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9218</Words>
  <Characters>52549</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61644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NAJERA </cp:lastModifiedBy>
  <cp:revision>4</cp:revision>
  <cp:lastPrinted>2019-04-26T16:11:00Z</cp:lastPrinted>
  <dcterms:created xsi:type="dcterms:W3CDTF">2022-02-11T04:41:00Z</dcterms:created>
  <dcterms:modified xsi:type="dcterms:W3CDTF">2022-03-04T00:17:00Z</dcterms:modified>
</cp:coreProperties>
</file>