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18A6A54" w:rsidR="00662C69" w:rsidRPr="00A0054B" w:rsidRDefault="009B11D6" w:rsidP="00B31E90">
      <w:pPr>
        <w:tabs>
          <w:tab w:val="left" w:pos="3465"/>
        </w:tabs>
        <w:spacing w:line="360" w:lineRule="auto"/>
        <w:jc w:val="both"/>
        <w:rPr>
          <w:rFonts w:ascii="Palatino Linotype" w:hAnsi="Palatino Linotype"/>
          <w:color w:val="000000" w:themeColor="text1"/>
        </w:rPr>
      </w:pPr>
      <w:r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35066B">
        <w:rPr>
          <w:rFonts w:ascii="Palatino Linotype" w:hAnsi="Palatino Linotype"/>
          <w:color w:val="000000" w:themeColor="text1"/>
        </w:rPr>
        <w:t>nueve</w:t>
      </w:r>
      <w:r w:rsidR="007076C5" w:rsidRPr="00A0054B">
        <w:rPr>
          <w:rFonts w:ascii="Palatino Linotype" w:hAnsi="Palatino Linotype"/>
          <w:color w:val="000000" w:themeColor="text1"/>
        </w:rPr>
        <w:t xml:space="preserve"> (</w:t>
      </w:r>
      <w:r w:rsidR="0035066B">
        <w:rPr>
          <w:rFonts w:ascii="Palatino Linotype" w:hAnsi="Palatino Linotype"/>
          <w:color w:val="000000" w:themeColor="text1"/>
        </w:rPr>
        <w:t>09</w:t>
      </w:r>
      <w:r w:rsidR="007076C5" w:rsidRPr="00A0054B">
        <w:rPr>
          <w:rFonts w:ascii="Palatino Linotype" w:hAnsi="Palatino Linotype"/>
          <w:color w:val="000000" w:themeColor="text1"/>
        </w:rPr>
        <w:t xml:space="preserve">) de </w:t>
      </w:r>
      <w:r w:rsidR="0035066B">
        <w:rPr>
          <w:rFonts w:ascii="Palatino Linotype" w:hAnsi="Palatino Linotype"/>
          <w:color w:val="000000" w:themeColor="text1"/>
        </w:rPr>
        <w:t>marzo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5EB4480C" w:rsidR="005F0007" w:rsidRPr="00A0054B"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AD2900" w:rsidRPr="00AD2900">
        <w:rPr>
          <w:rFonts w:ascii="Palatino Linotype" w:hAnsi="Palatino Linotype"/>
          <w:b/>
          <w:szCs w:val="22"/>
        </w:rPr>
        <w:t>00713/INFOEM/IP/RR/2022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071C1D">
        <w:rPr>
          <w:rFonts w:ascii="Palatino Linotype" w:eastAsia="Times New Roman" w:hAnsi="Palatino Linotype" w:cs="Times New Roman"/>
          <w:b/>
          <w:color w:val="000000" w:themeColor="text1"/>
          <w:sz w:val="22"/>
        </w:rPr>
        <w:t xml:space="preserve">XXXXXX XXXXXX </w:t>
      </w:r>
      <w:r w:rsidR="00071C1D">
        <w:rPr>
          <w:rFonts w:ascii="Palatino Linotype" w:eastAsia="Times New Roman" w:hAnsi="Palatino Linotype" w:cs="Times New Roman"/>
          <w:b/>
          <w:color w:val="000000" w:themeColor="text1"/>
          <w:sz w:val="22"/>
        </w:rPr>
        <w:t>XXXXXX</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del</w:t>
      </w:r>
      <w:r w:rsidR="002C1007" w:rsidRPr="00A0054B">
        <w:rPr>
          <w:rFonts w:ascii="Palatino Linotype" w:eastAsia="Times New Roman" w:hAnsi="Palatino Linotype" w:cs="Arial"/>
          <w:color w:val="000000" w:themeColor="text1"/>
        </w:rPr>
        <w:t xml:space="preserve"> </w:t>
      </w:r>
      <w:r w:rsidR="00AD2900" w:rsidRPr="00AD2900">
        <w:rPr>
          <w:rFonts w:ascii="Palatino Linotype" w:hAnsi="Palatino Linotype"/>
          <w:b/>
          <w:bCs/>
          <w:color w:val="000000"/>
          <w:szCs w:val="22"/>
        </w:rPr>
        <w:t>Ayuntamiento de Tenango del Valle</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0054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402A4C0A" w14:textId="7DF886C3"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AD2900">
        <w:rPr>
          <w:rFonts w:ascii="Palatino Linotype" w:eastAsia="Calibri" w:hAnsi="Palatino Linotype" w:cs="Arial"/>
          <w:color w:val="000000" w:themeColor="text1"/>
          <w:lang w:val="es-ES"/>
        </w:rPr>
        <w:t>dieciocho</w:t>
      </w:r>
      <w:r w:rsidR="007076C5" w:rsidRPr="00A0054B">
        <w:rPr>
          <w:rFonts w:ascii="Palatino Linotype" w:eastAsia="Calibri" w:hAnsi="Palatino Linotype" w:cs="Arial"/>
          <w:color w:val="000000" w:themeColor="text1"/>
          <w:lang w:val="es-ES"/>
        </w:rPr>
        <w:t xml:space="preserve"> (</w:t>
      </w:r>
      <w:r w:rsidR="00AD2900">
        <w:rPr>
          <w:rFonts w:ascii="Palatino Linotype" w:eastAsia="Calibri" w:hAnsi="Palatino Linotype" w:cs="Arial"/>
          <w:color w:val="000000" w:themeColor="text1"/>
          <w:lang w:val="es-ES"/>
        </w:rPr>
        <w:t>1</w:t>
      </w:r>
      <w:r w:rsidR="0035066B">
        <w:rPr>
          <w:rFonts w:ascii="Palatino Linotype" w:eastAsia="Calibri" w:hAnsi="Palatino Linotype" w:cs="Arial"/>
          <w:color w:val="000000" w:themeColor="text1"/>
          <w:lang w:val="es-ES"/>
        </w:rPr>
        <w:t>8</w:t>
      </w:r>
      <w:r w:rsidR="007076C5" w:rsidRPr="00A0054B">
        <w:rPr>
          <w:rFonts w:ascii="Palatino Linotype" w:eastAsia="Calibri" w:hAnsi="Palatino Linotype" w:cs="Arial"/>
          <w:color w:val="000000" w:themeColor="text1"/>
          <w:lang w:val="es-ES"/>
        </w:rPr>
        <w:t xml:space="preserve">) de </w:t>
      </w:r>
      <w:r w:rsidR="00AD2900">
        <w:rPr>
          <w:rFonts w:ascii="Palatino Linotype" w:eastAsia="Calibri" w:hAnsi="Palatino Linotype" w:cs="Arial"/>
          <w:color w:val="000000" w:themeColor="text1"/>
          <w:lang w:val="es-ES"/>
        </w:rPr>
        <w:t>enero</w:t>
      </w:r>
      <w:r w:rsidR="00B31E90" w:rsidRPr="00A0054B">
        <w:rPr>
          <w:rFonts w:ascii="Palatino Linotype" w:eastAsia="Calibri" w:hAnsi="Palatino Linotype" w:cs="Arial"/>
          <w:color w:val="000000" w:themeColor="text1"/>
          <w:lang w:val="es-ES"/>
        </w:rPr>
        <w:t xml:space="preserve"> de dos mil veinti</w:t>
      </w:r>
      <w:r w:rsidR="00AD2900">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del</w:t>
      </w:r>
      <w:r w:rsidR="007076C5" w:rsidRPr="00A0054B">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AD2900" w:rsidRPr="00A0054B">
        <w:rPr>
          <w:rFonts w:ascii="Palatino Linotype" w:hAnsi="Palatino Linotype"/>
          <w:b/>
          <w:bCs/>
          <w:color w:val="000000" w:themeColor="text1"/>
        </w:rPr>
        <w:t>0</w:t>
      </w:r>
      <w:r w:rsidR="00AD2900">
        <w:rPr>
          <w:rFonts w:ascii="Palatino Linotype" w:hAnsi="Palatino Linotype"/>
          <w:b/>
          <w:bCs/>
          <w:color w:val="000000" w:themeColor="text1"/>
        </w:rPr>
        <w:t>0010</w:t>
      </w:r>
      <w:r w:rsidR="00AD2900" w:rsidRPr="0035066B">
        <w:rPr>
          <w:rFonts w:ascii="Palatino Linotype" w:hAnsi="Palatino Linotype"/>
          <w:b/>
          <w:bCs/>
          <w:color w:val="000000" w:themeColor="text1"/>
        </w:rPr>
        <w:t>/</w:t>
      </w:r>
      <w:r w:rsidR="00AD2900">
        <w:rPr>
          <w:rFonts w:ascii="Palatino Linotype" w:hAnsi="Palatino Linotype"/>
          <w:b/>
          <w:bCs/>
          <w:color w:val="000000" w:themeColor="text1"/>
        </w:rPr>
        <w:t>TENAVALL</w:t>
      </w:r>
      <w:r w:rsidR="00AD2900" w:rsidRPr="0035066B">
        <w:rPr>
          <w:rFonts w:ascii="Palatino Linotype" w:hAnsi="Palatino Linotype"/>
          <w:b/>
          <w:bCs/>
          <w:color w:val="000000" w:themeColor="text1"/>
        </w:rPr>
        <w:t>/IP/202</w:t>
      </w:r>
      <w:r w:rsidR="00AD2900">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2900A18" w:rsidR="0097210F" w:rsidRPr="00AD2900"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AD2900">
        <w:rPr>
          <w:rFonts w:ascii="Palatino Linotype" w:hAnsi="Palatino Linotype"/>
          <w:i/>
          <w:color w:val="000000" w:themeColor="text1"/>
          <w:sz w:val="22"/>
          <w:szCs w:val="22"/>
        </w:rPr>
        <w:t>“</w:t>
      </w:r>
      <w:r w:rsidR="00AD2900" w:rsidRPr="00AD2900">
        <w:rPr>
          <w:rFonts w:ascii="Palatino Linotype" w:hAnsi="Palatino Linotype"/>
          <w:bCs/>
          <w:i/>
          <w:color w:val="000000"/>
          <w:szCs w:val="22"/>
        </w:rPr>
        <w:t>Los numeros de la cuenta bancaria en donde se depositan los recursos federales del ramo 33 fondos III y IV, asi como el numero de cuenta bancaria en donde se depositan las participaciones federales y en su caso el numero de la cuenta bancaria en donde se realizan los pagos de recursos propios, del Ayuntamiento de Tenango del Valle, Estado de Mexico.</w:t>
      </w:r>
      <w:r w:rsidRPr="00AD2900">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3D2C7143"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4E197E" w:rsidRPr="00A0054B">
        <w:rPr>
          <w:rFonts w:ascii="Palatino Linotype" w:hAnsi="Palatino Linotype" w:cs="Arial"/>
          <w:color w:val="000000" w:themeColor="text1"/>
        </w:rPr>
        <w:t xml:space="preserve"> </w:t>
      </w:r>
      <w:r w:rsidR="00AD2900">
        <w:rPr>
          <w:rFonts w:ascii="Palatino Linotype" w:hAnsi="Palatino Linotype" w:cs="Arial"/>
          <w:color w:val="000000" w:themeColor="text1"/>
        </w:rPr>
        <w:t>copias simples con costo</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F4D18BB"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t xml:space="preserve">El </w:t>
      </w:r>
      <w:r w:rsidR="00AD2900">
        <w:rPr>
          <w:rFonts w:ascii="Palatino Linotype" w:eastAsia="MS Mincho" w:hAnsi="Palatino Linotype" w:cs="Times New Roman"/>
          <w:color w:val="000000" w:themeColor="text1"/>
        </w:rPr>
        <w:t>nueve</w:t>
      </w:r>
      <w:r w:rsidR="00D0377B">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AD2900">
        <w:rPr>
          <w:rFonts w:ascii="Palatino Linotype" w:eastAsia="MS Mincho" w:hAnsi="Palatino Linotype" w:cs="Times New Roman"/>
          <w:color w:val="000000" w:themeColor="text1"/>
        </w:rPr>
        <w:t>09</w:t>
      </w:r>
      <w:r w:rsidR="007076C5" w:rsidRPr="00A0054B">
        <w:rPr>
          <w:rFonts w:ascii="Palatino Linotype" w:eastAsia="MS Mincho" w:hAnsi="Palatino Linotype" w:cs="Times New Roman"/>
          <w:color w:val="000000" w:themeColor="text1"/>
        </w:rPr>
        <w:t xml:space="preserve">) de </w:t>
      </w:r>
      <w:r w:rsidR="00AD2900">
        <w:rPr>
          <w:rFonts w:ascii="Palatino Linotype" w:eastAsia="MS Mincho" w:hAnsi="Palatino Linotype" w:cs="Times New Roman"/>
          <w:color w:val="000000" w:themeColor="text1"/>
        </w:rPr>
        <w:t>febrero</w:t>
      </w:r>
      <w:r w:rsidR="00762697" w:rsidRPr="00A0054B">
        <w:rPr>
          <w:rFonts w:ascii="Palatino Linotype" w:eastAsia="MS Mincho" w:hAnsi="Palatino Linotype" w:cs="Times New Roman"/>
          <w:color w:val="000000" w:themeColor="text1"/>
        </w:rPr>
        <w:t xml:space="preserve"> de dos mil veinti</w:t>
      </w:r>
      <w:r w:rsidR="00AD2900">
        <w:rPr>
          <w:rFonts w:ascii="Palatino Linotype" w:eastAsia="MS Mincho" w:hAnsi="Palatino Linotype" w:cs="Times New Roman"/>
          <w:color w:val="000000" w:themeColor="text1"/>
        </w:rPr>
        <w:t>dós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35066B" w:rsidRPr="00A0054B">
        <w:rPr>
          <w:rFonts w:ascii="Palatino Linotype" w:hAnsi="Palatino Linotype"/>
          <w:b/>
          <w:bCs/>
          <w:color w:val="000000" w:themeColor="text1"/>
        </w:rPr>
        <w:t>0</w:t>
      </w:r>
      <w:r w:rsidR="00AD2900">
        <w:rPr>
          <w:rFonts w:ascii="Palatino Linotype" w:hAnsi="Palatino Linotype"/>
          <w:b/>
          <w:bCs/>
          <w:color w:val="000000" w:themeColor="text1"/>
        </w:rPr>
        <w:t>00</w:t>
      </w:r>
      <w:r w:rsidR="0035066B">
        <w:rPr>
          <w:rFonts w:ascii="Palatino Linotype" w:hAnsi="Palatino Linotype"/>
          <w:b/>
          <w:bCs/>
          <w:color w:val="000000" w:themeColor="text1"/>
        </w:rPr>
        <w:t>10</w:t>
      </w:r>
      <w:r w:rsidR="0035066B" w:rsidRPr="0035066B">
        <w:rPr>
          <w:rFonts w:ascii="Palatino Linotype" w:hAnsi="Palatino Linotype"/>
          <w:b/>
          <w:bCs/>
          <w:color w:val="000000" w:themeColor="text1"/>
        </w:rPr>
        <w:t>/</w:t>
      </w:r>
      <w:r w:rsidR="0035066B">
        <w:rPr>
          <w:rFonts w:ascii="Palatino Linotype" w:hAnsi="Palatino Linotype"/>
          <w:b/>
          <w:bCs/>
          <w:color w:val="000000" w:themeColor="text1"/>
        </w:rPr>
        <w:t>T</w:t>
      </w:r>
      <w:r w:rsidR="00AD2900">
        <w:rPr>
          <w:rFonts w:ascii="Palatino Linotype" w:hAnsi="Palatino Linotype"/>
          <w:b/>
          <w:bCs/>
          <w:color w:val="000000" w:themeColor="text1"/>
        </w:rPr>
        <w:t>ENAVALL</w:t>
      </w:r>
      <w:r w:rsidR="0035066B" w:rsidRPr="0035066B">
        <w:rPr>
          <w:rFonts w:ascii="Palatino Linotype" w:hAnsi="Palatino Linotype"/>
          <w:b/>
          <w:bCs/>
          <w:color w:val="000000" w:themeColor="text1"/>
        </w:rPr>
        <w:t>/IP/202</w:t>
      </w:r>
      <w:r w:rsidR="00AD2900">
        <w:rPr>
          <w:rFonts w:ascii="Palatino Linotype" w:hAnsi="Palatino Linotype"/>
          <w:b/>
          <w:bCs/>
          <w:color w:val="000000" w:themeColor="text1"/>
        </w:rPr>
        <w:t>2</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74E3E391" w14:textId="77777777" w:rsidR="00AD2900" w:rsidRPr="00AD2900" w:rsidRDefault="005F1362" w:rsidP="00AD290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w:t>
      </w:r>
      <w:r w:rsidR="00AD2900" w:rsidRPr="00AD2900">
        <w:rPr>
          <w:rFonts w:ascii="Palatino Linotype" w:hAnsi="Palatino Linotype"/>
          <w:i/>
          <w:noProof/>
          <w:color w:val="000000" w:themeColor="text1"/>
          <w:sz w:val="22"/>
          <w:szCs w:val="22"/>
          <w:lang w:val="es-MX" w:eastAsia="es-MX"/>
        </w:rPr>
        <w:t>Tenango del Valle, México a 09 de Febrero de 2022</w:t>
      </w:r>
    </w:p>
    <w:p w14:paraId="659E39AB" w14:textId="50A15694" w:rsidR="00AD2900" w:rsidRPr="00AD2900" w:rsidRDefault="00AD2900" w:rsidP="00AD290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D2900">
        <w:rPr>
          <w:rFonts w:ascii="Palatino Linotype" w:hAnsi="Palatino Linotype"/>
          <w:i/>
          <w:noProof/>
          <w:color w:val="000000" w:themeColor="text1"/>
          <w:sz w:val="22"/>
          <w:szCs w:val="22"/>
          <w:lang w:val="es-MX" w:eastAsia="es-MX"/>
        </w:rPr>
        <w:t xml:space="preserve">Nombre del solicitante: </w:t>
      </w:r>
      <w:r w:rsidR="00071C1D">
        <w:rPr>
          <w:rFonts w:ascii="Palatino Linotype" w:eastAsia="Times New Roman" w:hAnsi="Palatino Linotype" w:cs="Times New Roman"/>
          <w:b/>
          <w:color w:val="000000" w:themeColor="text1"/>
          <w:sz w:val="22"/>
        </w:rPr>
        <w:t>XXXXXX XXXXXX XXXXXX</w:t>
      </w:r>
      <w:bookmarkStart w:id="3" w:name="_GoBack"/>
      <w:bookmarkEnd w:id="3"/>
    </w:p>
    <w:p w14:paraId="0217490A" w14:textId="77777777" w:rsidR="00AD2900" w:rsidRPr="00AD2900" w:rsidRDefault="00AD2900" w:rsidP="00AD290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D2900">
        <w:rPr>
          <w:rFonts w:ascii="Palatino Linotype" w:hAnsi="Palatino Linotype"/>
          <w:i/>
          <w:noProof/>
          <w:color w:val="000000" w:themeColor="text1"/>
          <w:sz w:val="22"/>
          <w:szCs w:val="22"/>
          <w:lang w:val="es-MX" w:eastAsia="es-MX"/>
        </w:rPr>
        <w:t>Folio de la solicitud: 00010/TENAVALL/IP/2022</w:t>
      </w:r>
    </w:p>
    <w:p w14:paraId="5259B808" w14:textId="77777777" w:rsidR="00AD2900" w:rsidRPr="00AD2900" w:rsidRDefault="00AD2900" w:rsidP="00AD290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D2900">
        <w:rPr>
          <w:rFonts w:ascii="Palatino Linotype" w:hAnsi="Palatino Linotype"/>
          <w:i/>
          <w:noProof/>
          <w:color w:val="000000" w:themeColor="text1"/>
          <w:sz w:val="22"/>
          <w:szCs w:val="22"/>
          <w:lang w:val="es-MX" w:eastAsia="es-MX"/>
        </w:rPr>
        <w:t>Se remite oficio de contestación a la solicitud de información</w:t>
      </w:r>
    </w:p>
    <w:p w14:paraId="56F5FBF9" w14:textId="77777777" w:rsidR="00AD2900" w:rsidRPr="00AD2900" w:rsidRDefault="00AD2900" w:rsidP="00AD290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D2900">
        <w:rPr>
          <w:rFonts w:ascii="Palatino Linotype" w:hAnsi="Palatino Linotype"/>
          <w:i/>
          <w:noProof/>
          <w:color w:val="000000" w:themeColor="text1"/>
          <w:sz w:val="22"/>
          <w:szCs w:val="22"/>
          <w:lang w:val="es-MX" w:eastAsia="es-MX"/>
        </w:rPr>
        <w:t>ATENTAMENTE</w:t>
      </w:r>
    </w:p>
    <w:p w14:paraId="35A36DE0" w14:textId="35D073F9" w:rsidR="0039142B" w:rsidRPr="00A0054B" w:rsidRDefault="00AD2900" w:rsidP="00AD290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D2900">
        <w:rPr>
          <w:rFonts w:ascii="Palatino Linotype" w:hAnsi="Palatino Linotype"/>
          <w:i/>
          <w:noProof/>
          <w:color w:val="000000" w:themeColor="text1"/>
          <w:sz w:val="22"/>
          <w:szCs w:val="22"/>
          <w:lang w:val="es-MX" w:eastAsia="es-MX"/>
        </w:rPr>
        <w:t>MTRO. EN ADMON, PUB. ARMANDO DIAZ MIRANDA</w:t>
      </w:r>
      <w:r w:rsidR="005F1362" w:rsidRPr="00A0054B">
        <w:rPr>
          <w:rFonts w:ascii="Palatino Linotype" w:hAnsi="Palatino Linotype"/>
          <w:i/>
          <w:noProof/>
          <w:color w:val="000000" w:themeColor="text1"/>
          <w:sz w:val="22"/>
          <w:szCs w:val="22"/>
          <w:lang w:val="es-MX" w:eastAsia="es-MX"/>
        </w:rPr>
        <w:t>”</w:t>
      </w:r>
      <w:r w:rsidR="00EB3DF7" w:rsidRPr="00A0054B">
        <w:rPr>
          <w:rFonts w:ascii="Palatino Linotype" w:hAnsi="Palatino Linotype"/>
          <w:noProof/>
          <w:color w:val="000000" w:themeColor="text1"/>
          <w:sz w:val="22"/>
          <w:szCs w:val="22"/>
          <w:lang w:val="es-MX" w:eastAsia="es-MX"/>
        </w:rPr>
        <w:t xml:space="preserve">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292AC795" w14:textId="77777777" w:rsidR="0035066B" w:rsidRDefault="0035066B"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El Sujeto Obligado acompañó la respuesta del documento electrónico denominado </w:t>
      </w:r>
      <w:r w:rsidRPr="0035066B">
        <w:rPr>
          <w:rFonts w:ascii="Palatino Linotype" w:hAnsi="Palatino Linotype"/>
          <w:b/>
          <w:i/>
          <w:color w:val="000000" w:themeColor="text1"/>
          <w:szCs w:val="22"/>
        </w:rPr>
        <w:t>RESP_SAIMEX_01013.zip</w:t>
      </w:r>
      <w:r>
        <w:rPr>
          <w:rFonts w:ascii="Palatino Linotype" w:hAnsi="Palatino Linotype"/>
          <w:color w:val="000000" w:themeColor="text1"/>
          <w:szCs w:val="22"/>
        </w:rPr>
        <w:t>, cabe señalar que fue adjuntado dos veces y contiene la misma información.</w:t>
      </w:r>
    </w:p>
    <w:p w14:paraId="0DA7909C" w14:textId="77777777" w:rsidR="0035066B"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C1543" w14:textId="074747C3" w:rsidR="00AD2900" w:rsidRDefault="00AD2900" w:rsidP="00AD2900">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sidRPr="00AD2900">
        <w:rPr>
          <w:rFonts w:ascii="Palatino Linotype" w:hAnsi="Palatino Linotype"/>
          <w:b/>
          <w:color w:val="000000" w:themeColor="text1"/>
          <w:szCs w:val="22"/>
        </w:rPr>
        <w:t>contestacion tesoreria 00010.pdf</w:t>
      </w:r>
      <w:r>
        <w:rPr>
          <w:rFonts w:ascii="Palatino Linotype" w:hAnsi="Palatino Linotype"/>
          <w:b/>
          <w:color w:val="000000" w:themeColor="text1"/>
          <w:szCs w:val="22"/>
        </w:rPr>
        <w:t xml:space="preserve">: </w:t>
      </w:r>
      <w:r w:rsidRPr="00AD2900">
        <w:rPr>
          <w:rFonts w:ascii="Palatino Linotype" w:hAnsi="Palatino Linotype"/>
          <w:color w:val="000000" w:themeColor="text1"/>
          <w:szCs w:val="22"/>
        </w:rPr>
        <w:t>Oficio TM/TV/047/2022 suscrito por el Tesorero Municipal en el cual entrega en un recuadro, los últimos cuatro dígitos de cuatro números de cuenta.</w:t>
      </w:r>
    </w:p>
    <w:p w14:paraId="273A6BD3" w14:textId="77777777" w:rsidR="00AD2900" w:rsidRDefault="00AD2900" w:rsidP="00AD2900">
      <w:pPr>
        <w:pStyle w:val="Prrafodelista"/>
        <w:tabs>
          <w:tab w:val="left" w:pos="284"/>
          <w:tab w:val="left" w:pos="426"/>
        </w:tabs>
        <w:spacing w:line="360" w:lineRule="auto"/>
        <w:jc w:val="both"/>
        <w:rPr>
          <w:rFonts w:ascii="Palatino Linotype" w:hAnsi="Palatino Linotype"/>
          <w:b/>
          <w:color w:val="000000" w:themeColor="text1"/>
          <w:szCs w:val="22"/>
        </w:rPr>
      </w:pPr>
    </w:p>
    <w:p w14:paraId="68C5E244" w14:textId="5787034B" w:rsidR="00AD2900" w:rsidRPr="00AD2900" w:rsidRDefault="00AD2900" w:rsidP="00AD2900">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sidRPr="00AD2900">
        <w:rPr>
          <w:rFonts w:ascii="Palatino Linotype" w:hAnsi="Palatino Linotype"/>
          <w:b/>
          <w:color w:val="000000" w:themeColor="text1"/>
          <w:szCs w:val="22"/>
        </w:rPr>
        <w:t>contest al c 00010.pdf</w:t>
      </w:r>
      <w:r>
        <w:rPr>
          <w:rFonts w:ascii="Palatino Linotype" w:hAnsi="Palatino Linotype"/>
          <w:b/>
          <w:color w:val="000000" w:themeColor="text1"/>
          <w:szCs w:val="22"/>
        </w:rPr>
        <w:t xml:space="preserve">: </w:t>
      </w:r>
      <w:r w:rsidRPr="00AD2900">
        <w:rPr>
          <w:rFonts w:ascii="Palatino Linotype" w:hAnsi="Palatino Linotype"/>
          <w:color w:val="000000" w:themeColor="text1"/>
          <w:szCs w:val="22"/>
        </w:rPr>
        <w:t>Oficio TDV/UTAI/118/2022</w:t>
      </w:r>
      <w:r>
        <w:rPr>
          <w:rFonts w:ascii="Palatino Linotype" w:hAnsi="Palatino Linotype"/>
          <w:color w:val="000000" w:themeColor="text1"/>
          <w:szCs w:val="22"/>
        </w:rPr>
        <w:t xml:space="preserve"> suscrito por el Titular de la Unidad de Transparencia mediante el cual indica al Recurrente que le anexan la respuesta a su solicitud, asimismo, hacen de su conocimiento que tiene derecho a interponer recurso de revisión en contra de la respuesta.</w:t>
      </w:r>
    </w:p>
    <w:p w14:paraId="0A86491C" w14:textId="77777777" w:rsidR="00AD2900" w:rsidRDefault="00AD2900" w:rsidP="00AD2900">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3FEDE2CF"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1B32B2">
        <w:rPr>
          <w:rFonts w:ascii="Palatino Linotype" w:eastAsia="Times New Roman" w:hAnsi="Palatino Linotype" w:cs="Arial"/>
          <w:color w:val="000000" w:themeColor="text1"/>
          <w:lang w:val="es-ES"/>
        </w:rPr>
        <w:t>once</w:t>
      </w:r>
      <w:r w:rsidR="002D6CF5" w:rsidRPr="00A0054B">
        <w:rPr>
          <w:rFonts w:ascii="Palatino Linotype" w:eastAsia="Times New Roman" w:hAnsi="Palatino Linotype" w:cs="Arial"/>
          <w:color w:val="000000" w:themeColor="text1"/>
          <w:lang w:val="es-ES"/>
        </w:rPr>
        <w:t xml:space="preserve"> (</w:t>
      </w:r>
      <w:r w:rsidR="005B42D8">
        <w:rPr>
          <w:rFonts w:ascii="Palatino Linotype" w:eastAsia="Times New Roman" w:hAnsi="Palatino Linotype" w:cs="Arial"/>
          <w:color w:val="000000" w:themeColor="text1"/>
          <w:lang w:val="es-ES"/>
        </w:rPr>
        <w:t>1</w:t>
      </w:r>
      <w:r w:rsidR="001B32B2">
        <w:rPr>
          <w:rFonts w:ascii="Palatino Linotype" w:eastAsia="Times New Roman" w:hAnsi="Palatino Linotype" w:cs="Arial"/>
          <w:color w:val="000000" w:themeColor="text1"/>
          <w:lang w:val="es-ES"/>
        </w:rPr>
        <w:t>1</w:t>
      </w:r>
      <w:r w:rsidR="007A078A" w:rsidRPr="00A0054B">
        <w:rPr>
          <w:rFonts w:ascii="Palatino Linotype" w:eastAsia="Times New Roman" w:hAnsi="Palatino Linotype" w:cs="Arial"/>
          <w:color w:val="000000" w:themeColor="text1"/>
          <w:lang w:val="es-ES"/>
        </w:rPr>
        <w:t xml:space="preserve">) de </w:t>
      </w:r>
      <w:r w:rsidR="001B32B2">
        <w:rPr>
          <w:rFonts w:ascii="Palatino Linotype" w:eastAsia="Times New Roman" w:hAnsi="Palatino Linotype" w:cs="Arial"/>
          <w:color w:val="000000" w:themeColor="text1"/>
          <w:lang w:val="es-ES"/>
        </w:rPr>
        <w:t>febrero</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AD2900" w:rsidRPr="00AD2900">
        <w:rPr>
          <w:rFonts w:ascii="Palatino Linotype" w:hAnsi="Palatino Linotype"/>
          <w:b/>
          <w:szCs w:val="22"/>
        </w:rPr>
        <w:t>00713/INFOEM/IP/RR/2022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774DAF3" w:rsidR="00E34622" w:rsidRPr="00413D35" w:rsidRDefault="00E34622" w:rsidP="00AD290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lastRenderedPageBreak/>
        <w:t>Acto impugnado:</w:t>
      </w:r>
      <w:r w:rsidRPr="00413D35">
        <w:rPr>
          <w:rFonts w:ascii="Palatino Linotype" w:eastAsia="Times New Roman" w:hAnsi="Palatino Linotype" w:cs="Arial"/>
          <w:color w:val="000000" w:themeColor="text1"/>
          <w:lang w:val="es-ES"/>
        </w:rPr>
        <w:t xml:space="preserve"> “</w:t>
      </w:r>
      <w:r w:rsidR="00AD2900" w:rsidRPr="00AD2900">
        <w:rPr>
          <w:rFonts w:ascii="Palatino Linotype" w:eastAsia="Times New Roman" w:hAnsi="Palatino Linotype" w:cs="Arial"/>
          <w:i/>
          <w:color w:val="000000" w:themeColor="text1"/>
          <w:lang w:val="es-ES"/>
        </w:rPr>
        <w:t>El oficio numero TM/TV/047/2022, de fecha 26 de enero del año 2022, por el que se da respuesta a la solicitud de información relativas a las cuentas bancarias del Ayuntamiento de Tenango del Valle.</w:t>
      </w:r>
      <w:r w:rsidRPr="00413D35">
        <w:rPr>
          <w:rFonts w:ascii="Palatino Linotype" w:eastAsia="Times New Roman" w:hAnsi="Palatino Linotype" w:cs="Arial"/>
          <w:i/>
          <w:color w:val="000000" w:themeColor="text1"/>
          <w:lang w:val="es-ES"/>
        </w:rPr>
        <w:t>”</w:t>
      </w:r>
      <w:r w:rsidRPr="00413D35">
        <w:rPr>
          <w:rFonts w:ascii="Palatino Linotype" w:eastAsia="Times New Roman" w:hAnsi="Palatino Linotype" w:cs="Arial"/>
          <w:color w:val="000000" w:themeColor="text1"/>
          <w:lang w:val="es-ES"/>
        </w:rPr>
        <w:t xml:space="preserve"> (Sic).</w:t>
      </w:r>
    </w:p>
    <w:p w14:paraId="033BFDE8" w14:textId="200F6A90" w:rsidR="00901BB1" w:rsidRDefault="00901BB1" w:rsidP="00AD290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Motivos o razones de inconformidad:</w:t>
      </w:r>
      <w:r w:rsidRPr="00413D35">
        <w:rPr>
          <w:rFonts w:ascii="Palatino Linotype" w:eastAsia="Times New Roman" w:hAnsi="Palatino Linotype" w:cs="Arial"/>
          <w:color w:val="000000" w:themeColor="text1"/>
          <w:lang w:val="es-ES"/>
        </w:rPr>
        <w:t xml:space="preserve"> “</w:t>
      </w:r>
      <w:r w:rsidR="00AD2900" w:rsidRPr="00AD2900">
        <w:rPr>
          <w:rFonts w:ascii="Palatino Linotype" w:eastAsia="Times New Roman" w:hAnsi="Palatino Linotype" w:cs="Arial"/>
          <w:i/>
          <w:color w:val="000000" w:themeColor="text1"/>
          <w:lang w:val="es-ES"/>
        </w:rPr>
        <w:t>El ayuntamiento de Tenango del Valle, omite mencionar el nombre de la institución bancaria en la que tiene las cuentas; asimismo, no señalan el numero completo de las cuentas en donde se radican los recursos, únicamente señalan los últimos tres dígitos.</w:t>
      </w:r>
      <w:r w:rsidRPr="00413D35">
        <w:rPr>
          <w:rFonts w:ascii="Palatino Linotype" w:eastAsia="Times New Roman" w:hAnsi="Palatino Linotype" w:cs="Arial"/>
          <w:color w:val="000000" w:themeColor="text1"/>
          <w:lang w:val="es-ES"/>
        </w:rPr>
        <w:t>”</w:t>
      </w:r>
      <w:r w:rsidR="005B0765" w:rsidRPr="00413D35">
        <w:rPr>
          <w:rFonts w:ascii="Palatino Linotype" w:eastAsia="Times New Roman" w:hAnsi="Palatino Linotype" w:cs="Arial"/>
          <w:color w:val="000000" w:themeColor="text1"/>
          <w:lang w:val="es-ES"/>
        </w:rPr>
        <w:t xml:space="preserve"> (sic)</w:t>
      </w:r>
      <w:r w:rsidR="00E76251" w:rsidRPr="00413D35">
        <w:rPr>
          <w:rFonts w:ascii="Palatino Linotype" w:eastAsia="Times New Roman" w:hAnsi="Palatino Linotype" w:cs="Arial"/>
          <w:color w:val="000000" w:themeColor="text1"/>
          <w:lang w:val="es-ES"/>
        </w:rPr>
        <w:t xml:space="preserve"> </w:t>
      </w:r>
    </w:p>
    <w:p w14:paraId="3875A9E7" w14:textId="77777777" w:rsidR="00AD2900"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7D97877" w14:textId="57BF9F14" w:rsidR="00AD2900" w:rsidRDefault="00AD2900"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Al recurso de revisión adjuntó el documento electrónico denominado </w:t>
      </w:r>
      <w:r w:rsidRPr="00AD2900">
        <w:rPr>
          <w:rFonts w:ascii="Palatino Linotype" w:eastAsia="Calibri" w:hAnsi="Palatino Linotype" w:cs="Arial"/>
          <w:b/>
          <w:i/>
          <w:color w:val="000000" w:themeColor="text1"/>
          <w:lang w:val="es-ES"/>
        </w:rPr>
        <w:t>contestacion tesorería 00010.pdf</w:t>
      </w:r>
      <w:r>
        <w:rPr>
          <w:rFonts w:ascii="Palatino Linotype" w:eastAsia="Calibri" w:hAnsi="Palatino Linotype" w:cs="Arial"/>
          <w:b/>
          <w:i/>
          <w:color w:val="000000" w:themeColor="text1"/>
          <w:lang w:val="es-ES"/>
        </w:rPr>
        <w:t xml:space="preserve"> </w:t>
      </w:r>
      <w:r w:rsidRPr="00AD2900">
        <w:rPr>
          <w:rFonts w:ascii="Palatino Linotype" w:eastAsia="Calibri" w:hAnsi="Palatino Linotype" w:cs="Arial"/>
          <w:color w:val="000000" w:themeColor="text1"/>
          <w:lang w:val="es-ES"/>
        </w:rPr>
        <w:t>el cual contiene la respuesta otorgada por el Sujeto Obligado.</w:t>
      </w:r>
    </w:p>
    <w:p w14:paraId="53F3AFC8" w14:textId="77777777" w:rsidR="00AD2900" w:rsidRPr="00AD2900" w:rsidRDefault="00AD2900" w:rsidP="00AD290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32DCD7E"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B81371" w:rsidRPr="00A0054B">
        <w:rPr>
          <w:rFonts w:ascii="Palatino Linotype" w:eastAsia="Calibri" w:hAnsi="Palatino Linotype" w:cs="Arial"/>
          <w:color w:val="000000" w:themeColor="text1"/>
          <w:lang w:val="es-ES"/>
        </w:rPr>
        <w:t xml:space="preserve">de </w:t>
      </w:r>
      <w:r w:rsidR="00751F6F">
        <w:rPr>
          <w:rFonts w:ascii="Palatino Linotype" w:eastAsia="Calibri" w:hAnsi="Palatino Linotype" w:cs="Arial"/>
          <w:color w:val="000000" w:themeColor="text1"/>
          <w:lang w:val="es-ES"/>
        </w:rPr>
        <w:t>diecisiete</w:t>
      </w:r>
      <w:r w:rsidR="00BD6C40" w:rsidRPr="00A0054B">
        <w:rPr>
          <w:rFonts w:ascii="Palatino Linotype" w:eastAsia="Calibri" w:hAnsi="Palatino Linotype" w:cs="Arial"/>
          <w:color w:val="000000" w:themeColor="text1"/>
          <w:lang w:val="es-ES"/>
        </w:rPr>
        <w:t xml:space="preserve"> (</w:t>
      </w:r>
      <w:r w:rsidR="00751F6F">
        <w:rPr>
          <w:rFonts w:ascii="Palatino Linotype" w:eastAsia="Calibri" w:hAnsi="Palatino Linotype" w:cs="Arial"/>
          <w:color w:val="000000" w:themeColor="text1"/>
          <w:lang w:val="es-ES"/>
        </w:rPr>
        <w:t>17</w:t>
      </w:r>
      <w:r w:rsidR="00BD6C40" w:rsidRPr="00A0054B">
        <w:rPr>
          <w:rFonts w:ascii="Palatino Linotype" w:eastAsia="Calibri" w:hAnsi="Palatino Linotype" w:cs="Arial"/>
          <w:color w:val="000000" w:themeColor="text1"/>
          <w:lang w:val="es-ES"/>
        </w:rPr>
        <w:t xml:space="preserve">) de </w:t>
      </w:r>
      <w:r w:rsidR="001B32B2">
        <w:rPr>
          <w:rFonts w:ascii="Palatino Linotype" w:eastAsia="Calibri" w:hAnsi="Palatino Linotype" w:cs="Arial"/>
          <w:color w:val="000000" w:themeColor="text1"/>
          <w:lang w:val="es-ES"/>
        </w:rPr>
        <w:t>febrero</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lastRenderedPageBreak/>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0F310D47" w14:textId="77EB4723" w:rsidR="001B32B2" w:rsidRDefault="001B32B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De las constancias que obran en el expediente electrónico del SAIMEX, se aprecia que tanto el Sujeto Obligado como el Recurrente, fueron omisos en realizar manifestaciones.</w:t>
      </w:r>
    </w:p>
    <w:p w14:paraId="1814F1F1"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71557EB8" w14:textId="2B1698F2" w:rsidR="001B32B2" w:rsidRDefault="001B32B2" w:rsidP="001B32B2">
      <w:pPr>
        <w:pStyle w:val="Prrafodelista"/>
        <w:tabs>
          <w:tab w:val="left" w:pos="426"/>
        </w:tabs>
        <w:spacing w:line="360" w:lineRule="auto"/>
        <w:ind w:left="0"/>
        <w:jc w:val="both"/>
        <w:rPr>
          <w:rFonts w:ascii="Palatino Linotype" w:eastAsia="Calibri" w:hAnsi="Palatino Linotype" w:cs="Arial"/>
          <w:color w:val="000000" w:themeColor="text1"/>
          <w:lang w:val="es-ES"/>
        </w:rPr>
      </w:pPr>
      <w:r>
        <w:rPr>
          <w:noProof/>
          <w:lang w:eastAsia="es-MX"/>
        </w:rPr>
        <w:drawing>
          <wp:inline distT="0" distB="0" distL="0" distR="0" wp14:anchorId="1CF63B75" wp14:editId="3C597802">
            <wp:extent cx="5550274" cy="1485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58" t="31684" r="6822" b="27278"/>
                    <a:stretch/>
                  </pic:blipFill>
                  <pic:spPr bwMode="auto">
                    <a:xfrm>
                      <a:off x="0" y="0"/>
                      <a:ext cx="5554282" cy="1486973"/>
                    </a:xfrm>
                    <a:prstGeom prst="rect">
                      <a:avLst/>
                    </a:prstGeom>
                    <a:ln>
                      <a:noFill/>
                    </a:ln>
                    <a:extLst>
                      <a:ext uri="{53640926-AAD7-44D8-BBD7-CCE9431645EC}">
                        <a14:shadowObscured xmlns:a14="http://schemas.microsoft.com/office/drawing/2010/main"/>
                      </a:ext>
                    </a:extLst>
                  </pic:spPr>
                </pic:pic>
              </a:graphicData>
            </a:graphic>
          </wp:inline>
        </w:drawing>
      </w:r>
    </w:p>
    <w:p w14:paraId="6C5C0BF8" w14:textId="77777777" w:rsidR="001B32B2" w:rsidRPr="00A0054B" w:rsidRDefault="001B32B2" w:rsidP="001B32B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21200A4" w14:textId="77777777" w:rsidR="001B32B2" w:rsidRPr="0021183C" w:rsidRDefault="001B32B2" w:rsidP="001B32B2">
      <w:pPr>
        <w:pStyle w:val="Prrafodelista"/>
        <w:numPr>
          <w:ilvl w:val="0"/>
          <w:numId w:val="1"/>
        </w:numPr>
        <w:spacing w:before="240" w:after="240" w:line="360" w:lineRule="auto"/>
        <w:jc w:val="both"/>
        <w:rPr>
          <w:rFonts w:ascii="Palatino Linotype" w:hAnsi="Palatino Linotype" w:cs="Arial"/>
        </w:rPr>
      </w:pPr>
      <w:r w:rsidRPr="0021183C">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7AF4EA0" w14:textId="77777777" w:rsidR="001B32B2" w:rsidRPr="002152A6" w:rsidRDefault="001B32B2" w:rsidP="001B32B2">
      <w:pPr>
        <w:pStyle w:val="Prrafodelista"/>
        <w:spacing w:line="360" w:lineRule="auto"/>
        <w:ind w:left="0"/>
        <w:jc w:val="both"/>
        <w:rPr>
          <w:rFonts w:ascii="Palatino Linotype" w:hAnsi="Palatino Linotype" w:cs="Arial"/>
        </w:rPr>
      </w:pPr>
    </w:p>
    <w:p w14:paraId="0B6808B3" w14:textId="77777777" w:rsidR="001B32B2" w:rsidRPr="002152A6" w:rsidRDefault="001B32B2" w:rsidP="001B32B2">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B02C48">
        <w:rPr>
          <w:rFonts w:ascii="Palatino Linotype" w:hAnsi="Palatino Linotype" w:cs="Arial"/>
          <w:b/>
          <w:bCs/>
          <w:i/>
          <w:iCs/>
          <w:color w:val="222222"/>
          <w:sz w:val="22"/>
          <w:lang w:val="es-ES_tradnl"/>
        </w:rPr>
        <w:t>QUEJA, RECURSO DE. LA OMISION DE RENDIR EL INFORME RESPECTIVO NO IMPIDE QUE SE RESUELV</w:t>
      </w:r>
      <w:r w:rsidRPr="00B02C48">
        <w:rPr>
          <w:rFonts w:ascii="Palatino Linotype" w:hAnsi="Palatino Linotype" w:cs="Arial"/>
          <w:b/>
          <w:i/>
          <w:iCs/>
          <w:color w:val="222222"/>
          <w:sz w:val="22"/>
          <w:lang w:val="es-ES_tradnl"/>
        </w:rPr>
        <w:t>A.</w:t>
      </w:r>
      <w:r w:rsidRPr="002152A6">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w:t>
      </w:r>
      <w:r w:rsidRPr="002152A6">
        <w:rPr>
          <w:rFonts w:ascii="Palatino Linotype" w:hAnsi="Palatino Linotype" w:cs="Arial"/>
          <w:i/>
          <w:iCs/>
          <w:color w:val="222222"/>
          <w:sz w:val="22"/>
          <w:lang w:val="es-ES_tradnl"/>
        </w:rPr>
        <w:lastRenderedPageBreak/>
        <w:t>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14:paraId="312273D3" w14:textId="77777777" w:rsidR="001B32B2" w:rsidRPr="002152A6" w:rsidRDefault="001B32B2" w:rsidP="001B32B2">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1C2335B" w14:textId="77777777" w:rsidR="001B32B2" w:rsidRPr="001B32B2" w:rsidRDefault="001B32B2" w:rsidP="001B32B2">
      <w:pPr>
        <w:pStyle w:val="Prrafodelista"/>
        <w:numPr>
          <w:ilvl w:val="0"/>
          <w:numId w:val="1"/>
        </w:numPr>
        <w:spacing w:line="360" w:lineRule="auto"/>
        <w:jc w:val="both"/>
        <w:rPr>
          <w:rFonts w:ascii="Palatino Linotype" w:hAnsi="Palatino Linotype" w:cs="Arial"/>
          <w:b/>
        </w:rPr>
      </w:pPr>
      <w:r w:rsidRPr="002152A6">
        <w:rPr>
          <w:rFonts w:ascii="Palatino Linotype" w:hAnsi="Palatino Linotype" w:cs="Arial"/>
          <w:color w:val="222222"/>
        </w:rPr>
        <w:t>Por lo cual se reitera, que la falta de informe justificado no impide que este Órgano Garante conozca y resuelva el recurso de revisión, solo propicia que el </w:t>
      </w:r>
      <w:r w:rsidRPr="002152A6">
        <w:rPr>
          <w:rFonts w:ascii="Palatino Linotype" w:hAnsi="Palatino Linotype" w:cs="Arial"/>
          <w:b/>
          <w:bCs/>
          <w:color w:val="222222"/>
        </w:rPr>
        <w:t>SUJETO OBLIGADO</w:t>
      </w:r>
      <w:r w:rsidRPr="002152A6">
        <w:rPr>
          <w:rFonts w:ascii="Palatino Linotype" w:hAnsi="Palatino Linotype" w:cs="Arial"/>
          <w:color w:val="222222"/>
        </w:rPr>
        <w:t> pierda la oportunidad de justificar su falta de respuesta y manifestar lo que a su derecho convenga.</w:t>
      </w:r>
    </w:p>
    <w:p w14:paraId="6238EB65" w14:textId="77777777" w:rsidR="001B32B2" w:rsidRPr="002152A6" w:rsidRDefault="001B32B2" w:rsidP="001B32B2">
      <w:pPr>
        <w:pStyle w:val="Prrafodelista"/>
        <w:spacing w:line="360" w:lineRule="auto"/>
        <w:ind w:left="0"/>
        <w:jc w:val="both"/>
        <w:rPr>
          <w:rFonts w:ascii="Palatino Linotype" w:hAnsi="Palatino Linotype" w:cs="Arial"/>
          <w:b/>
        </w:rPr>
      </w:pPr>
    </w:p>
    <w:p w14:paraId="3001AA57" w14:textId="6B1CE017" w:rsidR="008965EF" w:rsidRPr="003718A1"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lang w:val="es-ES"/>
        </w:rPr>
        <w:t>El</w:t>
      </w:r>
      <w:bookmarkStart w:id="4" w:name="_Toc461555889"/>
      <w:bookmarkStart w:id="5" w:name="_Toc466371858"/>
      <w:r w:rsidR="00B855AA" w:rsidRPr="00A0054B">
        <w:rPr>
          <w:rFonts w:ascii="Palatino Linotype" w:eastAsia="Calibri" w:hAnsi="Palatino Linotype" w:cs="Arial"/>
          <w:color w:val="000000" w:themeColor="text1"/>
          <w:lang w:val="es-ES"/>
        </w:rPr>
        <w:t xml:space="preserve"> </w:t>
      </w:r>
      <w:r w:rsidR="001B32B2">
        <w:rPr>
          <w:rFonts w:ascii="Palatino Linotype" w:eastAsia="Calibri" w:hAnsi="Palatino Linotype" w:cs="Arial"/>
          <w:color w:val="000000" w:themeColor="text1"/>
          <w:lang w:val="es-ES"/>
        </w:rPr>
        <w:t>tres</w:t>
      </w:r>
      <w:r w:rsidR="00C7137A" w:rsidRPr="00A0054B">
        <w:rPr>
          <w:rFonts w:ascii="Palatino Linotype" w:eastAsia="Calibri" w:hAnsi="Palatino Linotype" w:cs="Arial"/>
          <w:color w:val="000000" w:themeColor="text1"/>
          <w:lang w:val="es-ES"/>
        </w:rPr>
        <w:t xml:space="preserve"> (</w:t>
      </w:r>
      <w:r w:rsidR="001B32B2">
        <w:rPr>
          <w:rFonts w:ascii="Palatino Linotype" w:eastAsia="Calibri" w:hAnsi="Palatino Linotype" w:cs="Arial"/>
          <w:color w:val="000000" w:themeColor="text1"/>
          <w:lang w:val="es-ES"/>
        </w:rPr>
        <w:t>3</w:t>
      </w:r>
      <w:r w:rsidR="00C7137A" w:rsidRPr="00A0054B">
        <w:rPr>
          <w:rFonts w:ascii="Palatino Linotype" w:eastAsia="Calibri" w:hAnsi="Palatino Linotype" w:cs="Arial"/>
          <w:color w:val="000000" w:themeColor="text1"/>
          <w:lang w:val="es-ES"/>
        </w:rPr>
        <w:t xml:space="preserve">) de </w:t>
      </w:r>
      <w:r w:rsidR="001B32B2">
        <w:rPr>
          <w:rFonts w:ascii="Palatino Linotype" w:eastAsia="Calibri" w:hAnsi="Palatino Linotype" w:cs="Arial"/>
          <w:color w:val="000000" w:themeColor="text1"/>
          <w:lang w:val="es-ES"/>
        </w:rPr>
        <w:t>marzo</w:t>
      </w:r>
      <w:r w:rsidR="00C7137A" w:rsidRPr="00A0054B">
        <w:rPr>
          <w:rFonts w:ascii="Palatino Linotype" w:eastAsia="Calibri" w:hAnsi="Palatino Linotype" w:cs="Arial"/>
          <w:color w:val="000000" w:themeColor="text1"/>
          <w:lang w:val="es-ES"/>
        </w:rPr>
        <w:t xml:space="preserve"> de dos mil veintidós la Comisionada Ponente </w:t>
      </w:r>
      <w:r w:rsidR="003718A1">
        <w:rPr>
          <w:rFonts w:ascii="Palatino Linotype" w:eastAsia="Calibri" w:hAnsi="Palatino Linotype" w:cs="Arial"/>
          <w:color w:val="000000" w:themeColor="text1"/>
          <w:lang w:val="es-ES"/>
        </w:rPr>
        <w:t>decretó</w:t>
      </w:r>
      <w:r w:rsidR="00AD6AC5" w:rsidRPr="00A0054B">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A0054B">
        <w:rPr>
          <w:rFonts w:ascii="Palatino Linotype" w:hAnsi="Palatino Linotype" w:cs="Arial"/>
          <w:color w:val="000000" w:themeColor="text1"/>
        </w:rPr>
        <w:t xml:space="preserve">; </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A0054B">
        <w:rPr>
          <w:rFonts w:ascii="Palatino Linotype" w:hAnsi="Palatino Linotype"/>
          <w:b/>
          <w:color w:val="000000" w:themeColor="text1"/>
          <w:sz w:val="24"/>
        </w:rPr>
        <w:t>PRIMERO. De la competencia</w:t>
      </w:r>
      <w:bookmarkEnd w:id="7"/>
      <w:bookmarkEnd w:id="8"/>
      <w:bookmarkEnd w:id="9"/>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lastRenderedPageBreak/>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10"/>
      <w:bookmarkEnd w:id="11"/>
      <w:bookmarkEnd w:id="12"/>
    </w:p>
    <w:p w14:paraId="18E22450" w14:textId="77777777" w:rsidR="00C6440A" w:rsidRPr="00A0054B" w:rsidRDefault="00C6440A" w:rsidP="00B31E90">
      <w:pPr>
        <w:rPr>
          <w:color w:val="000000" w:themeColor="text1"/>
          <w:lang w:eastAsia="en-US"/>
        </w:rPr>
      </w:pPr>
    </w:p>
    <w:p w14:paraId="7D631690" w14:textId="7D9E1FBC" w:rsidR="00B34758" w:rsidRPr="00061A86"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1B32B2">
        <w:rPr>
          <w:rFonts w:ascii="Palatino Linotype" w:eastAsia="Calibri" w:hAnsi="Palatino Linotype" w:cs="Arial"/>
          <w:color w:val="000000" w:themeColor="text1"/>
        </w:rPr>
        <w:t>nueve</w:t>
      </w:r>
      <w:r w:rsidR="00921375" w:rsidRPr="00A0054B">
        <w:rPr>
          <w:rFonts w:ascii="Palatino Linotype" w:eastAsia="Calibri" w:hAnsi="Palatino Linotype" w:cs="Arial"/>
          <w:color w:val="000000" w:themeColor="text1"/>
        </w:rPr>
        <w:t xml:space="preserve"> (</w:t>
      </w:r>
      <w:r w:rsidR="001B32B2">
        <w:rPr>
          <w:rFonts w:ascii="Palatino Linotype" w:eastAsia="Calibri" w:hAnsi="Palatino Linotype" w:cs="Arial"/>
          <w:color w:val="000000" w:themeColor="text1"/>
        </w:rPr>
        <w:t>9</w:t>
      </w:r>
      <w:r w:rsidR="00921375" w:rsidRPr="00A0054B">
        <w:rPr>
          <w:rFonts w:ascii="Palatino Linotype" w:eastAsia="Calibri" w:hAnsi="Palatino Linotype" w:cs="Arial"/>
          <w:color w:val="000000" w:themeColor="text1"/>
        </w:rPr>
        <w:t xml:space="preserve">) de </w:t>
      </w:r>
      <w:r w:rsidR="001B32B2">
        <w:rPr>
          <w:rFonts w:ascii="Palatino Linotype" w:eastAsia="Calibri" w:hAnsi="Palatino Linotype" w:cs="Arial"/>
          <w:color w:val="000000" w:themeColor="text1"/>
        </w:rPr>
        <w:t>febrero</w:t>
      </w:r>
      <w:r w:rsidR="007F372C" w:rsidRPr="00A0054B">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de dos mil veinti</w:t>
      </w:r>
      <w:r w:rsidR="001B32B2">
        <w:rPr>
          <w:rFonts w:ascii="Palatino Linotype" w:eastAsia="Calibri" w:hAnsi="Palatino Linotype" w:cs="Arial"/>
          <w:color w:val="000000" w:themeColor="text1"/>
        </w:rPr>
        <w:t>dós</w:t>
      </w:r>
      <w:r w:rsidR="00740BA4" w:rsidRPr="00A0054B">
        <w:rPr>
          <w:rFonts w:ascii="Palatino Linotype" w:eastAsia="Calibri" w:hAnsi="Palatino Linotype" w:cs="Arial"/>
          <w:color w:val="000000" w:themeColor="text1"/>
        </w:rPr>
        <w:t xml:space="preserve">, de tal forma que el plazo para interponer el recurso de revisión transcurrió del </w:t>
      </w:r>
      <w:r w:rsidR="00236319">
        <w:rPr>
          <w:rFonts w:ascii="Palatino Linotype" w:eastAsia="Calibri" w:hAnsi="Palatino Linotype" w:cs="Arial"/>
          <w:color w:val="000000" w:themeColor="text1"/>
        </w:rPr>
        <w:t>diez</w:t>
      </w:r>
      <w:r w:rsidR="00CE035D" w:rsidRPr="00A0054B">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w:t>
      </w:r>
      <w:r w:rsidR="00236319">
        <w:rPr>
          <w:rFonts w:ascii="Palatino Linotype" w:eastAsia="Calibri" w:hAnsi="Palatino Linotype" w:cs="Arial"/>
          <w:color w:val="000000" w:themeColor="text1"/>
        </w:rPr>
        <w:t>10</w:t>
      </w:r>
      <w:r w:rsidR="00921375" w:rsidRPr="00A0054B">
        <w:rPr>
          <w:rFonts w:ascii="Palatino Linotype" w:eastAsia="Calibri" w:hAnsi="Palatino Linotype" w:cs="Arial"/>
          <w:color w:val="000000" w:themeColor="text1"/>
        </w:rPr>
        <w:t xml:space="preserve">) </w:t>
      </w:r>
      <w:r w:rsidR="001B32B2">
        <w:rPr>
          <w:rFonts w:ascii="Palatino Linotype" w:eastAsia="Calibri" w:hAnsi="Palatino Linotype" w:cs="Arial"/>
          <w:color w:val="000000" w:themeColor="text1"/>
        </w:rPr>
        <w:t xml:space="preserve">de febrero </w:t>
      </w:r>
      <w:r w:rsidR="00236319">
        <w:rPr>
          <w:rFonts w:ascii="Palatino Linotype" w:eastAsia="Calibri" w:hAnsi="Palatino Linotype" w:cs="Arial"/>
          <w:color w:val="000000" w:themeColor="text1"/>
        </w:rPr>
        <w:t>al tre</w:t>
      </w:r>
      <w:r w:rsidR="001B32B2">
        <w:rPr>
          <w:rFonts w:ascii="Palatino Linotype" w:eastAsia="Calibri" w:hAnsi="Palatino Linotype" w:cs="Arial"/>
          <w:color w:val="000000" w:themeColor="text1"/>
        </w:rPr>
        <w:t>s</w:t>
      </w:r>
      <w:r w:rsidR="00236319">
        <w:rPr>
          <w:rFonts w:ascii="Palatino Linotype" w:eastAsia="Calibri" w:hAnsi="Palatino Linotype" w:cs="Arial"/>
          <w:color w:val="000000" w:themeColor="text1"/>
        </w:rPr>
        <w:t xml:space="preserve"> (3) de </w:t>
      </w:r>
      <w:r w:rsidR="001B32B2">
        <w:rPr>
          <w:rFonts w:ascii="Palatino Linotype" w:eastAsia="Calibri" w:hAnsi="Palatino Linotype" w:cs="Arial"/>
          <w:color w:val="000000" w:themeColor="text1"/>
        </w:rPr>
        <w:t>marzo</w:t>
      </w:r>
      <w:r w:rsidR="00AA37A7">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 xml:space="preserve">de dos mil </w:t>
      </w:r>
      <w:r w:rsidR="00AA37A7">
        <w:rPr>
          <w:rFonts w:ascii="Palatino Linotype" w:eastAsia="Calibri" w:hAnsi="Palatino Linotype" w:cs="Arial"/>
          <w:color w:val="000000" w:themeColor="text1"/>
        </w:rPr>
        <w:t>veintidós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1B32B2">
        <w:rPr>
          <w:rFonts w:ascii="Palatino Linotype" w:hAnsi="Palatino Linotype"/>
          <w:color w:val="000000" w:themeColor="text1"/>
        </w:rPr>
        <w:t>once</w:t>
      </w:r>
      <w:r w:rsidR="00CE035D" w:rsidRPr="00A0054B">
        <w:rPr>
          <w:rFonts w:ascii="Palatino Linotype" w:hAnsi="Palatino Linotype"/>
          <w:color w:val="000000" w:themeColor="text1"/>
        </w:rPr>
        <w:t xml:space="preserve"> </w:t>
      </w:r>
      <w:r w:rsidR="00921375" w:rsidRPr="00A0054B">
        <w:rPr>
          <w:rFonts w:ascii="Palatino Linotype" w:hAnsi="Palatino Linotype"/>
          <w:color w:val="000000" w:themeColor="text1"/>
        </w:rPr>
        <w:t>(</w:t>
      </w:r>
      <w:r w:rsidR="00061A86">
        <w:rPr>
          <w:rFonts w:ascii="Palatino Linotype" w:hAnsi="Palatino Linotype"/>
          <w:color w:val="000000" w:themeColor="text1"/>
        </w:rPr>
        <w:t>1</w:t>
      </w:r>
      <w:r w:rsidR="001B32B2">
        <w:rPr>
          <w:rFonts w:ascii="Palatino Linotype" w:hAnsi="Palatino Linotype"/>
          <w:color w:val="000000" w:themeColor="text1"/>
        </w:rPr>
        <w:t>1</w:t>
      </w:r>
      <w:r w:rsidR="00921375" w:rsidRPr="00A0054B">
        <w:rPr>
          <w:rFonts w:ascii="Palatino Linotype" w:hAnsi="Palatino Linotype"/>
          <w:color w:val="000000" w:themeColor="text1"/>
        </w:rPr>
        <w:t xml:space="preserve">) de </w:t>
      </w:r>
      <w:r w:rsidR="001B32B2">
        <w:rPr>
          <w:rFonts w:ascii="Palatino Linotype" w:hAnsi="Palatino Linotype"/>
          <w:color w:val="000000" w:themeColor="text1"/>
        </w:rPr>
        <w:t>febrero</w:t>
      </w:r>
      <w:r w:rsidR="00061A86">
        <w:rPr>
          <w:rFonts w:ascii="Palatino Linotype" w:hAnsi="Palatino Linotype"/>
          <w:color w:val="000000" w:themeColor="text1"/>
        </w:rPr>
        <w:t xml:space="preserve"> de dos mil veintidós</w:t>
      </w:r>
      <w:r w:rsidR="00E95534" w:rsidRPr="00A0054B">
        <w:rPr>
          <w:rFonts w:ascii="Palatino Linotype" w:hAnsi="Palatino Linotype"/>
          <w:color w:val="000000" w:themeColor="text1"/>
        </w:rPr>
        <w:t>,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4407F6BE" w14:textId="77777777" w:rsidR="00061A86" w:rsidRDefault="00061A86" w:rsidP="00061A8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B34758"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 xml:space="preserve">ste Instituto de Transparencia, Acceso a </w:t>
      </w:r>
      <w:r w:rsidR="00540208" w:rsidRPr="00B34758">
        <w:rPr>
          <w:rFonts w:ascii="Palatino Linotype" w:eastAsia="Calibri" w:hAnsi="Palatino Linotype" w:cs="Arial"/>
          <w:color w:val="000000" w:themeColor="text1"/>
        </w:rPr>
        <w:lastRenderedPageBreak/>
        <w:t>la Información Pública y Protección de Datos Personales del Estado de México y Municipios, conozca y resuelva el presente recurso.</w:t>
      </w:r>
    </w:p>
    <w:p w14:paraId="740A685D" w14:textId="77777777" w:rsidR="002630E4" w:rsidRPr="00A0054B"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07B86E60" w14:textId="3C64F609" w:rsidR="00236319"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1B32B2">
        <w:rPr>
          <w:rFonts w:ascii="Palatino Linotype" w:hAnsi="Palatino Linotype" w:cs="Arial"/>
          <w:color w:val="000000" w:themeColor="text1"/>
        </w:rPr>
        <w:t xml:space="preserve"> los números de cuentas bancarias donde se depositan recursos públicos por los siguientes conceptos:</w:t>
      </w:r>
    </w:p>
    <w:p w14:paraId="0AE522E1" w14:textId="77777777" w:rsidR="001B32B2" w:rsidRDefault="001B32B2" w:rsidP="005946F4">
      <w:pPr>
        <w:pStyle w:val="Prrafodelista"/>
        <w:numPr>
          <w:ilvl w:val="0"/>
          <w:numId w:val="25"/>
        </w:numPr>
        <w:ind w:hanging="294"/>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Ramo 33 </w:t>
      </w:r>
    </w:p>
    <w:p w14:paraId="403EE488" w14:textId="61B3A924" w:rsidR="001B32B2" w:rsidRDefault="001B32B2" w:rsidP="005946F4">
      <w:pPr>
        <w:pStyle w:val="Prrafodelista"/>
        <w:numPr>
          <w:ilvl w:val="0"/>
          <w:numId w:val="25"/>
        </w:numPr>
        <w:ind w:hanging="294"/>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Fondos III y IV;</w:t>
      </w:r>
    </w:p>
    <w:p w14:paraId="47D21670" w14:textId="233CC43A" w:rsidR="001B32B2" w:rsidRDefault="001B32B2" w:rsidP="005946F4">
      <w:pPr>
        <w:pStyle w:val="Prrafodelista"/>
        <w:numPr>
          <w:ilvl w:val="0"/>
          <w:numId w:val="25"/>
        </w:numPr>
        <w:ind w:hanging="294"/>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Participaciones federales; y,</w:t>
      </w:r>
    </w:p>
    <w:p w14:paraId="20316D59" w14:textId="6D40B730" w:rsidR="001B32B2" w:rsidRDefault="001B32B2" w:rsidP="005946F4">
      <w:pPr>
        <w:pStyle w:val="Prrafodelista"/>
        <w:numPr>
          <w:ilvl w:val="0"/>
          <w:numId w:val="25"/>
        </w:numPr>
        <w:ind w:hanging="294"/>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Pagos de recursos propios.</w:t>
      </w:r>
    </w:p>
    <w:p w14:paraId="42C32636" w14:textId="539DAFCC" w:rsidR="00DD5654" w:rsidRPr="00CE2885" w:rsidRDefault="00DD5654" w:rsidP="00F63F09">
      <w:pPr>
        <w:ind w:right="616"/>
        <w:jc w:val="both"/>
        <w:rPr>
          <w:rFonts w:ascii="Palatino Linotype" w:hAnsi="Palatino Linotype" w:cs="Arial"/>
          <w:color w:val="000000" w:themeColor="text1"/>
        </w:rPr>
      </w:pPr>
    </w:p>
    <w:p w14:paraId="636DF834" w14:textId="77777777" w:rsidR="00DD5654" w:rsidRPr="00CE2885" w:rsidRDefault="00DD5654" w:rsidP="00F63F09">
      <w:pPr>
        <w:ind w:right="616"/>
        <w:jc w:val="both"/>
        <w:rPr>
          <w:rFonts w:ascii="Palatino Linotype" w:hAnsi="Palatino Linotype" w:cs="Arial"/>
          <w:color w:val="000000" w:themeColor="text1"/>
        </w:rPr>
      </w:pPr>
    </w:p>
    <w:p w14:paraId="4CDA43D6" w14:textId="72436DAC" w:rsidR="00E777E8"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Sujeto Obligado</w:t>
      </w:r>
      <w:r w:rsidR="005946F4" w:rsidRPr="00CE2885">
        <w:rPr>
          <w:rFonts w:ascii="Palatino Linotype" w:hAnsi="Palatino Linotype" w:cs="Arial"/>
          <w:color w:val="000000" w:themeColor="text1"/>
        </w:rPr>
        <w:t xml:space="preserve"> </w:t>
      </w:r>
      <w:r w:rsidR="001B32B2">
        <w:rPr>
          <w:rFonts w:ascii="Palatino Linotype" w:hAnsi="Palatino Linotype" w:cs="Arial"/>
          <w:color w:val="000000" w:themeColor="text1"/>
        </w:rPr>
        <w:t>entregó cuatro números de cuenta en donde ´solo se aprecian los últimos cuatro dígitos de cada una de las cuentas, razón por las que se inconformó el Sujeto Obligado.</w:t>
      </w:r>
      <w:r w:rsidR="00E777E8">
        <w:rPr>
          <w:rFonts w:ascii="Palatino Linotype" w:hAnsi="Palatino Linotype" w:cs="Arial"/>
          <w:color w:val="000000" w:themeColor="text1"/>
        </w:rPr>
        <w:t xml:space="preserve"> </w:t>
      </w:r>
    </w:p>
    <w:p w14:paraId="28B8FEFD" w14:textId="77777777" w:rsidR="006F0FB5" w:rsidRPr="00CE2885"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1EEEB47" w:rsidR="009F1566" w:rsidRPr="00CE2885"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szCs w:val="23"/>
        </w:rPr>
        <w:t xml:space="preserve">Por lo anterior, la </w:t>
      </w:r>
      <w:r w:rsidRPr="00CE2885">
        <w:rPr>
          <w:rFonts w:ascii="Palatino Linotype" w:hAnsi="Palatino Linotype" w:cs="Arial"/>
          <w:i/>
          <w:color w:val="000000" w:themeColor="text1"/>
          <w:szCs w:val="23"/>
        </w:rPr>
        <w:t>Litis</w:t>
      </w:r>
      <w:r w:rsidRPr="00CE2885">
        <w:rPr>
          <w:rFonts w:ascii="Palatino Linotype" w:hAnsi="Palatino Linotype" w:cs="Arial"/>
          <w:color w:val="000000" w:themeColor="text1"/>
          <w:szCs w:val="23"/>
        </w:rPr>
        <w:t xml:space="preserve"> a resolver en el presente recurso se circunscribe en determinar si</w:t>
      </w:r>
      <w:r w:rsidR="002C6561" w:rsidRPr="00CE2885">
        <w:rPr>
          <w:rFonts w:ascii="Palatino Linotype" w:hAnsi="Palatino Linotype" w:cs="Arial"/>
          <w:color w:val="000000" w:themeColor="text1"/>
          <w:szCs w:val="23"/>
        </w:rPr>
        <w:t xml:space="preserve"> </w:t>
      </w:r>
      <w:r w:rsidR="004B0EB6" w:rsidRPr="00CE2885">
        <w:rPr>
          <w:rFonts w:ascii="Palatino Linotype" w:hAnsi="Palatino Linotype" w:cs="Arial"/>
          <w:color w:val="000000" w:themeColor="text1"/>
          <w:szCs w:val="23"/>
        </w:rPr>
        <w:t>la respuesta del</w:t>
      </w:r>
      <w:r w:rsidR="002C6561" w:rsidRPr="00CE2885">
        <w:rPr>
          <w:rFonts w:ascii="Palatino Linotype" w:hAnsi="Palatino Linotype" w:cs="Arial"/>
          <w:color w:val="000000" w:themeColor="text1"/>
          <w:szCs w:val="23"/>
        </w:rPr>
        <w:t xml:space="preserve"> </w:t>
      </w:r>
      <w:r w:rsidR="002C6561" w:rsidRPr="00CE2885">
        <w:rPr>
          <w:rFonts w:ascii="Palatino Linotype" w:hAnsi="Palatino Linotype" w:cs="Arial"/>
          <w:b/>
          <w:bCs/>
          <w:color w:val="000000" w:themeColor="text1"/>
          <w:szCs w:val="23"/>
        </w:rPr>
        <w:t>SUJETO OBLIGADO</w:t>
      </w:r>
      <w:r w:rsidR="002C6561" w:rsidRPr="00CE2885">
        <w:rPr>
          <w:rFonts w:ascii="Palatino Linotype" w:hAnsi="Palatino Linotype" w:cs="Arial"/>
          <w:color w:val="000000" w:themeColor="text1"/>
          <w:szCs w:val="23"/>
        </w:rPr>
        <w:t xml:space="preserve"> </w:t>
      </w:r>
      <w:r w:rsidR="004B0EB6" w:rsidRPr="00CE2885">
        <w:rPr>
          <w:rFonts w:ascii="Palatino Linotype" w:hAnsi="Palatino Linotype" w:cs="Arial"/>
          <w:color w:val="000000" w:themeColor="text1"/>
          <w:szCs w:val="23"/>
        </w:rPr>
        <w:t xml:space="preserve">colma el derecho de acceso a la información ejercido por el </w:t>
      </w:r>
      <w:r w:rsidR="004B0EB6" w:rsidRPr="00CE2885">
        <w:rPr>
          <w:rFonts w:ascii="Palatino Linotype" w:hAnsi="Palatino Linotype" w:cs="Arial"/>
          <w:b/>
          <w:bCs/>
          <w:color w:val="000000" w:themeColor="text1"/>
          <w:szCs w:val="23"/>
        </w:rPr>
        <w:t>RECURRENTE</w:t>
      </w:r>
      <w:r w:rsidR="002C6561" w:rsidRPr="00CE2885">
        <w:rPr>
          <w:rFonts w:ascii="Palatino Linotype" w:hAnsi="Palatino Linotype" w:cs="Arial"/>
          <w:color w:val="000000" w:themeColor="text1"/>
          <w:szCs w:val="23"/>
        </w:rPr>
        <w:t>; o si, por el contrario, se</w:t>
      </w:r>
      <w:r w:rsidR="00E32652" w:rsidRPr="00CE2885">
        <w:rPr>
          <w:rFonts w:ascii="Palatino Linotype" w:hAnsi="Palatino Linotype" w:cs="Arial"/>
          <w:color w:val="000000" w:themeColor="text1"/>
          <w:szCs w:val="23"/>
        </w:rPr>
        <w:t xml:space="preserve"> </w:t>
      </w:r>
      <w:r w:rsidR="0028248C" w:rsidRPr="00CE2885">
        <w:rPr>
          <w:rFonts w:ascii="Palatino Linotype" w:hAnsi="Palatino Linotype"/>
          <w:color w:val="000000" w:themeColor="text1"/>
        </w:rPr>
        <w:t>actualiza la causal de procedencia</w:t>
      </w:r>
      <w:r w:rsidR="00E66A80" w:rsidRPr="00CE2885">
        <w:rPr>
          <w:rFonts w:ascii="Palatino Linotype" w:hAnsi="Palatino Linotype" w:cs="Arial"/>
          <w:color w:val="000000" w:themeColor="text1"/>
          <w:szCs w:val="23"/>
        </w:rPr>
        <w:t xml:space="preserve"> del recurso de revisión establecida</w:t>
      </w:r>
      <w:r w:rsidR="00A42161" w:rsidRPr="00CE2885">
        <w:rPr>
          <w:rFonts w:ascii="Palatino Linotype" w:hAnsi="Palatino Linotype" w:cs="Arial"/>
          <w:color w:val="000000" w:themeColor="text1"/>
          <w:szCs w:val="23"/>
        </w:rPr>
        <w:t xml:space="preserve"> en la fracci</w:t>
      </w:r>
      <w:r w:rsidR="00765786">
        <w:rPr>
          <w:rFonts w:ascii="Palatino Linotype" w:hAnsi="Palatino Linotype" w:cs="Arial"/>
          <w:color w:val="000000" w:themeColor="text1"/>
          <w:szCs w:val="23"/>
        </w:rPr>
        <w:t>ón</w:t>
      </w:r>
      <w:r w:rsidR="00A42161" w:rsidRPr="00CE2885">
        <w:rPr>
          <w:rFonts w:ascii="Palatino Linotype" w:hAnsi="Palatino Linotype" w:cs="Arial"/>
          <w:color w:val="000000" w:themeColor="text1"/>
          <w:szCs w:val="23"/>
        </w:rPr>
        <w:t xml:space="preserve"> </w:t>
      </w:r>
      <w:r w:rsidR="00765786">
        <w:rPr>
          <w:rFonts w:ascii="Palatino Linotype" w:hAnsi="Palatino Linotype" w:cs="Arial"/>
          <w:color w:val="000000" w:themeColor="text1"/>
          <w:szCs w:val="23"/>
        </w:rPr>
        <w:t>V</w:t>
      </w:r>
      <w:r w:rsidR="00E66A80" w:rsidRPr="00CE2885">
        <w:rPr>
          <w:rFonts w:ascii="Palatino Linotype" w:hAnsi="Palatino Linotype" w:cs="Arial"/>
          <w:color w:val="000000" w:themeColor="text1"/>
          <w:szCs w:val="23"/>
        </w:rPr>
        <w:t xml:space="preserve"> </w:t>
      </w:r>
      <w:r w:rsidR="00A42161" w:rsidRPr="00CE2885">
        <w:rPr>
          <w:rFonts w:ascii="Palatino Linotype" w:hAnsi="Palatino Linotype" w:cs="Arial"/>
          <w:color w:val="000000" w:themeColor="text1"/>
          <w:szCs w:val="23"/>
        </w:rPr>
        <w:t>de</w:t>
      </w:r>
      <w:r w:rsidR="00E66A80" w:rsidRPr="00CE2885">
        <w:rPr>
          <w:rFonts w:ascii="Palatino Linotype" w:hAnsi="Palatino Linotype" w:cs="Arial"/>
          <w:color w:val="000000" w:themeColor="text1"/>
          <w:szCs w:val="23"/>
        </w:rPr>
        <w:t>l artículo 179</w:t>
      </w:r>
      <w:r w:rsidR="008E4483" w:rsidRPr="00CE2885">
        <w:rPr>
          <w:rFonts w:ascii="Palatino Linotype" w:hAnsi="Palatino Linotype" w:cs="Arial"/>
          <w:color w:val="000000" w:themeColor="text1"/>
          <w:szCs w:val="23"/>
        </w:rPr>
        <w:t xml:space="preserve"> </w:t>
      </w:r>
      <w:r w:rsidR="00E66A80" w:rsidRPr="00CE2885">
        <w:rPr>
          <w:rFonts w:ascii="Palatino Linotype" w:hAnsi="Palatino Linotype" w:cs="Arial"/>
          <w:color w:val="000000" w:themeColor="text1"/>
          <w:szCs w:val="23"/>
        </w:rPr>
        <w:t xml:space="preserve">de la Ley de Transparencia y Acceso a la Información Pública del Estado de México y Municipios, </w:t>
      </w:r>
      <w:r w:rsidR="004364EE" w:rsidRPr="00CE2885">
        <w:rPr>
          <w:rFonts w:ascii="Palatino Linotype" w:hAnsi="Palatino Linotype" w:cs="Arial"/>
          <w:color w:val="000000" w:themeColor="text1"/>
          <w:szCs w:val="23"/>
        </w:rPr>
        <w:t>misma</w:t>
      </w:r>
      <w:r w:rsidR="00C51671" w:rsidRPr="00CE2885">
        <w:rPr>
          <w:rFonts w:ascii="Palatino Linotype" w:hAnsi="Palatino Linotype" w:cs="Arial"/>
          <w:color w:val="000000" w:themeColor="text1"/>
          <w:szCs w:val="23"/>
        </w:rPr>
        <w:t xml:space="preserve"> </w:t>
      </w:r>
      <w:r w:rsidR="00E66A80" w:rsidRPr="00CE2885">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Pr="00CE2885"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77777777" w:rsidR="005946F4" w:rsidRPr="00CE2885" w:rsidRDefault="005946F4" w:rsidP="005946F4">
      <w:pPr>
        <w:tabs>
          <w:tab w:val="left" w:pos="426"/>
        </w:tabs>
        <w:spacing w:line="360" w:lineRule="auto"/>
        <w:ind w:left="567" w:right="616"/>
        <w:jc w:val="both"/>
        <w:rPr>
          <w:rFonts w:ascii="Palatino Linotype" w:hAnsi="Palatino Linotype"/>
          <w:i/>
          <w:iCs/>
        </w:rPr>
      </w:pPr>
    </w:p>
    <w:p w14:paraId="54E923BA" w14:textId="48F56791" w:rsidR="005946F4" w:rsidRPr="00CE2885"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CE2885">
        <w:rPr>
          <w:rFonts w:ascii="Palatino Linotype" w:hAnsi="Palatino Linotype"/>
          <w:i/>
          <w:iCs/>
        </w:rPr>
        <w:lastRenderedPageBreak/>
        <w:t xml:space="preserve">I. La </w:t>
      </w:r>
      <w:r w:rsidR="00765786">
        <w:rPr>
          <w:rFonts w:ascii="Palatino Linotype" w:hAnsi="Palatino Linotype"/>
          <w:i/>
          <w:iCs/>
        </w:rPr>
        <w:t>entrega de la información incompleta</w:t>
      </w:r>
      <w:r w:rsidRPr="00CE2885">
        <w:rPr>
          <w:rFonts w:ascii="Palatino Linotype" w:hAnsi="Palatino Linotype"/>
          <w:i/>
          <w:iCs/>
        </w:rPr>
        <w:t>;</w:t>
      </w:r>
    </w:p>
    <w:p w14:paraId="4BBAE667" w14:textId="32834683" w:rsidR="005946F4" w:rsidRPr="00CE2885"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CE2885">
        <w:rPr>
          <w:rFonts w:ascii="Palatino Linotype" w:hAnsi="Palatino Linotype" w:cs="Arial"/>
          <w:i/>
          <w:iCs/>
          <w:color w:val="000000" w:themeColor="text1"/>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 xml:space="preserve">en posesión de cualquier autoridad, entidad, órgano y organismo de los poderes Ejecutivo, Legislativo y Judicial, órganos autónomos, partidos políticos, fideicomisos y fondos públicos, así como de cualquier persona física, moral o </w:t>
      </w:r>
      <w:r w:rsidRPr="00A0054B">
        <w:rPr>
          <w:rFonts w:ascii="Palatino Linotype" w:hAnsi="Palatino Linotype"/>
          <w:i/>
          <w:color w:val="000000"/>
          <w:sz w:val="22"/>
        </w:rPr>
        <w:lastRenderedPageBreak/>
        <w:t>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 xml:space="preserve">cuyo objeto es establecer principios, bases generales y procedimientos para tutelar y garantizar la transparencia y el derecho </w:t>
      </w:r>
      <w:r w:rsidRPr="00A0054B">
        <w:rPr>
          <w:rFonts w:ascii="Palatino Linotype" w:hAnsi="Palatino Linotype"/>
        </w:rPr>
        <w:lastRenderedPageBreak/>
        <w:t>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8E4483">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 xml:space="preserve">los Sujetos Obligados deberán documentar todo acto que </w:t>
      </w:r>
      <w:r w:rsidRPr="00A0054B">
        <w:rPr>
          <w:rFonts w:ascii="Palatino Linotype" w:eastAsia="Calibri" w:hAnsi="Palatino Linotype" w:cs="Arial"/>
          <w:b/>
        </w:rPr>
        <w:lastRenderedPageBreak/>
        <w:t>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0054B" w:rsidRDefault="008E4483" w:rsidP="008E4483">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0054B" w:rsidRDefault="008E4483" w:rsidP="008E4483">
      <w:pPr>
        <w:pStyle w:val="Prrafodelista"/>
        <w:spacing w:line="360" w:lineRule="auto"/>
        <w:rPr>
          <w:rFonts w:ascii="Palatino Linotype" w:hAnsi="Palatino Linotype"/>
          <w:lang w:val="es-ES"/>
        </w:rPr>
      </w:pPr>
    </w:p>
    <w:p w14:paraId="1C9461BC"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A0054B">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0054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31A63FA8" w14:textId="77777777" w:rsidR="008E4483" w:rsidRPr="00A0054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A0054B" w:rsidRDefault="008E4483" w:rsidP="008E4483">
      <w:pPr>
        <w:spacing w:line="360" w:lineRule="auto"/>
        <w:jc w:val="both"/>
        <w:rPr>
          <w:rFonts w:ascii="Palatino Linotype" w:hAnsi="Palatino Linotype" w:cs="Arial"/>
        </w:rPr>
      </w:pPr>
    </w:p>
    <w:p w14:paraId="61E5DFB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w:t>
      </w:r>
      <w:r w:rsidRPr="00A0054B">
        <w:rPr>
          <w:rFonts w:ascii="Palatino Linotype" w:hAnsi="Palatino Linotype" w:cs="Arial"/>
          <w:i/>
          <w:sz w:val="22"/>
        </w:rPr>
        <w:lastRenderedPageBreak/>
        <w:t xml:space="preserve">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8E4483">
      <w:pPr>
        <w:ind w:left="567" w:right="567"/>
        <w:jc w:val="both"/>
        <w:rPr>
          <w:rFonts w:ascii="Palatino Linotype" w:hAnsi="Palatino Linotype" w:cs="Arial"/>
          <w:i/>
          <w:sz w:val="22"/>
        </w:rPr>
      </w:pPr>
    </w:p>
    <w:p w14:paraId="4B5681D6"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8E4483">
      <w:pPr>
        <w:ind w:left="567" w:right="567"/>
        <w:jc w:val="both"/>
        <w:rPr>
          <w:rFonts w:ascii="Palatino Linotype" w:hAnsi="Palatino Linotype" w:cs="Arial"/>
          <w:i/>
          <w:sz w:val="22"/>
        </w:rPr>
      </w:pPr>
    </w:p>
    <w:p w14:paraId="681A32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8E4483">
      <w:pPr>
        <w:ind w:left="567" w:right="567"/>
        <w:jc w:val="both"/>
        <w:rPr>
          <w:rFonts w:ascii="Palatino Linotype" w:hAnsi="Palatino Linotype" w:cs="Arial"/>
          <w:i/>
          <w:sz w:val="22"/>
        </w:rPr>
      </w:pPr>
    </w:p>
    <w:p w14:paraId="1A00976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8E4483">
      <w:pPr>
        <w:ind w:left="567" w:right="567"/>
        <w:jc w:val="both"/>
        <w:rPr>
          <w:rFonts w:ascii="Palatino Linotype" w:hAnsi="Palatino Linotype" w:cs="Arial"/>
          <w:b/>
          <w:i/>
          <w:sz w:val="22"/>
        </w:rPr>
      </w:pPr>
    </w:p>
    <w:p w14:paraId="3A80ED3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8E4483">
      <w:pPr>
        <w:ind w:left="567" w:right="567"/>
        <w:jc w:val="both"/>
        <w:rPr>
          <w:rFonts w:ascii="Palatino Linotype" w:hAnsi="Palatino Linotype" w:cs="Arial"/>
          <w:i/>
          <w:sz w:val="22"/>
        </w:rPr>
      </w:pPr>
    </w:p>
    <w:p w14:paraId="0CECF8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8E4483">
      <w:pPr>
        <w:ind w:left="567" w:right="567"/>
        <w:jc w:val="both"/>
        <w:rPr>
          <w:rFonts w:ascii="Palatino Linotype" w:hAnsi="Palatino Linotype" w:cs="Arial"/>
          <w:i/>
          <w:sz w:val="22"/>
        </w:rPr>
      </w:pPr>
    </w:p>
    <w:p w14:paraId="4EF8A8A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8E4483">
      <w:pPr>
        <w:ind w:left="567" w:right="567"/>
        <w:jc w:val="both"/>
        <w:rPr>
          <w:rFonts w:ascii="Palatino Linotype" w:hAnsi="Palatino Linotype" w:cs="Arial"/>
          <w:i/>
          <w:sz w:val="22"/>
        </w:rPr>
      </w:pPr>
    </w:p>
    <w:p w14:paraId="112801FD"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8E4483">
      <w:pPr>
        <w:ind w:left="567" w:right="567"/>
        <w:jc w:val="both"/>
        <w:rPr>
          <w:rFonts w:ascii="Palatino Linotype" w:hAnsi="Palatino Linotype" w:cs="Arial"/>
          <w:b/>
          <w:i/>
          <w:sz w:val="22"/>
        </w:rPr>
      </w:pPr>
    </w:p>
    <w:p w14:paraId="3FB33C7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xml:space="preserve">, la información completa y actualizada sobre el ejercicio de los recursos </w:t>
      </w:r>
      <w:r w:rsidRPr="00A0054B">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A0054B" w:rsidRDefault="008E4483" w:rsidP="008E4483">
      <w:pPr>
        <w:ind w:left="567" w:right="567"/>
        <w:jc w:val="both"/>
        <w:rPr>
          <w:rFonts w:ascii="Palatino Linotype" w:hAnsi="Palatino Linotype" w:cs="Arial"/>
          <w:i/>
          <w:sz w:val="22"/>
        </w:rPr>
      </w:pPr>
    </w:p>
    <w:p w14:paraId="3739931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8E4483">
      <w:pPr>
        <w:ind w:left="567" w:right="567"/>
        <w:jc w:val="both"/>
        <w:rPr>
          <w:rFonts w:ascii="Palatino Linotype" w:hAnsi="Palatino Linotype" w:cs="Arial"/>
          <w:i/>
          <w:sz w:val="22"/>
        </w:rPr>
      </w:pPr>
    </w:p>
    <w:p w14:paraId="4D04B6B7"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8E4483">
      <w:pPr>
        <w:ind w:left="567" w:right="567"/>
        <w:jc w:val="both"/>
        <w:rPr>
          <w:rFonts w:ascii="Palatino Linotype" w:hAnsi="Palatino Linotype" w:cs="Arial"/>
          <w:i/>
          <w:sz w:val="22"/>
        </w:rPr>
      </w:pPr>
    </w:p>
    <w:p w14:paraId="30D06838"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8E4483">
      <w:pPr>
        <w:ind w:left="567" w:right="567"/>
        <w:jc w:val="both"/>
        <w:rPr>
          <w:rFonts w:ascii="Palatino Linotype" w:hAnsi="Palatino Linotype"/>
          <w:i/>
          <w:sz w:val="22"/>
        </w:rPr>
      </w:pPr>
    </w:p>
    <w:p w14:paraId="70B9AFAD"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8E4483">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8E4483">
      <w:pPr>
        <w:ind w:left="567" w:right="567"/>
        <w:jc w:val="both"/>
        <w:rPr>
          <w:rFonts w:ascii="Palatino Linotype" w:hAnsi="Palatino Linotype"/>
          <w:i/>
          <w:sz w:val="22"/>
        </w:rPr>
      </w:pPr>
    </w:p>
    <w:p w14:paraId="480C22E0"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8E4483">
      <w:pPr>
        <w:ind w:left="567" w:right="567"/>
        <w:jc w:val="both"/>
        <w:rPr>
          <w:rFonts w:ascii="Palatino Linotype" w:hAnsi="Palatino Linotype"/>
          <w:b/>
          <w:i/>
          <w:sz w:val="22"/>
        </w:rPr>
      </w:pPr>
    </w:p>
    <w:p w14:paraId="44073A0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w:t>
      </w:r>
      <w:r w:rsidRPr="00A0054B">
        <w:rPr>
          <w:rFonts w:ascii="Palatino Linotype" w:hAnsi="Palatino Linotype"/>
          <w:i/>
          <w:sz w:val="22"/>
        </w:rPr>
        <w:lastRenderedPageBreak/>
        <w:t xml:space="preserve">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8E4483">
      <w:pPr>
        <w:ind w:left="567" w:right="567"/>
        <w:jc w:val="both"/>
        <w:rPr>
          <w:rFonts w:ascii="Palatino Linotype" w:hAnsi="Palatino Linotype"/>
          <w:i/>
          <w:sz w:val="22"/>
        </w:rPr>
      </w:pPr>
    </w:p>
    <w:p w14:paraId="2FF70804"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8E4483">
      <w:pPr>
        <w:ind w:left="567" w:right="567"/>
        <w:jc w:val="both"/>
        <w:rPr>
          <w:rFonts w:ascii="Palatino Linotype" w:hAnsi="Palatino Linotype"/>
          <w:i/>
          <w:sz w:val="22"/>
        </w:rPr>
      </w:pPr>
    </w:p>
    <w:p w14:paraId="6FA24126"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8E4483">
      <w:pPr>
        <w:ind w:left="567" w:right="567"/>
        <w:jc w:val="both"/>
        <w:rPr>
          <w:rFonts w:ascii="Palatino Linotype" w:hAnsi="Palatino Linotype"/>
          <w:i/>
          <w:sz w:val="22"/>
        </w:rPr>
      </w:pPr>
    </w:p>
    <w:p w14:paraId="24C5C6F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8E4483">
      <w:pPr>
        <w:ind w:left="567" w:right="567"/>
        <w:jc w:val="both"/>
        <w:rPr>
          <w:rFonts w:ascii="Palatino Linotype" w:hAnsi="Palatino Linotype"/>
          <w:i/>
          <w:sz w:val="22"/>
        </w:rPr>
      </w:pPr>
    </w:p>
    <w:p w14:paraId="2D1804C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8E4483">
      <w:pPr>
        <w:ind w:left="567" w:right="567"/>
        <w:jc w:val="both"/>
        <w:rPr>
          <w:rFonts w:ascii="Palatino Linotype" w:hAnsi="Palatino Linotype"/>
          <w:b/>
          <w:i/>
          <w:sz w:val="22"/>
        </w:rPr>
      </w:pPr>
    </w:p>
    <w:p w14:paraId="6DB2EC7A"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8E4483">
      <w:pPr>
        <w:ind w:left="567" w:right="567"/>
        <w:jc w:val="both"/>
        <w:rPr>
          <w:rFonts w:ascii="Palatino Linotype" w:hAnsi="Palatino Linotype"/>
          <w:i/>
          <w:sz w:val="22"/>
        </w:rPr>
      </w:pPr>
    </w:p>
    <w:p w14:paraId="6810788F"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8E4483">
      <w:pPr>
        <w:ind w:left="567" w:right="567"/>
        <w:jc w:val="both"/>
        <w:rPr>
          <w:rFonts w:ascii="Palatino Linotype" w:hAnsi="Palatino Linotype"/>
          <w:sz w:val="22"/>
        </w:rPr>
      </w:pPr>
    </w:p>
    <w:p w14:paraId="76F0890A" w14:textId="77777777" w:rsidR="008E4483" w:rsidRPr="00A0054B" w:rsidRDefault="008E4483" w:rsidP="008E4483">
      <w:pPr>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8E4483">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8E4483">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8E4483">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8E4483">
      <w:pPr>
        <w:ind w:left="567" w:right="822"/>
        <w:jc w:val="both"/>
        <w:rPr>
          <w:rFonts w:ascii="Palatino Linotype" w:eastAsia="MS Mincho" w:hAnsi="Palatino Linotype"/>
          <w:b/>
          <w:i/>
          <w:sz w:val="22"/>
          <w:szCs w:val="22"/>
        </w:rPr>
      </w:pPr>
    </w:p>
    <w:p w14:paraId="7FF5ACCA"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8E4483">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3E94C92E"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AD2900" w:rsidRPr="00AD2900">
        <w:rPr>
          <w:rFonts w:ascii="Palatino Linotype" w:hAnsi="Palatino Linotype"/>
          <w:b/>
          <w:bCs/>
          <w:color w:val="000000"/>
          <w:szCs w:val="22"/>
        </w:rPr>
        <w:t>Ayuntamiento de Tenango del Valle</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2CB4493" w14:textId="74EED7DF"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lastRenderedPageBreak/>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las actuaciones de las partes.</w:t>
      </w:r>
      <w:bookmarkEnd w:id="32"/>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4FF9FCDD" w14:textId="63B35D8E" w:rsidR="00765786" w:rsidRDefault="00765786" w:rsidP="00765786">
      <w:pPr>
        <w:pStyle w:val="Prrafodelista"/>
        <w:numPr>
          <w:ilvl w:val="0"/>
          <w:numId w:val="1"/>
        </w:numPr>
        <w:tabs>
          <w:tab w:val="left" w:pos="567"/>
        </w:tabs>
        <w:spacing w:line="360" w:lineRule="auto"/>
        <w:jc w:val="both"/>
        <w:rPr>
          <w:rFonts w:ascii="Palatino Linotype" w:eastAsia="Calibri" w:hAnsi="Palatino Linotype" w:cs="Arial"/>
        </w:rPr>
      </w:pPr>
      <w:r w:rsidRPr="006C3151">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w:t>
      </w:r>
      <w:r>
        <w:rPr>
          <w:rFonts w:ascii="Palatino Linotype" w:eastAsia="Calibri" w:hAnsi="Palatino Linotype" w:cs="Arial"/>
        </w:rPr>
        <w:t xml:space="preserve"> </w:t>
      </w:r>
      <w:r w:rsidR="00AF5C7E">
        <w:rPr>
          <w:rFonts w:ascii="Palatino Linotype" w:eastAsia="Calibri" w:hAnsi="Palatino Linotype" w:cs="Arial"/>
        </w:rPr>
        <w:t>números de cuenta bancaria donde se depositan Recursos Públicos al Ayuntamiento de Tenango del Valle.</w:t>
      </w:r>
    </w:p>
    <w:p w14:paraId="4466985B" w14:textId="77777777" w:rsidR="00765786" w:rsidRDefault="00765786" w:rsidP="00765786">
      <w:pPr>
        <w:pStyle w:val="Prrafodelista"/>
        <w:tabs>
          <w:tab w:val="left" w:pos="567"/>
        </w:tabs>
        <w:spacing w:line="360" w:lineRule="auto"/>
        <w:ind w:left="0"/>
        <w:jc w:val="both"/>
        <w:rPr>
          <w:rFonts w:ascii="Palatino Linotype" w:eastAsia="Calibri" w:hAnsi="Palatino Linotype" w:cs="Arial"/>
        </w:rPr>
      </w:pPr>
    </w:p>
    <w:p w14:paraId="2EEFAE61" w14:textId="2756EA0C" w:rsidR="00765786" w:rsidRDefault="00765786" w:rsidP="00765786">
      <w:pPr>
        <w:pStyle w:val="Prrafodelista"/>
        <w:numPr>
          <w:ilvl w:val="0"/>
          <w:numId w:val="1"/>
        </w:numPr>
        <w:tabs>
          <w:tab w:val="left" w:pos="567"/>
        </w:tabs>
        <w:spacing w:line="360" w:lineRule="auto"/>
        <w:jc w:val="both"/>
        <w:rPr>
          <w:rFonts w:ascii="Palatino Linotype" w:eastAsia="Calibri" w:hAnsi="Palatino Linotype" w:cs="Arial"/>
        </w:rPr>
      </w:pPr>
      <w:r w:rsidRPr="00B86F21">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w:t>
      </w:r>
      <w:r>
        <w:rPr>
          <w:rFonts w:ascii="Palatino Linotype" w:eastAsia="Calibri" w:hAnsi="Palatino Linotype" w:cs="Arial"/>
        </w:rPr>
        <w:t xml:space="preserve">ella, tan es así que entregó </w:t>
      </w:r>
      <w:r w:rsidR="00AF5C7E">
        <w:rPr>
          <w:rFonts w:ascii="Palatino Linotype" w:eastAsia="Calibri" w:hAnsi="Palatino Linotype" w:cs="Arial"/>
        </w:rPr>
        <w:t>diversas cuentas bancarias donde se aprecian los últimos cuatro dígitos de cada una de ellas.</w:t>
      </w:r>
    </w:p>
    <w:p w14:paraId="78A401D3" w14:textId="77777777" w:rsidR="00765786" w:rsidRPr="00765786" w:rsidRDefault="00765786" w:rsidP="00765786">
      <w:pPr>
        <w:pStyle w:val="Prrafodelista"/>
        <w:spacing w:line="360" w:lineRule="auto"/>
        <w:ind w:left="0"/>
        <w:jc w:val="both"/>
        <w:rPr>
          <w:rFonts w:ascii="Palatino Linotype" w:eastAsia="MS Mincho" w:hAnsi="Palatino Linotype"/>
        </w:rPr>
      </w:pPr>
    </w:p>
    <w:p w14:paraId="47BF11FA" w14:textId="77777777" w:rsidR="00AF5C7E" w:rsidRPr="00AF5C7E" w:rsidRDefault="00AF5C7E" w:rsidP="00C160D4">
      <w:pPr>
        <w:pStyle w:val="Prrafodelista"/>
        <w:numPr>
          <w:ilvl w:val="0"/>
          <w:numId w:val="1"/>
        </w:numPr>
        <w:spacing w:line="360" w:lineRule="auto"/>
        <w:jc w:val="both"/>
        <w:rPr>
          <w:rFonts w:ascii="Palatino Linotype" w:eastAsia="MS Mincho" w:hAnsi="Palatino Linotype"/>
        </w:rPr>
      </w:pPr>
      <w:r>
        <w:rPr>
          <w:rFonts w:ascii="Palatino Linotype" w:eastAsia="Palatino Linotype" w:hAnsi="Palatino Linotype" w:cs="Palatino Linotype"/>
        </w:rPr>
        <w:t>Para una mejor referencia se inserta imagen de la información proporcionada por el Sujeto Obligado.</w:t>
      </w:r>
    </w:p>
    <w:p w14:paraId="0A3FF2A7" w14:textId="77777777" w:rsidR="00AF5C7E" w:rsidRPr="00AF5C7E" w:rsidRDefault="00AF5C7E" w:rsidP="00AF5C7E">
      <w:pPr>
        <w:rPr>
          <w:rFonts w:ascii="Palatino Linotype" w:eastAsia="Palatino Linotype" w:hAnsi="Palatino Linotype" w:cs="Palatino Linotype"/>
        </w:rPr>
      </w:pPr>
    </w:p>
    <w:p w14:paraId="68F1D6F7" w14:textId="77777777" w:rsidR="00AF5C7E" w:rsidRPr="00AF5C7E" w:rsidRDefault="00AF5C7E" w:rsidP="00AF5C7E">
      <w:pPr>
        <w:pStyle w:val="Prrafodelista"/>
        <w:spacing w:line="360" w:lineRule="auto"/>
        <w:ind w:left="0"/>
        <w:jc w:val="both"/>
        <w:rPr>
          <w:rFonts w:ascii="Palatino Linotype" w:eastAsia="MS Mincho" w:hAnsi="Palatino Linotype"/>
        </w:rPr>
      </w:pPr>
    </w:p>
    <w:p w14:paraId="20D0B0DA" w14:textId="77777777" w:rsidR="00AF5C7E" w:rsidRPr="00AF5C7E" w:rsidRDefault="00AF5C7E" w:rsidP="00AF5C7E">
      <w:pPr>
        <w:pStyle w:val="Prrafodelista"/>
        <w:rPr>
          <w:rFonts w:ascii="Palatino Linotype" w:eastAsia="Palatino Linotype" w:hAnsi="Palatino Linotype" w:cs="Palatino Linotype"/>
        </w:rPr>
      </w:pPr>
    </w:p>
    <w:p w14:paraId="592A9679" w14:textId="77777777" w:rsidR="00765786" w:rsidRPr="00765786" w:rsidRDefault="00765786" w:rsidP="00765786">
      <w:pPr>
        <w:pStyle w:val="Prrafodelista"/>
        <w:rPr>
          <w:rFonts w:ascii="Palatino Linotype" w:eastAsia="Palatino Linotype" w:hAnsi="Palatino Linotype" w:cs="Palatino Linotype"/>
        </w:rPr>
      </w:pPr>
    </w:p>
    <w:p w14:paraId="6C92B0F5" w14:textId="77777777" w:rsidR="00765786" w:rsidRDefault="00765786" w:rsidP="00765786">
      <w:pPr>
        <w:pStyle w:val="Prrafodelista"/>
        <w:spacing w:line="360" w:lineRule="auto"/>
        <w:ind w:left="0"/>
        <w:jc w:val="both"/>
        <w:rPr>
          <w:rFonts w:ascii="Palatino Linotype" w:eastAsia="Palatino Linotype" w:hAnsi="Palatino Linotype" w:cs="Palatino Linotype"/>
        </w:rPr>
      </w:pPr>
    </w:p>
    <w:p w14:paraId="355C912E" w14:textId="77777777" w:rsidR="00765786" w:rsidRDefault="00765786" w:rsidP="00765786">
      <w:pPr>
        <w:pStyle w:val="Prrafodelista"/>
        <w:spacing w:line="360" w:lineRule="auto"/>
        <w:ind w:left="0"/>
        <w:jc w:val="both"/>
        <w:rPr>
          <w:rFonts w:ascii="Palatino Linotype" w:eastAsia="Palatino Linotype" w:hAnsi="Palatino Linotype" w:cs="Palatino Linotype"/>
        </w:rPr>
      </w:pPr>
    </w:p>
    <w:p w14:paraId="47B91A60" w14:textId="77777777" w:rsidR="00765786" w:rsidRDefault="00765786" w:rsidP="00765786">
      <w:pPr>
        <w:pStyle w:val="Prrafodelista"/>
        <w:spacing w:line="360" w:lineRule="auto"/>
        <w:ind w:left="0"/>
        <w:jc w:val="both"/>
        <w:rPr>
          <w:rFonts w:ascii="Palatino Linotype" w:eastAsia="Palatino Linotype" w:hAnsi="Palatino Linotype" w:cs="Palatino Linotype"/>
        </w:rPr>
      </w:pPr>
    </w:p>
    <w:p w14:paraId="5B406DE3" w14:textId="77777777" w:rsidR="00765786" w:rsidRDefault="00765786" w:rsidP="00765786">
      <w:pPr>
        <w:pStyle w:val="Prrafodelista"/>
        <w:spacing w:line="360" w:lineRule="auto"/>
        <w:ind w:left="0"/>
        <w:jc w:val="both"/>
        <w:rPr>
          <w:rFonts w:ascii="Palatino Linotype" w:eastAsia="Palatino Linotype" w:hAnsi="Palatino Linotype" w:cs="Palatino Linotype"/>
        </w:rPr>
      </w:pPr>
    </w:p>
    <w:p w14:paraId="7A1AD1B1" w14:textId="7AA4A260" w:rsidR="00413D35" w:rsidRPr="00413D35" w:rsidRDefault="00AF5C7E" w:rsidP="00413D35">
      <w:pPr>
        <w:pStyle w:val="Prrafodelista"/>
        <w:spacing w:line="360" w:lineRule="auto"/>
        <w:ind w:left="0"/>
        <w:jc w:val="both"/>
        <w:rPr>
          <w:rFonts w:ascii="Palatino Linotype" w:eastAsia="MS Mincho" w:hAnsi="Palatino Linotype"/>
        </w:rPr>
      </w:pPr>
      <w:r>
        <w:rPr>
          <w:noProof/>
          <w:lang w:eastAsia="es-MX"/>
        </w:rPr>
        <w:drawing>
          <wp:inline distT="0" distB="0" distL="0" distR="0" wp14:anchorId="18F642ED" wp14:editId="22F40682">
            <wp:extent cx="5524500" cy="1502887"/>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275" t="44357" r="17346" b="23054"/>
                    <a:stretch/>
                  </pic:blipFill>
                  <pic:spPr bwMode="auto">
                    <a:xfrm>
                      <a:off x="0" y="0"/>
                      <a:ext cx="5559513" cy="1512412"/>
                    </a:xfrm>
                    <a:prstGeom prst="rect">
                      <a:avLst/>
                    </a:prstGeom>
                    <a:ln>
                      <a:noFill/>
                    </a:ln>
                    <a:extLst>
                      <a:ext uri="{53640926-AAD7-44D8-BBD7-CCE9431645EC}">
                        <a14:shadowObscured xmlns:a14="http://schemas.microsoft.com/office/drawing/2010/main"/>
                      </a:ext>
                    </a:extLst>
                  </pic:spPr>
                </pic:pic>
              </a:graphicData>
            </a:graphic>
          </wp:inline>
        </w:drawing>
      </w:r>
    </w:p>
    <w:p w14:paraId="06AA7BA7" w14:textId="77777777" w:rsidR="00AF5C7E" w:rsidRDefault="00AF5C7E" w:rsidP="00AF5C7E">
      <w:pPr>
        <w:pStyle w:val="Prrafodelista"/>
        <w:spacing w:line="360" w:lineRule="auto"/>
        <w:ind w:left="0"/>
        <w:jc w:val="both"/>
        <w:rPr>
          <w:rFonts w:ascii="Palatino Linotype" w:eastAsia="MS Mincho" w:hAnsi="Palatino Linotype"/>
        </w:rPr>
      </w:pPr>
    </w:p>
    <w:p w14:paraId="227E8521" w14:textId="3E4D845B" w:rsidR="00413D35" w:rsidRPr="00C41747" w:rsidRDefault="00413D35" w:rsidP="00C41747">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Ahora bien, </w:t>
      </w:r>
      <w:r w:rsidRPr="00413D35">
        <w:rPr>
          <w:rFonts w:ascii="Palatino Linotype" w:eastAsia="MS Mincho" w:hAnsi="Palatino Linotype"/>
        </w:rPr>
        <w:t xml:space="preserve">como se observa, el Recurrente únicamente mostró su inconformidad </w:t>
      </w:r>
      <w:r w:rsidR="00AF5C7E">
        <w:rPr>
          <w:rFonts w:ascii="Palatino Linotype" w:eastAsia="MS Mincho" w:hAnsi="Palatino Linotype"/>
        </w:rPr>
        <w:t>porque de las cuentas bancarias proporcionadas se aprecian solamente los últimos cuatro dígitos</w:t>
      </w:r>
      <w:r w:rsidR="00C41747">
        <w:rPr>
          <w:rFonts w:ascii="Palatino Linotype" w:eastAsia="MS Mincho" w:hAnsi="Palatino Linotype"/>
        </w:rPr>
        <w:t xml:space="preserve">, </w:t>
      </w:r>
      <w:r w:rsidRPr="00C41747">
        <w:rPr>
          <w:rFonts w:ascii="Palatino Linotype" w:eastAsia="MS Mincho" w:hAnsi="Palatino Linotype"/>
        </w:rPr>
        <w:t xml:space="preserve">por ende, </w:t>
      </w:r>
      <w:r w:rsidRPr="00C41747">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AC60ED0" w14:textId="77777777" w:rsidR="00413D35" w:rsidRPr="002B1A41" w:rsidRDefault="00413D35" w:rsidP="00413D35">
      <w:pPr>
        <w:autoSpaceDE w:val="0"/>
        <w:autoSpaceDN w:val="0"/>
        <w:adjustRightInd w:val="0"/>
        <w:spacing w:before="240" w:after="360"/>
        <w:ind w:left="851" w:right="900"/>
        <w:jc w:val="both"/>
        <w:rPr>
          <w:rFonts w:ascii="Palatino Linotype" w:eastAsia="Calibri" w:hAnsi="Palatino Linotype" w:cs="Arial"/>
          <w:i/>
          <w:sz w:val="22"/>
        </w:rPr>
      </w:pPr>
      <w:r w:rsidRPr="002B1A41">
        <w:rPr>
          <w:rFonts w:ascii="Palatino Linotype" w:eastAsia="Calibri" w:hAnsi="Palatino Linotype" w:cs="Arial"/>
          <w:b/>
          <w:i/>
          <w:sz w:val="22"/>
        </w:rPr>
        <w:t xml:space="preserve">“REVISIÓN EN AMPARO. LOS RESOLUTIVOS NO COMBATIDOS DEBEN DECLARARSE FIRMES. </w:t>
      </w:r>
      <w:r w:rsidRPr="002B1A41">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B333ADF" w14:textId="77777777" w:rsidR="00413D35" w:rsidRDefault="00413D35" w:rsidP="00413D35">
      <w:pPr>
        <w:pStyle w:val="Prrafodelista"/>
        <w:numPr>
          <w:ilvl w:val="0"/>
          <w:numId w:val="1"/>
        </w:numPr>
        <w:spacing w:before="240" w:after="240" w:line="360" w:lineRule="auto"/>
        <w:jc w:val="both"/>
        <w:rPr>
          <w:rFonts w:ascii="Palatino Linotype" w:eastAsia="Arial Unicode MS" w:hAnsi="Palatino Linotype" w:cs="Arial"/>
        </w:rPr>
      </w:pPr>
      <w:r w:rsidRPr="0068584F">
        <w:rPr>
          <w:rFonts w:ascii="Palatino Linotype" w:eastAsia="Arial Unicode MS" w:hAnsi="Palatino Linotype" w:cs="Arial"/>
        </w:rPr>
        <w:t xml:space="preserve">Consecuentemente, se reitera, que la parte de la respuesta que no fue impugnada debe declararse consentida por la parte Recurrente, toda vez que no se </w:t>
      </w:r>
      <w:r w:rsidRPr="0068584F">
        <w:rPr>
          <w:rFonts w:ascii="Palatino Linotype" w:eastAsia="Arial Unicode MS" w:hAnsi="Palatino Linotype" w:cs="Arial"/>
        </w:rPr>
        <w:lastRenderedPageBreak/>
        <w:t xml:space="preserve">realizaron manifestaciones de inconformidad, por lo que no pueden producirse efectos jurídicos tendentes a revocar, confirmar o modificar el acto reclamado ya que se infiere un consentimiento ante la falta de impugnación eficaz. </w:t>
      </w:r>
    </w:p>
    <w:p w14:paraId="076659DA" w14:textId="77777777" w:rsidR="00413D35" w:rsidRDefault="00413D35" w:rsidP="00413D35">
      <w:pPr>
        <w:pStyle w:val="Prrafodelista"/>
        <w:spacing w:before="240" w:after="240" w:line="360" w:lineRule="auto"/>
        <w:ind w:left="0"/>
        <w:jc w:val="both"/>
        <w:rPr>
          <w:rFonts w:ascii="Palatino Linotype" w:eastAsia="Arial Unicode MS" w:hAnsi="Palatino Linotype" w:cs="Arial"/>
        </w:rPr>
      </w:pPr>
    </w:p>
    <w:p w14:paraId="7C91B5B1" w14:textId="77777777" w:rsidR="00413D35" w:rsidRPr="001631F7" w:rsidRDefault="00413D35" w:rsidP="00413D35">
      <w:pPr>
        <w:pStyle w:val="Prrafodelista"/>
        <w:numPr>
          <w:ilvl w:val="0"/>
          <w:numId w:val="1"/>
        </w:numPr>
        <w:spacing w:before="240" w:after="240" w:line="360" w:lineRule="auto"/>
        <w:jc w:val="both"/>
        <w:rPr>
          <w:rFonts w:ascii="Palatino Linotype" w:eastAsia="Arial Unicode MS" w:hAnsi="Palatino Linotype" w:cs="Arial"/>
        </w:rPr>
      </w:pPr>
      <w:r w:rsidRPr="0068584F">
        <w:rPr>
          <w:rFonts w:ascii="Palatino Linotype" w:eastAsia="Arial Unicode MS" w:hAnsi="Palatino Linotype" w:cs="Arial"/>
        </w:rPr>
        <w:t xml:space="preserve">Sirve de sustento a lo anterior por analogía la tesis jurisprudencial número </w:t>
      </w:r>
      <w:r w:rsidRPr="0068584F">
        <w:rPr>
          <w:rFonts w:ascii="Palatino Linotype" w:eastAsia="Calibri" w:hAnsi="Palatino Linotype" w:cs="Arial"/>
        </w:rPr>
        <w:t>VI.3o.C. J/60, publicada en el Semanario Judicial de la Federación y su Gaceta bajo el número de registro 176,608 que a la letra dice:</w:t>
      </w:r>
    </w:p>
    <w:p w14:paraId="7CF43BA9" w14:textId="77777777" w:rsidR="00413D35" w:rsidRPr="001631F7" w:rsidRDefault="00413D35" w:rsidP="00413D35">
      <w:pPr>
        <w:pStyle w:val="Prrafodelista"/>
        <w:rPr>
          <w:rFonts w:ascii="Palatino Linotype" w:eastAsia="Arial Unicode MS" w:hAnsi="Palatino Linotype" w:cs="Arial"/>
        </w:rPr>
      </w:pPr>
    </w:p>
    <w:p w14:paraId="40A1C60B" w14:textId="77777777" w:rsidR="00413D35" w:rsidRDefault="00413D35" w:rsidP="00413D35">
      <w:pPr>
        <w:pStyle w:val="Prrafodelista"/>
        <w:spacing w:line="360" w:lineRule="auto"/>
        <w:ind w:left="567" w:right="616"/>
        <w:jc w:val="both"/>
        <w:rPr>
          <w:rFonts w:ascii="Palatino Linotype" w:hAnsi="Palatino Linotype" w:cs="Arial"/>
          <w:i/>
          <w:sz w:val="22"/>
        </w:rPr>
      </w:pPr>
      <w:r w:rsidRPr="002B1A41">
        <w:rPr>
          <w:rFonts w:ascii="Palatino Linotype" w:hAnsi="Palatino Linotype" w:cs="Arial"/>
          <w:b/>
          <w:bCs/>
          <w:i/>
          <w:caps/>
          <w:sz w:val="22"/>
        </w:rPr>
        <w:t xml:space="preserve">“ACTOS CONSENTIDOS. SON LOS QUE NO SE IMPUGNAN MEDIANTE EL RECURSO IDÓNEO. </w:t>
      </w:r>
      <w:r w:rsidRPr="002B1A41">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86E7A47" w14:textId="1E99DB37" w:rsidR="00C41747" w:rsidRDefault="00C41747" w:rsidP="00C41747">
      <w:pPr>
        <w:pStyle w:val="Prrafodelista"/>
        <w:spacing w:line="360" w:lineRule="auto"/>
        <w:ind w:left="0" w:right="616"/>
        <w:jc w:val="both"/>
        <w:rPr>
          <w:rFonts w:ascii="Palatino Linotype" w:eastAsia="MS Mincho" w:hAnsi="Palatino Linotype"/>
        </w:rPr>
      </w:pPr>
    </w:p>
    <w:p w14:paraId="229AC3A2" w14:textId="0BCFAB94" w:rsidR="00AF5C7E" w:rsidRPr="00AF5C7E" w:rsidRDefault="00AF5C7E" w:rsidP="00AF5C7E">
      <w:pPr>
        <w:pStyle w:val="Prrafodelista"/>
        <w:numPr>
          <w:ilvl w:val="0"/>
          <w:numId w:val="1"/>
        </w:numPr>
        <w:spacing w:line="360" w:lineRule="auto"/>
        <w:ind w:right="49"/>
        <w:jc w:val="both"/>
        <w:rPr>
          <w:rFonts w:ascii="Palatino Linotype" w:eastAsia="MS Mincho" w:hAnsi="Palatino Linotype"/>
        </w:rPr>
      </w:pPr>
      <w:r>
        <w:rPr>
          <w:rFonts w:ascii="Palatino Linotype" w:eastAsia="MS Mincho" w:hAnsi="Palatino Linotype"/>
        </w:rPr>
        <w:t xml:space="preserve">En consecuencia, el análisis del presente asunto se centrará únicamente a verificar si la respuesta del Sujeto Obligado es suficiente para atender los requerimientos del particular en cuanto a la publicidad o no del número completo de las cuentas bancarias, en consecuencia </w:t>
      </w:r>
      <w:r w:rsidRPr="00AF5C7E">
        <w:rPr>
          <w:rFonts w:ascii="Palatino Linotype" w:eastAsia="Times New Roman" w:hAnsi="Palatino Linotype" w:cs="Arial"/>
          <w:color w:val="000000"/>
        </w:rPr>
        <w:t xml:space="preserve">debemos partir de lo que se entiende por cuenta bancaria, según el Glosario de Definiciones del Banco de México: </w:t>
      </w:r>
    </w:p>
    <w:p w14:paraId="264FDB72" w14:textId="77777777" w:rsidR="00AF5C7E" w:rsidRPr="003305C7" w:rsidRDefault="00AF5C7E" w:rsidP="00AF5C7E">
      <w:pPr>
        <w:pStyle w:val="Prrafodelista"/>
        <w:rPr>
          <w:rFonts w:ascii="Palatino Linotype" w:eastAsia="Times New Roman" w:hAnsi="Palatino Linotype" w:cs="Arial"/>
          <w:color w:val="000000"/>
        </w:rPr>
      </w:pPr>
    </w:p>
    <w:p w14:paraId="60A263BA" w14:textId="77777777" w:rsidR="00AF5C7E" w:rsidRPr="003305C7" w:rsidRDefault="00AF5C7E" w:rsidP="00AF5C7E">
      <w:pPr>
        <w:pStyle w:val="Prrafodelista"/>
        <w:spacing w:line="360" w:lineRule="auto"/>
        <w:ind w:left="567" w:right="567"/>
        <w:jc w:val="both"/>
        <w:rPr>
          <w:rFonts w:ascii="Palatino Linotype" w:eastAsia="Times New Roman" w:hAnsi="Palatino Linotype" w:cs="Arial"/>
          <w:i/>
          <w:color w:val="000000"/>
          <w:sz w:val="22"/>
        </w:rPr>
      </w:pPr>
      <w:r w:rsidRPr="001803AD">
        <w:rPr>
          <w:rFonts w:ascii="Palatino Linotype" w:eastAsia="Times New Roman" w:hAnsi="Palatino Linotype" w:cs="Arial"/>
          <w:b/>
          <w:i/>
          <w:color w:val="000000"/>
          <w:sz w:val="22"/>
        </w:rPr>
        <w:t>Cuenta</w:t>
      </w:r>
      <w:r w:rsidRPr="003305C7">
        <w:rPr>
          <w:rFonts w:ascii="Palatino Linotype" w:eastAsia="Times New Roman" w:hAnsi="Palatino Linotype" w:cs="Arial"/>
          <w:i/>
          <w:color w:val="000000"/>
          <w:sz w:val="22"/>
        </w:rPr>
        <w:t>.- Registros contables a cargo o abono que identifica</w:t>
      </w:r>
      <w:r>
        <w:rPr>
          <w:rFonts w:ascii="Palatino Linotype" w:eastAsia="Times New Roman" w:hAnsi="Palatino Linotype" w:cs="Arial"/>
          <w:i/>
          <w:color w:val="000000"/>
          <w:sz w:val="22"/>
        </w:rPr>
        <w:t>n</w:t>
      </w:r>
      <w:r w:rsidRPr="003305C7">
        <w:rPr>
          <w:rFonts w:ascii="Palatino Linotype" w:eastAsia="Times New Roman" w:hAnsi="Palatino Linotype" w:cs="Arial"/>
          <w:i/>
          <w:color w:val="000000"/>
          <w:sz w:val="22"/>
        </w:rPr>
        <w:t xml:space="preserve"> las operaciones realizadas por un cliente con una entidad, relacionadas con un Contrato de adhesión de una operación activa o pasiva.</w:t>
      </w:r>
    </w:p>
    <w:p w14:paraId="50D8C311" w14:textId="77777777" w:rsidR="00AF5C7E" w:rsidRPr="003305C7" w:rsidRDefault="00AF5C7E" w:rsidP="00AF5C7E">
      <w:pPr>
        <w:pStyle w:val="Prrafodelista"/>
        <w:tabs>
          <w:tab w:val="left" w:pos="2880"/>
        </w:tabs>
        <w:spacing w:line="360" w:lineRule="auto"/>
        <w:ind w:left="567" w:right="567"/>
        <w:jc w:val="both"/>
        <w:rPr>
          <w:rFonts w:ascii="Palatino Linotype" w:eastAsia="Times New Roman" w:hAnsi="Palatino Linotype" w:cs="Arial"/>
          <w:i/>
          <w:color w:val="000000"/>
          <w:sz w:val="22"/>
        </w:rPr>
      </w:pPr>
    </w:p>
    <w:p w14:paraId="26C03D9E" w14:textId="77777777" w:rsidR="00AF5C7E" w:rsidRDefault="00AF5C7E" w:rsidP="00AF5C7E">
      <w:pPr>
        <w:pStyle w:val="Prrafodelista"/>
        <w:spacing w:line="360" w:lineRule="auto"/>
        <w:ind w:left="567" w:right="567"/>
        <w:jc w:val="both"/>
        <w:rPr>
          <w:rFonts w:ascii="Palatino Linotype" w:eastAsia="Times New Roman" w:hAnsi="Palatino Linotype" w:cs="Arial"/>
          <w:i/>
          <w:color w:val="000000"/>
          <w:sz w:val="22"/>
        </w:rPr>
      </w:pPr>
      <w:r w:rsidRPr="001803AD">
        <w:rPr>
          <w:rFonts w:ascii="Palatino Linotype" w:eastAsia="Times New Roman" w:hAnsi="Palatino Linotype" w:cs="Arial"/>
          <w:b/>
          <w:i/>
          <w:color w:val="000000"/>
          <w:sz w:val="22"/>
        </w:rPr>
        <w:lastRenderedPageBreak/>
        <w:t>Cuenta básica.-</w:t>
      </w:r>
      <w:r w:rsidRPr="003305C7">
        <w:rPr>
          <w:rFonts w:ascii="Palatino Linotype" w:eastAsia="Times New Roman" w:hAnsi="Palatino Linotype" w:cs="Arial"/>
          <w:i/>
          <w:color w:val="000000"/>
          <w:sz w:val="22"/>
        </w:rPr>
        <w:t xml:space="preserve"> Cuenta de depósito bancario de dinero a la vista sin comisiones que las instituciones de crédito están obligadas a ofrecer en los términos y condiciones que establece el Banco de México. La disposición establece una cuenta de nómina y otra para el público general y especifican los servicios mínimos que deben comprender como es el contar con tarjeta de débito.</w:t>
      </w:r>
    </w:p>
    <w:p w14:paraId="38089317" w14:textId="77777777" w:rsidR="00AF5C7E" w:rsidRDefault="00AF5C7E" w:rsidP="00AF5C7E">
      <w:pPr>
        <w:pStyle w:val="Prrafodelista"/>
        <w:spacing w:line="360" w:lineRule="auto"/>
        <w:ind w:left="567" w:right="567"/>
        <w:jc w:val="both"/>
        <w:rPr>
          <w:rFonts w:ascii="Palatino Linotype" w:eastAsia="Times New Roman" w:hAnsi="Palatino Linotype" w:cs="Arial"/>
          <w:i/>
          <w:color w:val="000000"/>
          <w:sz w:val="22"/>
        </w:rPr>
      </w:pPr>
    </w:p>
    <w:p w14:paraId="3BFFB824" w14:textId="77777777" w:rsidR="00AF5C7E" w:rsidRPr="001A52CE" w:rsidRDefault="00AF5C7E" w:rsidP="00AF5C7E">
      <w:pPr>
        <w:pStyle w:val="Prrafodelista"/>
        <w:numPr>
          <w:ilvl w:val="0"/>
          <w:numId w:val="1"/>
        </w:numPr>
        <w:spacing w:line="360" w:lineRule="auto"/>
        <w:ind w:right="49"/>
        <w:jc w:val="both"/>
        <w:rPr>
          <w:rFonts w:ascii="Palatino Linotype" w:eastAsia="Times New Roman" w:hAnsi="Palatino Linotype" w:cs="Arial"/>
          <w:color w:val="000000"/>
        </w:rPr>
      </w:pPr>
      <w:r>
        <w:rPr>
          <w:rFonts w:ascii="Palatino Linotype" w:eastAsia="Times New Roman" w:hAnsi="Palatino Linotype" w:cs="Arial"/>
          <w:color w:val="000000"/>
        </w:rPr>
        <w:t xml:space="preserve">Es así, que se puede determinar que una cuenta bancaria, es un </w:t>
      </w:r>
      <w:r w:rsidRPr="00D70779">
        <w:rPr>
          <w:rFonts w:ascii="Palatino Linotype" w:eastAsia="Times New Roman" w:hAnsi="Palatino Linotype" w:cs="Arial"/>
          <w:b/>
          <w:color w:val="000000"/>
        </w:rPr>
        <w:t>contrato financiero</w:t>
      </w:r>
      <w:r>
        <w:rPr>
          <w:rFonts w:ascii="Palatino Linotype" w:eastAsia="Times New Roman" w:hAnsi="Palatino Linotype" w:cs="Arial"/>
          <w:color w:val="000000"/>
        </w:rPr>
        <w:t xml:space="preserve"> con una entidad bancaria mediante la cual se llevan a cabo registros contables </w:t>
      </w:r>
      <w:r w:rsidRPr="001A52CE">
        <w:rPr>
          <w:rFonts w:ascii="Palatino Linotype" w:eastAsia="Times New Roman" w:hAnsi="Palatino Linotype" w:cs="Arial"/>
          <w:color w:val="000000"/>
        </w:rPr>
        <w:t>de cargo o abono de las operaciones realizadas por un cliente.</w:t>
      </w:r>
    </w:p>
    <w:p w14:paraId="5C480E4D" w14:textId="77777777" w:rsidR="00AF5C7E" w:rsidRPr="001A52CE" w:rsidRDefault="00AF5C7E" w:rsidP="00AF5C7E">
      <w:pPr>
        <w:pStyle w:val="Prrafodelista"/>
        <w:spacing w:line="360" w:lineRule="auto"/>
        <w:ind w:left="0" w:right="49"/>
        <w:jc w:val="both"/>
        <w:rPr>
          <w:rFonts w:ascii="Palatino Linotype" w:eastAsia="Times New Roman" w:hAnsi="Palatino Linotype" w:cs="Arial"/>
          <w:color w:val="000000"/>
        </w:rPr>
      </w:pPr>
    </w:p>
    <w:p w14:paraId="535975EA" w14:textId="77777777" w:rsidR="00AF5C7E" w:rsidRPr="001A52CE" w:rsidRDefault="00AF5C7E" w:rsidP="00AF5C7E">
      <w:pPr>
        <w:pStyle w:val="Prrafodelista"/>
        <w:numPr>
          <w:ilvl w:val="0"/>
          <w:numId w:val="1"/>
        </w:numPr>
        <w:spacing w:before="240" w:after="240" w:line="360" w:lineRule="auto"/>
        <w:ind w:right="49"/>
        <w:jc w:val="both"/>
        <w:rPr>
          <w:rFonts w:ascii="Palatino Linotype" w:hAnsi="Palatino Linotype" w:cs="Arial"/>
          <w:b/>
          <w:u w:val="single"/>
        </w:rPr>
      </w:pPr>
      <w:r w:rsidRPr="001A52CE">
        <w:rPr>
          <w:rFonts w:ascii="Palatino Linotype" w:hAnsi="Palatino Linotype"/>
        </w:rPr>
        <w:t xml:space="preserve">En ese sentido, es importante hacer referencia a los establecido en el numeral 23 de  </w:t>
      </w:r>
      <w:r w:rsidRPr="001803AD">
        <w:rPr>
          <w:rFonts w:ascii="Palatino Linotype" w:hAnsi="Palatino Linotype"/>
          <w:b/>
        </w:rPr>
        <w:t>Lineamientos de Control Financiero y Administrativo para la Entidades Fiscalizables Municipales del Estado de México</w:t>
      </w:r>
      <w:r w:rsidRPr="001A52CE">
        <w:rPr>
          <w:rFonts w:ascii="Palatino Linotype" w:hAnsi="Palatino Linotype"/>
        </w:rPr>
        <w:t xml:space="preserve">, que en relación a este rubro señala: </w:t>
      </w:r>
    </w:p>
    <w:p w14:paraId="2A0D78F6" w14:textId="77777777" w:rsidR="00AF5C7E" w:rsidRPr="001A52CE" w:rsidRDefault="00AF5C7E" w:rsidP="00AF5C7E">
      <w:pPr>
        <w:pStyle w:val="Prrafodelista"/>
        <w:rPr>
          <w:rFonts w:ascii="Palatino Linotype" w:hAnsi="Palatino Linotype" w:cs="Arial"/>
          <w:b/>
          <w:u w:val="single"/>
        </w:rPr>
      </w:pPr>
    </w:p>
    <w:p w14:paraId="61E63EDF" w14:textId="77777777" w:rsidR="00AF5C7E" w:rsidRPr="001A52CE" w:rsidRDefault="00AF5C7E" w:rsidP="00AF5C7E">
      <w:pPr>
        <w:pStyle w:val="Prrafodelista"/>
        <w:spacing w:before="240" w:after="240" w:line="360" w:lineRule="auto"/>
        <w:ind w:left="851" w:right="567"/>
        <w:jc w:val="both"/>
        <w:rPr>
          <w:rFonts w:ascii="Palatino Linotype" w:hAnsi="Palatino Linotype" w:cs="Arial"/>
          <w:i/>
        </w:rPr>
      </w:pPr>
      <w:r w:rsidRPr="001A52CE">
        <w:rPr>
          <w:rFonts w:ascii="Palatino Linotype" w:hAnsi="Palatino Linotype" w:cs="Arial"/>
          <w:i/>
        </w:rPr>
        <w:t>“</w:t>
      </w:r>
      <w:r w:rsidRPr="001A52CE">
        <w:rPr>
          <w:rFonts w:ascii="Palatino Linotype" w:hAnsi="Palatino Linotype" w:cs="Arial"/>
          <w:b/>
          <w:i/>
        </w:rPr>
        <w:t>23.</w:t>
      </w:r>
      <w:r w:rsidRPr="001A52CE">
        <w:rPr>
          <w:rFonts w:ascii="Palatino Linotype" w:hAnsi="Palatino Linotype" w:cs="Arial"/>
          <w:i/>
        </w:rPr>
        <w:t xml:space="preserve"> El </w:t>
      </w:r>
      <w:r w:rsidRPr="00C123C0">
        <w:rPr>
          <w:rFonts w:ascii="Palatino Linotype" w:hAnsi="Palatino Linotype" w:cs="Arial"/>
          <w:b/>
          <w:i/>
          <w:u w:val="single"/>
        </w:rPr>
        <w:t>presidente y tesorero</w:t>
      </w:r>
      <w:r w:rsidRPr="001A52CE">
        <w:rPr>
          <w:rFonts w:ascii="Palatino Linotype" w:hAnsi="Palatino Linotype" w:cs="Arial"/>
          <w:i/>
        </w:rPr>
        <w:t xml:space="preserve"> o equivalente deberán aperturar </w:t>
      </w:r>
      <w:r w:rsidRPr="001A52CE">
        <w:rPr>
          <w:rFonts w:ascii="Palatino Linotype" w:hAnsi="Palatino Linotype" w:cs="Arial"/>
          <w:b/>
          <w:i/>
          <w:u w:val="single"/>
        </w:rPr>
        <w:t>cuentas bancarias</w:t>
      </w:r>
      <w:r w:rsidRPr="001A52CE">
        <w:rPr>
          <w:rFonts w:ascii="Palatino Linotype" w:hAnsi="Palatino Linotype" w:cs="Arial"/>
          <w:i/>
        </w:rPr>
        <w:t xml:space="preserve"> como personas jurídicas colectivas con fines no lucrativos o entes gubernamentales con firmas </w:t>
      </w:r>
      <w:r w:rsidRPr="001A52CE">
        <w:rPr>
          <w:rFonts w:ascii="Palatino Linotype" w:hAnsi="Palatino Linotype" w:cs="Arial"/>
          <w:b/>
          <w:i/>
          <w:u w:val="single"/>
        </w:rPr>
        <w:t>mancomunadas</w:t>
      </w:r>
      <w:r w:rsidRPr="001A52CE">
        <w:rPr>
          <w:rFonts w:ascii="Palatino Linotype" w:hAnsi="Palatino Linotype" w:cs="Arial"/>
          <w:i/>
        </w:rPr>
        <w:t xml:space="preserve">, a nombre de la entidad fiscalizable municipal, en el nombre del programa o recurso y el </w:t>
      </w:r>
      <w:r w:rsidRPr="001A52CE">
        <w:rPr>
          <w:rFonts w:ascii="Palatino Linotype" w:hAnsi="Palatino Linotype" w:cs="Arial"/>
          <w:b/>
          <w:i/>
          <w:u w:val="single"/>
        </w:rPr>
        <w:t>contrato respectivo</w:t>
      </w:r>
      <w:r w:rsidRPr="001A52CE">
        <w:rPr>
          <w:rFonts w:ascii="Palatino Linotype" w:hAnsi="Palatino Linotype" w:cs="Arial"/>
          <w:i/>
        </w:rPr>
        <w:t xml:space="preserve"> por cada uno de los recursos federales, estatales o municipales.” </w:t>
      </w:r>
      <w:r>
        <w:rPr>
          <w:rFonts w:ascii="Palatino Linotype" w:hAnsi="Palatino Linotype" w:cs="Arial"/>
          <w:i/>
        </w:rPr>
        <w:t xml:space="preserve">  </w:t>
      </w:r>
    </w:p>
    <w:p w14:paraId="5906D21E" w14:textId="77777777" w:rsidR="00AF5C7E" w:rsidRPr="001A52CE" w:rsidRDefault="00AF5C7E" w:rsidP="00AF5C7E">
      <w:pPr>
        <w:pStyle w:val="Prrafodelista"/>
        <w:rPr>
          <w:rFonts w:ascii="Palatino Linotype" w:hAnsi="Palatino Linotype" w:cs="Arial"/>
          <w:b/>
          <w:u w:val="single"/>
        </w:rPr>
      </w:pPr>
    </w:p>
    <w:p w14:paraId="75B7B252" w14:textId="77777777" w:rsidR="00AF5C7E" w:rsidRDefault="00AF5C7E" w:rsidP="00AF5C7E">
      <w:pPr>
        <w:pStyle w:val="Prrafodelista"/>
        <w:numPr>
          <w:ilvl w:val="0"/>
          <w:numId w:val="1"/>
        </w:numPr>
        <w:spacing w:before="240" w:after="240" w:line="360" w:lineRule="auto"/>
        <w:ind w:right="49"/>
        <w:jc w:val="both"/>
        <w:rPr>
          <w:rFonts w:ascii="Palatino Linotype" w:hAnsi="Palatino Linotype" w:cs="Arial"/>
        </w:rPr>
      </w:pPr>
      <w:r w:rsidRPr="001A52CE">
        <w:rPr>
          <w:rFonts w:ascii="Palatino Linotype" w:hAnsi="Palatino Linotype" w:cs="Arial"/>
        </w:rPr>
        <w:t xml:space="preserve">Por lo anterior, se deduce que el </w:t>
      </w:r>
      <w:r w:rsidRPr="001A52CE">
        <w:rPr>
          <w:rFonts w:ascii="Palatino Linotype" w:hAnsi="Palatino Linotype" w:cs="Arial"/>
          <w:b/>
        </w:rPr>
        <w:t xml:space="preserve">Sujeto Obligado </w:t>
      </w:r>
      <w:r w:rsidRPr="001A52CE">
        <w:rPr>
          <w:rFonts w:ascii="Palatino Linotype" w:hAnsi="Palatino Linotype" w:cs="Arial"/>
        </w:rPr>
        <w:t xml:space="preserve">tiene la obligación y responsabilidad de solicitar los servicios de la  Institución Bancaria que prefiera con el objeto de </w:t>
      </w:r>
      <w:r>
        <w:rPr>
          <w:rFonts w:ascii="Palatino Linotype" w:hAnsi="Palatino Linotype" w:cs="Arial"/>
          <w:b/>
          <w:u w:val="single"/>
        </w:rPr>
        <w:t>contratar</w:t>
      </w:r>
      <w:r w:rsidRPr="000F6295">
        <w:rPr>
          <w:rFonts w:ascii="Palatino Linotype" w:hAnsi="Palatino Linotype" w:cs="Arial"/>
          <w:b/>
        </w:rPr>
        <w:t xml:space="preserve"> </w:t>
      </w:r>
      <w:r w:rsidRPr="001A52CE">
        <w:rPr>
          <w:rFonts w:ascii="Palatino Linotype" w:hAnsi="Palatino Linotype" w:cs="Arial"/>
        </w:rPr>
        <w:t xml:space="preserve">la apertura de cuentas bancarias por cada uno de los programas o recursos federales, estatales o municipales; por ende la información solicitada por el </w:t>
      </w:r>
      <w:r w:rsidRPr="00443BEE">
        <w:rPr>
          <w:rFonts w:ascii="Palatino Linotype" w:hAnsi="Palatino Linotype" w:cs="Arial"/>
        </w:rPr>
        <w:t>particular</w:t>
      </w:r>
      <w:r w:rsidRPr="001A52CE">
        <w:rPr>
          <w:rFonts w:ascii="Palatino Linotype" w:hAnsi="Palatino Linotype" w:cs="Arial"/>
          <w:b/>
        </w:rPr>
        <w:t xml:space="preserve"> </w:t>
      </w:r>
      <w:r>
        <w:rPr>
          <w:rFonts w:ascii="Palatino Linotype" w:hAnsi="Palatino Linotype" w:cs="Arial"/>
        </w:rPr>
        <w:t>es generada, administrada y de naturaleza pública.</w:t>
      </w:r>
    </w:p>
    <w:p w14:paraId="2340E36F" w14:textId="77777777" w:rsidR="00AF5C7E" w:rsidRPr="001A52CE" w:rsidRDefault="00AF5C7E" w:rsidP="00AF5C7E">
      <w:pPr>
        <w:pStyle w:val="Prrafodelista"/>
        <w:spacing w:before="240" w:after="240" w:line="360" w:lineRule="auto"/>
        <w:ind w:left="0" w:right="49"/>
        <w:jc w:val="both"/>
        <w:rPr>
          <w:rFonts w:ascii="Palatino Linotype" w:hAnsi="Palatino Linotype" w:cs="Arial"/>
        </w:rPr>
      </w:pPr>
    </w:p>
    <w:p w14:paraId="0B61E5AE" w14:textId="77777777" w:rsidR="00AF5C7E" w:rsidRPr="001A52CE" w:rsidRDefault="00AF5C7E" w:rsidP="00AF5C7E">
      <w:pPr>
        <w:pStyle w:val="Prrafodelista"/>
        <w:numPr>
          <w:ilvl w:val="0"/>
          <w:numId w:val="1"/>
        </w:numPr>
        <w:spacing w:before="240" w:after="240" w:line="360" w:lineRule="auto"/>
        <w:ind w:right="49"/>
        <w:jc w:val="both"/>
        <w:rPr>
          <w:rFonts w:ascii="Palatino Linotype" w:hAnsi="Palatino Linotype" w:cs="Arial"/>
          <w:b/>
          <w:u w:val="single"/>
        </w:rPr>
      </w:pPr>
      <w:r>
        <w:rPr>
          <w:rFonts w:ascii="Palatino Linotype" w:hAnsi="Palatino Linotype" w:cs="Arial"/>
        </w:rPr>
        <w:t>No o</w:t>
      </w:r>
      <w:r w:rsidRPr="001A52CE">
        <w:rPr>
          <w:rFonts w:ascii="Palatino Linotype" w:hAnsi="Palatino Linotype" w:cs="Arial"/>
        </w:rPr>
        <w:t>bstante, e</w:t>
      </w:r>
      <w:r w:rsidRPr="001A52CE">
        <w:rPr>
          <w:rFonts w:ascii="Palatino Linotype" w:hAnsi="Palatino Linotype"/>
          <w:color w:val="000000"/>
        </w:rPr>
        <w:t xml:space="preserve">l </w:t>
      </w:r>
      <w:r w:rsidRPr="001A52CE">
        <w:rPr>
          <w:rFonts w:ascii="Palatino Linotype" w:hAnsi="Palatino Linotype"/>
          <w:b/>
          <w:color w:val="000000"/>
        </w:rPr>
        <w:t>Código Civil Federal</w:t>
      </w:r>
      <w:r w:rsidRPr="001A52CE">
        <w:rPr>
          <w:rFonts w:ascii="Palatino Linotype" w:hAnsi="Palatino Linotype"/>
          <w:color w:val="000000"/>
        </w:rPr>
        <w:t xml:space="preserve"> correlativamente al </w:t>
      </w:r>
      <w:r w:rsidRPr="001A52CE">
        <w:rPr>
          <w:rFonts w:ascii="Palatino Linotype" w:hAnsi="Palatino Linotype"/>
          <w:b/>
          <w:color w:val="000000"/>
        </w:rPr>
        <w:t xml:space="preserve">Código Civil del Estado de México </w:t>
      </w:r>
      <w:r w:rsidRPr="001A52CE">
        <w:rPr>
          <w:rFonts w:ascii="Palatino Linotype" w:hAnsi="Palatino Linotype"/>
          <w:color w:val="000000"/>
        </w:rPr>
        <w:t>en sus artículos 1792 y 7.30 respectivamente conceptualizan al convenio como: “</w:t>
      </w:r>
      <w:r w:rsidRPr="001A52CE">
        <w:rPr>
          <w:rFonts w:ascii="Palatino Linotype" w:hAnsi="Palatino Linotype"/>
          <w:i/>
        </w:rPr>
        <w:t>el acuerdo de dos o más personas para crear, transferir, modificar o extinguir obligaciones</w:t>
      </w:r>
      <w:r w:rsidRPr="001A52CE">
        <w:t xml:space="preserve">”, </w:t>
      </w:r>
      <w:r w:rsidRPr="001A52CE">
        <w:rPr>
          <w:rFonts w:ascii="Palatino Linotype" w:hAnsi="Palatino Linotype"/>
        </w:rPr>
        <w:t xml:space="preserve">así mismo dichos ordenamientos jurídicos en sus artículos 1793 </w:t>
      </w:r>
      <w:r w:rsidRPr="001A52CE">
        <w:rPr>
          <w:rFonts w:ascii="Palatino Linotype" w:hAnsi="Palatino Linotype"/>
          <w:color w:val="000000"/>
        </w:rPr>
        <w:t>y 7.31 definen a los contratos como “</w:t>
      </w:r>
      <w:r w:rsidRPr="001A52CE">
        <w:rPr>
          <w:rFonts w:ascii="Palatino Linotype" w:hAnsi="Palatino Linotype"/>
          <w:i/>
        </w:rPr>
        <w:t>convenios que producen o transfieren las obligaciones y derechos</w:t>
      </w:r>
      <w:r w:rsidRPr="001A52CE">
        <w:t>”.</w:t>
      </w:r>
    </w:p>
    <w:p w14:paraId="45B4FB35" w14:textId="77777777" w:rsidR="00AF5C7E" w:rsidRPr="001A52CE" w:rsidRDefault="00AF5C7E" w:rsidP="00AF5C7E">
      <w:pPr>
        <w:pStyle w:val="Prrafodelista"/>
        <w:autoSpaceDE w:val="0"/>
        <w:autoSpaceDN w:val="0"/>
        <w:adjustRightInd w:val="0"/>
        <w:spacing w:before="240" w:after="360" w:line="360" w:lineRule="auto"/>
        <w:ind w:left="0"/>
        <w:jc w:val="both"/>
        <w:rPr>
          <w:rFonts w:ascii="Palatino Linotype" w:hAnsi="Palatino Linotype" w:cs="Arial"/>
          <w:color w:val="000000"/>
        </w:rPr>
      </w:pPr>
    </w:p>
    <w:p w14:paraId="4B160688" w14:textId="38F60CD4" w:rsidR="00AF5C7E" w:rsidRPr="001A52CE" w:rsidRDefault="00AF5C7E" w:rsidP="00AF5C7E">
      <w:pPr>
        <w:pStyle w:val="Prrafodelista"/>
        <w:numPr>
          <w:ilvl w:val="0"/>
          <w:numId w:val="1"/>
        </w:numPr>
        <w:spacing w:before="240" w:after="240" w:line="360" w:lineRule="auto"/>
        <w:ind w:right="49"/>
        <w:jc w:val="both"/>
        <w:rPr>
          <w:rFonts w:ascii="Palatino Linotype" w:hAnsi="Palatino Linotype" w:cs="Arial"/>
          <w:color w:val="000000"/>
        </w:rPr>
      </w:pPr>
      <w:r w:rsidRPr="001A52CE">
        <w:rPr>
          <w:rFonts w:ascii="Palatino Linotype" w:hAnsi="Palatino Linotype"/>
        </w:rPr>
        <w:t xml:space="preserve">Así mismo no se omite señalar que los contratos a que se refiere el párrafo anterior no tendrán validez si únicamente se encuentra manifiesta la voluntad de uno de los contratantes o bien el proveedor o prestador de servicios, de conformidad con el artículo 7.33 del </w:t>
      </w:r>
      <w:r w:rsidRPr="001A52CE">
        <w:rPr>
          <w:rFonts w:ascii="Palatino Linotype" w:hAnsi="Palatino Linotype"/>
          <w:b/>
          <w:color w:val="000000"/>
        </w:rPr>
        <w:t>Código Civil del Estado de México</w:t>
      </w:r>
      <w:r w:rsidRPr="001A52CE">
        <w:rPr>
          <w:rFonts w:ascii="Palatino Linotype" w:hAnsi="Palatino Linotype"/>
        </w:rPr>
        <w:t xml:space="preserve"> que a la letra señala:</w:t>
      </w:r>
    </w:p>
    <w:p w14:paraId="270566ED" w14:textId="77777777" w:rsidR="00AF5C7E" w:rsidRPr="001A52CE" w:rsidRDefault="00AF5C7E" w:rsidP="00AF5C7E">
      <w:pPr>
        <w:pStyle w:val="Prrafodelista"/>
        <w:autoSpaceDE w:val="0"/>
        <w:autoSpaceDN w:val="0"/>
        <w:adjustRightInd w:val="0"/>
        <w:spacing w:before="240" w:after="360" w:line="360" w:lineRule="auto"/>
        <w:ind w:left="0"/>
        <w:jc w:val="both"/>
        <w:rPr>
          <w:rFonts w:ascii="Palatino Linotype" w:hAnsi="Palatino Linotype" w:cs="Arial"/>
          <w:color w:val="000000"/>
        </w:rPr>
      </w:pPr>
    </w:p>
    <w:p w14:paraId="154A4B92" w14:textId="77777777" w:rsidR="00AF5C7E" w:rsidRPr="00D17DA4" w:rsidRDefault="00AF5C7E" w:rsidP="00AF5C7E">
      <w:pPr>
        <w:pStyle w:val="Prrafodelista"/>
        <w:autoSpaceDE w:val="0"/>
        <w:autoSpaceDN w:val="0"/>
        <w:adjustRightInd w:val="0"/>
        <w:spacing w:before="240" w:after="360" w:line="360" w:lineRule="auto"/>
        <w:ind w:left="567" w:right="567"/>
        <w:jc w:val="both"/>
        <w:rPr>
          <w:rFonts w:ascii="Palatino Linotype" w:hAnsi="Palatino Linotype"/>
          <w:i/>
          <w:sz w:val="22"/>
        </w:rPr>
      </w:pPr>
      <w:r w:rsidRPr="00D17DA4">
        <w:rPr>
          <w:rFonts w:ascii="Palatino Linotype" w:hAnsi="Palatino Linotype"/>
          <w:i/>
          <w:sz w:val="22"/>
        </w:rPr>
        <w:t>Artículo 7.33.- La validez y el cumplimiento de los contratos no pueden dejarse a la voluntad de uno de los contratantes.</w:t>
      </w:r>
    </w:p>
    <w:p w14:paraId="5E41DFBA" w14:textId="77777777" w:rsidR="00AF5C7E" w:rsidRPr="001A52CE" w:rsidRDefault="00AF5C7E" w:rsidP="00AF5C7E">
      <w:pPr>
        <w:pStyle w:val="Prrafodelista"/>
        <w:autoSpaceDE w:val="0"/>
        <w:autoSpaceDN w:val="0"/>
        <w:adjustRightInd w:val="0"/>
        <w:spacing w:before="240" w:after="360" w:line="360" w:lineRule="auto"/>
        <w:ind w:left="567" w:right="567"/>
        <w:jc w:val="both"/>
        <w:rPr>
          <w:rFonts w:ascii="Palatino Linotype" w:hAnsi="Palatino Linotype"/>
          <w:i/>
        </w:rPr>
      </w:pPr>
    </w:p>
    <w:p w14:paraId="2030CB8C" w14:textId="77777777" w:rsidR="00AF5C7E" w:rsidRPr="001A52CE" w:rsidRDefault="00AF5C7E" w:rsidP="00AF5C7E">
      <w:pPr>
        <w:pStyle w:val="Prrafodelista"/>
        <w:numPr>
          <w:ilvl w:val="0"/>
          <w:numId w:val="1"/>
        </w:numPr>
        <w:spacing w:before="240" w:after="240" w:line="360" w:lineRule="auto"/>
        <w:ind w:right="49"/>
        <w:jc w:val="both"/>
        <w:rPr>
          <w:rFonts w:ascii="Palatino Linotype" w:hAnsi="Palatino Linotype" w:cs="Arial"/>
          <w:color w:val="000000"/>
        </w:rPr>
      </w:pPr>
      <w:r w:rsidRPr="001A52CE">
        <w:rPr>
          <w:rFonts w:ascii="Palatino Linotype" w:hAnsi="Palatino Linotype" w:cs="Arial"/>
          <w:color w:val="000000"/>
        </w:rPr>
        <w:t xml:space="preserve">Ahora bien, el contrato bancario puede definirse como aquellos acuerdos de voluntades por los que se crean, modifican o extinguen las relaciones jurídicas derivadas de operaciones bancarias. </w:t>
      </w:r>
    </w:p>
    <w:p w14:paraId="0AFD7FB2" w14:textId="77777777" w:rsidR="00AF5C7E" w:rsidRPr="001A52CE" w:rsidRDefault="00AF5C7E" w:rsidP="00AF5C7E">
      <w:pPr>
        <w:pStyle w:val="Prrafodelista"/>
        <w:spacing w:before="240" w:after="240" w:line="360" w:lineRule="auto"/>
        <w:ind w:left="0" w:right="49"/>
        <w:jc w:val="both"/>
        <w:rPr>
          <w:rFonts w:ascii="Palatino Linotype" w:hAnsi="Palatino Linotype" w:cs="Arial"/>
          <w:color w:val="000000"/>
        </w:rPr>
      </w:pPr>
    </w:p>
    <w:p w14:paraId="3A188E3B" w14:textId="685A4EE0" w:rsidR="00AF5C7E" w:rsidRPr="000A6EDE" w:rsidRDefault="00AF5C7E" w:rsidP="00AF5C7E">
      <w:pPr>
        <w:pStyle w:val="Prrafodelista"/>
        <w:numPr>
          <w:ilvl w:val="0"/>
          <w:numId w:val="1"/>
        </w:numPr>
        <w:spacing w:before="240" w:after="240" w:line="360" w:lineRule="auto"/>
        <w:ind w:right="49"/>
        <w:jc w:val="both"/>
        <w:rPr>
          <w:rFonts w:ascii="Palatino Linotype" w:hAnsi="Palatino Linotype" w:cs="Arial"/>
          <w:b/>
          <w:u w:val="single"/>
        </w:rPr>
      </w:pPr>
      <w:r w:rsidRPr="001A52CE">
        <w:rPr>
          <w:rFonts w:ascii="Palatino Linotype" w:hAnsi="Palatino Linotype" w:cs="Arial"/>
          <w:color w:val="000000"/>
        </w:rPr>
        <w:t xml:space="preserve">En este sentido, es indudable el hecho de que el </w:t>
      </w:r>
      <w:r>
        <w:rPr>
          <w:rFonts w:ascii="Palatino Linotype" w:hAnsi="Palatino Linotype" w:cs="Arial"/>
          <w:color w:val="000000"/>
        </w:rPr>
        <w:t>Sujeto Obligado</w:t>
      </w:r>
      <w:r w:rsidRPr="001A52CE">
        <w:rPr>
          <w:rFonts w:ascii="Palatino Linotype" w:hAnsi="Palatino Linotype" w:cs="Arial"/>
          <w:b/>
          <w:color w:val="000000"/>
        </w:rPr>
        <w:t xml:space="preserve"> </w:t>
      </w:r>
      <w:r w:rsidRPr="001A52CE">
        <w:rPr>
          <w:rFonts w:ascii="Palatino Linotype" w:hAnsi="Palatino Linotype" w:cs="Arial"/>
          <w:color w:val="000000"/>
        </w:rPr>
        <w:t>tiene la obligación de aperturar cuentas bancarias a efecto de q</w:t>
      </w:r>
      <w:r>
        <w:rPr>
          <w:rFonts w:ascii="Palatino Linotype" w:hAnsi="Palatino Linotype" w:cs="Arial"/>
          <w:color w:val="000000"/>
        </w:rPr>
        <w:t xml:space="preserve">ue le sean depositados recursos del Municipio e </w:t>
      </w:r>
      <w:r>
        <w:rPr>
          <w:rFonts w:ascii="Palatino Linotype" w:hAnsi="Palatino Linotype" w:cs="Arial"/>
        </w:rPr>
        <w:t xml:space="preserve">ingresos que el Gobierno del Estado, la Federación o cualquier otra Entidad o Institución les otorguen o destinen; </w:t>
      </w:r>
      <w:r w:rsidRPr="000165EF">
        <w:rPr>
          <w:rFonts w:ascii="Palatino Linotype" w:hAnsi="Palatino Linotype" w:cs="Arial"/>
          <w:color w:val="000000"/>
        </w:rPr>
        <w:t xml:space="preserve"> cuantas bancarias que </w:t>
      </w:r>
      <w:r w:rsidRPr="000165EF">
        <w:rPr>
          <w:rFonts w:ascii="Palatino Linotype" w:hAnsi="Palatino Linotype" w:cs="Arial"/>
          <w:color w:val="000000"/>
        </w:rPr>
        <w:lastRenderedPageBreak/>
        <w:t>se aperturan a partir de la celebración de contratos de los cuales como se ha dicho se puede obtener la denominación de la Institución Bancaria y un número de cuenta, entre otra información.</w:t>
      </w:r>
    </w:p>
    <w:p w14:paraId="75362B4B" w14:textId="77777777" w:rsidR="00AF5C7E" w:rsidRDefault="00AF5C7E" w:rsidP="00AF5C7E">
      <w:pPr>
        <w:pStyle w:val="Prrafodelista"/>
        <w:spacing w:line="360" w:lineRule="auto"/>
        <w:ind w:left="0" w:right="49"/>
        <w:jc w:val="both"/>
        <w:rPr>
          <w:rFonts w:ascii="Palatino Linotype" w:eastAsia="MS Mincho" w:hAnsi="Palatino Linotype"/>
        </w:rPr>
      </w:pPr>
    </w:p>
    <w:p w14:paraId="0B21C9FD" w14:textId="23AB0626" w:rsidR="00AF5C7E" w:rsidRDefault="00AF5C7E" w:rsidP="00AF5C7E">
      <w:pPr>
        <w:pStyle w:val="Prrafodelista"/>
        <w:numPr>
          <w:ilvl w:val="0"/>
          <w:numId w:val="1"/>
        </w:numPr>
        <w:tabs>
          <w:tab w:val="left" w:pos="0"/>
        </w:tabs>
        <w:spacing w:line="360" w:lineRule="auto"/>
        <w:ind w:right="49"/>
        <w:jc w:val="both"/>
        <w:rPr>
          <w:rFonts w:ascii="Palatino Linotype" w:hAnsi="Palatino Linotype" w:cs="Arial"/>
        </w:rPr>
      </w:pPr>
      <w:r>
        <w:rPr>
          <w:rFonts w:ascii="Palatino Linotype" w:hAnsi="Palatino Linotype"/>
        </w:rPr>
        <w:t xml:space="preserve">Dicho lo anterior, es necesario precisar que el derecho </w:t>
      </w:r>
      <w:r w:rsidRPr="000818BF">
        <w:rPr>
          <w:rFonts w:ascii="Palatino Linotype" w:hAnsi="Palatino Linotype" w:cs="Arial"/>
        </w:rPr>
        <w:t>de acceso a la información pública implica que cualquier persona pueda acceder y conocer la información contenida en los documentos que se encuentran en posesión de los Su</w:t>
      </w:r>
      <w:r>
        <w:rPr>
          <w:rFonts w:ascii="Palatino Linotype" w:hAnsi="Palatino Linotype" w:cs="Arial"/>
        </w:rPr>
        <w:t>jetos Obligados.</w:t>
      </w:r>
    </w:p>
    <w:p w14:paraId="2A4E96EC" w14:textId="77777777" w:rsidR="00AF5C7E" w:rsidRPr="000818BF" w:rsidRDefault="00AF5C7E" w:rsidP="00AF5C7E">
      <w:pPr>
        <w:pStyle w:val="Prrafodelista"/>
        <w:tabs>
          <w:tab w:val="left" w:pos="0"/>
        </w:tabs>
        <w:spacing w:line="360" w:lineRule="auto"/>
        <w:ind w:left="0" w:right="49"/>
        <w:jc w:val="both"/>
        <w:rPr>
          <w:rFonts w:ascii="Palatino Linotype" w:hAnsi="Palatino Linotype" w:cs="Arial"/>
        </w:rPr>
      </w:pPr>
    </w:p>
    <w:p w14:paraId="2400B56D" w14:textId="77777777" w:rsidR="00AF5C7E" w:rsidRPr="000818BF" w:rsidRDefault="00AF5C7E" w:rsidP="00AF5C7E">
      <w:pPr>
        <w:pStyle w:val="Prrafodelista"/>
        <w:numPr>
          <w:ilvl w:val="0"/>
          <w:numId w:val="1"/>
        </w:numPr>
        <w:tabs>
          <w:tab w:val="left" w:pos="0"/>
        </w:tabs>
        <w:spacing w:line="360" w:lineRule="auto"/>
        <w:ind w:right="49"/>
        <w:jc w:val="both"/>
        <w:rPr>
          <w:rFonts w:ascii="Palatino Linotype" w:hAnsi="Palatino Linotype" w:cs="Arial"/>
        </w:rPr>
      </w:pPr>
      <w:r>
        <w:rPr>
          <w:rFonts w:ascii="Palatino Linotype" w:hAnsi="Palatino Linotype" w:cs="Arial"/>
        </w:rPr>
        <w:t>L</w:t>
      </w:r>
      <w:r w:rsidRPr="000818BF">
        <w:rPr>
          <w:rFonts w:ascii="Palatino Linotype" w:hAnsi="Palatino Linotype" w:cs="Arial"/>
        </w:rPr>
        <w:t>a obligación de acceso a la información se tendrá por cumplida cuando el solicitante tenga a su disposición la información requerida, o cuando realice su consulta en el lugar que ésta se localice, conforme a los artículos 3</w:t>
      </w:r>
      <w:r>
        <w:rPr>
          <w:rFonts w:ascii="Palatino Linotype" w:hAnsi="Palatino Linotype" w:cs="Arial"/>
        </w:rPr>
        <w:t>,</w:t>
      </w:r>
      <w:r w:rsidRPr="000818BF">
        <w:rPr>
          <w:rFonts w:ascii="Palatino Linotype" w:hAnsi="Palatino Linotype" w:cs="Arial"/>
        </w:rPr>
        <w:t xml:space="preserve"> fraccion</w:t>
      </w:r>
      <w:r>
        <w:rPr>
          <w:rFonts w:ascii="Palatino Linotype" w:hAnsi="Palatino Linotype" w:cs="Arial"/>
        </w:rPr>
        <w:t>es</w:t>
      </w:r>
      <w:r w:rsidRPr="000818BF">
        <w:rPr>
          <w:rFonts w:ascii="Palatino Linotype" w:hAnsi="Palatino Linotype" w:cs="Arial"/>
        </w:rPr>
        <w:t xml:space="preserve"> XI, XII</w:t>
      </w:r>
      <w:r>
        <w:rPr>
          <w:rFonts w:ascii="Palatino Linotype" w:hAnsi="Palatino Linotype" w:cs="Arial"/>
        </w:rPr>
        <w:t>,</w:t>
      </w:r>
      <w:r w:rsidRPr="000818BF">
        <w:rPr>
          <w:rFonts w:ascii="Palatino Linotype" w:hAnsi="Palatino Linotype" w:cs="Arial"/>
        </w:rPr>
        <w:t xml:space="preserve"> 4, 12 y 24 último párrafo </w:t>
      </w:r>
      <w:r w:rsidRPr="000818BF">
        <w:rPr>
          <w:rFonts w:ascii="Palatino Linotype" w:hAnsi="Palatino Linotype" w:cs="Arial"/>
          <w:bCs/>
        </w:rPr>
        <w:t>de la Ley de Transparencia y Acceso a la Información Pública del Estado de México y Municipios</w:t>
      </w:r>
      <w:r>
        <w:rPr>
          <w:rFonts w:ascii="Palatino Linotype" w:hAnsi="Palatino Linotype" w:cs="Arial"/>
        </w:rPr>
        <w:t>, los cuales a la letra señalan:</w:t>
      </w:r>
    </w:p>
    <w:p w14:paraId="4A3CDA55"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bCs/>
          <w:i/>
          <w:sz w:val="22"/>
          <w:szCs w:val="22"/>
        </w:rPr>
      </w:pPr>
      <w:r w:rsidRPr="000818BF">
        <w:rPr>
          <w:rFonts w:ascii="Palatino Linotype" w:hAnsi="Palatino Linotype"/>
          <w:b/>
          <w:bCs/>
          <w:i/>
          <w:sz w:val="22"/>
          <w:szCs w:val="22"/>
        </w:rPr>
        <w:t xml:space="preserve">“Artículo 3. </w:t>
      </w:r>
      <w:r w:rsidRPr="000818BF">
        <w:rPr>
          <w:rFonts w:ascii="Palatino Linotype" w:hAnsi="Palatino Linotype"/>
          <w:bCs/>
          <w:i/>
          <w:sz w:val="22"/>
          <w:szCs w:val="22"/>
        </w:rPr>
        <w:t>Para los efectos de la presente Ley se entenderá por:</w:t>
      </w:r>
      <w:r w:rsidRPr="000818BF">
        <w:rPr>
          <w:rFonts w:ascii="Palatino Linotype" w:hAnsi="Palatino Linotype"/>
          <w:bCs/>
          <w:i/>
          <w:sz w:val="22"/>
          <w:szCs w:val="22"/>
        </w:rPr>
        <w:tab/>
      </w:r>
    </w:p>
    <w:p w14:paraId="1B90D083"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w:t>
      </w:r>
    </w:p>
    <w:p w14:paraId="1D9BFF11"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
          <w:bCs/>
          <w:i/>
          <w:sz w:val="22"/>
          <w:szCs w:val="22"/>
        </w:rPr>
        <w:t xml:space="preserve">XI. Documento: </w:t>
      </w:r>
      <w:r w:rsidRPr="000818BF">
        <w:rPr>
          <w:rFonts w:ascii="Palatino Linotype" w:hAnsi="Palatino Linotype"/>
          <w:i/>
          <w:sz w:val="22"/>
          <w:szCs w:val="22"/>
        </w:rPr>
        <w:t xml:space="preserve">Los expedientes, </w:t>
      </w:r>
      <w:r w:rsidRPr="00BA6360">
        <w:rPr>
          <w:rFonts w:ascii="Palatino Linotype" w:hAnsi="Palatino Linotype"/>
          <w:b/>
          <w:i/>
          <w:sz w:val="22"/>
          <w:szCs w:val="22"/>
        </w:rPr>
        <w:t>reportes</w:t>
      </w:r>
      <w:r w:rsidRPr="000818BF">
        <w:rPr>
          <w:rFonts w:ascii="Palatino Linotype" w:hAnsi="Palatino Linotype"/>
          <w:i/>
          <w:sz w:val="22"/>
          <w:szCs w:val="22"/>
        </w:rPr>
        <w:t xml:space="preserve">, estudios, actas, resoluciones, oficios, correspondencia, acuerdos, directivas, directrices, circulares, </w:t>
      </w:r>
      <w:r w:rsidRPr="00BA6360">
        <w:rPr>
          <w:rFonts w:ascii="Palatino Linotype" w:hAnsi="Palatino Linotype"/>
          <w:b/>
          <w:i/>
          <w:sz w:val="22"/>
          <w:szCs w:val="22"/>
        </w:rPr>
        <w:t>contratos</w:t>
      </w:r>
      <w:r w:rsidRPr="000818BF">
        <w:rPr>
          <w:rFonts w:ascii="Palatino Linotype" w:hAnsi="Palatino Linotype"/>
          <w:i/>
          <w:sz w:val="22"/>
          <w:szCs w:val="22"/>
        </w:rPr>
        <w:t>,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9501FA"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bCs/>
          <w:i/>
          <w:sz w:val="22"/>
          <w:szCs w:val="22"/>
        </w:rPr>
      </w:pPr>
      <w:r w:rsidRPr="000818BF">
        <w:rPr>
          <w:rFonts w:ascii="Palatino Linotype" w:hAnsi="Palatino Linotype"/>
          <w:b/>
          <w:bCs/>
          <w:i/>
          <w:sz w:val="22"/>
          <w:szCs w:val="22"/>
        </w:rPr>
        <w:lastRenderedPageBreak/>
        <w:t>XII. Documento electrónico:</w:t>
      </w:r>
      <w:r w:rsidRPr="000818BF">
        <w:rPr>
          <w:rFonts w:ascii="Palatino Linotype" w:hAnsi="Palatino Linotype"/>
          <w:bCs/>
          <w:i/>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3797C48"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w:t>
      </w:r>
    </w:p>
    <w:p w14:paraId="46A1B34B"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bCs/>
          <w:i/>
          <w:sz w:val="22"/>
          <w:szCs w:val="22"/>
        </w:rPr>
      </w:pPr>
      <w:r w:rsidRPr="000818BF">
        <w:rPr>
          <w:rFonts w:ascii="Palatino Linotype" w:hAnsi="Palatino Linotype"/>
          <w:b/>
          <w:bCs/>
          <w:i/>
          <w:sz w:val="22"/>
          <w:szCs w:val="22"/>
        </w:rPr>
        <w:t>Artículo 4. El derecho humano de acceso a la información pública es la prerrogativa de las personas para buscar, difundir, investigar, recabar, recibir y solicitar información pública</w:t>
      </w:r>
      <w:r w:rsidRPr="000818BF">
        <w:rPr>
          <w:rFonts w:ascii="Palatino Linotype" w:hAnsi="Palatino Linotype"/>
          <w:bCs/>
          <w:i/>
          <w:sz w:val="22"/>
          <w:szCs w:val="22"/>
        </w:rPr>
        <w:t>, sin necesidad de acreditar personalidad ni interés jurídico.</w:t>
      </w:r>
    </w:p>
    <w:p w14:paraId="4468159E"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818BF">
        <w:rPr>
          <w:rFonts w:ascii="Palatino Linotype" w:hAnsi="Palatino Linotype"/>
          <w:i/>
          <w:sz w:val="22"/>
          <w:szCs w:val="22"/>
        </w:rPr>
        <w:t xml:space="preserve"> Solo podrá ser clasificada excepcionalmente como reservada temporalmente por razones de interés público, en los términos de las causas legítimas y estrictamente necesarias previstas por esta Ley.</w:t>
      </w:r>
    </w:p>
    <w:p w14:paraId="68123247"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D1FAC81"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
          <w:bCs/>
          <w:i/>
          <w:sz w:val="22"/>
          <w:szCs w:val="22"/>
        </w:rPr>
        <w:lastRenderedPageBreak/>
        <w:t xml:space="preserve">Artículo 12. </w:t>
      </w:r>
      <w:r w:rsidRPr="000818BF">
        <w:rPr>
          <w:rFonts w:ascii="Palatino Linotype" w:hAnsi="Palatino Linotype"/>
          <w:i/>
          <w:sz w:val="22"/>
          <w:szCs w:val="22"/>
        </w:rPr>
        <w:t>Quienes generen, recopilen, administren, manejen, procesen, archiven o conserven información pública serán responsables de la misma en los términos de las disposiciones jurídicas aplicables.</w:t>
      </w:r>
    </w:p>
    <w:p w14:paraId="63299B1E"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Los sujetos obligados sólo proporcionarán la información pública que se les requiera y que obre en sus archivos y en el estado en que ésta se encuentre</w:t>
      </w:r>
      <w:r w:rsidRPr="000818BF">
        <w:rPr>
          <w:rFonts w:ascii="Palatino Linotype" w:hAnsi="Palatino Linotype"/>
          <w:i/>
          <w:sz w:val="22"/>
          <w:szCs w:val="22"/>
          <w:u w:val="single"/>
        </w:rPr>
        <w:t>.</w:t>
      </w:r>
      <w:r w:rsidRPr="000818BF">
        <w:rPr>
          <w:rFonts w:ascii="Palatino Linotype" w:hAnsi="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30A7F6"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w:t>
      </w:r>
    </w:p>
    <w:p w14:paraId="3BA86EF2"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
          <w:bCs/>
          <w:i/>
          <w:sz w:val="22"/>
          <w:szCs w:val="22"/>
        </w:rPr>
        <w:t xml:space="preserve">Artículo 24. </w:t>
      </w:r>
      <w:r w:rsidRPr="000818BF">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47B506F1"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Cs/>
          <w:i/>
          <w:sz w:val="22"/>
          <w:szCs w:val="22"/>
        </w:rPr>
        <w:t>(..</w:t>
      </w:r>
      <w:r w:rsidRPr="000818BF">
        <w:rPr>
          <w:rFonts w:ascii="Palatino Linotype" w:hAnsi="Palatino Linotype"/>
          <w:i/>
          <w:sz w:val="22"/>
          <w:szCs w:val="22"/>
        </w:rPr>
        <w:t>.)</w:t>
      </w:r>
    </w:p>
    <w:p w14:paraId="06D81AE7"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bCs/>
          <w:i/>
          <w:sz w:val="22"/>
          <w:szCs w:val="22"/>
          <w:u w:val="single"/>
        </w:rPr>
      </w:pPr>
      <w:r w:rsidRPr="000818BF">
        <w:rPr>
          <w:rFonts w:ascii="Palatino Linotype" w:hAnsi="Palatino Linotype"/>
          <w:b/>
          <w:bCs/>
          <w:i/>
          <w:sz w:val="22"/>
          <w:szCs w:val="22"/>
        </w:rPr>
        <w:t>IX.</w:t>
      </w:r>
      <w:r w:rsidRPr="000818BF">
        <w:rPr>
          <w:rFonts w:ascii="Palatino Linotype" w:hAnsi="Palatino Linotype"/>
          <w:bCs/>
          <w:i/>
          <w:sz w:val="22"/>
          <w:szCs w:val="22"/>
        </w:rPr>
        <w:t xml:space="preserve"> </w:t>
      </w:r>
      <w:r w:rsidRPr="000818BF">
        <w:rPr>
          <w:rFonts w:ascii="Palatino Linotype" w:hAnsi="Palatino Linotype"/>
          <w:bCs/>
          <w:i/>
          <w:sz w:val="22"/>
          <w:szCs w:val="22"/>
          <w:u w:val="single"/>
        </w:rPr>
        <w:t>Fomentar el uso de tecnologías de la información para garantizar la transparencia, el derecho de acceso a la información y la accesibilidad a éstos;</w:t>
      </w:r>
    </w:p>
    <w:p w14:paraId="2B8CD11B"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b/>
          <w:bCs/>
          <w:i/>
          <w:sz w:val="22"/>
          <w:szCs w:val="22"/>
        </w:rPr>
      </w:pPr>
      <w:r w:rsidRPr="000818BF">
        <w:rPr>
          <w:rFonts w:ascii="Palatino Linotype" w:hAnsi="Palatino Linotype"/>
          <w:b/>
          <w:bCs/>
          <w:i/>
          <w:sz w:val="22"/>
          <w:szCs w:val="22"/>
        </w:rPr>
        <w:t>(…)</w:t>
      </w:r>
    </w:p>
    <w:p w14:paraId="543ED3B2"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bCs/>
          <w:i/>
          <w:sz w:val="22"/>
          <w:szCs w:val="22"/>
        </w:rPr>
      </w:pPr>
      <w:r w:rsidRPr="000818BF">
        <w:rPr>
          <w:rFonts w:ascii="Palatino Linotype" w:hAnsi="Palatino Linotype"/>
          <w:b/>
          <w:bCs/>
          <w:i/>
          <w:sz w:val="22"/>
          <w:szCs w:val="22"/>
        </w:rPr>
        <w:t>XI.</w:t>
      </w:r>
      <w:r w:rsidRPr="000818BF">
        <w:rPr>
          <w:rFonts w:ascii="Palatino Linotype" w:hAnsi="Palatino Linotype"/>
          <w:bCs/>
          <w:i/>
          <w:sz w:val="22"/>
          <w:szCs w:val="22"/>
        </w:rPr>
        <w:t xml:space="preserve"> Dar acceso a la información pública que le sea requerida, en los términos de la Ley General, esta Ley y demás disposiciones jurídicas aplicables;</w:t>
      </w:r>
    </w:p>
    <w:p w14:paraId="094C3A2B"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Cs/>
          <w:i/>
          <w:sz w:val="22"/>
          <w:szCs w:val="22"/>
        </w:rPr>
        <w:t>(…)</w:t>
      </w:r>
    </w:p>
    <w:p w14:paraId="4C6049AE"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24F76BAF" w14:textId="77777777" w:rsidR="00AF5C7E" w:rsidRPr="000818BF" w:rsidRDefault="00AF5C7E" w:rsidP="00AF5C7E">
      <w:pPr>
        <w:tabs>
          <w:tab w:val="right" w:pos="6946"/>
        </w:tabs>
        <w:spacing w:before="240" w:after="240" w:line="360" w:lineRule="auto"/>
        <w:ind w:left="851" w:right="616"/>
        <w:jc w:val="both"/>
        <w:rPr>
          <w:rFonts w:ascii="Palatino Linotype" w:hAnsi="Palatino Linotype"/>
          <w:b/>
          <w:i/>
          <w:sz w:val="22"/>
          <w:szCs w:val="22"/>
        </w:rPr>
      </w:pPr>
      <w:r w:rsidRPr="000818BF">
        <w:rPr>
          <w:rFonts w:ascii="Palatino Linotype" w:hAnsi="Palatino Linotype"/>
          <w:b/>
          <w:i/>
          <w:sz w:val="22"/>
          <w:szCs w:val="22"/>
        </w:rPr>
        <w:lastRenderedPageBreak/>
        <w:t>Los sujetos obligados solo proporcionarán la información pública que generen, administren o posean en el ejercicio de sus atribuciones.”</w:t>
      </w:r>
    </w:p>
    <w:p w14:paraId="42EAD963" w14:textId="77777777" w:rsidR="00AF5C7E" w:rsidRDefault="00AF5C7E" w:rsidP="00AF5C7E">
      <w:pPr>
        <w:pStyle w:val="Prrafodelista"/>
        <w:numPr>
          <w:ilvl w:val="0"/>
          <w:numId w:val="1"/>
        </w:numPr>
        <w:tabs>
          <w:tab w:val="left" w:pos="0"/>
        </w:tabs>
        <w:spacing w:line="360" w:lineRule="auto"/>
        <w:ind w:right="49"/>
        <w:jc w:val="both"/>
        <w:rPr>
          <w:rFonts w:ascii="Palatino Linotype" w:hAnsi="Palatino Linotype" w:cs="Arial"/>
        </w:rPr>
      </w:pPr>
      <w:r w:rsidRPr="000818BF">
        <w:rPr>
          <w:rFonts w:ascii="Palatino Linotype" w:hAnsi="Palatino Linotype" w:cs="Arial"/>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6A28960" w14:textId="77777777" w:rsidR="00AF5C7E" w:rsidRDefault="00AF5C7E" w:rsidP="00AF5C7E">
      <w:pPr>
        <w:pStyle w:val="Prrafodelista"/>
        <w:tabs>
          <w:tab w:val="left" w:pos="0"/>
        </w:tabs>
        <w:spacing w:line="360" w:lineRule="auto"/>
        <w:ind w:left="0" w:right="49"/>
        <w:jc w:val="both"/>
        <w:rPr>
          <w:rFonts w:ascii="Palatino Linotype" w:hAnsi="Palatino Linotype" w:cs="Arial"/>
        </w:rPr>
      </w:pPr>
    </w:p>
    <w:p w14:paraId="647CFC9E" w14:textId="77777777" w:rsidR="00AF5C7E" w:rsidRPr="000A6EDE" w:rsidRDefault="00AF5C7E" w:rsidP="00AF5C7E">
      <w:pPr>
        <w:pStyle w:val="Prrafodelista"/>
        <w:numPr>
          <w:ilvl w:val="0"/>
          <w:numId w:val="1"/>
        </w:numPr>
        <w:tabs>
          <w:tab w:val="left" w:pos="0"/>
        </w:tabs>
        <w:spacing w:line="360" w:lineRule="auto"/>
        <w:ind w:right="49"/>
        <w:jc w:val="both"/>
        <w:rPr>
          <w:rFonts w:ascii="Palatino Linotype" w:hAnsi="Palatino Linotype" w:cs="Arial"/>
        </w:rPr>
      </w:pPr>
      <w:r w:rsidRPr="002D2EB6">
        <w:rPr>
          <w:rFonts w:ascii="Palatino Linotype" w:hAnsi="Palatino Linotype" w:cs="Arial"/>
        </w:rPr>
        <w:t>En conclusión, el derecho de acceso a la información pública, consiste en que la</w:t>
      </w:r>
      <w:r>
        <w:rPr>
          <w:rFonts w:ascii="Palatino Linotype" w:hAnsi="Palatino Linotype" w:cs="Arial"/>
          <w:color w:val="000000" w:themeColor="text1"/>
        </w:rPr>
        <w:t xml:space="preserve"> información solicitada conste en un documento en cualquiera de sus formas, a saber: </w:t>
      </w:r>
      <w:r>
        <w:rPr>
          <w:rFonts w:ascii="Palatino Linotype" w:hAnsi="Palatino Linotype" w:cs="Arial"/>
        </w:rPr>
        <w:t xml:space="preserve">expedientes, reportes, estudios, actas, resoluciones, oficios, correspondencia, acuerdos, directivas, directrices, circulares, </w:t>
      </w:r>
      <w:r w:rsidRPr="004D78C7">
        <w:rPr>
          <w:rFonts w:ascii="Palatino Linotype" w:hAnsi="Palatino Linotype" w:cs="Arial"/>
        </w:rPr>
        <w:t>contratos</w:t>
      </w:r>
      <w:r>
        <w:rPr>
          <w:rFonts w:ascii="Palatino Linotype" w:hAnsi="Palatino Linotype" w:cs="Arial"/>
        </w:rPr>
        <w:t>, convenios, instructivos, notas, memorandos, estadísticas o bien, cualquier otro registro que documente el ejercicio de las facultades, funciones y competencias de los Sujetos Obligados</w:t>
      </w:r>
      <w:r>
        <w:rPr>
          <w:rFonts w:ascii="Palatino Linotype" w:hAnsi="Palatino Linotype" w:cs="Arial"/>
          <w:color w:val="000000" w:themeColor="text1"/>
        </w:rPr>
        <w:t xml:space="preserve">; los que, </w:t>
      </w:r>
      <w:r>
        <w:rPr>
          <w:rFonts w:ascii="Palatino Linotype" w:hAnsi="Palatino Linotype" w:cs="Arial"/>
        </w:rPr>
        <w:t>podrán estar en cualquier medio, sea escrito, impreso, sonoro, visual, electrónico, informático u holográfico</w:t>
      </w:r>
      <w:r>
        <w:rPr>
          <w:rFonts w:ascii="Palatino Linotype" w:hAnsi="Palatino Linotype" w:cs="Arial"/>
          <w:color w:val="000000" w:themeColor="text1"/>
        </w:rPr>
        <w:t xml:space="preserve"> de conformidad a lo establecido en los ordenamientos legales citados con anterioridad. </w:t>
      </w:r>
    </w:p>
    <w:p w14:paraId="29F423F3" w14:textId="77777777" w:rsidR="00AF5C7E" w:rsidRPr="000A6EDE" w:rsidRDefault="00AF5C7E" w:rsidP="00AF5C7E">
      <w:pPr>
        <w:pStyle w:val="Prrafodelista"/>
        <w:rPr>
          <w:rFonts w:ascii="Palatino Linotype" w:hAnsi="Palatino Linotype" w:cs="Arial"/>
        </w:rPr>
      </w:pPr>
    </w:p>
    <w:p w14:paraId="1613DFFF" w14:textId="77777777" w:rsidR="00AF5C7E" w:rsidRDefault="00AF5C7E" w:rsidP="00AF5C7E">
      <w:pPr>
        <w:pStyle w:val="Prrafodelista"/>
        <w:numPr>
          <w:ilvl w:val="0"/>
          <w:numId w:val="1"/>
        </w:numPr>
        <w:tabs>
          <w:tab w:val="left" w:pos="0"/>
        </w:tabs>
        <w:spacing w:line="360" w:lineRule="auto"/>
        <w:ind w:right="49"/>
        <w:jc w:val="both"/>
        <w:rPr>
          <w:rFonts w:ascii="Palatino Linotype" w:hAnsi="Palatino Linotype" w:cs="Arial"/>
        </w:rPr>
      </w:pPr>
      <w:r w:rsidRPr="000A6EDE">
        <w:rPr>
          <w:rFonts w:ascii="Palatino Linotype" w:hAnsi="Palatino Linotype" w:cs="Arial"/>
        </w:rPr>
        <w:t xml:space="preserve">Por consiguiente, los preceptos legales transcritos establecen que </w:t>
      </w:r>
      <w:r w:rsidRPr="000A6EDE">
        <w:rPr>
          <w:rFonts w:ascii="Palatino Linotype" w:hAnsi="Palatino Linotype" w:cs="Arial"/>
          <w:b/>
          <w:u w:val="single"/>
        </w:rPr>
        <w:t>los Sujetos Obligados se encuentran constreñidos a entregar la información pública solicitada por los particulares</w:t>
      </w:r>
      <w:r w:rsidRPr="000A6EDE">
        <w:rPr>
          <w:rFonts w:ascii="Palatino Linotype" w:hAnsi="Palatino Linotype" w:cs="Arial"/>
        </w:rPr>
        <w:t xml:space="preserve"> y que ésta misma se encuentre en sus archivos o que obre en su posesión, </w:t>
      </w:r>
      <w:r w:rsidRPr="000A6EDE">
        <w:rPr>
          <w:rFonts w:ascii="Palatino Linotype" w:hAnsi="Palatino Linotype" w:cs="Arial"/>
          <w:b/>
          <w:u w:val="single"/>
        </w:rPr>
        <w:t>privilegiando en todo momento el principio de máxima publicidad,</w:t>
      </w:r>
      <w:r w:rsidRPr="000A6EDE">
        <w:rPr>
          <w:rFonts w:ascii="Palatino Linotype" w:hAnsi="Palatino Linotype" w:cs="Arial"/>
        </w:rPr>
        <w:t xml:space="preserve"> sin generarla, procesarla, resumirla, ni presentarla conforme al interés del solicitante. </w:t>
      </w:r>
    </w:p>
    <w:p w14:paraId="1384EE64" w14:textId="77777777" w:rsidR="00AF5C7E" w:rsidRPr="000A6EDE" w:rsidRDefault="00AF5C7E" w:rsidP="00AF5C7E">
      <w:pPr>
        <w:pStyle w:val="Prrafodelista"/>
        <w:rPr>
          <w:rFonts w:ascii="Palatino Linotype" w:hAnsi="Palatino Linotype" w:cs="Arial"/>
        </w:rPr>
      </w:pPr>
    </w:p>
    <w:p w14:paraId="66149B63" w14:textId="70856F38" w:rsidR="00AF5C7E" w:rsidRPr="009E35C9" w:rsidRDefault="00AF5C7E" w:rsidP="00AF5C7E">
      <w:pPr>
        <w:pStyle w:val="Prrafodelista"/>
        <w:numPr>
          <w:ilvl w:val="0"/>
          <w:numId w:val="1"/>
        </w:numPr>
        <w:tabs>
          <w:tab w:val="left" w:pos="0"/>
        </w:tabs>
        <w:spacing w:line="360" w:lineRule="auto"/>
        <w:ind w:right="49"/>
        <w:jc w:val="both"/>
        <w:rPr>
          <w:rFonts w:ascii="Palatino Linotype" w:hAnsi="Palatino Linotype"/>
        </w:rPr>
      </w:pPr>
      <w:r w:rsidRPr="004152EE">
        <w:rPr>
          <w:rFonts w:ascii="Palatino Linotype" w:hAnsi="Palatino Linotype"/>
        </w:rPr>
        <w:lastRenderedPageBreak/>
        <w:t>Aunado</w:t>
      </w:r>
      <w:r>
        <w:rPr>
          <w:rFonts w:ascii="Palatino Linotype" w:hAnsi="Palatino Linotype"/>
        </w:rPr>
        <w:t xml:space="preserve"> a lo anterior, es importante insistir, que la información motivo del presente estudio versa sobre cuestiones relacionadas con el </w:t>
      </w:r>
      <w:r w:rsidR="00893F73">
        <w:rPr>
          <w:rFonts w:ascii="Palatino Linotype" w:hAnsi="Palatino Linotype"/>
        </w:rPr>
        <w:t>ingreso de recursos públicos</w:t>
      </w:r>
      <w:r>
        <w:rPr>
          <w:rFonts w:ascii="Palatino Linotype" w:hAnsi="Palatino Linotype"/>
        </w:rPr>
        <w:t xml:space="preserve">, </w:t>
      </w:r>
      <w:r w:rsidR="00893F73">
        <w:rPr>
          <w:rFonts w:ascii="Palatino Linotype" w:hAnsi="Palatino Linotype"/>
        </w:rPr>
        <w:t>los</w:t>
      </w:r>
      <w:r>
        <w:rPr>
          <w:rFonts w:ascii="Palatino Linotype" w:hAnsi="Palatino Linotype"/>
        </w:rPr>
        <w:t xml:space="preserve"> cual</w:t>
      </w:r>
      <w:r w:rsidR="00893F73">
        <w:rPr>
          <w:rFonts w:ascii="Palatino Linotype" w:hAnsi="Palatino Linotype"/>
        </w:rPr>
        <w:t>es</w:t>
      </w:r>
      <w:r>
        <w:rPr>
          <w:rFonts w:ascii="Palatino Linotype" w:hAnsi="Palatino Linotype"/>
        </w:rPr>
        <w:t xml:space="preserve"> </w:t>
      </w:r>
      <w:r w:rsidR="00893F73">
        <w:rPr>
          <w:rFonts w:ascii="Palatino Linotype" w:hAnsi="Palatino Linotype"/>
        </w:rPr>
        <w:t>necesariamente requieren de una cuenta bancaria requeridas</w:t>
      </w:r>
      <w:r>
        <w:rPr>
          <w:rFonts w:ascii="Palatino Linotype" w:hAnsi="Palatino Linotype"/>
        </w:rPr>
        <w:t xml:space="preserve"> por el </w:t>
      </w:r>
      <w:r>
        <w:rPr>
          <w:rFonts w:ascii="Palatino Linotype" w:hAnsi="Palatino Linotype"/>
          <w:b/>
        </w:rPr>
        <w:t xml:space="preserve">RECURRENTE, </w:t>
      </w:r>
      <w:r>
        <w:rPr>
          <w:rFonts w:ascii="Palatino Linotype" w:hAnsi="Palatino Linotype"/>
        </w:rPr>
        <w:t xml:space="preserve">determinación que se robustece con el criterio orientador 11-17 </w:t>
      </w:r>
      <w:r>
        <w:rPr>
          <w:rFonts w:ascii="Palatino Linotype" w:hAnsi="Palatino Linotype" w:cs="Arial"/>
        </w:rPr>
        <w:t xml:space="preserve">del Instituto Nacional de Transparencia, Acceso a la Información y Protección de Datos Personales, donde establece que las cuentas bancarias como las clabes interbancarias de los Sujeto Obligados es información pública, ya que a través de las mismas se administran recursos públicos, criterio que a la letra dice: </w:t>
      </w:r>
    </w:p>
    <w:p w14:paraId="3F9A0A0B" w14:textId="77777777" w:rsidR="00AF5C7E" w:rsidRDefault="00AF5C7E" w:rsidP="00AF5C7E">
      <w:pPr>
        <w:pStyle w:val="Prrafodelista"/>
        <w:tabs>
          <w:tab w:val="left" w:pos="0"/>
        </w:tabs>
        <w:spacing w:line="360" w:lineRule="auto"/>
        <w:ind w:left="0" w:right="49"/>
        <w:jc w:val="both"/>
        <w:rPr>
          <w:rFonts w:ascii="Palatino Linotype" w:hAnsi="Palatino Linotype"/>
        </w:rPr>
      </w:pPr>
    </w:p>
    <w:p w14:paraId="1380231D" w14:textId="77777777" w:rsidR="00AF5C7E" w:rsidRDefault="00AF5C7E" w:rsidP="00AF5C7E">
      <w:pPr>
        <w:ind w:left="567" w:right="616"/>
        <w:contextualSpacing/>
        <w:jc w:val="both"/>
        <w:rPr>
          <w:rFonts w:ascii="Palatino Linotype" w:hAnsi="Palatino Linotype"/>
          <w:i/>
          <w:sz w:val="22"/>
          <w:szCs w:val="22"/>
        </w:rPr>
      </w:pPr>
      <w:r w:rsidRPr="009E35C9">
        <w:rPr>
          <w:rFonts w:ascii="Palatino Linotype" w:hAnsi="Palatino Linotype"/>
          <w:b/>
          <w:i/>
          <w:sz w:val="22"/>
          <w:szCs w:val="22"/>
        </w:rPr>
        <w:t>Cuentas bancarias y/o CLABE interbancaria de sujetos obligados que reciben y/o transfieren recursos públicos, son información pública</w:t>
      </w:r>
      <w:r w:rsidRPr="004E2D79">
        <w:rPr>
          <w:rFonts w:ascii="Palatino Linotype" w:hAnsi="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5CFBE37" w14:textId="77777777" w:rsidR="00AF5C7E" w:rsidRDefault="00AF5C7E" w:rsidP="00AF5C7E">
      <w:pPr>
        <w:ind w:left="567" w:right="616"/>
        <w:contextualSpacing/>
        <w:jc w:val="both"/>
        <w:rPr>
          <w:rFonts w:ascii="Palatino Linotype" w:hAnsi="Palatino Linotype"/>
          <w:i/>
          <w:sz w:val="22"/>
          <w:szCs w:val="22"/>
        </w:rPr>
      </w:pPr>
    </w:p>
    <w:p w14:paraId="7DC12409" w14:textId="77777777" w:rsidR="00AF5C7E" w:rsidRDefault="00AF5C7E" w:rsidP="00AF5C7E">
      <w:pPr>
        <w:ind w:left="567" w:right="616"/>
        <w:contextualSpacing/>
        <w:jc w:val="both"/>
        <w:rPr>
          <w:rFonts w:ascii="Palatino Linotype" w:hAnsi="Palatino Linotype"/>
          <w:i/>
          <w:sz w:val="22"/>
          <w:szCs w:val="22"/>
        </w:rPr>
      </w:pPr>
      <w:r w:rsidRPr="004E2D79">
        <w:rPr>
          <w:rFonts w:ascii="Palatino Linotype" w:hAnsi="Palatino Linotype"/>
          <w:i/>
          <w:sz w:val="22"/>
          <w:szCs w:val="22"/>
        </w:rPr>
        <w:t xml:space="preserve">Resoluciones: </w:t>
      </w:r>
      <w:r w:rsidRPr="004E2D79">
        <w:rPr>
          <w:rFonts w:ascii="Palatino Linotype" w:hAnsi="Palatino Linotype"/>
          <w:i/>
          <w:sz w:val="22"/>
          <w:szCs w:val="22"/>
        </w:rPr>
        <w:sym w:font="Symbol" w:char="F0B7"/>
      </w:r>
      <w:r w:rsidRPr="004E2D79">
        <w:rPr>
          <w:rFonts w:ascii="Palatino Linotype" w:hAnsi="Palatino Linotype"/>
          <w:i/>
          <w:sz w:val="22"/>
          <w:szCs w:val="22"/>
        </w:rPr>
        <w:t xml:space="preserve"> RRA 0448/16. NOTIMEX, Agencia de Noticias del Estado Mexicano. 24 de agosto de 2016. Por unanimidad. Comisionado Ponente Joel Salas Suárez. </w:t>
      </w:r>
      <w:r w:rsidRPr="004E2D79">
        <w:rPr>
          <w:rFonts w:ascii="Palatino Linotype" w:hAnsi="Palatino Linotype"/>
          <w:i/>
          <w:sz w:val="22"/>
          <w:szCs w:val="22"/>
        </w:rPr>
        <w:sym w:font="Symbol" w:char="F0B7"/>
      </w:r>
      <w:r w:rsidRPr="004E2D79">
        <w:rPr>
          <w:rFonts w:ascii="Palatino Linotype" w:hAnsi="Palatino Linotype"/>
          <w:i/>
          <w:sz w:val="22"/>
          <w:szCs w:val="22"/>
        </w:rPr>
        <w:t xml:space="preserve"> RRA 2787/16. Colegio de Postgraduados. 01 de noviembre de 2016. Por unanimidad. Comisionado Ponente Francisco Javier Acuña Llamas. </w:t>
      </w:r>
      <w:r w:rsidRPr="004E2D79">
        <w:rPr>
          <w:rFonts w:ascii="Palatino Linotype" w:hAnsi="Palatino Linotype"/>
          <w:i/>
          <w:sz w:val="22"/>
          <w:szCs w:val="22"/>
        </w:rPr>
        <w:sym w:font="Symbol" w:char="F0B7"/>
      </w:r>
      <w:r w:rsidRPr="004E2D79">
        <w:rPr>
          <w:rFonts w:ascii="Palatino Linotype" w:hAnsi="Palatino Linotype"/>
          <w:i/>
          <w:sz w:val="22"/>
          <w:szCs w:val="22"/>
        </w:rPr>
        <w:t xml:space="preserve"> RRA 4756/16. Instituto Mexicano del Seguro Social. 08 de febrero de 2017. Por unanimidad. Comisionado Ponente Oscar Mauricio Guerra Ford. Criterio 11/17</w:t>
      </w:r>
      <w:r>
        <w:rPr>
          <w:rFonts w:ascii="Palatino Linotype" w:hAnsi="Palatino Linotype"/>
          <w:i/>
          <w:sz w:val="22"/>
          <w:szCs w:val="22"/>
        </w:rPr>
        <w:t>.”(Sic)</w:t>
      </w:r>
    </w:p>
    <w:p w14:paraId="75906839" w14:textId="77777777" w:rsidR="00AF5C7E" w:rsidRDefault="00AF5C7E" w:rsidP="00AF5C7E">
      <w:pPr>
        <w:ind w:left="567" w:right="616"/>
        <w:contextualSpacing/>
        <w:jc w:val="both"/>
        <w:rPr>
          <w:rFonts w:ascii="Palatino Linotype" w:hAnsi="Palatino Linotype"/>
          <w:i/>
          <w:sz w:val="22"/>
          <w:szCs w:val="22"/>
        </w:rPr>
      </w:pPr>
    </w:p>
    <w:p w14:paraId="3FFB55C2" w14:textId="77777777" w:rsidR="00AF5C7E" w:rsidRDefault="00AF5C7E" w:rsidP="00AF5C7E">
      <w:pPr>
        <w:pStyle w:val="Prrafodelista"/>
        <w:tabs>
          <w:tab w:val="left" w:pos="0"/>
        </w:tabs>
        <w:spacing w:line="360" w:lineRule="auto"/>
        <w:ind w:left="0" w:right="49"/>
        <w:jc w:val="both"/>
        <w:rPr>
          <w:rFonts w:ascii="Palatino Linotype" w:hAnsi="Palatino Linotype"/>
        </w:rPr>
      </w:pPr>
    </w:p>
    <w:p w14:paraId="2815C17B" w14:textId="0FF9A2D4" w:rsidR="00AF5C7E" w:rsidRDefault="00AF5C7E" w:rsidP="00AF5C7E">
      <w:pPr>
        <w:pStyle w:val="Prrafodelista"/>
        <w:numPr>
          <w:ilvl w:val="0"/>
          <w:numId w:val="1"/>
        </w:numPr>
        <w:tabs>
          <w:tab w:val="left" w:pos="0"/>
        </w:tabs>
        <w:spacing w:line="360" w:lineRule="auto"/>
        <w:ind w:right="49"/>
        <w:jc w:val="both"/>
        <w:rPr>
          <w:rFonts w:ascii="Palatino Linotype" w:hAnsi="Palatino Linotype"/>
        </w:rPr>
      </w:pPr>
      <w:r w:rsidRPr="001F7348">
        <w:rPr>
          <w:rFonts w:ascii="Palatino Linotype" w:hAnsi="Palatino Linotype"/>
        </w:rPr>
        <w:t>Por tanto</w:t>
      </w:r>
      <w:r w:rsidR="00893F73">
        <w:rPr>
          <w:rFonts w:ascii="Palatino Linotype" w:hAnsi="Palatino Linotype"/>
        </w:rPr>
        <w:t>,</w:t>
      </w:r>
      <w:r w:rsidRPr="001F7348">
        <w:rPr>
          <w:rFonts w:ascii="Palatino Linotype" w:hAnsi="Palatino Linotype"/>
        </w:rPr>
        <w:t xml:space="preserve"> se concluye que la información requerida por el particular, además de ser generada, administrada y poseída en el ejercicio de las facultades, atribuciones y competencias del </w:t>
      </w:r>
      <w:r w:rsidRPr="001F7348">
        <w:rPr>
          <w:rFonts w:ascii="Palatino Linotype" w:hAnsi="Palatino Linotype"/>
          <w:b/>
        </w:rPr>
        <w:t xml:space="preserve">SUJETO OBLIGADO, </w:t>
      </w:r>
      <w:r w:rsidRPr="001F7348">
        <w:rPr>
          <w:rFonts w:ascii="Palatino Linotype" w:hAnsi="Palatino Linotype"/>
        </w:rPr>
        <w:t>se trata de documentales de naturaleza pública, razón por la que este Órgano Garante ordena entregar</w:t>
      </w:r>
      <w:r w:rsidR="00893F73">
        <w:rPr>
          <w:rFonts w:ascii="Palatino Linotype" w:hAnsi="Palatino Linotype"/>
        </w:rPr>
        <w:t xml:space="preserve"> los números de cuenta bancaria proporcionados en respuesta de manera íntegra.</w:t>
      </w:r>
    </w:p>
    <w:p w14:paraId="5D72DC72" w14:textId="77777777" w:rsidR="00893F73" w:rsidRDefault="00893F73" w:rsidP="00893F73">
      <w:pPr>
        <w:pStyle w:val="Prrafodelista"/>
        <w:tabs>
          <w:tab w:val="left" w:pos="0"/>
        </w:tabs>
        <w:spacing w:line="360" w:lineRule="auto"/>
        <w:ind w:left="0" w:right="49"/>
        <w:jc w:val="both"/>
        <w:rPr>
          <w:rFonts w:ascii="Palatino Linotype" w:hAnsi="Palatino Linotype"/>
        </w:rPr>
      </w:pPr>
    </w:p>
    <w:p w14:paraId="0EA7F81F" w14:textId="2DDA9393" w:rsidR="00893F73" w:rsidRPr="00893F73" w:rsidRDefault="00893F73" w:rsidP="00893F73">
      <w:pPr>
        <w:pStyle w:val="Prrafodelista"/>
        <w:numPr>
          <w:ilvl w:val="0"/>
          <w:numId w:val="1"/>
        </w:numPr>
        <w:tabs>
          <w:tab w:val="left" w:pos="0"/>
        </w:tabs>
        <w:spacing w:line="360" w:lineRule="auto"/>
        <w:ind w:right="49"/>
        <w:jc w:val="both"/>
        <w:rPr>
          <w:rFonts w:ascii="Palatino Linotype" w:hAnsi="Palatino Linotype"/>
        </w:rPr>
      </w:pPr>
      <w:r>
        <w:rPr>
          <w:rFonts w:ascii="Palatino Linotype" w:hAnsi="Palatino Linotype"/>
        </w:rPr>
        <w:lastRenderedPageBreak/>
        <w:t>Por último y no menos importante, no pasa desapercibido que el Sujeto Obligado para dar respuesta a la solicitud elaboró un recuadro con la información requerida. E</w:t>
      </w:r>
      <w:r w:rsidRPr="00893F73">
        <w:rPr>
          <w:rFonts w:ascii="Palatino Linotype" w:hAnsi="Palatino Linotype" w:cs="Arial"/>
          <w:bCs/>
        </w:rPr>
        <w:t>n atención a ello</w:t>
      </w:r>
      <w:r>
        <w:rPr>
          <w:rFonts w:ascii="Palatino Linotype" w:hAnsi="Palatino Linotype" w:cs="Arial"/>
          <w:bCs/>
        </w:rPr>
        <w:t>, es preciso mencionar que,</w:t>
      </w:r>
      <w:r w:rsidRPr="00893F73">
        <w:rPr>
          <w:rFonts w:ascii="Palatino Linotype" w:hAnsi="Palatino Linotype" w:cs="Arial"/>
          <w:bCs/>
        </w:rPr>
        <w:t xml:space="preserve"> los servidores públicos no están obligados a procesar la información, ni presentarla conforme al interés del solicitante, resumirla, efectuar cálculos o generar nuevos documentos para atender una solicitud.</w:t>
      </w:r>
    </w:p>
    <w:p w14:paraId="2DB16233" w14:textId="77777777" w:rsidR="00893F73" w:rsidRPr="00893F73" w:rsidRDefault="00893F73" w:rsidP="00893F73">
      <w:pPr>
        <w:pStyle w:val="Prrafodelista"/>
        <w:rPr>
          <w:rFonts w:ascii="Palatino Linotype" w:hAnsi="Palatino Linotype"/>
        </w:rPr>
      </w:pPr>
    </w:p>
    <w:p w14:paraId="112C2111" w14:textId="77777777" w:rsidR="00893F73" w:rsidRPr="00893F73" w:rsidRDefault="00893F73" w:rsidP="00893F73">
      <w:pPr>
        <w:pStyle w:val="Prrafodelista"/>
        <w:numPr>
          <w:ilvl w:val="0"/>
          <w:numId w:val="1"/>
        </w:numPr>
        <w:tabs>
          <w:tab w:val="left" w:pos="0"/>
        </w:tabs>
        <w:spacing w:line="360" w:lineRule="auto"/>
        <w:ind w:right="49"/>
        <w:jc w:val="both"/>
        <w:rPr>
          <w:rFonts w:ascii="Palatino Linotype" w:hAnsi="Palatino Linotype"/>
        </w:rPr>
      </w:pPr>
      <w:r w:rsidRPr="00893F73">
        <w:rPr>
          <w:rFonts w:ascii="Palatino Linotype" w:hAnsi="Palatino Linotype" w:cs="Arial"/>
        </w:rPr>
        <w:t xml:space="preserve">Robustece lo anteriormente expuesto el Criterio 09-10, emitido por </w:t>
      </w:r>
      <w:r w:rsidRPr="00893F73">
        <w:rPr>
          <w:rFonts w:ascii="Palatino Linotype" w:eastAsia="Arial Unicode MS" w:hAnsi="Palatino Linotype" w:cs="Arial"/>
        </w:rPr>
        <w:t xml:space="preserve">el Pleno del entonces </w:t>
      </w:r>
      <w:r w:rsidRPr="00893F73">
        <w:rPr>
          <w:rFonts w:ascii="Palatino Linotype" w:eastAsia="Arial Unicode MS" w:hAnsi="Palatino Linotype" w:cs="Arial"/>
          <w:bCs/>
        </w:rPr>
        <w:t xml:space="preserve">Instituto Federal de Acceso a la Información y Protección de Datos, </w:t>
      </w:r>
      <w:r w:rsidRPr="00893F73">
        <w:rPr>
          <w:rFonts w:ascii="Palatino Linotype" w:eastAsia="Arial Unicode MS" w:hAnsi="Palatino Linotype" w:cs="Arial"/>
        </w:rPr>
        <w:t>ahora Instituto Nacional de Transparencia, Acceso a la Información y Protección de Datos Personales,</w:t>
      </w:r>
      <w:r w:rsidRPr="00893F73">
        <w:rPr>
          <w:rFonts w:ascii="Palatino Linotype" w:hAnsi="Palatino Linotype"/>
          <w:bCs/>
        </w:rPr>
        <w:t xml:space="preserve"> que dice:</w:t>
      </w:r>
      <w:r w:rsidRPr="00893F73">
        <w:rPr>
          <w:rFonts w:ascii="Palatino Linotype" w:hAnsi="Palatino Linotype"/>
          <w:b/>
          <w:bCs/>
        </w:rPr>
        <w:t xml:space="preserve"> </w:t>
      </w:r>
    </w:p>
    <w:p w14:paraId="50253C24" w14:textId="77777777" w:rsidR="00893F73" w:rsidRPr="00893F73" w:rsidRDefault="00893F73" w:rsidP="00893F73">
      <w:pPr>
        <w:pStyle w:val="Prrafodelista"/>
        <w:rPr>
          <w:rFonts w:ascii="Palatino Linotype" w:hAnsi="Palatino Linotype"/>
        </w:rPr>
      </w:pPr>
    </w:p>
    <w:p w14:paraId="64FD3BFA" w14:textId="77777777" w:rsidR="00893F73" w:rsidRPr="0024104E" w:rsidRDefault="00893F73" w:rsidP="00893F73">
      <w:pPr>
        <w:spacing w:line="360" w:lineRule="auto"/>
        <w:ind w:left="567" w:right="616"/>
        <w:jc w:val="both"/>
        <w:rPr>
          <w:rFonts w:ascii="Palatino Linotype" w:hAnsi="Palatino Linotype" w:cs="Arial"/>
          <w:i/>
          <w:sz w:val="22"/>
          <w:szCs w:val="22"/>
        </w:rPr>
      </w:pPr>
      <w:r w:rsidRPr="008A7478">
        <w:rPr>
          <w:rFonts w:ascii="Palatino Linotype" w:hAnsi="Palatino Linotype" w:cs="Arial"/>
          <w:b/>
          <w:i/>
          <w:sz w:val="22"/>
          <w:szCs w:val="22"/>
        </w:rPr>
        <w:t>Las dependencias y entidades no están obligadas a generar documentos ad hoc para responder una solicitud de acceso a la información.</w:t>
      </w:r>
      <w:r w:rsidRPr="0024104E">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1F2C581" w14:textId="77777777" w:rsidR="00893F73" w:rsidRPr="0024104E" w:rsidRDefault="00893F73" w:rsidP="00893F73">
      <w:pPr>
        <w:spacing w:line="360" w:lineRule="auto"/>
        <w:ind w:left="567" w:right="616"/>
        <w:jc w:val="both"/>
        <w:rPr>
          <w:rFonts w:ascii="Palatino Linotype" w:hAnsi="Palatino Linotype" w:cs="Arial"/>
          <w:i/>
          <w:sz w:val="22"/>
          <w:szCs w:val="22"/>
        </w:rPr>
      </w:pPr>
      <w:r w:rsidRPr="0024104E">
        <w:rPr>
          <w:rFonts w:ascii="Palatino Linotype" w:hAnsi="Palatino Linotype" w:cs="Arial"/>
          <w:i/>
          <w:sz w:val="22"/>
          <w:szCs w:val="22"/>
        </w:rPr>
        <w:t>Expedientes:</w:t>
      </w:r>
    </w:p>
    <w:p w14:paraId="398FBDFB" w14:textId="77777777" w:rsidR="00893F73" w:rsidRPr="0024104E" w:rsidRDefault="00893F73" w:rsidP="00893F73">
      <w:pPr>
        <w:spacing w:line="360" w:lineRule="auto"/>
        <w:ind w:left="567" w:right="616"/>
        <w:jc w:val="both"/>
        <w:rPr>
          <w:rFonts w:ascii="Palatino Linotype" w:hAnsi="Palatino Linotype" w:cs="Arial"/>
          <w:i/>
          <w:sz w:val="22"/>
          <w:szCs w:val="22"/>
        </w:rPr>
      </w:pPr>
      <w:r w:rsidRPr="0024104E">
        <w:rPr>
          <w:rFonts w:ascii="Palatino Linotype" w:hAnsi="Palatino Linotype" w:cs="Arial"/>
          <w:i/>
          <w:sz w:val="22"/>
          <w:szCs w:val="22"/>
        </w:rPr>
        <w:t>0438/08 Pemex Exploración y Producción – Alonso Lujambio Irazábal</w:t>
      </w:r>
    </w:p>
    <w:p w14:paraId="5A781109" w14:textId="77777777" w:rsidR="00893F73" w:rsidRPr="0024104E" w:rsidRDefault="00893F73" w:rsidP="00893F73">
      <w:pPr>
        <w:spacing w:line="360" w:lineRule="auto"/>
        <w:ind w:left="567" w:right="616"/>
        <w:jc w:val="both"/>
        <w:rPr>
          <w:rFonts w:ascii="Palatino Linotype" w:hAnsi="Palatino Linotype" w:cs="Arial"/>
          <w:i/>
          <w:sz w:val="22"/>
          <w:szCs w:val="22"/>
        </w:rPr>
      </w:pPr>
      <w:r w:rsidRPr="0024104E">
        <w:rPr>
          <w:rFonts w:ascii="Palatino Linotype" w:hAnsi="Palatino Linotype" w:cs="Arial"/>
          <w:i/>
          <w:sz w:val="22"/>
          <w:szCs w:val="22"/>
        </w:rPr>
        <w:t>1751/09 Laboratorios de Biológicos y Reactivos de México S.A. de C.V. –</w:t>
      </w:r>
    </w:p>
    <w:p w14:paraId="4B3271B7" w14:textId="77777777" w:rsidR="00893F73" w:rsidRPr="0024104E" w:rsidRDefault="00893F73" w:rsidP="00893F73">
      <w:pPr>
        <w:spacing w:line="360" w:lineRule="auto"/>
        <w:ind w:left="567" w:right="616"/>
        <w:jc w:val="both"/>
        <w:rPr>
          <w:rFonts w:ascii="Palatino Linotype" w:hAnsi="Palatino Linotype" w:cs="Arial"/>
          <w:i/>
          <w:sz w:val="22"/>
          <w:szCs w:val="22"/>
        </w:rPr>
      </w:pPr>
      <w:r w:rsidRPr="0024104E">
        <w:rPr>
          <w:rFonts w:ascii="Palatino Linotype" w:hAnsi="Palatino Linotype" w:cs="Arial"/>
          <w:i/>
          <w:sz w:val="22"/>
          <w:szCs w:val="22"/>
        </w:rPr>
        <w:t>María Marván Laborde</w:t>
      </w:r>
    </w:p>
    <w:p w14:paraId="69416573" w14:textId="77777777" w:rsidR="00893F73" w:rsidRPr="0024104E" w:rsidRDefault="00893F73" w:rsidP="00893F73">
      <w:pPr>
        <w:spacing w:line="360" w:lineRule="auto"/>
        <w:ind w:left="567" w:right="616"/>
        <w:jc w:val="both"/>
        <w:rPr>
          <w:rFonts w:ascii="Palatino Linotype" w:hAnsi="Palatino Linotype" w:cs="Arial"/>
          <w:i/>
          <w:sz w:val="22"/>
          <w:szCs w:val="22"/>
        </w:rPr>
      </w:pPr>
      <w:r w:rsidRPr="0024104E">
        <w:rPr>
          <w:rFonts w:ascii="Palatino Linotype" w:hAnsi="Palatino Linotype" w:cs="Arial"/>
          <w:i/>
          <w:sz w:val="22"/>
          <w:szCs w:val="22"/>
        </w:rPr>
        <w:t>2868/09 Consejo Nacional de Ciencia y Tecnología – Jacqueline Peschard</w:t>
      </w:r>
    </w:p>
    <w:p w14:paraId="0CDDE32B" w14:textId="77777777" w:rsidR="00893F73" w:rsidRPr="0024104E" w:rsidRDefault="00893F73" w:rsidP="00893F73">
      <w:pPr>
        <w:spacing w:line="360" w:lineRule="auto"/>
        <w:ind w:left="567" w:right="616"/>
        <w:jc w:val="both"/>
        <w:rPr>
          <w:rFonts w:ascii="Palatino Linotype" w:hAnsi="Palatino Linotype" w:cs="Arial"/>
          <w:i/>
          <w:sz w:val="22"/>
          <w:szCs w:val="22"/>
        </w:rPr>
      </w:pPr>
      <w:r w:rsidRPr="0024104E">
        <w:rPr>
          <w:rFonts w:ascii="Palatino Linotype" w:hAnsi="Palatino Linotype" w:cs="Arial"/>
          <w:i/>
          <w:sz w:val="22"/>
          <w:szCs w:val="22"/>
        </w:rPr>
        <w:lastRenderedPageBreak/>
        <w:t>Mariscal</w:t>
      </w:r>
    </w:p>
    <w:p w14:paraId="37609BCC" w14:textId="77777777" w:rsidR="00893F73" w:rsidRPr="0024104E" w:rsidRDefault="00893F73" w:rsidP="00893F73">
      <w:pPr>
        <w:spacing w:line="360" w:lineRule="auto"/>
        <w:ind w:left="567" w:right="616"/>
        <w:jc w:val="both"/>
        <w:rPr>
          <w:rFonts w:ascii="Palatino Linotype" w:hAnsi="Palatino Linotype" w:cs="Arial"/>
          <w:i/>
          <w:sz w:val="22"/>
          <w:szCs w:val="22"/>
        </w:rPr>
      </w:pPr>
      <w:r w:rsidRPr="0024104E">
        <w:rPr>
          <w:rFonts w:ascii="Palatino Linotype" w:hAnsi="Palatino Linotype" w:cs="Arial"/>
          <w:i/>
          <w:sz w:val="22"/>
          <w:szCs w:val="22"/>
        </w:rPr>
        <w:t>5160/09 Secretaría de Hacienda y Crédito Público – Ángel Trinidad Zaldívar</w:t>
      </w:r>
    </w:p>
    <w:p w14:paraId="1045BD46" w14:textId="77777777" w:rsidR="00893F73" w:rsidRPr="0024104E" w:rsidRDefault="00893F73" w:rsidP="00893F73">
      <w:pPr>
        <w:spacing w:line="360" w:lineRule="auto"/>
        <w:ind w:left="567" w:right="616"/>
        <w:jc w:val="both"/>
        <w:rPr>
          <w:rFonts w:ascii="Palatino Linotype" w:hAnsi="Palatino Linotype" w:cs="Arial"/>
          <w:i/>
          <w:sz w:val="22"/>
          <w:szCs w:val="22"/>
        </w:rPr>
      </w:pPr>
      <w:r w:rsidRPr="0024104E">
        <w:rPr>
          <w:rFonts w:ascii="Palatino Linotype" w:hAnsi="Palatino Linotype" w:cs="Arial"/>
          <w:i/>
          <w:sz w:val="22"/>
          <w:szCs w:val="22"/>
        </w:rPr>
        <w:t>0304/10 Instituto Nacional de Cancerología – Jacqueline Peschard Mariscal</w:t>
      </w:r>
    </w:p>
    <w:p w14:paraId="5E7AE9F0" w14:textId="77777777" w:rsidR="00893F73" w:rsidRDefault="00893F73" w:rsidP="00893F73">
      <w:pPr>
        <w:pStyle w:val="Prrafodelista"/>
        <w:spacing w:line="360" w:lineRule="auto"/>
        <w:ind w:left="0"/>
        <w:jc w:val="both"/>
        <w:rPr>
          <w:rFonts w:ascii="Palatino Linotype" w:hAnsi="Palatino Linotype" w:cs="Arial"/>
          <w:bCs/>
        </w:rPr>
      </w:pPr>
    </w:p>
    <w:p w14:paraId="2C6D8F47" w14:textId="7B7E2F67" w:rsidR="00893F73" w:rsidRPr="00A65933" w:rsidRDefault="00893F73" w:rsidP="00EC0ED2">
      <w:pPr>
        <w:pStyle w:val="Prrafodelista"/>
        <w:numPr>
          <w:ilvl w:val="0"/>
          <w:numId w:val="1"/>
        </w:numPr>
        <w:spacing w:line="360" w:lineRule="auto"/>
        <w:jc w:val="both"/>
        <w:rPr>
          <w:rFonts w:ascii="Palatino Linotype" w:hAnsi="Palatino Linotype" w:cs="Arial"/>
          <w:bCs/>
        </w:rPr>
      </w:pPr>
      <w:r>
        <w:rPr>
          <w:rFonts w:ascii="Palatino Linotype" w:hAnsi="Palatino Linotype" w:cs="Arial"/>
          <w:bCs/>
        </w:rPr>
        <w:t>De igual manera el</w:t>
      </w:r>
      <w:r w:rsidRPr="00A65933">
        <w:rPr>
          <w:rFonts w:ascii="Palatino Linotype" w:hAnsi="Palatino Linotype" w:cs="Arial"/>
          <w:bCs/>
        </w:rPr>
        <w:t xml:space="preserve"> artículo 12 de la </w:t>
      </w:r>
      <w:r w:rsidRPr="008F61D8">
        <w:rPr>
          <w:rFonts w:ascii="Palatino Linotype" w:hAnsi="Palatino Linotype"/>
          <w:b/>
        </w:rPr>
        <w:t>Ley de Transparencia y Acceso a la Información Pública del Estado de México y Municipios</w:t>
      </w:r>
      <w:r w:rsidRPr="00A65933">
        <w:rPr>
          <w:rFonts w:ascii="Palatino Linotype" w:hAnsi="Palatino Linotype" w:cs="Arial"/>
          <w:bCs/>
        </w:rPr>
        <w:t xml:space="preserve"> señala</w:t>
      </w:r>
      <w:r>
        <w:rPr>
          <w:rFonts w:ascii="Palatino Linotype" w:hAnsi="Palatino Linotype" w:cs="Arial"/>
          <w:bCs/>
        </w:rPr>
        <w:t xml:space="preserve"> que l</w:t>
      </w:r>
      <w:r w:rsidRPr="003D6E56">
        <w:rPr>
          <w:rFonts w:ascii="Palatino Linotype" w:hAnsi="Palatino Linotype" w:cs="Arial"/>
          <w:bCs/>
        </w:rPr>
        <w:t xml:space="preserve">a obligación de proporcionar información </w:t>
      </w:r>
      <w:r w:rsidRPr="003D6E56">
        <w:rPr>
          <w:rFonts w:ascii="Palatino Linotype" w:hAnsi="Palatino Linotype" w:cs="Arial"/>
          <w:b/>
          <w:bCs/>
        </w:rPr>
        <w:t>no comprende</w:t>
      </w:r>
      <w:r w:rsidRPr="003D6E56">
        <w:rPr>
          <w:rFonts w:ascii="Palatino Linotype" w:hAnsi="Palatino Linotype" w:cs="Arial"/>
          <w:bCs/>
        </w:rPr>
        <w:t xml:space="preserve"> el procesamiento de la misma</w:t>
      </w:r>
      <w:r w:rsidRPr="00A65933">
        <w:rPr>
          <w:rFonts w:ascii="Palatino Linotype" w:hAnsi="Palatino Linotype" w:cs="Arial"/>
          <w:bCs/>
        </w:rPr>
        <w:t>:</w:t>
      </w:r>
    </w:p>
    <w:p w14:paraId="64D3C885" w14:textId="77777777" w:rsidR="00893F73" w:rsidRPr="00A65933" w:rsidRDefault="00893F73" w:rsidP="00893F73">
      <w:pPr>
        <w:pStyle w:val="Prrafodelista"/>
        <w:spacing w:line="360" w:lineRule="auto"/>
        <w:ind w:left="567" w:right="567"/>
        <w:jc w:val="both"/>
        <w:rPr>
          <w:rFonts w:ascii="Palatino Linotype" w:hAnsi="Palatino Linotype" w:cs="Arial"/>
          <w:bCs/>
          <w:i/>
          <w:sz w:val="22"/>
          <w:szCs w:val="22"/>
        </w:rPr>
      </w:pPr>
      <w:r w:rsidRPr="00A65933">
        <w:rPr>
          <w:rFonts w:ascii="Palatino Linotype" w:hAnsi="Palatino Linotype" w:cs="Arial"/>
          <w:b/>
          <w:bCs/>
          <w:i/>
          <w:sz w:val="22"/>
          <w:szCs w:val="22"/>
        </w:rPr>
        <w:t xml:space="preserve">Artículo 12. </w:t>
      </w:r>
      <w:r w:rsidRPr="00A65933">
        <w:rPr>
          <w:rFonts w:ascii="Palatino Linotype" w:hAnsi="Palatino Linotype" w:cs="Arial"/>
          <w:bCs/>
          <w:i/>
          <w:sz w:val="22"/>
          <w:szCs w:val="22"/>
        </w:rPr>
        <w:t>Quienes generen, recopilen, administren, manejen, procesen, archiven o conserven información pública serán responsables de la misma en los términos de las disposiciones jurídicas aplicables.</w:t>
      </w:r>
    </w:p>
    <w:p w14:paraId="2BC09613" w14:textId="77777777" w:rsidR="00893F73" w:rsidRPr="00A65933" w:rsidRDefault="00893F73" w:rsidP="00893F73">
      <w:pPr>
        <w:pStyle w:val="Prrafodelista"/>
        <w:spacing w:line="360" w:lineRule="auto"/>
        <w:ind w:left="567" w:right="567"/>
        <w:jc w:val="both"/>
        <w:rPr>
          <w:rFonts w:ascii="Palatino Linotype" w:hAnsi="Palatino Linotype" w:cs="Arial"/>
          <w:bCs/>
          <w:i/>
          <w:sz w:val="22"/>
          <w:szCs w:val="22"/>
        </w:rPr>
      </w:pPr>
    </w:p>
    <w:p w14:paraId="164A15C5" w14:textId="77777777" w:rsidR="00893F73" w:rsidRDefault="00893F73" w:rsidP="00893F73">
      <w:pPr>
        <w:pStyle w:val="Prrafodelista"/>
        <w:spacing w:line="360" w:lineRule="auto"/>
        <w:ind w:left="567" w:right="567"/>
        <w:jc w:val="both"/>
        <w:rPr>
          <w:rFonts w:ascii="Palatino Linotype" w:hAnsi="Palatino Linotype" w:cs="Arial"/>
          <w:bCs/>
          <w:i/>
          <w:sz w:val="22"/>
          <w:szCs w:val="22"/>
        </w:rPr>
      </w:pPr>
      <w:r w:rsidRPr="00A65933">
        <w:rPr>
          <w:rFonts w:ascii="Palatino Linotype" w:hAnsi="Palatino Linotype" w:cs="Arial"/>
          <w:bCs/>
          <w:i/>
          <w:sz w:val="22"/>
          <w:szCs w:val="22"/>
        </w:rPr>
        <w:t xml:space="preserve">Los sujetos obligados </w:t>
      </w:r>
      <w:r w:rsidRPr="00A65933">
        <w:rPr>
          <w:rFonts w:ascii="Palatino Linotype" w:hAnsi="Palatino Linotype" w:cs="Arial"/>
          <w:b/>
          <w:bCs/>
          <w:i/>
          <w:sz w:val="22"/>
          <w:szCs w:val="22"/>
        </w:rPr>
        <w:t>sólo proporcionarán la información pública que se les requiera y que obre en sus archivos</w:t>
      </w:r>
      <w:r w:rsidRPr="00A65933">
        <w:rPr>
          <w:rFonts w:ascii="Palatino Linotype" w:hAnsi="Palatino Linotype" w:cs="Arial"/>
          <w:bCs/>
          <w:i/>
          <w:sz w:val="22"/>
          <w:szCs w:val="22"/>
        </w:rPr>
        <w:t xml:space="preserve"> </w:t>
      </w:r>
      <w:r w:rsidRPr="00A65933">
        <w:rPr>
          <w:rFonts w:ascii="Palatino Linotype" w:hAnsi="Palatino Linotype" w:cs="Arial"/>
          <w:b/>
          <w:bCs/>
          <w:i/>
          <w:sz w:val="22"/>
          <w:szCs w:val="22"/>
        </w:rPr>
        <w:t xml:space="preserve">y en el </w:t>
      </w:r>
      <w:r w:rsidRPr="00A65933">
        <w:rPr>
          <w:rFonts w:ascii="Palatino Linotype" w:hAnsi="Palatino Linotype" w:cs="Arial"/>
          <w:b/>
          <w:bCs/>
          <w:i/>
          <w:sz w:val="22"/>
          <w:szCs w:val="22"/>
          <w:u w:val="single"/>
        </w:rPr>
        <w:t>estado en que ésta se encuentre.</w:t>
      </w:r>
      <w:r w:rsidRPr="00A65933">
        <w:rPr>
          <w:rFonts w:ascii="Palatino Linotype" w:hAnsi="Palatino Linotype" w:cs="Arial"/>
          <w:bCs/>
          <w:i/>
          <w:sz w:val="22"/>
          <w:szCs w:val="22"/>
        </w:rPr>
        <w:t xml:space="preserve"> La obligación de proporcionar información </w:t>
      </w:r>
      <w:r w:rsidRPr="00A65933">
        <w:rPr>
          <w:rFonts w:ascii="Palatino Linotype" w:hAnsi="Palatino Linotype" w:cs="Arial"/>
          <w:b/>
          <w:bCs/>
          <w:i/>
          <w:sz w:val="22"/>
          <w:szCs w:val="22"/>
        </w:rPr>
        <w:t>no comprende</w:t>
      </w:r>
      <w:r w:rsidRPr="00A65933">
        <w:rPr>
          <w:rFonts w:ascii="Palatino Linotype" w:hAnsi="Palatino Linotype" w:cs="Arial"/>
          <w:bCs/>
          <w:i/>
          <w:sz w:val="22"/>
          <w:szCs w:val="22"/>
        </w:rPr>
        <w:t xml:space="preserve"> el procesamiento de la misma, ni el presentarla conforme al interés del solicitante; no estarán obligados a generarla, resumirla, efectuar cálculos o práctica investigaciones.</w:t>
      </w:r>
    </w:p>
    <w:p w14:paraId="0AFBE2D7" w14:textId="77777777" w:rsidR="00EC0ED2" w:rsidRPr="00A65933" w:rsidRDefault="00EC0ED2" w:rsidP="00893F73">
      <w:pPr>
        <w:pStyle w:val="Prrafodelista"/>
        <w:spacing w:line="360" w:lineRule="auto"/>
        <w:ind w:left="567" w:right="567"/>
        <w:jc w:val="both"/>
        <w:rPr>
          <w:rFonts w:ascii="Palatino Linotype" w:hAnsi="Palatino Linotype" w:cs="Arial"/>
          <w:bCs/>
          <w:i/>
          <w:sz w:val="22"/>
          <w:szCs w:val="22"/>
        </w:rPr>
      </w:pPr>
    </w:p>
    <w:p w14:paraId="1CCE2F6B" w14:textId="77777777" w:rsidR="00893F73" w:rsidRPr="00EC0ED2" w:rsidRDefault="00893F73" w:rsidP="00EC0ED2">
      <w:pPr>
        <w:pStyle w:val="Prrafodelista"/>
        <w:numPr>
          <w:ilvl w:val="0"/>
          <w:numId w:val="1"/>
        </w:numPr>
        <w:spacing w:before="240" w:after="360" w:line="360" w:lineRule="auto"/>
        <w:jc w:val="both"/>
        <w:rPr>
          <w:rFonts w:ascii="Palatino Linotype" w:eastAsia="Times New Roman" w:hAnsi="Palatino Linotype" w:cs="Times New Roman"/>
          <w:lang w:eastAsia="es-MX"/>
        </w:rPr>
      </w:pPr>
      <w:r w:rsidRPr="00750F53">
        <w:rPr>
          <w:rFonts w:ascii="Palatino Linotype" w:eastAsia="Times New Roman" w:hAnsi="Palatino Linotype" w:cs="Times New Roman"/>
          <w:lang w:eastAsia="es-MX"/>
        </w:rPr>
        <w:t xml:space="preserve">Atendiendo a ello </w:t>
      </w:r>
      <w:r w:rsidRPr="00750F53">
        <w:rPr>
          <w:rFonts w:ascii="Palatino Linotype" w:eastAsia="MS Mincho" w:hAnsi="Palatino Linotype" w:cs="Arial"/>
        </w:rPr>
        <w:t>sistemáticamente hemos señalado, y así lo entienden tanto otros Órganos Garantes</w:t>
      </w:r>
      <w:r w:rsidRPr="00750F53">
        <w:rPr>
          <w:rStyle w:val="Refdenotaalpie"/>
          <w:rFonts w:ascii="Palatino Linotype" w:eastAsia="MS Mincho" w:hAnsi="Palatino Linotype" w:cs="Arial"/>
        </w:rPr>
        <w:footnoteReference w:id="6"/>
      </w:r>
      <w:r w:rsidRPr="00750F53">
        <w:rPr>
          <w:rFonts w:ascii="Palatino Linotype" w:eastAsia="MS Mincho" w:hAnsi="Palatino Linotype" w:cs="Arial"/>
        </w:rPr>
        <w:t>Como Órganos Internacionales Especializados,</w:t>
      </w:r>
      <w:r w:rsidRPr="00750F53">
        <w:rPr>
          <w:rStyle w:val="Refdenotaalpie"/>
          <w:rFonts w:ascii="Palatino Linotype" w:eastAsia="MS Mincho" w:hAnsi="Palatino Linotype" w:cs="Arial"/>
        </w:rPr>
        <w:footnoteReference w:id="7"/>
      </w:r>
      <w:r w:rsidRPr="00750F53">
        <w:rPr>
          <w:rFonts w:ascii="Palatino Linotype" w:eastAsia="MS Mincho" w:hAnsi="Palatino Linotype" w:cs="Arial"/>
        </w:rPr>
        <w:t xml:space="preserve"> que el </w:t>
      </w:r>
      <w:r w:rsidRPr="00750F53">
        <w:rPr>
          <w:rFonts w:ascii="Palatino Linotype" w:eastAsia="MS Mincho" w:hAnsi="Palatino Linotype" w:cs="Arial"/>
        </w:rPr>
        <w:lastRenderedPageBreak/>
        <w:t xml:space="preserve">derecho de acceso a la información pública consiste en el </w:t>
      </w:r>
      <w:r w:rsidRPr="00750F53">
        <w:rPr>
          <w:rFonts w:ascii="Palatino Linotype" w:eastAsia="MS Mincho" w:hAnsi="Palatino Linotype" w:cs="Arial"/>
          <w:b/>
          <w:u w:val="single"/>
        </w:rPr>
        <w:t>acceso a documentos</w:t>
      </w:r>
      <w:r w:rsidRPr="00750F53">
        <w:rPr>
          <w:rFonts w:ascii="Palatino Linotype" w:eastAsia="MS Mincho" w:hAnsi="Palatino Linotype" w:cs="Arial"/>
        </w:rPr>
        <w:t xml:space="preserve"> generados, poseídos o administrados </w:t>
      </w:r>
      <w:r w:rsidRPr="003C5C18">
        <w:rPr>
          <w:rFonts w:ascii="Palatino Linotype" w:eastAsia="MS Mincho" w:hAnsi="Palatino Linotype" w:cs="Arial"/>
          <w:b/>
          <w:u w:val="single"/>
        </w:rPr>
        <w:t>por la autoridad</w:t>
      </w:r>
      <w:r w:rsidRPr="00750F53">
        <w:rPr>
          <w:rFonts w:ascii="Palatino Linotype" w:eastAsia="MS Mincho" w:hAnsi="Palatino Linotype" w:cs="Arial"/>
        </w:rPr>
        <w:t xml:space="preserve"> </w:t>
      </w:r>
      <w:r w:rsidRPr="003C5C18">
        <w:rPr>
          <w:rFonts w:ascii="Palatino Linotype" w:eastAsia="MS Mincho" w:hAnsi="Palatino Linotype" w:cs="Arial"/>
        </w:rPr>
        <w:t>con antelación a que fuera presentada la solicitud de acceso a la información pública.</w:t>
      </w:r>
    </w:p>
    <w:p w14:paraId="525DD5C6" w14:textId="77777777" w:rsidR="00EC0ED2" w:rsidRPr="00EC0ED2" w:rsidRDefault="00EC0ED2" w:rsidP="00EC0ED2">
      <w:pPr>
        <w:pStyle w:val="Prrafodelista"/>
        <w:spacing w:before="240" w:after="360" w:line="360" w:lineRule="auto"/>
        <w:ind w:left="0"/>
        <w:jc w:val="both"/>
        <w:rPr>
          <w:rFonts w:ascii="Palatino Linotype" w:eastAsia="Times New Roman" w:hAnsi="Palatino Linotype" w:cs="Times New Roman"/>
          <w:lang w:eastAsia="es-MX"/>
        </w:rPr>
      </w:pPr>
    </w:p>
    <w:p w14:paraId="32ED847F" w14:textId="08BDAAC2" w:rsidR="00EC0ED2" w:rsidRPr="00EC0ED2" w:rsidRDefault="00EC0ED2" w:rsidP="00EC0ED2">
      <w:pPr>
        <w:pStyle w:val="Prrafodelista"/>
        <w:numPr>
          <w:ilvl w:val="0"/>
          <w:numId w:val="1"/>
        </w:numPr>
        <w:spacing w:before="240" w:after="360" w:line="360" w:lineRule="auto"/>
        <w:jc w:val="both"/>
        <w:rPr>
          <w:rFonts w:ascii="Palatino Linotype" w:eastAsia="Times New Roman" w:hAnsi="Palatino Linotype" w:cs="Times New Roman"/>
          <w:lang w:eastAsia="es-MX"/>
        </w:rPr>
      </w:pPr>
      <w:r>
        <w:rPr>
          <w:rFonts w:ascii="Palatino Linotype" w:eastAsia="MS Mincho" w:hAnsi="Palatino Linotype" w:cs="Arial"/>
        </w:rPr>
        <w:t xml:space="preserve">En conclusión, se </w:t>
      </w:r>
      <w:r w:rsidRPr="00EC0ED2">
        <w:rPr>
          <w:rFonts w:ascii="Palatino Linotype" w:eastAsia="MS Mincho" w:hAnsi="Palatino Linotype" w:cs="Arial"/>
          <w:b/>
        </w:rPr>
        <w:t>ORDENA</w:t>
      </w:r>
      <w:r>
        <w:rPr>
          <w:rFonts w:ascii="Palatino Linotype" w:eastAsia="MS Mincho" w:hAnsi="Palatino Linotype" w:cs="Arial"/>
        </w:rPr>
        <w:t xml:space="preserve"> al Sujeto Obligado entregar los documentos en donde consten los números de cuenta referidos en respuesta a la solicitud. De ser el caso de que la información que se ordena entregar contenga datos personales susceptibles de clasificarse como información confidencial, el Sujeto Obligado estará a lo dispuesto en el Considerando Quinto de la presente resolución.</w:t>
      </w:r>
    </w:p>
    <w:p w14:paraId="7E679A7A" w14:textId="77777777" w:rsidR="00EC0ED2" w:rsidRPr="00EC0ED2" w:rsidRDefault="00EC0ED2" w:rsidP="00EC0ED2">
      <w:pPr>
        <w:pStyle w:val="Prrafodelista"/>
        <w:rPr>
          <w:rFonts w:ascii="Palatino Linotype" w:eastAsia="Times New Roman" w:hAnsi="Palatino Linotype" w:cs="Times New Roman"/>
          <w:lang w:eastAsia="es-MX"/>
        </w:rPr>
      </w:pPr>
    </w:p>
    <w:p w14:paraId="6686C35C" w14:textId="5BE0552D" w:rsidR="00EC0ED2" w:rsidRPr="00071C9C" w:rsidRDefault="00EC0ED2" w:rsidP="00EC0ED2">
      <w:pPr>
        <w:pStyle w:val="Ttulo2"/>
        <w:rPr>
          <w:rFonts w:ascii="Palatino Linotype" w:hAnsi="Palatino Linotype"/>
          <w:b/>
          <w:color w:val="auto"/>
          <w:sz w:val="24"/>
        </w:rPr>
      </w:pPr>
      <w:r w:rsidRPr="00071C9C">
        <w:rPr>
          <w:rFonts w:ascii="Palatino Linotype" w:hAnsi="Palatino Linotype"/>
          <w:b/>
          <w:color w:val="auto"/>
          <w:sz w:val="24"/>
        </w:rPr>
        <w:t>I</w:t>
      </w:r>
      <w:r>
        <w:rPr>
          <w:rFonts w:ascii="Palatino Linotype" w:hAnsi="Palatino Linotype"/>
          <w:b/>
          <w:color w:val="auto"/>
          <w:sz w:val="24"/>
        </w:rPr>
        <w:t>II</w:t>
      </w:r>
      <w:r w:rsidRPr="00071C9C">
        <w:rPr>
          <w:rFonts w:ascii="Palatino Linotype" w:hAnsi="Palatino Linotype"/>
          <w:b/>
          <w:color w:val="auto"/>
          <w:sz w:val="24"/>
        </w:rPr>
        <w:t>. De la modalidad de entrega de la información.</w:t>
      </w:r>
    </w:p>
    <w:p w14:paraId="5B018E91" w14:textId="77777777" w:rsidR="00EC0ED2" w:rsidRDefault="00EC0ED2" w:rsidP="00EC0ED2">
      <w:pPr>
        <w:spacing w:line="360" w:lineRule="auto"/>
        <w:ind w:right="49"/>
        <w:contextualSpacing/>
        <w:jc w:val="both"/>
        <w:rPr>
          <w:rFonts w:ascii="Palatino Linotype" w:eastAsia="MS Mincho" w:hAnsi="Palatino Linotype" w:cstheme="majorBidi"/>
        </w:rPr>
      </w:pPr>
    </w:p>
    <w:p w14:paraId="65C72AF6" w14:textId="77777777" w:rsidR="00EC0ED2" w:rsidRPr="00071C9C" w:rsidRDefault="00EC0ED2" w:rsidP="00EC0ED2">
      <w:pPr>
        <w:pStyle w:val="Prrafodelista"/>
        <w:numPr>
          <w:ilvl w:val="0"/>
          <w:numId w:val="1"/>
        </w:numPr>
        <w:spacing w:line="360" w:lineRule="auto"/>
        <w:jc w:val="both"/>
        <w:rPr>
          <w:rFonts w:ascii="Palatino Linotype" w:eastAsia="Calibri" w:hAnsi="Palatino Linotype" w:cs="Arial"/>
        </w:rPr>
      </w:pPr>
      <w:r w:rsidRPr="00071C9C">
        <w:rPr>
          <w:rFonts w:ascii="Palatino Linotype" w:eastAsia="Calibri" w:hAnsi="Palatino Linotype" w:cs="Arial"/>
        </w:rPr>
        <w:t>Los particulares pueden formular solicitudes de manera física o electrónica. En ambos casos es necesario que el recurrente señale la modalidad en la que desea le proporcionen la información, tal y como lo establece el artículo 155 de la Ley de Transparencia y Acceso a la Información Pública del Estado de México y Municipios en el artículo 155 siendo lo siguiente:</w:t>
      </w:r>
    </w:p>
    <w:p w14:paraId="24C81ADA" w14:textId="77777777" w:rsidR="00EC0ED2" w:rsidRPr="001C75DA" w:rsidRDefault="00EC0ED2" w:rsidP="00EC0ED2">
      <w:pPr>
        <w:pStyle w:val="Prrafodelista"/>
        <w:spacing w:line="360" w:lineRule="auto"/>
        <w:ind w:left="567" w:right="567"/>
        <w:jc w:val="both"/>
        <w:rPr>
          <w:rFonts w:ascii="Palatino Linotype" w:eastAsia="Calibri" w:hAnsi="Palatino Linotype" w:cs="Arial"/>
          <w:i/>
          <w:sz w:val="28"/>
        </w:rPr>
      </w:pPr>
    </w:p>
    <w:p w14:paraId="2BBADDDC"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Bold"/>
          <w:b/>
          <w:bCs/>
          <w:i/>
          <w:sz w:val="22"/>
        </w:rPr>
        <w:t xml:space="preserve">Artículo 155. </w:t>
      </w:r>
      <w:r w:rsidRPr="00262B03">
        <w:rPr>
          <w:rFonts w:ascii="Palatino Linotype" w:hAnsi="Palatino Linotype" w:cs="Bookman Old Style"/>
          <w:b/>
          <w:i/>
          <w:sz w:val="22"/>
        </w:rPr>
        <w:t>Para presentar una solicitud por escrito, no se podrán exigir mayores requisitos que los siguientes:</w:t>
      </w:r>
    </w:p>
    <w:p w14:paraId="3ADE1165"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i/>
          <w:sz w:val="22"/>
        </w:rPr>
      </w:pPr>
    </w:p>
    <w:p w14:paraId="744E2CAD"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Bold"/>
          <w:b/>
          <w:bCs/>
          <w:i/>
          <w:sz w:val="22"/>
        </w:rPr>
        <w:t xml:space="preserve">I. </w:t>
      </w:r>
      <w:r w:rsidRPr="001C75DA">
        <w:rPr>
          <w:rFonts w:ascii="Palatino Linotype" w:hAnsi="Palatino Linotype" w:cs="Bookman Old Style"/>
          <w:i/>
          <w:sz w:val="22"/>
        </w:rPr>
        <w:t>Nombre del solicitante, o en su caso, los datos generales de su representante;</w:t>
      </w:r>
    </w:p>
    <w:p w14:paraId="7614D2A5"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Bold"/>
          <w:b/>
          <w:bCs/>
          <w:i/>
          <w:sz w:val="22"/>
        </w:rPr>
        <w:t xml:space="preserve">II. </w:t>
      </w:r>
      <w:r w:rsidRPr="001C75DA">
        <w:rPr>
          <w:rFonts w:ascii="Palatino Linotype" w:hAnsi="Palatino Linotype" w:cs="Bookman Old Style"/>
          <w:i/>
          <w:sz w:val="22"/>
        </w:rPr>
        <w:t>Domicilio o en su caso correo electrónico para recibir notificaciones;</w:t>
      </w:r>
    </w:p>
    <w:p w14:paraId="17E1F011"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Bold"/>
          <w:b/>
          <w:bCs/>
          <w:i/>
          <w:sz w:val="22"/>
        </w:rPr>
        <w:lastRenderedPageBreak/>
        <w:t xml:space="preserve">III. </w:t>
      </w:r>
      <w:r w:rsidRPr="001C75DA">
        <w:rPr>
          <w:rFonts w:ascii="Palatino Linotype" w:hAnsi="Palatino Linotype" w:cs="Bookman Old Style"/>
          <w:i/>
          <w:sz w:val="22"/>
        </w:rPr>
        <w:t>La descripción de la información solicitada;</w:t>
      </w:r>
    </w:p>
    <w:p w14:paraId="51C373D9"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Bold"/>
          <w:b/>
          <w:bCs/>
          <w:i/>
          <w:sz w:val="22"/>
        </w:rPr>
        <w:t xml:space="preserve">IV. </w:t>
      </w:r>
      <w:r w:rsidRPr="001C75DA">
        <w:rPr>
          <w:rFonts w:ascii="Palatino Linotype" w:hAnsi="Palatino Linotype" w:cs="Bookman Old Style"/>
          <w:i/>
          <w:sz w:val="22"/>
        </w:rPr>
        <w:t>Cualquier otro dato que facilite la búsqueda y eventual localización de la información; y</w:t>
      </w:r>
    </w:p>
    <w:p w14:paraId="52402419"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b/>
          <w:i/>
          <w:sz w:val="22"/>
        </w:rPr>
      </w:pPr>
      <w:r w:rsidRPr="001C75DA">
        <w:rPr>
          <w:rFonts w:ascii="Palatino Linotype" w:hAnsi="Palatino Linotype" w:cs="Bookman Old Style,Bold"/>
          <w:b/>
          <w:bCs/>
          <w:i/>
          <w:sz w:val="22"/>
        </w:rPr>
        <w:t xml:space="preserve">V. </w:t>
      </w:r>
      <w:r w:rsidRPr="001C75DA">
        <w:rPr>
          <w:rFonts w:ascii="Palatino Linotype" w:hAnsi="Palatino Linotype" w:cs="Bookman Old Style"/>
          <w:b/>
          <w:i/>
          <w:sz w:val="22"/>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1B5ABE0"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i/>
          <w:sz w:val="22"/>
        </w:rPr>
      </w:pPr>
    </w:p>
    <w:p w14:paraId="318F6D38"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
          <w:i/>
          <w:sz w:val="22"/>
        </w:rPr>
        <w:t>Queda prohibido para los sujetos obligados recabar datos que den lugar a indagatorias sobre las motivaciones de la solicitud de información y su uso posterior.</w:t>
      </w:r>
    </w:p>
    <w:p w14:paraId="665DC3B4"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i/>
          <w:sz w:val="22"/>
        </w:rPr>
      </w:pPr>
    </w:p>
    <w:p w14:paraId="3629B060"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860207F" w14:textId="77777777" w:rsidR="00EC0ED2" w:rsidRPr="001C75DA" w:rsidRDefault="00EC0ED2" w:rsidP="00EC0ED2">
      <w:pPr>
        <w:autoSpaceDE w:val="0"/>
        <w:autoSpaceDN w:val="0"/>
        <w:adjustRightInd w:val="0"/>
        <w:spacing w:line="360" w:lineRule="auto"/>
        <w:ind w:left="567" w:right="567"/>
        <w:jc w:val="both"/>
        <w:rPr>
          <w:rFonts w:ascii="Palatino Linotype" w:hAnsi="Palatino Linotype" w:cs="Bookman Old Style"/>
          <w:i/>
          <w:sz w:val="22"/>
        </w:rPr>
      </w:pPr>
    </w:p>
    <w:p w14:paraId="1ACBAF3C" w14:textId="77777777" w:rsidR="00EC0ED2" w:rsidRDefault="00EC0ED2" w:rsidP="00EC0ED2">
      <w:pPr>
        <w:autoSpaceDE w:val="0"/>
        <w:autoSpaceDN w:val="0"/>
        <w:adjustRightInd w:val="0"/>
        <w:spacing w:line="360" w:lineRule="auto"/>
        <w:ind w:left="567" w:right="567"/>
        <w:jc w:val="both"/>
        <w:rPr>
          <w:rFonts w:ascii="Palatino Linotype" w:hAnsi="Palatino Linotype" w:cs="Bookman Old Style"/>
          <w:b/>
          <w:i/>
          <w:sz w:val="22"/>
        </w:rPr>
      </w:pPr>
      <w:r w:rsidRPr="001C75DA">
        <w:rPr>
          <w:rFonts w:ascii="Palatino Linotype" w:hAnsi="Palatino Linotype" w:cs="Bookman Old Style"/>
          <w:b/>
          <w:i/>
          <w:sz w:val="22"/>
        </w:rPr>
        <w:t>La información de las fracciones I y IV será proporcionada por el solicitante de manera opcional y, en ningún caso, podrá ser un requisito indispensable para la procedencia de la solicitud.</w:t>
      </w:r>
    </w:p>
    <w:p w14:paraId="130E5775" w14:textId="77777777" w:rsidR="00EC0ED2" w:rsidRDefault="00EC0ED2" w:rsidP="00EC0ED2">
      <w:pPr>
        <w:autoSpaceDE w:val="0"/>
        <w:autoSpaceDN w:val="0"/>
        <w:adjustRightInd w:val="0"/>
        <w:spacing w:line="360" w:lineRule="auto"/>
        <w:ind w:left="567" w:right="567"/>
        <w:jc w:val="both"/>
        <w:rPr>
          <w:rFonts w:ascii="Palatino Linotype" w:hAnsi="Palatino Linotype" w:cs="Bookman Old Style"/>
          <w:b/>
          <w:i/>
          <w:sz w:val="22"/>
        </w:rPr>
      </w:pPr>
      <w:r>
        <w:rPr>
          <w:rFonts w:ascii="Palatino Linotype" w:hAnsi="Palatino Linotype" w:cs="Bookman Old Style"/>
          <w:b/>
          <w:i/>
          <w:sz w:val="22"/>
        </w:rPr>
        <w:t>(Énfasis añadido)</w:t>
      </w:r>
    </w:p>
    <w:p w14:paraId="283DE1FF" w14:textId="77777777" w:rsidR="00EC0ED2" w:rsidRPr="00071C9C" w:rsidRDefault="00EC0ED2" w:rsidP="00EC0ED2">
      <w:pPr>
        <w:autoSpaceDE w:val="0"/>
        <w:autoSpaceDN w:val="0"/>
        <w:adjustRightInd w:val="0"/>
        <w:spacing w:line="360" w:lineRule="auto"/>
        <w:ind w:right="567"/>
        <w:jc w:val="both"/>
        <w:rPr>
          <w:rFonts w:ascii="Palatino Linotype" w:hAnsi="Palatino Linotype" w:cs="Bookman Old Style"/>
          <w:b/>
          <w:i/>
        </w:rPr>
      </w:pPr>
    </w:p>
    <w:p w14:paraId="6913B9D8" w14:textId="77777777" w:rsidR="00EC0ED2" w:rsidRPr="00071C9C" w:rsidRDefault="00EC0ED2" w:rsidP="00EC0ED2">
      <w:pPr>
        <w:pStyle w:val="Prrafodelista"/>
        <w:numPr>
          <w:ilvl w:val="0"/>
          <w:numId w:val="1"/>
        </w:numPr>
        <w:spacing w:line="360" w:lineRule="auto"/>
        <w:jc w:val="both"/>
        <w:rPr>
          <w:rFonts w:ascii="Palatino Linotype" w:eastAsia="Calibri" w:hAnsi="Palatino Linotype" w:cs="Arial"/>
        </w:rPr>
      </w:pPr>
      <w:r w:rsidRPr="00071C9C">
        <w:rPr>
          <w:rFonts w:ascii="Palatino Linotype" w:eastAsia="Calibri" w:hAnsi="Palatino Linotype" w:cs="Arial"/>
        </w:rPr>
        <w:t>El precepto legal en cito hace alusión a los elementos que debe tener una solicitud de acceso a la información, sin embargo, en el último párrafo señala que solo la fracción I y IV serán proporcionadas de manera opcional, por lo que no figuran como requisito indispensable, lo que nos da a entender que, las demás fracciones si son de carácter obligatorio, entre otras, la modalidad de entrega.</w:t>
      </w:r>
    </w:p>
    <w:p w14:paraId="34CD74E0" w14:textId="77777777" w:rsidR="00EC0ED2" w:rsidRPr="00071C9C" w:rsidRDefault="00EC0ED2" w:rsidP="00EC0ED2">
      <w:pPr>
        <w:pStyle w:val="Prrafodelista"/>
        <w:tabs>
          <w:tab w:val="left" w:pos="851"/>
        </w:tabs>
        <w:spacing w:line="360" w:lineRule="auto"/>
        <w:ind w:left="0" w:right="49"/>
        <w:jc w:val="both"/>
        <w:rPr>
          <w:rFonts w:ascii="Palatino Linotype" w:hAnsi="Palatino Linotype"/>
          <w:lang w:val="es-ES"/>
        </w:rPr>
      </w:pPr>
    </w:p>
    <w:p w14:paraId="4909944F" w14:textId="5A9500CE" w:rsidR="00EC0ED2" w:rsidRDefault="00EC0ED2" w:rsidP="00EC0ED2">
      <w:pPr>
        <w:pStyle w:val="Prrafodelista"/>
        <w:numPr>
          <w:ilvl w:val="0"/>
          <w:numId w:val="1"/>
        </w:numPr>
        <w:tabs>
          <w:tab w:val="left" w:pos="851"/>
        </w:tabs>
        <w:spacing w:line="360" w:lineRule="auto"/>
        <w:ind w:right="49"/>
        <w:jc w:val="both"/>
        <w:rPr>
          <w:rFonts w:ascii="Palatino Linotype" w:hAnsi="Palatino Linotype"/>
          <w:lang w:val="es-ES"/>
        </w:rPr>
      </w:pPr>
      <w:r w:rsidRPr="000261FE">
        <w:rPr>
          <w:rFonts w:ascii="Palatino Linotype" w:hAnsi="Palatino Linotype"/>
          <w:lang w:val="es-ES"/>
        </w:rPr>
        <w:lastRenderedPageBreak/>
        <w:t xml:space="preserve">Además, </w:t>
      </w:r>
      <w:r w:rsidRPr="000261FE">
        <w:rPr>
          <w:rFonts w:ascii="Palatino Linotype" w:eastAsia="Calibri" w:hAnsi="Palatino Linotype" w:cs="Arial"/>
        </w:rPr>
        <w:t xml:space="preserve">la Ley en materia, pero ahora en el artículo 164 menciona </w:t>
      </w:r>
      <w:r w:rsidRPr="000261FE">
        <w:rPr>
          <w:rFonts w:ascii="Palatino Linotype" w:eastAsia="Calibri" w:hAnsi="Palatino Linotype" w:cs="Arial"/>
          <w:i/>
        </w:rPr>
        <w:t xml:space="preserve">que el acceso se dará en la modalidad de entrega y, en su caso, de envío elegidos por el solicitante. </w:t>
      </w:r>
      <w:r w:rsidRPr="000261FE">
        <w:rPr>
          <w:rFonts w:ascii="Palatino Linotype" w:eastAsia="Calibri" w:hAnsi="Palatino Linotype" w:cs="Arial"/>
          <w:iCs/>
        </w:rPr>
        <w:t>La</w:t>
      </w:r>
      <w:r w:rsidRPr="000261FE">
        <w:rPr>
          <w:rFonts w:ascii="Palatino Linotype" w:hAnsi="Palatino Linotype"/>
          <w:lang w:val="es-ES"/>
        </w:rPr>
        <w:t xml:space="preserve"> información deberá ser entregada mediante la modalidad elegida por el particular, en este caso en particular, señaló, a través </w:t>
      </w:r>
      <w:r w:rsidR="000170F8">
        <w:rPr>
          <w:rFonts w:ascii="Palatino Linotype" w:hAnsi="Palatino Linotype"/>
          <w:lang w:val="es-ES"/>
        </w:rPr>
        <w:t>copias simples con costo</w:t>
      </w:r>
      <w:r w:rsidRPr="000261FE">
        <w:rPr>
          <w:rFonts w:ascii="Palatino Linotype" w:hAnsi="Palatino Linotype"/>
          <w:lang w:val="es-ES"/>
        </w:rPr>
        <w:t xml:space="preserve">, en consecuencia, para no afectar el Derecho del Recurrente, el Sujeto Obligado deberá atender la </w:t>
      </w:r>
      <w:r w:rsidR="000170F8">
        <w:rPr>
          <w:rFonts w:ascii="Palatino Linotype" w:hAnsi="Palatino Linotype"/>
          <w:lang w:val="es-ES"/>
        </w:rPr>
        <w:t>modalidad elegida</w:t>
      </w:r>
      <w:r w:rsidRPr="000261FE">
        <w:rPr>
          <w:rFonts w:ascii="Palatino Linotype" w:hAnsi="Palatino Linotype"/>
          <w:lang w:val="es-ES"/>
        </w:rPr>
        <w:t xml:space="preserve"> por el particular </w:t>
      </w:r>
      <w:r w:rsidRPr="000170F8">
        <w:rPr>
          <w:rFonts w:ascii="Palatino Linotype" w:hAnsi="Palatino Linotype"/>
          <w:lang w:val="es-ES"/>
        </w:rPr>
        <w:t>y, adicionalmente el SAIMEX.</w:t>
      </w:r>
    </w:p>
    <w:p w14:paraId="22C47AB2" w14:textId="77777777" w:rsidR="000170F8" w:rsidRPr="000170F8" w:rsidRDefault="000170F8" w:rsidP="000170F8">
      <w:pPr>
        <w:pStyle w:val="Prrafodelista"/>
        <w:rPr>
          <w:rFonts w:ascii="Palatino Linotype" w:hAnsi="Palatino Linotype"/>
          <w:lang w:val="es-ES"/>
        </w:rPr>
      </w:pPr>
    </w:p>
    <w:p w14:paraId="1BF6D64E" w14:textId="77777777" w:rsidR="00EC0ED2" w:rsidRPr="000261FE" w:rsidRDefault="00EC0ED2" w:rsidP="00EC0ED2">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El Sujeto Obligado debe basar los costos en lo dispuesto por el artículo 148 del código financiero del Estado de México, el cual dispone lo siguiente:</w:t>
      </w:r>
    </w:p>
    <w:p w14:paraId="6788390A" w14:textId="77777777" w:rsidR="00EC0ED2" w:rsidRPr="00D72194" w:rsidRDefault="00EC0ED2" w:rsidP="00EC0ED2">
      <w:pPr>
        <w:pStyle w:val="Prrafodelista"/>
        <w:rPr>
          <w:rFonts w:ascii="Palatino Linotype" w:hAnsi="Palatino Linotype"/>
          <w:color w:val="000000"/>
          <w:szCs w:val="22"/>
        </w:rPr>
      </w:pPr>
    </w:p>
    <w:p w14:paraId="70011224" w14:textId="77777777" w:rsidR="00EC0ED2" w:rsidRDefault="00EC0ED2" w:rsidP="00EC0ED2">
      <w:pPr>
        <w:pStyle w:val="Prrafodelista"/>
        <w:spacing w:line="360" w:lineRule="auto"/>
        <w:ind w:left="0"/>
        <w:jc w:val="both"/>
        <w:rPr>
          <w:rFonts w:ascii="Palatino Linotype" w:hAnsi="Palatino Linotype"/>
          <w:color w:val="000000"/>
          <w:szCs w:val="22"/>
        </w:rPr>
      </w:pPr>
      <w:r>
        <w:rPr>
          <w:noProof/>
          <w:lang w:eastAsia="es-MX"/>
        </w:rPr>
        <w:drawing>
          <wp:inline distT="0" distB="0" distL="0" distR="0" wp14:anchorId="1ACAC6D0" wp14:editId="7039DF8B">
            <wp:extent cx="5422605" cy="3482269"/>
            <wp:effectExtent l="0" t="0" r="698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531" t="18300" r="18080" b="8147"/>
                    <a:stretch/>
                  </pic:blipFill>
                  <pic:spPr bwMode="auto">
                    <a:xfrm>
                      <a:off x="0" y="0"/>
                      <a:ext cx="5430408" cy="3487280"/>
                    </a:xfrm>
                    <a:prstGeom prst="rect">
                      <a:avLst/>
                    </a:prstGeom>
                    <a:ln>
                      <a:noFill/>
                    </a:ln>
                    <a:extLst>
                      <a:ext uri="{53640926-AAD7-44D8-BBD7-CCE9431645EC}">
                        <a14:shadowObscured xmlns:a14="http://schemas.microsoft.com/office/drawing/2010/main"/>
                      </a:ext>
                    </a:extLst>
                  </pic:spPr>
                </pic:pic>
              </a:graphicData>
            </a:graphic>
          </wp:inline>
        </w:drawing>
      </w:r>
    </w:p>
    <w:p w14:paraId="7421E34A" w14:textId="77777777" w:rsidR="00EC0ED2" w:rsidRPr="00424A7A" w:rsidRDefault="00EC0ED2" w:rsidP="00EC0ED2">
      <w:pPr>
        <w:pStyle w:val="Prrafodelista"/>
        <w:rPr>
          <w:rFonts w:ascii="Palatino Linotype" w:hAnsi="Palatino Linotype"/>
          <w:color w:val="000000"/>
          <w:szCs w:val="22"/>
        </w:rPr>
      </w:pPr>
    </w:p>
    <w:p w14:paraId="53198398" w14:textId="0EA4400C" w:rsidR="00EC0ED2" w:rsidRDefault="00EC0ED2" w:rsidP="00EC0ED2">
      <w:pPr>
        <w:pStyle w:val="Prrafodelista"/>
        <w:numPr>
          <w:ilvl w:val="0"/>
          <w:numId w:val="1"/>
        </w:numPr>
        <w:spacing w:line="360" w:lineRule="auto"/>
        <w:ind w:right="-93"/>
        <w:jc w:val="both"/>
        <w:rPr>
          <w:rFonts w:ascii="Palatino Linotype" w:eastAsia="Calibri" w:hAnsi="Palatino Linotype" w:cs="Tahoma"/>
          <w:bCs/>
          <w:lang w:eastAsia="en-US"/>
        </w:rPr>
      </w:pPr>
      <w:r>
        <w:rPr>
          <w:rFonts w:ascii="Palatino Linotype" w:eastAsia="Calibri" w:hAnsi="Palatino Linotype" w:cs="Tahoma"/>
          <w:bCs/>
          <w:lang w:eastAsia="en-US"/>
        </w:rPr>
        <w:t>Ahora bien, no pasa desapercibi</w:t>
      </w:r>
      <w:r w:rsidR="000170F8">
        <w:rPr>
          <w:rFonts w:ascii="Palatino Linotype" w:eastAsia="Calibri" w:hAnsi="Palatino Linotype" w:cs="Tahoma"/>
          <w:bCs/>
          <w:lang w:eastAsia="en-US"/>
        </w:rPr>
        <w:t xml:space="preserve">do el criterio </w:t>
      </w:r>
      <w:r>
        <w:rPr>
          <w:rFonts w:ascii="Palatino Linotype" w:eastAsia="Calibri" w:hAnsi="Palatino Linotype" w:cs="Tahoma"/>
          <w:bCs/>
          <w:lang w:eastAsia="en-US"/>
        </w:rPr>
        <w:t>2/18 del Instituto Nacional de Transparencia, Acceso a la Información y Protección de Datos Personales el cual dispone lo siguiente:</w:t>
      </w:r>
    </w:p>
    <w:p w14:paraId="14DA45D9" w14:textId="77777777" w:rsidR="00EC0ED2" w:rsidRDefault="00EC0ED2" w:rsidP="00EC0ED2">
      <w:pPr>
        <w:pStyle w:val="Prrafodelista"/>
        <w:spacing w:line="360" w:lineRule="auto"/>
        <w:ind w:left="0" w:right="-93"/>
        <w:jc w:val="both"/>
        <w:rPr>
          <w:rFonts w:ascii="Palatino Linotype" w:eastAsia="Calibri" w:hAnsi="Palatino Linotype" w:cs="Tahoma"/>
          <w:bCs/>
          <w:lang w:eastAsia="en-US"/>
        </w:rPr>
      </w:pPr>
    </w:p>
    <w:p w14:paraId="14B65154" w14:textId="77777777" w:rsidR="00EC0ED2" w:rsidRPr="006F31F3" w:rsidRDefault="00EC0ED2" w:rsidP="00EC0ED2">
      <w:pPr>
        <w:pStyle w:val="Prrafodelista"/>
        <w:spacing w:line="360" w:lineRule="auto"/>
        <w:ind w:left="567" w:right="616"/>
        <w:jc w:val="both"/>
        <w:rPr>
          <w:rFonts w:ascii="Palatino Linotype" w:eastAsia="Calibri" w:hAnsi="Palatino Linotype" w:cs="Tahoma"/>
          <w:bCs/>
          <w:i/>
          <w:iCs/>
          <w:sz w:val="22"/>
          <w:szCs w:val="22"/>
          <w:lang w:eastAsia="en-US"/>
        </w:rPr>
      </w:pPr>
      <w:r w:rsidRPr="006F31F3">
        <w:rPr>
          <w:rFonts w:ascii="Palatino Linotype" w:eastAsia="Calibri" w:hAnsi="Palatino Linotype" w:cs="Tahoma"/>
          <w:b/>
          <w:i/>
          <w:iCs/>
          <w:sz w:val="22"/>
          <w:szCs w:val="22"/>
          <w:lang w:eastAsia="en-US"/>
        </w:rPr>
        <w:t>Gratuidad de las primeras veinte hojas simples o certificadas.</w:t>
      </w:r>
      <w:r w:rsidRPr="006F31F3">
        <w:rPr>
          <w:rFonts w:ascii="Palatino Linotype" w:eastAsia="Calibri" w:hAnsi="Palatino Linotype" w:cs="Tahoma"/>
          <w:bCs/>
          <w:i/>
          <w:iCs/>
          <w:sz w:val="22"/>
          <w:szCs w:val="22"/>
          <w:lang w:eastAsia="en-US"/>
        </w:rPr>
        <w:t xml:space="preserve"> Cuando la entrega de los datos personales sea a través de copias simples o certificadas, las primeras veinte hojas serán sin costo.  </w:t>
      </w:r>
    </w:p>
    <w:p w14:paraId="315ABF89" w14:textId="77777777" w:rsidR="00EC0ED2" w:rsidRPr="006F31F3" w:rsidRDefault="00EC0ED2" w:rsidP="00EC0ED2">
      <w:pPr>
        <w:pStyle w:val="Prrafodelista"/>
        <w:spacing w:line="360" w:lineRule="auto"/>
        <w:ind w:left="567" w:right="616"/>
        <w:jc w:val="both"/>
        <w:rPr>
          <w:rFonts w:ascii="Palatino Linotype" w:eastAsia="Calibri" w:hAnsi="Palatino Linotype" w:cs="Tahoma"/>
          <w:bCs/>
          <w:i/>
          <w:iCs/>
          <w:sz w:val="22"/>
          <w:szCs w:val="22"/>
          <w:lang w:eastAsia="en-US"/>
        </w:rPr>
      </w:pPr>
    </w:p>
    <w:p w14:paraId="2804E7D7" w14:textId="77777777" w:rsidR="00EC0ED2" w:rsidRPr="006F31F3" w:rsidRDefault="00EC0ED2" w:rsidP="00EC0ED2">
      <w:pPr>
        <w:pStyle w:val="Prrafodelista"/>
        <w:spacing w:line="360" w:lineRule="auto"/>
        <w:ind w:left="851" w:right="616" w:hanging="284"/>
        <w:jc w:val="both"/>
        <w:rPr>
          <w:rFonts w:ascii="Palatino Linotype" w:eastAsia="Calibri" w:hAnsi="Palatino Linotype" w:cs="Tahoma"/>
          <w:bCs/>
          <w:i/>
          <w:iCs/>
          <w:sz w:val="22"/>
          <w:szCs w:val="22"/>
          <w:lang w:eastAsia="en-US"/>
        </w:rPr>
      </w:pPr>
      <w:r w:rsidRPr="006F31F3">
        <w:rPr>
          <w:rFonts w:ascii="Palatino Linotype" w:eastAsia="Calibri" w:hAnsi="Palatino Linotype" w:cs="Tahoma"/>
          <w:bCs/>
          <w:i/>
          <w:iCs/>
          <w:sz w:val="22"/>
          <w:szCs w:val="22"/>
          <w:lang w:eastAsia="en-US"/>
        </w:rPr>
        <w:t>Resoluciones:</w:t>
      </w:r>
    </w:p>
    <w:p w14:paraId="5F3EF5AD" w14:textId="77777777" w:rsidR="00EC0ED2" w:rsidRPr="006F31F3" w:rsidRDefault="00EC0ED2" w:rsidP="00EC0ED2">
      <w:pPr>
        <w:pStyle w:val="Prrafodelista"/>
        <w:spacing w:line="360" w:lineRule="auto"/>
        <w:ind w:left="851" w:right="616" w:hanging="284"/>
        <w:jc w:val="both"/>
        <w:rPr>
          <w:rFonts w:ascii="Palatino Linotype" w:eastAsia="Calibri" w:hAnsi="Palatino Linotype" w:cs="Tahoma"/>
          <w:bCs/>
          <w:i/>
          <w:iCs/>
          <w:sz w:val="22"/>
          <w:szCs w:val="22"/>
          <w:lang w:eastAsia="en-US"/>
        </w:rPr>
      </w:pPr>
      <w:r w:rsidRPr="006F31F3">
        <w:rPr>
          <w:rFonts w:ascii="Palatino Linotype" w:eastAsia="Calibri" w:hAnsi="Palatino Linotype" w:cs="Tahoma"/>
          <w:bCs/>
          <w:i/>
          <w:iCs/>
          <w:sz w:val="22"/>
          <w:szCs w:val="22"/>
          <w:lang w:eastAsia="en-US"/>
        </w:rPr>
        <w:t>•</w:t>
      </w:r>
      <w:r w:rsidRPr="006F31F3">
        <w:rPr>
          <w:rFonts w:ascii="Palatino Linotype" w:eastAsia="Calibri" w:hAnsi="Palatino Linotype" w:cs="Tahoma"/>
          <w:bCs/>
          <w:i/>
          <w:iCs/>
          <w:sz w:val="22"/>
          <w:szCs w:val="22"/>
          <w:lang w:eastAsia="en-US"/>
        </w:rPr>
        <w:tab/>
        <w:t>RRD 0198/17. Banco Nacional del Ejército, Fuerza Aérea y Armada, S.N.C. 24 de mayo de 2017. Por unanimidad. Comisionada Ponente Areli Cano Guadiana.</w:t>
      </w:r>
    </w:p>
    <w:p w14:paraId="0D63D9A3" w14:textId="77777777" w:rsidR="00EC0ED2" w:rsidRPr="006F31F3" w:rsidRDefault="00EC0ED2" w:rsidP="00EC0ED2">
      <w:pPr>
        <w:pStyle w:val="Prrafodelista"/>
        <w:spacing w:line="360" w:lineRule="auto"/>
        <w:ind w:left="851" w:right="616" w:hanging="284"/>
        <w:jc w:val="both"/>
        <w:rPr>
          <w:rFonts w:ascii="Palatino Linotype" w:eastAsia="Calibri" w:hAnsi="Palatino Linotype" w:cs="Tahoma"/>
          <w:bCs/>
          <w:i/>
          <w:iCs/>
          <w:sz w:val="22"/>
          <w:szCs w:val="22"/>
          <w:lang w:eastAsia="en-US"/>
        </w:rPr>
      </w:pPr>
      <w:r w:rsidRPr="006F31F3">
        <w:rPr>
          <w:rFonts w:ascii="Palatino Linotype" w:eastAsia="Calibri" w:hAnsi="Palatino Linotype" w:cs="Tahoma"/>
          <w:bCs/>
          <w:i/>
          <w:iCs/>
          <w:sz w:val="22"/>
          <w:szCs w:val="22"/>
          <w:lang w:eastAsia="en-US"/>
        </w:rPr>
        <w:t>•</w:t>
      </w:r>
      <w:r w:rsidRPr="006F31F3">
        <w:rPr>
          <w:rFonts w:ascii="Palatino Linotype" w:eastAsia="Calibri" w:hAnsi="Palatino Linotype" w:cs="Tahoma"/>
          <w:bCs/>
          <w:i/>
          <w:iCs/>
          <w:sz w:val="22"/>
          <w:szCs w:val="22"/>
          <w:lang w:eastAsia="en-US"/>
        </w:rPr>
        <w:tab/>
        <w:t>RRD 0297/17. Policía Federal antes Policía Federal Preventiva. 21 de junio de 2017. Por unanimidad. Comisionado Ponente Oscar Mauricio Guerra Ford.</w:t>
      </w:r>
    </w:p>
    <w:p w14:paraId="4AA0EDAC" w14:textId="77777777" w:rsidR="00EC0ED2" w:rsidRDefault="00EC0ED2" w:rsidP="00EC0ED2">
      <w:pPr>
        <w:pStyle w:val="Prrafodelista"/>
        <w:spacing w:line="360" w:lineRule="auto"/>
        <w:ind w:left="851" w:right="616" w:hanging="284"/>
        <w:jc w:val="both"/>
        <w:rPr>
          <w:rFonts w:ascii="Palatino Linotype" w:eastAsia="Calibri" w:hAnsi="Palatino Linotype" w:cs="Tahoma"/>
          <w:bCs/>
          <w:i/>
          <w:iCs/>
          <w:sz w:val="22"/>
          <w:szCs w:val="22"/>
          <w:lang w:eastAsia="en-US"/>
        </w:rPr>
      </w:pPr>
      <w:r w:rsidRPr="006F31F3">
        <w:rPr>
          <w:rFonts w:ascii="Palatino Linotype" w:eastAsia="Calibri" w:hAnsi="Palatino Linotype" w:cs="Tahoma"/>
          <w:bCs/>
          <w:i/>
          <w:iCs/>
          <w:sz w:val="22"/>
          <w:szCs w:val="22"/>
          <w:lang w:eastAsia="en-US"/>
        </w:rPr>
        <w:t>•</w:t>
      </w:r>
      <w:r w:rsidRPr="006F31F3">
        <w:rPr>
          <w:rFonts w:ascii="Palatino Linotype" w:eastAsia="Calibri" w:hAnsi="Palatino Linotype" w:cs="Tahoma"/>
          <w:bCs/>
          <w:i/>
          <w:iCs/>
          <w:sz w:val="22"/>
          <w:szCs w:val="22"/>
          <w:lang w:eastAsia="en-US"/>
        </w:rPr>
        <w:tab/>
        <w:t>RRD 0250/17. Secretaría de Relaciones Exteriores. 28 de junio de 2017. Por unanimidad. Comisionado Ponente Rosendoevgueni Monterrey Chepov.</w:t>
      </w:r>
    </w:p>
    <w:p w14:paraId="01B714F5" w14:textId="77777777" w:rsidR="000170F8" w:rsidRDefault="000170F8" w:rsidP="00EC0ED2">
      <w:pPr>
        <w:pStyle w:val="Prrafodelista"/>
        <w:spacing w:line="360" w:lineRule="auto"/>
        <w:ind w:left="851" w:right="616" w:hanging="284"/>
        <w:jc w:val="both"/>
        <w:rPr>
          <w:rFonts w:ascii="Palatino Linotype" w:eastAsia="Calibri" w:hAnsi="Palatino Linotype" w:cs="Tahoma"/>
          <w:bCs/>
          <w:i/>
          <w:iCs/>
          <w:sz w:val="22"/>
          <w:szCs w:val="22"/>
          <w:lang w:eastAsia="en-US"/>
        </w:rPr>
      </w:pPr>
    </w:p>
    <w:p w14:paraId="4E39D6EA" w14:textId="7A0BE018" w:rsidR="000170F8" w:rsidRPr="000170F8" w:rsidRDefault="000170F8" w:rsidP="000170F8">
      <w:pPr>
        <w:pStyle w:val="Prrafodelista"/>
        <w:numPr>
          <w:ilvl w:val="0"/>
          <w:numId w:val="1"/>
        </w:numPr>
        <w:spacing w:line="360" w:lineRule="auto"/>
        <w:ind w:right="616"/>
        <w:jc w:val="both"/>
        <w:rPr>
          <w:rFonts w:ascii="Palatino Linotype" w:eastAsia="Calibri" w:hAnsi="Palatino Linotype" w:cs="Tahoma"/>
          <w:bCs/>
          <w:i/>
          <w:iCs/>
          <w:sz w:val="22"/>
          <w:szCs w:val="22"/>
          <w:lang w:eastAsia="en-US"/>
        </w:rPr>
      </w:pPr>
      <w:r>
        <w:rPr>
          <w:rFonts w:ascii="Palatino Linotype" w:eastAsia="Calibri" w:hAnsi="Palatino Linotype" w:cs="Tahoma"/>
          <w:bCs/>
          <w:iCs/>
          <w:szCs w:val="22"/>
          <w:lang w:eastAsia="en-US"/>
        </w:rPr>
        <w:t>Es decir, el Sujeto Obligado deberá basar el cobro de la información conforme a lo dispuesto en el Código Financiero del Estado de México; sin embargo, si la información a entregar no supera las 20 hojas, deberá proporcionarse sin costo alguno, o bien, las primeras 20 hojas no deberán reflejar un costo para el Recurrente.</w:t>
      </w:r>
    </w:p>
    <w:p w14:paraId="38ED9BE3" w14:textId="77777777" w:rsidR="00EC0ED2" w:rsidRPr="00EC0ED2" w:rsidRDefault="00EC0ED2" w:rsidP="00EC0ED2">
      <w:pPr>
        <w:pStyle w:val="Prrafodelista"/>
        <w:rPr>
          <w:rFonts w:ascii="Palatino Linotype" w:eastAsia="Times New Roman" w:hAnsi="Palatino Linotype" w:cs="Times New Roman"/>
          <w:lang w:eastAsia="es-MX"/>
        </w:rPr>
      </w:pPr>
    </w:p>
    <w:p w14:paraId="0635CA92" w14:textId="48307B96" w:rsidR="001B32B2" w:rsidRPr="00D007D1" w:rsidRDefault="00EC0ED2" w:rsidP="001B32B2">
      <w:pPr>
        <w:pStyle w:val="Ttulo3"/>
        <w:spacing w:line="360" w:lineRule="auto"/>
        <w:rPr>
          <w:rFonts w:ascii="Palatino Linotype" w:hAnsi="Palatino Linotype"/>
          <w:b/>
          <w:bCs/>
          <w:color w:val="000000" w:themeColor="text1"/>
        </w:rPr>
      </w:pPr>
      <w:r>
        <w:rPr>
          <w:rFonts w:ascii="Palatino Linotype" w:hAnsi="Palatino Linotype"/>
          <w:b/>
          <w:bCs/>
          <w:color w:val="000000" w:themeColor="text1"/>
        </w:rPr>
        <w:t>I</w:t>
      </w:r>
      <w:r w:rsidR="001B32B2">
        <w:rPr>
          <w:rFonts w:ascii="Palatino Linotype" w:hAnsi="Palatino Linotype"/>
          <w:b/>
          <w:bCs/>
          <w:color w:val="000000" w:themeColor="text1"/>
        </w:rPr>
        <w:t>V</w:t>
      </w:r>
      <w:r w:rsidR="001B32B2" w:rsidRPr="00D007D1">
        <w:rPr>
          <w:rFonts w:ascii="Palatino Linotype" w:hAnsi="Palatino Linotype"/>
          <w:b/>
          <w:bCs/>
          <w:color w:val="000000" w:themeColor="text1"/>
        </w:rPr>
        <w:t>. De la ampliación de la solicitud de información a través del recurso de revisión.</w:t>
      </w:r>
    </w:p>
    <w:p w14:paraId="58A8E667" w14:textId="77777777" w:rsidR="001B32B2" w:rsidRPr="00801202" w:rsidRDefault="001B32B2" w:rsidP="001B32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007D1">
        <w:rPr>
          <w:rFonts w:ascii="Palatino Linotype" w:eastAsia="Calibri" w:hAnsi="Palatino Linotype" w:cs="Tahoma"/>
          <w:bCs/>
          <w:lang w:eastAsia="en-US"/>
        </w:rPr>
        <w:t xml:space="preserve">Por último y no menos importante, no pasa desapercibido </w:t>
      </w:r>
      <w:r>
        <w:rPr>
          <w:rFonts w:ascii="Palatino Linotype" w:eastAsia="Calibri" w:hAnsi="Palatino Linotype" w:cs="Tahoma"/>
          <w:bCs/>
          <w:lang w:eastAsia="en-US"/>
        </w:rPr>
        <w:t>para</w:t>
      </w:r>
      <w:r w:rsidRPr="00D007D1">
        <w:rPr>
          <w:rFonts w:ascii="Palatino Linotype" w:eastAsia="Calibri" w:hAnsi="Palatino Linotype" w:cs="Tahoma"/>
          <w:bCs/>
          <w:lang w:eastAsia="en-US"/>
        </w:rPr>
        <w:t xml:space="preserve"> este Órgano Garante que el recurrente en el apartado </w:t>
      </w:r>
      <w:r>
        <w:rPr>
          <w:rFonts w:ascii="Palatino Linotype" w:eastAsia="Calibri" w:hAnsi="Palatino Linotype" w:cs="Tahoma"/>
          <w:bCs/>
          <w:lang w:eastAsia="en-US"/>
        </w:rPr>
        <w:t>“Razones o motivos de inconformidad”:</w:t>
      </w:r>
    </w:p>
    <w:p w14:paraId="629BF36E" w14:textId="77777777" w:rsidR="001B32B2" w:rsidRPr="00D007D1" w:rsidRDefault="001B32B2" w:rsidP="001B32B2">
      <w:pPr>
        <w:pStyle w:val="Prrafodelista"/>
        <w:tabs>
          <w:tab w:val="left" w:pos="426"/>
        </w:tabs>
        <w:spacing w:before="240" w:after="240" w:line="360" w:lineRule="auto"/>
        <w:ind w:left="0" w:right="51"/>
        <w:jc w:val="both"/>
        <w:rPr>
          <w:rFonts w:ascii="Palatino Linotype" w:hAnsi="Palatino Linotype"/>
          <w:color w:val="000000" w:themeColor="text1"/>
        </w:rPr>
      </w:pPr>
    </w:p>
    <w:p w14:paraId="13D6A006" w14:textId="5C675D9B" w:rsidR="001B32B2" w:rsidRPr="00B77310" w:rsidRDefault="001B32B2" w:rsidP="001B32B2">
      <w:pPr>
        <w:pStyle w:val="Prrafodelista"/>
        <w:spacing w:line="360" w:lineRule="auto"/>
        <w:ind w:left="567" w:right="567"/>
        <w:jc w:val="both"/>
        <w:rPr>
          <w:rFonts w:ascii="Palatino Linotype" w:hAnsi="Palatino Linotype"/>
          <w:b/>
          <w:bCs/>
          <w:i/>
          <w:sz w:val="22"/>
        </w:rPr>
      </w:pPr>
      <w:r w:rsidRPr="007C5B45">
        <w:rPr>
          <w:rFonts w:ascii="Palatino Linotype" w:eastAsia="Calibri" w:hAnsi="Palatino Linotype" w:cs="Tahoma"/>
          <w:bCs/>
          <w:i/>
          <w:sz w:val="22"/>
          <w:lang w:eastAsia="en-US"/>
        </w:rPr>
        <w:lastRenderedPageBreak/>
        <w:t>“</w:t>
      </w:r>
      <w:r w:rsidR="00893F73" w:rsidRPr="00893F73">
        <w:rPr>
          <w:rFonts w:ascii="Palatino Linotype" w:hAnsi="Palatino Linotype"/>
          <w:i/>
          <w:sz w:val="22"/>
          <w:szCs w:val="14"/>
          <w:lang w:eastAsia="es-MX"/>
        </w:rPr>
        <w:t xml:space="preserve">El ayuntamiento de Tenango del Valle, </w:t>
      </w:r>
      <w:r w:rsidR="00893F73" w:rsidRPr="00893F73">
        <w:rPr>
          <w:rFonts w:ascii="Palatino Linotype" w:hAnsi="Palatino Linotype"/>
          <w:b/>
          <w:i/>
          <w:sz w:val="22"/>
          <w:szCs w:val="14"/>
          <w:lang w:eastAsia="es-MX"/>
        </w:rPr>
        <w:t>omite mencionar el nombre de la institución bancaria en la que tiene las cuentas</w:t>
      </w:r>
      <w:r w:rsidR="00893F73" w:rsidRPr="00893F73">
        <w:rPr>
          <w:rFonts w:ascii="Palatino Linotype" w:hAnsi="Palatino Linotype"/>
          <w:i/>
          <w:sz w:val="22"/>
          <w:szCs w:val="14"/>
          <w:lang w:eastAsia="es-MX"/>
        </w:rPr>
        <w:t>; asimismo, no señalan el numero completo de las cuentas en donde se radican los recursos, únicamente señalan los últimos tres dígitos.</w:t>
      </w:r>
      <w:r w:rsidRPr="00B77310">
        <w:rPr>
          <w:rFonts w:ascii="Palatino Linotype" w:hAnsi="Palatino Linotype"/>
          <w:b/>
          <w:bCs/>
          <w:i/>
          <w:sz w:val="22"/>
        </w:rPr>
        <w:t>” (sic)</w:t>
      </w:r>
    </w:p>
    <w:p w14:paraId="2BC5D096" w14:textId="77777777" w:rsidR="001B32B2" w:rsidRPr="00B9068E" w:rsidRDefault="001B32B2" w:rsidP="001B32B2">
      <w:pPr>
        <w:pStyle w:val="Prrafodelista"/>
        <w:spacing w:line="360" w:lineRule="auto"/>
        <w:ind w:left="567" w:right="567"/>
        <w:jc w:val="both"/>
        <w:rPr>
          <w:rFonts w:ascii="Palatino Linotype" w:hAnsi="Palatino Linotype"/>
          <w:i/>
        </w:rPr>
      </w:pPr>
    </w:p>
    <w:p w14:paraId="5EDFCC21" w14:textId="1280C646" w:rsidR="001B32B2" w:rsidRDefault="001B32B2" w:rsidP="001B32B2">
      <w:pPr>
        <w:pStyle w:val="Prrafodelista"/>
        <w:numPr>
          <w:ilvl w:val="0"/>
          <w:numId w:val="1"/>
        </w:numPr>
        <w:spacing w:line="360" w:lineRule="auto"/>
        <w:ind w:right="-93"/>
        <w:jc w:val="both"/>
        <w:rPr>
          <w:rFonts w:ascii="Palatino Linotype" w:eastAsia="Calibri" w:hAnsi="Palatino Linotype" w:cs="Tahoma"/>
          <w:bCs/>
          <w:lang w:eastAsia="en-US"/>
        </w:rPr>
      </w:pPr>
      <w:r w:rsidRPr="00B9068E">
        <w:rPr>
          <w:rFonts w:ascii="Palatino Linotype" w:eastAsia="Calibri" w:hAnsi="Palatino Linotype" w:cs="Tahoma"/>
          <w:bCs/>
          <w:lang w:eastAsia="en-US"/>
        </w:rPr>
        <w:t>De la</w:t>
      </w:r>
      <w:r>
        <w:rPr>
          <w:rFonts w:ascii="Palatino Linotype" w:eastAsia="Calibri" w:hAnsi="Palatino Linotype" w:cs="Tahoma"/>
          <w:bCs/>
          <w:lang w:eastAsia="en-US"/>
        </w:rPr>
        <w:t xml:space="preserve"> simple lectura del acto impugnado se aprecia que, corresponde a información adicional a lo re</w:t>
      </w:r>
      <w:r w:rsidR="00893F73">
        <w:rPr>
          <w:rFonts w:ascii="Palatino Linotype" w:eastAsia="Calibri" w:hAnsi="Palatino Linotype" w:cs="Tahoma"/>
          <w:bCs/>
          <w:lang w:eastAsia="en-US"/>
        </w:rPr>
        <w:t>querido en la solicitud inicial, es decir, el nombre de las instituciones bancarias en las que se tienen las cuentas.</w:t>
      </w:r>
    </w:p>
    <w:p w14:paraId="4AA6EC53" w14:textId="77777777" w:rsidR="001B32B2" w:rsidRDefault="001B32B2" w:rsidP="001B32B2">
      <w:pPr>
        <w:pStyle w:val="Prrafodelista"/>
        <w:spacing w:line="360" w:lineRule="auto"/>
        <w:ind w:left="0" w:right="-93"/>
        <w:jc w:val="both"/>
        <w:rPr>
          <w:rFonts w:ascii="Palatino Linotype" w:eastAsia="Calibri" w:hAnsi="Palatino Linotype" w:cs="Tahoma"/>
          <w:bCs/>
          <w:lang w:eastAsia="en-US"/>
        </w:rPr>
      </w:pPr>
    </w:p>
    <w:p w14:paraId="00C4F9EF" w14:textId="77777777" w:rsidR="001B32B2" w:rsidRPr="00D007D1" w:rsidRDefault="001B32B2" w:rsidP="001B32B2">
      <w:pPr>
        <w:pStyle w:val="Prrafodelista"/>
        <w:numPr>
          <w:ilvl w:val="0"/>
          <w:numId w:val="1"/>
        </w:numPr>
        <w:spacing w:line="360" w:lineRule="auto"/>
        <w:ind w:right="-93"/>
        <w:jc w:val="both"/>
        <w:rPr>
          <w:rFonts w:ascii="Palatino Linotype" w:eastAsia="Calibri" w:hAnsi="Palatino Linotype" w:cs="Tahoma"/>
          <w:bCs/>
          <w:lang w:eastAsia="en-US"/>
        </w:rPr>
      </w:pPr>
      <w:r w:rsidRPr="00D007D1">
        <w:rPr>
          <w:rFonts w:ascii="Palatino Linotype" w:hAnsi="Palatino Linotype"/>
          <w:lang w:val="es-ES"/>
        </w:rPr>
        <w:t xml:space="preserve">Ante dicha situación, es necesario señalar que </w:t>
      </w:r>
      <w:r w:rsidRPr="00D007D1">
        <w:rPr>
          <w:rFonts w:ascii="Palatino Linotype" w:hAnsi="Palatino Linotype"/>
          <w:color w:val="222222"/>
          <w:lang w:val="es-ES" w:eastAsia="es-MX"/>
        </w:rPr>
        <w:t>el sistema de medios de impugnación en nuestro país se centra en el análisis de </w:t>
      </w:r>
      <w:r w:rsidRPr="00D007D1">
        <w:rPr>
          <w:rFonts w:ascii="Palatino Linotype" w:hAnsi="Palatino Linotype"/>
          <w:color w:val="222222"/>
          <w:u w:val="single"/>
          <w:lang w:val="es-ES" w:eastAsia="es-MX"/>
        </w:rPr>
        <w:t>los agravios o motivos de inconformidad</w:t>
      </w:r>
      <w:r w:rsidRPr="00D007D1">
        <w:rPr>
          <w:rFonts w:ascii="Palatino Linotype" w:hAnsi="Palatino Linotype"/>
          <w:color w:val="222222"/>
          <w:lang w:val="es-ES" w:eastAsia="es-MX"/>
        </w:rPr>
        <w:t>, los que </w:t>
      </w:r>
      <w:r w:rsidRPr="00D007D1">
        <w:rPr>
          <w:rFonts w:ascii="Palatino Linotype" w:hAnsi="Palatino Linotype"/>
          <w:color w:val="222222"/>
          <w:u w:val="single"/>
          <w:lang w:val="es-ES" w:eastAsia="es-MX"/>
        </w:rPr>
        <w:t>deben tener relación directa con el acto de autoridad que lo motiva</w:t>
      </w:r>
      <w:r w:rsidRPr="00D007D1">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D007D1">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1FB4E7C5" w14:textId="77777777" w:rsidR="001B32B2" w:rsidRPr="00D007D1" w:rsidRDefault="001B32B2" w:rsidP="001B32B2">
      <w:pPr>
        <w:pStyle w:val="Prrafodelista"/>
        <w:rPr>
          <w:rFonts w:ascii="Palatino Linotype" w:eastAsia="Calibri" w:hAnsi="Palatino Linotype" w:cs="Tahoma"/>
          <w:bCs/>
          <w:lang w:eastAsia="en-US"/>
        </w:rPr>
      </w:pPr>
    </w:p>
    <w:p w14:paraId="7A2C2EE8" w14:textId="77777777" w:rsidR="001B32B2" w:rsidRPr="00D007D1" w:rsidRDefault="001B32B2" w:rsidP="001B32B2">
      <w:pPr>
        <w:pStyle w:val="Prrafodelista"/>
        <w:numPr>
          <w:ilvl w:val="0"/>
          <w:numId w:val="1"/>
        </w:numPr>
        <w:spacing w:line="360" w:lineRule="auto"/>
        <w:ind w:right="-93"/>
        <w:jc w:val="both"/>
        <w:rPr>
          <w:rFonts w:ascii="Palatino Linotype" w:eastAsia="Calibri" w:hAnsi="Palatino Linotype" w:cs="Tahoma"/>
          <w:bCs/>
          <w:lang w:eastAsia="en-US"/>
        </w:rPr>
      </w:pPr>
      <w:r w:rsidRPr="00D007D1">
        <w:rPr>
          <w:rFonts w:ascii="Palatino Linotype" w:hAnsi="Palatino Linotype"/>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0C10646C" w14:textId="77777777" w:rsidR="001B32B2" w:rsidRPr="00B9068E" w:rsidRDefault="001B32B2" w:rsidP="001B32B2">
      <w:pPr>
        <w:pStyle w:val="Prrafodelista"/>
        <w:rPr>
          <w:rFonts w:ascii="Palatino Linotype" w:hAnsi="Palatino Linotype"/>
          <w:lang w:val="es-ES"/>
        </w:rPr>
      </w:pPr>
    </w:p>
    <w:p w14:paraId="6BE92EEA" w14:textId="77777777" w:rsidR="001B32B2" w:rsidRPr="00B9068E" w:rsidRDefault="001B32B2" w:rsidP="001B32B2">
      <w:pPr>
        <w:pStyle w:val="Prrafodelista"/>
        <w:tabs>
          <w:tab w:val="left" w:pos="851"/>
        </w:tabs>
        <w:ind w:left="567" w:right="567"/>
        <w:jc w:val="both"/>
        <w:rPr>
          <w:rFonts w:ascii="Palatino Linotype" w:hAnsi="Palatino Linotype" w:cs="Bookman Old Style"/>
          <w:i/>
          <w:szCs w:val="20"/>
        </w:rPr>
      </w:pPr>
      <w:r w:rsidRPr="00B9068E">
        <w:rPr>
          <w:rFonts w:ascii="Palatino Linotype" w:hAnsi="Palatino Linotype" w:cs="Bookman Old Style,Bold"/>
          <w:b/>
          <w:bCs/>
          <w:i/>
          <w:szCs w:val="20"/>
        </w:rPr>
        <w:t xml:space="preserve">Artículo 191. </w:t>
      </w:r>
      <w:r w:rsidRPr="00B9068E">
        <w:rPr>
          <w:rFonts w:ascii="Palatino Linotype" w:hAnsi="Palatino Linotype" w:cs="Bookman Old Style"/>
          <w:i/>
          <w:szCs w:val="20"/>
        </w:rPr>
        <w:t>El recurso será desechado por improcedente cuando:</w:t>
      </w:r>
    </w:p>
    <w:p w14:paraId="6BB9C33D" w14:textId="77777777" w:rsidR="001B32B2" w:rsidRPr="00B9068E" w:rsidRDefault="001B32B2" w:rsidP="001B32B2">
      <w:pPr>
        <w:pStyle w:val="Prrafodelista"/>
        <w:tabs>
          <w:tab w:val="left" w:pos="851"/>
        </w:tabs>
        <w:ind w:left="567" w:right="567"/>
        <w:jc w:val="both"/>
        <w:rPr>
          <w:rFonts w:ascii="Palatino Linotype" w:hAnsi="Palatino Linotype" w:cs="Bookman Old Style"/>
          <w:i/>
          <w:szCs w:val="20"/>
        </w:rPr>
      </w:pPr>
      <w:r w:rsidRPr="00B9068E">
        <w:rPr>
          <w:rFonts w:ascii="Palatino Linotype" w:hAnsi="Palatino Linotype" w:cs="Bookman Old Style"/>
          <w:i/>
          <w:szCs w:val="20"/>
        </w:rPr>
        <w:t>…</w:t>
      </w:r>
    </w:p>
    <w:p w14:paraId="5083DB4B" w14:textId="77777777" w:rsidR="001B32B2" w:rsidRPr="00B9068E" w:rsidRDefault="001B32B2" w:rsidP="001B32B2">
      <w:pPr>
        <w:autoSpaceDE w:val="0"/>
        <w:autoSpaceDN w:val="0"/>
        <w:adjustRightInd w:val="0"/>
        <w:ind w:left="567" w:right="567"/>
        <w:rPr>
          <w:rFonts w:ascii="Palatino Linotype" w:hAnsi="Palatino Linotype"/>
          <w:i/>
          <w:sz w:val="28"/>
          <w:lang w:val="es-ES"/>
        </w:rPr>
      </w:pPr>
      <w:r w:rsidRPr="00B9068E">
        <w:rPr>
          <w:rFonts w:ascii="Palatino Linotype" w:hAnsi="Palatino Linotype" w:cs="Bookman Old Style,Bold"/>
          <w:b/>
          <w:bCs/>
          <w:i/>
          <w:sz w:val="22"/>
        </w:rPr>
        <w:t xml:space="preserve">VII. </w:t>
      </w:r>
      <w:r w:rsidRPr="00B9068E">
        <w:rPr>
          <w:rFonts w:ascii="Palatino Linotype" w:hAnsi="Palatino Linotype" w:cs="Bookman Old Style"/>
          <w:i/>
          <w:sz w:val="22"/>
        </w:rPr>
        <w:t>El recurrente amplíe su solicitud en el recurso de revisión, únicamente respecto de los nuevos contenidos.</w:t>
      </w:r>
    </w:p>
    <w:p w14:paraId="6D80A7E2" w14:textId="77777777" w:rsidR="001B32B2" w:rsidRPr="00B9068E" w:rsidRDefault="001B32B2" w:rsidP="001B32B2">
      <w:pPr>
        <w:pStyle w:val="Prrafodelista"/>
        <w:tabs>
          <w:tab w:val="left" w:pos="851"/>
        </w:tabs>
        <w:spacing w:line="360" w:lineRule="auto"/>
        <w:ind w:left="0" w:right="49"/>
        <w:jc w:val="both"/>
        <w:rPr>
          <w:rFonts w:ascii="Palatino Linotype" w:hAnsi="Palatino Linotype"/>
          <w:lang w:val="es-ES"/>
        </w:rPr>
      </w:pPr>
    </w:p>
    <w:p w14:paraId="36C0EEB7" w14:textId="745F7B12" w:rsidR="001B32B2" w:rsidRPr="00893F73" w:rsidRDefault="001B32B2" w:rsidP="00893F73">
      <w:pPr>
        <w:pStyle w:val="Prrafodelista"/>
        <w:numPr>
          <w:ilvl w:val="0"/>
          <w:numId w:val="1"/>
        </w:numPr>
        <w:tabs>
          <w:tab w:val="left" w:pos="851"/>
        </w:tabs>
        <w:spacing w:line="360" w:lineRule="auto"/>
        <w:ind w:right="49"/>
        <w:jc w:val="both"/>
        <w:rPr>
          <w:rFonts w:ascii="Palatino Linotype" w:hAnsi="Palatino Linotype"/>
          <w:lang w:val="es-ES"/>
        </w:rPr>
      </w:pPr>
      <w:r w:rsidRPr="00B9068E">
        <w:rPr>
          <w:rFonts w:ascii="Palatino Linotype" w:hAnsi="Palatino Linotype"/>
          <w:color w:val="222222"/>
          <w:lang w:val="es-ES" w:eastAsia="es-MX"/>
        </w:rPr>
        <w:t xml:space="preserve">Por lo anterior, resulta improcedente </w:t>
      </w:r>
      <w:r w:rsidR="00893F73">
        <w:rPr>
          <w:rFonts w:ascii="Palatino Linotype" w:hAnsi="Palatino Linotype"/>
          <w:color w:val="222222"/>
          <w:lang w:val="es-ES" w:eastAsia="es-MX"/>
        </w:rPr>
        <w:t xml:space="preserve">parcialmente </w:t>
      </w:r>
      <w:r w:rsidRPr="00B9068E">
        <w:rPr>
          <w:rFonts w:ascii="Palatino Linotype" w:hAnsi="Palatino Linotype"/>
          <w:color w:val="222222"/>
          <w:lang w:val="es-ES" w:eastAsia="es-MX"/>
        </w:rPr>
        <w:t>el referido acto impugnado, toda vez que</w:t>
      </w:r>
      <w:r w:rsidRPr="00B9068E">
        <w:rPr>
          <w:rFonts w:ascii="Palatino Linotype" w:hAnsi="Palatino Linotype"/>
          <w:color w:val="000000"/>
          <w:lang w:eastAsia="es-MX"/>
        </w:rPr>
        <w:t> la ahora recurrente se excede dentro de su inconformidad respecto a lo requerido originalmente en la solicitud de información, siendo el caso que pretende ampliar lo solicitado de origen</w:t>
      </w:r>
      <w:r>
        <w:rPr>
          <w:rFonts w:ascii="Palatino Linotype" w:hAnsi="Palatino Linotype"/>
          <w:color w:val="000000"/>
          <w:lang w:eastAsia="es-MX"/>
        </w:rPr>
        <w:t xml:space="preserve"> añadiendo lo relativo a la autorización de cambio de uso de suelo</w:t>
      </w:r>
      <w:r w:rsidRPr="00B9068E">
        <w:rPr>
          <w:rFonts w:ascii="Palatino Linotype" w:hAnsi="Palatino Linotype"/>
          <w:color w:val="000000"/>
          <w:lang w:eastAsia="es-MX"/>
        </w:rPr>
        <w:t>. Lo que hace que se surta lo que en la teoría jurídica se le denomina como </w:t>
      </w:r>
      <w:r w:rsidRPr="00B9068E">
        <w:rPr>
          <w:rFonts w:ascii="Palatino Linotype" w:hAnsi="Palatino Linotype"/>
          <w:b/>
          <w:bCs/>
          <w:color w:val="000000"/>
          <w:lang w:eastAsia="es-MX"/>
        </w:rPr>
        <w:t>plus petitio</w:t>
      </w:r>
      <w:r w:rsidRPr="00B9068E">
        <w:rPr>
          <w:rFonts w:ascii="Palatino Linotype" w:hAnsi="Palatino Linotype"/>
          <w:color w:val="000000"/>
          <w:lang w:eastAsia="es-MX"/>
        </w:rPr>
        <w:t>.</w:t>
      </w:r>
    </w:p>
    <w:p w14:paraId="69DB7C81" w14:textId="77777777" w:rsidR="00893F73" w:rsidRDefault="00893F73" w:rsidP="00893F73">
      <w:pPr>
        <w:pStyle w:val="Prrafodelista"/>
        <w:tabs>
          <w:tab w:val="left" w:pos="851"/>
        </w:tabs>
        <w:spacing w:line="360" w:lineRule="auto"/>
        <w:ind w:left="0" w:right="49"/>
        <w:jc w:val="both"/>
        <w:rPr>
          <w:rFonts w:ascii="Palatino Linotype" w:hAnsi="Palatino Linotype"/>
          <w:lang w:val="es-ES"/>
        </w:rPr>
      </w:pPr>
    </w:p>
    <w:p w14:paraId="72C7C1B7" w14:textId="6BBA6C59" w:rsidR="00893F73" w:rsidRDefault="00893F73" w:rsidP="00893F73">
      <w:pPr>
        <w:pStyle w:val="Prrafodelista"/>
        <w:numPr>
          <w:ilvl w:val="0"/>
          <w:numId w:val="1"/>
        </w:numPr>
        <w:tabs>
          <w:tab w:val="left" w:pos="851"/>
        </w:tabs>
        <w:spacing w:line="360" w:lineRule="auto"/>
        <w:ind w:right="49"/>
        <w:jc w:val="both"/>
        <w:rPr>
          <w:rFonts w:ascii="Palatino Linotype" w:hAnsi="Palatino Linotype"/>
          <w:lang w:val="es-ES"/>
        </w:rPr>
      </w:pPr>
      <w:r>
        <w:rPr>
          <w:rFonts w:ascii="Palatino Linotype" w:hAnsi="Palatino Linotype"/>
          <w:lang w:val="es-ES"/>
        </w:rPr>
        <w:t>Sin embargo, se dejan a salvo los derechos del Recurrente, para que, si así lo desea presente una nueva solicitud en la que requiera la información que a sus intereses convenga.</w:t>
      </w:r>
    </w:p>
    <w:p w14:paraId="4BDD23A9" w14:textId="77777777" w:rsidR="00EC0ED2" w:rsidRPr="00710012" w:rsidRDefault="00EC0ED2" w:rsidP="00EC0ED2">
      <w:pPr>
        <w:pStyle w:val="Ttulo1"/>
        <w:rPr>
          <w:b/>
          <w:bCs/>
        </w:rPr>
      </w:pPr>
      <w:bookmarkStart w:id="33" w:name="_Toc50654428"/>
      <w:bookmarkStart w:id="34" w:name="_Toc73048206"/>
      <w:r w:rsidRPr="00710012">
        <w:rPr>
          <w:b/>
          <w:bCs/>
        </w:rPr>
        <w:t>QUINTO. DE LA VERSIÓN PÚBLICA.</w:t>
      </w:r>
      <w:bookmarkEnd w:id="33"/>
      <w:bookmarkEnd w:id="34"/>
    </w:p>
    <w:p w14:paraId="7DADFAC9" w14:textId="77777777" w:rsidR="00EC0ED2" w:rsidRDefault="00EC0ED2" w:rsidP="00EC0ED2">
      <w:pPr>
        <w:rPr>
          <w:lang w:eastAsia="en-US"/>
        </w:rPr>
      </w:pPr>
    </w:p>
    <w:p w14:paraId="167ADC8B" w14:textId="77777777" w:rsidR="00EC0ED2" w:rsidRPr="0037377C" w:rsidRDefault="00EC0ED2" w:rsidP="00EC0ED2">
      <w:pPr>
        <w:pStyle w:val="Ttulo2"/>
        <w:numPr>
          <w:ilvl w:val="1"/>
          <w:numId w:val="1"/>
        </w:numPr>
        <w:ind w:left="709"/>
        <w:rPr>
          <w:rFonts w:ascii="Palatino Linotype" w:hAnsi="Palatino Linotype"/>
          <w:b/>
          <w:bCs/>
          <w:color w:val="auto"/>
          <w:sz w:val="24"/>
          <w:szCs w:val="24"/>
        </w:rPr>
      </w:pPr>
      <w:bookmarkStart w:id="35" w:name="_Toc48135362"/>
      <w:bookmarkStart w:id="36" w:name="_Toc70599270"/>
      <w:bookmarkStart w:id="37" w:name="_Toc73048207"/>
      <w:r w:rsidRPr="0037377C">
        <w:rPr>
          <w:rFonts w:ascii="Palatino Linotype" w:hAnsi="Palatino Linotype"/>
          <w:b/>
          <w:bCs/>
          <w:color w:val="auto"/>
          <w:sz w:val="24"/>
          <w:szCs w:val="24"/>
        </w:rPr>
        <w:t>Nociones generales.</w:t>
      </w:r>
      <w:bookmarkEnd w:id="35"/>
      <w:bookmarkEnd w:id="36"/>
      <w:bookmarkEnd w:id="37"/>
      <w:r w:rsidRPr="0037377C">
        <w:rPr>
          <w:rFonts w:ascii="Palatino Linotype" w:hAnsi="Palatino Linotype"/>
          <w:b/>
          <w:bCs/>
          <w:color w:val="auto"/>
          <w:sz w:val="24"/>
          <w:szCs w:val="24"/>
        </w:rPr>
        <w:t xml:space="preserve"> </w:t>
      </w:r>
    </w:p>
    <w:p w14:paraId="026B8D27" w14:textId="77777777" w:rsidR="00EC0ED2" w:rsidRPr="00C317BE" w:rsidRDefault="00EC0ED2" w:rsidP="00EC0ED2">
      <w:pPr>
        <w:pStyle w:val="Prrafodelista"/>
        <w:tabs>
          <w:tab w:val="left" w:pos="426"/>
        </w:tabs>
        <w:spacing w:line="360" w:lineRule="auto"/>
        <w:ind w:left="0"/>
        <w:jc w:val="both"/>
        <w:rPr>
          <w:rFonts w:ascii="Palatino Linotype" w:eastAsia="MS Mincho" w:hAnsi="Palatino Linotype" w:cs="Arial"/>
          <w:color w:val="000000" w:themeColor="text1"/>
        </w:rPr>
      </w:pPr>
    </w:p>
    <w:p w14:paraId="7312BDAC" w14:textId="77777777" w:rsidR="00EC0ED2" w:rsidRPr="00C317BE" w:rsidRDefault="00EC0ED2" w:rsidP="00EC0ED2">
      <w:pPr>
        <w:pStyle w:val="Prrafodelista"/>
        <w:numPr>
          <w:ilvl w:val="0"/>
          <w:numId w:val="1"/>
        </w:numPr>
        <w:spacing w:line="360" w:lineRule="auto"/>
        <w:ind w:right="49"/>
        <w:jc w:val="both"/>
        <w:rPr>
          <w:rFonts w:ascii="Palatino Linotype" w:eastAsia="Times New Roman" w:hAnsi="Palatino Linotype" w:cs="Arial"/>
          <w:color w:val="000000"/>
        </w:rPr>
      </w:pPr>
      <w:r w:rsidRPr="00C317BE">
        <w:rPr>
          <w:rFonts w:ascii="Palatino Linotype" w:eastAsia="Times New Roman" w:hAnsi="Palatino Linotype" w:cs="Arial"/>
          <w:color w:val="000000"/>
        </w:rPr>
        <w:t>Debe destacarse que, debido a la naturaleza de la información solicitada</w:t>
      </w:r>
      <w:r w:rsidRPr="00C317BE">
        <w:rPr>
          <w:rFonts w:ascii="Palatino Linotype" w:eastAsia="Times New Roman" w:hAnsi="Palatino Linotype" w:cs="Arial"/>
          <w:b/>
          <w:color w:val="000000"/>
        </w:rPr>
        <w:t xml:space="preserve">, </w:t>
      </w:r>
      <w:r w:rsidRPr="00C317BE">
        <w:rPr>
          <w:rFonts w:ascii="Palatino Linotype" w:eastAsia="Times New Roman" w:hAnsi="Palatino Linotype" w:cs="Arial"/>
          <w:color w:val="000000"/>
        </w:rPr>
        <w:t>eventualmente pudiera obrar datos personales susceptibles de protegerse,</w:t>
      </w:r>
      <w:r>
        <w:rPr>
          <w:rFonts w:ascii="Palatino Linotype" w:eastAsia="Times New Roman" w:hAnsi="Palatino Linotype" w:cs="Arial"/>
          <w:color w:val="000000"/>
        </w:rPr>
        <w:t xml:space="preserve"> así como información susceptible de clasificarse como reservada,</w:t>
      </w:r>
      <w:r w:rsidRPr="00C317BE">
        <w:rPr>
          <w:rFonts w:ascii="Palatino Linotype" w:eastAsia="Times New Roman" w:hAnsi="Palatino Linotype" w:cs="Arial"/>
          <w:color w:val="000000"/>
        </w:rPr>
        <w:t xml:space="preserve"> el </w:t>
      </w:r>
      <w:r w:rsidRPr="00C317BE">
        <w:rPr>
          <w:rFonts w:ascii="Palatino Linotype" w:eastAsia="Times New Roman" w:hAnsi="Palatino Linotype" w:cs="Arial"/>
          <w:b/>
          <w:bCs/>
          <w:color w:val="000000"/>
        </w:rPr>
        <w:t xml:space="preserve">Sujeto Obligado </w:t>
      </w:r>
      <w:r w:rsidRPr="00C317BE">
        <w:rPr>
          <w:rFonts w:ascii="Palatino Linotype" w:eastAsia="Times New Roman" w:hAnsi="Palatino Linotype" w:cs="Arial"/>
          <w:color w:val="000000"/>
        </w:rPr>
        <w:t xml:space="preserve">deberá de hacer la adecuada versión pública, protegiendo los datos que no son susceptibles de ser proporcionados. </w:t>
      </w:r>
    </w:p>
    <w:p w14:paraId="31036BA5" w14:textId="77777777" w:rsidR="00EC0ED2" w:rsidRPr="00C317BE" w:rsidRDefault="00EC0ED2" w:rsidP="00EC0ED2">
      <w:pPr>
        <w:pStyle w:val="Prrafodelista"/>
        <w:tabs>
          <w:tab w:val="left" w:pos="0"/>
        </w:tabs>
        <w:spacing w:line="360" w:lineRule="auto"/>
        <w:ind w:left="0" w:right="49"/>
        <w:jc w:val="both"/>
        <w:rPr>
          <w:rFonts w:ascii="Palatino Linotype" w:eastAsia="MS Mincho" w:hAnsi="Palatino Linotype" w:cs="Times New Roman"/>
          <w:highlight w:val="yellow"/>
          <w:lang w:val="es-ES"/>
        </w:rPr>
      </w:pPr>
    </w:p>
    <w:p w14:paraId="6B456298" w14:textId="77777777" w:rsidR="00EC0ED2" w:rsidRPr="00C317BE" w:rsidRDefault="00EC0ED2" w:rsidP="00EC0ED2">
      <w:pPr>
        <w:numPr>
          <w:ilvl w:val="0"/>
          <w:numId w:val="1"/>
        </w:numPr>
        <w:spacing w:line="360" w:lineRule="auto"/>
        <w:ind w:right="49"/>
        <w:contextualSpacing/>
        <w:jc w:val="both"/>
        <w:rPr>
          <w:rFonts w:ascii="Palatino Linotype" w:eastAsia="Times New Roman" w:hAnsi="Palatino Linotype" w:cs="Arial"/>
          <w:color w:val="000000"/>
        </w:rPr>
      </w:pPr>
      <w:r w:rsidRPr="00C317BE">
        <w:rPr>
          <w:rFonts w:ascii="Palatino Linotype" w:eastAsia="Times New Roman" w:hAnsi="Palatino Linotype" w:cs="Arial"/>
          <w:color w:val="000000"/>
        </w:rPr>
        <w:lastRenderedPageBreak/>
        <w:t xml:space="preserve">No pasa desapercibido para este Órgano Garante que los </w:t>
      </w:r>
      <w:r w:rsidRPr="00C317BE">
        <w:rPr>
          <w:rFonts w:ascii="Palatino Linotype" w:eastAsia="Times New Roman" w:hAnsi="Palatino Linotype" w:cs="Arial"/>
          <w:b/>
          <w:bCs/>
          <w:color w:val="000000"/>
        </w:rPr>
        <w:t xml:space="preserve">Sujetos Obligados </w:t>
      </w:r>
      <w:r w:rsidRPr="00C317BE">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FE45043" w14:textId="77777777" w:rsidR="00EC0ED2" w:rsidRPr="004B0570" w:rsidRDefault="00EC0ED2" w:rsidP="00EC0ED2">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EC0ED2" w:rsidRPr="00C317BE" w14:paraId="3CA0EE3C" w14:textId="77777777" w:rsidTr="00EC0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4E7FBAC" w14:textId="77777777" w:rsidR="00EC0ED2" w:rsidRPr="00C317BE" w:rsidRDefault="00EC0ED2" w:rsidP="00EC0ED2">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a) Requisitos previos.</w:t>
            </w:r>
          </w:p>
        </w:tc>
        <w:tc>
          <w:tcPr>
            <w:tcW w:w="6990" w:type="dxa"/>
            <w:hideMark/>
          </w:tcPr>
          <w:p w14:paraId="62AECD73" w14:textId="77777777" w:rsidR="00EC0ED2" w:rsidRPr="00C317BE"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70C980E" w14:textId="77777777" w:rsidR="00EC0ED2" w:rsidRPr="00C317BE"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693244C6" w14:textId="77777777" w:rsidR="00EC0ED2" w:rsidRPr="00C317BE"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8854B27" w14:textId="77777777" w:rsidR="00EC0ED2" w:rsidRPr="00C317BE" w:rsidRDefault="00EC0ED2" w:rsidP="00EC0ED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C317B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EC0ED2" w:rsidRPr="00C317BE" w14:paraId="09ECE052"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4E05030" w14:textId="77777777" w:rsidR="00EC0ED2" w:rsidRPr="00C317BE" w:rsidRDefault="00EC0ED2" w:rsidP="00EC0ED2">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b) Supuestos de clasificación.</w:t>
            </w:r>
          </w:p>
        </w:tc>
        <w:tc>
          <w:tcPr>
            <w:tcW w:w="6990" w:type="dxa"/>
            <w:hideMark/>
          </w:tcPr>
          <w:p w14:paraId="2C70F37E" w14:textId="77777777" w:rsidR="00EC0ED2" w:rsidRPr="00C317BE"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439E924" w14:textId="77777777" w:rsidR="00EC0ED2" w:rsidRPr="00C317BE"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w:t>
            </w:r>
            <w:r w:rsidRPr="00C317BE">
              <w:rPr>
                <w:rFonts w:ascii="Palatino Linotype" w:eastAsia="Times New Roman" w:hAnsi="Palatino Linotype" w:cs="Arial"/>
                <w:color w:val="000000"/>
                <w:sz w:val="20"/>
                <w:szCs w:val="20"/>
              </w:rPr>
              <w:lastRenderedPageBreak/>
              <w:t>realizarse de manera restrictiva y limitada, por lo que debe acreditarse que se cumple con esta condición y no se pueden ampliar las excepciones o supuestos de clasificación aduciendo analogía o mayoría de razón.</w:t>
            </w:r>
          </w:p>
          <w:p w14:paraId="3CB1BEAE" w14:textId="77777777" w:rsidR="00EC0ED2" w:rsidRPr="00C317BE" w:rsidRDefault="00EC0ED2" w:rsidP="00EC0ED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 xml:space="preserve">El </w:t>
            </w:r>
            <w:r w:rsidRPr="00C317BE">
              <w:rPr>
                <w:rFonts w:ascii="Palatino Linotype" w:eastAsia="Times New Roman" w:hAnsi="Palatino Linotype" w:cs="Arial"/>
                <w:b/>
                <w:color w:val="000000"/>
                <w:sz w:val="20"/>
                <w:szCs w:val="20"/>
              </w:rPr>
              <w:t>Sujeto Obligado</w:t>
            </w:r>
            <w:r w:rsidRPr="00C317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C0ED2" w:rsidRPr="00C317BE" w14:paraId="5C34ED2B" w14:textId="77777777" w:rsidTr="00EC0ED2">
        <w:tc>
          <w:tcPr>
            <w:cnfStyle w:val="001000000000" w:firstRow="0" w:lastRow="0" w:firstColumn="1" w:lastColumn="0" w:oddVBand="0" w:evenVBand="0" w:oddHBand="0" w:evenHBand="0" w:firstRowFirstColumn="0" w:firstRowLastColumn="0" w:lastRowFirstColumn="0" w:lastRowLastColumn="0"/>
            <w:tcW w:w="1838" w:type="dxa"/>
            <w:hideMark/>
          </w:tcPr>
          <w:p w14:paraId="5F666BB9" w14:textId="77777777" w:rsidR="00EC0ED2" w:rsidRPr="00C317BE" w:rsidRDefault="00EC0ED2" w:rsidP="00EC0ED2">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c) Formalidades para emitir el acuerdo de clasificación.</w:t>
            </w:r>
          </w:p>
        </w:tc>
        <w:tc>
          <w:tcPr>
            <w:tcW w:w="6990" w:type="dxa"/>
            <w:hideMark/>
          </w:tcPr>
          <w:p w14:paraId="773F9269" w14:textId="77777777" w:rsidR="00EC0ED2" w:rsidRPr="00C317BE"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CE0D029" w14:textId="77777777" w:rsidR="00EC0ED2" w:rsidRPr="00C317BE"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Es necesario que </w:t>
            </w:r>
            <w:r w:rsidRPr="00C317BE">
              <w:rPr>
                <w:rFonts w:ascii="Palatino Linotype" w:eastAsia="Times New Roman" w:hAnsi="Palatino Linotype" w:cs="Arial"/>
                <w:b/>
                <w:color w:val="000000"/>
                <w:sz w:val="20"/>
                <w:szCs w:val="20"/>
                <w:u w:val="single"/>
              </w:rPr>
              <w:t>el acto reúna con los requisitos elementales</w:t>
            </w:r>
            <w:r w:rsidRPr="00C317BE">
              <w:rPr>
                <w:rFonts w:ascii="Palatino Linotype" w:eastAsia="Times New Roman" w:hAnsi="Palatino Linotype" w:cs="Arial"/>
                <w:color w:val="000000"/>
                <w:sz w:val="20"/>
                <w:szCs w:val="20"/>
              </w:rPr>
              <w:t>, entre ellos, que la autoridad que va a emitir el acto de autoridad sea la legalmente facultada para ello.</w:t>
            </w:r>
          </w:p>
          <w:p w14:paraId="379EA536" w14:textId="77777777" w:rsidR="00EC0ED2" w:rsidRPr="00C317BE" w:rsidRDefault="00EC0ED2" w:rsidP="00EC0ED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C0ED2" w:rsidRPr="00C317BE" w14:paraId="1289E581"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7B81AE" w14:textId="77777777" w:rsidR="00EC0ED2" w:rsidRPr="00C317BE" w:rsidRDefault="00EC0ED2" w:rsidP="00EC0ED2">
            <w:pPr>
              <w:spacing w:line="360" w:lineRule="auto"/>
              <w:rPr>
                <w:rFonts w:ascii="Palatino Linotype" w:hAnsi="Palatino Linotype"/>
                <w:b w:val="0"/>
                <w:sz w:val="20"/>
                <w:szCs w:val="20"/>
              </w:rPr>
            </w:pPr>
          </w:p>
          <w:p w14:paraId="1E2AE21B" w14:textId="77777777" w:rsidR="00EC0ED2" w:rsidRPr="00C317BE" w:rsidRDefault="00EC0ED2" w:rsidP="00EC0ED2">
            <w:pPr>
              <w:spacing w:line="360" w:lineRule="auto"/>
              <w:jc w:val="both"/>
              <w:rPr>
                <w:rFonts w:ascii="Palatino Linotype" w:hAnsi="Palatino Linotype"/>
                <w:bCs w:val="0"/>
                <w:sz w:val="20"/>
                <w:szCs w:val="20"/>
              </w:rPr>
            </w:pPr>
            <w:r w:rsidRPr="00C317B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E30DCE1" w14:textId="77777777" w:rsidR="00EC0ED2" w:rsidRPr="00C317BE"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eastAsia="Times New Roman" w:hAnsi="Palatino Linotype" w:cs="Arial"/>
                <w:b/>
                <w:color w:val="000000"/>
                <w:sz w:val="20"/>
                <w:szCs w:val="20"/>
              </w:rPr>
              <w:t>Sujetos Obligados</w:t>
            </w:r>
            <w:r w:rsidRPr="00C317BE">
              <w:rPr>
                <w:rFonts w:ascii="Palatino Linotype" w:eastAsia="Times New Roman" w:hAnsi="Palatino Linotype" w:cs="Arial"/>
                <w:color w:val="000000"/>
                <w:sz w:val="20"/>
                <w:szCs w:val="20"/>
              </w:rPr>
              <w:t xml:space="preserve">, por lo que deberán fundar y motivar debidamente la clasificación. </w:t>
            </w:r>
          </w:p>
          <w:p w14:paraId="639690FB" w14:textId="77777777" w:rsidR="00EC0ED2" w:rsidRPr="00C317BE"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lastRenderedPageBreak/>
              <w:t xml:space="preserve">De lo anterior, se desprende que para una correcta </w:t>
            </w:r>
            <w:r w:rsidRPr="00C317BE">
              <w:rPr>
                <w:rFonts w:ascii="Palatino Linotype" w:eastAsia="Times New Roman" w:hAnsi="Palatino Linotype" w:cs="Arial"/>
                <w:b/>
                <w:color w:val="000000"/>
                <w:sz w:val="20"/>
                <w:szCs w:val="20"/>
              </w:rPr>
              <w:t>clasificación total o parcial</w:t>
            </w:r>
            <w:r w:rsidRPr="00C317B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44E718" w14:textId="77777777" w:rsidR="00EC0ED2" w:rsidRPr="00C317BE"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624B80" w14:textId="77777777" w:rsidR="00EC0ED2" w:rsidRPr="00C317BE"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DF747C9" w14:textId="77777777" w:rsidR="00EC0ED2" w:rsidRPr="00C317BE"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Ahora bien, </w:t>
            </w:r>
            <w:r w:rsidRPr="00C317BE">
              <w:rPr>
                <w:rFonts w:ascii="Palatino Linotype" w:eastAsia="Times New Roman" w:hAnsi="Palatino Linotype" w:cs="Arial"/>
                <w:b/>
                <w:color w:val="000000"/>
                <w:sz w:val="20"/>
                <w:szCs w:val="20"/>
                <w:u w:val="single"/>
              </w:rPr>
              <w:t>para cada caso además de fundar y motivar</w:t>
            </w:r>
            <w:r w:rsidRPr="00C317B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C0ED2" w:rsidRPr="00C317BE" w14:paraId="29A2108A" w14:textId="77777777" w:rsidTr="00EC0ED2">
        <w:tc>
          <w:tcPr>
            <w:cnfStyle w:val="001000000000" w:firstRow="0" w:lastRow="0" w:firstColumn="1" w:lastColumn="0" w:oddVBand="0" w:evenVBand="0" w:oddHBand="0" w:evenHBand="0" w:firstRowFirstColumn="0" w:firstRowLastColumn="0" w:lastRowFirstColumn="0" w:lastRowLastColumn="0"/>
            <w:tcW w:w="1838" w:type="dxa"/>
          </w:tcPr>
          <w:p w14:paraId="4F364687" w14:textId="77777777" w:rsidR="00EC0ED2" w:rsidRPr="00C317BE" w:rsidRDefault="00EC0ED2" w:rsidP="00EC0ED2">
            <w:pPr>
              <w:spacing w:line="360" w:lineRule="auto"/>
              <w:ind w:right="49"/>
              <w:jc w:val="both"/>
              <w:rPr>
                <w:rFonts w:ascii="Palatino Linotype" w:eastAsia="Times New Roman" w:hAnsi="Palatino Linotype" w:cs="Arial"/>
                <w:bCs w:val="0"/>
                <w:sz w:val="20"/>
                <w:szCs w:val="20"/>
              </w:rPr>
            </w:pPr>
            <w:r w:rsidRPr="00C317BE">
              <w:rPr>
                <w:rFonts w:ascii="Palatino Linotype" w:eastAsia="MS Gothic" w:hAnsi="Palatino Linotype" w:cs="Times New Roman"/>
                <w:b w:val="0"/>
                <w:sz w:val="20"/>
                <w:szCs w:val="20"/>
              </w:rPr>
              <w:lastRenderedPageBreak/>
              <w:t>e</w:t>
            </w:r>
            <w:r w:rsidRPr="00C317B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703C7983" w14:textId="77777777" w:rsidR="00EC0ED2" w:rsidRPr="00C317BE"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B0E99F0" w14:textId="77777777" w:rsidR="00EC0ED2" w:rsidRPr="00C317BE"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34760F" w14:textId="77777777" w:rsidR="00EC0ED2" w:rsidRPr="00C317BE" w:rsidRDefault="00EC0ED2" w:rsidP="00EC0ED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96157F9" w14:textId="77777777" w:rsidR="00EC0ED2" w:rsidRPr="00710012" w:rsidRDefault="00EC0ED2" w:rsidP="00EC0ED2">
      <w:pPr>
        <w:spacing w:line="360" w:lineRule="auto"/>
        <w:ind w:right="-93"/>
        <w:jc w:val="both"/>
        <w:rPr>
          <w:rFonts w:ascii="Palatino Linotype" w:eastAsia="Calibri" w:hAnsi="Palatino Linotype" w:cs="Tahoma"/>
          <w:bCs/>
          <w:lang w:eastAsia="en-US"/>
        </w:rPr>
      </w:pPr>
    </w:p>
    <w:p w14:paraId="3678BD21" w14:textId="77777777" w:rsidR="00EC0ED2" w:rsidRPr="00EC0ED2" w:rsidRDefault="00EC0ED2" w:rsidP="00EC0ED2">
      <w:pPr>
        <w:pStyle w:val="Prrafodelista"/>
        <w:numPr>
          <w:ilvl w:val="0"/>
          <w:numId w:val="1"/>
        </w:numPr>
        <w:spacing w:line="360" w:lineRule="auto"/>
        <w:jc w:val="both"/>
        <w:rPr>
          <w:lang w:eastAsia="en-US"/>
        </w:rPr>
      </w:pPr>
      <w:r w:rsidRPr="00655821">
        <w:rPr>
          <w:rFonts w:ascii="Palatino Linotype" w:eastAsia="Times New Roman"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61965BB" w14:textId="77777777" w:rsidR="00EC0ED2" w:rsidRPr="00A57E34" w:rsidRDefault="00EC0ED2" w:rsidP="00EC0ED2">
      <w:pPr>
        <w:pStyle w:val="Prrafodelista"/>
        <w:spacing w:line="360" w:lineRule="auto"/>
        <w:ind w:left="0"/>
        <w:jc w:val="both"/>
        <w:rPr>
          <w:lang w:eastAsia="en-US"/>
        </w:rPr>
      </w:pPr>
    </w:p>
    <w:p w14:paraId="19A111DC" w14:textId="15833E4F" w:rsidR="00266588" w:rsidRPr="00A0054B"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0054B">
        <w:rPr>
          <w:rFonts w:ascii="Palatino Linotype" w:hAnsi="Palatino Linotype"/>
          <w:color w:val="000000" w:themeColor="text1"/>
          <w:lang w:val="es-ES"/>
        </w:rPr>
        <w:t xml:space="preserve">Por </w:t>
      </w:r>
      <w:r w:rsidR="00B41516" w:rsidRPr="00A0054B">
        <w:rPr>
          <w:rFonts w:ascii="Palatino Linotype" w:hAnsi="Palatino Linotype"/>
          <w:color w:val="000000" w:themeColor="text1"/>
        </w:rPr>
        <w:t xml:space="preserve">lo anteriormente expuesto y fundado, </w:t>
      </w:r>
      <w:r w:rsidR="003E6079" w:rsidRPr="00A0054B">
        <w:rPr>
          <w:rFonts w:ascii="Palatino Linotype" w:hAnsi="Palatino Linotype"/>
          <w:color w:val="000000" w:themeColor="text1"/>
        </w:rPr>
        <w:t>e</w:t>
      </w:r>
      <w:r w:rsidR="00B41516" w:rsidRPr="00A0054B">
        <w:rPr>
          <w:rFonts w:ascii="Palatino Linotype" w:hAnsi="Palatino Linotype"/>
          <w:color w:val="000000" w:themeColor="text1"/>
        </w:rPr>
        <w:t xml:space="preserve">ste </w:t>
      </w:r>
      <w:r w:rsidR="00B41516" w:rsidRPr="00A0054B">
        <w:rPr>
          <w:rFonts w:ascii="Palatino Linotype" w:hAnsi="Palatino Linotype"/>
          <w:b/>
          <w:color w:val="000000" w:themeColor="text1"/>
        </w:rPr>
        <w:t>ÓRGANO GARANTE</w:t>
      </w:r>
      <w:r w:rsidR="00B41516" w:rsidRPr="00A0054B">
        <w:rPr>
          <w:rFonts w:ascii="Palatino Linotype" w:hAnsi="Palatino Linotype"/>
          <w:color w:val="000000" w:themeColor="text1"/>
        </w:rPr>
        <w:t xml:space="preserve"> emite los siguientes:</w:t>
      </w:r>
      <w:r w:rsidR="003E6079" w:rsidRPr="00A0054B">
        <w:rPr>
          <w:rFonts w:ascii="Palatino Linotype" w:hAnsi="Palatino Linotype"/>
          <w:color w:val="000000" w:themeColor="text1"/>
        </w:rPr>
        <w:t xml:space="preserve"> </w:t>
      </w:r>
    </w:p>
    <w:p w14:paraId="18C7D92B" w14:textId="77777777" w:rsidR="009959DB" w:rsidRPr="00A0054B"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A0054B">
        <w:rPr>
          <w:b/>
          <w:color w:val="000000" w:themeColor="text1"/>
          <w:szCs w:val="24"/>
        </w:rPr>
        <w:t>R E S O L U T I V O S</w:t>
      </w:r>
      <w:bookmarkEnd w:id="24"/>
      <w:bookmarkEnd w:id="25"/>
      <w:bookmarkEnd w:id="38"/>
      <w:bookmarkEnd w:id="39"/>
      <w:bookmarkEnd w:id="40"/>
    </w:p>
    <w:p w14:paraId="6326C9E1" w14:textId="77777777" w:rsidR="00EC0ED2" w:rsidRDefault="00EC0ED2" w:rsidP="00370102">
      <w:pPr>
        <w:spacing w:line="360" w:lineRule="auto"/>
        <w:jc w:val="both"/>
        <w:rPr>
          <w:rFonts w:ascii="Palatino Linotype" w:hAnsi="Palatino Linotype" w:cs="Arial"/>
          <w:b/>
        </w:rPr>
      </w:pPr>
    </w:p>
    <w:p w14:paraId="4381CE1C" w14:textId="50128736" w:rsidR="00EC0ED2" w:rsidRPr="00A0054B" w:rsidRDefault="00EC0ED2" w:rsidP="00EC0ED2">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Resultan parcialmente fundadas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Pr="00A0054B">
        <w:rPr>
          <w:rFonts w:ascii="Palatino Linotype" w:hAnsi="Palatino Linotype"/>
          <w:b/>
        </w:rPr>
        <w:t>0</w:t>
      </w:r>
      <w:r>
        <w:rPr>
          <w:rFonts w:ascii="Palatino Linotype" w:hAnsi="Palatino Linotype"/>
          <w:b/>
        </w:rPr>
        <w:t>0713</w:t>
      </w:r>
      <w:r w:rsidRPr="00A0054B">
        <w:rPr>
          <w:rFonts w:ascii="Palatino Linotype" w:hAnsi="Palatino Linotype"/>
          <w:b/>
        </w:rPr>
        <w:t>/INFOEM/IP/RR/202</w:t>
      </w:r>
      <w:r>
        <w:rPr>
          <w:rFonts w:ascii="Palatino Linotype" w:hAnsi="Palatino Linotype"/>
          <w:b/>
        </w:rPr>
        <w:t>2</w:t>
      </w:r>
      <w:r w:rsidRPr="00A0054B">
        <w:rPr>
          <w:rFonts w:ascii="Palatino Linotype" w:eastAsia="Times New Roman" w:hAnsi="Palatino Linotype" w:cs="Times New Roman"/>
          <w:b/>
        </w:rPr>
        <w:t xml:space="preserve"> </w:t>
      </w:r>
      <w:r w:rsidRPr="00A0054B">
        <w:rPr>
          <w:rFonts w:ascii="Palatino Linotype" w:eastAsia="Times New Roman" w:hAnsi="Palatino Linotype" w:cs="Times New Roman"/>
        </w:rPr>
        <w:t>en términos de</w:t>
      </w:r>
      <w:r w:rsidR="00793B7B">
        <w:rPr>
          <w:rFonts w:ascii="Palatino Linotype" w:eastAsia="Times New Roman" w:hAnsi="Palatino Linotype" w:cs="Times New Roman"/>
        </w:rPr>
        <w:t xml:space="preserve"> </w:t>
      </w:r>
      <w:r>
        <w:rPr>
          <w:rFonts w:ascii="Palatino Linotype" w:eastAsia="Times New Roman" w:hAnsi="Palatino Linotype" w:cs="Times New Roman"/>
        </w:rPr>
        <w:t>l</w:t>
      </w:r>
      <w:r w:rsidR="00793B7B">
        <w:rPr>
          <w:rFonts w:ascii="Palatino Linotype" w:eastAsia="Times New Roman" w:hAnsi="Palatino Linotype" w:cs="Times New Roman"/>
        </w:rPr>
        <w:t>os</w:t>
      </w:r>
      <w:r w:rsidRPr="00A0054B">
        <w:rPr>
          <w:rFonts w:ascii="Palatino Linotype" w:eastAsia="Times New Roman" w:hAnsi="Palatino Linotype" w:cs="Times New Roman"/>
          <w:b/>
          <w:bCs/>
        </w:rPr>
        <w:t xml:space="preserve"> Considerando</w:t>
      </w:r>
      <w:r w:rsidR="00793B7B">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sidR="00793B7B">
        <w:rPr>
          <w:rFonts w:ascii="Palatino Linotype" w:eastAsia="Times New Roman" w:hAnsi="Palatino Linotype" w:cs="Times New Roman"/>
          <w:b/>
        </w:rPr>
        <w:t xml:space="preserve"> y QUINTO</w:t>
      </w:r>
      <w:r w:rsidRPr="00A0054B">
        <w:rPr>
          <w:rFonts w:ascii="Palatino Linotype" w:eastAsia="Times New Roman" w:hAnsi="Palatino Linotype" w:cs="Times New Roman"/>
        </w:rPr>
        <w:t xml:space="preserve"> de la presente resolución.</w:t>
      </w:r>
    </w:p>
    <w:p w14:paraId="65CCEC6D" w14:textId="77777777" w:rsidR="00EC0ED2" w:rsidRPr="00A0054B" w:rsidRDefault="00EC0ED2" w:rsidP="00EC0ED2">
      <w:pPr>
        <w:spacing w:line="360" w:lineRule="auto"/>
        <w:contextualSpacing/>
        <w:jc w:val="both"/>
        <w:rPr>
          <w:rFonts w:ascii="Palatino Linotype" w:eastAsia="Calibri" w:hAnsi="Palatino Linotype" w:cs="Arial"/>
          <w:b/>
          <w:bCs/>
          <w:lang w:val="es-ES"/>
        </w:rPr>
      </w:pPr>
    </w:p>
    <w:p w14:paraId="0196ECCA" w14:textId="2B825DCD" w:rsidR="00EC0ED2" w:rsidRPr="00A0054B" w:rsidRDefault="00EC0ED2" w:rsidP="00EC0ED2">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MODIFICA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Pr="00A0054B">
        <w:rPr>
          <w:rFonts w:ascii="Palatino Linotype" w:hAnsi="Palatino Linotype"/>
          <w:b/>
          <w:bCs/>
          <w:szCs w:val="22"/>
        </w:rPr>
        <w:t xml:space="preserve">Ayuntamiento de </w:t>
      </w:r>
      <w:r>
        <w:rPr>
          <w:rFonts w:ascii="Palatino Linotype" w:hAnsi="Palatino Linotype"/>
          <w:b/>
          <w:bCs/>
          <w:szCs w:val="22"/>
        </w:rPr>
        <w:t>Tenango del Valle</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Copias Simples</w:t>
      </w:r>
      <w:r w:rsidR="000170F8" w:rsidRPr="000170F8">
        <w:rPr>
          <w:rFonts w:ascii="Palatino Linotype" w:eastAsia="Calibri" w:hAnsi="Palatino Linotype" w:cs="Arial"/>
          <w:b/>
          <w:bCs/>
          <w:lang w:val="es-ES"/>
        </w:rPr>
        <w:t xml:space="preserve"> y vía Sistema de Acceso a la Información Mexiquense (SAIMEX)</w:t>
      </w:r>
      <w:r>
        <w:rPr>
          <w:rFonts w:ascii="Palatino Linotype" w:eastAsia="Calibri" w:hAnsi="Palatino Linotype" w:cs="Arial"/>
          <w:b/>
          <w:bCs/>
          <w:lang w:val="es-ES"/>
        </w:rPr>
        <w:t>,</w:t>
      </w:r>
      <w:r w:rsidRPr="00A0054B">
        <w:rPr>
          <w:rFonts w:ascii="Palatino Linotype" w:eastAsia="Calibri" w:hAnsi="Palatino Linotype" w:cs="Arial"/>
          <w:b/>
          <w:bCs/>
          <w:lang w:val="es-ES"/>
        </w:rPr>
        <w:t xml:space="preserve"> </w:t>
      </w:r>
      <w:r w:rsidRPr="000170F8">
        <w:rPr>
          <w:rFonts w:ascii="Palatino Linotype" w:eastAsia="Calibri" w:hAnsi="Palatino Linotype" w:cs="Arial"/>
          <w:bCs/>
          <w:lang w:val="es-ES"/>
        </w:rPr>
        <w:t>de ser el caso en versión pública</w:t>
      </w:r>
      <w:r>
        <w:rPr>
          <w:rFonts w:ascii="Palatino Linotype" w:eastAsia="Calibri" w:hAnsi="Palatino Linotype" w:cs="Arial"/>
          <w:b/>
          <w:bCs/>
          <w:lang w:val="es-ES"/>
        </w:rPr>
        <w:t xml:space="preserve">, </w:t>
      </w:r>
      <w:r w:rsidRPr="00A0054B">
        <w:rPr>
          <w:rFonts w:ascii="Palatino Linotype" w:eastAsia="Calibri" w:hAnsi="Palatino Linotype" w:cs="Arial"/>
          <w:bCs/>
          <w:lang w:val="es-ES"/>
        </w:rPr>
        <w:t>los documentos en donde conste lo siguiente:</w:t>
      </w:r>
    </w:p>
    <w:p w14:paraId="1606B709" w14:textId="77777777" w:rsidR="00EC0ED2" w:rsidRPr="00A0054B" w:rsidRDefault="00EC0ED2" w:rsidP="00EC0ED2">
      <w:pPr>
        <w:pStyle w:val="Sinespaciado"/>
        <w:spacing w:line="360" w:lineRule="auto"/>
        <w:jc w:val="both"/>
        <w:rPr>
          <w:rFonts w:ascii="Palatino Linotype" w:eastAsia="Calibri" w:hAnsi="Palatino Linotype" w:cs="Arial"/>
          <w:bCs/>
          <w:lang w:val="es-ES"/>
        </w:rPr>
      </w:pPr>
    </w:p>
    <w:p w14:paraId="54EE95B4" w14:textId="4BE681BA" w:rsidR="000170F8" w:rsidRDefault="00EC0ED2" w:rsidP="00EC0ED2">
      <w:pPr>
        <w:pStyle w:val="Sinespaciado"/>
        <w:numPr>
          <w:ilvl w:val="0"/>
          <w:numId w:val="29"/>
        </w:numPr>
        <w:spacing w:line="360" w:lineRule="auto"/>
        <w:ind w:left="426"/>
        <w:jc w:val="both"/>
        <w:rPr>
          <w:rFonts w:ascii="Palatino Linotype" w:eastAsia="Calibri" w:hAnsi="Palatino Linotype" w:cs="Arial"/>
          <w:b/>
          <w:bCs/>
          <w:lang w:val="es-ES"/>
        </w:rPr>
      </w:pPr>
      <w:r>
        <w:rPr>
          <w:rFonts w:ascii="Palatino Linotype" w:eastAsia="Calibri" w:hAnsi="Palatino Linotype" w:cs="Arial"/>
          <w:b/>
          <w:bCs/>
          <w:lang w:val="es-ES"/>
        </w:rPr>
        <w:lastRenderedPageBreak/>
        <w:t xml:space="preserve">Los </w:t>
      </w:r>
      <w:r w:rsidR="000170F8">
        <w:rPr>
          <w:rFonts w:ascii="Palatino Linotype" w:eastAsia="Calibri" w:hAnsi="Palatino Linotype" w:cs="Arial"/>
          <w:b/>
          <w:bCs/>
          <w:lang w:val="es-ES"/>
        </w:rPr>
        <w:t xml:space="preserve">números de cuenta bancaria proporcionados en respuesta a la solicitud </w:t>
      </w:r>
      <w:r w:rsidR="000170F8" w:rsidRPr="00A0054B">
        <w:rPr>
          <w:rFonts w:ascii="Palatino Linotype" w:hAnsi="Palatino Linotype"/>
          <w:b/>
          <w:bCs/>
          <w:color w:val="000000" w:themeColor="text1"/>
        </w:rPr>
        <w:t>0</w:t>
      </w:r>
      <w:r w:rsidR="000170F8">
        <w:rPr>
          <w:rFonts w:ascii="Palatino Linotype" w:hAnsi="Palatino Linotype"/>
          <w:b/>
          <w:bCs/>
          <w:color w:val="000000" w:themeColor="text1"/>
        </w:rPr>
        <w:t>0010</w:t>
      </w:r>
      <w:r w:rsidR="000170F8" w:rsidRPr="0035066B">
        <w:rPr>
          <w:rFonts w:ascii="Palatino Linotype" w:hAnsi="Palatino Linotype"/>
          <w:b/>
          <w:bCs/>
          <w:color w:val="000000" w:themeColor="text1"/>
        </w:rPr>
        <w:t>/</w:t>
      </w:r>
      <w:r w:rsidR="000170F8">
        <w:rPr>
          <w:rFonts w:ascii="Palatino Linotype" w:hAnsi="Palatino Linotype"/>
          <w:b/>
          <w:bCs/>
          <w:color w:val="000000" w:themeColor="text1"/>
        </w:rPr>
        <w:t>TENAVALL</w:t>
      </w:r>
      <w:r w:rsidR="000170F8" w:rsidRPr="0035066B">
        <w:rPr>
          <w:rFonts w:ascii="Palatino Linotype" w:hAnsi="Palatino Linotype"/>
          <w:b/>
          <w:bCs/>
          <w:color w:val="000000" w:themeColor="text1"/>
        </w:rPr>
        <w:t>/IP/202</w:t>
      </w:r>
      <w:r w:rsidR="000170F8">
        <w:rPr>
          <w:rFonts w:ascii="Palatino Linotype" w:hAnsi="Palatino Linotype"/>
          <w:b/>
          <w:bCs/>
          <w:color w:val="000000" w:themeColor="text1"/>
        </w:rPr>
        <w:t>2, a los cuales se depositan recursos públicos que corresponden a ingresos propios, participaciones y Fondo IV (FORTAMUN).</w:t>
      </w:r>
    </w:p>
    <w:p w14:paraId="611F0280" w14:textId="77777777" w:rsidR="000170F8" w:rsidRDefault="000170F8" w:rsidP="000170F8">
      <w:pPr>
        <w:pStyle w:val="Sinespaciado"/>
        <w:spacing w:line="360" w:lineRule="auto"/>
        <w:ind w:left="426"/>
        <w:jc w:val="both"/>
        <w:rPr>
          <w:rFonts w:ascii="Palatino Linotype" w:eastAsia="Calibri" w:hAnsi="Palatino Linotype" w:cs="Arial"/>
          <w:b/>
          <w:bCs/>
          <w:lang w:val="es-ES"/>
        </w:rPr>
      </w:pPr>
    </w:p>
    <w:p w14:paraId="4123AD63" w14:textId="77777777" w:rsidR="00EC0ED2" w:rsidRDefault="00EC0ED2" w:rsidP="00EC0ED2">
      <w:pPr>
        <w:spacing w:line="360" w:lineRule="auto"/>
        <w:jc w:val="both"/>
        <w:rPr>
          <w:rFonts w:ascii="Palatino Linotype" w:eastAsia="Calibri" w:hAnsi="Palatino Linotype" w:cs="Arial"/>
        </w:rPr>
      </w:pPr>
      <w:r w:rsidRPr="00B8240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C981328" w14:textId="77777777" w:rsidR="00EC0ED2" w:rsidRDefault="00EC0ED2" w:rsidP="00EC0ED2">
      <w:pPr>
        <w:spacing w:line="360" w:lineRule="auto"/>
        <w:jc w:val="both"/>
        <w:rPr>
          <w:rFonts w:ascii="Palatino Linotype" w:hAnsi="Palatino Linotype"/>
          <w:color w:val="222222"/>
          <w:shd w:val="clear" w:color="auto" w:fill="FFFFFF"/>
        </w:rPr>
      </w:pPr>
    </w:p>
    <w:p w14:paraId="4D88646B" w14:textId="45F467A5" w:rsidR="00EC0ED2" w:rsidRPr="00071C9C" w:rsidRDefault="00EC0ED2" w:rsidP="00EC0ED2">
      <w:pPr>
        <w:spacing w:line="360" w:lineRule="auto"/>
        <w:jc w:val="both"/>
        <w:rPr>
          <w:rFonts w:ascii="Palatino Linotype" w:hAnsi="Palatino Linotype" w:cs="Arial"/>
          <w:bCs/>
        </w:rPr>
      </w:pPr>
      <w:r w:rsidRPr="00071C9C">
        <w:rPr>
          <w:rFonts w:ascii="Palatino Linotype" w:hAnsi="Palatino Linotype"/>
          <w:color w:val="222222"/>
          <w:shd w:val="clear" w:color="auto" w:fill="FFFFFF"/>
        </w:rPr>
        <w:t>Asimismo se ordena al Sujeto Obligado que previo a la entrega de la información</w:t>
      </w:r>
      <w:r>
        <w:rPr>
          <w:rFonts w:ascii="Palatino Linotype" w:hAnsi="Palatino Linotype"/>
          <w:color w:val="222222"/>
          <w:shd w:val="clear" w:color="auto" w:fill="FFFFFF"/>
        </w:rPr>
        <w:t xml:space="preserve"> en </w:t>
      </w:r>
      <w:r w:rsidR="0087101A">
        <w:rPr>
          <w:rFonts w:ascii="Palatino Linotype" w:hAnsi="Palatino Linotype"/>
          <w:color w:val="222222"/>
          <w:shd w:val="clear" w:color="auto" w:fill="FFFFFF"/>
        </w:rPr>
        <w:t>copias simples</w:t>
      </w:r>
      <w:r w:rsidRPr="00071C9C">
        <w:rPr>
          <w:rFonts w:ascii="Palatino Linotype" w:hAnsi="Palatino Linotype"/>
          <w:color w:val="222222"/>
          <w:shd w:val="clear" w:color="auto" w:fill="FFFFFF"/>
        </w:rPr>
        <w:t>, haga del conocimiento al Recurrente</w:t>
      </w:r>
      <w:r>
        <w:rPr>
          <w:rFonts w:ascii="Palatino Linotype" w:hAnsi="Palatino Linotype"/>
          <w:color w:val="222222"/>
          <w:shd w:val="clear" w:color="auto" w:fill="FFFFFF"/>
        </w:rPr>
        <w:t xml:space="preserve"> vía SAIMEX</w:t>
      </w:r>
      <w:r w:rsidRPr="00071C9C">
        <w:rPr>
          <w:rFonts w:ascii="Palatino Linotype" w:hAnsi="Palatino Linotype"/>
          <w:color w:val="222222"/>
          <w:shd w:val="clear" w:color="auto" w:fill="FFFFFF"/>
        </w:rPr>
        <w:t xml:space="preserve">, el domicilio al cual deberá acudir, el nombre de la dependencia o área respectiva, los días y horarios de atención en los cuales se entregará la información, la forma y procedimiento a seguir, en su caso, </w:t>
      </w:r>
      <w:r>
        <w:rPr>
          <w:rFonts w:ascii="Palatino Linotype" w:hAnsi="Palatino Linotype"/>
          <w:color w:val="222222"/>
          <w:shd w:val="clear" w:color="auto" w:fill="FFFFFF"/>
        </w:rPr>
        <w:t>el costo a cubrir</w:t>
      </w:r>
      <w:r w:rsidRPr="00071C9C">
        <w:rPr>
          <w:rFonts w:ascii="Palatino Linotype" w:hAnsi="Palatino Linotype"/>
          <w:color w:val="222222"/>
          <w:shd w:val="clear" w:color="auto" w:fill="FFFFFF"/>
        </w:rPr>
        <w:t>, así como el periodo durante el cual quedará a su disposición la información conforme a lo dispuesto por el artículo 166 de la Ley de Transparencia y Acceso a la Información Pública del Estado de México y Municipios.</w:t>
      </w:r>
    </w:p>
    <w:p w14:paraId="5F37FF95" w14:textId="77777777" w:rsidR="00EC0ED2" w:rsidRPr="00A0054B" w:rsidRDefault="00EC0ED2" w:rsidP="00EC0ED2">
      <w:pPr>
        <w:spacing w:line="360" w:lineRule="auto"/>
        <w:jc w:val="both"/>
        <w:rPr>
          <w:rFonts w:ascii="Palatino Linotype" w:eastAsia="Calibri" w:hAnsi="Palatino Linotype" w:cs="Arial"/>
        </w:rPr>
      </w:pPr>
    </w:p>
    <w:p w14:paraId="0254EA39" w14:textId="77777777" w:rsidR="00EC0ED2" w:rsidRPr="00A0054B" w:rsidRDefault="00EC0ED2" w:rsidP="00EC0ED2">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AA4030" w14:textId="77777777" w:rsidR="00EC0ED2" w:rsidRPr="00A0054B" w:rsidRDefault="00EC0ED2" w:rsidP="00EC0ED2">
      <w:pPr>
        <w:pStyle w:val="Sinespaciado"/>
        <w:spacing w:line="360" w:lineRule="auto"/>
        <w:jc w:val="both"/>
        <w:rPr>
          <w:rFonts w:ascii="Palatino Linotype" w:eastAsia="Times New Roman" w:hAnsi="Palatino Linotype" w:cs="Arial"/>
          <w:b/>
        </w:rPr>
      </w:pPr>
    </w:p>
    <w:p w14:paraId="346D1CC0" w14:textId="77777777" w:rsidR="00EC0ED2" w:rsidRPr="00A0054B" w:rsidRDefault="00EC0ED2" w:rsidP="00EC0ED2">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F4BBC7" w14:textId="77777777" w:rsidR="00EC0ED2" w:rsidRPr="00A0054B" w:rsidRDefault="00EC0ED2" w:rsidP="00EC0ED2">
      <w:pPr>
        <w:pStyle w:val="Sinespaciado"/>
        <w:spacing w:line="360" w:lineRule="auto"/>
        <w:jc w:val="both"/>
        <w:rPr>
          <w:rFonts w:ascii="Palatino Linotype" w:eastAsia="Times New Roman" w:hAnsi="Palatino Linotype" w:cs="Arial"/>
          <w:b/>
        </w:rPr>
      </w:pPr>
    </w:p>
    <w:p w14:paraId="3FD4ACD1" w14:textId="77777777" w:rsidR="00EC0ED2" w:rsidRPr="00A0054B"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Pr>
          <w:rFonts w:ascii="Palatino Linotype" w:eastAsia="Times New Roman" w:hAnsi="Palatino Linotype" w:cs="Times New Roman"/>
          <w:color w:val="222222"/>
          <w:lang w:val="es-ES" w:eastAsia="es-MX"/>
        </w:rPr>
        <w:t>.</w:t>
      </w:r>
    </w:p>
    <w:p w14:paraId="5CF69A80" w14:textId="77777777" w:rsidR="00EC0ED2" w:rsidRPr="00A0054B" w:rsidRDefault="00EC0ED2" w:rsidP="00EC0ED2">
      <w:pPr>
        <w:pStyle w:val="Sinespaciado"/>
        <w:spacing w:line="360" w:lineRule="auto"/>
        <w:jc w:val="both"/>
        <w:rPr>
          <w:rFonts w:ascii="Palatino Linotype" w:eastAsia="Times New Roman" w:hAnsi="Palatino Linotype" w:cs="Times New Roman"/>
          <w:color w:val="222222"/>
          <w:lang w:val="es-ES" w:eastAsia="es-MX"/>
        </w:rPr>
      </w:pPr>
    </w:p>
    <w:p w14:paraId="7B9212C3" w14:textId="77777777" w:rsidR="00EC0ED2" w:rsidRPr="00A0054B"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A0054B">
        <w:rPr>
          <w:rFonts w:ascii="Palatino Linotype" w:eastAsia="Times New Roman" w:hAnsi="Palatino Linotype" w:cs="Times New Roman"/>
          <w:bCs/>
          <w:color w:val="222222"/>
          <w:lang w:val="es-ES" w:eastAsia="es-MX"/>
        </w:rPr>
        <w:t>vía juicio de amparo</w:t>
      </w:r>
      <w:r w:rsidRPr="00A0054B">
        <w:rPr>
          <w:rFonts w:ascii="Palatino Linotype" w:eastAsia="Times New Roman" w:hAnsi="Palatino Linotype" w:cs="Times New Roman"/>
          <w:color w:val="222222"/>
          <w:lang w:val="es-ES" w:eastAsia="es-MX"/>
        </w:rPr>
        <w:t xml:space="preserve"> en los términos de las leyes aplicables.</w:t>
      </w:r>
    </w:p>
    <w:p w14:paraId="68D4287C" w14:textId="77777777" w:rsidR="003C110D" w:rsidRPr="00624AAD" w:rsidRDefault="003C110D" w:rsidP="003C110D">
      <w:pPr>
        <w:spacing w:before="240" w:after="240" w:line="360" w:lineRule="auto"/>
        <w:ind w:firstLine="1"/>
        <w:jc w:val="both"/>
        <w:rPr>
          <w:rFonts w:ascii="Palatino Linotype" w:hAnsi="Palatino Linotype"/>
        </w:rPr>
      </w:pPr>
      <w:bookmarkStart w:id="41" w:name="_Hlk96506827"/>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NOVENA</w:t>
      </w:r>
      <w:r w:rsidRPr="00A0054B">
        <w:rPr>
          <w:rFonts w:ascii="Palatino Linotype" w:hAnsi="Palatino Linotype"/>
        </w:rPr>
        <w:t xml:space="preserve"> SESIÓN ORDINARIA CELEBRADA EL </w:t>
      </w:r>
      <w:r>
        <w:rPr>
          <w:rFonts w:ascii="Palatino Linotype" w:hAnsi="Palatino Linotype"/>
        </w:rPr>
        <w:t>NUEVE</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SECRETARIO TÉCNICO DEL PLENO ALEXIS TAPIA RAMÍREZ</w:t>
      </w:r>
      <w:r w:rsidRPr="00624AAD">
        <w:rPr>
          <w:rFonts w:ascii="Palatino Linotype" w:hAnsi="Palatino Linotype"/>
        </w:rPr>
        <w:t xml:space="preserve"> </w:t>
      </w:r>
    </w:p>
    <w:bookmarkEnd w:id="41"/>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5167B" w14:textId="77777777" w:rsidR="0011492F" w:rsidRDefault="0011492F" w:rsidP="00587366">
      <w:r>
        <w:separator/>
      </w:r>
    </w:p>
  </w:endnote>
  <w:endnote w:type="continuationSeparator" w:id="0">
    <w:p w14:paraId="34879FFE" w14:textId="77777777" w:rsidR="0011492F" w:rsidRDefault="0011492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C0ED2" w:rsidRPr="00883450" w:rsidRDefault="00EC0ED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71C1D">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71C1D">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47B193F0" w:rsidR="00EC0ED2" w:rsidRDefault="00EC0E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C0ED2" w:rsidRPr="00883450" w:rsidRDefault="00EC0ED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71C1D" w:rsidRPr="00071C1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71C1D" w:rsidRPr="00071C1D">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0A9A2B26" w:rsidR="00EC0ED2" w:rsidRPr="00883450" w:rsidRDefault="00EC0ED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11562" w14:textId="77777777" w:rsidR="0011492F" w:rsidRDefault="0011492F" w:rsidP="00587366">
      <w:r>
        <w:separator/>
      </w:r>
    </w:p>
  </w:footnote>
  <w:footnote w:type="continuationSeparator" w:id="0">
    <w:p w14:paraId="29F0D949" w14:textId="77777777" w:rsidR="0011492F" w:rsidRDefault="0011492F" w:rsidP="00587366">
      <w:r>
        <w:continuationSeparator/>
      </w:r>
    </w:p>
  </w:footnote>
  <w:footnote w:id="1">
    <w:p w14:paraId="32D56466" w14:textId="77777777" w:rsidR="00EC0ED2" w:rsidRDefault="00EC0ED2" w:rsidP="008E4483">
      <w:pPr>
        <w:pStyle w:val="Textonotapie"/>
      </w:pPr>
      <w:r>
        <w:rPr>
          <w:rStyle w:val="Refdenotaalpie"/>
        </w:rPr>
        <w:footnoteRef/>
      </w:r>
      <w:r>
        <w:t xml:space="preserve"> Convención Americana sobre Derechos Humanos. Artículo 13.</w:t>
      </w:r>
    </w:p>
  </w:footnote>
  <w:footnote w:id="2">
    <w:p w14:paraId="3F7967D5" w14:textId="77777777" w:rsidR="00EC0ED2" w:rsidRDefault="00EC0ED2"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EC0ED2" w:rsidRDefault="00EC0ED2"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EC0ED2" w:rsidRDefault="00EC0ED2" w:rsidP="008E4483">
      <w:pPr>
        <w:pStyle w:val="Textonotapie"/>
      </w:pPr>
      <w:r>
        <w:rPr>
          <w:rStyle w:val="Refdenotaalpie"/>
        </w:rPr>
        <w:footnoteRef/>
      </w:r>
      <w:r>
        <w:t xml:space="preserve"> Ibídem. Parr. 87.</w:t>
      </w:r>
    </w:p>
  </w:footnote>
  <w:footnote w:id="5">
    <w:p w14:paraId="1C437D52" w14:textId="77777777" w:rsidR="00EC0ED2" w:rsidRDefault="00EC0ED2"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EC0ED2" w:rsidRDefault="00EC0ED2" w:rsidP="008E4483">
      <w:pPr>
        <w:pStyle w:val="Textonotapie"/>
      </w:pPr>
      <w:r>
        <w:t>II. Eficacia: Obligación del Instituto para tutelar, de manera efectiva, el derecho de acceso a la información;</w:t>
      </w:r>
    </w:p>
    <w:p w14:paraId="707D8AAF" w14:textId="77777777" w:rsidR="00EC0ED2" w:rsidRDefault="00EC0ED2" w:rsidP="008E4483">
      <w:pPr>
        <w:pStyle w:val="Textonotapie"/>
      </w:pPr>
      <w:r>
        <w:t xml:space="preserve">… </w:t>
      </w:r>
    </w:p>
  </w:footnote>
  <w:footnote w:id="6">
    <w:p w14:paraId="2CFDD651" w14:textId="77777777" w:rsidR="00EC0ED2" w:rsidRPr="00D40616" w:rsidRDefault="00EC0ED2" w:rsidP="00893F73">
      <w:pPr>
        <w:jc w:val="both"/>
        <w:rPr>
          <w:sz w:val="18"/>
          <w:szCs w:val="18"/>
        </w:rPr>
      </w:pPr>
      <w:r w:rsidRPr="008E7F2E">
        <w:rPr>
          <w:rStyle w:val="Refdenotaalpie"/>
        </w:rPr>
        <w:footnoteRef/>
      </w:r>
      <w:r w:rsidRPr="008E7F2E">
        <w:rPr>
          <w:sz w:val="20"/>
          <w:szCs w:val="20"/>
        </w:rPr>
        <w:t xml:space="preserve"> </w:t>
      </w:r>
      <w:r w:rsidRPr="00D40616">
        <w:rPr>
          <w:sz w:val="18"/>
          <w:szCs w:val="18"/>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2113AEFB" w14:textId="77777777" w:rsidR="00EC0ED2" w:rsidRPr="00D40616" w:rsidRDefault="00EC0ED2" w:rsidP="00893F73">
      <w:pPr>
        <w:jc w:val="both"/>
        <w:rPr>
          <w:i/>
          <w:sz w:val="18"/>
          <w:szCs w:val="18"/>
        </w:rPr>
      </w:pPr>
      <w:r w:rsidRPr="00D40616">
        <w:rPr>
          <w:i/>
          <w:sz w:val="18"/>
          <w:szCs w:val="18"/>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7">
    <w:p w14:paraId="0B2C8697" w14:textId="77777777" w:rsidR="00EC0ED2" w:rsidRPr="00D40616" w:rsidRDefault="00EC0ED2" w:rsidP="00893F73">
      <w:pPr>
        <w:pStyle w:val="Textonotapie"/>
        <w:jc w:val="both"/>
        <w:rPr>
          <w:i/>
          <w:sz w:val="18"/>
          <w:szCs w:val="18"/>
        </w:rPr>
      </w:pPr>
      <w:r w:rsidRPr="00D40616">
        <w:rPr>
          <w:rStyle w:val="Refdenotaalpie"/>
          <w:sz w:val="18"/>
          <w:szCs w:val="18"/>
        </w:rPr>
        <w:footnoteRef/>
      </w:r>
      <w:r w:rsidRPr="00D40616">
        <w:rPr>
          <w:sz w:val="18"/>
          <w:szCs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D40616">
        <w:rPr>
          <w:i/>
          <w:sz w:val="18"/>
          <w:szCs w:val="18"/>
        </w:rPr>
        <w:t>El derecho de acceso a la información en el marco jurídico interamericano.</w:t>
      </w:r>
      <w:r w:rsidRPr="00D40616">
        <w:rPr>
          <w:sz w:val="18"/>
          <w:szCs w:val="18"/>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EC0ED2" w:rsidRPr="00025127" w14:paraId="07F2896E" w14:textId="77777777" w:rsidTr="00FA0F09">
      <w:trPr>
        <w:trHeight w:val="138"/>
        <w:jc w:val="right"/>
      </w:trPr>
      <w:tc>
        <w:tcPr>
          <w:tcW w:w="3260" w:type="dxa"/>
          <w:vAlign w:val="center"/>
        </w:tcPr>
        <w:p w14:paraId="4A5B1974" w14:textId="44CA9AFE" w:rsidR="00EC0ED2" w:rsidRPr="00025127" w:rsidRDefault="00EC0ED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D756412" w:rsidR="00EC0ED2" w:rsidRPr="00025127" w:rsidRDefault="00EC0ED2" w:rsidP="0035066B">
          <w:pPr>
            <w:pStyle w:val="Encabezado"/>
            <w:jc w:val="both"/>
            <w:rPr>
              <w:rFonts w:ascii="Palatino Linotype" w:hAnsi="Palatino Linotype"/>
              <w:b/>
              <w:sz w:val="22"/>
              <w:szCs w:val="22"/>
            </w:rPr>
          </w:pPr>
          <w:r>
            <w:rPr>
              <w:rFonts w:ascii="Palatino Linotype" w:hAnsi="Palatino Linotype"/>
              <w:b/>
              <w:sz w:val="22"/>
              <w:szCs w:val="22"/>
            </w:rPr>
            <w:t>00713</w:t>
          </w:r>
          <w:r w:rsidRPr="00025127">
            <w:rPr>
              <w:rFonts w:ascii="Palatino Linotype" w:hAnsi="Palatino Linotype"/>
              <w:b/>
              <w:sz w:val="22"/>
              <w:szCs w:val="22"/>
            </w:rPr>
            <w:t>/INFOEM/IP/RR/</w:t>
          </w:r>
          <w:r>
            <w:rPr>
              <w:rFonts w:ascii="Palatino Linotype" w:hAnsi="Palatino Linotype"/>
              <w:b/>
              <w:sz w:val="22"/>
              <w:szCs w:val="22"/>
            </w:rPr>
            <w:t>2022</w:t>
          </w:r>
        </w:p>
      </w:tc>
    </w:tr>
    <w:tr w:rsidR="00EC0ED2" w:rsidRPr="00025127" w14:paraId="1B5D8690" w14:textId="77777777" w:rsidTr="00FA0F09">
      <w:trPr>
        <w:trHeight w:val="233"/>
        <w:jc w:val="right"/>
      </w:trPr>
      <w:tc>
        <w:tcPr>
          <w:tcW w:w="3260" w:type="dxa"/>
          <w:vAlign w:val="center"/>
        </w:tcPr>
        <w:p w14:paraId="3903F2C6" w14:textId="22D569F8" w:rsidR="00EC0ED2" w:rsidRPr="00025127" w:rsidRDefault="00EC0ED2"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738A838" w:rsidR="00EC0ED2" w:rsidRPr="00025127" w:rsidRDefault="00EC0ED2" w:rsidP="0035066B">
          <w:pPr>
            <w:pStyle w:val="Encabezado"/>
            <w:rPr>
              <w:rFonts w:ascii="Palatino Linotype" w:hAnsi="Palatino Linotype"/>
              <w:b/>
              <w:sz w:val="22"/>
              <w:szCs w:val="22"/>
            </w:rPr>
          </w:pPr>
          <w:r>
            <w:rPr>
              <w:rFonts w:ascii="Palatino Linotype" w:hAnsi="Palatino Linotype"/>
              <w:b/>
              <w:bCs/>
              <w:color w:val="000000"/>
              <w:sz w:val="22"/>
              <w:szCs w:val="22"/>
            </w:rPr>
            <w:t>Ayuntamiento de Tenango del Valle</w:t>
          </w:r>
        </w:p>
      </w:tc>
    </w:tr>
    <w:tr w:rsidR="00EC0ED2" w:rsidRPr="00025127" w14:paraId="095EB01B" w14:textId="77777777" w:rsidTr="00FA0F09">
      <w:trPr>
        <w:trHeight w:val="321"/>
        <w:jc w:val="right"/>
      </w:trPr>
      <w:tc>
        <w:tcPr>
          <w:tcW w:w="3260" w:type="dxa"/>
          <w:vAlign w:val="center"/>
        </w:tcPr>
        <w:p w14:paraId="6E000A51" w14:textId="05E1861A" w:rsidR="00EC0ED2" w:rsidRPr="00025127" w:rsidRDefault="00EC0ED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EC0ED2" w:rsidRPr="00025127" w:rsidRDefault="00EC0ED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EC0ED2" w:rsidRDefault="00EC0ED2"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EC0ED2" w:rsidRDefault="0011492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EC0ED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C0ED2" w:rsidRPr="00025127" w14:paraId="0A3256F2" w14:textId="77777777" w:rsidTr="006E6B65">
      <w:trPr>
        <w:trHeight w:val="138"/>
        <w:jc w:val="right"/>
      </w:trPr>
      <w:tc>
        <w:tcPr>
          <w:tcW w:w="3261" w:type="dxa"/>
          <w:vAlign w:val="center"/>
        </w:tcPr>
        <w:p w14:paraId="3D80769D" w14:textId="316F11F8" w:rsidR="00EC0ED2" w:rsidRPr="00025127" w:rsidRDefault="00EC0ED2"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AF5FC86" w:rsidR="00EC0ED2" w:rsidRPr="00025127" w:rsidRDefault="00EC0ED2" w:rsidP="00AD2900">
          <w:pPr>
            <w:pStyle w:val="Encabezado"/>
            <w:rPr>
              <w:rFonts w:ascii="Palatino Linotype" w:hAnsi="Palatino Linotype"/>
              <w:b/>
              <w:sz w:val="22"/>
              <w:szCs w:val="22"/>
            </w:rPr>
          </w:pPr>
          <w:r>
            <w:rPr>
              <w:rFonts w:ascii="Palatino Linotype" w:hAnsi="Palatino Linotype"/>
              <w:b/>
              <w:sz w:val="22"/>
              <w:szCs w:val="22"/>
            </w:rPr>
            <w:t>00713</w:t>
          </w:r>
          <w:r w:rsidRPr="00025127">
            <w:rPr>
              <w:rFonts w:ascii="Palatino Linotype" w:hAnsi="Palatino Linotype"/>
              <w:b/>
              <w:sz w:val="22"/>
              <w:szCs w:val="22"/>
            </w:rPr>
            <w:t>/INFOEM/IP/RR/</w:t>
          </w:r>
          <w:r>
            <w:rPr>
              <w:rFonts w:ascii="Palatino Linotype" w:hAnsi="Palatino Linotype"/>
              <w:b/>
              <w:sz w:val="22"/>
              <w:szCs w:val="22"/>
            </w:rPr>
            <w:t>2022</w:t>
          </w:r>
        </w:p>
      </w:tc>
    </w:tr>
    <w:tr w:rsidR="00EC0ED2" w:rsidRPr="00025127" w14:paraId="128C8B3C" w14:textId="77777777" w:rsidTr="006E6B65">
      <w:trPr>
        <w:trHeight w:val="233"/>
        <w:jc w:val="right"/>
      </w:trPr>
      <w:tc>
        <w:tcPr>
          <w:tcW w:w="3261" w:type="dxa"/>
          <w:vAlign w:val="center"/>
        </w:tcPr>
        <w:p w14:paraId="483E3371" w14:textId="66B1BC74" w:rsidR="00EC0ED2" w:rsidRPr="00025127" w:rsidRDefault="00EC0ED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FBADBBB" w:rsidR="00EC0ED2" w:rsidRPr="0035066B" w:rsidRDefault="00071C1D" w:rsidP="00071C1D">
          <w:pPr>
            <w:pStyle w:val="Encabezado"/>
            <w:rPr>
              <w:rFonts w:ascii="Palatino Linotype" w:hAnsi="Palatino Linotype"/>
              <w:b/>
              <w:sz w:val="22"/>
              <w:szCs w:val="22"/>
            </w:rPr>
          </w:pPr>
          <w:r>
            <w:rPr>
              <w:rFonts w:ascii="Palatino Linotype" w:eastAsia="Times New Roman" w:hAnsi="Palatino Linotype" w:cs="Times New Roman"/>
              <w:b/>
              <w:color w:val="000000" w:themeColor="text1"/>
              <w:sz w:val="22"/>
            </w:rPr>
            <w:t>XXXXXX</w:t>
          </w:r>
          <w:r w:rsidR="00EC0ED2">
            <w:rPr>
              <w:rFonts w:ascii="Palatino Linotype" w:eastAsia="Times New Roman" w:hAnsi="Palatino Linotype" w:cs="Times New Roman"/>
              <w:b/>
              <w:color w:val="000000" w:themeColor="text1"/>
              <w:sz w:val="22"/>
            </w:rPr>
            <w:t xml:space="preserve"> </w:t>
          </w:r>
          <w:r>
            <w:rPr>
              <w:rFonts w:ascii="Palatino Linotype" w:eastAsia="Times New Roman" w:hAnsi="Palatino Linotype" w:cs="Times New Roman"/>
              <w:b/>
              <w:color w:val="000000" w:themeColor="text1"/>
              <w:sz w:val="22"/>
            </w:rPr>
            <w:t>XXXXXX</w:t>
          </w:r>
          <w:r w:rsidR="00EC0ED2">
            <w:rPr>
              <w:rFonts w:ascii="Palatino Linotype" w:eastAsia="Times New Roman" w:hAnsi="Palatino Linotype" w:cs="Times New Roman"/>
              <w:b/>
              <w:color w:val="000000" w:themeColor="text1"/>
              <w:sz w:val="22"/>
            </w:rPr>
            <w:t xml:space="preserve"> </w:t>
          </w:r>
          <w:r>
            <w:rPr>
              <w:rFonts w:ascii="Palatino Linotype" w:eastAsia="Times New Roman" w:hAnsi="Palatino Linotype" w:cs="Times New Roman"/>
              <w:b/>
              <w:color w:val="000000" w:themeColor="text1"/>
              <w:sz w:val="22"/>
            </w:rPr>
            <w:t>XXXXXXX</w:t>
          </w:r>
        </w:p>
      </w:tc>
    </w:tr>
    <w:tr w:rsidR="00EC0ED2" w:rsidRPr="00025127" w14:paraId="41BE0704" w14:textId="77777777" w:rsidTr="006E6B65">
      <w:trPr>
        <w:trHeight w:val="321"/>
        <w:jc w:val="right"/>
      </w:trPr>
      <w:tc>
        <w:tcPr>
          <w:tcW w:w="3261" w:type="dxa"/>
          <w:vAlign w:val="center"/>
        </w:tcPr>
        <w:p w14:paraId="34C64148" w14:textId="10C6C8A9" w:rsidR="00EC0ED2" w:rsidRPr="00025127" w:rsidRDefault="00EC0ED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76534D5" w:rsidR="00EC0ED2" w:rsidRPr="00025127" w:rsidRDefault="00EC0ED2" w:rsidP="00AD2900">
          <w:pPr>
            <w:pStyle w:val="Encabezado"/>
            <w:rPr>
              <w:rFonts w:ascii="Palatino Linotype" w:hAnsi="Palatino Linotype"/>
              <w:b/>
              <w:sz w:val="22"/>
              <w:szCs w:val="22"/>
            </w:rPr>
          </w:pPr>
          <w:r>
            <w:rPr>
              <w:rFonts w:ascii="Palatino Linotype" w:hAnsi="Palatino Linotype"/>
              <w:b/>
              <w:bCs/>
              <w:color w:val="000000"/>
              <w:sz w:val="22"/>
              <w:szCs w:val="22"/>
            </w:rPr>
            <w:t>Ayuntamiento de Tenango del Valle</w:t>
          </w:r>
        </w:p>
      </w:tc>
    </w:tr>
    <w:tr w:rsidR="00EC0ED2" w:rsidRPr="00025127" w14:paraId="0C8B6193" w14:textId="77777777" w:rsidTr="006E6B65">
      <w:trPr>
        <w:trHeight w:val="321"/>
        <w:jc w:val="right"/>
      </w:trPr>
      <w:tc>
        <w:tcPr>
          <w:tcW w:w="3261" w:type="dxa"/>
          <w:vAlign w:val="center"/>
        </w:tcPr>
        <w:p w14:paraId="321FFAFF" w14:textId="0E8C2CE7" w:rsidR="00EC0ED2" w:rsidRPr="00025127" w:rsidRDefault="00EC0ED2"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EC0ED2" w:rsidRPr="00025127" w:rsidRDefault="00EC0ED2"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EC0ED2" w:rsidRDefault="00EC0ED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0"/>
  </w:num>
  <w:num w:numId="4">
    <w:abstractNumId w:val="18"/>
  </w:num>
  <w:num w:numId="5">
    <w:abstractNumId w:val="25"/>
  </w:num>
  <w:num w:numId="6">
    <w:abstractNumId w:val="26"/>
  </w:num>
  <w:num w:numId="7">
    <w:abstractNumId w:val="21"/>
  </w:num>
  <w:num w:numId="8">
    <w:abstractNumId w:val="29"/>
  </w:num>
  <w:num w:numId="9">
    <w:abstractNumId w:val="19"/>
  </w:num>
  <w:num w:numId="10">
    <w:abstractNumId w:val="20"/>
  </w:num>
  <w:num w:numId="11">
    <w:abstractNumId w:val="3"/>
  </w:num>
  <w:num w:numId="12">
    <w:abstractNumId w:val="17"/>
  </w:num>
  <w:num w:numId="13">
    <w:abstractNumId w:val="10"/>
  </w:num>
  <w:num w:numId="14">
    <w:abstractNumId w:val="6"/>
  </w:num>
  <w:num w:numId="15">
    <w:abstractNumId w:val="5"/>
  </w:num>
  <w:num w:numId="16">
    <w:abstractNumId w:val="4"/>
  </w:num>
  <w:num w:numId="17">
    <w:abstractNumId w:val="27"/>
  </w:num>
  <w:num w:numId="18">
    <w:abstractNumId w:val="14"/>
  </w:num>
  <w:num w:numId="19">
    <w:abstractNumId w:val="24"/>
  </w:num>
  <w:num w:numId="20">
    <w:abstractNumId w:val="35"/>
  </w:num>
  <w:num w:numId="21">
    <w:abstractNumId w:val="12"/>
  </w:num>
  <w:num w:numId="22">
    <w:abstractNumId w:val="13"/>
  </w:num>
  <w:num w:numId="23">
    <w:abstractNumId w:val="1"/>
  </w:num>
  <w:num w:numId="24">
    <w:abstractNumId w:val="11"/>
  </w:num>
  <w:num w:numId="25">
    <w:abstractNumId w:val="15"/>
  </w:num>
  <w:num w:numId="26">
    <w:abstractNumId w:val="8"/>
  </w:num>
  <w:num w:numId="27">
    <w:abstractNumId w:val="31"/>
  </w:num>
  <w:num w:numId="28">
    <w:abstractNumId w:val="7"/>
  </w:num>
  <w:num w:numId="29">
    <w:abstractNumId w:val="32"/>
  </w:num>
  <w:num w:numId="30">
    <w:abstractNumId w:val="22"/>
  </w:num>
  <w:num w:numId="31">
    <w:abstractNumId w:val="28"/>
  </w:num>
  <w:num w:numId="32">
    <w:abstractNumId w:val="16"/>
  </w:num>
  <w:num w:numId="33">
    <w:abstractNumId w:val="33"/>
  </w:num>
  <w:num w:numId="34">
    <w:abstractNumId w:val="9"/>
  </w:num>
  <w:num w:numId="35">
    <w:abstractNumId w:val="37"/>
  </w:num>
  <w:num w:numId="36">
    <w:abstractNumId w:val="30"/>
  </w:num>
  <w:num w:numId="37">
    <w:abstractNumId w:val="17"/>
  </w:num>
  <w:num w:numId="38">
    <w:abstractNumId w:val="2"/>
  </w:num>
  <w:num w:numId="39">
    <w:abstractNumId w:val="36"/>
  </w:num>
  <w:num w:numId="40">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1C1D"/>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92F"/>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10D"/>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1169"/>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10E7"/>
    <w:rsid w:val="00A61DCD"/>
    <w:rsid w:val="00A62B7B"/>
    <w:rsid w:val="00A64F7B"/>
    <w:rsid w:val="00A66AE9"/>
    <w:rsid w:val="00A67428"/>
    <w:rsid w:val="00A70C6A"/>
    <w:rsid w:val="00A70CF3"/>
    <w:rsid w:val="00A7155E"/>
    <w:rsid w:val="00A73C34"/>
    <w:rsid w:val="00A7410B"/>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67B71"/>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28B"/>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854"/>
    <w:rsid w:val="00C54922"/>
    <w:rsid w:val="00C55FE8"/>
    <w:rsid w:val="00C601EF"/>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77E8"/>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A0C2-DF26-4F6A-B90B-4D66F8B3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43</Pages>
  <Words>10120</Words>
  <Characters>55661</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2019-12-11T01:19:00Z</cp:lastPrinted>
  <dcterms:created xsi:type="dcterms:W3CDTF">2022-03-03T17:42:00Z</dcterms:created>
  <dcterms:modified xsi:type="dcterms:W3CDTF">2022-04-04T17:01:00Z</dcterms:modified>
</cp:coreProperties>
</file>