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406CE" w:rsidP="00AD62BD" w:rsidRDefault="00F406CE" w14:paraId="0BF97107" w14:textId="77777777">
      <w:pPr>
        <w:spacing w:after="0" w:line="360" w:lineRule="auto"/>
        <w:jc w:val="center"/>
        <w:rPr>
          <w:rFonts w:eastAsia="Times New Roman" w:cs="Tahoma"/>
          <w:b/>
          <w:color w:val="auto"/>
          <w:lang w:val="es-ES" w:eastAsia="es-ES"/>
        </w:rPr>
      </w:pPr>
    </w:p>
    <w:p w:rsidRPr="00D82B73" w:rsidR="00F406CE" w:rsidP="00AD62BD" w:rsidRDefault="00F406CE" w14:paraId="0BE1BFD6" w14:textId="40DF682B">
      <w:pPr>
        <w:spacing w:after="0" w:line="360" w:lineRule="auto"/>
        <w:rPr>
          <w:rFonts w:eastAsia="Times New Roman" w:cs="Tahoma"/>
          <w:color w:val="auto"/>
          <w:lang w:eastAsia="es-ES"/>
        </w:rPr>
      </w:pPr>
      <w:r w:rsidRPr="00D82B73">
        <w:rPr>
          <w:rFonts w:eastAsia="Times New Roman" w:cs="Tahoma"/>
          <w:color w:val="auto"/>
          <w:lang w:eastAsia="es-ES"/>
        </w:rPr>
        <w:t xml:space="preserve">Resolución del Pleno del Instituto de Transparencia, Acceso a la Información Pública y Protección de Datos Personales del Estado de México y Municipios, con domicilio en Metepec, Estado de México, de fecha </w:t>
      </w:r>
      <w:r w:rsidR="00F140A1">
        <w:rPr>
          <w:rFonts w:eastAsia="Times New Roman" w:cs="Tahoma"/>
          <w:color w:val="auto"/>
          <w:lang w:eastAsia="es-ES"/>
        </w:rPr>
        <w:t>veinticinco de mayo</w:t>
      </w:r>
      <w:r w:rsidR="004A7747">
        <w:rPr>
          <w:rFonts w:eastAsia="Times New Roman" w:cs="Tahoma"/>
          <w:color w:val="auto"/>
          <w:lang w:eastAsia="es-ES"/>
        </w:rPr>
        <w:t xml:space="preserve"> </w:t>
      </w:r>
      <w:r w:rsidRPr="00D82B73">
        <w:rPr>
          <w:rFonts w:eastAsia="Times New Roman" w:cs="Tahoma"/>
          <w:color w:val="auto"/>
          <w:lang w:eastAsia="es-ES"/>
        </w:rPr>
        <w:t xml:space="preserve">de dos mil veintidós. </w:t>
      </w:r>
    </w:p>
    <w:p w:rsidRPr="00D82B73" w:rsidR="00F406CE" w:rsidP="00AD62BD" w:rsidRDefault="00F406CE" w14:paraId="1F43193C" w14:textId="77777777">
      <w:pPr>
        <w:spacing w:after="0" w:line="360" w:lineRule="auto"/>
        <w:rPr>
          <w:rFonts w:eastAsia="Times New Roman" w:cs="Tahoma"/>
          <w:color w:val="auto"/>
          <w:lang w:eastAsia="es-ES"/>
        </w:rPr>
      </w:pPr>
    </w:p>
    <w:p w:rsidRPr="00D82B73" w:rsidR="00093915" w:rsidP="00AD62BD" w:rsidRDefault="00F406CE" w14:paraId="08106844" w14:textId="48A15BA8">
      <w:pPr>
        <w:spacing w:after="0" w:line="360" w:lineRule="auto"/>
        <w:rPr>
          <w:rFonts w:eastAsia="Times New Roman" w:cs="Tahoma"/>
          <w:color w:val="auto"/>
          <w:lang w:eastAsia="es-ES"/>
        </w:rPr>
      </w:pPr>
      <w:r w:rsidRPr="49E6DD33" w:rsidR="49E6DD33">
        <w:rPr>
          <w:rFonts w:eastAsia="Times New Roman" w:cs="Tahoma"/>
          <w:color w:val="auto"/>
          <w:lang w:eastAsia="es-ES"/>
        </w:rPr>
        <w:t xml:space="preserve">VISTO el expediente conformado con motivo del Recurso de Revisión 05296/INFOEM/IP/RR/2022, interpuesto por </w:t>
      </w:r>
      <w:r w:rsidRPr="49E6DD33" w:rsidR="49E6DD33">
        <w:rPr>
          <w:rFonts w:eastAsia="Times New Roman" w:cs="Tahoma"/>
          <w:color w:val="auto"/>
          <w:highlight w:val="black"/>
          <w:lang w:eastAsia="es-ES"/>
        </w:rPr>
        <w:t>XXXXXXXXXX</w:t>
      </w:r>
      <w:r w:rsidRPr="49E6DD33" w:rsidR="49E6DD33">
        <w:rPr>
          <w:rFonts w:eastAsia="Times New Roman" w:cs="Tahoma"/>
          <w:color w:val="auto"/>
          <w:lang w:eastAsia="es-ES"/>
        </w:rPr>
        <w:t xml:space="preserve">, en lo sucesivo, Recurrente o Particular, en contra de la respuesta del Sujeto Obligado, Ayuntamiento de Tenancingo, a la solicitud de acceso a la información pública 00171/TENANCIN/IP/2022, se emite la presente Resolución, con base en los Antecedentes y Considerandos que se exponen a continuación: </w:t>
      </w:r>
    </w:p>
    <w:p w:rsidRPr="00D82B73" w:rsidR="00093915" w:rsidP="00AD62BD" w:rsidRDefault="00093915" w14:paraId="64840879" w14:textId="77777777">
      <w:pPr>
        <w:spacing w:after="0" w:line="360" w:lineRule="auto"/>
        <w:rPr>
          <w:rFonts w:eastAsia="Times New Roman" w:cs="Tahoma"/>
          <w:color w:val="auto"/>
          <w:lang w:eastAsia="es-ES"/>
        </w:rPr>
      </w:pPr>
    </w:p>
    <w:p w:rsidRPr="00D82B73" w:rsidR="00093915" w:rsidP="00AD62BD" w:rsidRDefault="00F406CE" w14:paraId="601D26F2" w14:textId="1CA79822">
      <w:pPr>
        <w:spacing w:after="0" w:line="360" w:lineRule="auto"/>
        <w:jc w:val="center"/>
        <w:rPr>
          <w:rFonts w:eastAsia="Times New Roman" w:cs="Tahoma"/>
          <w:color w:val="auto"/>
          <w:lang w:eastAsia="es-ES"/>
        </w:rPr>
      </w:pPr>
      <w:r w:rsidRPr="00D82B73">
        <w:rPr>
          <w:rFonts w:eastAsia="Times New Roman" w:cs="Tahoma"/>
          <w:b/>
          <w:color w:val="auto"/>
          <w:lang w:eastAsia="es-ES"/>
        </w:rPr>
        <w:t>A N T E C E D E N T E S</w:t>
      </w:r>
      <w:r w:rsidRPr="00D82B73">
        <w:rPr>
          <w:rFonts w:eastAsia="Times New Roman" w:cs="Tahoma"/>
          <w:color w:val="auto"/>
          <w:lang w:eastAsia="es-ES"/>
        </w:rPr>
        <w:t>:</w:t>
      </w:r>
    </w:p>
    <w:p w:rsidRPr="00D82B73" w:rsidR="00093915" w:rsidP="00AD62BD" w:rsidRDefault="00093915" w14:paraId="3845E5AC" w14:textId="77777777">
      <w:pPr>
        <w:spacing w:after="0" w:line="360" w:lineRule="auto"/>
        <w:jc w:val="center"/>
        <w:rPr>
          <w:rFonts w:eastAsia="Times New Roman" w:cs="Tahoma"/>
          <w:color w:val="auto"/>
          <w:lang w:eastAsia="es-ES"/>
        </w:rPr>
      </w:pPr>
    </w:p>
    <w:p w:rsidR="00701875" w:rsidP="00AD62BD" w:rsidRDefault="00701875" w14:paraId="4D64EE63" w14:textId="19F9773A">
      <w:pPr>
        <w:spacing w:after="0" w:line="360" w:lineRule="auto"/>
        <w:rPr>
          <w:rFonts w:eastAsia="Calibri" w:cs="Tahoma"/>
          <w:b/>
          <w:bCs/>
        </w:rPr>
      </w:pPr>
      <w:r>
        <w:rPr>
          <w:rFonts w:eastAsia="Calibri" w:cs="Tahoma"/>
          <w:b/>
          <w:bCs/>
        </w:rPr>
        <w:t xml:space="preserve">I. Presentación de la solicitud de información. </w:t>
      </w:r>
    </w:p>
    <w:p w:rsidR="00AD62BD" w:rsidP="00AD62BD" w:rsidRDefault="00AD62BD" w14:paraId="125FB175" w14:textId="77777777">
      <w:pPr>
        <w:spacing w:after="0" w:line="360" w:lineRule="auto"/>
        <w:rPr>
          <w:rFonts w:eastAsia="Calibri" w:cs="Tahoma"/>
          <w:b/>
          <w:bCs/>
        </w:rPr>
      </w:pPr>
    </w:p>
    <w:p w:rsidRPr="00701875" w:rsidR="00093915" w:rsidP="00AD62BD" w:rsidRDefault="00F406CE" w14:paraId="6C88B78C" w14:textId="459CB27D">
      <w:pPr>
        <w:spacing w:after="0" w:line="360" w:lineRule="auto"/>
        <w:rPr>
          <w:rFonts w:cs="Tahoma"/>
        </w:rPr>
      </w:pPr>
      <w:r w:rsidRPr="00701875">
        <w:rPr>
          <w:rFonts w:cs="Tahoma"/>
        </w:rPr>
        <w:t xml:space="preserve">Con fecha </w:t>
      </w:r>
      <w:r w:rsidRPr="00701875" w:rsidR="00A66618">
        <w:rPr>
          <w:rFonts w:cs="Tahoma"/>
        </w:rPr>
        <w:t xml:space="preserve">diez de </w:t>
      </w:r>
      <w:r w:rsidR="00F140A1">
        <w:rPr>
          <w:rFonts w:cs="Tahoma"/>
        </w:rPr>
        <w:t>marzo</w:t>
      </w:r>
      <w:r w:rsidRPr="00701875" w:rsidR="00A66618">
        <w:rPr>
          <w:rFonts w:cs="Tahoma"/>
        </w:rPr>
        <w:t xml:space="preserve"> de dos mil veintidós</w:t>
      </w:r>
      <w:r w:rsidRPr="00701875">
        <w:rPr>
          <w:rFonts w:cs="Tahoma"/>
        </w:rPr>
        <w:t xml:space="preserve">, </w:t>
      </w:r>
      <w:r w:rsidR="002B0B6F">
        <w:rPr>
          <w:rFonts w:cs="Tahoma"/>
        </w:rPr>
        <w:t>se tuvo por presentada una</w:t>
      </w:r>
      <w:r w:rsidRPr="002B0B6F" w:rsidR="002B0B6F">
        <w:rPr>
          <w:rFonts w:cs="Tahoma"/>
        </w:rPr>
        <w:t xml:space="preserve"> </w:t>
      </w:r>
      <w:r w:rsidRPr="00701875" w:rsidR="002B0B6F">
        <w:rPr>
          <w:rFonts w:cs="Tahoma"/>
        </w:rPr>
        <w:t>solicitud de acceso a la información pública</w:t>
      </w:r>
      <w:r w:rsidR="002B0B6F">
        <w:rPr>
          <w:rFonts w:cs="Tahoma"/>
        </w:rPr>
        <w:t xml:space="preserve"> del Particular, </w:t>
      </w:r>
      <w:r w:rsidRPr="00701875">
        <w:rPr>
          <w:rFonts w:cs="Tahoma"/>
        </w:rPr>
        <w:t xml:space="preserve">a través del Sistema de Acceso a la Información Mexiquense (SAIMEX), ante el Ayuntamiento de </w:t>
      </w:r>
      <w:r w:rsidRPr="00701875" w:rsidR="00A66618">
        <w:rPr>
          <w:rFonts w:cs="Tahoma"/>
        </w:rPr>
        <w:t>Tenancingo</w:t>
      </w:r>
      <w:r w:rsidR="00F140A1">
        <w:rPr>
          <w:rFonts w:cs="Tahoma"/>
          <w:bCs/>
        </w:rPr>
        <w:t>,</w:t>
      </w:r>
      <w:r w:rsidRPr="002B0B6F" w:rsidR="002B0B6F">
        <w:rPr>
          <w:rFonts w:eastAsia="Calibri" w:cs="Tahoma"/>
        </w:rPr>
        <w:t xml:space="preserve"> </w:t>
      </w:r>
      <w:r w:rsidRPr="00701875">
        <w:rPr>
          <w:rFonts w:cs="Tahoma"/>
        </w:rPr>
        <w:t xml:space="preserve">en los siguientes términos: </w:t>
      </w:r>
    </w:p>
    <w:p w:rsidRPr="00D82B73" w:rsidR="00D82B73" w:rsidP="00AD62BD" w:rsidRDefault="00D82B73" w14:paraId="1E65C469" w14:textId="77777777">
      <w:pPr>
        <w:pStyle w:val="Prrafodelista"/>
        <w:spacing w:line="360" w:lineRule="auto"/>
        <w:ind w:left="142"/>
        <w:rPr>
          <w:rFonts w:cs="Tahoma"/>
          <w:szCs w:val="22"/>
        </w:rPr>
      </w:pPr>
    </w:p>
    <w:p w:rsidRPr="00AD62BD" w:rsidR="00D82B73" w:rsidP="00AD62BD" w:rsidRDefault="00D82B73" w14:paraId="0000C417" w14:textId="3D3EAE49">
      <w:pPr>
        <w:spacing w:after="0" w:line="360" w:lineRule="auto"/>
        <w:ind w:left="567" w:right="567"/>
        <w:rPr>
          <w:rFonts w:eastAsia="Times New Roman" w:cs="Tahoma"/>
          <w:b/>
          <w:bCs/>
          <w:i/>
          <w:iCs/>
          <w:color w:val="auto"/>
          <w:sz w:val="20"/>
          <w:szCs w:val="20"/>
          <w:lang w:val="es-ES_tradnl" w:eastAsia="es-ES"/>
        </w:rPr>
      </w:pPr>
      <w:r w:rsidRPr="00AD62BD">
        <w:rPr>
          <w:rFonts w:eastAsia="Times New Roman" w:cs="Tahoma"/>
          <w:b/>
          <w:bCs/>
          <w:i/>
          <w:iCs/>
          <w:color w:val="auto"/>
          <w:sz w:val="20"/>
          <w:szCs w:val="20"/>
          <w:lang w:val="es-ES_tradnl" w:eastAsia="es-ES"/>
        </w:rPr>
        <w:t>“</w:t>
      </w:r>
      <w:r w:rsidRPr="00AD62BD" w:rsidR="00F406CE">
        <w:rPr>
          <w:rFonts w:eastAsia="Times New Roman" w:cs="Tahoma"/>
          <w:b/>
          <w:bCs/>
          <w:i/>
          <w:iCs/>
          <w:color w:val="auto"/>
          <w:sz w:val="20"/>
          <w:szCs w:val="20"/>
          <w:lang w:val="es-ES_tradnl" w:eastAsia="es-ES"/>
        </w:rPr>
        <w:t>DESCRIPCIÓN CLARA Y PRECISA DE LA INFORMACIÓN SOLICITADA</w:t>
      </w:r>
    </w:p>
    <w:p w:rsidRPr="00AD62BD" w:rsidR="00D82B73" w:rsidP="00F140A1" w:rsidRDefault="00F140A1" w14:paraId="55806B1E" w14:textId="053467C0">
      <w:pPr>
        <w:tabs>
          <w:tab w:val="left" w:pos="0"/>
          <w:tab w:val="left" w:pos="6266"/>
        </w:tabs>
        <w:spacing w:after="0" w:line="360" w:lineRule="auto"/>
        <w:ind w:left="567" w:right="567"/>
        <w:rPr>
          <w:rFonts w:eastAsia="Times New Roman" w:cs="Times New Roman"/>
          <w:i/>
          <w:color w:val="auto"/>
          <w:sz w:val="20"/>
          <w:szCs w:val="20"/>
          <w:lang w:val="es-ES_tradnl" w:eastAsia="es-ES"/>
        </w:rPr>
      </w:pPr>
      <w:r w:rsidRPr="00F140A1">
        <w:rPr>
          <w:rFonts w:eastAsia="Times New Roman" w:cs="Times New Roman"/>
          <w:i/>
          <w:color w:val="auto"/>
          <w:sz w:val="20"/>
          <w:szCs w:val="20"/>
          <w:lang w:val="es-ES_tradnl" w:eastAsia="es-ES"/>
        </w:rPr>
        <w:t>SOLICITO EL RECIBO DE NOMINA DE LA SEGUNDA QUINCENA DE FEBRERO DE 2022 DE EDUARDO ARCINIEGA JARDO, ASI COMO SU CURRICULUM VITAE</w:t>
      </w:r>
      <w:r w:rsidRPr="00AD62BD" w:rsidR="00F406CE">
        <w:rPr>
          <w:rFonts w:eastAsia="Times New Roman" w:cs="Times New Roman"/>
          <w:i/>
          <w:color w:val="auto"/>
          <w:sz w:val="20"/>
          <w:szCs w:val="20"/>
          <w:lang w:val="es-ES_tradnl" w:eastAsia="es-ES"/>
        </w:rPr>
        <w:t>. (Sic)</w:t>
      </w:r>
      <w:r w:rsidRPr="00AD62BD" w:rsidR="00D82B73">
        <w:rPr>
          <w:rFonts w:eastAsia="Times New Roman" w:cs="Times New Roman"/>
          <w:i/>
          <w:color w:val="auto"/>
          <w:sz w:val="20"/>
          <w:szCs w:val="20"/>
          <w:lang w:val="es-ES_tradnl" w:eastAsia="es-ES"/>
        </w:rPr>
        <w:t>”</w:t>
      </w:r>
    </w:p>
    <w:p w:rsidRPr="00D82B73" w:rsidR="00D82B73" w:rsidP="00AD62BD" w:rsidRDefault="00D82B73" w14:paraId="4D97AE72" w14:textId="77777777">
      <w:pPr>
        <w:pStyle w:val="Prrafodelista"/>
        <w:spacing w:line="360" w:lineRule="auto"/>
        <w:ind w:left="142"/>
        <w:rPr>
          <w:rFonts w:cs="Tahoma"/>
          <w:i/>
          <w:sz w:val="20"/>
          <w:szCs w:val="22"/>
        </w:rPr>
      </w:pPr>
    </w:p>
    <w:p w:rsidRPr="00AD62BD" w:rsidR="00AD62BD" w:rsidP="00AD62BD" w:rsidRDefault="00AD62BD" w14:paraId="61865F31" w14:textId="77777777">
      <w:pPr>
        <w:tabs>
          <w:tab w:val="left" w:pos="0"/>
          <w:tab w:val="left" w:pos="6266"/>
        </w:tabs>
        <w:spacing w:after="0" w:line="360" w:lineRule="auto"/>
        <w:ind w:left="567" w:right="567"/>
        <w:rPr>
          <w:rFonts w:eastAsia="Times New Roman" w:cs="Tahoma"/>
          <w:b/>
          <w:bCs/>
          <w:i/>
          <w:iCs/>
          <w:color w:val="auto"/>
          <w:sz w:val="20"/>
          <w:lang w:eastAsia="es-ES"/>
        </w:rPr>
      </w:pPr>
      <w:r w:rsidRPr="00AD62BD">
        <w:rPr>
          <w:rFonts w:eastAsia="Times New Roman" w:cs="Tahoma"/>
          <w:b/>
          <w:bCs/>
          <w:i/>
          <w:iCs/>
          <w:color w:val="auto"/>
          <w:sz w:val="20"/>
          <w:lang w:eastAsia="es-ES"/>
        </w:rPr>
        <w:t>“MODALIDAD DE ENTREGA</w:t>
      </w:r>
    </w:p>
    <w:p w:rsidRPr="00AD62BD" w:rsidR="00AD62BD" w:rsidP="00AD62BD" w:rsidRDefault="00AD62BD" w14:paraId="7AFEC725" w14:textId="77777777">
      <w:pPr>
        <w:tabs>
          <w:tab w:val="left" w:pos="0"/>
          <w:tab w:val="left" w:pos="6266"/>
        </w:tabs>
        <w:spacing w:after="0" w:line="360" w:lineRule="auto"/>
        <w:ind w:left="567" w:right="567"/>
        <w:rPr>
          <w:rFonts w:eastAsia="Times New Roman" w:cs="Tahoma"/>
          <w:b/>
          <w:bCs/>
          <w:i/>
          <w:iCs/>
          <w:color w:val="auto"/>
          <w:sz w:val="20"/>
          <w:lang w:eastAsia="es-ES"/>
        </w:rPr>
      </w:pPr>
      <w:r w:rsidRPr="00AD62BD">
        <w:rPr>
          <w:rFonts w:eastAsia="Times New Roman" w:cs="Tahoma"/>
          <w:i/>
          <w:iCs/>
          <w:color w:val="auto"/>
          <w:sz w:val="20"/>
          <w:lang w:eastAsia="es-ES"/>
        </w:rPr>
        <w:t xml:space="preserve"> </w:t>
      </w:r>
      <w:r w:rsidRPr="00AD62BD">
        <w:rPr>
          <w:rFonts w:eastAsia="Times New Roman" w:cs="Tahoma"/>
          <w:i/>
          <w:color w:val="auto"/>
          <w:sz w:val="20"/>
          <w:lang w:eastAsia="es-ES"/>
        </w:rPr>
        <w:t>A través del SAIMEX”</w:t>
      </w:r>
    </w:p>
    <w:p w:rsidR="00D82B73" w:rsidP="00AD62BD" w:rsidRDefault="00D82B73" w14:paraId="658E6BF0" w14:textId="77777777">
      <w:pPr>
        <w:pStyle w:val="Prrafodelista"/>
        <w:spacing w:line="360" w:lineRule="auto"/>
        <w:ind w:left="142"/>
        <w:rPr>
          <w:rFonts w:cs="Tahoma"/>
          <w:szCs w:val="22"/>
        </w:rPr>
      </w:pPr>
    </w:p>
    <w:p w:rsidRPr="001C2EB4" w:rsidR="00A66618" w:rsidP="001C2EB4" w:rsidRDefault="00F406CE" w14:paraId="7854A5F0" w14:textId="77777777">
      <w:pPr>
        <w:spacing w:after="0" w:line="360" w:lineRule="auto"/>
        <w:rPr>
          <w:rFonts w:eastAsia="Calibri" w:cs="Tahoma"/>
          <w:b/>
          <w:bCs/>
        </w:rPr>
      </w:pPr>
      <w:r w:rsidRPr="001C2EB4">
        <w:rPr>
          <w:rFonts w:eastAsia="Calibri" w:cs="Tahoma"/>
          <w:b/>
          <w:bCs/>
        </w:rPr>
        <w:t xml:space="preserve">II. Respuesta del Sujeto Obligado. </w:t>
      </w:r>
    </w:p>
    <w:p w:rsidR="0037048D" w:rsidP="001C2EB4" w:rsidRDefault="00A66618" w14:paraId="4FC47D89" w14:textId="5D7BC230">
      <w:pPr>
        <w:spacing w:after="0" w:line="360" w:lineRule="auto"/>
        <w:rPr>
          <w:rFonts w:eastAsia="Times New Roman" w:cs="Tahoma"/>
          <w:bCs/>
          <w:iCs/>
          <w:lang w:eastAsia="es-ES"/>
        </w:rPr>
      </w:pPr>
      <w:r w:rsidRPr="001C2EB4">
        <w:rPr>
          <w:rFonts w:cs="Tahoma"/>
        </w:rPr>
        <w:lastRenderedPageBreak/>
        <w:t xml:space="preserve">Con fecha </w:t>
      </w:r>
      <w:r w:rsidR="00F140A1">
        <w:rPr>
          <w:rFonts w:cs="Tahoma"/>
        </w:rPr>
        <w:t>veinticinco de marzo</w:t>
      </w:r>
      <w:r w:rsidRPr="001C2EB4">
        <w:rPr>
          <w:rFonts w:cs="Tahoma"/>
        </w:rPr>
        <w:t xml:space="preserve"> de dos mil veintidós, el Ayuntamiento de Tenancingo, a través del Sistema de Acceso a la Información Mexiquense (SAIMEX), notificó la respuesta al Solicitante, </w:t>
      </w:r>
      <w:r w:rsidR="00F140A1">
        <w:rPr>
          <w:rFonts w:cs="Tahoma"/>
        </w:rPr>
        <w:t>por medio de la digitalización de los siguientes documentos:</w:t>
      </w:r>
    </w:p>
    <w:p w:rsidR="00F140A1" w:rsidP="00E02169" w:rsidRDefault="00F140A1" w14:paraId="6DA323BF" w14:textId="77777777">
      <w:pPr>
        <w:spacing w:after="0" w:line="360" w:lineRule="auto"/>
        <w:contextualSpacing/>
        <w:rPr>
          <w:rFonts w:eastAsia="Times New Roman" w:cs="Tahoma"/>
          <w:bCs/>
          <w:iCs/>
          <w:lang w:eastAsia="es-ES"/>
        </w:rPr>
      </w:pPr>
    </w:p>
    <w:p w:rsidRPr="00A66618" w:rsidR="00A66618" w:rsidP="00E02169" w:rsidRDefault="00E02169" w14:paraId="4A9D7C1B" w14:textId="46C7C684">
      <w:pPr>
        <w:spacing w:after="0" w:line="360" w:lineRule="auto"/>
        <w:contextualSpacing/>
        <w:rPr>
          <w:rFonts w:eastAsia="Times New Roman" w:cs="Tahoma"/>
          <w:bCs/>
          <w:iCs/>
          <w:lang w:eastAsia="es-ES"/>
        </w:rPr>
      </w:pPr>
      <w:r>
        <w:rPr>
          <w:rFonts w:eastAsia="Times New Roman" w:cs="Tahoma"/>
          <w:bCs/>
          <w:iCs/>
          <w:lang w:eastAsia="es-ES"/>
        </w:rPr>
        <w:t xml:space="preserve">i) </w:t>
      </w:r>
      <w:r w:rsidR="00745508">
        <w:rPr>
          <w:rFonts w:eastAsia="Times New Roman" w:cs="Tahoma"/>
          <w:bCs/>
          <w:iCs/>
          <w:lang w:eastAsia="es-ES"/>
        </w:rPr>
        <w:t>Oficio número MTM058/DAE00RH/00866/2022, del dieciséis de marzo de dos mil veintidós, suscrito por el Coordinador de Recursos Humanos y dirigido al Coordinador de Transparencia y Acceso a la Información, por medio del cual remite la ficha curricular del servidor público requerido.</w:t>
      </w:r>
    </w:p>
    <w:p w:rsidR="00E02169" w:rsidP="00E02169" w:rsidRDefault="00E02169" w14:paraId="6F61A253" w14:textId="77777777">
      <w:pPr>
        <w:spacing w:after="0" w:line="360" w:lineRule="auto"/>
        <w:contextualSpacing/>
        <w:rPr>
          <w:rFonts w:eastAsia="Times New Roman" w:cs="Tahoma"/>
          <w:bCs/>
          <w:iCs/>
          <w:lang w:eastAsia="es-ES"/>
        </w:rPr>
      </w:pPr>
    </w:p>
    <w:p w:rsidR="00A66618" w:rsidP="00E02169" w:rsidRDefault="00E02169" w14:paraId="1CA5D2DC" w14:textId="200F79A9">
      <w:pPr>
        <w:spacing w:after="0" w:line="360" w:lineRule="auto"/>
        <w:contextualSpacing/>
        <w:rPr>
          <w:rFonts w:eastAsia="Times New Roman" w:cs="Tahoma"/>
          <w:bCs/>
          <w:iCs/>
          <w:lang w:eastAsia="es-ES"/>
        </w:rPr>
      </w:pPr>
      <w:r>
        <w:rPr>
          <w:rFonts w:eastAsia="Times New Roman" w:cs="Tahoma"/>
          <w:bCs/>
          <w:iCs/>
          <w:lang w:eastAsia="es-ES"/>
        </w:rPr>
        <w:t xml:space="preserve">ii) </w:t>
      </w:r>
      <w:r w:rsidR="00745508">
        <w:rPr>
          <w:rFonts w:eastAsia="Times New Roman" w:cs="Tahoma"/>
          <w:bCs/>
          <w:iCs/>
          <w:lang w:eastAsia="es-ES"/>
        </w:rPr>
        <w:t>Ficha curricular de Eduardo Arciniega Jardón.</w:t>
      </w:r>
    </w:p>
    <w:p w:rsidR="00745508" w:rsidP="00E02169" w:rsidRDefault="00745508" w14:paraId="0CBB1C3E" w14:textId="013733D2">
      <w:pPr>
        <w:spacing w:after="0" w:line="360" w:lineRule="auto"/>
        <w:contextualSpacing/>
        <w:rPr>
          <w:rFonts w:eastAsia="Times New Roman" w:cs="Tahoma"/>
          <w:bCs/>
          <w:iCs/>
          <w:lang w:eastAsia="es-ES"/>
        </w:rPr>
      </w:pPr>
    </w:p>
    <w:p w:rsidR="00745508" w:rsidP="00E02169" w:rsidRDefault="00745508" w14:paraId="3DCBA2BB" w14:textId="49B75344">
      <w:pPr>
        <w:spacing w:after="0" w:line="360" w:lineRule="auto"/>
        <w:contextualSpacing/>
        <w:rPr>
          <w:rFonts w:eastAsia="Times New Roman" w:cs="Tahoma"/>
          <w:bCs/>
          <w:iCs/>
          <w:lang w:eastAsia="es-ES"/>
        </w:rPr>
      </w:pPr>
      <w:r>
        <w:rPr>
          <w:rFonts w:eastAsia="Times New Roman" w:cs="Tahoma"/>
          <w:bCs/>
          <w:iCs/>
          <w:lang w:eastAsia="es-ES"/>
        </w:rPr>
        <w:t>iii) Oficio número PMT/058/TM/00156/2022, del veintitrés de marzo de dos mil veintidós, suscrito por el Tesorero Municipal y dirigido al Coordinador de Transparencia y Acceso a la Información, por medio del cual remite el recibo requerido.</w:t>
      </w:r>
    </w:p>
    <w:p w:rsidR="00745508" w:rsidP="00E02169" w:rsidRDefault="00745508" w14:paraId="58989388" w14:textId="7060A1DE">
      <w:pPr>
        <w:spacing w:after="0" w:line="360" w:lineRule="auto"/>
        <w:contextualSpacing/>
        <w:rPr>
          <w:rFonts w:eastAsia="Times New Roman" w:cs="Tahoma"/>
          <w:bCs/>
          <w:iCs/>
          <w:lang w:eastAsia="es-ES"/>
        </w:rPr>
      </w:pPr>
    </w:p>
    <w:p w:rsidRPr="00DA3D2D" w:rsidR="00745508" w:rsidP="00E02169" w:rsidRDefault="00745508" w14:paraId="462EBD35" w14:textId="246834A9">
      <w:pPr>
        <w:spacing w:after="0" w:line="360" w:lineRule="auto"/>
        <w:contextualSpacing/>
        <w:rPr>
          <w:rFonts w:cs="Tahoma"/>
        </w:rPr>
      </w:pPr>
      <w:r>
        <w:rPr>
          <w:rFonts w:eastAsia="Times New Roman" w:cs="Tahoma"/>
          <w:bCs/>
          <w:iCs/>
          <w:lang w:eastAsia="es-ES"/>
        </w:rPr>
        <w:t>iv) Versión pública del recibo de nómina de la segunda quincena de febrero de dos mil veintidós, de Eduardo Arciniega Jardón.</w:t>
      </w:r>
    </w:p>
    <w:p w:rsidRPr="00DA3D2D" w:rsidR="00DA3D2D" w:rsidP="00AD62BD" w:rsidRDefault="00821B22" w14:paraId="66E3A7D9" w14:textId="24C483FC">
      <w:pPr>
        <w:spacing w:after="0" w:line="360" w:lineRule="auto"/>
        <w:ind w:left="1080"/>
        <w:contextualSpacing/>
        <w:rPr>
          <w:rFonts w:cs="Tahoma"/>
        </w:rPr>
      </w:pPr>
      <w:r>
        <w:rPr>
          <w:rFonts w:eastAsia="Times New Roman" w:cs="Tahoma"/>
          <w:bCs/>
          <w:iCs/>
          <w:lang w:eastAsia="es-ES"/>
        </w:rPr>
        <w:t xml:space="preserve"> </w:t>
      </w:r>
    </w:p>
    <w:p w:rsidRPr="0022288F" w:rsidR="0022288F" w:rsidP="0022288F" w:rsidRDefault="00F406CE" w14:paraId="6DED97D8" w14:textId="77777777">
      <w:pPr>
        <w:spacing w:after="0" w:line="360" w:lineRule="auto"/>
        <w:rPr>
          <w:rFonts w:eastAsia="Calibri" w:cs="Tahoma"/>
          <w:b/>
          <w:bCs/>
        </w:rPr>
      </w:pPr>
      <w:r w:rsidRPr="0022288F">
        <w:rPr>
          <w:rFonts w:eastAsia="Calibri" w:cs="Tahoma"/>
          <w:b/>
          <w:bCs/>
        </w:rPr>
        <w:t xml:space="preserve">III. Interposición del Recurso de Revisión. </w:t>
      </w:r>
    </w:p>
    <w:p w:rsidR="0022288F" w:rsidP="00AD62BD" w:rsidRDefault="0022288F" w14:paraId="185A04B3" w14:textId="77777777">
      <w:pPr>
        <w:pStyle w:val="Prrafodelista"/>
        <w:spacing w:line="360" w:lineRule="auto"/>
        <w:ind w:left="142"/>
        <w:rPr>
          <w:rFonts w:cs="Tahoma"/>
          <w:szCs w:val="22"/>
        </w:rPr>
      </w:pPr>
    </w:p>
    <w:p w:rsidR="00D82B73" w:rsidP="0022288F" w:rsidRDefault="00F406CE" w14:paraId="47FCB975" w14:textId="7B2950AF">
      <w:pPr>
        <w:spacing w:after="0" w:line="360" w:lineRule="auto"/>
        <w:rPr>
          <w:rFonts w:cs="Tahoma"/>
        </w:rPr>
      </w:pPr>
      <w:r w:rsidRPr="00D82B73">
        <w:rPr>
          <w:rFonts w:cs="Tahoma"/>
        </w:rPr>
        <w:t xml:space="preserve">Con fecha </w:t>
      </w:r>
      <w:r w:rsidR="00745508">
        <w:rPr>
          <w:rFonts w:cs="Tahoma"/>
        </w:rPr>
        <w:t>treinta y uno de marzo</w:t>
      </w:r>
      <w:r w:rsidR="00821B22">
        <w:rPr>
          <w:rFonts w:cs="Tahoma"/>
        </w:rPr>
        <w:t xml:space="preserve"> de dos mil veintidós</w:t>
      </w:r>
      <w:r w:rsidRPr="00D82B73">
        <w:rPr>
          <w:rFonts w:cs="Tahoma"/>
        </w:rPr>
        <w:t>, se recibió en este Instituto, a través del Sistema de Acceso a la Información Mexiquense (SAIMEX), el Recurso de Revisión interpuesto por la parte Recurrente, en co</w:t>
      </w:r>
      <w:r w:rsidR="00821B22">
        <w:rPr>
          <w:rFonts w:cs="Tahoma"/>
        </w:rPr>
        <w:t xml:space="preserve">ntra de la </w:t>
      </w:r>
      <w:r w:rsidRPr="00D82B73">
        <w:rPr>
          <w:rFonts w:cs="Tahoma"/>
        </w:rPr>
        <w:t xml:space="preserve">respuesta del Sujeto Obligado, en los siguientes términos: </w:t>
      </w:r>
    </w:p>
    <w:p w:rsidR="003E7E96" w:rsidP="00AD62BD" w:rsidRDefault="003E7E96" w14:paraId="5901A386" w14:textId="77777777">
      <w:pPr>
        <w:pStyle w:val="Prrafodelista"/>
        <w:spacing w:line="360" w:lineRule="auto"/>
        <w:ind w:left="142"/>
        <w:rPr>
          <w:rFonts w:cs="Tahoma"/>
          <w:szCs w:val="22"/>
        </w:rPr>
      </w:pPr>
    </w:p>
    <w:p w:rsidRPr="0022288F" w:rsidR="00D82B73" w:rsidP="0022288F" w:rsidRDefault="00821B22" w14:paraId="405882C9" w14:textId="5F71A138">
      <w:pPr>
        <w:spacing w:after="0" w:line="360" w:lineRule="auto"/>
        <w:ind w:left="567" w:right="567"/>
        <w:rPr>
          <w:rFonts w:eastAsia="Times New Roman" w:cs="Tahoma"/>
          <w:b/>
          <w:bCs/>
          <w:i/>
          <w:iCs/>
          <w:color w:val="auto"/>
          <w:sz w:val="20"/>
          <w:szCs w:val="20"/>
          <w:lang w:val="es-ES_tradnl" w:eastAsia="es-ES"/>
        </w:rPr>
      </w:pPr>
      <w:r w:rsidRPr="0022288F">
        <w:rPr>
          <w:rFonts w:eastAsia="Times New Roman" w:cs="Tahoma"/>
          <w:b/>
          <w:bCs/>
          <w:i/>
          <w:iCs/>
          <w:color w:val="auto"/>
          <w:sz w:val="20"/>
          <w:szCs w:val="20"/>
          <w:lang w:val="es-ES_tradnl" w:eastAsia="es-ES"/>
        </w:rPr>
        <w:t>“</w:t>
      </w:r>
      <w:r w:rsidRPr="0022288F" w:rsidR="00F406CE">
        <w:rPr>
          <w:rFonts w:eastAsia="Times New Roman" w:cs="Tahoma"/>
          <w:b/>
          <w:bCs/>
          <w:i/>
          <w:iCs/>
          <w:color w:val="auto"/>
          <w:sz w:val="20"/>
          <w:szCs w:val="20"/>
          <w:lang w:val="es-ES_tradnl" w:eastAsia="es-ES"/>
        </w:rPr>
        <w:t xml:space="preserve">ACTO IMPUGNADO </w:t>
      </w:r>
    </w:p>
    <w:p w:rsidRPr="0022288F" w:rsidR="00D82B73" w:rsidP="0022288F" w:rsidRDefault="00745508" w14:paraId="73364416" w14:textId="678BC255">
      <w:pPr>
        <w:spacing w:after="0" w:line="360" w:lineRule="auto"/>
        <w:ind w:left="567" w:right="567"/>
        <w:rPr>
          <w:rFonts w:eastAsia="Times New Roman" w:cs="Tahoma"/>
          <w:i/>
          <w:iCs/>
          <w:color w:val="auto"/>
          <w:sz w:val="20"/>
          <w:szCs w:val="20"/>
          <w:lang w:val="es-ES_tradnl" w:eastAsia="es-ES"/>
        </w:rPr>
      </w:pPr>
      <w:r w:rsidRPr="00745508">
        <w:rPr>
          <w:rFonts w:eastAsia="Times New Roman" w:cs="Tahoma"/>
          <w:i/>
          <w:iCs/>
          <w:color w:val="auto"/>
          <w:sz w:val="20"/>
          <w:szCs w:val="20"/>
          <w:lang w:eastAsia="es-ES"/>
        </w:rPr>
        <w:t>LA RESPUESTA ESTA INCOMPLETA</w:t>
      </w:r>
      <w:r w:rsidRPr="0022288F" w:rsidR="00821B22">
        <w:rPr>
          <w:rFonts w:eastAsia="Times New Roman" w:cs="Tahoma"/>
          <w:i/>
          <w:iCs/>
          <w:color w:val="auto"/>
          <w:sz w:val="20"/>
          <w:szCs w:val="20"/>
          <w:lang w:val="es-ES_tradnl" w:eastAsia="es-ES"/>
        </w:rPr>
        <w:t>”</w:t>
      </w:r>
      <w:r w:rsidRPr="0022288F" w:rsidR="00F406CE">
        <w:rPr>
          <w:rFonts w:eastAsia="Times New Roman" w:cs="Tahoma"/>
          <w:i/>
          <w:iCs/>
          <w:color w:val="auto"/>
          <w:sz w:val="20"/>
          <w:szCs w:val="20"/>
          <w:lang w:val="es-ES_tradnl" w:eastAsia="es-ES"/>
        </w:rPr>
        <w:t xml:space="preserve"> (Sic) </w:t>
      </w:r>
    </w:p>
    <w:p w:rsidR="00821B22" w:rsidP="00AD62BD" w:rsidRDefault="00821B22" w14:paraId="4AF80587" w14:textId="77777777">
      <w:pPr>
        <w:pStyle w:val="Prrafodelista"/>
        <w:spacing w:line="360" w:lineRule="auto"/>
        <w:ind w:left="142"/>
        <w:rPr>
          <w:rFonts w:cs="Tahoma"/>
          <w:szCs w:val="22"/>
        </w:rPr>
      </w:pPr>
    </w:p>
    <w:p w:rsidRPr="00821B22" w:rsidR="00821B22" w:rsidP="0022288F" w:rsidRDefault="00821B22" w14:paraId="02828EFB" w14:textId="37467DED">
      <w:pPr>
        <w:spacing w:after="0" w:line="360" w:lineRule="auto"/>
        <w:ind w:left="567" w:right="567"/>
        <w:rPr>
          <w:rFonts w:cs="Tahoma"/>
          <w:i/>
          <w:sz w:val="20"/>
        </w:rPr>
      </w:pPr>
      <w:r w:rsidRPr="0022288F">
        <w:rPr>
          <w:rFonts w:eastAsia="Times New Roman" w:cs="Tahoma"/>
          <w:b/>
          <w:bCs/>
          <w:i/>
          <w:iCs/>
          <w:color w:val="auto"/>
          <w:sz w:val="20"/>
          <w:szCs w:val="20"/>
          <w:lang w:val="es-ES_tradnl" w:eastAsia="es-ES"/>
        </w:rPr>
        <w:t>“RAZONES O MOTIVOS DE LA INCONFORMIDAD</w:t>
      </w:r>
      <w:r w:rsidRPr="00821B22">
        <w:rPr>
          <w:rFonts w:cs="Tahoma"/>
          <w:i/>
          <w:sz w:val="20"/>
        </w:rPr>
        <w:tab/>
      </w:r>
    </w:p>
    <w:p w:rsidRPr="0022288F" w:rsidR="00D82B73" w:rsidP="0022288F" w:rsidRDefault="007F6297" w14:paraId="19687A55" w14:textId="0A863295">
      <w:pPr>
        <w:spacing w:after="0" w:line="360" w:lineRule="auto"/>
        <w:ind w:left="567" w:right="567"/>
        <w:rPr>
          <w:rFonts w:eastAsia="Times New Roman" w:cs="Tahoma"/>
          <w:i/>
          <w:iCs/>
          <w:color w:val="auto"/>
          <w:sz w:val="20"/>
          <w:szCs w:val="20"/>
          <w:lang w:val="es-ES_tradnl" w:eastAsia="es-ES"/>
        </w:rPr>
      </w:pPr>
      <w:r w:rsidRPr="007F6297">
        <w:rPr>
          <w:rFonts w:eastAsia="Times New Roman" w:cs="Tahoma"/>
          <w:i/>
          <w:iCs/>
          <w:color w:val="auto"/>
          <w:sz w:val="20"/>
          <w:szCs w:val="20"/>
          <w:lang w:eastAsia="es-ES"/>
        </w:rPr>
        <w:t>NO QUIEREN ENTREGAR LA INFORMACION, SE NOTA LA FALTA DE RESPONSABILIDAD EN LA ENTREGA DE SOLICITUDES, NO ENTREGAN NI CURRICULUM NI RECIBO</w:t>
      </w:r>
      <w:r w:rsidRPr="0022288F" w:rsidR="00821B22">
        <w:rPr>
          <w:rFonts w:eastAsia="Times New Roman" w:cs="Tahoma"/>
          <w:i/>
          <w:iCs/>
          <w:color w:val="auto"/>
          <w:sz w:val="20"/>
          <w:szCs w:val="20"/>
          <w:lang w:val="es-ES_tradnl" w:eastAsia="es-ES"/>
        </w:rPr>
        <w:t>”</w:t>
      </w:r>
    </w:p>
    <w:p w:rsidRPr="00821B22" w:rsidR="00821B22" w:rsidP="00AD62BD" w:rsidRDefault="00821B22" w14:paraId="677F87C2" w14:textId="77777777">
      <w:pPr>
        <w:pStyle w:val="Prrafodelista"/>
        <w:spacing w:line="360" w:lineRule="auto"/>
        <w:ind w:left="142"/>
        <w:rPr>
          <w:rFonts w:cs="Tahoma"/>
          <w:i/>
          <w:sz w:val="20"/>
          <w:szCs w:val="22"/>
        </w:rPr>
      </w:pPr>
    </w:p>
    <w:p w:rsidR="00D82B73" w:rsidP="0022288F" w:rsidRDefault="00F406CE" w14:paraId="5829D1DD" w14:textId="055E7A19">
      <w:pPr>
        <w:autoSpaceDE w:val="0"/>
        <w:autoSpaceDN w:val="0"/>
        <w:adjustRightInd w:val="0"/>
        <w:spacing w:after="0" w:line="360" w:lineRule="auto"/>
        <w:rPr>
          <w:rFonts w:cs="Tahoma"/>
        </w:rPr>
      </w:pPr>
      <w:r w:rsidRPr="0022288F">
        <w:rPr>
          <w:rFonts w:eastAsia="Times New Roman" w:cs="Tahoma"/>
          <w:b/>
          <w:color w:val="0D0D0D" w:themeColor="text1" w:themeTint="F2"/>
          <w:lang w:val="es-ES_tradnl" w:eastAsia="es-ES"/>
        </w:rPr>
        <w:t>IV</w:t>
      </w:r>
      <w:r w:rsidRPr="00443A58">
        <w:rPr>
          <w:rFonts w:cs="Tahoma"/>
          <w:b/>
        </w:rPr>
        <w:t>. Trámite del Recurso de Revisión ante este Instituto.</w:t>
      </w:r>
      <w:r w:rsidRPr="00443A58">
        <w:rPr>
          <w:rFonts w:cs="Tahoma"/>
        </w:rPr>
        <w:t xml:space="preserve"> </w:t>
      </w:r>
    </w:p>
    <w:p w:rsidRPr="00443A58" w:rsidR="0022288F" w:rsidP="0022288F" w:rsidRDefault="0022288F" w14:paraId="147EBEDE" w14:textId="77777777">
      <w:pPr>
        <w:autoSpaceDE w:val="0"/>
        <w:autoSpaceDN w:val="0"/>
        <w:adjustRightInd w:val="0"/>
        <w:spacing w:after="0" w:line="360" w:lineRule="auto"/>
        <w:rPr>
          <w:rFonts w:cs="Tahoma"/>
        </w:rPr>
      </w:pPr>
    </w:p>
    <w:p w:rsidR="00D82B73" w:rsidP="00AD62BD" w:rsidRDefault="00F406CE" w14:paraId="38DF531B" w14:textId="7EE7187F">
      <w:pPr>
        <w:pStyle w:val="Prrafodelista"/>
        <w:spacing w:line="360" w:lineRule="auto"/>
        <w:ind w:left="0"/>
        <w:rPr>
          <w:rFonts w:cs="Tahoma"/>
          <w:szCs w:val="22"/>
        </w:rPr>
      </w:pPr>
      <w:r w:rsidRPr="00443A58">
        <w:rPr>
          <w:rFonts w:cs="Tahoma"/>
          <w:b/>
          <w:szCs w:val="22"/>
        </w:rPr>
        <w:t>a) Turno del Medio de Impugnación</w:t>
      </w:r>
      <w:r w:rsidRPr="00443A58">
        <w:rPr>
          <w:rFonts w:cs="Tahoma"/>
          <w:szCs w:val="22"/>
        </w:rPr>
        <w:t xml:space="preserve">. El </w:t>
      </w:r>
      <w:r w:rsidR="007F6297">
        <w:rPr>
          <w:rFonts w:cs="Tahoma"/>
          <w:szCs w:val="22"/>
        </w:rPr>
        <w:t>treinta y uno de marzo</w:t>
      </w:r>
      <w:r w:rsidR="00443A58">
        <w:rPr>
          <w:rFonts w:cs="Tahoma"/>
          <w:szCs w:val="22"/>
        </w:rPr>
        <w:t xml:space="preserve"> de dos mil veintidós</w:t>
      </w:r>
      <w:r w:rsidRPr="00D82B73">
        <w:rPr>
          <w:rFonts w:cs="Tahoma"/>
          <w:szCs w:val="22"/>
        </w:rPr>
        <w:t xml:space="preserve">, el Sistema de Acceso a la Información Mexiquense (SAIMEX), asignó el número de expediente </w:t>
      </w:r>
      <w:r w:rsidRPr="00443A58" w:rsidR="00443A58">
        <w:rPr>
          <w:rFonts w:cs="Tahoma"/>
          <w:szCs w:val="22"/>
        </w:rPr>
        <w:t>0</w:t>
      </w:r>
      <w:r w:rsidR="00F140A1">
        <w:rPr>
          <w:rFonts w:cs="Tahoma"/>
          <w:szCs w:val="22"/>
        </w:rPr>
        <w:t>5296</w:t>
      </w:r>
      <w:r w:rsidRPr="00443A58" w:rsidR="00443A58">
        <w:rPr>
          <w:rFonts w:cs="Tahoma"/>
          <w:szCs w:val="22"/>
        </w:rPr>
        <w:t>/INFOEM/IP/RR/2022</w:t>
      </w:r>
      <w:r w:rsidRPr="00D82B73">
        <w:rPr>
          <w:rFonts w:cs="Tahoma"/>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004A7747" w:rsidP="00AD62BD" w:rsidRDefault="004A7747" w14:paraId="4991B030" w14:textId="77777777">
      <w:pPr>
        <w:pStyle w:val="Prrafodelista"/>
        <w:spacing w:line="360" w:lineRule="auto"/>
        <w:ind w:left="0"/>
        <w:rPr>
          <w:rFonts w:cs="Tahoma"/>
          <w:szCs w:val="22"/>
        </w:rPr>
      </w:pPr>
    </w:p>
    <w:p w:rsidR="00D82B73" w:rsidP="00AD62BD" w:rsidRDefault="00F406CE" w14:paraId="660B97CE" w14:textId="451FA3B9">
      <w:pPr>
        <w:pStyle w:val="Prrafodelista"/>
        <w:spacing w:line="360" w:lineRule="auto"/>
        <w:ind w:left="0"/>
        <w:rPr>
          <w:rFonts w:cs="Tahoma"/>
          <w:szCs w:val="22"/>
        </w:rPr>
      </w:pPr>
      <w:r w:rsidRPr="00D82B73">
        <w:rPr>
          <w:rFonts w:cs="Tahoma"/>
          <w:b/>
          <w:szCs w:val="22"/>
        </w:rPr>
        <w:t>b) Admisión del Recurso de Revisión</w:t>
      </w:r>
      <w:r w:rsidRPr="00D82B73">
        <w:rPr>
          <w:rFonts w:cs="Tahoma"/>
          <w:szCs w:val="22"/>
        </w:rPr>
        <w:t xml:space="preserve">. El </w:t>
      </w:r>
      <w:r w:rsidR="007F6297">
        <w:rPr>
          <w:rFonts w:cs="Tahoma"/>
          <w:szCs w:val="22"/>
        </w:rPr>
        <w:t>cinco de abril</w:t>
      </w:r>
      <w:r w:rsidR="00443A58">
        <w:rPr>
          <w:rFonts w:cs="Tahoma"/>
          <w:szCs w:val="22"/>
        </w:rPr>
        <w:t xml:space="preserve"> de dos mil veintidós</w:t>
      </w:r>
      <w:r w:rsidRPr="00D82B73">
        <w:rPr>
          <w:rFonts w:cs="Tahoma"/>
          <w:szCs w:val="22"/>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tres de dicho mes y año, a través del Sistema de Acceso a la Información Mexiquense (SAIMEX), en el que se les otorgó un plazo de siete días hábiles posteriores a la misma, para que manifestaran lo que a su derecho conviniera y formularan alegatos. </w:t>
      </w:r>
    </w:p>
    <w:p w:rsidR="00443A58" w:rsidP="00AD62BD" w:rsidRDefault="00443A58" w14:paraId="18C10030" w14:textId="77777777">
      <w:pPr>
        <w:pStyle w:val="Prrafodelista"/>
        <w:spacing w:line="360" w:lineRule="auto"/>
        <w:ind w:left="142"/>
        <w:rPr>
          <w:rFonts w:cs="Tahoma"/>
          <w:szCs w:val="22"/>
        </w:rPr>
      </w:pPr>
    </w:p>
    <w:p w:rsidR="00443A58" w:rsidP="0022288F" w:rsidRDefault="0022288F" w14:paraId="116451AC" w14:textId="57C94E1E">
      <w:pPr>
        <w:spacing w:after="0" w:line="360" w:lineRule="auto"/>
        <w:rPr>
          <w:rFonts w:eastAsia="Times New Roman" w:cs="Tahoma"/>
          <w:bCs/>
          <w:color w:val="auto"/>
          <w:lang w:val="es-ES_tradnl" w:eastAsia="es-ES"/>
        </w:rPr>
      </w:pPr>
      <w:r>
        <w:rPr>
          <w:rFonts w:eastAsia="Times New Roman" w:cs="Tahoma"/>
          <w:b/>
          <w:color w:val="auto"/>
          <w:lang w:val="es-ES_tradnl" w:eastAsia="es-ES"/>
        </w:rPr>
        <w:t>c</w:t>
      </w:r>
      <w:r w:rsidRPr="00443A58" w:rsidR="00443A58">
        <w:rPr>
          <w:rFonts w:eastAsia="Times New Roman" w:cs="Tahoma"/>
          <w:b/>
          <w:color w:val="auto"/>
          <w:lang w:val="es-ES_tradnl" w:eastAsia="es-ES"/>
        </w:rPr>
        <w:t>) Informe Justificado</w:t>
      </w:r>
      <w:r>
        <w:rPr>
          <w:rFonts w:eastAsia="Times New Roman" w:cs="Tahoma"/>
          <w:b/>
          <w:color w:val="auto"/>
          <w:lang w:val="es-ES_tradnl" w:eastAsia="es-ES"/>
        </w:rPr>
        <w:t xml:space="preserve"> o manifestaciones. </w:t>
      </w:r>
      <w:r>
        <w:rPr>
          <w:rFonts w:eastAsia="Times New Roman" w:cs="Tahoma"/>
          <w:bCs/>
          <w:color w:val="auto"/>
          <w:lang w:val="es-ES_tradnl" w:eastAsia="es-ES"/>
        </w:rPr>
        <w:t>Las partes fueron omisas en emitir manifestaciones o alegatos.</w:t>
      </w:r>
    </w:p>
    <w:p w:rsidRPr="0022288F" w:rsidR="001A4A1F" w:rsidP="0022288F" w:rsidRDefault="001A4A1F" w14:paraId="60C6AA04" w14:textId="77777777">
      <w:pPr>
        <w:spacing w:after="0" w:line="360" w:lineRule="auto"/>
        <w:rPr>
          <w:rFonts w:eastAsia="Times New Roman" w:cs="Tahoma"/>
          <w:bCs/>
          <w:color w:val="auto"/>
          <w:lang w:val="es-ES_tradnl" w:eastAsia="es-ES"/>
        </w:rPr>
      </w:pPr>
    </w:p>
    <w:p w:rsidRPr="00443A58" w:rsidR="00443A58" w:rsidP="00AD62BD" w:rsidRDefault="0022288F" w14:paraId="6A82FD5D" w14:textId="32D6C86C">
      <w:pPr>
        <w:spacing w:after="0" w:line="360" w:lineRule="auto"/>
        <w:rPr>
          <w:rFonts w:eastAsia="Palatino Linotype" w:cs="Palatino Linotype"/>
          <w:color w:val="auto"/>
          <w:lang w:val="es-ES" w:eastAsia="es-ES"/>
        </w:rPr>
      </w:pPr>
      <w:r>
        <w:rPr>
          <w:rFonts w:eastAsia="Palatino Linotype" w:cs="Palatino Linotype"/>
          <w:b/>
          <w:bCs/>
          <w:color w:val="auto"/>
          <w:lang w:val="es-ES" w:eastAsia="es-ES"/>
        </w:rPr>
        <w:t>d</w:t>
      </w:r>
      <w:r w:rsidRPr="00443A58" w:rsidR="00443A58">
        <w:rPr>
          <w:rFonts w:eastAsia="Palatino Linotype" w:cs="Palatino Linotype"/>
          <w:b/>
          <w:bCs/>
          <w:color w:val="auto"/>
          <w:lang w:val="es-ES" w:eastAsia="es-ES"/>
        </w:rPr>
        <w:t xml:space="preserve">) </w:t>
      </w:r>
      <w:r w:rsidRPr="00443A58" w:rsidR="00443A58">
        <w:rPr>
          <w:rFonts w:eastAsia="Palatino Linotype" w:cs="Palatino Linotype"/>
          <w:b/>
          <w:color w:val="auto"/>
          <w:lang w:val="es-ES" w:eastAsia="es-ES"/>
        </w:rPr>
        <w:t>Cierre de instrucción</w:t>
      </w:r>
      <w:r w:rsidRPr="00443A58" w:rsidR="00443A58">
        <w:rPr>
          <w:rFonts w:eastAsia="Palatino Linotype" w:cs="Palatino Linotype"/>
          <w:color w:val="auto"/>
          <w:lang w:val="es-ES" w:eastAsia="es-ES"/>
        </w:rPr>
        <w:t xml:space="preserve">. El </w:t>
      </w:r>
      <w:r w:rsidR="007F6297">
        <w:rPr>
          <w:rFonts w:eastAsia="Palatino Linotype" w:cs="Palatino Linotype"/>
          <w:color w:val="auto"/>
          <w:lang w:val="es-ES" w:eastAsia="es-ES"/>
        </w:rPr>
        <w:t>veinte de mayo</w:t>
      </w:r>
      <w:r w:rsidRPr="00443A58" w:rsidR="00443A58">
        <w:rPr>
          <w:rFonts w:eastAsia="Palatino Linotype" w:cs="Palatino Linotype"/>
          <w:color w:val="auto"/>
          <w:lang w:val="es-ES" w:eastAsia="es-ES"/>
        </w:rPr>
        <w:t xml:space="preserve"> de dos mil veintidós, al no existir diligencias pendientes por desahogar, se emitió el acuerdo por medio del cual se declaró cerrada la </w:t>
      </w:r>
      <w:r w:rsidRPr="00443A58" w:rsidR="00443A58">
        <w:rPr>
          <w:rFonts w:eastAsia="Palatino Linotype" w:cs="Palatino Linotype"/>
          <w:color w:val="auto"/>
          <w:lang w:val="es-ES" w:eastAsia="es-ES"/>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00D54C5E">
        <w:rPr>
          <w:rFonts w:eastAsia="Palatino Linotype" w:cs="Palatino Linotype"/>
          <w:color w:val="auto"/>
          <w:lang w:val="es-ES" w:eastAsia="es-ES"/>
        </w:rPr>
        <w:t>veintitrés de dicho mes y año</w:t>
      </w:r>
      <w:r w:rsidRPr="00443A58" w:rsidR="00443A58">
        <w:rPr>
          <w:rFonts w:eastAsia="Palatino Linotype" w:cs="Palatino Linotype"/>
          <w:color w:val="auto"/>
          <w:lang w:val="es-ES" w:eastAsia="es-ES"/>
        </w:rPr>
        <w:t>, a través del Sistema de Acceso a la Información Mexiquense (SAIMEX).</w:t>
      </w:r>
    </w:p>
    <w:p w:rsidR="00443A58" w:rsidP="00AD62BD" w:rsidRDefault="00443A58" w14:paraId="3E3ECF9F" w14:textId="7D42456A">
      <w:pPr>
        <w:spacing w:after="0" w:line="360" w:lineRule="auto"/>
        <w:rPr>
          <w:rFonts w:eastAsia="Palatino Linotype" w:cs="Palatino Linotype"/>
          <w:color w:val="auto"/>
          <w:lang w:val="es-ES" w:eastAsia="es-ES"/>
        </w:rPr>
      </w:pPr>
    </w:p>
    <w:p w:rsidR="00D82B73" w:rsidP="00D54C5E" w:rsidRDefault="00443A58" w14:paraId="77051ADD" w14:textId="043FD015">
      <w:pPr>
        <w:spacing w:after="0" w:line="360" w:lineRule="auto"/>
        <w:rPr>
          <w:rFonts w:eastAsia="Times New Roman" w:cs="Tahoma"/>
          <w:color w:val="000000"/>
          <w:lang w:val="es-ES_tradnl" w:eastAsia="es-ES"/>
        </w:rPr>
      </w:pPr>
      <w:r w:rsidRPr="00443A58">
        <w:rPr>
          <w:rFonts w:eastAsia="Times New Roman" w:cs="Tahoma"/>
          <w:color w:val="000000"/>
          <w:lang w:val="es-ES_tradnl" w:eastAsia="es-ES"/>
        </w:rPr>
        <w:t xml:space="preserve">En razón de que fue debidamente sustanciado el expediente electrónico y no existe diligencia pendiente de desahogo, se emite la resolución que conforme a Derecho proceda, de acuerdo a los siguientes: </w:t>
      </w:r>
    </w:p>
    <w:p w:rsidRPr="00D54C5E" w:rsidR="00D54C5E" w:rsidP="00D54C5E" w:rsidRDefault="00D54C5E" w14:paraId="1F1E5746" w14:textId="77777777">
      <w:pPr>
        <w:spacing w:after="0" w:line="360" w:lineRule="auto"/>
        <w:rPr>
          <w:rFonts w:eastAsia="Times New Roman" w:cs="Tahoma"/>
          <w:color w:val="000000"/>
          <w:lang w:val="es-ES_tradnl" w:eastAsia="es-ES"/>
        </w:rPr>
      </w:pPr>
    </w:p>
    <w:p w:rsidRPr="00FF32E9" w:rsidR="00C853D1" w:rsidP="00AD62BD" w:rsidRDefault="00C853D1" w14:paraId="4647AD46" w14:textId="77777777">
      <w:pPr>
        <w:spacing w:after="0" w:line="360" w:lineRule="auto"/>
        <w:jc w:val="center"/>
        <w:rPr>
          <w:rFonts w:eastAsia="Times New Roman" w:cs="Tahoma"/>
          <w:b/>
          <w:color w:val="auto"/>
          <w:lang w:val="es-ES" w:eastAsia="es-ES"/>
        </w:rPr>
      </w:pPr>
      <w:r w:rsidRPr="00157C2F">
        <w:rPr>
          <w:rFonts w:eastAsia="Times New Roman" w:cs="Tahoma"/>
          <w:b/>
          <w:color w:val="auto"/>
          <w:lang w:val="es-ES" w:eastAsia="es-ES"/>
        </w:rPr>
        <w:t>C O N S I D E R A N D O S:</w:t>
      </w:r>
    </w:p>
    <w:p w:rsidRPr="00FF32E9" w:rsidR="00D54C5E" w:rsidP="00AD62BD" w:rsidRDefault="00D54C5E" w14:paraId="24FC9019" w14:textId="77777777">
      <w:pPr>
        <w:spacing w:after="0" w:line="360" w:lineRule="auto"/>
        <w:rPr>
          <w:b/>
        </w:rPr>
      </w:pPr>
    </w:p>
    <w:p w:rsidRPr="00FF32E9" w:rsidR="00C853D1" w:rsidP="00AD62BD"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FF32E9">
        <w:rPr>
          <w:rFonts w:eastAsia="Calibri" w:cs="Tahoma"/>
          <w:b/>
          <w:color w:val="000000"/>
          <w:szCs w:val="24"/>
          <w:lang w:val="es-ES" w:eastAsia="es-MX"/>
        </w:rPr>
        <w:t>PRIMERO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Competencia.</w:t>
      </w:r>
    </w:p>
    <w:p w:rsidRPr="00FF32E9" w:rsidR="00C853D1" w:rsidP="00AD62BD"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FF32E9" w:rsidR="00C853D1" w:rsidP="00AD62BD" w:rsidRDefault="00C853D1" w14:paraId="4BA69015" w14:textId="35F4A5AE">
      <w:pPr>
        <w:spacing w:after="0" w:line="360" w:lineRule="auto"/>
        <w:rPr>
          <w:rFonts w:eastAsia="Times New Roman" w:cs="Tahoma"/>
          <w:bCs/>
          <w:color w:val="auto"/>
          <w:lang w:eastAsia="es-ES"/>
        </w:rPr>
      </w:pPr>
      <w:r w:rsidRPr="00FF32E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FF32E9" w:rsidR="00682222">
        <w:rPr>
          <w:rFonts w:eastAsia="Times New Roman" w:cs="Tahoma"/>
          <w:bCs/>
          <w:color w:val="auto"/>
          <w:lang w:eastAsia="es-ES"/>
        </w:rPr>
        <w:t>trig</w:t>
      </w:r>
      <w:r w:rsidRPr="00FF32E9" w:rsidR="00682222">
        <w:rPr>
          <w:rFonts w:eastAsia="Times New Roman" w:cs="Tahoma"/>
          <w:bCs/>
          <w:color w:val="auto"/>
          <w:lang w:val="x-none" w:eastAsia="es-ES"/>
        </w:rPr>
        <w:t>ésimo, trigésimo primero</w:t>
      </w:r>
      <w:r w:rsidRPr="00FF32E9">
        <w:rPr>
          <w:rFonts w:eastAsia="Times New Roman" w:cs="Tahoma"/>
          <w:bCs/>
          <w:color w:val="auto"/>
          <w:lang w:eastAsia="es-ES"/>
        </w:rPr>
        <w:t xml:space="preserve"> y trigésimo </w:t>
      </w:r>
      <w:r w:rsidRPr="00FF32E9" w:rsidR="00682222">
        <w:rPr>
          <w:rFonts w:eastAsia="Times New Roman" w:cs="Tahoma"/>
          <w:bCs/>
          <w:color w:val="auto"/>
          <w:lang w:eastAsia="es-ES"/>
        </w:rPr>
        <w:t>segundo</w:t>
      </w:r>
      <w:r w:rsidRPr="00FF32E9">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32E9">
        <w:rPr>
          <w:rFonts w:eastAsia="Times New Roman" w:cs="Times New Roman"/>
          <w:bCs/>
          <w:color w:val="auto"/>
          <w:lang w:eastAsia="es-ES"/>
        </w:rPr>
        <w:t xml:space="preserve"> 7°, </w:t>
      </w:r>
      <w:r w:rsidRPr="00FF32E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FF32E9" w:rsidR="00C853D1" w:rsidP="00AD62BD" w:rsidRDefault="00C853D1" w14:paraId="4FF2492C" w14:textId="77777777">
      <w:pPr>
        <w:spacing w:after="0" w:line="360" w:lineRule="auto"/>
        <w:rPr>
          <w:rFonts w:eastAsia="Times New Roman" w:cs="Tahoma"/>
          <w:bCs/>
          <w:color w:val="auto"/>
          <w:lang w:eastAsia="es-ES"/>
        </w:rPr>
      </w:pPr>
    </w:p>
    <w:p w:rsidRPr="00FF32E9" w:rsidR="00C853D1" w:rsidP="00AD62BD"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FF32E9">
        <w:rPr>
          <w:rFonts w:eastAsia="Calibri" w:cs="Tahoma"/>
          <w:b/>
          <w:color w:val="000000"/>
          <w:szCs w:val="24"/>
          <w:lang w:val="es-ES" w:eastAsia="es-MX"/>
        </w:rPr>
        <w:t>SEGUNDO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Causales de improcedencia y sobreseimiento.</w:t>
      </w:r>
      <w:r w:rsidRPr="00FF32E9">
        <w:rPr>
          <w:rFonts w:eastAsia="Times New Roman" w:cs="Tahoma"/>
          <w:color w:val="auto"/>
          <w:szCs w:val="24"/>
          <w:lang w:val="es-ES" w:eastAsia="es-ES"/>
        </w:rPr>
        <w:t xml:space="preserve"> </w:t>
      </w:r>
    </w:p>
    <w:p w:rsidRPr="00FF32E9" w:rsidR="00C853D1" w:rsidP="00AD62BD"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FF32E9" w:rsidR="00C853D1" w:rsidP="00AD62BD"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FF32E9">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FF32E9">
        <w:rPr>
          <w:rFonts w:eastAsia="Times New Roman" w:cs="Tahoma"/>
          <w:i/>
          <w:color w:val="auto"/>
          <w:szCs w:val="24"/>
          <w:lang w:val="es-ES" w:eastAsia="es-ES"/>
        </w:rPr>
        <w:t>litis</w:t>
      </w:r>
      <w:r w:rsidRPr="00FF32E9">
        <w:rPr>
          <w:rFonts w:eastAsia="Times New Roman" w:cs="Tahoma"/>
          <w:color w:val="auto"/>
          <w:szCs w:val="24"/>
          <w:lang w:val="es-ES" w:eastAsia="es-ES"/>
        </w:rPr>
        <w:t>, es necesario estudiar las causales de improcedencia y sobreseimiento que se adviertan, para determinar lo que en Derecho proceda.</w:t>
      </w:r>
    </w:p>
    <w:p w:rsidRPr="00FF32E9" w:rsidR="00C853D1" w:rsidP="00AD62BD"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FF32E9" w:rsidR="00C853D1" w:rsidP="00AD62BD"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FF32E9">
        <w:rPr>
          <w:rFonts w:eastAsia="Calibri" w:cs="Tahoma"/>
          <w:b/>
          <w:color w:val="000000"/>
          <w:szCs w:val="24"/>
          <w:lang w:val="es-ES" w:eastAsia="es-MX"/>
        </w:rPr>
        <w:t>Causales de improcedencia.</w:t>
      </w:r>
      <w:r w:rsidRPr="00FF32E9">
        <w:rPr>
          <w:rFonts w:eastAsia="Calibri" w:cs="Tahoma"/>
          <w:color w:val="000000"/>
          <w:szCs w:val="24"/>
          <w:lang w:val="es-ES" w:eastAsia="es-MX"/>
        </w:rPr>
        <w:t xml:space="preserve"> </w:t>
      </w:r>
    </w:p>
    <w:p w:rsidRPr="00FF32E9" w:rsidR="00C853D1" w:rsidP="00AD62BD"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FF32E9" w:rsidR="00C853D1" w:rsidP="00AD62BD" w:rsidRDefault="00C853D1" w14:paraId="0231FCB7" w14:textId="77777777">
      <w:pPr>
        <w:autoSpaceDE w:val="0"/>
        <w:autoSpaceDN w:val="0"/>
        <w:adjustRightInd w:val="0"/>
        <w:spacing w:after="0" w:line="360" w:lineRule="auto"/>
        <w:rPr>
          <w:rFonts w:eastAsia="Calibri" w:cs="Tahoma"/>
          <w:color w:val="000000"/>
          <w:lang w:val="es-ES" w:eastAsia="es-MX"/>
        </w:rPr>
      </w:pPr>
      <w:r w:rsidRPr="00FF32E9">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F32E9">
        <w:rPr>
          <w:rFonts w:eastAsia="Calibri" w:cs="Tahoma"/>
          <w:b/>
          <w:bCs/>
          <w:color w:val="000000"/>
          <w:lang w:eastAsia="es-MX"/>
        </w:rPr>
        <w:t xml:space="preserve"> </w:t>
      </w:r>
      <w:r w:rsidRPr="00FF32E9">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FF32E9" w:rsidR="00C853D1" w:rsidP="00AD62BD" w:rsidRDefault="00C853D1" w14:paraId="52B897E0" w14:textId="77777777">
      <w:pPr>
        <w:autoSpaceDE w:val="0"/>
        <w:autoSpaceDN w:val="0"/>
        <w:adjustRightInd w:val="0"/>
        <w:spacing w:after="0" w:line="360" w:lineRule="auto"/>
        <w:rPr>
          <w:rFonts w:eastAsia="Calibri" w:cs="Tahoma"/>
          <w:color w:val="000000"/>
          <w:lang w:eastAsia="es-MX"/>
        </w:rPr>
      </w:pPr>
    </w:p>
    <w:p w:rsidRPr="00FF32E9" w:rsidR="00C853D1" w:rsidP="00AD62BD" w:rsidRDefault="00C853D1" w14:paraId="0EA74A57" w14:textId="77777777">
      <w:pPr>
        <w:autoSpaceDE w:val="0"/>
        <w:autoSpaceDN w:val="0"/>
        <w:adjustRightInd w:val="0"/>
        <w:spacing w:after="0" w:line="360" w:lineRule="auto"/>
        <w:rPr>
          <w:rFonts w:eastAsia="Calibri" w:cs="Tahoma"/>
          <w:color w:val="000000"/>
          <w:lang w:eastAsia="es-MX"/>
        </w:rPr>
      </w:pPr>
      <w:r w:rsidRPr="00FF32E9">
        <w:rPr>
          <w:rFonts w:eastAsia="Calibri" w:cs="Tahoma"/>
          <w:color w:val="000000"/>
          <w:lang w:eastAsia="es-MX"/>
        </w:rPr>
        <w:t xml:space="preserve">En el presente caso, </w:t>
      </w:r>
      <w:r w:rsidRPr="00FF32E9">
        <w:rPr>
          <w:rFonts w:eastAsia="Calibri" w:cs="Tahoma"/>
          <w:b/>
          <w:color w:val="000000"/>
          <w:lang w:eastAsia="es-MX"/>
        </w:rPr>
        <w:t>no se actualiza ninguna de las causales de improcedencia</w:t>
      </w:r>
      <w:r w:rsidRPr="00FF32E9">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FF32E9" w:rsidR="00C853D1" w:rsidP="00AD62BD" w:rsidRDefault="00C853D1" w14:paraId="42DBAD8B" w14:textId="77777777">
      <w:pPr>
        <w:spacing w:after="0" w:line="360" w:lineRule="auto"/>
        <w:rPr>
          <w:rFonts w:eastAsia="Times New Roman" w:cs="Tahoma"/>
          <w:b/>
          <w:bCs/>
          <w:color w:val="auto"/>
          <w:lang w:eastAsia="es-ES"/>
        </w:rPr>
      </w:pPr>
    </w:p>
    <w:p w:rsidRPr="00FF32E9" w:rsidR="00C853D1" w:rsidP="00AD62BD" w:rsidRDefault="00DD116F" w14:paraId="009D8158" w14:textId="30857BEA">
      <w:pPr>
        <w:spacing w:after="0" w:line="360" w:lineRule="auto"/>
        <w:rPr>
          <w:rFonts w:eastAsia="Times New Roman" w:cs="Tahoma"/>
          <w:color w:val="auto"/>
          <w:lang w:val="es-ES" w:eastAsia="es-ES"/>
        </w:rPr>
      </w:pPr>
      <w:r w:rsidRPr="00FF32E9">
        <w:rPr>
          <w:rFonts w:eastAsia="Times New Roman" w:cs="Tahoma"/>
          <w:color w:val="auto"/>
          <w:lang w:eastAsia="es-ES"/>
        </w:rPr>
        <w:t xml:space="preserve">Asimismo, </w:t>
      </w:r>
      <w:r w:rsidRPr="00FF32E9" w:rsidR="00C853D1">
        <w:rPr>
          <w:rFonts w:eastAsia="Times New Roman" w:cs="Tahoma"/>
          <w:color w:val="auto"/>
          <w:lang w:eastAsia="es-ES"/>
        </w:rPr>
        <w:t xml:space="preserve">se actualiza la causal de procedencia del Recurso de Revisión señalada </w:t>
      </w:r>
      <w:r w:rsidR="00CD7B85">
        <w:rPr>
          <w:rFonts w:eastAsia="Times New Roman" w:cs="Tahoma"/>
          <w:color w:val="auto"/>
          <w:lang w:eastAsia="es-ES"/>
        </w:rPr>
        <w:t>en el artículo 179, fracciones</w:t>
      </w:r>
      <w:r w:rsidR="007F6297">
        <w:rPr>
          <w:rFonts w:eastAsia="Times New Roman" w:cs="Tahoma"/>
          <w:color w:val="auto"/>
          <w:lang w:eastAsia="es-ES"/>
        </w:rPr>
        <w:t xml:space="preserve"> V</w:t>
      </w:r>
      <w:r w:rsidR="00502A03">
        <w:rPr>
          <w:rFonts w:eastAsia="Times New Roman" w:cs="Tahoma"/>
          <w:color w:val="auto"/>
          <w:lang w:eastAsia="es-ES"/>
        </w:rPr>
        <w:t>I</w:t>
      </w:r>
      <w:r w:rsidRPr="00FF32E9" w:rsidR="00682222">
        <w:rPr>
          <w:rFonts w:eastAsia="Times New Roman" w:cs="Tahoma"/>
          <w:color w:val="auto"/>
          <w:lang w:eastAsia="es-ES"/>
        </w:rPr>
        <w:t>,</w:t>
      </w:r>
      <w:r w:rsidRPr="00FF32E9" w:rsidR="00C853D1">
        <w:rPr>
          <w:rFonts w:eastAsia="Times New Roman" w:cs="Tahoma"/>
          <w:color w:val="auto"/>
          <w:lang w:eastAsia="es-ES"/>
        </w:rPr>
        <w:t xml:space="preserve"> de la Ley en cita, </w:t>
      </w:r>
      <w:r w:rsidRPr="00FF32E9" w:rsidR="00C853D1">
        <w:rPr>
          <w:rFonts w:eastAsia="Calibri" w:cs="Tahoma"/>
          <w:color w:val="000000"/>
          <w:lang w:eastAsia="es-MX"/>
        </w:rPr>
        <w:t xml:space="preserve">pues la Recurrente se inconformó </w:t>
      </w:r>
      <w:r w:rsidR="007F6297">
        <w:rPr>
          <w:rFonts w:eastAsia="Times New Roman" w:cs="Tahoma"/>
          <w:color w:val="auto"/>
          <w:lang w:val="es-ES" w:eastAsia="es-ES"/>
        </w:rPr>
        <w:t>con la entrega de información que no corresponde con lo solicitado.</w:t>
      </w:r>
    </w:p>
    <w:p w:rsidRPr="00FF32E9" w:rsidR="00C853D1" w:rsidP="00AD62BD" w:rsidRDefault="00C853D1" w14:paraId="3577CA43" w14:textId="77777777">
      <w:pPr>
        <w:spacing w:after="0" w:line="360" w:lineRule="auto"/>
        <w:rPr>
          <w:rFonts w:eastAsia="Times New Roman" w:cs="Tahoma"/>
          <w:b/>
          <w:bCs/>
          <w:color w:val="auto"/>
          <w:lang w:eastAsia="es-ES"/>
        </w:rPr>
      </w:pPr>
    </w:p>
    <w:p w:rsidRPr="00FF32E9" w:rsidR="00C853D1" w:rsidP="00AD62BD" w:rsidRDefault="00C853D1" w14:paraId="4F973625" w14:textId="77777777">
      <w:pPr>
        <w:spacing w:after="0" w:line="360" w:lineRule="auto"/>
        <w:rPr>
          <w:rFonts w:eastAsia="Times New Roman" w:cs="Tahoma"/>
          <w:b/>
          <w:bCs/>
          <w:color w:val="auto"/>
          <w:lang w:eastAsia="es-ES"/>
        </w:rPr>
      </w:pPr>
      <w:r w:rsidRPr="00FF32E9">
        <w:rPr>
          <w:rFonts w:eastAsia="Times New Roman" w:cs="Tahoma"/>
          <w:b/>
          <w:bCs/>
          <w:color w:val="auto"/>
          <w:lang w:eastAsia="es-ES"/>
        </w:rPr>
        <w:t>Causales de sobreseimiento.</w:t>
      </w:r>
    </w:p>
    <w:p w:rsidRPr="00FF32E9" w:rsidR="00C853D1" w:rsidP="00AD62BD" w:rsidRDefault="00C853D1" w14:paraId="77050B85" w14:textId="77777777">
      <w:pPr>
        <w:spacing w:after="0" w:line="360" w:lineRule="auto"/>
        <w:rPr>
          <w:rFonts w:eastAsia="Times New Roman" w:cs="Tahoma"/>
          <w:color w:val="auto"/>
          <w:szCs w:val="24"/>
          <w:lang w:eastAsia="es-ES"/>
        </w:rPr>
      </w:pPr>
      <w:r w:rsidRPr="00FF32E9">
        <w:rPr>
          <w:rFonts w:eastAsia="Times New Roman" w:cs="Tahoma"/>
          <w:color w:val="auto"/>
          <w:szCs w:val="24"/>
          <w:lang w:eastAsia="es-ES"/>
        </w:rPr>
        <w:lastRenderedPageBreak/>
        <w:t>Por ser de previo y especial pronunciamiento, este Instituto analiza si se actualiza alguna causal de sobreseimiento.</w:t>
      </w:r>
    </w:p>
    <w:p w:rsidRPr="00FF32E9" w:rsidR="00C853D1" w:rsidP="00AD62BD" w:rsidRDefault="00C853D1" w14:paraId="1797E49B" w14:textId="77777777">
      <w:pPr>
        <w:spacing w:after="0" w:line="360" w:lineRule="auto"/>
        <w:rPr>
          <w:rFonts w:eastAsia="Times New Roman" w:cs="Tahoma"/>
          <w:color w:val="auto"/>
          <w:szCs w:val="24"/>
          <w:lang w:eastAsia="es-ES"/>
        </w:rPr>
      </w:pPr>
    </w:p>
    <w:p w:rsidR="00C853D1" w:rsidP="00AD62BD" w:rsidRDefault="00C853D1" w14:paraId="3929C861" w14:textId="63086B59">
      <w:pPr>
        <w:spacing w:after="0" w:line="360" w:lineRule="auto"/>
        <w:rPr>
          <w:rFonts w:eastAsia="Times New Roman" w:cs="Tahoma"/>
          <w:color w:val="auto"/>
          <w:szCs w:val="24"/>
          <w:lang w:eastAsia="es-ES"/>
        </w:rPr>
      </w:pPr>
      <w:r w:rsidRPr="00FF32E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F32E9" w:rsidR="002B0B6F" w:rsidP="00AD62BD" w:rsidRDefault="002B0B6F" w14:paraId="550B1085" w14:textId="77777777">
      <w:pPr>
        <w:spacing w:after="0" w:line="360" w:lineRule="auto"/>
        <w:rPr>
          <w:rFonts w:eastAsia="Times New Roman" w:cs="Tahoma"/>
          <w:color w:val="auto"/>
          <w:szCs w:val="24"/>
          <w:lang w:eastAsia="es-ES"/>
        </w:rPr>
      </w:pPr>
    </w:p>
    <w:p w:rsidRPr="00FF32E9" w:rsidR="00C853D1" w:rsidP="00AD62BD" w:rsidRDefault="00C853D1" w14:paraId="75DA7F11" w14:textId="77777777">
      <w:pPr>
        <w:spacing w:after="0" w:line="360" w:lineRule="auto"/>
        <w:rPr>
          <w:rFonts w:eastAsia="Times New Roman" w:cs="Tahoma"/>
          <w:color w:val="auto"/>
          <w:szCs w:val="24"/>
          <w:lang w:val="es-ES" w:eastAsia="es-ES"/>
        </w:rPr>
      </w:pPr>
      <w:r w:rsidRPr="00FF32E9">
        <w:rPr>
          <w:rFonts w:eastAsia="Times New Roman" w:cs="Tahoma"/>
          <w:bCs/>
          <w:color w:val="auto"/>
          <w:szCs w:val="24"/>
          <w:lang w:val="es-ES" w:eastAsia="es-ES"/>
        </w:rPr>
        <w:t xml:space="preserve">Por tales motivos, </w:t>
      </w:r>
      <w:r w:rsidRPr="00FF32E9">
        <w:rPr>
          <w:rFonts w:eastAsia="Times New Roman" w:cs="Tahoma"/>
          <w:color w:val="auto"/>
          <w:szCs w:val="24"/>
          <w:lang w:val="es-ES" w:eastAsia="es-ES"/>
        </w:rPr>
        <w:t>se considera procedente entrar al fondo del presente asunto.</w:t>
      </w:r>
    </w:p>
    <w:p w:rsidRPr="00FF32E9" w:rsidR="00C853D1" w:rsidP="00AD62BD" w:rsidRDefault="00C853D1" w14:paraId="5A499E5E" w14:textId="77777777">
      <w:pPr>
        <w:spacing w:after="0" w:line="360" w:lineRule="auto"/>
      </w:pPr>
    </w:p>
    <w:p w:rsidRPr="00FF32E9" w:rsidR="00C853D1" w:rsidP="00AD62BD" w:rsidRDefault="00C853D1" w14:paraId="554D6B44" w14:textId="77777777">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 xml:space="preserve">TERCERO. Determinación de la Controversia. </w:t>
      </w:r>
    </w:p>
    <w:p w:rsidRPr="00FF32E9" w:rsidR="00C853D1" w:rsidP="00AD62BD"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DF5B7E" w:rsidR="00502A03" w:rsidP="00AD62BD" w:rsidRDefault="00FA17A5" w14:paraId="08B98D49" w14:textId="7E58D734">
      <w:pPr>
        <w:autoSpaceDE w:val="0"/>
        <w:autoSpaceDN w:val="0"/>
        <w:adjustRightInd w:val="0"/>
        <w:spacing w:after="0" w:line="360" w:lineRule="auto"/>
        <w:rPr>
          <w:rFonts w:eastAsia="Calibri" w:cs="Tahoma"/>
          <w:color w:val="000000"/>
          <w:szCs w:val="24"/>
          <w:lang w:val="es-ES" w:eastAsia="es-MX"/>
        </w:rPr>
      </w:pPr>
      <w:r w:rsidRPr="00FA17A5">
        <w:rPr>
          <w:rFonts w:eastAsia="Calibri" w:cs="Tahoma"/>
          <w:color w:val="000000"/>
          <w:szCs w:val="24"/>
          <w:lang w:val="es-ES" w:eastAsia="es-MX"/>
        </w:rPr>
        <w:t>Con el objeto de ilustrar la controversia planteada, resulta conveniente precisar, que una vez</w:t>
      </w:r>
      <w:r>
        <w:rPr>
          <w:rFonts w:eastAsia="Calibri" w:cs="Tahoma"/>
          <w:color w:val="000000"/>
          <w:szCs w:val="24"/>
          <w:lang w:val="es-ES" w:eastAsia="es-MX"/>
        </w:rPr>
        <w:t xml:space="preserve"> </w:t>
      </w:r>
      <w:r w:rsidRPr="00FA17A5">
        <w:rPr>
          <w:rFonts w:eastAsia="Calibri" w:cs="Tahoma"/>
          <w:color w:val="000000"/>
          <w:szCs w:val="24"/>
          <w:lang w:val="es-ES" w:eastAsia="es-MX"/>
        </w:rPr>
        <w:t>realizado el estudio de las constancias que integran el expediente en que se actúa, se</w:t>
      </w:r>
      <w:r>
        <w:rPr>
          <w:rFonts w:eastAsia="Calibri" w:cs="Tahoma"/>
          <w:color w:val="000000"/>
          <w:szCs w:val="24"/>
          <w:lang w:val="es-ES" w:eastAsia="es-MX"/>
        </w:rPr>
        <w:t xml:space="preserve"> </w:t>
      </w:r>
      <w:r w:rsidRPr="00FA17A5">
        <w:rPr>
          <w:rFonts w:eastAsia="Calibri" w:cs="Tahoma"/>
          <w:color w:val="000000"/>
          <w:szCs w:val="24"/>
          <w:lang w:val="es-ES" w:eastAsia="es-MX"/>
        </w:rPr>
        <w:t>desprende que el Particular requirió</w:t>
      </w:r>
      <w:r w:rsidR="002B0B6F">
        <w:rPr>
          <w:rFonts w:eastAsia="Calibri" w:cs="Tahoma"/>
          <w:color w:val="000000"/>
          <w:szCs w:val="24"/>
          <w:lang w:val="es-ES" w:eastAsia="es-MX"/>
        </w:rPr>
        <w:t xml:space="preserve"> </w:t>
      </w:r>
      <w:r w:rsidR="00DF5B7E">
        <w:rPr>
          <w:rFonts w:eastAsia="Batang" w:cs="Tahoma"/>
          <w:bCs/>
        </w:rPr>
        <w:t xml:space="preserve">el </w:t>
      </w:r>
      <w:r w:rsidR="00DF5B7E">
        <w:rPr>
          <w:rFonts w:eastAsia="Batang" w:cs="Tahoma"/>
          <w:bCs/>
          <w:i/>
          <w:iCs/>
        </w:rPr>
        <w:t xml:space="preserve">currículum vitae </w:t>
      </w:r>
      <w:r w:rsidR="00DF5B7E">
        <w:rPr>
          <w:rFonts w:eastAsia="Batang" w:cs="Tahoma"/>
          <w:bCs/>
        </w:rPr>
        <w:t xml:space="preserve">y el recibo de nómina de la segunda quincena de febrero de dos mil veintidós, de </w:t>
      </w:r>
      <w:r w:rsidR="00DF5B7E">
        <w:rPr>
          <w:rFonts w:eastAsia="Times New Roman" w:cs="Tahoma"/>
          <w:bCs/>
          <w:iCs/>
          <w:lang w:eastAsia="es-ES"/>
        </w:rPr>
        <w:t>Eduardo Arciniega Jardón.</w:t>
      </w:r>
    </w:p>
    <w:p w:rsidR="00502A03" w:rsidP="00AD62BD" w:rsidRDefault="00502A03" w14:paraId="409625B3" w14:textId="77777777">
      <w:pPr>
        <w:autoSpaceDE w:val="0"/>
        <w:autoSpaceDN w:val="0"/>
        <w:adjustRightInd w:val="0"/>
        <w:spacing w:after="0" w:line="360" w:lineRule="auto"/>
        <w:rPr>
          <w:rFonts w:eastAsia="Calibri" w:cs="Tahoma"/>
          <w:color w:val="000000"/>
          <w:szCs w:val="24"/>
          <w:lang w:val="es-ES" w:eastAsia="es-MX"/>
        </w:rPr>
      </w:pPr>
    </w:p>
    <w:p w:rsidRPr="00FF32E9" w:rsidR="00055FDE" w:rsidP="00AD62BD" w:rsidRDefault="008C3029" w14:paraId="0CE496F6" w14:textId="50827487">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En respuesta, </w:t>
      </w:r>
      <w:r w:rsidR="00502A03">
        <w:rPr>
          <w:rFonts w:eastAsia="Calibri" w:cs="Tahoma"/>
          <w:color w:val="000000"/>
          <w:szCs w:val="24"/>
          <w:lang w:val="es-ES" w:eastAsia="es-MX"/>
        </w:rPr>
        <w:t xml:space="preserve">el Sujeto Obligado remitió </w:t>
      </w:r>
      <w:r w:rsidR="00DF5B7E">
        <w:rPr>
          <w:rFonts w:eastAsia="Calibri" w:cs="Tahoma"/>
          <w:color w:val="000000"/>
          <w:szCs w:val="24"/>
          <w:lang w:val="es-ES" w:eastAsia="es-MX"/>
        </w:rPr>
        <w:t>la ficha curricular y el recibo de nómina del servidor público requerido;</w:t>
      </w:r>
      <w:r>
        <w:rPr>
          <w:rFonts w:eastAsia="Calibri" w:cs="Tahoma"/>
          <w:color w:val="000000"/>
          <w:szCs w:val="24"/>
          <w:lang w:val="es-ES" w:eastAsia="es-MX"/>
        </w:rPr>
        <w:t xml:space="preserve"> a</w:t>
      </w:r>
      <w:r w:rsidR="00502A03">
        <w:rPr>
          <w:rFonts w:eastAsia="Calibri" w:cs="Tahoma"/>
          <w:color w:val="000000"/>
          <w:szCs w:val="24"/>
          <w:lang w:val="es-ES" w:eastAsia="es-MX"/>
        </w:rPr>
        <w:t xml:space="preserve">nte </w:t>
      </w:r>
      <w:r>
        <w:rPr>
          <w:rFonts w:eastAsia="Calibri" w:cs="Tahoma"/>
          <w:color w:val="000000"/>
          <w:szCs w:val="24"/>
          <w:lang w:val="es-ES" w:eastAsia="es-MX"/>
        </w:rPr>
        <w:t>tal circunstancia</w:t>
      </w:r>
      <w:r w:rsidRPr="00FA17A5" w:rsidR="00FA17A5">
        <w:rPr>
          <w:rFonts w:eastAsia="Calibri" w:cs="Tahoma"/>
          <w:color w:val="000000"/>
          <w:szCs w:val="24"/>
          <w:lang w:val="es-ES" w:eastAsia="es-MX"/>
        </w:rPr>
        <w:t xml:space="preserve"> el Particular, </w:t>
      </w:r>
      <w:r w:rsidR="00DF5B7E">
        <w:rPr>
          <w:rFonts w:eastAsia="Calibri" w:cs="Tahoma"/>
          <w:color w:val="000000"/>
          <w:szCs w:val="24"/>
          <w:lang w:val="es-ES" w:eastAsia="es-MX"/>
        </w:rPr>
        <w:t>se inconformó con la entrega de información que no corresponde con lo peticionado, al precisar que no le habían entregado los dos documentos requeridos</w:t>
      </w:r>
      <w:r>
        <w:rPr>
          <w:rFonts w:eastAsia="Calibri" w:cs="Tahoma"/>
          <w:color w:val="000000"/>
          <w:szCs w:val="24"/>
          <w:lang w:val="es-ES" w:eastAsia="es-MX"/>
        </w:rPr>
        <w:t xml:space="preserve">, </w:t>
      </w:r>
      <w:r w:rsidR="00DF5B7E">
        <w:rPr>
          <w:rFonts w:eastAsia="Calibri" w:cs="Tahoma"/>
          <w:color w:val="000000"/>
          <w:szCs w:val="24"/>
          <w:lang w:val="es-ES" w:eastAsia="es-MX"/>
        </w:rPr>
        <w:t>lo cual</w:t>
      </w:r>
      <w:r w:rsidRPr="00FA17A5" w:rsidR="00FA17A5">
        <w:rPr>
          <w:rFonts w:eastAsia="Calibri" w:cs="Tahoma"/>
          <w:color w:val="000000"/>
          <w:szCs w:val="24"/>
          <w:lang w:val="es-ES" w:eastAsia="es-MX"/>
        </w:rPr>
        <w:t xml:space="preserve"> actualiza el supuesto previsto en el</w:t>
      </w:r>
      <w:r w:rsidR="00FA17A5">
        <w:rPr>
          <w:rFonts w:eastAsia="Calibri" w:cs="Tahoma"/>
          <w:color w:val="000000"/>
          <w:szCs w:val="24"/>
          <w:lang w:val="es-ES" w:eastAsia="es-MX"/>
        </w:rPr>
        <w:t xml:space="preserve"> </w:t>
      </w:r>
      <w:r w:rsidR="0038233A">
        <w:rPr>
          <w:rFonts w:eastAsia="Calibri" w:cs="Tahoma"/>
          <w:color w:val="000000"/>
          <w:szCs w:val="24"/>
          <w:lang w:val="es-ES" w:eastAsia="es-MX"/>
        </w:rPr>
        <w:t xml:space="preserve">artículo 179, fracción </w:t>
      </w:r>
      <w:r w:rsidR="00DF5B7E">
        <w:rPr>
          <w:rFonts w:eastAsia="Calibri" w:cs="Tahoma"/>
          <w:color w:val="000000"/>
          <w:szCs w:val="24"/>
          <w:lang w:val="es-ES" w:eastAsia="es-MX"/>
        </w:rPr>
        <w:t>V</w:t>
      </w:r>
      <w:r w:rsidRPr="00FA17A5" w:rsidR="00FA17A5">
        <w:rPr>
          <w:rFonts w:eastAsia="Calibri" w:cs="Tahoma"/>
          <w:color w:val="000000"/>
          <w:szCs w:val="24"/>
          <w:lang w:val="es-ES" w:eastAsia="es-MX"/>
        </w:rPr>
        <w:t>I, de la Ley de Transparencia y Acceso a la Información Pública del</w:t>
      </w:r>
      <w:r w:rsidR="00FA17A5">
        <w:rPr>
          <w:rFonts w:eastAsia="Calibri" w:cs="Tahoma"/>
          <w:color w:val="000000"/>
          <w:szCs w:val="24"/>
          <w:lang w:val="es-ES" w:eastAsia="es-MX"/>
        </w:rPr>
        <w:t xml:space="preserve"> </w:t>
      </w:r>
      <w:r w:rsidRPr="00FA17A5" w:rsidR="00FA17A5">
        <w:rPr>
          <w:rFonts w:eastAsia="Calibri" w:cs="Tahoma"/>
          <w:color w:val="000000"/>
          <w:szCs w:val="24"/>
          <w:lang w:val="es-ES" w:eastAsia="es-MX"/>
        </w:rPr>
        <w:t xml:space="preserve">Estado de México y Municipios. </w:t>
      </w:r>
      <w:r w:rsidR="001A4A1F">
        <w:rPr>
          <w:rFonts w:eastAsia="Calibri" w:cs="Tahoma"/>
          <w:color w:val="000000"/>
          <w:szCs w:val="24"/>
          <w:lang w:val="es-ES" w:eastAsia="es-MX"/>
        </w:rPr>
        <w:t>Así las cosas, una vez admitido y notificado el Recurso de Revisión a las partes, estas fueron omisas en emitir manifestaciones o alegatos.</w:t>
      </w:r>
    </w:p>
    <w:p w:rsidRPr="00FF32E9" w:rsidR="00C853D1" w:rsidP="00AD62BD" w:rsidRDefault="00C853D1" w14:paraId="47A7D7E9" w14:textId="0033819F">
      <w:pPr>
        <w:spacing w:after="0" w:line="360" w:lineRule="auto"/>
      </w:pPr>
      <w:r w:rsidRPr="00FF32E9">
        <w:lastRenderedPageBreak/>
        <w:t>Lo anterior, se desprende de las documentales que obran en el expediente de referencia, materia de la presente Resolución, consistentes en: la solicitud de acceso a la información; la respuesta del Sujeto Obligado</w:t>
      </w:r>
      <w:r w:rsidR="008C3029">
        <w:t xml:space="preserve"> y</w:t>
      </w:r>
      <w:r w:rsidRPr="00FF32E9">
        <w:t xml:space="preserve"> </w:t>
      </w:r>
      <w:r w:rsidRPr="00FF32E9">
        <w:rPr>
          <w:bCs/>
        </w:rPr>
        <w:t xml:space="preserve">el </w:t>
      </w:r>
      <w:r w:rsidRPr="00FF32E9">
        <w:t>escrito recursa</w:t>
      </w:r>
      <w:r w:rsidR="008C3029">
        <w:t>l;</w:t>
      </w:r>
      <w:r w:rsidRPr="00FF32E9">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FF32E9" w:rsidR="00C853D1" w:rsidP="00AD62BD" w:rsidRDefault="00C853D1" w14:paraId="5796AF7E" w14:textId="77777777">
      <w:pPr>
        <w:spacing w:after="0" w:line="360" w:lineRule="auto"/>
      </w:pPr>
    </w:p>
    <w:p w:rsidRPr="00FF32E9" w:rsidR="00C853D1" w:rsidP="00AD62BD" w:rsidRDefault="00C853D1" w14:paraId="4AD760E5" w14:textId="77777777">
      <w:pPr>
        <w:spacing w:after="0" w:line="360" w:lineRule="auto"/>
        <w:rPr>
          <w:rFonts w:eastAsia="Times New Roman" w:cs="Tahoma"/>
          <w:b/>
          <w:bCs/>
          <w:iCs/>
          <w:color w:val="auto"/>
          <w:lang w:eastAsia="es-ES"/>
        </w:rPr>
      </w:pPr>
      <w:r w:rsidRPr="00FF32E9">
        <w:rPr>
          <w:rFonts w:eastAsia="Times New Roman" w:cs="Tahoma"/>
          <w:b/>
          <w:bCs/>
          <w:iCs/>
          <w:color w:val="auto"/>
          <w:lang w:val="es-ES" w:eastAsia="es-ES"/>
        </w:rPr>
        <w:t xml:space="preserve">CUARTO. </w:t>
      </w:r>
      <w:r w:rsidRPr="00FF32E9">
        <w:rPr>
          <w:rFonts w:eastAsia="Times New Roman" w:cs="Tahoma"/>
          <w:b/>
          <w:bCs/>
          <w:iCs/>
          <w:color w:val="auto"/>
          <w:lang w:eastAsia="es-ES"/>
        </w:rPr>
        <w:t>Marco normativo aplicable en materia de transparencia y acceso a la información pública.</w:t>
      </w:r>
    </w:p>
    <w:p w:rsidRPr="00FF32E9" w:rsidR="00C853D1" w:rsidP="00AD62BD" w:rsidRDefault="00C853D1" w14:paraId="43AD0F27" w14:textId="77777777">
      <w:pPr>
        <w:spacing w:after="0" w:line="360" w:lineRule="auto"/>
        <w:rPr>
          <w:rFonts w:eastAsia="Times New Roman" w:cs="Tahoma"/>
          <w:b/>
          <w:bCs/>
          <w:iCs/>
          <w:color w:val="auto"/>
          <w:lang w:eastAsia="es-ES"/>
        </w:rPr>
      </w:pPr>
    </w:p>
    <w:p w:rsidRPr="00FF32E9" w:rsidR="00C853D1" w:rsidP="00AD62BD" w:rsidRDefault="00C853D1" w14:paraId="612B1C77"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F32E9" w:rsidR="00C853D1" w:rsidP="00AD62BD" w:rsidRDefault="00C853D1" w14:paraId="4DEFDE24" w14:textId="77777777">
      <w:pPr>
        <w:spacing w:after="0" w:line="360" w:lineRule="auto"/>
        <w:rPr>
          <w:rFonts w:eastAsia="Times New Roman" w:cs="Tahoma"/>
          <w:bCs/>
          <w:iCs/>
          <w:color w:val="auto"/>
          <w:lang w:eastAsia="es-ES"/>
        </w:rPr>
      </w:pPr>
    </w:p>
    <w:p w:rsidRPr="00FF32E9" w:rsidR="00C853D1" w:rsidP="00AD62BD" w:rsidRDefault="00C853D1" w14:paraId="0629EDEA"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F32E9" w:rsidR="00C853D1" w:rsidP="00AD62BD" w:rsidRDefault="00C853D1" w14:paraId="1198CD87" w14:textId="77777777">
      <w:pPr>
        <w:spacing w:after="0" w:line="360" w:lineRule="auto"/>
        <w:rPr>
          <w:rFonts w:eastAsia="Times New Roman" w:cs="Tahoma"/>
          <w:bCs/>
          <w:iCs/>
          <w:color w:val="auto"/>
          <w:lang w:eastAsia="es-ES"/>
        </w:rPr>
      </w:pPr>
    </w:p>
    <w:p w:rsidRPr="00FF32E9" w:rsidR="00C853D1" w:rsidP="00AD62BD" w:rsidRDefault="00C853D1" w14:paraId="2E116B44"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32E9" w:rsidR="00C853D1" w:rsidP="00AD62BD" w:rsidRDefault="00C853D1" w14:paraId="6D4CE485" w14:textId="77777777">
      <w:pPr>
        <w:spacing w:after="0" w:line="360" w:lineRule="auto"/>
        <w:rPr>
          <w:rFonts w:eastAsia="Times New Roman" w:cs="Tahoma"/>
          <w:bCs/>
          <w:iCs/>
          <w:color w:val="auto"/>
          <w:lang w:eastAsia="es-ES"/>
        </w:rPr>
      </w:pPr>
    </w:p>
    <w:p w:rsidRPr="00FF32E9" w:rsidR="00C853D1" w:rsidP="00AD62BD" w:rsidRDefault="00C853D1" w14:paraId="39E7B3D5"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FF32E9" w:rsidR="00C853D1" w:rsidP="00AD62BD" w:rsidRDefault="00C853D1" w14:paraId="08EAD36A" w14:textId="77777777">
      <w:pPr>
        <w:spacing w:after="0" w:line="360" w:lineRule="auto"/>
        <w:rPr>
          <w:rFonts w:eastAsia="Times New Roman" w:cs="Tahoma"/>
          <w:bCs/>
          <w:iCs/>
          <w:color w:val="auto"/>
          <w:lang w:eastAsia="es-ES"/>
        </w:rPr>
      </w:pPr>
    </w:p>
    <w:p w:rsidRPr="00FF32E9" w:rsidR="00C853D1" w:rsidP="00AD62BD" w:rsidRDefault="00C853D1" w14:paraId="33BD459A"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FF32E9" w:rsidR="00C853D1" w:rsidP="00AD62BD" w:rsidRDefault="00C853D1" w14:paraId="7F23F258" w14:textId="77777777">
      <w:pPr>
        <w:spacing w:after="0" w:line="360" w:lineRule="auto"/>
        <w:rPr>
          <w:rFonts w:eastAsia="Times New Roman" w:cs="Tahoma"/>
          <w:bCs/>
          <w:iCs/>
          <w:color w:val="auto"/>
          <w:lang w:eastAsia="es-ES"/>
        </w:rPr>
      </w:pPr>
    </w:p>
    <w:p w:rsidRPr="00FF32E9" w:rsidR="00C853D1" w:rsidP="00AD62BD" w:rsidRDefault="00C853D1" w14:paraId="21150C29"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FF32E9" w:rsidR="00C853D1" w:rsidP="00AD62BD" w:rsidRDefault="00C853D1" w14:paraId="3F8053D7" w14:textId="77777777">
      <w:pPr>
        <w:spacing w:after="0" w:line="360" w:lineRule="auto"/>
        <w:rPr>
          <w:rFonts w:eastAsia="Times New Roman" w:cs="Tahoma"/>
          <w:bCs/>
          <w:iCs/>
          <w:color w:val="auto"/>
          <w:lang w:eastAsia="es-ES"/>
        </w:rPr>
      </w:pPr>
    </w:p>
    <w:p w:rsidRPr="00FF32E9" w:rsidR="00C853D1" w:rsidP="00AD62BD" w:rsidRDefault="00C853D1" w14:paraId="391D3BDE"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853D1" w:rsidP="00AD62BD" w:rsidRDefault="00C853D1" w14:paraId="1052A03D" w14:textId="71A3831D">
      <w:pPr>
        <w:spacing w:after="0" w:line="360" w:lineRule="auto"/>
        <w:rPr>
          <w:rFonts w:eastAsia="Times New Roman" w:cs="Tahoma"/>
          <w:b/>
          <w:bCs/>
          <w:iCs/>
          <w:color w:val="auto"/>
          <w:lang w:val="es-ES" w:eastAsia="es-ES"/>
        </w:rPr>
      </w:pPr>
    </w:p>
    <w:p w:rsidRPr="00DF5B7E" w:rsidR="00DF5B7E" w:rsidP="00DF5B7E" w:rsidRDefault="00DF5B7E" w14:paraId="120EA538" w14:textId="3CF8237D">
      <w:pPr>
        <w:spacing w:after="0" w:line="360" w:lineRule="auto"/>
        <w:rPr>
          <w:rFonts w:eastAsia="Times New Roman" w:cs="Tahoma"/>
          <w:color w:val="auto"/>
          <w:lang w:eastAsia="es-ES"/>
        </w:rPr>
      </w:pPr>
      <w:r w:rsidRPr="00DF5B7E">
        <w:rPr>
          <w:rFonts w:eastAsia="Times New Roman" w:cs="Tahoma"/>
          <w:color w:val="auto"/>
          <w:lang w:eastAsia="es-ES"/>
        </w:rPr>
        <w:t>El artículo 92, fracci</w:t>
      </w:r>
      <w:r w:rsidR="00565C58">
        <w:rPr>
          <w:rFonts w:eastAsia="Times New Roman" w:cs="Tahoma"/>
          <w:color w:val="auto"/>
          <w:lang w:eastAsia="es-ES"/>
        </w:rPr>
        <w:t>o</w:t>
      </w:r>
      <w:r w:rsidRPr="00DF5B7E">
        <w:rPr>
          <w:rFonts w:eastAsia="Times New Roman" w:cs="Tahoma"/>
          <w:color w:val="auto"/>
          <w:lang w:eastAsia="es-ES"/>
        </w:rPr>
        <w:t>n</w:t>
      </w:r>
      <w:r w:rsidR="00565C58">
        <w:rPr>
          <w:rFonts w:eastAsia="Times New Roman" w:cs="Tahoma"/>
          <w:color w:val="auto"/>
          <w:lang w:eastAsia="es-ES"/>
        </w:rPr>
        <w:t>es VIII y</w:t>
      </w:r>
      <w:r w:rsidRPr="00DF5B7E">
        <w:rPr>
          <w:rFonts w:eastAsia="Times New Roman" w:cs="Tahoma"/>
          <w:color w:val="auto"/>
          <w:lang w:eastAsia="es-ES"/>
        </w:rPr>
        <w:t xml:space="preserve"> XXI, que,</w:t>
      </w:r>
      <w:r w:rsidR="00565C58">
        <w:rPr>
          <w:rFonts w:eastAsia="Times New Roman" w:cs="Tahoma"/>
          <w:color w:val="auto"/>
          <w:lang w:eastAsia="es-ES"/>
        </w:rPr>
        <w:t xml:space="preserve"> las remuneraciones y</w:t>
      </w:r>
      <w:r w:rsidRPr="00DF5B7E">
        <w:rPr>
          <w:rFonts w:eastAsia="Times New Roman" w:cs="Tahoma"/>
          <w:color w:val="auto"/>
          <w:lang w:eastAsia="es-ES"/>
        </w:rPr>
        <w:t xml:space="preserve"> la información curricular desde </w:t>
      </w:r>
      <w:r w:rsidR="00565C58">
        <w:rPr>
          <w:rFonts w:eastAsia="Times New Roman" w:cs="Tahoma"/>
          <w:color w:val="auto"/>
          <w:lang w:eastAsia="es-ES"/>
        </w:rPr>
        <w:t>de los servidores públicos</w:t>
      </w:r>
      <w:r w:rsidRPr="00DF5B7E">
        <w:rPr>
          <w:rFonts w:eastAsia="Times New Roman" w:cs="Tahoma"/>
          <w:color w:val="auto"/>
          <w:lang w:eastAsia="es-ES"/>
        </w:rPr>
        <w:t>, corresponde a una Obligación Común de Transparencia para los Sujetos Obligados.</w:t>
      </w:r>
    </w:p>
    <w:p w:rsidRPr="00FF32E9" w:rsidR="00DF5B7E" w:rsidP="00AD62BD" w:rsidRDefault="00DF5B7E" w14:paraId="6F93D65C" w14:textId="77777777">
      <w:pPr>
        <w:spacing w:after="0" w:line="360" w:lineRule="auto"/>
        <w:rPr>
          <w:rFonts w:eastAsia="Times New Roman" w:cs="Tahoma"/>
          <w:b/>
          <w:bCs/>
          <w:iCs/>
          <w:color w:val="auto"/>
          <w:lang w:val="es-ES" w:eastAsia="es-ES"/>
        </w:rPr>
      </w:pPr>
    </w:p>
    <w:p w:rsidRPr="00FF32E9" w:rsidR="00C853D1" w:rsidP="00AD62BD" w:rsidRDefault="00C853D1" w14:paraId="4CD9F9A9" w14:textId="77777777">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Quinto. Estudio de Fondo.</w:t>
      </w:r>
    </w:p>
    <w:p w:rsidR="00C853D1" w:rsidP="00AD62BD" w:rsidRDefault="00C853D1" w14:paraId="614B9665" w14:textId="76C81823">
      <w:pPr>
        <w:spacing w:after="0" w:line="360" w:lineRule="auto"/>
        <w:rPr>
          <w:rFonts w:eastAsia="Times New Roman" w:cs="Tahoma"/>
          <w:iCs/>
          <w:color w:val="auto"/>
          <w:lang w:val="es-ES" w:eastAsia="es-ES"/>
        </w:rPr>
      </w:pPr>
    </w:p>
    <w:p w:rsidRPr="001105DE" w:rsidR="00B25F9A" w:rsidP="001105DE" w:rsidRDefault="00E27F64" w14:paraId="6F58A6EA" w14:textId="67A5E527">
      <w:pPr>
        <w:spacing w:after="0" w:line="360" w:lineRule="auto"/>
        <w:rPr>
          <w:rFonts w:eastAsia="Batang" w:cs="Tahoma"/>
          <w:bCs/>
          <w:iCs/>
          <w:color w:val="auto"/>
          <w:lang w:eastAsia="es-ES"/>
        </w:rPr>
      </w:pPr>
      <w:bookmarkStart w:name="_Hlk99537811" w:id="0"/>
      <w:r w:rsidRPr="00E27F64">
        <w:rPr>
          <w:rFonts w:eastAsia="Batang" w:cs="Tahoma"/>
          <w:bCs/>
          <w:iCs/>
          <w:color w:val="auto"/>
          <w:lang w:eastAsia="es-ES"/>
        </w:rPr>
        <w:t xml:space="preserve">Expuestas las posturas de las partes, se procede al análisis del agravio hecho valer por el ahora Recurrente, concerniente a la entrega </w:t>
      </w:r>
      <w:bookmarkEnd w:id="0"/>
      <w:r w:rsidR="00565C58">
        <w:rPr>
          <w:rFonts w:eastAsia="Batang" w:cs="Tahoma"/>
          <w:bCs/>
          <w:iCs/>
          <w:color w:val="auto"/>
          <w:lang w:eastAsia="es-ES"/>
        </w:rPr>
        <w:t>de información que no corresponde con lo solicitado;</w:t>
      </w:r>
      <w:r w:rsidR="00B25F9A">
        <w:rPr>
          <w:rFonts w:eastAsia="Calibri" w:cs="Tahoma"/>
          <w:bCs/>
          <w:color w:val="000000"/>
        </w:rPr>
        <w:t xml:space="preserve"> por lo que, en principio, cabe puntualizar que el Ente Recurrido turno la solicitud de información, tanto en respuesta como en Informe Justificado a la Dirección de Administración</w:t>
      </w:r>
      <w:r w:rsidR="00B25F9A">
        <w:rPr>
          <w:rFonts w:eastAsia="Calibri" w:cs="Tahoma"/>
          <w:bCs/>
          <w:iCs/>
          <w:color w:val="000000"/>
        </w:rPr>
        <w:t xml:space="preserve">, por lo que, es necesario hacer referencia al procedimiento de búsqueda </w:t>
      </w:r>
      <w:r w:rsidR="00B25F9A">
        <w:rPr>
          <w:rFonts w:eastAsia="Calibri" w:cs="Tahoma"/>
          <w:bCs/>
          <w:color w:val="000000"/>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00B25F9A" w:rsidP="00B25F9A" w:rsidRDefault="00B25F9A" w14:paraId="37085ADD" w14:textId="77777777">
      <w:pPr>
        <w:numPr>
          <w:ilvl w:val="0"/>
          <w:numId w:val="23"/>
        </w:numPr>
        <w:spacing w:after="0" w:line="360" w:lineRule="auto"/>
        <w:rPr>
          <w:rFonts w:eastAsia="Calibri" w:cs="Tahoma"/>
          <w:bCs/>
          <w:color w:val="000000"/>
          <w:lang w:val="es-ES"/>
        </w:rPr>
      </w:pPr>
      <w:r>
        <w:rPr>
          <w:rFonts w:eastAsia="Calibri" w:cs="Tahoma"/>
          <w:bCs/>
          <w:color w:val="000000"/>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B25F9A" w:rsidP="00B25F9A" w:rsidRDefault="00B25F9A" w14:paraId="5692B3DD" w14:textId="77777777">
      <w:pPr>
        <w:spacing w:line="360" w:lineRule="auto"/>
        <w:rPr>
          <w:rFonts w:eastAsia="Calibri" w:cs="Tahoma"/>
          <w:bCs/>
          <w:color w:val="000000"/>
          <w:lang w:val="es-ES"/>
        </w:rPr>
      </w:pPr>
    </w:p>
    <w:p w:rsidR="00B25F9A" w:rsidP="00F468E7" w:rsidRDefault="00B25F9A" w14:paraId="550B0E7C" w14:textId="77777777">
      <w:pPr>
        <w:numPr>
          <w:ilvl w:val="0"/>
          <w:numId w:val="23"/>
        </w:numPr>
        <w:spacing w:after="0" w:line="360" w:lineRule="auto"/>
        <w:rPr>
          <w:rFonts w:eastAsia="Calibri" w:cs="Tahoma"/>
          <w:bCs/>
          <w:color w:val="000000"/>
          <w:lang w:val="es-ES"/>
        </w:rPr>
      </w:pPr>
      <w:r>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B25F9A" w:rsidP="00F468E7" w:rsidRDefault="00B25F9A" w14:paraId="243785C9" w14:textId="77777777">
      <w:pPr>
        <w:spacing w:after="0" w:line="360" w:lineRule="auto"/>
        <w:rPr>
          <w:rFonts w:eastAsia="Calibri" w:cs="Tahoma"/>
          <w:b/>
          <w:bCs/>
          <w:color w:val="000000"/>
        </w:rPr>
      </w:pPr>
    </w:p>
    <w:p w:rsidR="00110868" w:rsidP="00F468E7" w:rsidRDefault="00F468E7" w14:paraId="403A8BE9" w14:textId="6778337A">
      <w:pPr>
        <w:spacing w:after="0" w:line="360" w:lineRule="auto"/>
        <w:rPr>
          <w:rFonts w:eastAsia="Calibri" w:cs="Tahoma"/>
          <w:bCs/>
          <w:color w:val="000000"/>
        </w:rPr>
      </w:pPr>
      <w:r>
        <w:rPr>
          <w:rFonts w:eastAsia="Calibri" w:cs="Tahoma"/>
          <w:bCs/>
          <w:color w:val="000000"/>
        </w:rPr>
        <w:t>Así</w:t>
      </w:r>
      <w:r w:rsidR="00B25F9A">
        <w:rPr>
          <w:rFonts w:eastAsia="Calibri" w:cs="Tahoma"/>
          <w:bCs/>
          <w:color w:val="000000"/>
        </w:rPr>
        <w:t xml:space="preserve">, es necesario traer al estudio los artículos </w:t>
      </w:r>
      <w:r w:rsidR="00110868">
        <w:rPr>
          <w:rFonts w:eastAsia="Calibri" w:cs="Tahoma"/>
          <w:bCs/>
          <w:color w:val="000000"/>
        </w:rPr>
        <w:t>3.2, numerales 3 y 12.1, 3.34</w:t>
      </w:r>
      <w:r>
        <w:rPr>
          <w:rFonts w:eastAsia="Calibri" w:cs="Tahoma"/>
          <w:bCs/>
          <w:color w:val="000000"/>
        </w:rPr>
        <w:t xml:space="preserve"> y 3.47</w:t>
      </w:r>
      <w:r w:rsidR="00110868">
        <w:rPr>
          <w:rFonts w:eastAsia="Calibri" w:cs="Tahoma"/>
          <w:bCs/>
          <w:color w:val="000000"/>
        </w:rPr>
        <w:t xml:space="preserve"> del Código Reglamentario para el Municipio de Tenancingo, </w:t>
      </w:r>
      <w:r>
        <w:rPr>
          <w:rFonts w:eastAsia="Calibri" w:cs="Tahoma"/>
          <w:bCs/>
          <w:color w:val="000000"/>
        </w:rPr>
        <w:t xml:space="preserve">que establecen que el Sujeto Obligado cuenta con diversas unidades administrativas para el ejercicio de sus funciones, entre las cuales, se encuentran las siguientes: </w:t>
      </w:r>
    </w:p>
    <w:p w:rsidR="00F468E7" w:rsidP="00F468E7" w:rsidRDefault="00F468E7" w14:paraId="405DBDAE" w14:textId="77777777">
      <w:pPr>
        <w:spacing w:after="0" w:line="360" w:lineRule="auto"/>
        <w:rPr>
          <w:rFonts w:eastAsia="Calibri" w:cs="Tahoma"/>
          <w:bCs/>
          <w:color w:val="000000"/>
        </w:rPr>
      </w:pPr>
    </w:p>
    <w:p w:rsidR="00110868" w:rsidP="00F468E7" w:rsidRDefault="00F468E7" w14:paraId="6DF1202C" w14:textId="00E8ACDD">
      <w:pPr>
        <w:pStyle w:val="Prrafodelista"/>
        <w:numPr>
          <w:ilvl w:val="0"/>
          <w:numId w:val="24"/>
        </w:numPr>
        <w:spacing w:line="360" w:lineRule="auto"/>
        <w:rPr>
          <w:rFonts w:eastAsia="Calibri" w:cs="Tahoma"/>
          <w:bCs/>
          <w:color w:val="000000"/>
        </w:rPr>
      </w:pPr>
      <w:r>
        <w:rPr>
          <w:rFonts w:eastAsia="Calibri" w:cs="Tahoma"/>
          <w:b/>
          <w:color w:val="000000"/>
        </w:rPr>
        <w:t xml:space="preserve">Tesorería Municipal: </w:t>
      </w:r>
      <w:r>
        <w:rPr>
          <w:rFonts w:eastAsia="Calibri" w:cs="Tahoma"/>
          <w:bCs/>
          <w:color w:val="000000"/>
        </w:rPr>
        <w:t>Que vigila los informes mensuales del Ayuntamiento y realiza las erogaciones del Ayuntamiento.</w:t>
      </w:r>
    </w:p>
    <w:p w:rsidR="00F468E7" w:rsidP="00F468E7" w:rsidRDefault="00F468E7" w14:paraId="793C4165" w14:textId="77777777">
      <w:pPr>
        <w:pStyle w:val="Prrafodelista"/>
        <w:spacing w:line="360" w:lineRule="auto"/>
        <w:rPr>
          <w:rFonts w:eastAsia="Calibri" w:cs="Tahoma"/>
          <w:bCs/>
          <w:color w:val="000000"/>
        </w:rPr>
      </w:pPr>
    </w:p>
    <w:p w:rsidRPr="00A91369" w:rsidR="00F468E7" w:rsidP="00F468E7" w:rsidRDefault="00F468E7" w14:paraId="2DC7FF23" w14:textId="7D0CF94D">
      <w:pPr>
        <w:pStyle w:val="Prrafodelista"/>
        <w:numPr>
          <w:ilvl w:val="0"/>
          <w:numId w:val="24"/>
        </w:numPr>
        <w:spacing w:line="360" w:lineRule="auto"/>
        <w:rPr>
          <w:rFonts w:eastAsia="Calibri" w:cs="Tahoma"/>
          <w:b/>
          <w:color w:val="000000"/>
        </w:rPr>
      </w:pPr>
      <w:r w:rsidRPr="00F468E7">
        <w:rPr>
          <w:rFonts w:eastAsia="Calibri" w:cs="Tahoma"/>
          <w:b/>
          <w:color w:val="000000"/>
        </w:rPr>
        <w:t>Coordinación de Recursos Humanos:</w:t>
      </w:r>
      <w:r>
        <w:rPr>
          <w:rFonts w:eastAsia="Calibri" w:cs="Tahoma"/>
          <w:b/>
          <w:color w:val="000000"/>
        </w:rPr>
        <w:t xml:space="preserve"> </w:t>
      </w:r>
      <w:r>
        <w:rPr>
          <w:rFonts w:eastAsia="Calibri" w:cs="Tahoma"/>
          <w:bCs/>
          <w:color w:val="000000"/>
        </w:rPr>
        <w:t>Que elabora y distribuye oportunamente la nómina para el pago al personal</w:t>
      </w:r>
      <w:r w:rsidR="00A91369">
        <w:rPr>
          <w:rFonts w:eastAsia="Calibri" w:cs="Tahoma"/>
          <w:bCs/>
          <w:color w:val="000000"/>
        </w:rPr>
        <w:t xml:space="preserve"> y elabora mecanismos de control para la selección, contratación del personal al servicio del Ayuntamiento.</w:t>
      </w:r>
    </w:p>
    <w:p w:rsidRPr="00F468E7" w:rsidR="00A91369" w:rsidP="00A91369" w:rsidRDefault="00A91369" w14:paraId="75C4FB47" w14:textId="77777777">
      <w:pPr>
        <w:pStyle w:val="Prrafodelista"/>
        <w:spacing w:line="360" w:lineRule="auto"/>
        <w:rPr>
          <w:rFonts w:eastAsia="Calibri" w:cs="Tahoma"/>
          <w:b/>
          <w:color w:val="000000"/>
        </w:rPr>
      </w:pPr>
    </w:p>
    <w:p w:rsidR="00B25F9A" w:rsidP="00341E9F" w:rsidRDefault="00B25F9A" w14:paraId="3DC0EE78" w14:textId="592CFF7E">
      <w:pPr>
        <w:spacing w:line="360" w:lineRule="auto"/>
        <w:rPr>
          <w:rFonts w:eastAsia="Calibri" w:cs="Tahoma"/>
          <w:bCs/>
          <w:iCs/>
          <w:color w:val="000000"/>
          <w:szCs w:val="24"/>
          <w:lang w:eastAsia="es-MX"/>
        </w:rPr>
      </w:pPr>
      <w:r>
        <w:rPr>
          <w:rFonts w:eastAsia="Calibri" w:cs="Tahoma"/>
          <w:bCs/>
          <w:iCs/>
          <w:color w:val="000000"/>
        </w:rPr>
        <w:t xml:space="preserve">Conforme a lo anterior, se logra colegir que el Sujeto Obligado cuenta con </w:t>
      </w:r>
      <w:r w:rsidR="00A91369">
        <w:rPr>
          <w:rFonts w:eastAsia="Calibri" w:cs="Tahoma"/>
          <w:bCs/>
          <w:iCs/>
          <w:color w:val="000000"/>
        </w:rPr>
        <w:t>dos áreas</w:t>
      </w:r>
      <w:r>
        <w:rPr>
          <w:rFonts w:eastAsia="Calibri" w:cs="Tahoma"/>
          <w:bCs/>
          <w:iCs/>
          <w:color w:val="000000"/>
        </w:rPr>
        <w:t xml:space="preserve"> competente</w:t>
      </w:r>
      <w:r w:rsidR="00A91369">
        <w:rPr>
          <w:rFonts w:eastAsia="Calibri" w:cs="Tahoma"/>
          <w:bCs/>
          <w:iCs/>
          <w:color w:val="000000"/>
        </w:rPr>
        <w:t>s</w:t>
      </w:r>
      <w:r>
        <w:rPr>
          <w:rFonts w:eastAsia="Calibri" w:cs="Tahoma"/>
          <w:bCs/>
          <w:iCs/>
          <w:color w:val="000000"/>
        </w:rPr>
        <w:t xml:space="preserve"> para conocer de la información peticionada, a saber, </w:t>
      </w:r>
      <w:r w:rsidR="00A91369">
        <w:rPr>
          <w:rFonts w:eastAsia="Calibri" w:cs="Tahoma"/>
          <w:bCs/>
          <w:iCs/>
          <w:color w:val="000000"/>
        </w:rPr>
        <w:t>la Tesorería Municipal y la Coordinación de Recursos Humanos</w:t>
      </w:r>
      <w:r>
        <w:rPr>
          <w:rFonts w:eastAsia="Calibri" w:cs="Tahoma"/>
          <w:bCs/>
          <w:iCs/>
          <w:color w:val="000000"/>
        </w:rPr>
        <w:t>,</w:t>
      </w:r>
      <w:r w:rsidR="00A91369">
        <w:rPr>
          <w:rFonts w:eastAsia="Calibri" w:cs="Tahoma"/>
          <w:bCs/>
          <w:iCs/>
          <w:color w:val="000000"/>
        </w:rPr>
        <w:t xml:space="preserve"> toda vez, que la primera efectúa todas las erogaciones del Ayuntamiento, incluyendo el pago de nómina, y la segunda administra al personal con el </w:t>
      </w:r>
      <w:r w:rsidR="00A91369">
        <w:rPr>
          <w:rFonts w:eastAsia="Calibri" w:cs="Tahoma"/>
          <w:bCs/>
          <w:iCs/>
          <w:color w:val="000000"/>
        </w:rPr>
        <w:lastRenderedPageBreak/>
        <w:t>que cuenta el Sujeto Obligado</w:t>
      </w:r>
      <w:r w:rsidR="00341E9F">
        <w:rPr>
          <w:rFonts w:eastAsia="Calibri" w:cs="Tahoma"/>
          <w:bCs/>
          <w:iCs/>
          <w:color w:val="000000"/>
        </w:rPr>
        <w:t>,</w:t>
      </w:r>
      <w:r>
        <w:rPr>
          <w:rFonts w:eastAsia="Calibri" w:cs="Tahoma"/>
          <w:bCs/>
          <w:iCs/>
          <w:color w:val="000000"/>
        </w:rPr>
        <w:t xml:space="preserve"> por lo que, es posible advertir que el Sujeto Obligado cumplió con el procedimiento de búsqueda establecido en el artículo 162 de la Ley de Transparencia y Acceso a la Información Pública del Estado de México y Municipios, </w:t>
      </w:r>
      <w:r w:rsidR="00341E9F">
        <w:rPr>
          <w:rFonts w:eastAsia="Calibri" w:cs="Tahoma"/>
          <w:bCs/>
          <w:iCs/>
          <w:color w:val="000000"/>
        </w:rPr>
        <w:t>al gestionar la solicitud a las unidades administrativas competentes. Establecida circunstancia se procede analizar la información proporcionada por dichas áreas.</w:t>
      </w:r>
    </w:p>
    <w:p w:rsidR="00565C58" w:rsidP="00E27F64" w:rsidRDefault="00565C58" w14:paraId="7B750CE8" w14:textId="547D0F66">
      <w:pPr>
        <w:spacing w:after="0" w:line="360" w:lineRule="auto"/>
        <w:rPr>
          <w:rFonts w:eastAsia="Batang" w:cs="Tahoma"/>
          <w:bCs/>
          <w:iCs/>
          <w:color w:val="auto"/>
          <w:lang w:eastAsia="es-ES"/>
        </w:rPr>
      </w:pPr>
    </w:p>
    <w:p w:rsidRPr="00341E9F" w:rsidR="00341E9F" w:rsidP="00341E9F" w:rsidRDefault="00341E9F" w14:paraId="1F9E8E2B" w14:textId="77777777">
      <w:pPr>
        <w:spacing w:after="0" w:line="360" w:lineRule="auto"/>
        <w:rPr>
          <w:rFonts w:eastAsia="Times New Roman" w:cs="Tahoma"/>
          <w:b/>
          <w:i/>
          <w:color w:val="auto"/>
          <w:lang w:eastAsia="es-ES"/>
        </w:rPr>
      </w:pPr>
      <w:r w:rsidRPr="00341E9F">
        <w:rPr>
          <w:rFonts w:eastAsia="Times New Roman" w:cs="Tahoma"/>
          <w:b/>
          <w:i/>
          <w:color w:val="auto"/>
          <w:lang w:eastAsia="es-ES"/>
        </w:rPr>
        <w:t>Currículum Vitae.</w:t>
      </w:r>
    </w:p>
    <w:p w:rsidRPr="00341E9F" w:rsidR="00341E9F" w:rsidP="00341E9F" w:rsidRDefault="00341E9F" w14:paraId="20C0B82D" w14:textId="77777777">
      <w:pPr>
        <w:spacing w:after="0" w:line="360" w:lineRule="auto"/>
        <w:rPr>
          <w:rFonts w:eastAsia="Times New Roman" w:cs="Tahoma"/>
          <w:bCs/>
          <w:iCs/>
          <w:color w:val="auto"/>
          <w:lang w:eastAsia="es-ES"/>
        </w:rPr>
      </w:pPr>
    </w:p>
    <w:p w:rsidRPr="00341E9F" w:rsidR="00341E9F" w:rsidP="00341E9F" w:rsidRDefault="00341E9F" w14:paraId="1C6664CD" w14:textId="77777777">
      <w:pPr>
        <w:spacing w:after="0" w:line="360" w:lineRule="auto"/>
        <w:rPr>
          <w:rFonts w:eastAsia="Times New Roman" w:cs="Tahoma"/>
          <w:bCs/>
          <w:iCs/>
          <w:color w:val="auto"/>
          <w:lang w:eastAsia="es-ES"/>
        </w:rPr>
      </w:pPr>
      <w:r w:rsidRPr="00341E9F">
        <w:rPr>
          <w:rFonts w:eastAsia="Times New Roman" w:cs="Tahoma"/>
          <w:bCs/>
          <w:iCs/>
          <w:color w:val="auto"/>
          <w:lang w:eastAsia="es-ES"/>
        </w:rPr>
        <w:t xml:space="preserve">En principio, es necesario contextualizar la solicitud de información, por lo que, es de señalar que el </w:t>
      </w:r>
      <w:r w:rsidRPr="00341E9F">
        <w:rPr>
          <w:rFonts w:eastAsia="Times New Roman" w:cs="Tahoma"/>
          <w:bCs/>
          <w:i/>
          <w:color w:val="auto"/>
          <w:lang w:eastAsia="es-ES"/>
        </w:rPr>
        <w:t xml:space="preserve">curriculum vitae, </w:t>
      </w:r>
      <w:r w:rsidRPr="00341E9F">
        <w:rPr>
          <w:rFonts w:eastAsia="Times New Roman" w:cs="Tahoma"/>
          <w:iCs/>
          <w:color w:val="auto"/>
          <w:lang w:val="es-ES" w:eastAsia="es-ES"/>
        </w:rPr>
        <w:t xml:space="preserve">es aquel documento que las personas elaboran con los datos de identificación y contacto, preparación académica y experiencia profesional, para presentarse ante un posible empleador. </w:t>
      </w:r>
      <w:r w:rsidRPr="00341E9F">
        <w:rPr>
          <w:rFonts w:eastAsia="Times New Roman" w:cs="Tahoma"/>
          <w:bCs/>
          <w:iCs/>
          <w:color w:val="auto"/>
          <w:lang w:eastAsia="es-ES"/>
        </w:rPr>
        <w:t>Por lo que, dicho documento da cuenta de la preparación académica y la experiencia laboral, lo cual permite identificar el nivel de conocimientos de su titular, así como, su perfil profesional o laboral.</w:t>
      </w:r>
    </w:p>
    <w:p w:rsidRPr="00341E9F" w:rsidR="00341E9F" w:rsidP="00341E9F" w:rsidRDefault="00341E9F" w14:paraId="1F35C6C5" w14:textId="77777777">
      <w:pPr>
        <w:spacing w:after="0" w:line="360" w:lineRule="auto"/>
        <w:rPr>
          <w:rFonts w:eastAsia="Times New Roman" w:cs="Tahoma"/>
          <w:bCs/>
          <w:iCs/>
          <w:color w:val="auto"/>
          <w:lang w:eastAsia="es-ES"/>
        </w:rPr>
      </w:pPr>
    </w:p>
    <w:p w:rsidRPr="00341E9F" w:rsidR="00341E9F" w:rsidP="00341E9F" w:rsidRDefault="00341E9F" w14:paraId="6D17332E" w14:textId="77777777">
      <w:pPr>
        <w:spacing w:after="0" w:line="360" w:lineRule="auto"/>
        <w:rPr>
          <w:rFonts w:eastAsia="Times New Roman" w:cs="Tahoma"/>
          <w:iCs/>
          <w:color w:val="auto"/>
          <w:lang w:val="es-ES" w:eastAsia="es-ES"/>
        </w:rPr>
      </w:pPr>
      <w:r w:rsidRPr="00341E9F">
        <w:rPr>
          <w:rFonts w:eastAsia="Times New Roman" w:cs="Tahoma"/>
          <w:bCs/>
          <w:iCs/>
          <w:color w:val="auto"/>
          <w:lang w:eastAsia="es-ES"/>
        </w:rPr>
        <w:t>En ese orden de ideas, el documento en comento</w:t>
      </w:r>
      <w:r w:rsidRPr="00341E9F">
        <w:rPr>
          <w:rFonts w:eastAsia="Times New Roman" w:cs="Tahoma"/>
          <w:iCs/>
          <w:color w:val="auto"/>
          <w:lang w:val="es-ES" w:eastAsia="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Pr="00341E9F" w:rsidR="00341E9F" w:rsidP="00341E9F" w:rsidRDefault="00341E9F" w14:paraId="2E134DB8" w14:textId="77777777">
      <w:pPr>
        <w:spacing w:after="0" w:line="360" w:lineRule="auto"/>
        <w:rPr>
          <w:rFonts w:eastAsia="Times New Roman" w:cs="Tahoma"/>
          <w:bCs/>
          <w:iCs/>
          <w:color w:val="auto"/>
          <w:lang w:eastAsia="es-ES"/>
        </w:rPr>
      </w:pPr>
    </w:p>
    <w:p w:rsidRPr="00341E9F" w:rsidR="00341E9F" w:rsidP="00341E9F" w:rsidRDefault="00341E9F" w14:paraId="359955CD" w14:textId="775D50DC">
      <w:pPr>
        <w:spacing w:after="0" w:line="360" w:lineRule="auto"/>
        <w:rPr>
          <w:rFonts w:eastAsia="Times New Roman" w:cs="Tahoma"/>
          <w:bCs/>
          <w:iCs/>
          <w:color w:val="auto"/>
          <w:lang w:val="es-ES" w:eastAsia="es-ES"/>
        </w:rPr>
      </w:pPr>
      <w:r w:rsidRPr="00341E9F">
        <w:rPr>
          <w:rFonts w:eastAsia="Times New Roman" w:cs="Tahoma"/>
          <w:bCs/>
          <w:iCs/>
          <w:color w:val="auto"/>
          <w:lang w:val="es-ES" w:eastAsia="es-ES"/>
        </w:rPr>
        <w:t xml:space="preserve">Lo anterior, se robustece con la fracción XXI, del artículo 92 de la Ley de Transparencia y Acceso a la Información Pública del Estado de México y Municipios, que establece que la </w:t>
      </w:r>
      <w:r w:rsidRPr="00341E9F">
        <w:rPr>
          <w:rFonts w:eastAsia="Times New Roman" w:cs="Tahoma"/>
          <w:b/>
          <w:bCs/>
          <w:iCs/>
          <w:color w:val="auto"/>
          <w:lang w:val="es-ES" w:eastAsia="es-ES"/>
        </w:rPr>
        <w:t>información curricular</w:t>
      </w:r>
      <w:r w:rsidRPr="00341E9F">
        <w:rPr>
          <w:rFonts w:eastAsia="Times New Roman" w:cs="Tahoma"/>
          <w:bCs/>
          <w:iCs/>
          <w:color w:val="auto"/>
          <w:lang w:val="es-ES" w:eastAsia="es-ES"/>
        </w:rPr>
        <w:t xml:space="preserve"> es información que deben de poner a disposición del público los sujetos obligados, en el presente caso, el </w:t>
      </w:r>
      <w:r w:rsidRPr="00341E9F">
        <w:rPr>
          <w:rFonts w:eastAsia="Times New Roman" w:cs="Tahoma"/>
          <w:bCs/>
          <w:iCs/>
          <w:color w:val="auto"/>
          <w:lang w:eastAsia="es-ES"/>
        </w:rPr>
        <w:t xml:space="preserve">Ayuntamiento de </w:t>
      </w:r>
      <w:r>
        <w:rPr>
          <w:rFonts w:eastAsia="Times New Roman" w:cs="Tahoma"/>
          <w:bCs/>
          <w:iCs/>
          <w:color w:val="auto"/>
          <w:lang w:eastAsia="es-ES"/>
        </w:rPr>
        <w:t>Tenancingo</w:t>
      </w:r>
      <w:r w:rsidRPr="00341E9F">
        <w:rPr>
          <w:rFonts w:eastAsia="Times New Roman" w:cs="Tahoma"/>
          <w:bCs/>
          <w:iCs/>
          <w:color w:val="auto"/>
          <w:lang w:val="es-ES" w:eastAsia="es-ES"/>
        </w:rPr>
        <w:t>.</w:t>
      </w:r>
    </w:p>
    <w:p w:rsidRPr="00341E9F" w:rsidR="00341E9F" w:rsidP="00341E9F" w:rsidRDefault="00341E9F" w14:paraId="567D57A9" w14:textId="77777777">
      <w:pPr>
        <w:spacing w:after="0" w:line="360" w:lineRule="auto"/>
        <w:rPr>
          <w:rFonts w:eastAsia="Times New Roman" w:cs="Tahoma"/>
          <w:bCs/>
          <w:iCs/>
          <w:color w:val="auto"/>
          <w:lang w:eastAsia="es-ES"/>
        </w:rPr>
      </w:pPr>
    </w:p>
    <w:p w:rsidRPr="00341E9F" w:rsidR="00341E9F" w:rsidP="00341E9F" w:rsidRDefault="00341E9F" w14:paraId="2198E575" w14:textId="77777777">
      <w:pPr>
        <w:spacing w:after="0" w:line="360" w:lineRule="auto"/>
        <w:rPr>
          <w:rFonts w:eastAsia="Times New Roman" w:cs="Tahoma"/>
          <w:bCs/>
          <w:iCs/>
          <w:color w:val="auto"/>
          <w:lang w:eastAsia="es-ES"/>
        </w:rPr>
      </w:pPr>
      <w:r w:rsidRPr="00341E9F">
        <w:rPr>
          <w:rFonts w:eastAsia="Times New Roman" w:cs="Tahoma"/>
          <w:bCs/>
          <w:iCs/>
          <w:color w:val="auto"/>
          <w:lang w:val="es-ES" w:eastAsia="es-ES"/>
        </w:rPr>
        <w:lastRenderedPageBreak/>
        <w:t xml:space="preserve">De igual manera, toma relevancia, traer a colación el formato 17 LGT_Art_70_Fr_XVII (Información curricular y las sanciones administrativas definitivas de los(as) servidores(as) públicas(os) y/o personas que desempeñen un empleo, cargo o comisión) de los </w:t>
      </w:r>
      <w:r w:rsidRPr="00341E9F">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341E9F" w:rsidR="00341E9F" w:rsidP="00341E9F" w:rsidRDefault="00341E9F" w14:paraId="01A78509" w14:textId="77777777">
      <w:pPr>
        <w:spacing w:after="0" w:line="360" w:lineRule="auto"/>
        <w:rPr>
          <w:rFonts w:eastAsia="Times New Roman" w:cs="Tahoma"/>
          <w:bCs/>
          <w:iCs/>
          <w:color w:val="auto"/>
          <w:lang w:eastAsia="es-ES"/>
        </w:rPr>
      </w:pPr>
    </w:p>
    <w:p w:rsidRPr="00341E9F" w:rsidR="00341E9F" w:rsidP="00341E9F" w:rsidRDefault="00341E9F" w14:paraId="12A76158" w14:textId="77777777">
      <w:pPr>
        <w:spacing w:after="0" w:line="360" w:lineRule="auto"/>
        <w:jc w:val="center"/>
        <w:rPr>
          <w:rFonts w:eastAsia="Times New Roman" w:cs="Tahoma"/>
          <w:iCs/>
          <w:color w:val="auto"/>
          <w:lang w:eastAsia="es-ES"/>
        </w:rPr>
      </w:pPr>
      <w:r w:rsidRPr="00341E9F">
        <w:rPr>
          <w:rFonts w:eastAsia="Times New Roman" w:cs="Tahoma"/>
          <w:iCs/>
          <w:noProof/>
          <w:color w:val="auto"/>
          <w:lang w:eastAsia="es-ES"/>
        </w:rPr>
        <w:drawing>
          <wp:inline distT="0" distB="0" distL="0" distR="0" wp14:anchorId="30B65FDE" wp14:editId="5F88852A">
            <wp:extent cx="4733925" cy="1687884"/>
            <wp:effectExtent l="0" t="0" r="0" b="7620"/>
            <wp:docPr id="2" name="Imagen 2"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5652" cy="1692065"/>
                    </a:xfrm>
                    <a:prstGeom prst="rect">
                      <a:avLst/>
                    </a:prstGeom>
                    <a:noFill/>
                    <a:ln>
                      <a:noFill/>
                    </a:ln>
                  </pic:spPr>
                </pic:pic>
              </a:graphicData>
            </a:graphic>
          </wp:inline>
        </w:drawing>
      </w:r>
    </w:p>
    <w:p w:rsidRPr="00341E9F" w:rsidR="00341E9F" w:rsidP="00341E9F" w:rsidRDefault="00341E9F" w14:paraId="3A4E33DA" w14:textId="77777777">
      <w:pPr>
        <w:spacing w:after="0" w:line="360" w:lineRule="auto"/>
        <w:rPr>
          <w:rFonts w:eastAsia="Times New Roman" w:cs="Tahoma"/>
          <w:iCs/>
          <w:color w:val="auto"/>
          <w:lang w:eastAsia="es-ES"/>
        </w:rPr>
      </w:pPr>
    </w:p>
    <w:p w:rsidRPr="00341E9F" w:rsidR="00341E9F" w:rsidP="00341E9F" w:rsidRDefault="00341E9F" w14:paraId="65281117" w14:textId="77777777">
      <w:pPr>
        <w:spacing w:after="0" w:line="360" w:lineRule="auto"/>
        <w:rPr>
          <w:rFonts w:eastAsia="Times New Roman" w:cs="Tahoma"/>
          <w:iCs/>
          <w:color w:val="auto"/>
          <w:lang w:eastAsia="es-ES"/>
        </w:rPr>
      </w:pPr>
      <w:r w:rsidRPr="00341E9F">
        <w:rPr>
          <w:rFonts w:eastAsia="Times New Roman" w:cs="Tahoma"/>
          <w:bCs/>
          <w:iCs/>
          <w:color w:val="auto"/>
          <w:lang w:eastAsia="es-ES"/>
        </w:rPr>
        <w:t xml:space="preserve">En ese contexto, según Islas, Jorge (2016), en la “Ley General de Transparencia y Acceso a la Información Pública Comentada” (p. 244), refirió que el </w:t>
      </w:r>
      <w:r w:rsidRPr="00341E9F">
        <w:rPr>
          <w:rFonts w:eastAsia="Times New Roman" w:cs="Tahoma"/>
          <w:b/>
          <w:bCs/>
          <w:i/>
          <w:iCs/>
          <w:color w:val="auto"/>
          <w:lang w:eastAsia="es-ES"/>
        </w:rPr>
        <w:t>currículum vitae</w:t>
      </w:r>
      <w:r w:rsidRPr="00341E9F">
        <w:rPr>
          <w:rFonts w:eastAsia="Times New Roman" w:cs="Tahoma"/>
          <w:b/>
          <w:bCs/>
          <w:iCs/>
          <w:color w:val="auto"/>
          <w:lang w:eastAsia="es-ES"/>
        </w:rPr>
        <w:t xml:space="preserve"> </w:t>
      </w:r>
      <w:r w:rsidRPr="00341E9F">
        <w:rPr>
          <w:rFonts w:eastAsia="Times New Roman" w:cs="Tahoma"/>
          <w:b/>
          <w:iCs/>
          <w:color w:val="auto"/>
          <w:lang w:eastAsia="es-ES"/>
        </w:rPr>
        <w:t>de</w:t>
      </w:r>
      <w:r w:rsidRPr="00341E9F">
        <w:rPr>
          <w:rFonts w:eastAsia="Times New Roman" w:cs="Tahoma"/>
          <w:b/>
          <w:bCs/>
          <w:iCs/>
          <w:color w:val="auto"/>
          <w:lang w:eastAsia="es-ES"/>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rsidRPr="00341E9F" w:rsidR="00341E9F" w:rsidP="00341E9F" w:rsidRDefault="00341E9F" w14:paraId="4D248E40" w14:textId="77777777">
      <w:pPr>
        <w:spacing w:after="0" w:line="360" w:lineRule="auto"/>
        <w:rPr>
          <w:rFonts w:eastAsia="Times New Roman" w:cs="Tahoma"/>
          <w:iCs/>
          <w:color w:val="auto"/>
          <w:lang w:eastAsia="es-ES"/>
        </w:rPr>
      </w:pPr>
    </w:p>
    <w:p w:rsidRPr="00341E9F" w:rsidR="00341E9F" w:rsidP="00341E9F" w:rsidRDefault="00341E9F" w14:paraId="0E720080" w14:textId="77777777">
      <w:pPr>
        <w:spacing w:after="0" w:line="360" w:lineRule="auto"/>
        <w:rPr>
          <w:rFonts w:eastAsia="Times New Roman" w:cs="Tahoma"/>
          <w:bCs/>
          <w:iCs/>
          <w:color w:val="auto"/>
          <w:lang w:eastAsia="es-ES"/>
        </w:rPr>
      </w:pPr>
      <w:r w:rsidRPr="00341E9F">
        <w:rPr>
          <w:rFonts w:eastAsia="Times New Roman" w:cs="Tahoma"/>
          <w:iCs/>
          <w:color w:val="auto"/>
          <w:lang w:eastAsia="es-ES"/>
        </w:rPr>
        <w:t>En el mismo sentido, lo señala el</w:t>
      </w:r>
      <w:r w:rsidRPr="00341E9F">
        <w:rPr>
          <w:rFonts w:eastAsia="Times New Roman" w:cs="Tahoma"/>
          <w:bCs/>
          <w:iCs/>
          <w:color w:val="auto"/>
          <w:lang w:eastAsia="es-ES"/>
        </w:rPr>
        <w:t xml:space="preserve"> </w:t>
      </w:r>
      <w:r w:rsidRPr="00341E9F">
        <w:rPr>
          <w:rFonts w:eastAsia="Times New Roman" w:cs="Tahoma"/>
          <w:iCs/>
          <w:color w:val="auto"/>
          <w:lang w:eastAsia="es-ES"/>
        </w:rPr>
        <w:t xml:space="preserve">Criterio 03/09, emitido por el Pleno del </w:t>
      </w:r>
      <w:r w:rsidRPr="00341E9F">
        <w:rPr>
          <w:rFonts w:eastAsia="Times New Roman" w:cs="Tahoma"/>
          <w:bCs/>
          <w:iCs/>
          <w:color w:val="auto"/>
          <w:lang w:eastAsia="es-ES"/>
        </w:rPr>
        <w:t>entonces Instituto Federal de Acceso a la Información y Protección de Datos, tal como se muestra a continuación:</w:t>
      </w:r>
    </w:p>
    <w:p w:rsidRPr="00341E9F" w:rsidR="00341E9F" w:rsidP="00341E9F" w:rsidRDefault="00341E9F" w14:paraId="4689DA68" w14:textId="77777777">
      <w:pPr>
        <w:spacing w:after="0" w:line="360" w:lineRule="auto"/>
        <w:rPr>
          <w:rFonts w:eastAsia="Times New Roman" w:cs="Tahoma"/>
          <w:bCs/>
          <w:iCs/>
          <w:color w:val="auto"/>
          <w:lang w:eastAsia="es-ES"/>
        </w:rPr>
      </w:pPr>
    </w:p>
    <w:p w:rsidRPr="00341E9F" w:rsidR="00341E9F" w:rsidP="00341E9F" w:rsidRDefault="00341E9F" w14:paraId="318CB28E" w14:textId="77777777">
      <w:pPr>
        <w:spacing w:after="0" w:line="360" w:lineRule="auto"/>
        <w:ind w:left="567" w:right="567"/>
        <w:rPr>
          <w:rFonts w:eastAsia="Times New Roman" w:cs="Tahoma"/>
          <w:bCs/>
          <w:i/>
          <w:iCs/>
          <w:color w:val="auto"/>
          <w:sz w:val="20"/>
          <w:szCs w:val="20"/>
          <w:lang w:eastAsia="es-ES"/>
        </w:rPr>
      </w:pPr>
      <w:r w:rsidRPr="00341E9F">
        <w:rPr>
          <w:rFonts w:eastAsia="Times New Roman" w:cs="Tahoma"/>
          <w:b/>
          <w:bCs/>
          <w:i/>
          <w:iCs/>
          <w:color w:val="auto"/>
          <w:sz w:val="20"/>
          <w:szCs w:val="20"/>
          <w:lang w:eastAsia="es-ES"/>
        </w:rPr>
        <w:lastRenderedPageBreak/>
        <w:t>“Curriculum Vitae de servidores públicos. Es obligación de los sujetos obligados otorgar acceso a versiones públicas de los mismos ante una solicitud de acceso.</w:t>
      </w:r>
      <w:r w:rsidRPr="00341E9F">
        <w:rPr>
          <w:rFonts w:eastAsia="Times New Roman" w:cs="Tahoma"/>
          <w:bCs/>
          <w:i/>
          <w:iCs/>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w:t>
      </w:r>
      <w:proofErr w:type="gramStart"/>
      <w:r w:rsidRPr="00341E9F">
        <w:rPr>
          <w:rFonts w:eastAsia="Times New Roman" w:cs="Tahoma"/>
          <w:bCs/>
          <w:i/>
          <w:iCs/>
          <w:color w:val="auto"/>
          <w:sz w:val="20"/>
          <w:szCs w:val="20"/>
          <w:lang w:eastAsia="es-ES"/>
        </w:rPr>
        <w:t>acceso,  se</w:t>
      </w:r>
      <w:proofErr w:type="gramEnd"/>
      <w:r w:rsidRPr="00341E9F">
        <w:rPr>
          <w:rFonts w:eastAsia="Times New Roman" w:cs="Tahoma"/>
          <w:bCs/>
          <w:i/>
          <w:iCs/>
          <w:color w:val="auto"/>
          <w:sz w:val="20"/>
          <w:szCs w:val="20"/>
          <w:lang w:eastAsia="es-ES"/>
        </w:rPr>
        <w:t xml:space="preserve">  encuentran  los  relativos  a  su  trayectoria  académica,  profesional, laboral, así como todos aquellos que acrediten su capacidad, habilidades o pericia para ocupar el cargo público.”</w:t>
      </w:r>
    </w:p>
    <w:p w:rsidRPr="00341E9F" w:rsidR="00341E9F" w:rsidP="00341E9F" w:rsidRDefault="00341E9F" w14:paraId="7DAAC534" w14:textId="77777777">
      <w:pPr>
        <w:spacing w:after="0" w:line="360" w:lineRule="auto"/>
        <w:rPr>
          <w:rFonts w:eastAsia="Times New Roman" w:cs="Tahoma"/>
          <w:bCs/>
          <w:iCs/>
          <w:color w:val="auto"/>
          <w:lang w:eastAsia="es-ES"/>
        </w:rPr>
      </w:pPr>
    </w:p>
    <w:p w:rsidRPr="00341E9F" w:rsidR="00341E9F" w:rsidP="00341E9F" w:rsidRDefault="00341E9F" w14:paraId="1B5C5102" w14:textId="77777777">
      <w:pPr>
        <w:spacing w:after="0" w:line="360" w:lineRule="auto"/>
        <w:rPr>
          <w:rFonts w:eastAsia="Times New Roman" w:cs="Tahoma"/>
          <w:iCs/>
          <w:color w:val="auto"/>
          <w:lang w:eastAsia="es-ES"/>
        </w:rPr>
      </w:pPr>
      <w:r w:rsidRPr="00341E9F">
        <w:rPr>
          <w:rFonts w:eastAsia="Times New Roman" w:cs="Tahoma"/>
          <w:iCs/>
          <w:color w:val="auto"/>
          <w:lang w:eastAsia="es-ES"/>
        </w:rPr>
        <w:t xml:space="preserve">Del citado criterio, se desprende que una de las formas en que los ciudadanos pueden evaluar las aptitudes para desempeñar un cargo público determinado, es mediante la </w:t>
      </w:r>
      <w:r w:rsidRPr="00341E9F">
        <w:rPr>
          <w:rFonts w:eastAsia="Times New Roman" w:cs="Tahoma"/>
          <w:bCs/>
          <w:iCs/>
          <w:color w:val="auto"/>
          <w:lang w:eastAsia="es-ES"/>
        </w:rPr>
        <w:t xml:space="preserve">publicidad de ciertos datos contenidos en el </w:t>
      </w:r>
      <w:r w:rsidRPr="00341E9F">
        <w:rPr>
          <w:rFonts w:eastAsia="Times New Roman" w:cs="Tahoma"/>
          <w:bCs/>
          <w:i/>
          <w:iCs/>
          <w:color w:val="auto"/>
          <w:lang w:eastAsia="es-ES"/>
        </w:rPr>
        <w:t xml:space="preserve">currículum vitae, </w:t>
      </w:r>
      <w:r w:rsidRPr="00341E9F">
        <w:rPr>
          <w:rFonts w:eastAsia="Times New Roman" w:cs="Tahoma"/>
          <w:bCs/>
          <w:iCs/>
          <w:color w:val="auto"/>
          <w:lang w:eastAsia="es-ES"/>
        </w:rPr>
        <w:t>tales como, la trayectoria académica, profesional, laboral, así como todos aquellos que acrediten su capacidad, habilidades pericia para ocupar el puesto público.</w:t>
      </w:r>
      <w:r w:rsidRPr="00341E9F">
        <w:rPr>
          <w:rFonts w:eastAsia="Times New Roman" w:cs="Tahoma"/>
          <w:b/>
          <w:iCs/>
          <w:color w:val="auto"/>
          <w:lang w:eastAsia="es-ES"/>
        </w:rPr>
        <w:t xml:space="preserve"> </w:t>
      </w:r>
      <w:r w:rsidRPr="00341E9F">
        <w:rPr>
          <w:rFonts w:eastAsia="Times New Roman" w:cs="Tahoma"/>
          <w:iCs/>
          <w:color w:val="auto"/>
          <w:lang w:eastAsia="es-ES"/>
        </w:rPr>
        <w:t>Lo anterior, para favorecer la rendición de cuentas, pues la publicidad de lo anterior, tiene como fin verificar el correcto desempeño de los sujetos obligados.</w:t>
      </w:r>
    </w:p>
    <w:p w:rsidRPr="00341E9F" w:rsidR="00341E9F" w:rsidP="00341E9F" w:rsidRDefault="00341E9F" w14:paraId="3F9C699B" w14:textId="77777777">
      <w:pPr>
        <w:spacing w:after="0" w:line="360" w:lineRule="auto"/>
        <w:rPr>
          <w:rFonts w:eastAsia="Times New Roman" w:cs="Tahoma"/>
          <w:iCs/>
          <w:color w:val="auto"/>
          <w:lang w:eastAsia="es-ES"/>
        </w:rPr>
      </w:pPr>
    </w:p>
    <w:p w:rsidRPr="00341E9F" w:rsidR="00341E9F" w:rsidP="00341E9F" w:rsidRDefault="00341E9F" w14:paraId="6E8C3BC5" w14:textId="5CD0A919">
      <w:pPr>
        <w:spacing w:after="0" w:line="360" w:lineRule="auto"/>
        <w:rPr>
          <w:rFonts w:eastAsia="Times New Roman" w:cs="Tahoma"/>
          <w:bCs/>
          <w:iCs/>
          <w:color w:val="auto"/>
          <w:lang w:eastAsia="es-ES"/>
        </w:rPr>
      </w:pPr>
      <w:r w:rsidRPr="00341E9F">
        <w:rPr>
          <w:rFonts w:eastAsia="Times New Roman" w:cs="Tahoma"/>
          <w:bCs/>
          <w:iCs/>
          <w:color w:val="auto"/>
          <w:lang w:eastAsia="es-ES"/>
        </w:rPr>
        <w:t xml:space="preserve">Conforme a lo anterior, se considera que la pretensión del ahora Recurrente, es obtener el </w:t>
      </w:r>
      <w:r w:rsidRPr="00341E9F">
        <w:rPr>
          <w:rFonts w:eastAsia="Times New Roman" w:cs="Tahoma"/>
          <w:bCs/>
          <w:i/>
          <w:color w:val="auto"/>
          <w:lang w:eastAsia="es-ES"/>
        </w:rPr>
        <w:t xml:space="preserve">currículum vitae </w:t>
      </w:r>
      <w:r w:rsidRPr="00341E9F">
        <w:rPr>
          <w:rFonts w:eastAsia="Times New Roman" w:cs="Tahoma"/>
          <w:bCs/>
          <w:iCs/>
          <w:color w:val="auto"/>
          <w:lang w:eastAsia="es-ES"/>
        </w:rPr>
        <w:t xml:space="preserve">o el documento que contenga la información curricular </w:t>
      </w:r>
      <w:r>
        <w:rPr>
          <w:rFonts w:eastAsia="Times New Roman" w:cs="Tahoma"/>
          <w:bCs/>
          <w:iCs/>
          <w:color w:val="auto"/>
          <w:lang w:eastAsia="es-ES"/>
        </w:rPr>
        <w:t xml:space="preserve">de </w:t>
      </w:r>
      <w:r>
        <w:rPr>
          <w:rFonts w:eastAsia="Times New Roman" w:cs="Tahoma"/>
          <w:bCs/>
          <w:iCs/>
          <w:lang w:eastAsia="es-ES"/>
        </w:rPr>
        <w:t>Eduardo Arciniega Jardón.</w:t>
      </w:r>
    </w:p>
    <w:p w:rsidRPr="00341E9F" w:rsidR="00341E9F" w:rsidP="00341E9F" w:rsidRDefault="00341E9F" w14:paraId="14DDD3F4" w14:textId="77777777">
      <w:pPr>
        <w:spacing w:after="0" w:line="360" w:lineRule="auto"/>
        <w:rPr>
          <w:rFonts w:eastAsia="Times New Roman" w:cs="Tahoma"/>
          <w:iCs/>
          <w:color w:val="auto"/>
          <w:lang w:eastAsia="es-ES"/>
        </w:rPr>
      </w:pPr>
    </w:p>
    <w:p w:rsidR="00341E9F" w:rsidP="00341E9F" w:rsidRDefault="00341E9F" w14:paraId="1D18F3F6" w14:textId="70049DC2">
      <w:pPr>
        <w:spacing w:after="0" w:line="360" w:lineRule="auto"/>
        <w:rPr>
          <w:rFonts w:eastAsia="Times New Roman" w:cs="Tahoma"/>
          <w:iCs/>
          <w:color w:val="auto"/>
          <w:lang w:val="es-ES" w:eastAsia="es-ES"/>
        </w:rPr>
      </w:pPr>
      <w:r w:rsidRPr="00341E9F">
        <w:rPr>
          <w:rFonts w:eastAsia="Times New Roman" w:cs="Tahoma"/>
          <w:iCs/>
          <w:color w:val="auto"/>
          <w:lang w:val="es-ES" w:eastAsia="es-ES"/>
        </w:rPr>
        <w:lastRenderedPageBreak/>
        <w:t xml:space="preserve">Ahora bien, en respuesta el Sujeto Obligado proporcionó la ficha curricular </w:t>
      </w:r>
      <w:r>
        <w:rPr>
          <w:rFonts w:eastAsia="Times New Roman" w:cs="Tahoma"/>
          <w:iCs/>
          <w:color w:val="auto"/>
          <w:lang w:val="es-ES" w:eastAsia="es-ES"/>
        </w:rPr>
        <w:t>de dicho servidor público, tal como se muestra a continuación:</w:t>
      </w:r>
    </w:p>
    <w:p w:rsidR="00341E9F" w:rsidP="00341E9F" w:rsidRDefault="00341E9F" w14:paraId="7C251F32" w14:textId="372ACDF5">
      <w:pPr>
        <w:spacing w:after="0" w:line="360" w:lineRule="auto"/>
        <w:rPr>
          <w:rFonts w:eastAsia="Times New Roman" w:cs="Tahoma"/>
          <w:iCs/>
          <w:color w:val="auto"/>
          <w:lang w:val="es-ES" w:eastAsia="es-ES"/>
        </w:rPr>
      </w:pPr>
    </w:p>
    <w:p w:rsidRPr="00341E9F" w:rsidR="00341E9F" w:rsidP="00341E9F" w:rsidRDefault="00341E9F" w14:paraId="002BEF2C" w14:textId="31A8B326">
      <w:pPr>
        <w:spacing w:after="0" w:line="360" w:lineRule="auto"/>
        <w:rPr>
          <w:rFonts w:eastAsia="Times New Roman" w:cs="Tahoma"/>
          <w:iCs/>
          <w:color w:val="auto"/>
          <w:lang w:val="es-ES" w:eastAsia="es-ES"/>
        </w:rPr>
      </w:pPr>
      <w:r>
        <w:rPr>
          <w:noProof/>
        </w:rPr>
        <w:drawing>
          <wp:inline distT="0" distB="0" distL="0" distR="0" wp14:anchorId="2FED9172" wp14:editId="5C93AD7A">
            <wp:extent cx="5791835" cy="2671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71445"/>
                    </a:xfrm>
                    <a:prstGeom prst="rect">
                      <a:avLst/>
                    </a:prstGeom>
                  </pic:spPr>
                </pic:pic>
              </a:graphicData>
            </a:graphic>
          </wp:inline>
        </w:drawing>
      </w:r>
    </w:p>
    <w:p w:rsidRPr="00341E9F" w:rsidR="00341E9F" w:rsidP="00341E9F" w:rsidRDefault="00341E9F" w14:paraId="16403B1E" w14:textId="77777777">
      <w:pPr>
        <w:spacing w:after="0" w:line="360" w:lineRule="auto"/>
        <w:rPr>
          <w:rFonts w:eastAsia="Times New Roman" w:cs="Tahoma"/>
          <w:iCs/>
          <w:color w:val="auto"/>
          <w:lang w:eastAsia="es-ES"/>
        </w:rPr>
      </w:pPr>
    </w:p>
    <w:p w:rsidRPr="00341E9F" w:rsidR="00341E9F" w:rsidP="00341E9F" w:rsidRDefault="00341E9F" w14:paraId="392899BB" w14:textId="77777777">
      <w:pPr>
        <w:spacing w:after="0" w:line="360" w:lineRule="auto"/>
        <w:rPr>
          <w:rFonts w:eastAsia="Times New Roman" w:cs="Tahoma"/>
          <w:iCs/>
          <w:color w:val="auto"/>
          <w:lang w:val="es-ES" w:eastAsia="es-ES"/>
        </w:rPr>
      </w:pPr>
      <w:r w:rsidRPr="00341E9F">
        <w:rPr>
          <w:rFonts w:eastAsia="Times New Roman" w:cs="Tahoma"/>
          <w:iCs/>
          <w:color w:val="auto"/>
          <w:lang w:val="es-ES" w:eastAsia="es-ES"/>
        </w:rPr>
        <w:t xml:space="preserve">Sobre lo anterior, </w:t>
      </w:r>
      <w:r w:rsidRPr="00341E9F">
        <w:rPr>
          <w:rFonts w:eastAsia="Times New Roman" w:cs="Tahoma"/>
          <w:bCs/>
          <w:iCs/>
          <w:color w:val="auto"/>
          <w:lang w:eastAsia="es-E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341E9F" w:rsidR="00341E9F" w:rsidP="00341E9F" w:rsidRDefault="00341E9F" w14:paraId="659E7EBC" w14:textId="77777777">
      <w:pPr>
        <w:spacing w:after="0" w:line="360" w:lineRule="auto"/>
        <w:rPr>
          <w:rFonts w:eastAsia="Times New Roman" w:cs="Tahoma"/>
          <w:bCs/>
          <w:iCs/>
          <w:color w:val="auto"/>
          <w:lang w:eastAsia="es-ES"/>
        </w:rPr>
      </w:pPr>
    </w:p>
    <w:p w:rsidRPr="00341E9F" w:rsidR="00341E9F" w:rsidP="00341E9F" w:rsidRDefault="00341E9F" w14:paraId="0C70F068" w14:textId="77777777">
      <w:pPr>
        <w:spacing w:after="0" w:line="360" w:lineRule="auto"/>
        <w:ind w:left="567" w:right="567"/>
        <w:rPr>
          <w:rFonts w:eastAsia="Times New Roman" w:cs="Tahoma"/>
          <w:bCs/>
          <w:i/>
          <w:iCs/>
          <w:color w:val="auto"/>
          <w:sz w:val="20"/>
          <w:szCs w:val="20"/>
          <w:lang w:eastAsia="es-ES"/>
        </w:rPr>
      </w:pPr>
      <w:r w:rsidRPr="00341E9F">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341E9F">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341E9F">
        <w:rPr>
          <w:rFonts w:eastAsia="Times New Roman" w:cs="Tahoma"/>
          <w:bCs/>
          <w:i/>
          <w:iCs/>
          <w:color w:val="auto"/>
          <w:sz w:val="20"/>
          <w:szCs w:val="20"/>
          <w:lang w:eastAsia="es-ES"/>
        </w:rPr>
        <w:lastRenderedPageBreak/>
        <w:t>Transparencia y Acceso a la Información Pública Gubernamental no se prevé una causal que permita al Instituto Federal de Acceso a la Información y Protección de Datos conocer, vía recurso revisión, al respecto.”</w:t>
      </w:r>
    </w:p>
    <w:p w:rsidRPr="00341E9F" w:rsidR="00341E9F" w:rsidP="00341E9F" w:rsidRDefault="00341E9F" w14:paraId="63C36DCB" w14:textId="77777777">
      <w:pPr>
        <w:spacing w:after="0" w:line="360" w:lineRule="auto"/>
        <w:rPr>
          <w:rFonts w:eastAsia="Times New Roman" w:cs="Tahoma"/>
          <w:iCs/>
          <w:color w:val="auto"/>
          <w:lang w:eastAsia="es-ES"/>
        </w:rPr>
      </w:pPr>
    </w:p>
    <w:p w:rsidRPr="00341E9F" w:rsidR="00341E9F" w:rsidP="00341E9F" w:rsidRDefault="00341E9F" w14:paraId="5B57DE6F" w14:textId="04A15C68">
      <w:pPr>
        <w:spacing w:after="0" w:line="360" w:lineRule="auto"/>
        <w:rPr>
          <w:rFonts w:eastAsia="Times New Roman" w:cs="Tahoma"/>
          <w:iCs/>
          <w:color w:val="auto"/>
          <w:lang w:eastAsia="es-ES"/>
        </w:rPr>
      </w:pPr>
      <w:r w:rsidRPr="00341E9F">
        <w:rPr>
          <w:rFonts w:eastAsia="Times New Roman" w:cs="Tahoma"/>
          <w:bCs/>
          <w:iCs/>
          <w:color w:val="auto"/>
          <w:lang w:eastAsia="es-ES"/>
        </w:rPr>
        <w:t>Ahora bien, de la revisión de dichos documentos</w:t>
      </w:r>
      <w:r w:rsidRPr="00341E9F">
        <w:rPr>
          <w:rFonts w:eastAsia="Times New Roman" w:cs="Tahoma"/>
          <w:iCs/>
          <w:color w:val="auto"/>
          <w:lang w:eastAsia="es-ES"/>
        </w:rPr>
        <w:t xml:space="preserve">, se logra observar, que corresponden aquellos que contienen el grado académico, la trayectoria profesional y laboral </w:t>
      </w:r>
      <w:r w:rsidR="006920D1">
        <w:rPr>
          <w:rFonts w:eastAsia="Times New Roman" w:cs="Tahoma"/>
          <w:iCs/>
          <w:color w:val="auto"/>
          <w:lang w:eastAsia="es-ES"/>
        </w:rPr>
        <w:t>del servidor público requerido</w:t>
      </w:r>
      <w:r w:rsidRPr="00341E9F">
        <w:rPr>
          <w:rFonts w:eastAsia="Times New Roman" w:cs="Tahoma"/>
          <w:iCs/>
          <w:color w:val="auto"/>
          <w:lang w:eastAsia="es-ES"/>
        </w:rPr>
        <w:t xml:space="preserve">; por lo que, se logra advertir que el Sujeto Obligado proporcionó </w:t>
      </w:r>
      <w:r w:rsidR="006920D1">
        <w:rPr>
          <w:rFonts w:eastAsia="Times New Roman" w:cs="Tahoma"/>
          <w:iCs/>
          <w:color w:val="auto"/>
          <w:lang w:eastAsia="es-ES"/>
        </w:rPr>
        <w:t>el documento</w:t>
      </w:r>
      <w:r w:rsidRPr="00341E9F">
        <w:rPr>
          <w:rFonts w:eastAsia="Times New Roman" w:cs="Tahoma"/>
          <w:iCs/>
          <w:color w:val="auto"/>
          <w:lang w:eastAsia="es-ES"/>
        </w:rPr>
        <w:t xml:space="preserve"> que obraba en sus archivos y daba</w:t>
      </w:r>
      <w:r w:rsidR="006920D1">
        <w:rPr>
          <w:rFonts w:eastAsia="Times New Roman" w:cs="Tahoma"/>
          <w:iCs/>
          <w:color w:val="auto"/>
          <w:lang w:eastAsia="es-ES"/>
        </w:rPr>
        <w:t xml:space="preserve"> </w:t>
      </w:r>
      <w:r w:rsidRPr="00341E9F">
        <w:rPr>
          <w:rFonts w:eastAsia="Times New Roman" w:cs="Tahoma"/>
          <w:iCs/>
          <w:color w:val="auto"/>
          <w:lang w:eastAsia="es-ES"/>
        </w:rPr>
        <w:t xml:space="preserve">cuenta de lo peticionado, al contener la información curricular </w:t>
      </w:r>
      <w:r w:rsidR="006920D1">
        <w:rPr>
          <w:rFonts w:eastAsia="Times New Roman" w:cs="Tahoma"/>
          <w:iCs/>
          <w:color w:val="auto"/>
          <w:lang w:eastAsia="es-ES"/>
        </w:rPr>
        <w:t>del trabajador señalado en la solicitud</w:t>
      </w:r>
      <w:r w:rsidRPr="00341E9F">
        <w:rPr>
          <w:rFonts w:eastAsia="Times New Roman" w:cs="Tahoma"/>
          <w:iCs/>
          <w:color w:val="auto"/>
          <w:lang w:eastAsia="es-ES"/>
        </w:rPr>
        <w:t>.</w:t>
      </w:r>
    </w:p>
    <w:p w:rsidRPr="00341E9F" w:rsidR="00341E9F" w:rsidP="00341E9F" w:rsidRDefault="00341E9F" w14:paraId="54FD326C" w14:textId="77777777">
      <w:pPr>
        <w:spacing w:after="0" w:line="360" w:lineRule="auto"/>
        <w:rPr>
          <w:rFonts w:eastAsia="Times New Roman" w:cs="Tahoma"/>
          <w:iCs/>
          <w:color w:val="auto"/>
          <w:lang w:eastAsia="es-ES"/>
        </w:rPr>
      </w:pPr>
    </w:p>
    <w:p w:rsidRPr="00341E9F" w:rsidR="00341E9F" w:rsidP="00341E9F" w:rsidRDefault="00341E9F" w14:paraId="10843ADF" w14:textId="77777777">
      <w:pPr>
        <w:spacing w:after="0" w:line="360" w:lineRule="auto"/>
        <w:rPr>
          <w:rFonts w:eastAsia="Times New Roman" w:cs="Tahoma"/>
          <w:color w:val="auto"/>
          <w:lang w:eastAsia="es-ES"/>
        </w:rPr>
      </w:pPr>
      <w:r w:rsidRPr="00341E9F">
        <w:rPr>
          <w:rFonts w:eastAsia="Calibri" w:cs="Tahoma"/>
          <w:bCs/>
          <w:iCs/>
          <w:color w:val="auto"/>
        </w:rPr>
        <w:t>Dicha situación toma sustento en</w:t>
      </w:r>
      <w:r w:rsidRPr="00341E9F">
        <w:rPr>
          <w:rFonts w:eastAsia="Calibri" w:cs="Tahoma"/>
          <w:bCs/>
          <w:color w:val="auto"/>
        </w:rPr>
        <w:t xml:space="preserve"> el</w:t>
      </w:r>
      <w:r w:rsidRPr="00341E9F">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341E9F" w:rsidR="00341E9F" w:rsidP="00341E9F" w:rsidRDefault="00341E9F" w14:paraId="3BD32420" w14:textId="77777777">
      <w:pPr>
        <w:spacing w:after="0" w:line="360" w:lineRule="auto"/>
        <w:rPr>
          <w:rFonts w:eastAsia="Times New Roman" w:cs="Tahoma"/>
          <w:bCs/>
          <w:iCs/>
          <w:color w:val="auto"/>
          <w:lang w:val="es-ES_tradnl" w:eastAsia="es-ES"/>
        </w:rPr>
      </w:pPr>
    </w:p>
    <w:p w:rsidRPr="00341E9F" w:rsidR="00341E9F" w:rsidP="00341E9F" w:rsidRDefault="00341E9F" w14:paraId="2E1DB26C" w14:textId="77777777">
      <w:pPr>
        <w:tabs>
          <w:tab w:val="left" w:pos="4962"/>
        </w:tabs>
        <w:spacing w:after="0" w:line="360" w:lineRule="auto"/>
        <w:rPr>
          <w:rFonts w:eastAsia="Times New Roman" w:cs="Tahoma"/>
          <w:color w:val="auto"/>
          <w:lang w:eastAsia="es-ES"/>
        </w:rPr>
      </w:pPr>
      <w:r w:rsidRPr="00341E9F">
        <w:rPr>
          <w:rFonts w:eastAsia="Times New Roman" w:cs="Tahoma"/>
          <w:color w:val="auto"/>
          <w:lang w:eastAsia="es-ES"/>
        </w:rPr>
        <w:t xml:space="preserve">De esta manera, </w:t>
      </w:r>
      <w:r w:rsidRPr="00341E9F">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341E9F">
        <w:rPr>
          <w:rFonts w:eastAsia="Times New Roman" w:cs="Tahoma"/>
          <w:i/>
          <w:color w:val="auto"/>
          <w:lang w:eastAsia="es-ES"/>
        </w:rPr>
        <w:t>ad hoc</w:t>
      </w:r>
      <w:r w:rsidRPr="00341E9F">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341E9F" w:rsidR="00341E9F" w:rsidP="00341E9F" w:rsidRDefault="00341E9F" w14:paraId="4452A80F" w14:textId="77777777">
      <w:pPr>
        <w:tabs>
          <w:tab w:val="left" w:pos="4962"/>
        </w:tabs>
        <w:spacing w:after="0" w:line="360" w:lineRule="auto"/>
        <w:rPr>
          <w:rFonts w:eastAsia="Times New Roman" w:cs="Tahoma"/>
          <w:color w:val="auto"/>
          <w:lang w:eastAsia="es-ES"/>
        </w:rPr>
      </w:pPr>
    </w:p>
    <w:p w:rsidRPr="00341E9F" w:rsidR="006920D1" w:rsidP="006920D1" w:rsidRDefault="00341E9F" w14:paraId="1A685E92" w14:textId="29D244CC">
      <w:pPr>
        <w:spacing w:after="0" w:line="360" w:lineRule="auto"/>
        <w:rPr>
          <w:rFonts w:eastAsia="Times New Roman" w:cs="Tahoma"/>
          <w:bCs/>
          <w:iCs/>
          <w:color w:val="auto"/>
          <w:lang w:eastAsia="es-ES"/>
        </w:rPr>
      </w:pPr>
      <w:r w:rsidRPr="00341E9F">
        <w:rPr>
          <w:rFonts w:eastAsia="Times New Roman" w:cs="Tahoma"/>
          <w:color w:val="auto"/>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006920D1">
        <w:rPr>
          <w:rFonts w:eastAsia="Times New Roman" w:cs="Tahoma"/>
          <w:color w:val="auto"/>
          <w:lang w:val="es-ES" w:eastAsia="es-MX"/>
        </w:rPr>
        <w:t xml:space="preserve">la ficha curricular de </w:t>
      </w:r>
      <w:r w:rsidR="006920D1">
        <w:rPr>
          <w:rFonts w:eastAsia="Times New Roman" w:cs="Tahoma"/>
          <w:bCs/>
          <w:iCs/>
          <w:lang w:eastAsia="es-ES"/>
        </w:rPr>
        <w:t>Eduardo Arciniega Jardón, por lo que, se tiene por atendido el requerimiento de información.</w:t>
      </w:r>
    </w:p>
    <w:p w:rsidRPr="00341E9F" w:rsidR="00341E9F" w:rsidP="00341E9F" w:rsidRDefault="006920D1" w14:paraId="32062496" w14:textId="06B20C97">
      <w:pPr>
        <w:spacing w:after="0" w:line="360" w:lineRule="auto"/>
        <w:rPr>
          <w:rFonts w:eastAsia="Times New Roman" w:cs="Tahoma"/>
          <w:color w:val="auto"/>
          <w:lang w:val="es-ES" w:eastAsia="es-ES"/>
        </w:rPr>
      </w:pPr>
      <w:r>
        <w:rPr>
          <w:rFonts w:eastAsia="Times New Roman" w:cs="Tahoma"/>
          <w:color w:val="auto"/>
          <w:lang w:val="es-ES" w:eastAsia="es-MX"/>
        </w:rPr>
        <w:t xml:space="preserve"> </w:t>
      </w:r>
    </w:p>
    <w:p w:rsidRPr="002468C6" w:rsidR="006920D1" w:rsidP="006920D1" w:rsidRDefault="006920D1" w14:paraId="123EC4FF" w14:textId="77777777">
      <w:pPr>
        <w:spacing w:after="0" w:line="360" w:lineRule="auto"/>
        <w:rPr>
          <w:rFonts w:eastAsia="Times New Roman" w:cs="Tahoma"/>
          <w:b/>
          <w:bCs/>
          <w:iCs/>
          <w:color w:val="auto"/>
          <w:lang w:eastAsia="es-ES"/>
        </w:rPr>
      </w:pPr>
      <w:r w:rsidRPr="002468C6">
        <w:rPr>
          <w:rFonts w:eastAsia="Times New Roman" w:cs="Tahoma"/>
          <w:b/>
          <w:bCs/>
          <w:iCs/>
          <w:color w:val="auto"/>
          <w:lang w:eastAsia="es-ES"/>
        </w:rPr>
        <w:lastRenderedPageBreak/>
        <w:t>Recibos de pago</w:t>
      </w:r>
      <w:r>
        <w:rPr>
          <w:rFonts w:eastAsia="Times New Roman" w:cs="Tahoma"/>
          <w:b/>
          <w:bCs/>
          <w:iCs/>
          <w:color w:val="auto"/>
          <w:lang w:eastAsia="es-ES"/>
        </w:rPr>
        <w:t>.</w:t>
      </w:r>
    </w:p>
    <w:p w:rsidRPr="004B2D7C" w:rsidR="006920D1" w:rsidP="006920D1" w:rsidRDefault="006920D1" w14:paraId="0D1812BA" w14:textId="77777777">
      <w:pPr>
        <w:spacing w:after="0" w:line="360" w:lineRule="auto"/>
        <w:rPr>
          <w:rFonts w:eastAsia="Times New Roman" w:cs="Tahoma"/>
          <w:iCs/>
          <w:color w:val="auto"/>
          <w:lang w:eastAsia="es-ES"/>
        </w:rPr>
      </w:pPr>
    </w:p>
    <w:p w:rsidRPr="00F01DEE" w:rsidR="006920D1" w:rsidP="006920D1" w:rsidRDefault="006920D1" w14:paraId="6F9323DD" w14:textId="62AB0AAD">
      <w:pPr>
        <w:spacing w:after="0" w:line="360" w:lineRule="auto"/>
        <w:rPr>
          <w:rFonts w:eastAsia="Times New Roman" w:cs="Tahoma"/>
          <w:iCs/>
          <w:color w:val="auto"/>
          <w:lang w:val="es-ES" w:eastAsia="es-ES"/>
        </w:rPr>
      </w:pPr>
      <w:r>
        <w:rPr>
          <w:rFonts w:eastAsia="Times New Roman" w:cs="Tahoma"/>
          <w:iCs/>
          <w:color w:val="auto"/>
          <w:lang w:val="es-ES" w:eastAsia="es-ES"/>
        </w:rPr>
        <w:t>Respecto a dicho documento</w:t>
      </w:r>
      <w:r w:rsidRPr="004B2D7C">
        <w:rPr>
          <w:rFonts w:eastAsia="Times New Roman" w:cs="Tahoma"/>
          <w:iCs/>
          <w:color w:val="auto"/>
          <w:lang w:val="es-ES" w:eastAsia="es-ES"/>
        </w:rPr>
        <w:t>,</w:t>
      </w:r>
      <w:r w:rsidRPr="00F01DEE">
        <w:rPr>
          <w:rFonts w:eastAsia="Times New Roman" w:cs="Tahoma"/>
          <w:bCs/>
          <w:iCs/>
          <w:color w:val="auto"/>
          <w:lang w:eastAsia="es-ES"/>
        </w:rPr>
        <w:t xml:space="preserv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F01DEE" w:rsidR="006920D1" w:rsidP="006920D1" w:rsidRDefault="006920D1" w14:paraId="7AD3BB42" w14:textId="77777777">
      <w:pPr>
        <w:spacing w:after="0" w:line="360" w:lineRule="auto"/>
        <w:rPr>
          <w:rFonts w:eastAsia="Times New Roman" w:cs="Tahoma"/>
          <w:iCs/>
          <w:color w:val="auto"/>
          <w:lang w:eastAsia="es-ES"/>
        </w:rPr>
      </w:pPr>
    </w:p>
    <w:p w:rsidRPr="00F01DEE" w:rsidR="006920D1" w:rsidP="006920D1" w:rsidRDefault="006920D1" w14:paraId="27C3DB6C" w14:textId="77777777">
      <w:pPr>
        <w:spacing w:after="0" w:line="360" w:lineRule="auto"/>
        <w:rPr>
          <w:rFonts w:eastAsia="Times New Roman" w:cs="Tahoma"/>
          <w:bCs/>
          <w:iCs/>
          <w:color w:val="auto"/>
          <w:lang w:eastAsia="es-ES"/>
        </w:rPr>
      </w:pPr>
      <w:r w:rsidRPr="00F01DEE">
        <w:rPr>
          <w:rFonts w:eastAsia="Times New Roman" w:cs="Tahoma"/>
          <w:bCs/>
          <w:i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F01DEE" w:rsidR="006920D1" w:rsidP="006920D1" w:rsidRDefault="006920D1" w14:paraId="1FC58F3C" w14:textId="77777777">
      <w:pPr>
        <w:spacing w:after="0" w:line="360" w:lineRule="auto"/>
        <w:rPr>
          <w:rFonts w:eastAsia="Times New Roman" w:cs="Tahoma"/>
          <w:bCs/>
          <w:iCs/>
          <w:color w:val="auto"/>
          <w:lang w:eastAsia="es-ES"/>
        </w:rPr>
      </w:pPr>
    </w:p>
    <w:p w:rsidRPr="00F01DEE" w:rsidR="006920D1" w:rsidP="006920D1" w:rsidRDefault="006920D1" w14:paraId="7914B1D5" w14:textId="77777777">
      <w:pPr>
        <w:spacing w:after="0" w:line="360" w:lineRule="auto"/>
        <w:rPr>
          <w:rFonts w:eastAsia="Times New Roman" w:cs="Tahoma"/>
          <w:bCs/>
          <w:iCs/>
          <w:color w:val="auto"/>
          <w:lang w:eastAsia="es-ES"/>
        </w:rPr>
      </w:pPr>
      <w:r w:rsidRPr="00F01DEE">
        <w:rPr>
          <w:rFonts w:eastAsia="Times New Roman" w:cs="Tahoma"/>
          <w:bCs/>
          <w:iCs/>
          <w:color w:val="auto"/>
          <w:lang w:eastAsia="es-E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F01DEE" w:rsidR="006920D1" w:rsidP="006920D1" w:rsidRDefault="006920D1" w14:paraId="29F72BB2" w14:textId="77777777">
      <w:pPr>
        <w:spacing w:after="0" w:line="360" w:lineRule="auto"/>
        <w:rPr>
          <w:rFonts w:eastAsia="Times New Roman" w:cs="Tahoma"/>
          <w:bCs/>
          <w:iCs/>
          <w:color w:val="auto"/>
          <w:lang w:eastAsia="es-ES"/>
        </w:rPr>
      </w:pPr>
    </w:p>
    <w:p w:rsidRPr="00F01DEE" w:rsidR="006920D1" w:rsidP="006920D1" w:rsidRDefault="006920D1" w14:paraId="0A541420" w14:textId="77777777">
      <w:pPr>
        <w:spacing w:after="0" w:line="360" w:lineRule="auto"/>
        <w:rPr>
          <w:rFonts w:eastAsia="Times New Roman" w:cs="Tahoma"/>
          <w:bCs/>
          <w:iCs/>
          <w:color w:val="auto"/>
          <w:lang w:val="es-ES" w:eastAsia="es-ES"/>
        </w:rPr>
      </w:pPr>
      <w:r w:rsidRPr="00F01DEE">
        <w:rPr>
          <w:rFonts w:eastAsia="Times New Roman" w:cs="Tahoma"/>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F01DEE" w:rsidR="006920D1" w:rsidP="006920D1" w:rsidRDefault="006920D1" w14:paraId="5694B58A" w14:textId="77777777">
      <w:pPr>
        <w:spacing w:after="0" w:line="360" w:lineRule="auto"/>
        <w:rPr>
          <w:rFonts w:eastAsia="Times New Roman" w:cs="Tahoma"/>
          <w:bCs/>
          <w:iCs/>
          <w:color w:val="auto"/>
          <w:lang w:eastAsia="es-ES"/>
        </w:rPr>
      </w:pPr>
    </w:p>
    <w:p w:rsidRPr="00F01DEE" w:rsidR="006920D1" w:rsidP="006920D1" w:rsidRDefault="006920D1" w14:paraId="22054587" w14:textId="77777777">
      <w:pPr>
        <w:spacing w:after="0" w:line="360" w:lineRule="auto"/>
        <w:rPr>
          <w:rFonts w:eastAsia="Times New Roman" w:cs="Tahoma"/>
          <w:b/>
          <w:bCs/>
          <w:iCs/>
          <w:color w:val="auto"/>
          <w:lang w:val="es-ES" w:eastAsia="es-ES"/>
        </w:rPr>
      </w:pPr>
      <w:r w:rsidRPr="00F01DEE">
        <w:rPr>
          <w:rFonts w:eastAsia="Times New Roman" w:cs="Tahoma"/>
          <w:bCs/>
          <w:iCs/>
          <w:color w:val="auto"/>
          <w:lang w:val="es-ES" w:eastAsia="es-ES"/>
        </w:rPr>
        <w:lastRenderedPageBreak/>
        <w:t xml:space="preserve">Además, los Manuales para la Formulación del Anteproyecto de Presupuesto de Egresos del Gobierno del Estado de México, para los ejercicios fiscales dos mil veinte y dos mil veintiuno, establecen, que el capítulo </w:t>
      </w:r>
      <w:r w:rsidRPr="00F01DEE">
        <w:rPr>
          <w:rFonts w:eastAsia="Times New Roman" w:cs="Tahoma"/>
          <w:b/>
          <w:bCs/>
          <w:iCs/>
          <w:color w:val="auto"/>
          <w:lang w:val="es-ES" w:eastAsia="es-ES"/>
        </w:rPr>
        <w:t>1000 Servicios Personales</w:t>
      </w:r>
      <w:r w:rsidRPr="00F01DEE">
        <w:rPr>
          <w:rFonts w:eastAsia="Times New Roman" w:cs="Tahoma"/>
          <w:bCs/>
          <w:iCs/>
          <w:color w:val="auto"/>
          <w:lang w:val="es-ES" w:eastAsia="es-ES"/>
        </w:rPr>
        <w:t>,</w:t>
      </w:r>
      <w:r w:rsidRPr="00F01DEE">
        <w:rPr>
          <w:rFonts w:eastAsia="Times New Roman" w:cs="Tahoma"/>
          <w:b/>
          <w:bCs/>
          <w:iCs/>
          <w:color w:val="auto"/>
          <w:lang w:val="es-ES" w:eastAsia="es-ES"/>
        </w:rPr>
        <w:t xml:space="preserve"> agrupa las</w:t>
      </w:r>
      <w:r w:rsidRPr="00F01DEE">
        <w:rPr>
          <w:rFonts w:eastAsia="Times New Roman" w:cs="Tahoma"/>
          <w:b/>
          <w:bCs/>
          <w:iCs/>
          <w:color w:val="auto"/>
          <w:lang w:eastAsia="es-ES"/>
        </w:rPr>
        <w:t xml:space="preserve"> remuneraciones al personal que está al servicio del Estado, así como las cuotas y aportaciones a favor de las instituciones de seguridad social, derivadas de los servicios que esas instituciones prestan al personal.</w:t>
      </w:r>
    </w:p>
    <w:p w:rsidRPr="00F01DEE" w:rsidR="006920D1" w:rsidP="006920D1" w:rsidRDefault="006920D1" w14:paraId="3F491014" w14:textId="77777777">
      <w:pPr>
        <w:spacing w:after="0" w:line="360" w:lineRule="auto"/>
        <w:rPr>
          <w:rFonts w:eastAsia="Times New Roman" w:cs="Tahoma"/>
          <w:bCs/>
          <w:iCs/>
          <w:color w:val="auto"/>
          <w:lang w:eastAsia="es-ES"/>
        </w:rPr>
      </w:pPr>
    </w:p>
    <w:p w:rsidRPr="00F01DEE" w:rsidR="006920D1" w:rsidP="006920D1" w:rsidRDefault="006920D1" w14:paraId="70FAA668" w14:textId="77777777">
      <w:pPr>
        <w:spacing w:after="0" w:line="360" w:lineRule="auto"/>
        <w:rPr>
          <w:rFonts w:eastAsia="Times New Roman" w:cs="Tahoma"/>
          <w:bCs/>
          <w:iCs/>
          <w:color w:val="auto"/>
          <w:lang w:eastAsia="es-ES"/>
        </w:rPr>
      </w:pPr>
      <w:r w:rsidRPr="00F01DEE">
        <w:rPr>
          <w:rFonts w:eastAsia="Times New Roman" w:cs="Tahoma"/>
          <w:bCs/>
          <w:iCs/>
          <w:color w:val="auto"/>
          <w:lang w:eastAsia="es-E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F01DEE">
        <w:rPr>
          <w:rFonts w:eastAsia="Times New Roman" w:cs="Tahoma"/>
          <w:b/>
          <w:bCs/>
          <w:iCs/>
          <w:color w:val="auto"/>
          <w:lang w:eastAsia="es-ES"/>
        </w:rPr>
        <w:t>recibos de pago de salarios o las</w:t>
      </w:r>
      <w:r w:rsidRPr="00F01DEE">
        <w:rPr>
          <w:rFonts w:eastAsia="Times New Roman" w:cs="Tahoma"/>
          <w:bCs/>
          <w:iCs/>
          <w:color w:val="auto"/>
          <w:lang w:eastAsia="es-ES"/>
        </w:rPr>
        <w:t xml:space="preserve"> </w:t>
      </w:r>
      <w:r w:rsidRPr="00F01DEE">
        <w:rPr>
          <w:rFonts w:eastAsia="Times New Roman" w:cs="Tahoma"/>
          <w:b/>
          <w:bCs/>
          <w:iCs/>
          <w:color w:val="auto"/>
          <w:lang w:eastAsia="es-ES"/>
        </w:rPr>
        <w:t xml:space="preserve">constancias documentales del pago de sueldos, </w:t>
      </w:r>
      <w:r w:rsidRPr="00F01DEE">
        <w:rPr>
          <w:rFonts w:eastAsia="Times New Roman" w:cs="Tahoma"/>
          <w:bCs/>
          <w:i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F01DEE" w:rsidR="006920D1" w:rsidP="006920D1" w:rsidRDefault="006920D1" w14:paraId="5ACEC723" w14:textId="77777777">
      <w:pPr>
        <w:spacing w:after="0" w:line="360" w:lineRule="auto"/>
        <w:rPr>
          <w:rFonts w:eastAsia="Times New Roman" w:cs="Tahoma"/>
          <w:bCs/>
          <w:iCs/>
          <w:color w:val="auto"/>
          <w:lang w:eastAsia="es-ES"/>
        </w:rPr>
      </w:pPr>
    </w:p>
    <w:p w:rsidRPr="00F01DEE" w:rsidR="006920D1" w:rsidP="006920D1" w:rsidRDefault="006920D1" w14:paraId="49BA5E29" w14:textId="77777777">
      <w:pPr>
        <w:spacing w:after="0" w:line="360" w:lineRule="auto"/>
        <w:rPr>
          <w:rFonts w:eastAsia="Times New Roman" w:cs="Tahoma"/>
          <w:bCs/>
          <w:iCs/>
          <w:color w:val="auto"/>
          <w:lang w:eastAsia="es-ES"/>
        </w:rPr>
      </w:pPr>
      <w:r w:rsidRPr="00F01DEE">
        <w:rPr>
          <w:rFonts w:eastAsia="Times New Roman" w:cs="Tahoma"/>
          <w:bCs/>
          <w:iCs/>
          <w:color w:val="auto"/>
          <w:lang w:eastAsia="es-E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F01DEE" w:rsidR="006920D1" w:rsidP="006920D1" w:rsidRDefault="006920D1" w14:paraId="0DBB1993" w14:textId="77777777">
      <w:pPr>
        <w:spacing w:after="0" w:line="360" w:lineRule="auto"/>
        <w:rPr>
          <w:rFonts w:eastAsia="Times New Roman" w:cs="Tahoma"/>
          <w:bCs/>
          <w:iCs/>
          <w:color w:val="auto"/>
          <w:lang w:eastAsia="es-ES"/>
        </w:rPr>
      </w:pPr>
    </w:p>
    <w:p w:rsidRPr="00F01DEE" w:rsidR="006920D1" w:rsidP="006920D1" w:rsidRDefault="006920D1" w14:paraId="5DD0C53D" w14:textId="77777777">
      <w:pPr>
        <w:spacing w:after="0" w:line="360" w:lineRule="auto"/>
        <w:ind w:left="567" w:right="567"/>
        <w:rPr>
          <w:rFonts w:eastAsia="Times New Roman" w:cs="Tahoma"/>
          <w:bCs/>
          <w:i/>
          <w:iCs/>
          <w:color w:val="auto"/>
          <w:sz w:val="20"/>
          <w:szCs w:val="20"/>
          <w:lang w:val="es-ES" w:eastAsia="es-ES"/>
        </w:rPr>
      </w:pPr>
      <w:r w:rsidRPr="00F01DEE">
        <w:rPr>
          <w:rFonts w:eastAsia="Times New Roman" w:cs="Tahoma"/>
          <w:b/>
          <w:bCs/>
          <w:i/>
          <w:iCs/>
          <w:color w:val="auto"/>
          <w:sz w:val="20"/>
          <w:szCs w:val="20"/>
          <w:lang w:val="es-ES" w:eastAsia="es-ES"/>
        </w:rPr>
        <w:t>“RECIBOS DE PAGO</w:t>
      </w:r>
      <w:r w:rsidRPr="00F01DEE">
        <w:rPr>
          <w:rFonts w:eastAsia="Times New Roman" w:cs="Tahoma"/>
          <w:bCs/>
          <w:i/>
          <w:iCs/>
          <w:color w:val="auto"/>
          <w:sz w:val="20"/>
          <w:szCs w:val="20"/>
          <w:lang w:val="es-ES" w:eastAsia="es-ES"/>
        </w:rPr>
        <w:t xml:space="preserve"> </w:t>
      </w:r>
      <w:r w:rsidRPr="00F01DEE">
        <w:rPr>
          <w:rFonts w:eastAsia="Times New Roman" w:cs="Tahoma"/>
          <w:b/>
          <w:bCs/>
          <w:i/>
          <w:iCs/>
          <w:color w:val="auto"/>
          <w:sz w:val="20"/>
          <w:szCs w:val="20"/>
          <w:lang w:val="es-ES" w:eastAsia="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01DEE">
        <w:rPr>
          <w:rFonts w:eastAsia="Times New Roman" w:cs="Tahoma"/>
          <w:bCs/>
          <w:i/>
          <w:iCs/>
          <w:color w:val="auto"/>
          <w:sz w:val="20"/>
          <w:szCs w:val="20"/>
          <w:lang w:val="es-ES" w:eastAsia="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w:t>
      </w:r>
      <w:r w:rsidRPr="00F01DEE">
        <w:rPr>
          <w:rFonts w:eastAsia="Times New Roman" w:cs="Tahoma"/>
          <w:bCs/>
          <w:i/>
          <w:iCs/>
          <w:color w:val="auto"/>
          <w:sz w:val="20"/>
          <w:szCs w:val="20"/>
          <w:lang w:val="es-ES" w:eastAsia="es-ES"/>
        </w:rPr>
        <w:lastRenderedPageBreak/>
        <w:t>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F01DEE" w:rsidR="006920D1" w:rsidP="006920D1" w:rsidRDefault="006920D1" w14:paraId="2D2B8EC7" w14:textId="77777777">
      <w:pPr>
        <w:spacing w:after="0" w:line="360" w:lineRule="auto"/>
        <w:rPr>
          <w:rFonts w:eastAsia="Times New Roman" w:cs="Tahoma"/>
          <w:b/>
          <w:bCs/>
          <w:i/>
          <w:iCs/>
          <w:color w:val="auto"/>
          <w:lang w:val="es-ES" w:eastAsia="es-ES"/>
        </w:rPr>
      </w:pPr>
    </w:p>
    <w:p w:rsidRPr="00F01DEE" w:rsidR="006920D1" w:rsidP="006920D1" w:rsidRDefault="006920D1" w14:paraId="7B11250E" w14:textId="77777777">
      <w:pPr>
        <w:spacing w:after="0" w:line="360" w:lineRule="auto"/>
        <w:rPr>
          <w:rFonts w:eastAsia="Times New Roman" w:cs="Tahoma"/>
          <w:bCs/>
          <w:iCs/>
          <w:color w:val="auto"/>
          <w:lang w:val="es-ES" w:eastAsia="es-ES"/>
        </w:rPr>
      </w:pPr>
      <w:r w:rsidRPr="00F01DEE">
        <w:rPr>
          <w:rFonts w:eastAsia="Times New Roman" w:cs="Tahoma"/>
          <w:bCs/>
          <w:iCs/>
          <w:color w:val="auto"/>
          <w:lang w:val="es-ES" w:eastAsia="es-ES"/>
        </w:rPr>
        <w:t xml:space="preserve">De la tesis transcrita, se desprende que </w:t>
      </w:r>
      <w:r w:rsidRPr="00F01DEE">
        <w:rPr>
          <w:rFonts w:eastAsia="Times New Roman" w:cs="Tahoma"/>
          <w:b/>
          <w:bCs/>
          <w:iCs/>
          <w:color w:val="auto"/>
          <w:lang w:val="es-ES" w:eastAsia="es-ES"/>
        </w:rPr>
        <w:t>en materia burocrática</w:t>
      </w:r>
      <w:r w:rsidRPr="00F01DEE">
        <w:rPr>
          <w:rFonts w:eastAsia="Times New Roman" w:cs="Tahoma"/>
          <w:bCs/>
          <w:iCs/>
          <w:color w:val="auto"/>
          <w:lang w:val="es-ES" w:eastAsia="es-ES"/>
        </w:rPr>
        <w:t xml:space="preserve"> </w:t>
      </w:r>
      <w:r w:rsidRPr="00F01DEE">
        <w:rPr>
          <w:rFonts w:eastAsia="Times New Roman" w:cs="Tahoma"/>
          <w:b/>
          <w:bCs/>
          <w:iCs/>
          <w:color w:val="auto"/>
          <w:lang w:val="es-ES" w:eastAsia="es-ES"/>
        </w:rPr>
        <w:t>los recibos de pago acreditan los conceptos y montos que en ellos se insertan</w:t>
      </w:r>
      <w:r w:rsidRPr="00F01DEE">
        <w:rPr>
          <w:rFonts w:eastAsia="Times New Roman" w:cs="Tahoma"/>
          <w:bCs/>
          <w:iCs/>
          <w:color w:val="auto"/>
          <w:lang w:val="es-ES" w:eastAsia="es-ES"/>
        </w:rPr>
        <w:t xml:space="preserve">, y constituyen prueba para demostrar las percepciones y montos que reciben los servidores públicos. </w:t>
      </w:r>
    </w:p>
    <w:p w:rsidR="006920D1" w:rsidP="006920D1" w:rsidRDefault="006920D1" w14:paraId="5BC79633" w14:textId="77777777">
      <w:pPr>
        <w:spacing w:after="0" w:line="360" w:lineRule="auto"/>
        <w:rPr>
          <w:rFonts w:eastAsia="Times New Roman" w:cs="Tahoma"/>
          <w:iCs/>
          <w:color w:val="auto"/>
          <w:lang w:val="es-ES" w:eastAsia="es-ES"/>
        </w:rPr>
      </w:pPr>
    </w:p>
    <w:p w:rsidRPr="006920D1" w:rsidR="006920D1" w:rsidP="006920D1" w:rsidRDefault="006920D1" w14:paraId="02BF54DB" w14:textId="77777777">
      <w:pPr>
        <w:spacing w:after="0" w:line="360" w:lineRule="auto"/>
        <w:rPr>
          <w:rFonts w:eastAsia="Calibri" w:cs="Times New Roman"/>
          <w:bCs/>
          <w:lang w:val="es-ES_tradnl"/>
        </w:rPr>
      </w:pPr>
      <w:r w:rsidRPr="006920D1">
        <w:rPr>
          <w:rFonts w:eastAsia="Calibri" w:cs="Times New Roman"/>
          <w:bCs/>
        </w:rPr>
        <w:t>En ese orden de ideas, Lineamientos para la Integración y Entrega del Informe Trimestral Municipal, dos mil veintidós, emitidos por el Órgano Superior de Fiscalización del Estado de México</w:t>
      </w:r>
      <w:r w:rsidRPr="006920D1">
        <w:rPr>
          <w:rFonts w:eastAsia="Calibri" w:cs="Times New Roman"/>
          <w:bCs/>
          <w:lang w:val="es-ES_tradnl"/>
        </w:rPr>
        <w:t>,</w:t>
      </w:r>
      <w:r w:rsidRPr="006920D1">
        <w:rPr>
          <w:rFonts w:eastAsia="Calibri" w:cs="Times New Roman"/>
          <w:bCs/>
        </w:rPr>
        <w:t xml:space="preserve"> entre los formatos que maneja en el </w:t>
      </w:r>
      <w:r w:rsidRPr="006920D1">
        <w:rPr>
          <w:rFonts w:eastAsia="Calibri" w:cs="Times New Roman"/>
          <w:b/>
          <w:bCs/>
        </w:rPr>
        <w:t>Módulo 4</w:t>
      </w:r>
      <w:r w:rsidRPr="006920D1">
        <w:rPr>
          <w:rFonts w:eastAsia="Calibri" w:cs="Times New Roman"/>
          <w:bCs/>
        </w:rPr>
        <w:t xml:space="preserve">, se advierte que se encuentran los </w:t>
      </w:r>
      <w:r w:rsidRPr="006920D1">
        <w:rPr>
          <w:rFonts w:eastAsia="Calibri" w:cs="Times New Roman"/>
          <w:b/>
          <w:bCs/>
          <w:lang w:val="es-ES_tradnl"/>
        </w:rPr>
        <w:t>Comprobantes Fiscales Digitales por Internet por concepto de nómina</w:t>
      </w:r>
      <w:r w:rsidRPr="006920D1">
        <w:rPr>
          <w:rFonts w:eastAsia="Calibri" w:cs="Times New Roman"/>
          <w:bCs/>
        </w:rPr>
        <w:t>, mismos que serán entregados al Órgano Fiscalizador.</w:t>
      </w:r>
    </w:p>
    <w:p w:rsidRPr="004B2D7C" w:rsidR="006920D1" w:rsidP="006920D1" w:rsidRDefault="006920D1" w14:paraId="53904755" w14:textId="77777777">
      <w:pPr>
        <w:spacing w:after="0" w:line="360" w:lineRule="auto"/>
        <w:rPr>
          <w:rFonts w:eastAsia="Times New Roman" w:cs="Tahoma"/>
          <w:iCs/>
          <w:color w:val="auto"/>
          <w:lang w:val="es-ES" w:eastAsia="es-ES"/>
        </w:rPr>
      </w:pPr>
    </w:p>
    <w:p w:rsidRPr="00E2647B" w:rsidR="006920D1" w:rsidP="006920D1" w:rsidRDefault="006920D1" w14:paraId="610D6311" w14:textId="607E05C2">
      <w:pPr>
        <w:spacing w:after="0" w:line="360" w:lineRule="auto"/>
        <w:rPr>
          <w:rFonts w:eastAsia="Times New Roman" w:cs="Tahoma"/>
          <w:iCs/>
          <w:color w:val="auto"/>
          <w:lang w:val="es-ES" w:eastAsia="es-ES"/>
        </w:rPr>
      </w:pPr>
      <w:r w:rsidRPr="004B2D7C">
        <w:rPr>
          <w:rFonts w:eastAsia="Times New Roman" w:cs="Tahoma"/>
          <w:iCs/>
          <w:color w:val="auto"/>
          <w:lang w:val="es-ES" w:eastAsia="es-ES"/>
        </w:rPr>
        <w:t xml:space="preserve">Conforme a lo anterior, se logra </w:t>
      </w:r>
      <w:r>
        <w:rPr>
          <w:rFonts w:eastAsia="Times New Roman" w:cs="Tahoma"/>
          <w:iCs/>
          <w:color w:val="auto"/>
          <w:lang w:val="es-ES" w:eastAsia="es-ES"/>
        </w:rPr>
        <w:t>advertir</w:t>
      </w:r>
      <w:r w:rsidRPr="004B2D7C">
        <w:rPr>
          <w:rFonts w:eastAsia="Times New Roman" w:cs="Tahoma"/>
          <w:iCs/>
          <w:color w:val="auto"/>
          <w:lang w:val="es-ES" w:eastAsia="es-ES"/>
        </w:rPr>
        <w:t xml:space="preserve"> que la pretensión del hoy Recurrente es obtener </w:t>
      </w:r>
      <w:r>
        <w:rPr>
          <w:rFonts w:eastAsia="Times New Roman" w:cs="Tahoma"/>
          <w:iCs/>
          <w:color w:val="auto"/>
          <w:lang w:val="es-ES" w:eastAsia="es-ES"/>
        </w:rPr>
        <w:t xml:space="preserve">el recibo de nómina de la segunda quincena de febrero de dos mil veintidós, de </w:t>
      </w:r>
      <w:r>
        <w:rPr>
          <w:rFonts w:eastAsia="Times New Roman" w:cs="Tahoma"/>
          <w:bCs/>
          <w:iCs/>
          <w:lang w:eastAsia="es-ES"/>
        </w:rPr>
        <w:t>Eduardo Arciniega Jardón.</w:t>
      </w:r>
      <w:r w:rsidRPr="004B2D7C">
        <w:rPr>
          <w:rFonts w:eastAsia="Times New Roman" w:cs="Tahoma"/>
          <w:iCs/>
          <w:color w:val="auto"/>
          <w:lang w:val="es-ES" w:eastAsia="es-ES"/>
        </w:rPr>
        <w:t xml:space="preserve"> </w:t>
      </w:r>
    </w:p>
    <w:p w:rsidR="006920D1" w:rsidP="006920D1" w:rsidRDefault="006920D1" w14:paraId="599E5F30" w14:textId="77777777">
      <w:pPr>
        <w:spacing w:after="0" w:line="360" w:lineRule="auto"/>
        <w:rPr>
          <w:rFonts w:eastAsia="Times New Roman" w:cs="Tahoma"/>
          <w:iCs/>
          <w:color w:val="auto"/>
          <w:lang w:val="es-ES" w:eastAsia="es-ES"/>
        </w:rPr>
      </w:pPr>
    </w:p>
    <w:p w:rsidR="006920D1" w:rsidP="006920D1" w:rsidRDefault="006920D1" w14:paraId="2BB69060" w14:textId="56BAA3DC">
      <w:pPr>
        <w:spacing w:after="0" w:line="360" w:lineRule="auto"/>
        <w:rPr>
          <w:rFonts w:eastAsia="Times New Roman" w:cs="Tahoma"/>
          <w:iCs/>
          <w:color w:val="auto"/>
          <w:lang w:val="es-ES" w:eastAsia="es-ES"/>
        </w:rPr>
      </w:pPr>
      <w:r>
        <w:rPr>
          <w:rFonts w:eastAsia="Times New Roman" w:cs="Tahoma"/>
          <w:iCs/>
          <w:color w:val="auto"/>
          <w:lang w:val="es-ES" w:eastAsia="es-ES"/>
        </w:rPr>
        <w:t xml:space="preserve">Ahora bien, la </w:t>
      </w:r>
      <w:r w:rsidR="00CC6359">
        <w:rPr>
          <w:rFonts w:eastAsia="Times New Roman" w:cs="Tahoma"/>
          <w:iCs/>
          <w:color w:val="auto"/>
          <w:lang w:val="es-ES" w:eastAsia="es-ES"/>
        </w:rPr>
        <w:t>Coordinación de Recursos Humanos</w:t>
      </w:r>
      <w:r>
        <w:rPr>
          <w:rFonts w:eastAsia="Times New Roman" w:cs="Tahoma"/>
          <w:iCs/>
          <w:color w:val="auto"/>
          <w:lang w:val="es-ES" w:eastAsia="es-ES"/>
        </w:rPr>
        <w:t xml:space="preserve"> proporcionó </w:t>
      </w:r>
      <w:r w:rsidR="00CC6359">
        <w:rPr>
          <w:rFonts w:eastAsia="Times New Roman" w:cs="Tahoma"/>
          <w:iCs/>
          <w:color w:val="auto"/>
          <w:lang w:val="es-ES" w:eastAsia="es-ES"/>
        </w:rPr>
        <w:t>el recibo de pago solicitado, tal como se muestra a continuación:</w:t>
      </w:r>
    </w:p>
    <w:p w:rsidR="00CC6359" w:rsidP="006920D1" w:rsidRDefault="00CC6359" w14:paraId="512D06F6" w14:textId="4770F59E">
      <w:pPr>
        <w:spacing w:after="0" w:line="360" w:lineRule="auto"/>
        <w:rPr>
          <w:rFonts w:eastAsia="Times New Roman" w:cs="Tahoma"/>
          <w:iCs/>
          <w:color w:val="auto"/>
          <w:lang w:val="es-ES" w:eastAsia="es-ES"/>
        </w:rPr>
      </w:pPr>
    </w:p>
    <w:p w:rsidRPr="007158FA" w:rsidR="00CC6359" w:rsidP="006920D1" w:rsidRDefault="00CC6359" w14:paraId="538B779A" w14:textId="0F55388F">
      <w:pPr>
        <w:spacing w:after="0" w:line="360" w:lineRule="auto"/>
        <w:rPr>
          <w:rFonts w:eastAsia="Times New Roman" w:cs="Tahoma"/>
          <w:iCs/>
          <w:color w:val="auto"/>
          <w:lang w:val="es-ES" w:eastAsia="es-ES"/>
        </w:rPr>
      </w:pPr>
      <w:r>
        <w:rPr>
          <w:noProof/>
        </w:rPr>
        <w:drawing>
          <wp:inline distT="0" distB="0" distL="0" distR="0" wp14:anchorId="5367838A" wp14:editId="4CE2192C">
            <wp:extent cx="5229860" cy="126365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03" t="23166"/>
                    <a:stretch/>
                  </pic:blipFill>
                  <pic:spPr bwMode="auto">
                    <a:xfrm>
                      <a:off x="0" y="0"/>
                      <a:ext cx="5229860" cy="1263650"/>
                    </a:xfrm>
                    <a:prstGeom prst="rect">
                      <a:avLst/>
                    </a:prstGeom>
                    <a:ln>
                      <a:noFill/>
                    </a:ln>
                    <a:extLst>
                      <a:ext uri="{53640926-AAD7-44D8-BBD7-CCE9431645EC}">
                        <a14:shadowObscured xmlns:a14="http://schemas.microsoft.com/office/drawing/2010/main"/>
                      </a:ext>
                    </a:extLst>
                  </pic:spPr>
                </pic:pic>
              </a:graphicData>
            </a:graphic>
          </wp:inline>
        </w:drawing>
      </w:r>
    </w:p>
    <w:p w:rsidR="00565C58" w:rsidP="00E27F64" w:rsidRDefault="00CC6359" w14:paraId="5282B9AE" w14:textId="3CE2B098">
      <w:pPr>
        <w:spacing w:after="0" w:line="360" w:lineRule="auto"/>
        <w:rPr>
          <w:rFonts w:eastAsia="Batang" w:cs="Tahoma"/>
          <w:bCs/>
          <w:iCs/>
          <w:color w:val="auto"/>
          <w:lang w:eastAsia="es-ES"/>
        </w:rPr>
      </w:pPr>
      <w:r>
        <w:rPr>
          <w:rFonts w:eastAsia="Batang" w:cs="Tahoma"/>
          <w:bCs/>
          <w:iCs/>
          <w:color w:val="auto"/>
          <w:lang w:eastAsia="es-ES"/>
        </w:rPr>
        <w:lastRenderedPageBreak/>
        <w:t>Como se logra observar, el Sujeto Obligado proporcionó el documento que da cuenta de lo solicitado, tal y como obraba en sus archivos, con lo cual da cumplimiento a los artículos 12 y 160 de la Ley de la materia; sin embargo, lo entregó en versión pública, en donde clasificó lo siguientes datos:</w:t>
      </w:r>
    </w:p>
    <w:p w:rsidR="00CC6359" w:rsidP="00E27F64" w:rsidRDefault="00CC6359" w14:paraId="5F9D9374" w14:textId="3B2EB9FC">
      <w:pPr>
        <w:spacing w:after="0" w:line="360" w:lineRule="auto"/>
        <w:rPr>
          <w:rFonts w:eastAsia="Batang" w:cs="Tahoma"/>
          <w:bCs/>
          <w:iCs/>
          <w:color w:val="auto"/>
          <w:lang w:eastAsia="es-ES"/>
        </w:rPr>
      </w:pPr>
    </w:p>
    <w:p w:rsidR="00CC6359" w:rsidP="00CC6359" w:rsidRDefault="00CC6359" w14:paraId="1B8A1B4F" w14:textId="77777777">
      <w:pPr>
        <w:pStyle w:val="Prrafodelista"/>
        <w:numPr>
          <w:ilvl w:val="0"/>
          <w:numId w:val="25"/>
        </w:numPr>
        <w:spacing w:line="360" w:lineRule="auto"/>
        <w:rPr>
          <w:rFonts w:cs="Tahoma"/>
          <w:szCs w:val="22"/>
          <w:lang w:val="es-ES"/>
        </w:rPr>
      </w:pPr>
      <w:r>
        <w:rPr>
          <w:rFonts w:cs="Tahoma"/>
          <w:szCs w:val="22"/>
          <w:lang w:val="es-ES"/>
        </w:rPr>
        <w:t>Registro Federal de Contribuyentes (RFC);</w:t>
      </w:r>
    </w:p>
    <w:p w:rsidR="00CC6359" w:rsidP="00CC6359" w:rsidRDefault="00CC6359" w14:paraId="1C465FFF" w14:textId="77777777">
      <w:pPr>
        <w:pStyle w:val="Prrafodelista"/>
        <w:numPr>
          <w:ilvl w:val="0"/>
          <w:numId w:val="25"/>
        </w:numPr>
        <w:spacing w:line="360" w:lineRule="auto"/>
        <w:rPr>
          <w:rFonts w:cs="Tahoma"/>
          <w:szCs w:val="22"/>
          <w:lang w:val="es-ES"/>
        </w:rPr>
      </w:pPr>
      <w:r>
        <w:rPr>
          <w:rFonts w:cs="Tahoma"/>
          <w:szCs w:val="22"/>
          <w:lang w:val="es-ES"/>
        </w:rPr>
        <w:t>Clave Única de Registro de Población (CURP);</w:t>
      </w:r>
    </w:p>
    <w:p w:rsidR="00CC6359" w:rsidP="00CC6359" w:rsidRDefault="00CC6359" w14:paraId="52DD7940" w14:textId="77777777">
      <w:pPr>
        <w:pStyle w:val="Prrafodelista"/>
        <w:numPr>
          <w:ilvl w:val="0"/>
          <w:numId w:val="25"/>
        </w:numPr>
        <w:spacing w:line="360" w:lineRule="auto"/>
        <w:rPr>
          <w:rFonts w:cs="Tahoma"/>
          <w:szCs w:val="22"/>
          <w:lang w:val="es-ES"/>
        </w:rPr>
      </w:pPr>
      <w:r>
        <w:rPr>
          <w:rFonts w:cs="Tahoma"/>
          <w:szCs w:val="22"/>
          <w:lang w:val="es-ES"/>
        </w:rPr>
        <w:t>Número de seguridad social del Instituto de Seguridad Social del Estado de México y Municipios;</w:t>
      </w:r>
    </w:p>
    <w:p w:rsidR="00CC6359" w:rsidP="00CC6359" w:rsidRDefault="00CC6359" w14:paraId="15816E42" w14:textId="77777777">
      <w:pPr>
        <w:pStyle w:val="Prrafodelista"/>
        <w:numPr>
          <w:ilvl w:val="0"/>
          <w:numId w:val="25"/>
        </w:numPr>
        <w:spacing w:line="360" w:lineRule="auto"/>
        <w:rPr>
          <w:rFonts w:cs="Tahoma"/>
          <w:szCs w:val="22"/>
          <w:lang w:val="es-ES"/>
        </w:rPr>
      </w:pPr>
      <w:r>
        <w:rPr>
          <w:rFonts w:cs="Tahoma"/>
          <w:szCs w:val="22"/>
          <w:lang w:val="es-ES"/>
        </w:rPr>
        <w:t>Sellos digitales del emisor y del Servicio de Administración Tributaria;</w:t>
      </w:r>
    </w:p>
    <w:p w:rsidR="00CC6359" w:rsidP="00CC6359" w:rsidRDefault="00CC6359" w14:paraId="216FA3EF" w14:textId="77777777">
      <w:pPr>
        <w:pStyle w:val="Prrafodelista"/>
        <w:numPr>
          <w:ilvl w:val="0"/>
          <w:numId w:val="25"/>
        </w:numPr>
        <w:spacing w:line="360" w:lineRule="auto"/>
        <w:rPr>
          <w:rFonts w:cs="Tahoma"/>
          <w:szCs w:val="22"/>
          <w:lang w:val="es-ES"/>
        </w:rPr>
      </w:pPr>
      <w:r>
        <w:rPr>
          <w:rFonts w:cs="Tahoma"/>
          <w:szCs w:val="22"/>
          <w:lang w:val="es-ES"/>
        </w:rPr>
        <w:t>Cadena original del complemento de certificación digital del órgano previamente señalado;</w:t>
      </w:r>
    </w:p>
    <w:p w:rsidR="00CC6359" w:rsidP="00CC6359" w:rsidRDefault="00CC6359" w14:paraId="52F0C604" w14:textId="77777777">
      <w:pPr>
        <w:pStyle w:val="Prrafodelista"/>
        <w:numPr>
          <w:ilvl w:val="0"/>
          <w:numId w:val="25"/>
        </w:numPr>
        <w:spacing w:line="360" w:lineRule="auto"/>
        <w:rPr>
          <w:rFonts w:cs="Tahoma"/>
          <w:szCs w:val="22"/>
          <w:lang w:val="es-ES"/>
        </w:rPr>
      </w:pPr>
      <w:r>
        <w:rPr>
          <w:rFonts w:cs="Tahoma"/>
          <w:szCs w:val="22"/>
          <w:lang w:val="es-ES"/>
        </w:rPr>
        <w:t xml:space="preserve">Números de serie de los certificados de sellos digitales; </w:t>
      </w:r>
    </w:p>
    <w:p w:rsidR="00CC6359" w:rsidP="00CC6359" w:rsidRDefault="00CC6359" w14:paraId="79E95826" w14:textId="77777777">
      <w:pPr>
        <w:pStyle w:val="Prrafodelista"/>
        <w:numPr>
          <w:ilvl w:val="0"/>
          <w:numId w:val="25"/>
        </w:numPr>
        <w:spacing w:line="360" w:lineRule="auto"/>
        <w:rPr>
          <w:rFonts w:cs="Tahoma"/>
          <w:szCs w:val="22"/>
          <w:lang w:val="es-ES"/>
        </w:rPr>
      </w:pPr>
      <w:r>
        <w:rPr>
          <w:rFonts w:cs="Tahoma"/>
          <w:szCs w:val="22"/>
          <w:lang w:val="es-ES"/>
        </w:rPr>
        <w:t>Folio fiscal;</w:t>
      </w:r>
    </w:p>
    <w:p w:rsidR="00CC6359" w:rsidP="00CC6359" w:rsidRDefault="00CC6359" w14:paraId="3C3B46E9" w14:textId="77777777">
      <w:pPr>
        <w:pStyle w:val="Prrafodelista"/>
        <w:numPr>
          <w:ilvl w:val="0"/>
          <w:numId w:val="25"/>
        </w:numPr>
        <w:spacing w:line="360" w:lineRule="auto"/>
        <w:rPr>
          <w:rFonts w:cs="Tahoma"/>
          <w:szCs w:val="22"/>
          <w:lang w:val="es-ES"/>
        </w:rPr>
      </w:pPr>
      <w:r>
        <w:rPr>
          <w:rFonts w:cs="Tahoma"/>
          <w:szCs w:val="22"/>
          <w:lang w:val="es-ES"/>
        </w:rPr>
        <w:t>Código Bidimensional o QR;</w:t>
      </w:r>
    </w:p>
    <w:p w:rsidR="00CC6359" w:rsidP="00CC6359" w:rsidRDefault="00CC6359" w14:paraId="491C38DA" w14:textId="77777777">
      <w:pPr>
        <w:pStyle w:val="Prrafodelista"/>
        <w:numPr>
          <w:ilvl w:val="0"/>
          <w:numId w:val="25"/>
        </w:numPr>
        <w:spacing w:line="360" w:lineRule="auto"/>
        <w:rPr>
          <w:rFonts w:cs="Tahoma"/>
          <w:szCs w:val="22"/>
          <w:lang w:val="es-ES"/>
        </w:rPr>
      </w:pPr>
      <w:r>
        <w:rPr>
          <w:rFonts w:cs="Tahoma"/>
          <w:szCs w:val="22"/>
          <w:lang w:val="es-ES"/>
        </w:rPr>
        <w:t>Deducciones por Ley, y</w:t>
      </w:r>
    </w:p>
    <w:p w:rsidR="00CC6359" w:rsidP="00CC6359" w:rsidRDefault="00CC6359" w14:paraId="5ABDE5BA" w14:textId="77777777">
      <w:pPr>
        <w:pStyle w:val="Prrafodelista"/>
        <w:numPr>
          <w:ilvl w:val="0"/>
          <w:numId w:val="25"/>
        </w:numPr>
        <w:spacing w:line="360" w:lineRule="auto"/>
        <w:rPr>
          <w:rFonts w:cs="Tahoma"/>
          <w:szCs w:val="22"/>
          <w:lang w:val="es-ES"/>
        </w:rPr>
      </w:pPr>
      <w:r>
        <w:rPr>
          <w:rFonts w:cs="Tahoma"/>
          <w:szCs w:val="22"/>
          <w:lang w:val="es-ES"/>
        </w:rPr>
        <w:t>Deducciones personales.</w:t>
      </w:r>
    </w:p>
    <w:p w:rsidR="00CC6359" w:rsidP="00E27F64" w:rsidRDefault="00CC6359" w14:paraId="0AA1C128" w14:textId="77777777">
      <w:pPr>
        <w:spacing w:after="0" w:line="360" w:lineRule="auto"/>
        <w:rPr>
          <w:rFonts w:eastAsia="Batang" w:cs="Tahoma"/>
          <w:bCs/>
          <w:iCs/>
          <w:color w:val="auto"/>
          <w:lang w:eastAsia="es-ES"/>
        </w:rPr>
      </w:pPr>
    </w:p>
    <w:p w:rsidRPr="00CC6359" w:rsidR="00CC6359" w:rsidP="00CC6359" w:rsidRDefault="00CC6359" w14:paraId="295C0094" w14:textId="77777777">
      <w:pPr>
        <w:spacing w:after="0" w:line="360" w:lineRule="auto"/>
        <w:rPr>
          <w:rFonts w:eastAsia="Times New Roman" w:cs="Tahoma"/>
          <w:bCs/>
          <w:iCs/>
          <w:color w:val="auto"/>
          <w:lang w:eastAsia="es-MX"/>
        </w:rPr>
      </w:pPr>
      <w:r w:rsidRPr="00CC6359">
        <w:rPr>
          <w:rFonts w:eastAsia="Times New Roman" w:cs="Tahoma"/>
          <w:bCs/>
          <w:iCs/>
          <w:color w:val="auto"/>
          <w:lang w:val="es-ES" w:eastAsia="es-MX"/>
        </w:rPr>
        <w:t>Al respecto</w:t>
      </w:r>
      <w:r w:rsidRPr="00CC6359">
        <w:rPr>
          <w:rFonts w:eastAsia="Times New Roman" w:cs="Tahoma"/>
          <w:bCs/>
          <w:iCs/>
          <w:color w:val="auto"/>
          <w:lang w:eastAsia="es-MX"/>
        </w:rPr>
        <w:t xml:space="preserve">,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w:t>
      </w:r>
      <w:r w:rsidRPr="00CC6359">
        <w:rPr>
          <w:rFonts w:eastAsia="Times New Roman" w:cs="Tahoma"/>
          <w:bCs/>
          <w:iCs/>
          <w:color w:val="auto"/>
          <w:lang w:eastAsia="es-MX"/>
        </w:rPr>
        <w:lastRenderedPageBreak/>
        <w:t>seguridad nacional, disposiciones de orden público, seguridad y salud públicas o para proteger los derechos de terceros.</w:t>
      </w:r>
    </w:p>
    <w:p w:rsidRPr="00CC6359" w:rsidR="00CC6359" w:rsidP="00CC6359" w:rsidRDefault="00CC6359" w14:paraId="498EEC08" w14:textId="77777777">
      <w:pPr>
        <w:spacing w:after="0" w:line="360" w:lineRule="auto"/>
        <w:rPr>
          <w:rFonts w:eastAsia="Times New Roman" w:cs="Tahoma"/>
          <w:bCs/>
          <w:iCs/>
          <w:color w:val="auto"/>
          <w:lang w:eastAsia="es-MX"/>
        </w:rPr>
      </w:pPr>
    </w:p>
    <w:p w:rsidRPr="00CC6359" w:rsidR="00CC6359" w:rsidP="00CC6359" w:rsidRDefault="00CC6359" w14:paraId="0B01C693"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CC6359" w:rsidR="00CC6359" w:rsidP="00CC6359" w:rsidRDefault="00CC6359" w14:paraId="5E2BBCCF" w14:textId="77777777">
      <w:pPr>
        <w:spacing w:after="0" w:line="360" w:lineRule="auto"/>
        <w:rPr>
          <w:rFonts w:eastAsia="Times New Roman" w:cs="Tahoma"/>
          <w:bCs/>
          <w:iCs/>
          <w:color w:val="auto"/>
          <w:lang w:eastAsia="es-MX"/>
        </w:rPr>
      </w:pPr>
    </w:p>
    <w:p w:rsidRPr="00CC6359" w:rsidR="00CC6359" w:rsidP="00CC6359" w:rsidRDefault="00CC6359" w14:paraId="4EF72F02"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CC6359" w:rsidR="00CC6359" w:rsidP="00CC6359" w:rsidRDefault="00CC6359" w14:paraId="7BD34972" w14:textId="77777777">
      <w:pPr>
        <w:spacing w:after="0" w:line="360" w:lineRule="auto"/>
        <w:rPr>
          <w:rFonts w:eastAsia="Times New Roman" w:cs="Tahoma"/>
          <w:bCs/>
          <w:iCs/>
          <w:color w:val="auto"/>
          <w:lang w:eastAsia="es-MX"/>
        </w:rPr>
      </w:pPr>
    </w:p>
    <w:p w:rsidRPr="00CC6359" w:rsidR="00CC6359" w:rsidP="00CC6359" w:rsidRDefault="00CC6359" w14:paraId="73B5A5ED"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CC6359" w:rsidR="00CC6359" w:rsidP="00CC6359" w:rsidRDefault="00CC6359" w14:paraId="1AAB7DB2" w14:textId="77777777">
      <w:pPr>
        <w:spacing w:after="0" w:line="360" w:lineRule="auto"/>
        <w:rPr>
          <w:rFonts w:eastAsia="Times New Roman" w:cs="Tahoma"/>
          <w:bCs/>
          <w:iCs/>
          <w:color w:val="auto"/>
          <w:lang w:eastAsia="es-MX"/>
        </w:rPr>
      </w:pPr>
    </w:p>
    <w:p w:rsidRPr="00CC6359" w:rsidR="00CC6359" w:rsidP="00CC6359" w:rsidRDefault="00CC6359" w14:paraId="4001CE3C"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CC6359" w:rsidR="00CC6359" w:rsidP="00CC6359" w:rsidRDefault="00CC6359" w14:paraId="2051B2F5" w14:textId="77777777">
      <w:pPr>
        <w:spacing w:after="0" w:line="360" w:lineRule="auto"/>
        <w:rPr>
          <w:rFonts w:eastAsia="Times New Roman" w:cs="Tahoma"/>
          <w:bCs/>
          <w:iCs/>
          <w:color w:val="auto"/>
          <w:lang w:eastAsia="es-MX"/>
        </w:rPr>
      </w:pPr>
    </w:p>
    <w:p w:rsidRPr="00CC6359" w:rsidR="00CC6359" w:rsidP="00CC6359" w:rsidRDefault="00CC6359" w14:paraId="794B2EB4"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w:t>
      </w:r>
      <w:r w:rsidRPr="00CC6359">
        <w:rPr>
          <w:rFonts w:eastAsia="Times New Roman" w:cs="Tahoma"/>
          <w:bCs/>
          <w:iCs/>
          <w:color w:val="auto"/>
          <w:lang w:eastAsia="es-MX"/>
        </w:rPr>
        <w:lastRenderedPageBreak/>
        <w:t>iv) por razones de seguridad nacional y salubridad general o v) para proteger los derechos de terceros o cuando se transmita entre sujetos obligados en términos de los tratados y los acuerdos interinstitucionales.</w:t>
      </w:r>
    </w:p>
    <w:p w:rsidRPr="00CC6359" w:rsidR="00CC6359" w:rsidP="00CC6359" w:rsidRDefault="00CC6359" w14:paraId="544B9717"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rsidRPr="00CC6359" w:rsidR="00CC6359" w:rsidP="00CC6359" w:rsidRDefault="00CC6359" w14:paraId="72F0362D" w14:textId="77777777">
      <w:pPr>
        <w:spacing w:after="0" w:line="360" w:lineRule="auto"/>
        <w:rPr>
          <w:rFonts w:eastAsia="Times New Roman" w:cs="Tahoma"/>
          <w:bCs/>
          <w:iCs/>
          <w:color w:val="auto"/>
          <w:lang w:eastAsia="es-MX"/>
        </w:rPr>
      </w:pPr>
    </w:p>
    <w:p w:rsidRPr="00CC6359" w:rsidR="00CC6359" w:rsidP="00CC6359" w:rsidRDefault="00CC6359" w14:paraId="045B60FA" w14:textId="77777777">
      <w:pPr>
        <w:numPr>
          <w:ilvl w:val="0"/>
          <w:numId w:val="26"/>
        </w:numPr>
        <w:spacing w:after="0" w:line="360" w:lineRule="auto"/>
        <w:jc w:val="left"/>
        <w:rPr>
          <w:rFonts w:eastAsia="Times New Roman" w:cs="Tahoma"/>
          <w:bCs/>
          <w:iCs/>
          <w:color w:val="auto"/>
          <w:lang w:eastAsia="es-MX"/>
        </w:rPr>
      </w:pPr>
      <w:r w:rsidRPr="00CC6359">
        <w:rPr>
          <w:rFonts w:eastAsia="Times New Roman" w:cs="Tahoma"/>
          <w:bCs/>
          <w:iCs/>
          <w:color w:val="auto"/>
          <w:lang w:eastAsia="es-MX"/>
        </w:rPr>
        <w:t xml:space="preserve">Se trate de datos personales o información privada; esto es, información concerniente a una persona física o jurídico colectiva y que esta sea identificada o identificable. </w:t>
      </w:r>
    </w:p>
    <w:p w:rsidRPr="00CC6359" w:rsidR="00CC6359" w:rsidP="00CC6359" w:rsidRDefault="00CC6359" w14:paraId="40A3F76A" w14:textId="77777777">
      <w:pPr>
        <w:numPr>
          <w:ilvl w:val="0"/>
          <w:numId w:val="26"/>
        </w:numPr>
        <w:spacing w:after="0" w:line="360" w:lineRule="auto"/>
        <w:jc w:val="left"/>
        <w:rPr>
          <w:rFonts w:eastAsia="Times New Roman" w:cs="Tahoma"/>
          <w:bCs/>
          <w:iCs/>
          <w:color w:val="auto"/>
          <w:lang w:eastAsia="es-MX"/>
        </w:rPr>
      </w:pPr>
      <w:r w:rsidRPr="00CC6359">
        <w:rPr>
          <w:rFonts w:eastAsia="Times New Roman" w:cs="Tahoma"/>
          <w:bCs/>
          <w:iCs/>
          <w:color w:val="auto"/>
          <w:lang w:eastAsia="es-MX"/>
        </w:rPr>
        <w:t xml:space="preserve">Para la difusión de los datos, se requiera el consentimiento del titular. </w:t>
      </w:r>
    </w:p>
    <w:p w:rsidRPr="00CC6359" w:rsidR="00CC6359" w:rsidP="00CC6359" w:rsidRDefault="00CC6359" w14:paraId="6D5777DE" w14:textId="77777777">
      <w:pPr>
        <w:spacing w:after="0" w:line="360" w:lineRule="auto"/>
        <w:rPr>
          <w:rFonts w:eastAsia="Times New Roman" w:cs="Tahoma"/>
          <w:bCs/>
          <w:iCs/>
          <w:color w:val="auto"/>
          <w:lang w:eastAsia="es-MX"/>
        </w:rPr>
      </w:pPr>
    </w:p>
    <w:p w:rsidRPr="00CC6359" w:rsidR="00CC6359" w:rsidP="00CC6359" w:rsidRDefault="00CC6359" w14:paraId="4F9E8219"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CC6359" w:rsidR="00CC6359" w:rsidP="00CC6359" w:rsidRDefault="00CC6359" w14:paraId="0EF1DC11" w14:textId="77777777">
      <w:pPr>
        <w:spacing w:after="0" w:line="360" w:lineRule="auto"/>
        <w:rPr>
          <w:rFonts w:eastAsia="Times New Roman" w:cs="Tahoma"/>
          <w:bCs/>
          <w:iCs/>
          <w:color w:val="auto"/>
          <w:lang w:eastAsia="es-MX"/>
        </w:rPr>
      </w:pPr>
    </w:p>
    <w:p w:rsidRPr="00CC6359" w:rsidR="00CC6359" w:rsidP="00CC6359" w:rsidRDefault="00CC6359" w14:paraId="6F9429A0"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Además, en el artículo 5° de dicho ordenamiento jurídico, establece que es la Ley aplicable para todo tratamiento de datos personales.</w:t>
      </w:r>
    </w:p>
    <w:p w:rsidRPr="00CC6359" w:rsidR="00CC6359" w:rsidP="00CC6359" w:rsidRDefault="00CC6359" w14:paraId="220DDAD5" w14:textId="77777777">
      <w:pPr>
        <w:spacing w:after="0" w:line="360" w:lineRule="auto"/>
        <w:rPr>
          <w:rFonts w:eastAsia="Times New Roman" w:cs="Tahoma"/>
          <w:bCs/>
          <w:iCs/>
          <w:color w:val="auto"/>
          <w:lang w:eastAsia="es-MX"/>
        </w:rPr>
      </w:pPr>
    </w:p>
    <w:p w:rsidRPr="00CC6359" w:rsidR="00CC6359" w:rsidP="00CC6359" w:rsidRDefault="00CC6359" w14:paraId="0890F307"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CC6359">
        <w:rPr>
          <w:rFonts w:eastAsia="Times New Roman" w:cs="Tahoma"/>
          <w:bCs/>
          <w:iCs/>
          <w:color w:val="auto"/>
          <w:lang w:eastAsia="es-MX"/>
        </w:rPr>
        <w:lastRenderedPageBreak/>
        <w:t>con el consentimiento de su titular, además de que debe estar justificado en ley (principio de finalidad).</w:t>
      </w:r>
    </w:p>
    <w:p w:rsidRPr="00CC6359" w:rsidR="00CC6359" w:rsidP="00CC6359" w:rsidRDefault="00CC6359" w14:paraId="3BC7F842" w14:textId="77777777">
      <w:pPr>
        <w:spacing w:after="0" w:line="360" w:lineRule="auto"/>
        <w:rPr>
          <w:rFonts w:eastAsia="Times New Roman" w:cs="Tahoma"/>
          <w:bCs/>
          <w:iCs/>
          <w:color w:val="auto"/>
          <w:lang w:eastAsia="es-MX"/>
        </w:rPr>
      </w:pPr>
    </w:p>
    <w:p w:rsidRPr="00CC6359" w:rsidR="00CC6359" w:rsidP="00CC6359" w:rsidRDefault="00CC6359" w14:paraId="018BD5F8"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CC6359" w:rsidR="00CC6359" w:rsidP="00CC6359" w:rsidRDefault="00CC6359" w14:paraId="6C9C4456" w14:textId="77777777">
      <w:pPr>
        <w:spacing w:after="0" w:line="360" w:lineRule="auto"/>
        <w:rPr>
          <w:rFonts w:eastAsia="Times New Roman" w:cs="Tahoma"/>
          <w:bCs/>
          <w:iCs/>
          <w:color w:val="auto"/>
          <w:lang w:eastAsia="es-MX"/>
        </w:rPr>
      </w:pPr>
    </w:p>
    <w:p w:rsidRPr="00CC6359" w:rsidR="00CC6359" w:rsidP="00CC6359" w:rsidRDefault="00CC6359" w14:paraId="41F68EC1"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CC6359" w:rsidR="00CC6359" w:rsidP="00CC6359" w:rsidRDefault="00CC6359" w14:paraId="2ACF5CB4" w14:textId="77777777">
      <w:pPr>
        <w:spacing w:after="0" w:line="360" w:lineRule="auto"/>
        <w:rPr>
          <w:rFonts w:eastAsia="Times New Roman" w:cs="Tahoma"/>
          <w:bCs/>
          <w:iCs/>
          <w:color w:val="auto"/>
          <w:lang w:eastAsia="es-MX"/>
        </w:rPr>
      </w:pPr>
    </w:p>
    <w:p w:rsidRPr="00CC6359" w:rsidR="00CC6359" w:rsidP="00CC6359" w:rsidRDefault="00CC6359" w14:paraId="70243004"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rsidRPr="00CC6359" w:rsidR="00CC6359" w:rsidP="00CC6359" w:rsidRDefault="00CC6359" w14:paraId="3753065C" w14:textId="77777777">
      <w:pPr>
        <w:spacing w:after="0" w:line="360" w:lineRule="auto"/>
        <w:rPr>
          <w:rFonts w:eastAsia="Times New Roman" w:cs="Tahoma"/>
          <w:bCs/>
          <w:iCs/>
          <w:color w:val="auto"/>
          <w:lang w:eastAsia="es-MX"/>
        </w:rPr>
      </w:pPr>
    </w:p>
    <w:p w:rsidRPr="00CC6359" w:rsidR="00CC6359" w:rsidP="00CC6359" w:rsidRDefault="00CC6359" w14:paraId="0727C979"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w:t>
      </w:r>
      <w:r w:rsidRPr="00CC6359">
        <w:rPr>
          <w:rFonts w:eastAsia="Times New Roman" w:cs="Tahoma"/>
          <w:bCs/>
          <w:iCs/>
          <w:color w:val="auto"/>
          <w:lang w:eastAsia="es-MX"/>
        </w:rPr>
        <w:lastRenderedPageBreak/>
        <w:t>datos personales, que pierden la protección en beneficio del interés público (no por eso dejan de ser datos personales, sólo que no están protegidos en la confidencialidad).</w:t>
      </w:r>
    </w:p>
    <w:p w:rsidRPr="00CC6359" w:rsidR="00CC6359" w:rsidP="00CC6359" w:rsidRDefault="00CC6359" w14:paraId="1C68D677" w14:textId="77777777">
      <w:pPr>
        <w:spacing w:after="0" w:line="360" w:lineRule="auto"/>
        <w:rPr>
          <w:rFonts w:eastAsia="Times New Roman" w:cs="Tahoma"/>
          <w:bCs/>
          <w:iCs/>
          <w:color w:val="auto"/>
          <w:lang w:eastAsia="es-MX"/>
        </w:rPr>
      </w:pPr>
    </w:p>
    <w:p w:rsidRPr="00CC6359" w:rsidR="00CC6359" w:rsidP="00CC6359" w:rsidRDefault="00CC6359" w14:paraId="7CF84CD9"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CC6359" w:rsidR="00CC6359" w:rsidP="00CC6359" w:rsidRDefault="00CC6359" w14:paraId="5CA914D2" w14:textId="77777777">
      <w:pPr>
        <w:spacing w:after="0" w:line="360" w:lineRule="auto"/>
        <w:rPr>
          <w:rFonts w:eastAsia="Times New Roman" w:cs="Tahoma"/>
          <w:bCs/>
          <w:iCs/>
          <w:color w:val="auto"/>
          <w:lang w:eastAsia="es-MX"/>
        </w:rPr>
      </w:pPr>
    </w:p>
    <w:p w:rsidRPr="00CC6359" w:rsidR="00CC6359" w:rsidP="00CC6359" w:rsidRDefault="00CC6359" w14:paraId="5D909D05" w14:textId="77777777">
      <w:pPr>
        <w:spacing w:after="0" w:line="360" w:lineRule="auto"/>
        <w:rPr>
          <w:rFonts w:eastAsia="Times New Roman" w:cs="Tahoma"/>
          <w:bCs/>
          <w:iCs/>
          <w:color w:val="auto"/>
          <w:lang w:val="es-ES" w:eastAsia="es-MX"/>
        </w:rPr>
      </w:pPr>
      <w:r w:rsidRPr="00CC6359">
        <w:rPr>
          <w:rFonts w:eastAsia="Times New Roman" w:cs="Tahoma"/>
          <w:bCs/>
          <w:iCs/>
          <w:color w:val="auto"/>
          <w:lang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rsidRPr="00CC6359" w:rsidR="00CC6359" w:rsidP="00CC6359" w:rsidRDefault="00CC6359" w14:paraId="0FE4B5C4" w14:textId="77777777">
      <w:pPr>
        <w:spacing w:after="0" w:line="360" w:lineRule="auto"/>
        <w:rPr>
          <w:rFonts w:eastAsia="Times New Roman" w:cs="Tahoma"/>
          <w:bCs/>
          <w:iCs/>
          <w:color w:val="auto"/>
          <w:lang w:val="es-ES" w:eastAsia="es-MX"/>
        </w:rPr>
      </w:pPr>
    </w:p>
    <w:p w:rsidRPr="00CC6359" w:rsidR="00CC6359" w:rsidP="00CC6359" w:rsidRDefault="00CC6359" w14:paraId="541DD7B9" w14:textId="77777777">
      <w:pPr>
        <w:numPr>
          <w:ilvl w:val="0"/>
          <w:numId w:val="1"/>
        </w:numPr>
        <w:spacing w:after="0" w:line="360" w:lineRule="auto"/>
        <w:jc w:val="left"/>
        <w:rPr>
          <w:rFonts w:eastAsia="Times New Roman" w:cs="Tahoma"/>
          <w:b/>
          <w:bCs/>
          <w:iCs/>
          <w:color w:val="auto"/>
          <w:lang w:val="es-ES_tradnl" w:eastAsia="es-MX"/>
        </w:rPr>
      </w:pPr>
      <w:r w:rsidRPr="00CC6359">
        <w:rPr>
          <w:rFonts w:eastAsia="Times New Roman" w:cs="Tahoma"/>
          <w:b/>
          <w:bCs/>
          <w:iCs/>
          <w:color w:val="auto"/>
          <w:lang w:eastAsia="es-MX"/>
        </w:rPr>
        <w:t>C</w:t>
      </w:r>
      <w:r w:rsidRPr="00CC6359">
        <w:rPr>
          <w:rFonts w:eastAsia="Times New Roman" w:cs="Tahoma"/>
          <w:b/>
          <w:bCs/>
          <w:iCs/>
          <w:color w:val="auto"/>
          <w:lang w:val="es-ES_tradnl" w:eastAsia="es-MX"/>
        </w:rPr>
        <w:t>lave Única de Registro de Población (CURP).</w:t>
      </w:r>
    </w:p>
    <w:p w:rsidRPr="00CC6359" w:rsidR="00CC6359" w:rsidP="00CC6359" w:rsidRDefault="00CC6359" w14:paraId="17E9C4E7" w14:textId="77777777">
      <w:pPr>
        <w:spacing w:after="0" w:line="360" w:lineRule="auto"/>
        <w:rPr>
          <w:rFonts w:eastAsia="Times New Roman" w:cs="Tahoma"/>
          <w:bCs/>
          <w:iCs/>
          <w:color w:val="auto"/>
          <w:lang w:eastAsia="es-MX"/>
        </w:rPr>
      </w:pPr>
    </w:p>
    <w:p w:rsidRPr="00CC6359" w:rsidR="00CC6359" w:rsidP="00CC6359" w:rsidRDefault="00CC6359" w14:paraId="7E338C95"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El artículo 36 de la Constitución Política de los Estados Unidos Mexicanos, dispone la obligación de los ciudadanos de inscribirse en el Registro Nacional de Ciudadanos; además, el </w:t>
      </w:r>
      <w:r w:rsidRPr="00CC6359">
        <w:rPr>
          <w:rFonts w:eastAsia="Times New Roman" w:cs="Tahoma"/>
          <w:bCs/>
          <w:iCs/>
          <w:color w:val="auto"/>
          <w:lang w:eastAsia="es-MX"/>
        </w:rPr>
        <w:lastRenderedPageBreak/>
        <w:t>diverso 85 de la Ley General de Población, prevé que corresponde a la Secretaría de Gobernación el registro y acreditación de la identidad de todas las personas residentes en el país y de los nacionales que residan en el extranjero.</w:t>
      </w:r>
    </w:p>
    <w:p w:rsidRPr="00CC6359" w:rsidR="00CC6359" w:rsidP="00CC6359" w:rsidRDefault="00CC6359" w14:paraId="1AA538F3" w14:textId="77777777">
      <w:pPr>
        <w:spacing w:after="0" w:line="360" w:lineRule="auto"/>
        <w:rPr>
          <w:rFonts w:eastAsia="Times New Roman" w:cs="Tahoma"/>
          <w:bCs/>
          <w:iCs/>
          <w:color w:val="auto"/>
          <w:lang w:eastAsia="es-MX"/>
        </w:rPr>
      </w:pPr>
    </w:p>
    <w:p w:rsidRPr="00CC6359" w:rsidR="00CC6359" w:rsidP="00CC6359" w:rsidRDefault="00CC6359" w14:paraId="4F868FD4"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CC6359" w:rsidR="00CC6359" w:rsidP="00CC6359" w:rsidRDefault="00CC6359" w14:paraId="784891C7" w14:textId="77777777">
      <w:pPr>
        <w:spacing w:after="0" w:line="360" w:lineRule="auto"/>
        <w:rPr>
          <w:rFonts w:eastAsia="Times New Roman" w:cs="Tahoma"/>
          <w:bCs/>
          <w:iCs/>
          <w:color w:val="auto"/>
          <w:lang w:eastAsia="es-MX"/>
        </w:rPr>
      </w:pPr>
    </w:p>
    <w:p w:rsidRPr="00CC6359" w:rsidR="00CC6359" w:rsidP="00CC6359" w:rsidRDefault="00CC6359" w14:paraId="130D705D" w14:textId="01CF8FDC">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En ese orden de ideas, la Secretaría de Gobernación en las direcciones </w:t>
      </w:r>
      <w:hyperlink w:history="1" r:id="rId11">
        <w:r w:rsidRPr="00CC6359">
          <w:rPr>
            <w:rFonts w:eastAsia="Times New Roman" w:cs="Tahoma"/>
            <w:bCs/>
            <w:iCs/>
            <w:color w:val="0563C1" w:themeColor="hyperlink"/>
            <w:u w:val="single"/>
            <w:lang w:eastAsia="es-MX"/>
          </w:rPr>
          <w:t>https://consultas.curp.gob.mx/CurpSP/html/informacionecurpPS.html</w:t>
        </w:r>
      </w:hyperlink>
      <w:r w:rsidRPr="00CC6359">
        <w:rPr>
          <w:rFonts w:eastAsia="Times New Roman" w:cs="Tahoma"/>
          <w:bCs/>
          <w:iCs/>
          <w:color w:val="auto"/>
          <w:lang w:eastAsia="es-MX"/>
        </w:rPr>
        <w:t xml:space="preserve"> y </w:t>
      </w:r>
      <w:hyperlink w:history="1" r:id="rId12">
        <w:r w:rsidRPr="00CC6359">
          <w:rPr>
            <w:rFonts w:eastAsia="Times New Roman" w:cs="Tahoma"/>
            <w:bCs/>
            <w:iCs/>
            <w:color w:val="0563C1" w:themeColor="hyperlink"/>
            <w:u w:val="single"/>
            <w:lang w:eastAsia="es-MX"/>
          </w:rPr>
          <w:t>https://www.gob.mx/segob/renapo/acciones-y-programas/clave-unica-de-registro-de-poblacion-curp-142226</w:t>
        </w:r>
      </w:hyperlink>
      <w:r w:rsidRPr="00CC6359">
        <w:rPr>
          <w:rFonts w:eastAsia="Times New Roman" w:cs="Tahoma"/>
          <w:bCs/>
          <w:iCs/>
          <w:color w:val="auto"/>
          <w:lang w:eastAsia="es-MX"/>
        </w:rPr>
        <w:t xml:space="preserve"> (consultadas el </w:t>
      </w:r>
      <w:r w:rsidR="008472E0">
        <w:rPr>
          <w:rFonts w:eastAsia="Times New Roman" w:cs="Tahoma"/>
          <w:bCs/>
          <w:iCs/>
          <w:color w:val="auto"/>
          <w:lang w:eastAsia="es-MX"/>
        </w:rPr>
        <w:t>diecinueve de mayo de dos mil veintidós</w:t>
      </w:r>
      <w:r w:rsidRPr="00CC6359">
        <w:rPr>
          <w:rFonts w:eastAsia="Times New Roman" w:cs="Tahoma"/>
          <w:bCs/>
          <w:iCs/>
          <w:color w:val="auto"/>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C6359">
        <w:rPr>
          <w:rFonts w:eastAsia="Times New Roman" w:cs="Tahoma"/>
          <w:b/>
          <w:bCs/>
          <w:iCs/>
          <w:color w:val="auto"/>
          <w:lang w:eastAsia="es-MX"/>
        </w:rPr>
        <w:t>se generan a partir de los datos contenidos en el documento probatorio de la identidad</w:t>
      </w:r>
      <w:r w:rsidRPr="00CC6359">
        <w:rPr>
          <w:rFonts w:eastAsia="Times New Roman" w:cs="Tahoma"/>
          <w:bCs/>
          <w:iCs/>
          <w:color w:val="auto"/>
          <w:lang w:eastAsia="es-MX"/>
        </w:rPr>
        <w:t xml:space="preserve"> </w:t>
      </w:r>
      <w:r w:rsidRPr="00CC6359">
        <w:rPr>
          <w:rFonts w:eastAsia="Times New Roman" w:cs="Tahoma"/>
          <w:b/>
          <w:bCs/>
          <w:iCs/>
          <w:color w:val="auto"/>
          <w:lang w:eastAsia="es-MX"/>
        </w:rPr>
        <w:t xml:space="preserve">del interesado </w:t>
      </w:r>
      <w:r w:rsidRPr="00CC6359">
        <w:rPr>
          <w:rFonts w:eastAsia="Times New Roman" w:cs="Tahoma"/>
          <w:bCs/>
          <w:iCs/>
          <w:color w:val="auto"/>
          <w:lang w:eastAsia="es-MX"/>
        </w:rPr>
        <w:t>(acta de nacimiento, carta de naturalización o documento migratorio) de la siguiente forma:</w:t>
      </w:r>
    </w:p>
    <w:p w:rsidRPr="00CC6359" w:rsidR="00CC6359" w:rsidP="00CC6359" w:rsidRDefault="00CC6359" w14:paraId="059C5703" w14:textId="77777777">
      <w:pPr>
        <w:spacing w:after="0" w:line="360" w:lineRule="auto"/>
        <w:rPr>
          <w:rFonts w:eastAsia="Times New Roman" w:cs="Tahoma"/>
          <w:bCs/>
          <w:iCs/>
          <w:color w:val="auto"/>
          <w:lang w:eastAsia="es-MX"/>
        </w:rPr>
      </w:pPr>
    </w:p>
    <w:p w:rsidRPr="00CC6359" w:rsidR="00CC6359" w:rsidP="00CC6359" w:rsidRDefault="00CC6359" w14:paraId="59C2BC8B" w14:textId="77777777">
      <w:pPr>
        <w:numPr>
          <w:ilvl w:val="0"/>
          <w:numId w:val="19"/>
        </w:numPr>
        <w:spacing w:after="0" w:line="360" w:lineRule="auto"/>
        <w:jc w:val="left"/>
        <w:rPr>
          <w:rFonts w:eastAsia="Times New Roman" w:cs="Tahoma"/>
          <w:bCs/>
          <w:iCs/>
          <w:color w:val="auto"/>
          <w:lang w:eastAsia="es-MX"/>
        </w:rPr>
      </w:pPr>
      <w:r w:rsidRPr="00CC6359">
        <w:rPr>
          <w:rFonts w:eastAsia="Times New Roman" w:cs="Tahoma"/>
          <w:bCs/>
          <w:iCs/>
          <w:color w:val="auto"/>
          <w:lang w:eastAsia="es-MX"/>
        </w:rPr>
        <w:t>El primero y segundo apellidos, así como al nombre de pila;</w:t>
      </w:r>
    </w:p>
    <w:p w:rsidRPr="00CC6359" w:rsidR="00CC6359" w:rsidP="00CC6359" w:rsidRDefault="00CC6359" w14:paraId="1EC81204" w14:textId="77777777">
      <w:pPr>
        <w:numPr>
          <w:ilvl w:val="0"/>
          <w:numId w:val="19"/>
        </w:numPr>
        <w:spacing w:after="0" w:line="360" w:lineRule="auto"/>
        <w:jc w:val="left"/>
        <w:rPr>
          <w:rFonts w:eastAsia="Times New Roman" w:cs="Tahoma"/>
          <w:bCs/>
          <w:iCs/>
          <w:color w:val="auto"/>
          <w:lang w:eastAsia="es-MX"/>
        </w:rPr>
      </w:pPr>
      <w:r w:rsidRPr="00CC6359">
        <w:rPr>
          <w:rFonts w:eastAsia="Times New Roman" w:cs="Tahoma"/>
          <w:bCs/>
          <w:iCs/>
          <w:color w:val="auto"/>
          <w:lang w:eastAsia="es-MX"/>
        </w:rPr>
        <w:t>La fecha de nacimiento;</w:t>
      </w:r>
    </w:p>
    <w:p w:rsidRPr="00CC6359" w:rsidR="00CC6359" w:rsidP="00CC6359" w:rsidRDefault="00CC6359" w14:paraId="7C67DE0B" w14:textId="77777777">
      <w:pPr>
        <w:numPr>
          <w:ilvl w:val="0"/>
          <w:numId w:val="19"/>
        </w:numPr>
        <w:spacing w:after="0" w:line="360" w:lineRule="auto"/>
        <w:jc w:val="left"/>
        <w:rPr>
          <w:rFonts w:eastAsia="Times New Roman" w:cs="Tahoma"/>
          <w:bCs/>
          <w:iCs/>
          <w:color w:val="auto"/>
          <w:lang w:eastAsia="es-MX"/>
        </w:rPr>
      </w:pPr>
      <w:r w:rsidRPr="00CC6359">
        <w:rPr>
          <w:rFonts w:eastAsia="Times New Roman" w:cs="Tahoma"/>
          <w:bCs/>
          <w:iCs/>
          <w:color w:val="auto"/>
          <w:lang w:eastAsia="es-MX"/>
        </w:rPr>
        <w:t>El sexo, y</w:t>
      </w:r>
    </w:p>
    <w:p w:rsidRPr="00CC6359" w:rsidR="00CC6359" w:rsidP="00CC6359" w:rsidRDefault="00CC6359" w14:paraId="37BE4DD9" w14:textId="77777777">
      <w:pPr>
        <w:numPr>
          <w:ilvl w:val="0"/>
          <w:numId w:val="19"/>
        </w:numPr>
        <w:spacing w:after="0" w:line="360" w:lineRule="auto"/>
        <w:jc w:val="left"/>
        <w:rPr>
          <w:rFonts w:eastAsia="Times New Roman" w:cs="Tahoma"/>
          <w:bCs/>
          <w:iCs/>
          <w:color w:val="auto"/>
          <w:lang w:eastAsia="es-MX"/>
        </w:rPr>
      </w:pPr>
      <w:r w:rsidRPr="00CC6359">
        <w:rPr>
          <w:rFonts w:eastAsia="Times New Roman" w:cs="Tahoma"/>
          <w:bCs/>
          <w:iCs/>
          <w:color w:val="auto"/>
          <w:lang w:eastAsia="es-MX"/>
        </w:rPr>
        <w:t>La entidad federativa de nacimiento.</w:t>
      </w:r>
    </w:p>
    <w:p w:rsidRPr="00CC6359" w:rsidR="00CC6359" w:rsidP="00CC6359" w:rsidRDefault="00CC6359" w14:paraId="1ABD4F6E" w14:textId="77777777">
      <w:pPr>
        <w:spacing w:after="0" w:line="360" w:lineRule="auto"/>
        <w:rPr>
          <w:rFonts w:eastAsia="Times New Roman" w:cs="Tahoma"/>
          <w:bCs/>
          <w:iCs/>
          <w:color w:val="auto"/>
          <w:lang w:eastAsia="es-MX"/>
        </w:rPr>
      </w:pPr>
    </w:p>
    <w:p w:rsidRPr="00CC6359" w:rsidR="00CC6359" w:rsidP="00CC6359" w:rsidRDefault="00CC6359" w14:paraId="6B9D0161"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lastRenderedPageBreak/>
        <w:t>Los dos últimos elementos de la Clave Única de Registro de Población evitan la duplicidad de la Clave y garantizan su correcta integración.</w:t>
      </w:r>
    </w:p>
    <w:p w:rsidRPr="00CC6359" w:rsidR="00CC6359" w:rsidP="00CC6359" w:rsidRDefault="00CC6359" w14:paraId="014ADEF4" w14:textId="77777777">
      <w:pPr>
        <w:spacing w:after="0" w:line="360" w:lineRule="auto"/>
        <w:rPr>
          <w:rFonts w:eastAsia="Times New Roman" w:cs="Tahoma"/>
          <w:bCs/>
          <w:iCs/>
          <w:color w:val="auto"/>
          <w:lang w:eastAsia="es-MX"/>
        </w:rPr>
      </w:pPr>
    </w:p>
    <w:p w:rsidRPr="00CC6359" w:rsidR="00CC6359" w:rsidP="00CC6359" w:rsidRDefault="00CC6359" w14:paraId="3057DBBB"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CC6359" w:rsidR="00CC6359" w:rsidP="00CC6359" w:rsidRDefault="00CC6359" w14:paraId="35956B67" w14:textId="77777777">
      <w:pPr>
        <w:spacing w:after="0" w:line="360" w:lineRule="auto"/>
        <w:rPr>
          <w:rFonts w:eastAsia="Times New Roman" w:cs="Tahoma"/>
          <w:bCs/>
          <w:iCs/>
          <w:color w:val="auto"/>
          <w:lang w:eastAsia="es-MX"/>
        </w:rPr>
      </w:pPr>
    </w:p>
    <w:p w:rsidRPr="00CC6359" w:rsidR="00CC6359" w:rsidP="00CC6359" w:rsidRDefault="00CC6359" w14:paraId="404624EC"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Situación que se robustece, con el Criterio 18/17, emitido por el Instituto Nacional de Transparencia, Acceso a la Información y Protección de Datos Personales, que establece lo siguiente:</w:t>
      </w:r>
    </w:p>
    <w:p w:rsidRPr="00CC6359" w:rsidR="00CC6359" w:rsidP="00CC6359" w:rsidRDefault="00CC6359" w14:paraId="5E035370" w14:textId="77777777">
      <w:pPr>
        <w:spacing w:after="0" w:line="360" w:lineRule="auto"/>
        <w:rPr>
          <w:rFonts w:eastAsia="Times New Roman" w:cs="Tahoma"/>
          <w:bCs/>
          <w:iCs/>
          <w:color w:val="auto"/>
          <w:lang w:eastAsia="es-MX"/>
        </w:rPr>
      </w:pPr>
    </w:p>
    <w:p w:rsidRPr="00CC6359" w:rsidR="00CC6359" w:rsidP="00CC6359" w:rsidRDefault="00CC6359" w14:paraId="40A4EA7F" w14:textId="77777777">
      <w:pPr>
        <w:spacing w:after="0" w:line="360" w:lineRule="auto"/>
        <w:ind w:left="567" w:right="567"/>
        <w:rPr>
          <w:rFonts w:eastAsia="Times New Roman" w:cs="Tahoma"/>
          <w:bCs/>
          <w:i/>
          <w:iCs/>
          <w:color w:val="auto"/>
          <w:sz w:val="20"/>
          <w:szCs w:val="20"/>
          <w:lang w:eastAsia="es-MX"/>
        </w:rPr>
      </w:pPr>
      <w:r w:rsidRPr="00CC6359">
        <w:rPr>
          <w:rFonts w:eastAsia="Times New Roman" w:cs="Tahoma"/>
          <w:b/>
          <w:bCs/>
          <w:i/>
          <w:iCs/>
          <w:color w:val="auto"/>
          <w:sz w:val="20"/>
          <w:szCs w:val="20"/>
          <w:lang w:eastAsia="es-MX"/>
        </w:rPr>
        <w:t xml:space="preserve">“Clave Única de Registro de Población (CURP). </w:t>
      </w:r>
      <w:r w:rsidRPr="00CC6359">
        <w:rPr>
          <w:rFonts w:eastAsia="Times New Roman" w:cs="Tahoma"/>
          <w:bCs/>
          <w:i/>
          <w:iCs/>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CC6359" w:rsidR="00CC6359" w:rsidP="00CC6359" w:rsidRDefault="00CC6359" w14:paraId="11C4D8D1" w14:textId="77777777">
      <w:pPr>
        <w:spacing w:after="0" w:line="360" w:lineRule="auto"/>
        <w:rPr>
          <w:rFonts w:eastAsia="Times New Roman" w:cs="Tahoma"/>
          <w:bCs/>
          <w:i/>
          <w:iCs/>
          <w:color w:val="auto"/>
          <w:lang w:eastAsia="es-MX"/>
        </w:rPr>
      </w:pPr>
    </w:p>
    <w:p w:rsidRPr="00CC6359" w:rsidR="00CC6359" w:rsidP="00CC6359" w:rsidRDefault="00CC6359" w14:paraId="47BE72C3"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De acuerdo con lo anterior, resulta procedente la clasificación de </w:t>
      </w:r>
      <w:r w:rsidRPr="00CC6359">
        <w:rPr>
          <w:rFonts w:eastAsia="Times New Roman" w:cs="Tahoma"/>
          <w:b/>
          <w:bCs/>
          <w:iCs/>
          <w:color w:val="auto"/>
          <w:lang w:eastAsia="es-MX"/>
        </w:rPr>
        <w:t>la Clave Única de Registro de Población</w:t>
      </w:r>
      <w:r w:rsidRPr="00CC6359">
        <w:rPr>
          <w:rFonts w:eastAsia="Times New Roman" w:cs="Tahoma"/>
          <w:bCs/>
          <w:iCs/>
          <w:color w:val="auto"/>
          <w:lang w:eastAsia="es-MX"/>
        </w:rPr>
        <w:t xml:space="preserve">, por tratarse de un dato personal confidencial, en términos del artículo 143, fracción I, de la Ley de Transparencia y Acceso a la Información Pública del Estado de México y Municipios. </w:t>
      </w:r>
    </w:p>
    <w:p w:rsidRPr="00CC6359" w:rsidR="00CC6359" w:rsidP="00CC6359" w:rsidRDefault="00CC6359" w14:paraId="70457C74" w14:textId="77777777">
      <w:pPr>
        <w:spacing w:after="0" w:line="360" w:lineRule="auto"/>
        <w:rPr>
          <w:rFonts w:eastAsia="Times New Roman" w:cs="Tahoma"/>
          <w:bCs/>
          <w:iCs/>
          <w:color w:val="auto"/>
          <w:lang w:val="es-ES" w:eastAsia="es-MX"/>
        </w:rPr>
      </w:pPr>
    </w:p>
    <w:p w:rsidRPr="00CC6359" w:rsidR="00CC6359" w:rsidP="00CC6359" w:rsidRDefault="00CC6359" w14:paraId="34C45146" w14:textId="77777777">
      <w:pPr>
        <w:numPr>
          <w:ilvl w:val="0"/>
          <w:numId w:val="1"/>
        </w:numPr>
        <w:spacing w:after="0" w:line="360" w:lineRule="auto"/>
        <w:jc w:val="left"/>
        <w:rPr>
          <w:rFonts w:eastAsia="Times New Roman" w:cs="Tahoma"/>
          <w:b/>
          <w:bCs/>
          <w:iCs/>
          <w:color w:val="auto"/>
          <w:lang w:val="es-ES_tradnl" w:eastAsia="es-MX"/>
        </w:rPr>
      </w:pPr>
      <w:r w:rsidRPr="00CC6359">
        <w:rPr>
          <w:rFonts w:eastAsia="Times New Roman" w:cs="Tahoma"/>
          <w:b/>
          <w:bCs/>
          <w:iCs/>
          <w:color w:val="auto"/>
          <w:lang w:val="es-ES_tradnl" w:eastAsia="es-MX"/>
        </w:rPr>
        <w:t>Registro Federal de Contribuyentes (RFC).</w:t>
      </w:r>
    </w:p>
    <w:p w:rsidRPr="00CC6359" w:rsidR="00CC6359" w:rsidP="00CC6359" w:rsidRDefault="00CC6359" w14:paraId="6A6EA9E4" w14:textId="77777777">
      <w:pPr>
        <w:spacing w:after="0" w:line="360" w:lineRule="auto"/>
        <w:rPr>
          <w:rFonts w:eastAsia="Times New Roman" w:cs="Tahoma"/>
          <w:bCs/>
          <w:iCs/>
          <w:color w:val="auto"/>
          <w:lang w:eastAsia="es-MX"/>
        </w:rPr>
      </w:pPr>
    </w:p>
    <w:p w:rsidRPr="00CC6359" w:rsidR="00CC6359" w:rsidP="00CC6359" w:rsidRDefault="00CC6359" w14:paraId="32788A43"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CC6359" w:rsidR="00CC6359" w:rsidP="00CC6359" w:rsidRDefault="00CC6359" w14:paraId="555CFE89" w14:textId="77777777">
      <w:pPr>
        <w:spacing w:after="0" w:line="360" w:lineRule="auto"/>
        <w:rPr>
          <w:rFonts w:eastAsia="Times New Roman" w:cs="Tahoma"/>
          <w:bCs/>
          <w:iCs/>
          <w:color w:val="auto"/>
          <w:lang w:eastAsia="es-MX"/>
        </w:rPr>
      </w:pPr>
    </w:p>
    <w:p w:rsidRPr="00CC6359" w:rsidR="00CC6359" w:rsidP="00CC6359" w:rsidRDefault="00CC6359" w14:paraId="6B9DB192"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CC6359" w:rsidR="00CC6359" w:rsidP="00CC6359" w:rsidRDefault="00CC6359" w14:paraId="1BB22C25" w14:textId="77777777">
      <w:pPr>
        <w:spacing w:after="0" w:line="360" w:lineRule="auto"/>
        <w:rPr>
          <w:rFonts w:eastAsia="Times New Roman" w:cs="Tahoma"/>
          <w:bCs/>
          <w:iCs/>
          <w:color w:val="auto"/>
          <w:lang w:eastAsia="es-MX"/>
        </w:rPr>
      </w:pPr>
    </w:p>
    <w:p w:rsidRPr="00CC6359" w:rsidR="00CC6359" w:rsidP="00CC6359" w:rsidRDefault="00CC6359" w14:paraId="1D5455E5"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CC6359" w:rsidR="00CC6359" w:rsidP="00CC6359" w:rsidRDefault="00CC6359" w14:paraId="476FEC7C" w14:textId="77777777">
      <w:pPr>
        <w:spacing w:after="0" w:line="360" w:lineRule="auto"/>
        <w:rPr>
          <w:rFonts w:eastAsia="Times New Roman" w:cs="Tahoma"/>
          <w:bCs/>
          <w:iCs/>
          <w:color w:val="auto"/>
          <w:lang w:eastAsia="es-MX"/>
        </w:rPr>
      </w:pPr>
    </w:p>
    <w:p w:rsidRPr="00CC6359" w:rsidR="00CC6359" w:rsidP="00CC6359" w:rsidRDefault="00CC6359" w14:paraId="2BD03707"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CC6359" w:rsidR="00CC6359" w:rsidP="00CC6359" w:rsidRDefault="00CC6359" w14:paraId="6DDBC32F" w14:textId="77777777">
      <w:pPr>
        <w:spacing w:after="0" w:line="360" w:lineRule="auto"/>
        <w:rPr>
          <w:rFonts w:eastAsia="Times New Roman" w:cs="Tahoma"/>
          <w:bCs/>
          <w:iCs/>
          <w:color w:val="auto"/>
          <w:lang w:eastAsia="es-MX"/>
        </w:rPr>
      </w:pPr>
    </w:p>
    <w:p w:rsidRPr="00CC6359" w:rsidR="00CC6359" w:rsidP="00CC6359" w:rsidRDefault="00CC6359" w14:paraId="22DBD265"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lastRenderedPageBreak/>
        <w:t>Lo anterior, resulta congruente con el Criterio 19/17 emitido por el Instituto Nacional de Transparencia, Acceso a la Información y Protección de Datos Personales, en el cual se señala lo siguiente:</w:t>
      </w:r>
    </w:p>
    <w:p w:rsidRPr="00CC6359" w:rsidR="00CC6359" w:rsidP="00CC6359" w:rsidRDefault="00CC6359" w14:paraId="66232AF4" w14:textId="77777777">
      <w:pPr>
        <w:spacing w:after="0" w:line="360" w:lineRule="auto"/>
        <w:rPr>
          <w:rFonts w:eastAsia="Times New Roman" w:cs="Tahoma"/>
          <w:bCs/>
          <w:iCs/>
          <w:color w:val="auto"/>
          <w:lang w:eastAsia="es-MX"/>
        </w:rPr>
      </w:pPr>
    </w:p>
    <w:p w:rsidRPr="00CC6359" w:rsidR="00CC6359" w:rsidP="00CC6359" w:rsidRDefault="00CC6359" w14:paraId="6E33D0AB" w14:textId="77777777">
      <w:pPr>
        <w:spacing w:after="0" w:line="360" w:lineRule="auto"/>
        <w:ind w:left="567" w:right="567"/>
        <w:rPr>
          <w:rFonts w:eastAsia="Times New Roman" w:cs="Tahoma"/>
          <w:bCs/>
          <w:i/>
          <w:iCs/>
          <w:color w:val="auto"/>
          <w:sz w:val="20"/>
          <w:szCs w:val="20"/>
          <w:lang w:eastAsia="es-MX"/>
        </w:rPr>
      </w:pPr>
      <w:r w:rsidRPr="00CC6359">
        <w:rPr>
          <w:rFonts w:eastAsia="Times New Roman" w:cs="Tahoma"/>
          <w:b/>
          <w:bCs/>
          <w:i/>
          <w:iCs/>
          <w:color w:val="auto"/>
          <w:sz w:val="20"/>
          <w:szCs w:val="20"/>
          <w:lang w:eastAsia="es-MX"/>
        </w:rPr>
        <w:t>“Registro Federal de Contribuyentes (RFC) de personas físicas.</w:t>
      </w:r>
      <w:r w:rsidRPr="00CC6359">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rsidRPr="00CC6359" w:rsidR="00CC6359" w:rsidP="00CC6359" w:rsidRDefault="00CC6359" w14:paraId="54D91DE4" w14:textId="77777777">
      <w:pPr>
        <w:spacing w:after="0" w:line="360" w:lineRule="auto"/>
        <w:rPr>
          <w:rFonts w:eastAsia="Times New Roman" w:cs="Tahoma"/>
          <w:bCs/>
          <w:iCs/>
          <w:color w:val="auto"/>
          <w:lang w:eastAsia="es-MX"/>
        </w:rPr>
      </w:pPr>
    </w:p>
    <w:p w:rsidRPr="00CC6359" w:rsidR="00CC6359" w:rsidP="00CC6359" w:rsidRDefault="00CC6359" w14:paraId="285C91B7"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CC6359" w:rsidR="00CC6359" w:rsidP="00CC6359" w:rsidRDefault="00CC6359" w14:paraId="024EE3D0" w14:textId="77777777">
      <w:pPr>
        <w:spacing w:after="0" w:line="360" w:lineRule="auto"/>
        <w:rPr>
          <w:rFonts w:eastAsia="Times New Roman" w:cs="Tahoma"/>
          <w:bCs/>
          <w:iCs/>
          <w:color w:val="auto"/>
          <w:lang w:eastAsia="es-MX"/>
        </w:rPr>
      </w:pPr>
    </w:p>
    <w:p w:rsidRPr="00CC6359" w:rsidR="00CC6359" w:rsidP="00CC6359" w:rsidRDefault="00CC6359" w14:paraId="27865D3C" w14:textId="77777777">
      <w:pPr>
        <w:numPr>
          <w:ilvl w:val="0"/>
          <w:numId w:val="1"/>
        </w:numPr>
        <w:spacing w:after="0" w:line="360" w:lineRule="auto"/>
        <w:jc w:val="left"/>
        <w:rPr>
          <w:rFonts w:eastAsia="Calibri" w:cs="Tahoma"/>
          <w:b/>
          <w:bCs/>
          <w:iCs/>
          <w:color w:val="auto"/>
        </w:rPr>
      </w:pPr>
      <w:r w:rsidRPr="00CC6359">
        <w:rPr>
          <w:rFonts w:eastAsia="Calibri" w:cs="Tahoma"/>
          <w:b/>
          <w:bCs/>
          <w:iCs/>
          <w:color w:val="auto"/>
        </w:rPr>
        <w:t xml:space="preserve">Código bidimensional o </w:t>
      </w:r>
      <w:proofErr w:type="spellStart"/>
      <w:r w:rsidRPr="00CC6359">
        <w:rPr>
          <w:rFonts w:eastAsia="Calibri" w:cs="Tahoma"/>
          <w:b/>
          <w:bCs/>
          <w:iCs/>
          <w:color w:val="auto"/>
        </w:rPr>
        <w:t>Qr</w:t>
      </w:r>
      <w:proofErr w:type="spellEnd"/>
      <w:r w:rsidRPr="00CC6359">
        <w:rPr>
          <w:rFonts w:eastAsia="Calibri" w:cs="Tahoma"/>
          <w:b/>
          <w:bCs/>
          <w:iCs/>
          <w:color w:val="auto"/>
        </w:rPr>
        <w:t>.</w:t>
      </w:r>
    </w:p>
    <w:p w:rsidRPr="00CC6359" w:rsidR="00CC6359" w:rsidP="00CC6359" w:rsidRDefault="00CC6359" w14:paraId="68B382E4" w14:textId="77777777">
      <w:pPr>
        <w:spacing w:after="0" w:line="360" w:lineRule="auto"/>
        <w:rPr>
          <w:rFonts w:eastAsia="Calibri" w:cs="Tahoma"/>
          <w:b/>
          <w:bCs/>
          <w:iCs/>
          <w:color w:val="auto"/>
        </w:rPr>
      </w:pPr>
    </w:p>
    <w:p w:rsidRPr="00CC6359" w:rsidR="00CC6359" w:rsidP="00CC6359" w:rsidRDefault="00CC6359" w14:paraId="49B1493B" w14:textId="77777777">
      <w:pPr>
        <w:spacing w:after="0" w:line="360" w:lineRule="auto"/>
        <w:rPr>
          <w:rFonts w:eastAsia="Calibri" w:cs="Tahoma"/>
          <w:bCs/>
          <w:color w:val="auto"/>
        </w:rPr>
      </w:pPr>
      <w:r w:rsidRPr="00CC6359">
        <w:rPr>
          <w:rFonts w:eastAsia="Calibri" w:cs="Tahoma"/>
          <w:bCs/>
          <w:color w:val="auto"/>
        </w:rPr>
        <w:t xml:space="preserve">En principio, resulta necesario señalar que los comprobantes fiscales digitales por Internet, deben de incluir un código bidimensional conforme al formato </w:t>
      </w:r>
      <w:r w:rsidRPr="00CC6359">
        <w:rPr>
          <w:rFonts w:eastAsia="Calibri" w:cs="Tahoma"/>
          <w:bCs/>
          <w:i/>
          <w:color w:val="auto"/>
        </w:rPr>
        <w:t xml:space="preserve">QR </w:t>
      </w:r>
      <w:proofErr w:type="spellStart"/>
      <w:r w:rsidRPr="00CC6359">
        <w:rPr>
          <w:rFonts w:eastAsia="Calibri" w:cs="Tahoma"/>
          <w:bCs/>
          <w:i/>
          <w:color w:val="auto"/>
        </w:rPr>
        <w:t>Code</w:t>
      </w:r>
      <w:proofErr w:type="spellEnd"/>
      <w:r w:rsidRPr="00CC6359">
        <w:rPr>
          <w:rFonts w:eastAsia="Calibri" w:cs="Tahoma"/>
          <w:bCs/>
          <w:i/>
          <w:color w:val="auto"/>
        </w:rPr>
        <w:t xml:space="preserve"> (Quick Response </w:t>
      </w:r>
      <w:proofErr w:type="spellStart"/>
      <w:r w:rsidRPr="00CC6359">
        <w:rPr>
          <w:rFonts w:eastAsia="Calibri" w:cs="Tahoma"/>
          <w:bCs/>
          <w:i/>
          <w:color w:val="auto"/>
        </w:rPr>
        <w:t>Code</w:t>
      </w:r>
      <w:proofErr w:type="spellEnd"/>
      <w:r w:rsidRPr="00CC6359">
        <w:rPr>
          <w:rFonts w:eastAsia="Calibri" w:cs="Tahoma"/>
          <w:bCs/>
          <w:i/>
          <w:color w:val="auto"/>
        </w:rPr>
        <w:t>)</w:t>
      </w:r>
      <w:r w:rsidRPr="00CC6359">
        <w:rPr>
          <w:rFonts w:eastAsia="Calibri" w:cs="Tahoma"/>
          <w:bCs/>
          <w:color w:val="auto"/>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3">
        <w:r w:rsidRPr="00CC6359">
          <w:rPr>
            <w:rFonts w:eastAsia="Calibri" w:cs="Tahoma"/>
            <w:bCs/>
            <w:color w:val="0563C1"/>
            <w:u w:val="single"/>
          </w:rPr>
          <w:t>http://dof.gob.mx/nota_detalle.php?codigo=5492254&amp;fecha=28/07/2017</w:t>
        </w:r>
      </w:hyperlink>
      <w:r w:rsidRPr="00CC6359">
        <w:rPr>
          <w:rFonts w:eastAsia="Calibri" w:cs="Tahoma"/>
          <w:bCs/>
          <w:color w:val="auto"/>
        </w:rPr>
        <w:t>. Incluso con la captura de dicho código, a través de la aplicación móvil del Servicio de Administración Tributaria, permite el acceso al Registro Federal de Contribuyentes, como del Sujeto Obligado, como de los servidores públicos.</w:t>
      </w:r>
    </w:p>
    <w:p w:rsidRPr="00CC6359" w:rsidR="00CC6359" w:rsidP="00CC6359" w:rsidRDefault="00CC6359" w14:paraId="3153458F" w14:textId="77777777">
      <w:pPr>
        <w:spacing w:after="0" w:line="360" w:lineRule="auto"/>
        <w:rPr>
          <w:rFonts w:eastAsia="Calibri" w:cs="Tahoma"/>
          <w:bCs/>
          <w:color w:val="auto"/>
        </w:rPr>
      </w:pPr>
    </w:p>
    <w:p w:rsidRPr="00CC6359" w:rsidR="00CC6359" w:rsidP="00CC6359" w:rsidRDefault="00CC6359" w14:paraId="62A052B8" w14:textId="77777777">
      <w:pPr>
        <w:spacing w:after="0" w:line="360" w:lineRule="auto"/>
        <w:rPr>
          <w:rFonts w:eastAsia="Calibri" w:cs="Tahoma"/>
          <w:bCs/>
          <w:color w:val="auto"/>
        </w:rPr>
      </w:pPr>
      <w:r w:rsidRPr="00CC6359">
        <w:rPr>
          <w:rFonts w:eastAsia="Calibri" w:cs="Tahoma"/>
          <w:bCs/>
          <w:color w:val="auto"/>
        </w:rPr>
        <w:t xml:space="preserve">De tales circunstancias, se considera que dicho dato actualiza la causal de clasificación prevista en el artículo 143, fracción I de la Ley de la materia, toda vez que da acceso al Registro Federal </w:t>
      </w:r>
      <w:r w:rsidRPr="00CC6359">
        <w:rPr>
          <w:rFonts w:eastAsia="Calibri" w:cs="Tahoma"/>
          <w:bCs/>
          <w:color w:val="auto"/>
        </w:rPr>
        <w:lastRenderedPageBreak/>
        <w:t>de Contribuyentes de los servidores públicos del Sujeto Obligado, datos que tal como se señaló previamente, son clasificados.</w:t>
      </w:r>
    </w:p>
    <w:p w:rsidRPr="00CC6359" w:rsidR="00CC6359" w:rsidP="00CC6359" w:rsidRDefault="00CC6359" w14:paraId="3B923988" w14:textId="77777777">
      <w:pPr>
        <w:spacing w:after="0" w:line="360" w:lineRule="auto"/>
        <w:rPr>
          <w:rFonts w:eastAsia="Calibri" w:cs="Tahoma"/>
          <w:bCs/>
          <w:color w:val="auto"/>
        </w:rPr>
      </w:pPr>
    </w:p>
    <w:p w:rsidRPr="00CC6359" w:rsidR="00CC6359" w:rsidP="00CC6359" w:rsidRDefault="00CC6359" w14:paraId="73B5E454" w14:textId="77777777">
      <w:pPr>
        <w:spacing w:after="0" w:line="360" w:lineRule="auto"/>
        <w:rPr>
          <w:rFonts w:eastAsia="Calibri" w:cs="Times New Roman"/>
          <w:color w:val="auto"/>
          <w:lang w:eastAsia="es-ES"/>
        </w:rPr>
      </w:pPr>
      <w:r w:rsidRPr="00CC6359">
        <w:rPr>
          <w:rFonts w:eastAsia="Calibri" w:cs="Times New Roman"/>
          <w:color w:val="auto"/>
          <w:lang w:eastAsia="es-ES"/>
        </w:rPr>
        <w:t>No pasa desapercibido para este Instituto que, en algunos recibos de pago, el Sujeto Obligado testó de manera parcial los códigos bidimensionales; sin embargo, de la revisión de cada uno de estos, se logra desprender que no es posible acceder a los datos confidenciales de los servidores públicos, pues no se logra hacer la lectura de dichos códigos y por lo tanto, protegió de manera correcta la información.</w:t>
      </w:r>
    </w:p>
    <w:p w:rsidRPr="00CC6359" w:rsidR="00CC6359" w:rsidP="00CC6359" w:rsidRDefault="00CC6359" w14:paraId="24056720" w14:textId="77777777">
      <w:pPr>
        <w:spacing w:after="0" w:line="360" w:lineRule="auto"/>
        <w:rPr>
          <w:rFonts w:eastAsia="Times New Roman" w:cs="Tahoma"/>
          <w:bCs/>
          <w:iCs/>
          <w:color w:val="auto"/>
          <w:lang w:eastAsia="es-MX"/>
        </w:rPr>
      </w:pPr>
    </w:p>
    <w:p w:rsidRPr="00CC6359" w:rsidR="00CC6359" w:rsidP="00CC6359" w:rsidRDefault="00CC6359" w14:paraId="7E51ECCB" w14:textId="77777777">
      <w:pPr>
        <w:numPr>
          <w:ilvl w:val="0"/>
          <w:numId w:val="1"/>
        </w:numPr>
        <w:spacing w:after="0" w:line="360" w:lineRule="auto"/>
        <w:jc w:val="left"/>
        <w:rPr>
          <w:rFonts w:eastAsia="Times New Roman" w:cs="Tahoma"/>
          <w:b/>
          <w:bCs/>
          <w:iCs/>
          <w:color w:val="auto"/>
          <w:lang w:eastAsia="es-MX"/>
        </w:rPr>
      </w:pPr>
      <w:r w:rsidRPr="00CC6359">
        <w:rPr>
          <w:rFonts w:eastAsia="Times New Roman" w:cs="Tahoma"/>
          <w:b/>
          <w:bCs/>
          <w:iCs/>
          <w:color w:val="auto"/>
          <w:lang w:eastAsia="es-MX"/>
        </w:rPr>
        <w:t>Número de seguridad social del Instituto de Seguridad Social del Estado de México y Municipios.</w:t>
      </w:r>
    </w:p>
    <w:p w:rsidRPr="00CC6359" w:rsidR="00CC6359" w:rsidP="00CC6359" w:rsidRDefault="00CC6359" w14:paraId="27F63477" w14:textId="77777777">
      <w:pPr>
        <w:spacing w:after="0" w:line="360" w:lineRule="auto"/>
        <w:rPr>
          <w:rFonts w:eastAsia="Times New Roman" w:cs="Tahoma"/>
          <w:b/>
          <w:bCs/>
          <w:iCs/>
          <w:color w:val="auto"/>
          <w:lang w:eastAsia="es-MX"/>
        </w:rPr>
      </w:pPr>
    </w:p>
    <w:p w:rsidRPr="00CC6359" w:rsidR="00CC6359" w:rsidP="00CC6359" w:rsidRDefault="00CC6359" w14:paraId="2B477181"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CC6359" w:rsidR="00CC6359" w:rsidP="00CC6359" w:rsidRDefault="00CC6359" w14:paraId="6EDA2525" w14:textId="77777777">
      <w:pPr>
        <w:spacing w:after="0" w:line="360" w:lineRule="auto"/>
        <w:rPr>
          <w:rFonts w:eastAsia="Times New Roman" w:cs="Tahoma"/>
          <w:bCs/>
          <w:iCs/>
          <w:color w:val="auto"/>
          <w:lang w:eastAsia="es-MX"/>
        </w:rPr>
      </w:pPr>
    </w:p>
    <w:p w:rsidRPr="00CC6359" w:rsidR="00CC6359" w:rsidP="00CC6359" w:rsidRDefault="00CC6359" w14:paraId="41D000FD"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CC6359">
        <w:rPr>
          <w:rFonts w:eastAsia="Times New Roman" w:cs="Tahoma"/>
          <w:b/>
          <w:bCs/>
          <w:iCs/>
          <w:color w:val="auto"/>
          <w:lang w:eastAsia="es-MX"/>
        </w:rPr>
        <w:t>y se le asigna una clave para hacer identificable al trabajador con el objetivo de poder proporcionar los servicios que brinda el Instituto de Seguridad Social del Estado de México y Municipios.</w:t>
      </w:r>
    </w:p>
    <w:p w:rsidRPr="00CC6359" w:rsidR="00CC6359" w:rsidP="00CC6359" w:rsidRDefault="00CC6359" w14:paraId="63C2D02F" w14:textId="77777777">
      <w:pPr>
        <w:spacing w:after="0" w:line="360" w:lineRule="auto"/>
        <w:rPr>
          <w:rFonts w:eastAsia="Times New Roman" w:cs="Tahoma"/>
          <w:bCs/>
          <w:iCs/>
          <w:color w:val="auto"/>
          <w:lang w:eastAsia="es-MX"/>
        </w:rPr>
      </w:pPr>
    </w:p>
    <w:p w:rsidRPr="00CC6359" w:rsidR="00CC6359" w:rsidP="00CC6359" w:rsidRDefault="00CC6359" w14:paraId="43B998F4" w14:textId="77777777">
      <w:pPr>
        <w:spacing w:after="0" w:line="360" w:lineRule="auto"/>
        <w:rPr>
          <w:rFonts w:eastAsia="Times New Roman" w:cs="Tahoma"/>
          <w:bCs/>
          <w:iCs/>
          <w:color w:val="auto"/>
          <w:lang w:eastAsia="es-MX"/>
        </w:rPr>
      </w:pPr>
      <w:r w:rsidRPr="00CC6359">
        <w:rPr>
          <w:rFonts w:eastAsia="Times New Roman" w:cs="Tahoma"/>
          <w:bCs/>
          <w:iCs/>
          <w:color w:val="auto"/>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CC6359" w:rsidR="00CC6359" w:rsidP="00CC6359" w:rsidRDefault="00CC6359" w14:paraId="422DA879" w14:textId="77777777">
      <w:pPr>
        <w:spacing w:after="0" w:line="360" w:lineRule="auto"/>
        <w:rPr>
          <w:rFonts w:eastAsia="Times New Roman" w:cs="Tahoma"/>
          <w:bCs/>
          <w:iCs/>
          <w:color w:val="auto"/>
          <w:lang w:eastAsia="es-MX"/>
        </w:rPr>
      </w:pPr>
    </w:p>
    <w:p w:rsidRPr="00CC6359" w:rsidR="00CC6359" w:rsidP="00CC6359" w:rsidRDefault="00CC6359" w14:paraId="6CA51002" w14:textId="63D40CC3">
      <w:pPr>
        <w:spacing w:after="0" w:line="360" w:lineRule="auto"/>
        <w:rPr>
          <w:rFonts w:eastAsia="Times New Roman" w:cs="Tahoma"/>
          <w:bCs/>
          <w:iCs/>
          <w:color w:val="auto"/>
          <w:lang w:eastAsia="es-MX"/>
        </w:rPr>
      </w:pPr>
      <w:r w:rsidRPr="00CC6359">
        <w:rPr>
          <w:rFonts w:eastAsia="Times New Roman" w:cs="Tahoma"/>
          <w:bCs/>
          <w:iCs/>
          <w:color w:val="auto"/>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CC6359" w:rsidP="00CC6359" w:rsidRDefault="00CC6359" w14:paraId="136405B4" w14:textId="1C914292">
      <w:pPr>
        <w:spacing w:after="0" w:line="360" w:lineRule="auto"/>
        <w:rPr>
          <w:rFonts w:eastAsia="Times New Roman" w:cs="Tahoma"/>
          <w:bCs/>
          <w:iCs/>
          <w:color w:val="auto"/>
          <w:lang w:eastAsia="es-MX"/>
        </w:rPr>
      </w:pPr>
    </w:p>
    <w:p w:rsidRPr="00647391" w:rsidR="00647391" w:rsidP="00647391" w:rsidRDefault="00647391" w14:paraId="0BB3ACF0" w14:textId="48E3D56D">
      <w:pPr>
        <w:numPr>
          <w:ilvl w:val="0"/>
          <w:numId w:val="1"/>
        </w:numPr>
        <w:spacing w:after="0" w:line="360" w:lineRule="auto"/>
        <w:jc w:val="left"/>
        <w:rPr>
          <w:rFonts w:eastAsia="Times New Roman" w:cs="Tahoma"/>
          <w:bCs/>
          <w:iCs/>
          <w:color w:val="auto"/>
          <w:lang w:eastAsia="es-MX"/>
        </w:rPr>
      </w:pPr>
      <w:r>
        <w:rPr>
          <w:rFonts w:eastAsia="Times New Roman" w:cs="Tahoma"/>
          <w:b/>
          <w:iCs/>
          <w:color w:val="auto"/>
          <w:lang w:eastAsia="es-MX"/>
        </w:rPr>
        <w:t>Sueldos y percepciones.</w:t>
      </w:r>
    </w:p>
    <w:p w:rsidR="00647391" w:rsidP="00647391" w:rsidRDefault="00647391" w14:paraId="677F7FF3" w14:textId="215C86D0">
      <w:pPr>
        <w:spacing w:after="0" w:line="360" w:lineRule="auto"/>
        <w:jc w:val="left"/>
        <w:rPr>
          <w:rFonts w:eastAsia="Times New Roman" w:cs="Tahoma"/>
          <w:b/>
          <w:iCs/>
          <w:color w:val="auto"/>
          <w:lang w:eastAsia="es-MX"/>
        </w:rPr>
      </w:pPr>
    </w:p>
    <w:p w:rsidR="00C60189" w:rsidP="00C60189" w:rsidRDefault="00C60189" w14:paraId="63C8833A" w14:textId="640816CE">
      <w:pPr>
        <w:spacing w:after="0" w:line="360" w:lineRule="auto"/>
        <w:rPr>
          <w:rFonts w:eastAsia="Times New Roman" w:cs="Tahoma"/>
          <w:bCs/>
          <w:iCs/>
          <w:color w:val="auto"/>
          <w:lang w:val="es-ES" w:eastAsia="es-ES"/>
        </w:rPr>
      </w:pPr>
      <w:r>
        <w:rPr>
          <w:rFonts w:eastAsia="Times New Roman" w:cs="Tahoma"/>
          <w:bCs/>
          <w:iCs/>
          <w:color w:val="auto"/>
          <w:lang w:eastAsia="es-MX"/>
        </w:rPr>
        <w:t xml:space="preserve">Al respecto, caber recordar </w:t>
      </w:r>
      <w:r>
        <w:rPr>
          <w:rFonts w:eastAsia="Times New Roman" w:cs="Tahoma"/>
          <w:bCs/>
          <w:iCs/>
          <w:color w:val="auto"/>
          <w:lang w:val="es-ES" w:eastAsia="es-ES"/>
        </w:rPr>
        <w:t xml:space="preserve">que conforme al </w:t>
      </w:r>
      <w:r w:rsidRPr="00F01DEE">
        <w:rPr>
          <w:rFonts w:eastAsia="Times New Roman" w:cs="Tahoma"/>
          <w:bCs/>
          <w:iCs/>
          <w:color w:val="auto"/>
          <w:lang w:val="es-ES" w:eastAsia="es-ES"/>
        </w:rPr>
        <w:t xml:space="preserve">artículo 70, fracción VIII, de la Ley General de Transparencia y Acceso a la Información Pública y 92, fracción VIII, de la Ley de Transparencia y Acceso a la Información Pública del Estado de México y Municipios, </w:t>
      </w:r>
      <w:r>
        <w:rPr>
          <w:rFonts w:eastAsia="Times New Roman" w:cs="Tahoma"/>
          <w:bCs/>
          <w:iCs/>
          <w:color w:val="auto"/>
          <w:lang w:val="es-ES" w:eastAsia="es-ES"/>
        </w:rPr>
        <w:t>las remuneraciones que reciben los servidores públicos, guardan la naturaleza de publicas tanto los sueldos, como las prestaciones (</w:t>
      </w:r>
      <w:r w:rsidRPr="00F01DEE">
        <w:rPr>
          <w:rFonts w:eastAsia="Times New Roman" w:cs="Tahoma"/>
          <w:bCs/>
          <w:iCs/>
          <w:color w:val="auto"/>
          <w:lang w:val="es-ES" w:eastAsia="es-ES"/>
        </w:rPr>
        <w:t>gratificaciones, primas, comisiones, dietas, bonos, estímulos, entre otros</w:t>
      </w:r>
      <w:r>
        <w:rPr>
          <w:rFonts w:eastAsia="Times New Roman" w:cs="Tahoma"/>
          <w:bCs/>
          <w:iCs/>
          <w:color w:val="auto"/>
          <w:lang w:val="es-ES" w:eastAsia="es-ES"/>
        </w:rPr>
        <w:t>).</w:t>
      </w:r>
    </w:p>
    <w:p w:rsidR="00C60189" w:rsidP="00C60189" w:rsidRDefault="00C60189" w14:paraId="255FBCE5" w14:textId="64DE71C9">
      <w:pPr>
        <w:spacing w:after="0" w:line="360" w:lineRule="auto"/>
        <w:rPr>
          <w:rFonts w:eastAsia="Times New Roman" w:cs="Tahoma"/>
          <w:bCs/>
          <w:iCs/>
          <w:color w:val="auto"/>
          <w:lang w:val="es-ES" w:eastAsia="es-ES"/>
        </w:rPr>
      </w:pPr>
    </w:p>
    <w:p w:rsidRPr="00A242C3" w:rsidR="00A242C3" w:rsidP="00A242C3" w:rsidRDefault="00A242C3" w14:paraId="49B8EBD6" w14:textId="579D5345">
      <w:pPr>
        <w:spacing w:after="0" w:line="360" w:lineRule="auto"/>
        <w:rPr>
          <w:rFonts w:eastAsia="Times New Roman" w:cs="Arial"/>
          <w:bCs/>
          <w:color w:val="auto"/>
          <w:lang w:eastAsia="es-ES"/>
        </w:rPr>
      </w:pPr>
      <w:r w:rsidRPr="00A242C3">
        <w:rPr>
          <w:rFonts w:eastAsia="Times New Roman" w:cs="Tahoma"/>
          <w:color w:val="auto"/>
          <w:lang w:val="es-ES" w:eastAsia="es-ES"/>
        </w:rPr>
        <w:t xml:space="preserve">Como se logra observar que, mediante </w:t>
      </w:r>
      <w:r>
        <w:rPr>
          <w:rFonts w:eastAsia="Times New Roman" w:cs="Tahoma"/>
          <w:color w:val="auto"/>
          <w:lang w:val="es-ES" w:eastAsia="es-ES"/>
        </w:rPr>
        <w:t>los recibos de pago</w:t>
      </w:r>
      <w:r w:rsidRPr="00A242C3">
        <w:rPr>
          <w:rFonts w:eastAsia="Times New Roman" w:cs="Tahoma"/>
          <w:color w:val="auto"/>
          <w:lang w:val="es-ES" w:eastAsia="es-ES"/>
        </w:rPr>
        <w:t xml:space="preserve">, el Sujeto Obligado busca acreditar la manera en que se ejercieron determinadas recursos públicos; sobre el tema, </w:t>
      </w:r>
      <w:r w:rsidRPr="00A242C3">
        <w:rPr>
          <w:rFonts w:eastAsia="Times New Roman" w:cs="Arial"/>
          <w:bCs/>
          <w:color w:val="auto"/>
          <w:lang w:eastAsia="es-ES"/>
        </w:rPr>
        <w:t xml:space="preserve">según Arizmendi, Guillermo (2016), en la “Ley General de Transparencia y Acceso a la Información </w:t>
      </w:r>
      <w:r w:rsidRPr="00A242C3">
        <w:rPr>
          <w:rFonts w:eastAsia="Times New Roman" w:cs="Arial"/>
          <w:bCs/>
          <w:color w:val="auto"/>
          <w:lang w:eastAsia="es-ES"/>
        </w:rPr>
        <w:lastRenderedPageBreak/>
        <w:t>Pública Comentada” (p. 240 y 241), los recursos públicos, deber ser administrados con responsabilidad y transparencia.</w:t>
      </w:r>
    </w:p>
    <w:p w:rsidRPr="00A242C3" w:rsidR="00A242C3" w:rsidP="00A242C3" w:rsidRDefault="00A242C3" w14:paraId="563C415D" w14:textId="77777777">
      <w:pPr>
        <w:shd w:val="clear" w:color="auto" w:fill="FFFFFF" w:themeFill="background1"/>
        <w:spacing w:after="0" w:line="360" w:lineRule="auto"/>
        <w:rPr>
          <w:rFonts w:eastAsia="Times New Roman" w:cs="Tahoma"/>
          <w:color w:val="auto"/>
          <w:lang w:val="es-ES" w:eastAsia="es-ES"/>
        </w:rPr>
      </w:pPr>
    </w:p>
    <w:p w:rsidRPr="00A242C3" w:rsidR="00A242C3" w:rsidP="00A242C3" w:rsidRDefault="00A242C3" w14:paraId="60A477B5" w14:textId="77777777">
      <w:pPr>
        <w:spacing w:after="0" w:line="360" w:lineRule="auto"/>
        <w:rPr>
          <w:rFonts w:eastAsia="Times New Roman" w:cs="Tahoma"/>
          <w:b/>
          <w:color w:val="auto"/>
          <w:lang w:val="es-ES" w:eastAsia="es-ES"/>
        </w:rPr>
      </w:pPr>
      <w:r w:rsidRPr="00A242C3">
        <w:rPr>
          <w:rFonts w:eastAsia="Times New Roman" w:cs="Tahoma"/>
          <w:color w:val="auto"/>
          <w:lang w:val="es-ES" w:eastAsia="es-ES"/>
        </w:rPr>
        <w:t xml:space="preserve">En ese orden de ideas, según Trujillo, Humberto (2019), en el “Diccionario de Transparencia y Acceso a la Información Pública” (p. 276), </w:t>
      </w:r>
      <w:r w:rsidRPr="00A242C3">
        <w:rPr>
          <w:rFonts w:eastAsia="Times New Roman" w:cs="Tahoma"/>
          <w:b/>
          <w:color w:val="auto"/>
          <w:lang w:val="es-ES" w:eastAsia="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Pr="00A242C3" w:rsidR="00A242C3" w:rsidP="00A242C3" w:rsidRDefault="00A242C3" w14:paraId="20913C50" w14:textId="77777777">
      <w:pPr>
        <w:spacing w:after="0" w:line="360" w:lineRule="auto"/>
        <w:rPr>
          <w:rFonts w:eastAsia="Times New Roman" w:cs="Tahoma"/>
          <w:b/>
          <w:color w:val="auto"/>
          <w:lang w:val="es-ES" w:eastAsia="es-ES"/>
        </w:rPr>
      </w:pPr>
    </w:p>
    <w:p w:rsidRPr="00A242C3" w:rsidR="00A242C3" w:rsidP="00A242C3" w:rsidRDefault="00A242C3" w14:paraId="7EC38F91" w14:textId="77777777">
      <w:pPr>
        <w:spacing w:after="0" w:line="360" w:lineRule="auto"/>
        <w:rPr>
          <w:rFonts w:eastAsia="Times New Roman" w:cs="Tahoma"/>
          <w:color w:val="auto"/>
          <w:lang w:eastAsia="es-ES"/>
        </w:rPr>
      </w:pPr>
      <w:r w:rsidRPr="00A242C3">
        <w:rPr>
          <w:rFonts w:eastAsia="Times New Roman" w:cs="Tahoma"/>
          <w:color w:val="auto"/>
          <w:lang w:val="es-ES" w:eastAsia="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A242C3">
        <w:rPr>
          <w:rFonts w:eastAsia="Times New Roman" w:cs="Tahoma"/>
          <w:b/>
          <w:color w:val="auto"/>
          <w:lang w:val="es-ES" w:eastAsia="es-ES"/>
        </w:rPr>
        <w:t xml:space="preserve">transparencia </w:t>
      </w:r>
      <w:r w:rsidRPr="00A242C3">
        <w:rPr>
          <w:rFonts w:eastAsia="Times New Roman" w:cs="Tahoma"/>
          <w:color w:val="auto"/>
          <w:lang w:val="es-ES" w:eastAsia="es-ES"/>
        </w:rPr>
        <w:t xml:space="preserve">y honradez; sobre lo referido,  </w:t>
      </w:r>
      <w:r w:rsidRPr="00A242C3">
        <w:rPr>
          <w:rFonts w:eastAsia="Times New Roman" w:cs="Tahoma"/>
          <w:color w:val="auto"/>
          <w:lang w:eastAsia="es-ES"/>
        </w:rPr>
        <w:t>la Tesis número 1a.CXLV/2009, Novena Época, publicada en el Semanario Judicial de la Federación, Tomo XXX, de septiembre de dos mil nueve, (p. 2712), establece lo siguiente:</w:t>
      </w:r>
    </w:p>
    <w:p w:rsidRPr="00A242C3" w:rsidR="00A242C3" w:rsidP="00A242C3" w:rsidRDefault="00A242C3" w14:paraId="2F67AAF5" w14:textId="77777777">
      <w:pPr>
        <w:spacing w:after="0" w:line="360" w:lineRule="auto"/>
        <w:rPr>
          <w:rFonts w:eastAsia="Times New Roman" w:cs="Tahoma"/>
          <w:color w:val="auto"/>
          <w:lang w:val="es-ES" w:eastAsia="es-ES"/>
        </w:rPr>
      </w:pPr>
    </w:p>
    <w:p w:rsidRPr="00A242C3" w:rsidR="00A242C3" w:rsidP="00A242C3" w:rsidRDefault="00A242C3" w14:paraId="37164774" w14:textId="77777777">
      <w:pPr>
        <w:spacing w:after="0" w:line="360" w:lineRule="auto"/>
        <w:ind w:left="567" w:right="567"/>
        <w:rPr>
          <w:rFonts w:eastAsia="Times New Roman" w:cs="Tahoma"/>
          <w:bCs/>
          <w:i/>
          <w:iCs/>
          <w:color w:val="auto"/>
          <w:sz w:val="20"/>
          <w:szCs w:val="20"/>
          <w:lang w:val="es-ES" w:eastAsia="es-ES"/>
        </w:rPr>
      </w:pPr>
      <w:r w:rsidRPr="00A242C3">
        <w:rPr>
          <w:rFonts w:eastAsia="Times New Roman" w:cs="Tahoma"/>
          <w:b/>
          <w:bCs/>
          <w:i/>
          <w:iCs/>
          <w:color w:val="auto"/>
          <w:sz w:val="20"/>
          <w:szCs w:val="20"/>
          <w:lang w:val="es-ES" w:eastAsia="es-ES"/>
        </w:rPr>
        <w:t>“</w:t>
      </w:r>
      <w:r w:rsidRPr="00A242C3">
        <w:rPr>
          <w:rFonts w:eastAsia="Times New Roman" w:cs="Tahoma"/>
          <w:b/>
          <w:bCs/>
          <w:i/>
          <w:iCs/>
          <w:color w:val="auto"/>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sidRPr="00A242C3">
        <w:rPr>
          <w:rFonts w:eastAsia="Times New Roman" w:cs="Tahoma"/>
          <w:bCs/>
          <w:i/>
          <w:iCs/>
          <w:color w:val="auto"/>
          <w:sz w:val="20"/>
          <w:szCs w:val="20"/>
          <w:lang w:eastAsia="es-ES"/>
        </w:rPr>
        <w:t xml:space="preserve">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w:t>
      </w:r>
      <w:r w:rsidRPr="00A242C3">
        <w:rPr>
          <w:rFonts w:eastAsia="Times New Roman" w:cs="Tahoma"/>
          <w:bCs/>
          <w:i/>
          <w:iCs/>
          <w:color w:val="auto"/>
          <w:sz w:val="20"/>
          <w:szCs w:val="20"/>
          <w:lang w:eastAsia="es-ES"/>
        </w:rPr>
        <w:lastRenderedPageBreak/>
        <w:t>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A242C3">
        <w:rPr>
          <w:rFonts w:eastAsia="Times New Roman" w:cs="Tahoma"/>
          <w:bCs/>
          <w:i/>
          <w:iCs/>
          <w:color w:val="auto"/>
          <w:sz w:val="20"/>
          <w:szCs w:val="20"/>
          <w:lang w:val="es-ES" w:eastAsia="es-ES"/>
        </w:rPr>
        <w:t>”</w:t>
      </w:r>
    </w:p>
    <w:p w:rsidRPr="00A242C3" w:rsidR="00A242C3" w:rsidP="00A242C3" w:rsidRDefault="00A242C3" w14:paraId="6CC00DCC" w14:textId="77777777">
      <w:pPr>
        <w:spacing w:after="0" w:line="360" w:lineRule="auto"/>
        <w:rPr>
          <w:rFonts w:eastAsia="Times New Roman" w:cs="Tahoma"/>
          <w:bCs/>
          <w:iCs/>
          <w:color w:val="auto"/>
          <w:lang w:val="es-ES" w:eastAsia="es-ES"/>
        </w:rPr>
      </w:pPr>
    </w:p>
    <w:p w:rsidRPr="00A242C3" w:rsidR="00A242C3" w:rsidP="00A242C3" w:rsidRDefault="00A242C3" w14:paraId="1EDE3117" w14:textId="77777777">
      <w:pPr>
        <w:spacing w:after="0" w:line="360" w:lineRule="auto"/>
        <w:rPr>
          <w:rFonts w:eastAsia="Times New Roman" w:cs="Tahoma"/>
          <w:bCs/>
          <w:iCs/>
          <w:color w:val="auto"/>
          <w:lang w:val="es-ES" w:eastAsia="es-ES"/>
        </w:rPr>
      </w:pPr>
      <w:r w:rsidRPr="00A242C3">
        <w:rPr>
          <w:rFonts w:eastAsia="Times New Roman" w:cs="Tahoma"/>
          <w:bCs/>
          <w:iCs/>
          <w:color w:val="auto"/>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rsidRPr="00A242C3" w:rsidR="00A242C3" w:rsidP="00A242C3" w:rsidRDefault="00A242C3" w14:paraId="4D0DFB13" w14:textId="77777777">
      <w:pPr>
        <w:spacing w:after="0" w:line="360" w:lineRule="auto"/>
        <w:rPr>
          <w:rFonts w:eastAsia="Times New Roman" w:cs="Tahoma"/>
          <w:bCs/>
          <w:iCs/>
          <w:color w:val="auto"/>
          <w:lang w:val="es-ES" w:eastAsia="es-ES"/>
        </w:rPr>
      </w:pPr>
    </w:p>
    <w:p w:rsidR="00647391" w:rsidP="00CC6359" w:rsidRDefault="00A242C3" w14:paraId="622ED61F" w14:textId="17639439">
      <w:pPr>
        <w:spacing w:after="0" w:line="360" w:lineRule="auto"/>
        <w:rPr>
          <w:rFonts w:eastAsia="Times New Roman" w:cs="Tahoma"/>
          <w:color w:val="auto"/>
          <w:lang w:val="es-ES" w:eastAsia="es-ES"/>
        </w:rPr>
      </w:pPr>
      <w:r w:rsidRPr="00A242C3">
        <w:rPr>
          <w:rFonts w:eastAsia="Times New Roman" w:cs="Tahoma"/>
          <w:bCs/>
          <w:iCs/>
          <w:color w:val="auto"/>
          <w:lang w:val="es-ES" w:eastAsia="es-ES"/>
        </w:rPr>
        <w:t xml:space="preserve">Al respecto, </w:t>
      </w:r>
      <w:r w:rsidRPr="00A242C3">
        <w:rPr>
          <w:rFonts w:eastAsia="Times New Roman" w:cs="Tahoma"/>
          <w:color w:val="auto"/>
          <w:lang w:val="es-ES" w:eastAsia="es-ES"/>
        </w:rPr>
        <w:t xml:space="preserve">según Merino, Mauricio (2019), en el “Diccionario de Transparencia y Acceso a la Información Pública” (p. 276), </w:t>
      </w:r>
      <w:r w:rsidRPr="00A242C3">
        <w:rPr>
          <w:rFonts w:eastAsia="Times New Roman" w:cs="Tahoma"/>
          <w:b/>
          <w:color w:val="auto"/>
          <w:lang w:val="es-ES" w:eastAsia="es-ES"/>
        </w:rPr>
        <w:t xml:space="preserve">la rendición de cuentas, </w:t>
      </w:r>
      <w:r w:rsidRPr="00A242C3">
        <w:rPr>
          <w:rFonts w:eastAsia="Times New Roman" w:cs="Tahoma"/>
          <w:color w:val="auto"/>
          <w:lang w:val="es-ES" w:eastAsia="es-ES"/>
        </w:rPr>
        <w:t xml:space="preserve">es un ejercicio de transparencia e información pública; es un medio a través del cual los gobiernos informan al público de sus actividades, </w:t>
      </w:r>
      <w:r w:rsidRPr="00A242C3">
        <w:rPr>
          <w:rFonts w:eastAsia="Times New Roman" w:cs="Tahoma"/>
          <w:b/>
          <w:color w:val="auto"/>
          <w:lang w:val="es-ES" w:eastAsia="es-ES"/>
        </w:rPr>
        <w:t>de los recursos que han ejercido</w:t>
      </w:r>
      <w:r w:rsidRPr="00A242C3">
        <w:rPr>
          <w:rFonts w:eastAsia="Times New Roman" w:cs="Tahoma"/>
          <w:color w:val="auto"/>
          <w:lang w:val="es-ES" w:eastAsia="es-ES"/>
        </w:rPr>
        <w:t xml:space="preserve"> y de los resultados obtenidos.</w:t>
      </w:r>
    </w:p>
    <w:p w:rsidR="00A242C3" w:rsidP="00CC6359" w:rsidRDefault="00A242C3" w14:paraId="623A0A0C" w14:textId="67A0692A">
      <w:pPr>
        <w:spacing w:after="0" w:line="360" w:lineRule="auto"/>
        <w:rPr>
          <w:rFonts w:eastAsia="Times New Roman" w:cs="Tahoma"/>
          <w:color w:val="auto"/>
          <w:lang w:val="es-ES" w:eastAsia="es-ES"/>
        </w:rPr>
      </w:pPr>
    </w:p>
    <w:p w:rsidRPr="00A242C3" w:rsidR="00A242C3" w:rsidP="00CC6359" w:rsidRDefault="00A242C3" w14:paraId="0FEF654D" w14:textId="22BEAEFB">
      <w:pPr>
        <w:spacing w:after="0" w:line="360" w:lineRule="auto"/>
        <w:rPr>
          <w:rFonts w:eastAsia="Times New Roman" w:cs="Tahoma"/>
          <w:color w:val="auto"/>
          <w:lang w:val="es-ES" w:eastAsia="es-ES"/>
        </w:rPr>
      </w:pPr>
      <w:r>
        <w:rPr>
          <w:rFonts w:eastAsia="Times New Roman" w:cs="Tahoma"/>
          <w:color w:val="auto"/>
          <w:lang w:val="es-ES" w:eastAsia="es-ES"/>
        </w:rPr>
        <w:t xml:space="preserve">Conforme a lo anterior, se logra vislumbrar </w:t>
      </w:r>
      <w:r w:rsidR="004A715C">
        <w:rPr>
          <w:rFonts w:eastAsia="Times New Roman" w:cs="Tahoma"/>
          <w:color w:val="auto"/>
          <w:lang w:val="es-ES" w:eastAsia="es-ES"/>
        </w:rPr>
        <w:t>que cualquier tipo de erogación de recursos por parte de las instituciones públicas, guarda la naturaleza de pública; por lo que, las remuneraciones, sueldos y prestaciones de los servidores públicos, rinde cuentas de los recursos utilizados por el Ayuntamiento, para el pago de personal; por lo que, no resulta procedente la clasificación de dichos datos, en términos del artículo 143, fracción I, de la Ley de la materia.</w:t>
      </w:r>
    </w:p>
    <w:p w:rsidRPr="00CC6359" w:rsidR="00A242C3" w:rsidP="00CC6359" w:rsidRDefault="00A242C3" w14:paraId="454C25A1" w14:textId="77777777">
      <w:pPr>
        <w:spacing w:after="0" w:line="360" w:lineRule="auto"/>
        <w:rPr>
          <w:rFonts w:eastAsia="Times New Roman" w:cs="Tahoma"/>
          <w:bCs/>
          <w:iCs/>
          <w:color w:val="auto"/>
          <w:lang w:eastAsia="es-MX"/>
        </w:rPr>
      </w:pPr>
    </w:p>
    <w:p w:rsidRPr="00CC6359" w:rsidR="00CC6359" w:rsidP="00CC6359" w:rsidRDefault="00CC6359" w14:paraId="7F3B904C" w14:textId="77777777">
      <w:pPr>
        <w:numPr>
          <w:ilvl w:val="0"/>
          <w:numId w:val="1"/>
        </w:numPr>
        <w:spacing w:after="0" w:line="360" w:lineRule="auto"/>
        <w:jc w:val="left"/>
        <w:rPr>
          <w:rFonts w:eastAsia="Calibri" w:cs="Times New Roman"/>
          <w:b/>
          <w:bCs/>
          <w:color w:val="auto"/>
          <w:lang w:eastAsia="es-ES"/>
        </w:rPr>
      </w:pPr>
      <w:r w:rsidRPr="00CC6359">
        <w:rPr>
          <w:rFonts w:eastAsia="Calibri" w:cs="Times New Roman"/>
          <w:b/>
          <w:bCs/>
          <w:color w:val="auto"/>
          <w:lang w:eastAsia="es-ES"/>
        </w:rPr>
        <w:t>Deducciones por Ley.</w:t>
      </w:r>
    </w:p>
    <w:p w:rsidRPr="00CC6359" w:rsidR="00CC6359" w:rsidP="00CC6359" w:rsidRDefault="00CC6359" w14:paraId="2B1B9F82" w14:textId="77777777">
      <w:pPr>
        <w:spacing w:after="0" w:line="360" w:lineRule="auto"/>
        <w:rPr>
          <w:rFonts w:eastAsia="Calibri" w:cs="Times New Roman"/>
          <w:color w:val="auto"/>
          <w:lang w:eastAsia="es-ES"/>
        </w:rPr>
      </w:pPr>
    </w:p>
    <w:p w:rsidRPr="00CC6359" w:rsidR="00CC6359" w:rsidP="00CC6359" w:rsidRDefault="00CC6359" w14:paraId="5DC30748" w14:textId="77777777">
      <w:pPr>
        <w:spacing w:after="0" w:line="360" w:lineRule="auto"/>
        <w:rPr>
          <w:rFonts w:eastAsia="Calibri" w:cs="Times New Roman"/>
          <w:color w:val="auto"/>
          <w:lang w:eastAsia="es-ES"/>
        </w:rPr>
      </w:pPr>
      <w:r w:rsidRPr="00CC6359">
        <w:rPr>
          <w:rFonts w:eastAsia="Calibri" w:cs="Times New Roman"/>
          <w:color w:val="auto"/>
          <w:lang w:eastAsia="es-ES"/>
        </w:rPr>
        <w:t xml:space="preserve">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w:t>
      </w:r>
      <w:r w:rsidRPr="00CC6359">
        <w:rPr>
          <w:rFonts w:eastAsia="Calibri" w:cs="Times New Roman"/>
          <w:color w:val="auto"/>
          <w:lang w:eastAsia="es-ES"/>
        </w:rPr>
        <w:lastRenderedPageBreak/>
        <w:t>Social del Estado de México y Municipios, con motivo de las cuotas para acceder a los servicios de salud y descuentos por faltas de puntualidad o de asistencias justificadas.</w:t>
      </w:r>
    </w:p>
    <w:p w:rsidRPr="00CC6359" w:rsidR="00CC6359" w:rsidP="00CC6359" w:rsidRDefault="00CC6359" w14:paraId="1DFB32D2" w14:textId="77777777">
      <w:pPr>
        <w:spacing w:after="0" w:line="360" w:lineRule="auto"/>
        <w:rPr>
          <w:rFonts w:eastAsia="Calibri" w:cs="Times New Roman"/>
          <w:color w:val="auto"/>
          <w:lang w:eastAsia="es-ES"/>
        </w:rPr>
      </w:pPr>
    </w:p>
    <w:p w:rsidRPr="00CC6359" w:rsidR="00CC6359" w:rsidP="00CC6359" w:rsidRDefault="00CC6359" w14:paraId="48D957B6" w14:textId="77777777">
      <w:pPr>
        <w:spacing w:after="0" w:line="360" w:lineRule="auto"/>
        <w:rPr>
          <w:rFonts w:eastAsia="Calibri" w:cs="Times New Roman"/>
          <w:color w:val="auto"/>
          <w:lang w:eastAsia="es-ES"/>
        </w:rPr>
      </w:pPr>
      <w:r w:rsidRPr="00CC6359">
        <w:rPr>
          <w:rFonts w:eastAsia="Calibri" w:cs="Times New Roman"/>
          <w:color w:val="auto"/>
          <w:lang w:eastAsia="es-E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Pr="00CC6359" w:rsidR="00CC6359" w:rsidP="00CC6359" w:rsidRDefault="00CC6359" w14:paraId="5506CE83" w14:textId="77777777">
      <w:pPr>
        <w:spacing w:after="0" w:line="360" w:lineRule="auto"/>
        <w:rPr>
          <w:rFonts w:eastAsia="Calibri" w:cs="Times New Roman"/>
          <w:color w:val="auto"/>
          <w:lang w:eastAsia="es-ES"/>
        </w:rPr>
      </w:pPr>
    </w:p>
    <w:p w:rsidRPr="00CC6359" w:rsidR="00CC6359" w:rsidP="00CC6359" w:rsidRDefault="00CC6359" w14:paraId="012D58ED" w14:textId="77777777">
      <w:pPr>
        <w:spacing w:after="0" w:line="360" w:lineRule="auto"/>
        <w:rPr>
          <w:rFonts w:eastAsia="Calibri" w:cs="Times New Roman"/>
          <w:color w:val="auto"/>
          <w:lang w:eastAsia="es-ES"/>
        </w:rPr>
      </w:pPr>
      <w:r w:rsidRPr="00CC6359">
        <w:rPr>
          <w:rFonts w:eastAsia="Calibri" w:cs="Times New Roman"/>
          <w:color w:val="auto"/>
          <w:lang w:eastAsia="es-ES"/>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Pr="00CC6359" w:rsidR="00CC6359" w:rsidP="00CC6359" w:rsidRDefault="00CC6359" w14:paraId="43B92DB3" w14:textId="77777777">
      <w:pPr>
        <w:spacing w:after="0" w:line="360" w:lineRule="auto"/>
        <w:rPr>
          <w:rFonts w:eastAsia="Calibri" w:cs="Times New Roman"/>
          <w:color w:val="auto"/>
          <w:lang w:eastAsia="es-ES"/>
        </w:rPr>
      </w:pPr>
    </w:p>
    <w:p w:rsidRPr="00CC6359" w:rsidR="00CC6359" w:rsidP="00CC6359" w:rsidRDefault="00CC6359" w14:paraId="321B0F4F" w14:textId="77777777">
      <w:pPr>
        <w:spacing w:after="0" w:line="360" w:lineRule="auto"/>
        <w:rPr>
          <w:rFonts w:eastAsia="Calibri" w:cs="Times New Roman"/>
          <w:color w:val="auto"/>
          <w:lang w:eastAsia="es-ES"/>
        </w:rPr>
      </w:pPr>
      <w:r w:rsidRPr="00CC6359">
        <w:rPr>
          <w:rFonts w:eastAsia="Calibri" w:cs="Times New Roman"/>
          <w:color w:val="auto"/>
          <w:lang w:eastAsia="es-ES"/>
        </w:rPr>
        <w:t>Además, se advierte en el presente caso, que la servidora pública si cuenta con estas deducciones, pues el Sujeto Obligado, clasificó de manera correcta, su número de seguridad social (régimen de trabajo).</w:t>
      </w:r>
    </w:p>
    <w:p w:rsidRPr="00CC6359" w:rsidR="00CC6359" w:rsidP="00CC6359" w:rsidRDefault="00CC6359" w14:paraId="5327227D" w14:textId="77777777">
      <w:pPr>
        <w:spacing w:after="0" w:line="360" w:lineRule="auto"/>
        <w:rPr>
          <w:rFonts w:eastAsia="Calibri" w:cs="Times New Roman"/>
          <w:color w:val="auto"/>
          <w:lang w:eastAsia="es-ES"/>
        </w:rPr>
      </w:pPr>
    </w:p>
    <w:p w:rsidRPr="00CC6359" w:rsidR="00CC6359" w:rsidP="00CC6359" w:rsidRDefault="00CC6359" w14:paraId="1F62F89E" w14:textId="77777777">
      <w:pPr>
        <w:spacing w:after="0" w:line="360" w:lineRule="auto"/>
        <w:rPr>
          <w:rFonts w:eastAsia="Calibri" w:cs="Times New Roman"/>
          <w:color w:val="auto"/>
          <w:lang w:eastAsia="es-ES"/>
        </w:rPr>
      </w:pPr>
      <w:r w:rsidRPr="00CC6359">
        <w:rPr>
          <w:rFonts w:eastAsia="Calibri" w:cs="Times New Roman"/>
          <w:color w:val="auto"/>
          <w:lang w:eastAsia="es-ES"/>
        </w:rPr>
        <w:t>Por tal circunstancia y toda vez, que las deducciones por Ley, son de carácter obligatorio y ayuda a rendir cuentas, de que el Ayuntamiento de Teotihuacán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Pr="00CC6359" w:rsidR="00CC6359" w:rsidP="00CC6359" w:rsidRDefault="00CC6359" w14:paraId="32E88BC2" w14:textId="77777777">
      <w:pPr>
        <w:spacing w:after="0" w:line="360" w:lineRule="auto"/>
        <w:rPr>
          <w:rFonts w:eastAsia="Calibri" w:cs="Times New Roman"/>
          <w:color w:val="auto"/>
          <w:lang w:eastAsia="es-ES"/>
        </w:rPr>
      </w:pPr>
    </w:p>
    <w:p w:rsidRPr="00CC6359" w:rsidR="00CC6359" w:rsidP="00CC6359" w:rsidRDefault="00CC6359" w14:paraId="1E465A76" w14:textId="77777777">
      <w:pPr>
        <w:numPr>
          <w:ilvl w:val="0"/>
          <w:numId w:val="1"/>
        </w:numPr>
        <w:spacing w:after="0" w:line="360" w:lineRule="auto"/>
        <w:jc w:val="left"/>
        <w:rPr>
          <w:rFonts w:eastAsia="Calibri" w:cs="Tahoma"/>
          <w:b/>
          <w:color w:val="auto"/>
        </w:rPr>
      </w:pPr>
      <w:r w:rsidRPr="00CC6359">
        <w:rPr>
          <w:rFonts w:eastAsia="Calibri" w:cs="Tahoma"/>
          <w:b/>
          <w:color w:val="auto"/>
        </w:rPr>
        <w:t>Descuentos personales.</w:t>
      </w:r>
    </w:p>
    <w:p w:rsidRPr="00CC6359" w:rsidR="00CC6359" w:rsidP="00CC6359" w:rsidRDefault="00CC6359" w14:paraId="0C091133" w14:textId="77777777">
      <w:pPr>
        <w:spacing w:after="0" w:line="360" w:lineRule="auto"/>
        <w:ind w:left="720"/>
        <w:contextualSpacing/>
        <w:rPr>
          <w:rFonts w:eastAsia="Calibri" w:cs="Tahoma"/>
          <w:b/>
          <w:bCs/>
          <w:iCs/>
          <w:color w:val="auto"/>
        </w:rPr>
      </w:pPr>
    </w:p>
    <w:p w:rsidRPr="00CC6359" w:rsidR="00CC6359" w:rsidP="00CC6359" w:rsidRDefault="00CC6359" w14:paraId="52E58B12" w14:textId="77777777">
      <w:pPr>
        <w:spacing w:after="0" w:line="360" w:lineRule="auto"/>
        <w:rPr>
          <w:rFonts w:eastAsia="Calibri" w:cs="Tahoma"/>
          <w:bCs/>
          <w:color w:val="auto"/>
        </w:rPr>
      </w:pPr>
      <w:r w:rsidRPr="00CC6359">
        <w:rPr>
          <w:rFonts w:eastAsia="Calibri" w:cs="Tahoma"/>
          <w:bCs/>
          <w:color w:val="auto"/>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00CC6359" w:rsidP="00CC6359" w:rsidRDefault="00CC6359" w14:paraId="4B151E8F" w14:textId="3AEE005D">
      <w:pPr>
        <w:spacing w:after="0" w:line="360" w:lineRule="auto"/>
        <w:rPr>
          <w:rFonts w:eastAsia="Calibri" w:cs="Tahoma"/>
          <w:bCs/>
          <w:color w:val="auto"/>
        </w:rPr>
      </w:pPr>
    </w:p>
    <w:p w:rsidRPr="00CC6359" w:rsidR="00CC6359" w:rsidP="00CC6359" w:rsidRDefault="00CC6359" w14:paraId="044238CF" w14:textId="77777777">
      <w:pPr>
        <w:spacing w:after="0" w:line="360" w:lineRule="auto"/>
        <w:rPr>
          <w:rFonts w:eastAsia="Calibri" w:cs="Tahoma"/>
          <w:bCs/>
          <w:color w:val="auto"/>
        </w:rPr>
      </w:pPr>
      <w:r w:rsidRPr="00CC6359">
        <w:rPr>
          <w:rFonts w:eastAsia="Calibri" w:cs="Tahoma"/>
          <w:bCs/>
          <w:color w:val="auto"/>
        </w:rPr>
        <w:t xml:space="preserve">Asimismo, hay otras que se generan con motivo de una sentencia judicial, como es la pensión alimenticia que periódicamente se retira de la cuenta de un empleado, a efecto de que sea entregado a un tercero.  </w:t>
      </w:r>
    </w:p>
    <w:p w:rsidRPr="00CC6359" w:rsidR="00CC6359" w:rsidP="00CC6359" w:rsidRDefault="00CC6359" w14:paraId="7B89FD0A" w14:textId="77777777">
      <w:pPr>
        <w:spacing w:after="0" w:line="360" w:lineRule="auto"/>
        <w:rPr>
          <w:rFonts w:eastAsia="Calibri" w:cs="Tahoma"/>
          <w:bCs/>
          <w:color w:val="auto"/>
        </w:rPr>
      </w:pPr>
    </w:p>
    <w:p w:rsidRPr="00CC6359" w:rsidR="00CC6359" w:rsidP="00CC6359" w:rsidRDefault="00CC6359" w14:paraId="77BD7066" w14:textId="77777777">
      <w:pPr>
        <w:spacing w:after="0" w:line="360" w:lineRule="auto"/>
        <w:rPr>
          <w:rFonts w:eastAsia="Calibri" w:cs="Tahoma"/>
          <w:bCs/>
          <w:color w:val="auto"/>
        </w:rPr>
      </w:pPr>
      <w:r w:rsidRPr="00CC6359">
        <w:rPr>
          <w:rFonts w:eastAsia="Calibri" w:cs="Tahoma"/>
          <w:b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CC6359" w:rsidR="00CC6359" w:rsidP="00CC6359" w:rsidRDefault="00CC6359" w14:paraId="398DFE5A" w14:textId="77777777">
      <w:pPr>
        <w:spacing w:after="0" w:line="360" w:lineRule="auto"/>
        <w:rPr>
          <w:rFonts w:eastAsia="Calibri" w:cs="Tahoma"/>
          <w:bCs/>
          <w:color w:val="auto"/>
        </w:rPr>
      </w:pPr>
    </w:p>
    <w:p w:rsidRPr="00CC6359" w:rsidR="00CC6359" w:rsidP="00CC6359" w:rsidRDefault="00CC6359" w14:paraId="1763A1EF" w14:textId="77777777">
      <w:pPr>
        <w:spacing w:after="0" w:line="360" w:lineRule="auto"/>
        <w:rPr>
          <w:rFonts w:eastAsia="Calibri" w:cs="Tahoma"/>
          <w:bCs/>
          <w:color w:val="auto"/>
        </w:rPr>
      </w:pPr>
      <w:r w:rsidRPr="00CC6359">
        <w:rPr>
          <w:rFonts w:eastAsia="Calibri" w:cs="Tahoma"/>
          <w:bCs/>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CC6359" w:rsidR="00CC6359" w:rsidP="00CC6359" w:rsidRDefault="00CC6359" w14:paraId="6447FC21" w14:textId="77777777">
      <w:pPr>
        <w:spacing w:after="0" w:line="360" w:lineRule="auto"/>
        <w:rPr>
          <w:rFonts w:eastAsia="Times New Roman" w:cs="Tahoma"/>
          <w:b/>
          <w:bCs/>
          <w:iCs/>
          <w:color w:val="auto"/>
          <w:lang w:eastAsia="es-MX"/>
        </w:rPr>
      </w:pPr>
    </w:p>
    <w:p w:rsidRPr="008472E0" w:rsidR="00CC6359" w:rsidP="00540DB2" w:rsidRDefault="00CC6359" w14:paraId="7BCBE0DF" w14:textId="31A280DD">
      <w:pPr>
        <w:numPr>
          <w:ilvl w:val="0"/>
          <w:numId w:val="1"/>
        </w:numPr>
        <w:spacing w:after="0" w:line="360" w:lineRule="auto"/>
        <w:rPr>
          <w:rFonts w:eastAsia="Times New Roman" w:cs="Tahoma"/>
          <w:bCs/>
          <w:color w:val="auto"/>
          <w:lang w:eastAsia="es-ES"/>
        </w:rPr>
      </w:pPr>
      <w:r w:rsidRPr="00CC6359">
        <w:rPr>
          <w:rFonts w:eastAsia="Times New Roman" w:cs="Tahoma"/>
          <w:b/>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w:t>
      </w:r>
      <w:r w:rsidRPr="008472E0" w:rsidR="008472E0">
        <w:rPr>
          <w:rFonts w:eastAsia="Times New Roman" w:cs="Tahoma"/>
          <w:b/>
          <w:bCs/>
          <w:color w:val="auto"/>
          <w:szCs w:val="24"/>
          <w:lang w:eastAsia="es-ES"/>
        </w:rPr>
        <w:t xml:space="preserve"> y</w:t>
      </w:r>
      <w:r w:rsidRPr="00CC6359">
        <w:rPr>
          <w:rFonts w:eastAsia="Times New Roman" w:cs="Tahoma"/>
          <w:b/>
          <w:bCs/>
          <w:color w:val="auto"/>
          <w:szCs w:val="24"/>
          <w:lang w:eastAsia="es-ES"/>
        </w:rPr>
        <w:t xml:space="preserve"> folio fiscal</w:t>
      </w:r>
      <w:r w:rsidR="008472E0">
        <w:rPr>
          <w:rFonts w:eastAsia="Times New Roman" w:cs="Tahoma"/>
          <w:b/>
          <w:bCs/>
          <w:color w:val="auto"/>
          <w:szCs w:val="24"/>
          <w:lang w:eastAsia="es-ES"/>
        </w:rPr>
        <w:t>.</w:t>
      </w:r>
    </w:p>
    <w:p w:rsidR="008472E0" w:rsidP="008472E0" w:rsidRDefault="008472E0" w14:paraId="42365F2C" w14:textId="7B5B3B71">
      <w:pPr>
        <w:spacing w:after="0" w:line="360" w:lineRule="auto"/>
        <w:ind w:left="720"/>
        <w:rPr>
          <w:rFonts w:eastAsia="Times New Roman" w:cs="Tahoma"/>
          <w:bCs/>
          <w:color w:val="auto"/>
          <w:lang w:eastAsia="es-ES"/>
        </w:rPr>
      </w:pPr>
    </w:p>
    <w:p w:rsidR="00291426" w:rsidP="008472E0" w:rsidRDefault="00291426" w14:paraId="760463A5" w14:textId="216FAC0D">
      <w:pPr>
        <w:spacing w:after="0" w:line="360" w:lineRule="auto"/>
        <w:ind w:left="720"/>
        <w:rPr>
          <w:rFonts w:eastAsia="Times New Roman" w:cs="Tahoma"/>
          <w:bCs/>
          <w:color w:val="auto"/>
          <w:lang w:eastAsia="es-ES"/>
        </w:rPr>
      </w:pPr>
    </w:p>
    <w:p w:rsidRPr="00CC6359" w:rsidR="00291426" w:rsidP="008472E0" w:rsidRDefault="00291426" w14:paraId="542832FB" w14:textId="77777777">
      <w:pPr>
        <w:spacing w:after="0" w:line="360" w:lineRule="auto"/>
        <w:ind w:left="720"/>
        <w:rPr>
          <w:rFonts w:eastAsia="Times New Roman" w:cs="Tahoma"/>
          <w:bCs/>
          <w:color w:val="auto"/>
          <w:lang w:eastAsia="es-ES"/>
        </w:rPr>
      </w:pPr>
    </w:p>
    <w:p w:rsidRPr="00CC6359" w:rsidR="00CC6359" w:rsidP="00CC6359" w:rsidRDefault="00CC6359" w14:paraId="577ECC1D"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CC6359" w:rsidR="00CC6359" w:rsidP="00CC6359" w:rsidRDefault="00CC6359" w14:paraId="36694D2D"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w:t>
      </w:r>
    </w:p>
    <w:p w:rsidRPr="00CC6359" w:rsidR="00CC6359" w:rsidP="00CC6359" w:rsidRDefault="00CC6359" w14:paraId="00C28C9F" w14:textId="77777777">
      <w:pPr>
        <w:spacing w:after="0" w:line="360" w:lineRule="auto"/>
        <w:rPr>
          <w:rFonts w:eastAsia="Times New Roman" w:cs="Tahoma"/>
          <w:bCs/>
          <w:color w:val="auto"/>
          <w:lang w:val="es-ES" w:eastAsia="es-ES"/>
        </w:rPr>
      </w:pPr>
      <w:r w:rsidRPr="00CC6359">
        <w:rPr>
          <w:rFonts w:eastAsia="Times New Roman" w:cs="Tahoma"/>
          <w:color w:val="auto"/>
          <w:lang w:val="es-ES" w:eastAsia="es-ES"/>
        </w:rPr>
        <w:t>Las cadenas originales y sellos que se agregan a las facturas</w:t>
      </w:r>
      <w:r w:rsidRPr="00CC6359">
        <w:rPr>
          <w:rFonts w:eastAsia="Times New Roman" w:cs="Tahoma"/>
          <w:b/>
          <w:bCs/>
          <w:color w:val="auto"/>
          <w:lang w:val="es-ES" w:eastAsia="es-ES"/>
        </w:rPr>
        <w:t>,</w:t>
      </w:r>
      <w:r w:rsidRPr="00CC6359">
        <w:rPr>
          <w:rFonts w:eastAsia="Times New Roman" w:cs="Tahoma"/>
          <w:bCs/>
          <w:color w:val="auto"/>
          <w:lang w:val="es-ES" w:eastAsia="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CC6359" w:rsidR="00CC6359" w:rsidP="00CC6359" w:rsidRDefault="00CC6359" w14:paraId="42995800"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w:t>
      </w:r>
    </w:p>
    <w:p w:rsidRPr="00CC6359" w:rsidR="00CC6359" w:rsidP="00CC6359" w:rsidRDefault="00CC6359" w14:paraId="0FD1C03C"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w:t>
      </w:r>
    </w:p>
    <w:p w:rsidRPr="00CC6359" w:rsidR="00CC6359" w:rsidP="00CC6359" w:rsidRDefault="00CC6359" w14:paraId="7CC880A1"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Elementos utilizados en la generación de Sellos Digitales:</w:t>
      </w:r>
    </w:p>
    <w:p w:rsidRPr="00CC6359" w:rsidR="00CC6359" w:rsidP="00CC6359" w:rsidRDefault="00CC6359" w14:paraId="32FBA197"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w:t>
      </w:r>
      <w:r w:rsidRPr="00CC6359">
        <w:rPr>
          <w:rFonts w:eastAsia="Calibri" w:cs="Tahoma"/>
          <w:bCs/>
          <w:i/>
          <w:color w:val="auto"/>
          <w:sz w:val="20"/>
          <w:szCs w:val="20"/>
          <w:lang w:val="es-ES"/>
        </w:rPr>
        <w:tab/>
      </w:r>
      <w:r w:rsidRPr="00CC6359">
        <w:rPr>
          <w:rFonts w:eastAsia="Calibri" w:cs="Tahoma"/>
          <w:bCs/>
          <w:i/>
          <w:color w:val="auto"/>
          <w:sz w:val="20"/>
          <w:szCs w:val="20"/>
          <w:lang w:val="es-ES"/>
        </w:rPr>
        <w:t>Cadena Original, el elemento a sellar, en este caso de un comprobante fiscal digital a través de Internet.</w:t>
      </w:r>
    </w:p>
    <w:p w:rsidRPr="00CC6359" w:rsidR="00CC6359" w:rsidP="00CC6359" w:rsidRDefault="00CC6359" w14:paraId="7A72F67E"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w:t>
      </w:r>
      <w:r w:rsidRPr="00CC6359">
        <w:rPr>
          <w:rFonts w:eastAsia="Calibri" w:cs="Tahoma"/>
          <w:bCs/>
          <w:i/>
          <w:color w:val="auto"/>
          <w:sz w:val="20"/>
          <w:szCs w:val="20"/>
          <w:lang w:val="es-ES"/>
        </w:rPr>
        <w:tab/>
      </w:r>
      <w:r w:rsidRPr="00CC6359">
        <w:rPr>
          <w:rFonts w:eastAsia="Calibri" w:cs="Tahoma"/>
          <w:bCs/>
          <w:i/>
          <w:color w:val="auto"/>
          <w:sz w:val="20"/>
          <w:szCs w:val="20"/>
          <w:lang w:val="es-ES"/>
        </w:rPr>
        <w:t>Certificado de Sello Digital y su correspondiente clave privada.</w:t>
      </w:r>
    </w:p>
    <w:p w:rsidR="00CC6359" w:rsidP="00CC6359" w:rsidRDefault="00CC6359" w14:paraId="27673B68" w14:textId="2538B33B">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w:t>
      </w:r>
      <w:r w:rsidRPr="00CC6359">
        <w:rPr>
          <w:rFonts w:eastAsia="Calibri" w:cs="Tahoma"/>
          <w:bCs/>
          <w:i/>
          <w:color w:val="auto"/>
          <w:sz w:val="20"/>
          <w:szCs w:val="20"/>
          <w:lang w:val="es-ES"/>
        </w:rPr>
        <w:tab/>
      </w:r>
      <w:r w:rsidRPr="00CC6359">
        <w:rPr>
          <w:rFonts w:eastAsia="Calibri" w:cs="Tahoma"/>
          <w:bCs/>
          <w:i/>
          <w:color w:val="auto"/>
          <w:sz w:val="20"/>
          <w:szCs w:val="20"/>
          <w:lang w:val="es-ES"/>
        </w:rPr>
        <w:t>Algoritmos de criptografía de clave pública para firma electrónica avanzada.</w:t>
      </w:r>
    </w:p>
    <w:p w:rsidR="00291426" w:rsidP="00291426" w:rsidRDefault="00291426" w14:paraId="0B40B56E" w14:textId="4C7CEC04">
      <w:pPr>
        <w:spacing w:after="0" w:line="360" w:lineRule="auto"/>
        <w:ind w:right="539"/>
        <w:rPr>
          <w:rFonts w:eastAsia="Calibri" w:cs="Tahoma"/>
          <w:bCs/>
          <w:i/>
          <w:color w:val="auto"/>
          <w:sz w:val="20"/>
          <w:szCs w:val="20"/>
          <w:lang w:val="es-ES"/>
        </w:rPr>
      </w:pPr>
    </w:p>
    <w:p w:rsidR="00291426" w:rsidP="00291426" w:rsidRDefault="00291426" w14:paraId="6F7731FD" w14:textId="4AC59D43">
      <w:pPr>
        <w:spacing w:after="0" w:line="360" w:lineRule="auto"/>
        <w:ind w:right="539"/>
        <w:rPr>
          <w:rFonts w:eastAsia="Calibri" w:cs="Tahoma"/>
          <w:bCs/>
          <w:i/>
          <w:color w:val="auto"/>
          <w:sz w:val="20"/>
          <w:szCs w:val="20"/>
          <w:lang w:val="es-ES"/>
        </w:rPr>
      </w:pPr>
    </w:p>
    <w:p w:rsidRPr="00CC6359" w:rsidR="00291426" w:rsidP="00291426" w:rsidRDefault="00291426" w14:paraId="1A2EF1FA" w14:textId="77777777">
      <w:pPr>
        <w:spacing w:after="0" w:line="360" w:lineRule="auto"/>
        <w:ind w:right="539"/>
        <w:rPr>
          <w:rFonts w:eastAsia="Calibri" w:cs="Tahoma"/>
          <w:bCs/>
          <w:i/>
          <w:color w:val="auto"/>
          <w:sz w:val="20"/>
          <w:szCs w:val="20"/>
          <w:lang w:val="es-ES"/>
        </w:rPr>
      </w:pPr>
    </w:p>
    <w:p w:rsidRPr="00CC6359" w:rsidR="00CC6359" w:rsidP="00CC6359" w:rsidRDefault="00CC6359" w14:paraId="3E5ED388"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w:t>
      </w:r>
      <w:r w:rsidRPr="00CC6359">
        <w:rPr>
          <w:rFonts w:eastAsia="Calibri" w:cs="Tahoma"/>
          <w:bCs/>
          <w:i/>
          <w:color w:val="auto"/>
          <w:sz w:val="20"/>
          <w:szCs w:val="20"/>
          <w:lang w:val="es-ES"/>
        </w:rPr>
        <w:tab/>
      </w:r>
      <w:r w:rsidRPr="00CC6359">
        <w:rPr>
          <w:rFonts w:eastAsia="Calibri" w:cs="Tahoma"/>
          <w:bCs/>
          <w:i/>
          <w:color w:val="auto"/>
          <w:sz w:val="20"/>
          <w:szCs w:val="20"/>
          <w:lang w:val="es-ES"/>
        </w:rPr>
        <w:t>Especificaciones de conversión de la firma electrónica avanzada a Base 64.</w:t>
      </w:r>
    </w:p>
    <w:p w:rsidRPr="00CC6359" w:rsidR="00CC6359" w:rsidP="00CC6359" w:rsidRDefault="00CC6359" w14:paraId="56E5DE93"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Para la generación de sellos digitales se utiliza criptografía de clave pública aplicada a una cadena original.</w:t>
      </w:r>
    </w:p>
    <w:p w:rsidRPr="00CC6359" w:rsidR="00CC6359" w:rsidP="00CC6359" w:rsidRDefault="00CC6359" w14:paraId="34E26EB2"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Criptografía de la Clave Pública</w:t>
      </w:r>
    </w:p>
    <w:p w:rsidRPr="00CC6359" w:rsidR="00CC6359" w:rsidP="00CC6359" w:rsidRDefault="00CC6359" w14:paraId="6DBD84E5"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CC6359">
        <w:rPr>
          <w:rFonts w:eastAsia="Calibri" w:cs="Tahoma"/>
          <w:bCs/>
          <w:i/>
          <w:color w:val="auto"/>
          <w:sz w:val="20"/>
          <w:szCs w:val="20"/>
          <w:lang w:val="es-ES"/>
        </w:rPr>
        <w:t>encripción</w:t>
      </w:r>
      <w:proofErr w:type="spellEnd"/>
      <w:r w:rsidRPr="00CC6359">
        <w:rPr>
          <w:rFonts w:eastAsia="Calibri" w:cs="Tahoma"/>
          <w:bCs/>
          <w:i/>
          <w:color w:val="auto"/>
          <w:sz w:val="20"/>
          <w:szCs w:val="20"/>
          <w:lang w:val="es-ES"/>
        </w:rPr>
        <w:t xml:space="preserve"> sobre un mensaje tomando como clave de </w:t>
      </w:r>
      <w:proofErr w:type="spellStart"/>
      <w:r w:rsidRPr="00CC6359">
        <w:rPr>
          <w:rFonts w:eastAsia="Calibri" w:cs="Tahoma"/>
          <w:bCs/>
          <w:i/>
          <w:color w:val="auto"/>
          <w:sz w:val="20"/>
          <w:szCs w:val="20"/>
          <w:lang w:val="es-ES"/>
        </w:rPr>
        <w:t>encripción</w:t>
      </w:r>
      <w:proofErr w:type="spellEnd"/>
      <w:r w:rsidRPr="00CC6359">
        <w:rPr>
          <w:rFonts w:eastAsia="Calibri" w:cs="Tahoma"/>
          <w:bCs/>
          <w:i/>
          <w:color w:val="auto"/>
          <w:sz w:val="20"/>
          <w:szCs w:val="20"/>
          <w:lang w:val="es-ES"/>
        </w:rPr>
        <w:t xml:space="preserve"> a uno de los dos números, produce un mensaje alterado en su significado que solo puede ser devuelto a su estado original mediante la operación de </w:t>
      </w:r>
      <w:proofErr w:type="spellStart"/>
      <w:r w:rsidRPr="00CC6359">
        <w:rPr>
          <w:rFonts w:eastAsia="Calibri" w:cs="Tahoma"/>
          <w:bCs/>
          <w:i/>
          <w:color w:val="auto"/>
          <w:sz w:val="20"/>
          <w:szCs w:val="20"/>
          <w:lang w:val="es-ES"/>
        </w:rPr>
        <w:t>desencripción</w:t>
      </w:r>
      <w:proofErr w:type="spellEnd"/>
      <w:r w:rsidRPr="00CC6359">
        <w:rPr>
          <w:rFonts w:eastAsia="Calibri" w:cs="Tahoma"/>
          <w:bCs/>
          <w:i/>
          <w:color w:val="auto"/>
          <w:sz w:val="20"/>
          <w:szCs w:val="20"/>
          <w:lang w:val="es-ES"/>
        </w:rPr>
        <w:t xml:space="preserve"> correspondiente tomando como clave de </w:t>
      </w:r>
      <w:proofErr w:type="spellStart"/>
      <w:r w:rsidRPr="00CC6359">
        <w:rPr>
          <w:rFonts w:eastAsia="Calibri" w:cs="Tahoma"/>
          <w:bCs/>
          <w:i/>
          <w:color w:val="auto"/>
          <w:sz w:val="20"/>
          <w:szCs w:val="20"/>
          <w:lang w:val="es-ES"/>
        </w:rPr>
        <w:t>desencripción</w:t>
      </w:r>
      <w:proofErr w:type="spellEnd"/>
      <w:r w:rsidRPr="00CC6359">
        <w:rPr>
          <w:rFonts w:eastAsia="Calibri" w:cs="Tahoma"/>
          <w:bCs/>
          <w:i/>
          <w:color w:val="auto"/>
          <w:sz w:val="20"/>
          <w:szCs w:val="20"/>
          <w:lang w:val="es-ES"/>
        </w:rPr>
        <w:t xml:space="preserve"> al otro número de la pareja.</w:t>
      </w:r>
    </w:p>
    <w:p w:rsidRPr="00CC6359" w:rsidR="00CC6359" w:rsidP="00CC6359" w:rsidRDefault="00CC6359" w14:paraId="1AA0240E" w14:textId="77777777">
      <w:pPr>
        <w:spacing w:after="0" w:line="360" w:lineRule="auto"/>
        <w:ind w:left="567" w:right="539"/>
        <w:rPr>
          <w:rFonts w:eastAsia="Calibri" w:cs="Tahoma"/>
          <w:bCs/>
          <w:i/>
          <w:color w:val="auto"/>
          <w:sz w:val="20"/>
          <w:szCs w:val="20"/>
          <w:lang w:val="es-ES"/>
        </w:rPr>
      </w:pPr>
      <w:r w:rsidRPr="00CC6359">
        <w:rPr>
          <w:rFonts w:eastAsia="Calibri" w:cs="Tahoma"/>
          <w:bCs/>
          <w:i/>
          <w:color w:val="auto"/>
          <w:sz w:val="20"/>
          <w:szCs w:val="20"/>
          <w:lang w:val="es-ES"/>
        </w:rPr>
        <w:t>…”</w:t>
      </w:r>
    </w:p>
    <w:p w:rsidRPr="00CC6359" w:rsidR="00CC6359" w:rsidP="00CC6359" w:rsidRDefault="00CC6359" w14:paraId="1FE14893" w14:textId="2415F8A4">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w:t>
      </w:r>
    </w:p>
    <w:p w:rsidRPr="00CC6359" w:rsidR="00CC6359" w:rsidP="00CC6359" w:rsidRDefault="00CC6359" w14:paraId="20A9E820"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CC6359" w:rsidR="00CC6359" w:rsidP="00CC6359" w:rsidRDefault="00CC6359" w14:paraId="313ADA5C" w14:textId="77777777">
      <w:pPr>
        <w:spacing w:after="0" w:line="360" w:lineRule="auto"/>
        <w:rPr>
          <w:rFonts w:eastAsia="Times New Roman" w:cs="Tahoma"/>
          <w:bCs/>
          <w:color w:val="auto"/>
          <w:lang w:val="es-ES" w:eastAsia="es-ES"/>
        </w:rPr>
      </w:pPr>
    </w:p>
    <w:p w:rsidRPr="00CC6359" w:rsidR="00CC6359" w:rsidP="00CC6359" w:rsidRDefault="00CC6359" w14:paraId="39D7C0E2" w14:textId="319B5815">
      <w:pPr>
        <w:spacing w:after="0" w:line="360" w:lineRule="auto"/>
        <w:rPr>
          <w:rFonts w:eastAsia="Times New Roman" w:cs="Tahoma"/>
          <w:bCs/>
          <w:color w:val="auto"/>
          <w:lang w:eastAsia="es-ES"/>
        </w:rPr>
      </w:pPr>
      <w:r w:rsidRPr="00CC6359">
        <w:rPr>
          <w:rFonts w:eastAsia="Times New Roman" w:cs="Tahoma"/>
          <w:bCs/>
          <w:color w:val="auto"/>
          <w:lang w:val="es-ES" w:eastAsia="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w:t>
      </w:r>
      <w:r w:rsidR="008472E0">
        <w:rPr>
          <w:rFonts w:eastAsia="Times New Roman" w:cs="Tahoma"/>
          <w:bCs/>
          <w:color w:val="auto"/>
          <w:lang w:val="es-ES" w:eastAsia="es-ES"/>
        </w:rPr>
        <w:t>diecinueve de mayo de dos mil veintidós</w:t>
      </w:r>
      <w:r w:rsidRPr="00CC6359">
        <w:rPr>
          <w:rFonts w:eastAsia="Times New Roman" w:cs="Tahoma"/>
          <w:bCs/>
          <w:color w:val="auto"/>
          <w:lang w:val="es-ES" w:eastAsia="es-ES"/>
        </w:rPr>
        <w:t xml:space="preserve">, a las once horas con diez minutos, en la página electrónica </w:t>
      </w:r>
      <w:hyperlink w:history="1" r:id="rId14">
        <w:r w:rsidRPr="00CC6359">
          <w:rPr>
            <w:rFonts w:eastAsia="Yu Gothic Light" w:cs="Tahoma"/>
            <w:bCs/>
            <w:color w:val="0563C1"/>
            <w:u w:val="single"/>
            <w:lang w:eastAsia="es-ES"/>
          </w:rPr>
          <w:t>https://portalanterior.ine.mx/archivos2/tutoriales/sistemas/ApoyoInstitucional/SIF/docs/candidatos/folioFiscalFactura.pdf</w:t>
        </w:r>
      </w:hyperlink>
      <w:r w:rsidRPr="00CC6359">
        <w:rPr>
          <w:rFonts w:eastAsia="Times New Roman" w:cs="Tahoma"/>
          <w:bCs/>
          <w:color w:val="auto"/>
          <w:lang w:val="es-ES" w:eastAsia="es-ES"/>
        </w:rPr>
        <w:t>), en la cual se advierte que únicamente se encuentra conformado por números, se muestra a continuación:</w:t>
      </w:r>
    </w:p>
    <w:p w:rsidRPr="00CC6359" w:rsidR="00CC6359" w:rsidP="00CC6359" w:rsidRDefault="00CC6359" w14:paraId="250F6031"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lastRenderedPageBreak/>
        <w:t> </w:t>
      </w:r>
    </w:p>
    <w:p w:rsidRPr="00CC6359" w:rsidR="00CC6359" w:rsidP="00CC6359" w:rsidRDefault="00CC6359" w14:paraId="59E9F338" w14:textId="77777777">
      <w:pPr>
        <w:spacing w:after="0" w:line="360" w:lineRule="auto"/>
        <w:jc w:val="center"/>
        <w:rPr>
          <w:rFonts w:eastAsia="Times New Roman" w:cs="Tahoma"/>
          <w:bCs/>
          <w:color w:val="auto"/>
          <w:lang w:eastAsia="es-ES"/>
        </w:rPr>
      </w:pPr>
      <w:r w:rsidRPr="00CC6359">
        <w:rPr>
          <w:rFonts w:ascii="Times New Roman" w:hAnsi="Times New Roman" w:eastAsia="Times New Roman" w:cs="Times New Roman"/>
          <w:noProof/>
          <w:color w:val="auto"/>
          <w:sz w:val="20"/>
          <w:szCs w:val="20"/>
          <w:lang w:val="es-ES" w:eastAsia="es-ES"/>
        </w:rPr>
        <mc:AlternateContent>
          <mc:Choice Requires="wps">
            <w:drawing>
              <wp:anchor distT="0" distB="0" distL="114300" distR="114300" simplePos="0" relativeHeight="251659264" behindDoc="0" locked="0" layoutInCell="1" allowOverlap="1" wp14:anchorId="370411FD" wp14:editId="3232F88B">
                <wp:simplePos x="0" y="0"/>
                <wp:positionH relativeFrom="column">
                  <wp:posOffset>163194</wp:posOffset>
                </wp:positionH>
                <wp:positionV relativeFrom="paragraph">
                  <wp:posOffset>859156</wp:posOffset>
                </wp:positionV>
                <wp:extent cx="3648075" cy="228600"/>
                <wp:effectExtent l="19050" t="19050" r="28575" b="19050"/>
                <wp:wrapNone/>
                <wp:docPr id="39"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6ABFFC">
              <v:rect id="Rectángulo 20" style="position:absolute;margin-left:12.85pt;margin-top:67.65pt;width:28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62D43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"/>
            </w:pict>
          </mc:Fallback>
        </mc:AlternateContent>
      </w:r>
      <w:r w:rsidRPr="00CC6359">
        <w:rPr>
          <w:rFonts w:eastAsia="Times New Roman" w:cs="Tahoma"/>
          <w:noProof/>
          <w:color w:val="auto"/>
          <w:lang w:val="es-ES" w:eastAsia="es-ES"/>
        </w:rPr>
        <w:drawing>
          <wp:inline distT="0" distB="0" distL="0" distR="0" wp14:anchorId="6875B9F8" wp14:editId="076C5842">
            <wp:extent cx="5751873" cy="1114425"/>
            <wp:effectExtent l="0" t="0" r="1270" b="0"/>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6650" cy="1132788"/>
                    </a:xfrm>
                    <a:prstGeom prst="rect">
                      <a:avLst/>
                    </a:prstGeom>
                    <a:noFill/>
                    <a:ln>
                      <a:noFill/>
                    </a:ln>
                  </pic:spPr>
                </pic:pic>
              </a:graphicData>
            </a:graphic>
          </wp:inline>
        </w:drawing>
      </w:r>
    </w:p>
    <w:p w:rsidRPr="00CC6359" w:rsidR="00CC6359" w:rsidP="00CC6359" w:rsidRDefault="00CC6359" w14:paraId="7F2486C1"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w:t>
      </w:r>
    </w:p>
    <w:p w:rsidRPr="00CC6359" w:rsidR="00CC6359" w:rsidP="00CC6359" w:rsidRDefault="00CC6359" w14:paraId="37528B08" w14:textId="77777777">
      <w:pPr>
        <w:spacing w:after="0" w:line="360" w:lineRule="auto"/>
        <w:rPr>
          <w:rFonts w:eastAsia="Times New Roman" w:cs="Tahoma"/>
          <w:color w:val="auto"/>
          <w:lang w:val="es-ES" w:eastAsia="es-ES"/>
        </w:rPr>
      </w:pPr>
      <w:r w:rsidRPr="00CC6359">
        <w:rPr>
          <w:rFonts w:eastAsia="Times New Roman" w:cs="Tahoma"/>
          <w:bCs/>
          <w:color w:val="auto"/>
          <w:lang w:val="es-ES" w:eastAsia="es-ES"/>
        </w:rPr>
        <w:t>Como se logra observar, los números de serie del certificado de sello digital no contiene datos personales y con dichos dígitos tampoco se puede obtener información de carácter confidencial,</w:t>
      </w:r>
      <w:r w:rsidRPr="00CC6359">
        <w:rPr>
          <w:rFonts w:eastAsia="Times New Roman" w:cs="Tahoma"/>
          <w:b/>
          <w:bCs/>
          <w:color w:val="auto"/>
          <w:lang w:val="es-ES" w:eastAsia="es-ES"/>
        </w:rPr>
        <w:t xml:space="preserve"> </w:t>
      </w:r>
      <w:r w:rsidRPr="00CC6359">
        <w:rPr>
          <w:rFonts w:eastAsia="Times New Roman" w:cs="Tahoma"/>
          <w:color w:val="auto"/>
          <w:lang w:val="es-ES" w:eastAsia="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Pr="00CC6359" w:rsidR="00CC6359" w:rsidP="00CC6359" w:rsidRDefault="00CC6359" w14:paraId="74AC818D"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w:t>
      </w:r>
    </w:p>
    <w:p w:rsidRPr="00CC6359" w:rsidR="00CC6359" w:rsidP="00CC6359" w:rsidRDefault="00CC6359" w14:paraId="18F301A6"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CC6359" w:rsidR="00CC6359" w:rsidP="00CC6359" w:rsidRDefault="00CC6359" w14:paraId="3D9307DC"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w:t>
      </w:r>
    </w:p>
    <w:p w:rsidRPr="00CC6359" w:rsidR="00CC6359" w:rsidP="00CC6359" w:rsidRDefault="00CC6359" w14:paraId="4CA1527F" w14:textId="77777777">
      <w:pPr>
        <w:spacing w:after="0" w:line="360" w:lineRule="auto"/>
        <w:jc w:val="center"/>
        <w:rPr>
          <w:rFonts w:eastAsia="Times New Roman" w:cs="Tahoma"/>
          <w:bCs/>
          <w:color w:val="auto"/>
          <w:lang w:eastAsia="es-ES"/>
        </w:rPr>
      </w:pPr>
      <w:r w:rsidRPr="00CC6359">
        <w:rPr>
          <w:rFonts w:eastAsia="Times New Roman" w:cs="Tahoma"/>
          <w:noProof/>
          <w:color w:val="auto"/>
          <w:lang w:val="es-ES" w:eastAsia="es-ES"/>
        </w:rPr>
        <w:drawing>
          <wp:inline distT="0" distB="0" distL="0" distR="0" wp14:anchorId="62828470" wp14:editId="441F99D3">
            <wp:extent cx="5465708" cy="1228725"/>
            <wp:effectExtent l="0" t="0" r="190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6">
                      <a:extLst>
                        <a:ext uri="{28A0092B-C50C-407E-A947-70E740481C1C}">
                          <a14:useLocalDpi xmlns:a14="http://schemas.microsoft.com/office/drawing/2010/main" val="0"/>
                        </a:ext>
                      </a:extLst>
                    </a:blip>
                    <a:srcRect b="47096"/>
                    <a:stretch/>
                  </pic:blipFill>
                  <pic:spPr bwMode="auto">
                    <a:xfrm>
                      <a:off x="0" y="0"/>
                      <a:ext cx="5474412" cy="1230682"/>
                    </a:xfrm>
                    <a:prstGeom prst="rect">
                      <a:avLst/>
                    </a:prstGeom>
                    <a:noFill/>
                    <a:ln>
                      <a:noFill/>
                    </a:ln>
                    <a:extLst>
                      <a:ext uri="{53640926-AAD7-44D8-BBD7-CCE9431645EC}">
                        <a14:shadowObscured xmlns:a14="http://schemas.microsoft.com/office/drawing/2010/main"/>
                      </a:ext>
                    </a:extLst>
                  </pic:spPr>
                </pic:pic>
              </a:graphicData>
            </a:graphic>
          </wp:inline>
        </w:drawing>
      </w:r>
    </w:p>
    <w:p w:rsidRPr="00CC6359" w:rsidR="00291426" w:rsidP="00CC6359" w:rsidRDefault="00291426" w14:paraId="75D4AF6F" w14:textId="77777777">
      <w:pPr>
        <w:spacing w:after="0" w:line="360" w:lineRule="auto"/>
        <w:jc w:val="center"/>
        <w:rPr>
          <w:rFonts w:eastAsia="Times New Roman" w:cs="Tahoma"/>
          <w:bCs/>
          <w:color w:val="auto"/>
          <w:lang w:eastAsia="es-ES"/>
        </w:rPr>
      </w:pPr>
    </w:p>
    <w:p w:rsidRPr="00CC6359" w:rsidR="00CC6359" w:rsidP="00CC6359" w:rsidRDefault="00CC6359" w14:paraId="22D0ADF6" w14:textId="77777777">
      <w:pPr>
        <w:spacing w:after="0" w:line="360" w:lineRule="auto"/>
        <w:rPr>
          <w:rFonts w:eastAsia="Times New Roman" w:cs="Tahoma"/>
          <w:bCs/>
          <w:color w:val="auto"/>
          <w:lang w:val="es-ES" w:eastAsia="es-ES"/>
        </w:rPr>
      </w:pPr>
      <w:r w:rsidRPr="00CC6359">
        <w:rPr>
          <w:rFonts w:eastAsia="Times New Roman" w:cs="Tahoma"/>
          <w:bCs/>
          <w:color w:val="auto"/>
          <w:lang w:val="es-ES" w:eastAsia="es-ES"/>
        </w:rPr>
        <w:t xml:space="preserve">En ese contexto, de la misma manera que en los casos previamente analizados, </w:t>
      </w:r>
      <w:r w:rsidRPr="00CC6359">
        <w:rPr>
          <w:rFonts w:eastAsia="Times New Roman" w:cs="Tahoma"/>
          <w:color w:val="auto"/>
          <w:lang w:val="es-ES" w:eastAsia="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38233A" w:rsidP="00AD62BD" w:rsidRDefault="0038233A" w14:paraId="0C93AD3F" w14:textId="2E526283">
      <w:pPr>
        <w:spacing w:after="0" w:line="360" w:lineRule="auto"/>
        <w:rPr>
          <w:rFonts w:eastAsia="Batang" w:cs="Tahoma"/>
          <w:bCs/>
          <w:color w:val="auto"/>
          <w:lang w:val="es-ES" w:eastAsia="es-ES"/>
        </w:rPr>
      </w:pPr>
    </w:p>
    <w:p w:rsidRPr="004B2D7C" w:rsidR="004A715C" w:rsidP="004A715C" w:rsidRDefault="004A715C" w14:paraId="3B2E117E" w14:textId="23627755">
      <w:pPr>
        <w:spacing w:after="0" w:line="360" w:lineRule="auto"/>
        <w:rPr>
          <w:rFonts w:cs="Tahoma"/>
          <w:lang w:val="es-ES"/>
        </w:rPr>
      </w:pPr>
      <w:r w:rsidRPr="00B26EB4">
        <w:rPr>
          <w:rFonts w:cs="Tahoma"/>
          <w:lang w:val="es-ES"/>
        </w:rPr>
        <w:t>Como se logra observar, el Sujeto Obligado clasificó datos de naturaleza pública, por lo que, deberá proporcionar</w:t>
      </w:r>
      <w:r>
        <w:rPr>
          <w:rFonts w:cs="Tahoma"/>
          <w:lang w:val="es-ES"/>
        </w:rPr>
        <w:t xml:space="preserve"> el recibo de nómina, </w:t>
      </w:r>
      <w:r w:rsidRPr="00B26EB4">
        <w:rPr>
          <w:rFonts w:cs="Tahoma"/>
          <w:lang w:val="es-ES"/>
        </w:rPr>
        <w:t>en donde únicamente podrá clasificar, en términos del artículo previamente referido</w:t>
      </w:r>
      <w:r>
        <w:rPr>
          <w:rFonts w:cs="Tahoma"/>
          <w:lang w:val="es-ES"/>
        </w:rPr>
        <w:t xml:space="preserve"> la</w:t>
      </w:r>
      <w:r w:rsidRPr="00B26EB4">
        <w:rPr>
          <w:rFonts w:cs="Tahoma"/>
          <w:lang w:val="es-ES"/>
        </w:rPr>
        <w:t xml:space="preserve"> Clave Única de Registro de Población,</w:t>
      </w:r>
      <w:r>
        <w:rPr>
          <w:rFonts w:cs="Tahoma"/>
          <w:lang w:val="es-ES"/>
        </w:rPr>
        <w:t xml:space="preserve"> el</w:t>
      </w:r>
      <w:r w:rsidRPr="00B26EB4">
        <w:rPr>
          <w:rFonts w:cs="Tahoma"/>
          <w:lang w:val="es-ES"/>
        </w:rPr>
        <w:t xml:space="preserve"> Registro Federal de Contribuyentes,</w:t>
      </w:r>
      <w:r>
        <w:rPr>
          <w:rFonts w:cs="Tahoma"/>
          <w:lang w:val="es-ES"/>
        </w:rPr>
        <w:t xml:space="preserve"> el</w:t>
      </w:r>
      <w:r w:rsidRPr="00B26EB4">
        <w:rPr>
          <w:rFonts w:cs="Tahoma"/>
          <w:lang w:val="es-ES"/>
        </w:rPr>
        <w:t xml:space="preserve"> </w:t>
      </w:r>
      <w:r>
        <w:rPr>
          <w:rFonts w:cs="Tahoma"/>
          <w:lang w:val="es-ES"/>
        </w:rPr>
        <w:t>n</w:t>
      </w:r>
      <w:r w:rsidRPr="00B26EB4">
        <w:rPr>
          <w:rFonts w:cs="Tahoma"/>
          <w:lang w:val="es-ES"/>
        </w:rPr>
        <w:t xml:space="preserve">úmero de seguridad social del Instituto de Seguridad Social del Estado de México y Municipios, </w:t>
      </w:r>
      <w:r>
        <w:rPr>
          <w:rFonts w:cs="Tahoma"/>
          <w:lang w:val="es-ES"/>
        </w:rPr>
        <w:t>las d</w:t>
      </w:r>
      <w:r w:rsidRPr="00B26EB4">
        <w:rPr>
          <w:rFonts w:cs="Tahoma"/>
          <w:lang w:val="es-ES"/>
        </w:rPr>
        <w:t>educciones personales</w:t>
      </w:r>
      <w:r w:rsidRPr="004B2D7C">
        <w:rPr>
          <w:rFonts w:cs="Tahoma"/>
          <w:lang w:val="es-ES"/>
        </w:rPr>
        <w:t xml:space="preserve"> y </w:t>
      </w:r>
      <w:r>
        <w:rPr>
          <w:rFonts w:cs="Tahoma"/>
          <w:lang w:val="es-ES"/>
        </w:rPr>
        <w:t>el c</w:t>
      </w:r>
      <w:r w:rsidRPr="00B26EB4">
        <w:rPr>
          <w:rFonts w:cs="Tahoma"/>
          <w:lang w:val="es-ES"/>
        </w:rPr>
        <w:t>ódigo Bidimensional o QR</w:t>
      </w:r>
      <w:r>
        <w:rPr>
          <w:rFonts w:cs="Tahoma"/>
          <w:lang w:val="es-ES"/>
        </w:rPr>
        <w:t>; además, de proporcionar el Acuerdo del Comité de Transparencia respectivo.</w:t>
      </w:r>
    </w:p>
    <w:p w:rsidRPr="00B26EB4" w:rsidR="004A715C" w:rsidP="004A715C" w:rsidRDefault="004A715C" w14:paraId="7161DCB2" w14:textId="77777777">
      <w:pPr>
        <w:spacing w:after="0" w:line="360" w:lineRule="auto"/>
        <w:rPr>
          <w:rFonts w:cs="Tahoma"/>
          <w:lang w:val="es-ES"/>
        </w:rPr>
      </w:pPr>
    </w:p>
    <w:p w:rsidRPr="005B63AE" w:rsidR="004A715C" w:rsidP="004A715C" w:rsidRDefault="004A715C" w14:paraId="525C9545" w14:textId="181804CD">
      <w:pPr>
        <w:spacing w:after="0" w:line="360" w:lineRule="auto"/>
      </w:pPr>
      <w:r>
        <w:t>Conforme a lo anterior, se logra vislumbrar que el agravio realizado por el Particular result</w:t>
      </w:r>
      <w:r w:rsidRPr="00054A7A">
        <w:t>a</w:t>
      </w:r>
      <w:r w:rsidRPr="00054A7A">
        <w:rPr>
          <w:b/>
          <w:bCs/>
        </w:rPr>
        <w:t xml:space="preserve"> </w:t>
      </w:r>
      <w:r w:rsidR="00291426">
        <w:rPr>
          <w:b/>
          <w:bCs/>
        </w:rPr>
        <w:t xml:space="preserve">PACIALMENTE </w:t>
      </w:r>
      <w:r w:rsidRPr="00054A7A">
        <w:rPr>
          <w:b/>
          <w:bCs/>
        </w:rPr>
        <w:t>FUNDADO,</w:t>
      </w:r>
      <w:r>
        <w:rPr>
          <w:b/>
          <w:bCs/>
        </w:rPr>
        <w:t xml:space="preserve"> </w:t>
      </w:r>
      <w:r>
        <w:t xml:space="preserve">pues el Sujeto Obligado </w:t>
      </w:r>
      <w:r w:rsidR="00291426">
        <w:t>si bien entregó los documentos que dan cuenta de lo solicitado, también lo es, que uno lo entregó en una incorrecta versión pública.</w:t>
      </w:r>
    </w:p>
    <w:p w:rsidR="00341E9F" w:rsidP="00AD62BD" w:rsidRDefault="00341E9F" w14:paraId="2999F7FC" w14:textId="713BC778">
      <w:pPr>
        <w:spacing w:after="0" w:line="360" w:lineRule="auto"/>
        <w:rPr>
          <w:rFonts w:eastAsia="Batang" w:cs="Tahoma"/>
          <w:bCs/>
          <w:color w:val="auto"/>
          <w:lang w:val="es-ES" w:eastAsia="es-ES"/>
        </w:rPr>
      </w:pPr>
    </w:p>
    <w:p w:rsidRPr="0038233A" w:rsidR="0038233A" w:rsidP="00AD62BD" w:rsidRDefault="0038233A" w14:paraId="186A02D6" w14:textId="46F933D2">
      <w:pPr>
        <w:spacing w:after="0" w:line="360" w:lineRule="auto"/>
        <w:rPr>
          <w:rFonts w:eastAsia="Batang" w:cs="Tahoma"/>
          <w:b/>
          <w:bCs/>
          <w:color w:val="auto"/>
          <w:lang w:val="es-ES" w:eastAsia="es-ES"/>
        </w:rPr>
      </w:pPr>
      <w:r w:rsidRPr="0038233A">
        <w:rPr>
          <w:rFonts w:eastAsia="Batang" w:cs="Tahoma"/>
          <w:b/>
          <w:bCs/>
          <w:color w:val="auto"/>
          <w:lang w:val="es-ES" w:eastAsia="es-ES"/>
        </w:rPr>
        <w:t>SEXTO. Decisión.</w:t>
      </w:r>
      <w:r w:rsidR="00932C12">
        <w:rPr>
          <w:rFonts w:eastAsia="Batang" w:cs="Tahoma"/>
          <w:b/>
          <w:bCs/>
          <w:color w:val="auto"/>
          <w:lang w:val="es-ES" w:eastAsia="es-ES"/>
        </w:rPr>
        <w:t xml:space="preserve"> </w:t>
      </w:r>
    </w:p>
    <w:p w:rsidRPr="0038233A" w:rsidR="0038233A" w:rsidP="00AD62BD" w:rsidRDefault="0038233A" w14:paraId="35FB8104" w14:textId="77777777">
      <w:pPr>
        <w:spacing w:after="0" w:line="360" w:lineRule="auto"/>
        <w:rPr>
          <w:rFonts w:eastAsia="Batang" w:cs="Tahoma"/>
          <w:b/>
          <w:bCs/>
          <w:color w:val="auto"/>
          <w:lang w:val="es-ES" w:eastAsia="es-ES"/>
        </w:rPr>
      </w:pPr>
    </w:p>
    <w:p w:rsidR="0038233A" w:rsidP="00AD62BD" w:rsidRDefault="0038233A" w14:paraId="3E99B538" w14:textId="1605C71C">
      <w:pPr>
        <w:spacing w:after="0" w:line="360" w:lineRule="auto"/>
        <w:rPr>
          <w:rFonts w:eastAsia="Times New Roman" w:cs="Tahoma"/>
          <w:bCs/>
          <w:color w:val="auto"/>
          <w:lang w:val="es-ES_tradnl" w:eastAsia="es-ES"/>
        </w:rPr>
      </w:pPr>
      <w:r w:rsidRPr="0038233A">
        <w:rPr>
          <w:rFonts w:eastAsia="Times New Roman" w:cs="Tahoma"/>
          <w:color w:val="auto"/>
          <w:lang w:val="es-ES_tradnl" w:eastAsia="es-ES"/>
        </w:rPr>
        <w:t xml:space="preserve">Con fundamento en el artículo 186, fracción III, de la Ley de Transparencia y Acceso a la Información Pública del Estado de México y Municipios, este Instituto considera procedente </w:t>
      </w:r>
      <w:r w:rsidR="00932C12">
        <w:rPr>
          <w:rFonts w:eastAsia="Times New Roman" w:cs="Tahoma"/>
          <w:b/>
          <w:color w:val="auto"/>
          <w:lang w:val="es-ES_tradnl" w:eastAsia="es-ES"/>
        </w:rPr>
        <w:t>MODIFICAR</w:t>
      </w:r>
      <w:r w:rsidRPr="0038233A">
        <w:rPr>
          <w:rFonts w:eastAsia="Times New Roman" w:cs="Tahoma"/>
          <w:b/>
          <w:color w:val="auto"/>
          <w:lang w:val="es-ES_tradnl" w:eastAsia="es-ES"/>
        </w:rPr>
        <w:t xml:space="preserve"> </w:t>
      </w:r>
      <w:r w:rsidRPr="0038233A">
        <w:rPr>
          <w:rFonts w:eastAsia="Times New Roman" w:cs="Tahoma"/>
          <w:color w:val="auto"/>
          <w:lang w:val="es-ES_tradnl" w:eastAsia="es-ES"/>
        </w:rPr>
        <w:t xml:space="preserve">la respuesta otorgada por el Sujeto Obligado, a la solicitud de acceso a la información </w:t>
      </w:r>
      <w:r w:rsidRPr="00932C12" w:rsidR="00932C12">
        <w:rPr>
          <w:rFonts w:eastAsia="Times New Roman" w:cs="Tahoma"/>
          <w:color w:val="0D0D0D" w:themeColor="text1" w:themeTint="F2"/>
          <w:lang w:val="es-ES_tradnl" w:eastAsia="es-ES"/>
        </w:rPr>
        <w:t>0</w:t>
      </w:r>
      <w:r w:rsidR="00F140A1">
        <w:rPr>
          <w:rFonts w:eastAsia="Times New Roman" w:cs="Tahoma"/>
          <w:color w:val="0D0D0D" w:themeColor="text1" w:themeTint="F2"/>
          <w:lang w:val="es-ES_tradnl" w:eastAsia="es-ES"/>
        </w:rPr>
        <w:t>0171</w:t>
      </w:r>
      <w:r w:rsidRPr="00932C12" w:rsidR="00932C12">
        <w:rPr>
          <w:rFonts w:eastAsia="Times New Roman" w:cs="Tahoma"/>
          <w:color w:val="0D0D0D" w:themeColor="text1" w:themeTint="F2"/>
          <w:lang w:val="es-ES_tradnl" w:eastAsia="es-ES"/>
        </w:rPr>
        <w:t>/TENANCIN/IP/2022</w:t>
      </w:r>
      <w:r w:rsidRPr="0038233A">
        <w:rPr>
          <w:rFonts w:eastAsia="Times New Roman" w:cs="Tahoma"/>
          <w:color w:val="auto"/>
          <w:lang w:val="es-ES_tradnl" w:eastAsia="es-ES"/>
        </w:rPr>
        <w:t xml:space="preserve">, </w:t>
      </w:r>
      <w:r w:rsidRPr="0038233A">
        <w:rPr>
          <w:rFonts w:eastAsia="Times New Roman" w:cs="Tahoma"/>
          <w:bCs/>
          <w:color w:val="auto"/>
          <w:lang w:val="es-ES_tradnl" w:eastAsia="es-ES"/>
        </w:rPr>
        <w:t>a efecto de que, entregue,</w:t>
      </w:r>
      <w:r w:rsidRPr="0038233A">
        <w:rPr>
          <w:rFonts w:ascii="Times New Roman" w:hAnsi="Times New Roman" w:eastAsia="Times New Roman" w:cs="Times New Roman"/>
          <w:color w:val="auto"/>
          <w:sz w:val="20"/>
          <w:szCs w:val="20"/>
          <w:lang w:val="es-ES_tradnl" w:eastAsia="es-ES"/>
        </w:rPr>
        <w:t xml:space="preserve"> </w:t>
      </w:r>
      <w:r w:rsidRPr="0038233A">
        <w:rPr>
          <w:rFonts w:eastAsia="Times New Roman" w:cs="Tahoma"/>
          <w:bCs/>
          <w:color w:val="auto"/>
          <w:lang w:val="es-ES_tradnl" w:eastAsia="es-ES"/>
        </w:rPr>
        <w:t xml:space="preserve">a través del Sistema de Acceso a la Información Mexiquense (SAIMEX), </w:t>
      </w:r>
      <w:r w:rsidR="00DA3DB6">
        <w:rPr>
          <w:rFonts w:eastAsia="Times New Roman" w:cs="Tahoma"/>
          <w:bCs/>
          <w:color w:val="auto"/>
          <w:lang w:val="es-ES_tradnl" w:eastAsia="es-ES"/>
        </w:rPr>
        <w:t>en</w:t>
      </w:r>
      <w:r w:rsidR="00932C12">
        <w:rPr>
          <w:rFonts w:eastAsia="Times New Roman" w:cs="Tahoma"/>
          <w:bCs/>
          <w:color w:val="auto"/>
          <w:lang w:val="es-ES_tradnl" w:eastAsia="es-ES"/>
        </w:rPr>
        <w:t xml:space="preserve"> </w:t>
      </w:r>
      <w:r w:rsidRPr="0038233A">
        <w:rPr>
          <w:rFonts w:eastAsia="Times New Roman" w:cs="Tahoma"/>
          <w:bCs/>
          <w:color w:val="auto"/>
          <w:lang w:val="es-ES_tradnl" w:eastAsia="es-ES"/>
        </w:rPr>
        <w:t xml:space="preserve">versión pública, </w:t>
      </w:r>
      <w:r w:rsidR="00291426">
        <w:rPr>
          <w:rFonts w:eastAsia="Times New Roman" w:cs="Tahoma"/>
          <w:bCs/>
          <w:color w:val="auto"/>
          <w:lang w:val="es-ES_tradnl" w:eastAsia="es-ES"/>
        </w:rPr>
        <w:t>el recibo de nómina entregado en respuesta.</w:t>
      </w:r>
    </w:p>
    <w:p w:rsidRPr="0038233A" w:rsidR="00291426" w:rsidP="00AD62BD" w:rsidRDefault="00291426" w14:paraId="76B434FE" w14:textId="77777777">
      <w:pPr>
        <w:spacing w:after="0" w:line="360" w:lineRule="auto"/>
        <w:rPr>
          <w:rFonts w:eastAsia="Times New Roman" w:cs="Tahoma"/>
          <w:bCs/>
          <w:color w:val="auto"/>
          <w:lang w:val="es-ES_tradnl" w:eastAsia="es-ES"/>
        </w:rPr>
      </w:pPr>
    </w:p>
    <w:p w:rsidRPr="0038233A" w:rsidR="0038233A" w:rsidP="00AD62BD" w:rsidRDefault="0038233A" w14:paraId="29C9FC90" w14:textId="2DD1C857">
      <w:pPr>
        <w:autoSpaceDE w:val="0"/>
        <w:autoSpaceDN w:val="0"/>
        <w:adjustRightInd w:val="0"/>
        <w:spacing w:after="0" w:line="360" w:lineRule="auto"/>
        <w:rPr>
          <w:rFonts w:eastAsia="Calibri" w:cs="Tahoma"/>
          <w:bCs/>
          <w:iCs/>
          <w:color w:val="000000"/>
          <w:lang w:val="es-ES_tradnl"/>
        </w:rPr>
      </w:pPr>
      <w:r w:rsidRPr="0038233A">
        <w:rPr>
          <w:rFonts w:eastAsia="Calibri" w:cs="Tahoma"/>
          <w:bCs/>
          <w:iCs/>
          <w:color w:val="000000"/>
          <w:lang w:val="es-ES_tradnl"/>
        </w:rPr>
        <w:t>Además, deberá proporcionar el Acuerdo de Clasificación donde el Comité de Transparencia, confirme la eliminación de</w:t>
      </w:r>
      <w:r w:rsidR="00291426">
        <w:rPr>
          <w:rFonts w:cs="Tahoma"/>
          <w:lang w:val="es-ES"/>
        </w:rPr>
        <w:t xml:space="preserve"> la</w:t>
      </w:r>
      <w:r w:rsidRPr="00B26EB4" w:rsidR="00291426">
        <w:rPr>
          <w:rFonts w:cs="Tahoma"/>
          <w:lang w:val="es-ES"/>
        </w:rPr>
        <w:t xml:space="preserve"> Clave Única de Registro de Población,</w:t>
      </w:r>
      <w:r w:rsidR="00291426">
        <w:rPr>
          <w:rFonts w:cs="Tahoma"/>
          <w:lang w:val="es-ES"/>
        </w:rPr>
        <w:t xml:space="preserve"> el</w:t>
      </w:r>
      <w:r w:rsidRPr="00B26EB4" w:rsidR="00291426">
        <w:rPr>
          <w:rFonts w:cs="Tahoma"/>
          <w:lang w:val="es-ES"/>
        </w:rPr>
        <w:t xml:space="preserve"> Registro Federal de Contribuyentes,</w:t>
      </w:r>
      <w:r w:rsidR="00291426">
        <w:rPr>
          <w:rFonts w:cs="Tahoma"/>
          <w:lang w:val="es-ES"/>
        </w:rPr>
        <w:t xml:space="preserve"> el</w:t>
      </w:r>
      <w:r w:rsidRPr="00B26EB4" w:rsidR="00291426">
        <w:rPr>
          <w:rFonts w:cs="Tahoma"/>
          <w:lang w:val="es-ES"/>
        </w:rPr>
        <w:t xml:space="preserve"> </w:t>
      </w:r>
      <w:r w:rsidR="00291426">
        <w:rPr>
          <w:rFonts w:cs="Tahoma"/>
          <w:lang w:val="es-ES"/>
        </w:rPr>
        <w:t>n</w:t>
      </w:r>
      <w:r w:rsidRPr="00B26EB4" w:rsidR="00291426">
        <w:rPr>
          <w:rFonts w:cs="Tahoma"/>
          <w:lang w:val="es-ES"/>
        </w:rPr>
        <w:t xml:space="preserve">úmero de seguridad social del Instituto de Seguridad Social del Estado de México y Municipios, </w:t>
      </w:r>
      <w:r w:rsidR="00291426">
        <w:rPr>
          <w:rFonts w:cs="Tahoma"/>
          <w:lang w:val="es-ES"/>
        </w:rPr>
        <w:t>las d</w:t>
      </w:r>
      <w:r w:rsidRPr="00B26EB4" w:rsidR="00291426">
        <w:rPr>
          <w:rFonts w:cs="Tahoma"/>
          <w:lang w:val="es-ES"/>
        </w:rPr>
        <w:t>educciones personales</w:t>
      </w:r>
      <w:r w:rsidRPr="004B2D7C" w:rsidR="00291426">
        <w:rPr>
          <w:rFonts w:cs="Tahoma"/>
          <w:lang w:val="es-ES"/>
        </w:rPr>
        <w:t xml:space="preserve"> y </w:t>
      </w:r>
      <w:r w:rsidR="00291426">
        <w:rPr>
          <w:rFonts w:cs="Tahoma"/>
          <w:lang w:val="es-ES"/>
        </w:rPr>
        <w:t>el c</w:t>
      </w:r>
      <w:r w:rsidRPr="00B26EB4" w:rsidR="00291426">
        <w:rPr>
          <w:rFonts w:cs="Tahoma"/>
          <w:lang w:val="es-ES"/>
        </w:rPr>
        <w:t>ódigo Bidimensional o QR</w:t>
      </w:r>
      <w:r w:rsidRPr="0038233A">
        <w:rPr>
          <w:rFonts w:eastAsia="Calibri" w:cs="Tahoma"/>
          <w:bCs/>
          <w:iCs/>
          <w:color w:val="000000"/>
          <w:lang w:val="es-ES_tradnl"/>
        </w:rPr>
        <w:t>, en la versión pública, de conformidad con los artículos 49, fracciones II y VIII</w:t>
      </w:r>
      <w:r w:rsidR="00DA3DB6">
        <w:rPr>
          <w:rFonts w:eastAsia="Calibri" w:cs="Tahoma"/>
          <w:bCs/>
          <w:iCs/>
          <w:color w:val="000000"/>
          <w:lang w:val="es-ES_tradnl"/>
        </w:rPr>
        <w:t>,</w:t>
      </w:r>
      <w:r w:rsidRPr="0038233A">
        <w:rPr>
          <w:rFonts w:eastAsia="Calibri" w:cs="Tahoma"/>
          <w:bCs/>
          <w:iCs/>
          <w:color w:val="000000"/>
          <w:lang w:val="es-ES_tradnl"/>
        </w:rPr>
        <w:t xml:space="preserve"> 132, fracción II</w:t>
      </w:r>
      <w:r w:rsidR="00DA3DB6">
        <w:rPr>
          <w:rFonts w:eastAsia="Calibri" w:cs="Tahoma"/>
          <w:bCs/>
          <w:iCs/>
          <w:color w:val="000000"/>
          <w:lang w:val="es-ES_tradnl"/>
        </w:rPr>
        <w:t>, y 149</w:t>
      </w:r>
      <w:r w:rsidRPr="0038233A">
        <w:rPr>
          <w:rFonts w:eastAsia="Calibri" w:cs="Tahoma"/>
          <w:bCs/>
          <w:iCs/>
          <w:color w:val="000000"/>
          <w:lang w:val="es-ES_tradnl"/>
        </w:rPr>
        <w:t xml:space="preserve"> de la Ley de Transparencia y Acceso a la Información Pública del Estado de México y Municipios.</w:t>
      </w:r>
    </w:p>
    <w:p w:rsidRPr="0038233A" w:rsidR="0038233A" w:rsidP="00AD62BD" w:rsidRDefault="0038233A" w14:paraId="44EAE446" w14:textId="77777777">
      <w:pPr>
        <w:spacing w:after="0" w:line="360" w:lineRule="auto"/>
        <w:rPr>
          <w:rFonts w:eastAsia="Batang" w:cs="Tahoma"/>
          <w:bCs/>
          <w:color w:val="auto"/>
          <w:lang w:val="es-ES" w:eastAsia="es-ES"/>
        </w:rPr>
      </w:pPr>
    </w:p>
    <w:p w:rsidRPr="0038233A" w:rsidR="0038233A" w:rsidP="00AD62BD" w:rsidRDefault="0038233A" w14:paraId="0244219B" w14:textId="77777777">
      <w:pPr>
        <w:spacing w:after="0" w:line="360" w:lineRule="auto"/>
        <w:rPr>
          <w:rFonts w:eastAsia="Batang" w:cs="Tahoma"/>
          <w:b/>
          <w:bCs/>
          <w:color w:val="auto"/>
          <w:lang w:val="es-ES" w:eastAsia="es-ES"/>
        </w:rPr>
      </w:pPr>
      <w:r w:rsidRPr="0038233A">
        <w:rPr>
          <w:rFonts w:eastAsia="Batang" w:cs="Tahoma"/>
          <w:b/>
          <w:bCs/>
          <w:color w:val="auto"/>
          <w:lang w:val="es-ES" w:eastAsia="es-ES"/>
        </w:rPr>
        <w:t>Términos de la resolución para el Particular.</w:t>
      </w:r>
    </w:p>
    <w:p w:rsidRPr="0038233A" w:rsidR="0038233A" w:rsidP="00AD62BD" w:rsidRDefault="0038233A" w14:paraId="0AC9F86D" w14:textId="77777777">
      <w:pPr>
        <w:spacing w:after="0" w:line="360" w:lineRule="auto"/>
        <w:contextualSpacing/>
        <w:rPr>
          <w:rFonts w:eastAsia="Times New Roman" w:cs="Times New Roman"/>
          <w:b/>
          <w:bCs/>
          <w:color w:val="auto"/>
          <w:lang w:val="es-ES_tradnl" w:eastAsia="es-ES"/>
        </w:rPr>
      </w:pPr>
    </w:p>
    <w:p w:rsidR="00291426" w:rsidP="00AD62BD" w:rsidRDefault="0038233A" w14:paraId="3FEB070A" w14:textId="77777777">
      <w:pPr>
        <w:spacing w:after="0" w:line="360" w:lineRule="auto"/>
        <w:contextualSpacing/>
        <w:rPr>
          <w:rFonts w:eastAsia="Times New Roman" w:cs="Times New Roman"/>
          <w:color w:val="auto"/>
          <w:lang w:val="es-ES_tradnl" w:eastAsia="es-ES"/>
        </w:rPr>
      </w:pPr>
      <w:r w:rsidRPr="0038233A">
        <w:rPr>
          <w:rFonts w:eastAsia="Times New Roman" w:cs="Times New Roman"/>
          <w:color w:val="auto"/>
          <w:lang w:val="es-ES_tradnl" w:eastAsia="es-ES"/>
        </w:rPr>
        <w:t xml:space="preserve">Se le hace del conocimiento al ahora Recurrente que, en el presente caso, se le da </w:t>
      </w:r>
      <w:r w:rsidR="00291426">
        <w:rPr>
          <w:rFonts w:eastAsia="Times New Roman" w:cs="Times New Roman"/>
          <w:color w:val="auto"/>
          <w:lang w:val="es-ES_tradnl" w:eastAsia="es-ES"/>
        </w:rPr>
        <w:t xml:space="preserve">parcialmente la </w:t>
      </w:r>
      <w:r w:rsidRPr="0038233A">
        <w:rPr>
          <w:rFonts w:eastAsia="Times New Roman" w:cs="Times New Roman"/>
          <w:color w:val="auto"/>
          <w:lang w:val="es-ES_tradnl" w:eastAsia="es-ES"/>
        </w:rPr>
        <w:t>razón, dado que el Sujeto Obligado</w:t>
      </w:r>
      <w:r w:rsidR="00157C2F">
        <w:rPr>
          <w:rFonts w:eastAsia="Times New Roman" w:cs="Times New Roman"/>
          <w:color w:val="auto"/>
          <w:lang w:val="es-ES_tradnl" w:eastAsia="es-ES"/>
        </w:rPr>
        <w:t xml:space="preserve"> </w:t>
      </w:r>
      <w:r w:rsidR="00B542BD">
        <w:rPr>
          <w:rFonts w:eastAsia="Times New Roman" w:cs="Times New Roman"/>
          <w:color w:val="auto"/>
          <w:lang w:val="es-ES_tradnl" w:eastAsia="es-ES"/>
        </w:rPr>
        <w:t xml:space="preserve">si bien entrego los documentos solicitados, lo cierto es que, </w:t>
      </w:r>
      <w:r w:rsidR="00291426">
        <w:rPr>
          <w:rFonts w:eastAsia="Times New Roman" w:cs="Times New Roman"/>
          <w:color w:val="auto"/>
          <w:lang w:val="es-ES_tradnl" w:eastAsia="es-ES"/>
        </w:rPr>
        <w:t>el recibo de nómina lo</w:t>
      </w:r>
      <w:r w:rsidR="00B542BD">
        <w:rPr>
          <w:rFonts w:eastAsia="Times New Roman" w:cs="Times New Roman"/>
          <w:color w:val="auto"/>
          <w:lang w:val="es-ES_tradnl" w:eastAsia="es-ES"/>
        </w:rPr>
        <w:t xml:space="preserve"> proporcionó clasificando datos de naturaleza pública, por lo que, deberá entregarlos en una correcta versión pública.</w:t>
      </w:r>
      <w:r w:rsidR="00AF5626">
        <w:rPr>
          <w:rFonts w:eastAsia="Times New Roman" w:cs="Times New Roman"/>
          <w:color w:val="auto"/>
          <w:lang w:val="es-ES_tradnl" w:eastAsia="es-ES"/>
        </w:rPr>
        <w:t xml:space="preserve"> </w:t>
      </w:r>
    </w:p>
    <w:p w:rsidR="00291426" w:rsidP="00AD62BD" w:rsidRDefault="00291426" w14:paraId="7D8C6422" w14:textId="77777777">
      <w:pPr>
        <w:spacing w:after="0" w:line="360" w:lineRule="auto"/>
        <w:contextualSpacing/>
        <w:rPr>
          <w:rFonts w:eastAsia="Times New Roman" w:cs="Times New Roman"/>
          <w:color w:val="auto"/>
          <w:lang w:val="es-ES_tradnl" w:eastAsia="es-ES"/>
        </w:rPr>
      </w:pPr>
    </w:p>
    <w:p w:rsidRPr="0038233A" w:rsidR="0038233A" w:rsidP="00AD62BD" w:rsidRDefault="0038233A" w14:paraId="16E9FABF" w14:textId="0DCDDE71">
      <w:pPr>
        <w:spacing w:after="0" w:line="360" w:lineRule="auto"/>
        <w:contextualSpacing/>
        <w:rPr>
          <w:rFonts w:eastAsia="Times New Roman" w:cs="Tahoma"/>
          <w:b/>
          <w:color w:val="auto"/>
          <w:lang w:val="es-ES" w:eastAsia="es-ES"/>
        </w:rPr>
      </w:pPr>
      <w:r w:rsidRPr="0038233A">
        <w:rPr>
          <w:rFonts w:eastAsia="Calibri" w:cs="Tahoma"/>
          <w:bCs/>
          <w:iCs/>
          <w:color w:val="auto"/>
          <w:lang w:val="es-ES_tradnl"/>
        </w:rPr>
        <w:t xml:space="preserve">Finalmente, la labor </w:t>
      </w:r>
      <w:r w:rsidR="00AF5626">
        <w:rPr>
          <w:rFonts w:eastAsia="Calibri" w:cs="Tahoma"/>
          <w:bCs/>
          <w:iCs/>
          <w:color w:val="auto"/>
          <w:lang w:val="es-ES_tradnl"/>
        </w:rPr>
        <w:t>del Instituto</w:t>
      </w:r>
      <w:r w:rsidR="002C1F30">
        <w:rPr>
          <w:rFonts w:eastAsia="Calibri" w:cs="Tahoma"/>
          <w:bCs/>
          <w:iCs/>
          <w:color w:val="auto"/>
          <w:lang w:val="es-ES_tradnl"/>
        </w:rPr>
        <w:t xml:space="preserve"> de Transparencia, Acceso a la Información Pública y Protección de Datos Personales del Estado de México y Municipios</w:t>
      </w:r>
      <w:r w:rsidRPr="0038233A">
        <w:rPr>
          <w:rFonts w:eastAsia="Calibri" w:cs="Tahoma"/>
          <w:bCs/>
          <w:iCs/>
          <w:color w:val="auto"/>
          <w:lang w:val="es-ES_tradnl"/>
        </w:rPr>
        <w:t>, es apoyar a la población a acceder a la información pública y garantizar la protección de los datos personales.</w:t>
      </w:r>
    </w:p>
    <w:p w:rsidR="0038233A" w:rsidP="00AD62BD" w:rsidRDefault="0038233A" w14:paraId="294533A0" w14:textId="11A1149C">
      <w:pPr>
        <w:spacing w:after="0" w:line="360" w:lineRule="auto"/>
        <w:rPr>
          <w:rFonts w:eastAsia="Batang" w:cs="Tahoma"/>
          <w:bCs/>
          <w:color w:val="auto"/>
          <w:lang w:val="es-ES" w:eastAsia="es-ES"/>
        </w:rPr>
      </w:pPr>
    </w:p>
    <w:p w:rsidRPr="0038233A" w:rsidR="0038233A" w:rsidP="00AD62BD" w:rsidRDefault="0038233A" w14:paraId="5EDA4A7A" w14:textId="77777777">
      <w:pPr>
        <w:spacing w:after="0" w:line="360" w:lineRule="auto"/>
        <w:rPr>
          <w:rFonts w:eastAsia="Batang" w:cs="Tahoma"/>
          <w:bCs/>
          <w:color w:val="auto"/>
          <w:lang w:val="es-ES" w:eastAsia="es-ES"/>
        </w:rPr>
      </w:pPr>
      <w:r w:rsidRPr="0038233A">
        <w:rPr>
          <w:rFonts w:eastAsia="Batang" w:cs="Tahoma"/>
          <w:bCs/>
          <w:color w:val="auto"/>
          <w:lang w:val="es-ES" w:eastAsia="es-ES"/>
        </w:rPr>
        <w:t>Por lo expuesto y fundado, este Pleno:</w:t>
      </w:r>
    </w:p>
    <w:p w:rsidRPr="0038233A" w:rsidR="0038233A" w:rsidP="00AD62BD" w:rsidRDefault="0038233A" w14:paraId="776823DA" w14:textId="77777777">
      <w:pPr>
        <w:spacing w:after="0" w:line="360" w:lineRule="auto"/>
        <w:rPr>
          <w:rFonts w:eastAsia="Batang" w:cs="Tahoma"/>
          <w:bCs/>
          <w:color w:val="auto"/>
          <w:lang w:val="es-ES" w:eastAsia="es-ES"/>
        </w:rPr>
      </w:pPr>
    </w:p>
    <w:p w:rsidRPr="0038233A" w:rsidR="0038233A" w:rsidP="00AD62BD" w:rsidRDefault="0038233A" w14:paraId="713453DC" w14:textId="77777777">
      <w:pPr>
        <w:spacing w:after="0" w:line="360" w:lineRule="auto"/>
        <w:jc w:val="center"/>
        <w:rPr>
          <w:rFonts w:eastAsia="Batang" w:cs="Tahoma"/>
          <w:b/>
          <w:bCs/>
          <w:color w:val="auto"/>
          <w:lang w:val="es-ES" w:eastAsia="es-ES"/>
        </w:rPr>
      </w:pPr>
      <w:r w:rsidRPr="0038233A">
        <w:rPr>
          <w:rFonts w:eastAsia="Batang" w:cs="Tahoma"/>
          <w:b/>
          <w:bCs/>
          <w:color w:val="auto"/>
          <w:lang w:val="es-ES" w:eastAsia="es-ES"/>
        </w:rPr>
        <w:t>R E S U E L V E</w:t>
      </w:r>
    </w:p>
    <w:p w:rsidRPr="0038233A" w:rsidR="0038233A" w:rsidP="00AD62BD" w:rsidRDefault="0038233A" w14:paraId="7F820DE3" w14:textId="77777777">
      <w:pPr>
        <w:spacing w:after="0" w:line="360" w:lineRule="auto"/>
        <w:rPr>
          <w:rFonts w:eastAsia="Batang" w:cs="Tahoma"/>
          <w:bCs/>
          <w:color w:val="auto"/>
          <w:lang w:val="es-ES" w:eastAsia="es-ES"/>
        </w:rPr>
      </w:pPr>
    </w:p>
    <w:p w:rsidRPr="0038233A" w:rsidR="0038233A" w:rsidP="00AD62BD" w:rsidRDefault="0038233A" w14:paraId="3B5BBE1E" w14:textId="28792F20">
      <w:pPr>
        <w:spacing w:after="0" w:line="360" w:lineRule="auto"/>
        <w:rPr>
          <w:rFonts w:eastAsia="Batang" w:cs="Tahoma"/>
          <w:bCs/>
          <w:color w:val="auto"/>
          <w:lang w:val="es-ES" w:eastAsia="es-ES"/>
        </w:rPr>
      </w:pPr>
      <w:r w:rsidRPr="0038233A">
        <w:rPr>
          <w:rFonts w:eastAsia="Batang" w:cs="Tahoma"/>
          <w:b/>
          <w:bCs/>
          <w:color w:val="auto"/>
          <w:lang w:val="es-ES" w:eastAsia="es-ES"/>
        </w:rPr>
        <w:t>PRIMERO</w:t>
      </w:r>
      <w:r w:rsidRPr="0038233A">
        <w:rPr>
          <w:rFonts w:eastAsia="Batang" w:cs="Tahoma"/>
          <w:bCs/>
          <w:color w:val="auto"/>
          <w:lang w:val="es-ES" w:eastAsia="es-ES"/>
        </w:rPr>
        <w:t xml:space="preserve">. Se </w:t>
      </w:r>
      <w:r w:rsidR="00157C2F">
        <w:rPr>
          <w:rFonts w:eastAsia="Batang" w:cs="Tahoma"/>
          <w:b/>
          <w:bCs/>
          <w:color w:val="auto"/>
          <w:lang w:val="es-ES" w:eastAsia="es-ES"/>
        </w:rPr>
        <w:t>MODIFICA</w:t>
      </w:r>
      <w:r w:rsidRPr="0038233A">
        <w:rPr>
          <w:rFonts w:eastAsia="Batang" w:cs="Tahoma"/>
          <w:bCs/>
          <w:color w:val="auto"/>
          <w:lang w:val="es-ES" w:eastAsia="es-ES"/>
        </w:rPr>
        <w:t xml:space="preserve"> la respuesta a la solicitud de información pública</w:t>
      </w:r>
      <w:r w:rsidRPr="0038233A">
        <w:rPr>
          <w:rFonts w:eastAsia="Batang" w:cs="Tahoma"/>
          <w:b/>
          <w:bCs/>
          <w:color w:val="auto"/>
          <w:lang w:val="es-ES" w:eastAsia="es-ES"/>
        </w:rPr>
        <w:t xml:space="preserve"> </w:t>
      </w:r>
      <w:r w:rsidRPr="00157C2F" w:rsidR="00157C2F">
        <w:rPr>
          <w:rFonts w:eastAsia="Batang" w:cs="Tahoma"/>
          <w:b/>
          <w:bCs/>
          <w:color w:val="auto"/>
          <w:lang w:val="es-ES" w:eastAsia="es-ES"/>
        </w:rPr>
        <w:t>00</w:t>
      </w:r>
      <w:r w:rsidR="00F140A1">
        <w:rPr>
          <w:rFonts w:eastAsia="Batang" w:cs="Tahoma"/>
          <w:b/>
          <w:bCs/>
          <w:color w:val="auto"/>
          <w:lang w:val="es-ES" w:eastAsia="es-ES"/>
        </w:rPr>
        <w:t>171</w:t>
      </w:r>
      <w:r w:rsidRPr="00157C2F" w:rsidR="00157C2F">
        <w:rPr>
          <w:rFonts w:eastAsia="Batang" w:cs="Tahoma"/>
          <w:b/>
          <w:bCs/>
          <w:color w:val="auto"/>
          <w:lang w:val="es-ES" w:eastAsia="es-ES"/>
        </w:rPr>
        <w:t>/TENANCIN/IP/2022</w:t>
      </w:r>
      <w:r w:rsidRPr="0038233A">
        <w:rPr>
          <w:rFonts w:eastAsia="Batang" w:cs="Tahoma"/>
          <w:bCs/>
          <w:color w:val="auto"/>
          <w:lang w:val="es-ES" w:eastAsia="es-ES"/>
        </w:rPr>
        <w:t>, por resultar</w:t>
      </w:r>
      <w:r w:rsidR="00291426">
        <w:rPr>
          <w:rFonts w:eastAsia="Batang" w:cs="Tahoma"/>
          <w:bCs/>
          <w:color w:val="auto"/>
          <w:lang w:val="es-ES" w:eastAsia="es-ES"/>
        </w:rPr>
        <w:t xml:space="preserve"> </w:t>
      </w:r>
      <w:r w:rsidR="00291426">
        <w:rPr>
          <w:rFonts w:eastAsia="Batang" w:cs="Tahoma"/>
          <w:b/>
          <w:color w:val="auto"/>
          <w:lang w:val="es-ES" w:eastAsia="es-ES"/>
        </w:rPr>
        <w:t>PARCIALMENTE</w:t>
      </w:r>
      <w:r w:rsidRPr="0038233A">
        <w:rPr>
          <w:rFonts w:eastAsia="Batang" w:cs="Tahoma"/>
          <w:bCs/>
          <w:color w:val="auto"/>
          <w:lang w:val="es-ES" w:eastAsia="es-ES"/>
        </w:rPr>
        <w:t xml:space="preserve"> </w:t>
      </w:r>
      <w:r w:rsidRPr="0038233A">
        <w:rPr>
          <w:rFonts w:eastAsia="Batang" w:cs="Tahoma"/>
          <w:b/>
          <w:bCs/>
          <w:color w:val="auto"/>
          <w:lang w:val="es-ES" w:eastAsia="es-ES"/>
        </w:rPr>
        <w:t>FUNDADAS</w:t>
      </w:r>
      <w:r w:rsidRPr="0038233A">
        <w:rPr>
          <w:rFonts w:eastAsia="Batang" w:cs="Tahoma"/>
          <w:bCs/>
          <w:color w:val="auto"/>
          <w:lang w:val="es-ES" w:eastAsia="es-ES"/>
        </w:rPr>
        <w:t xml:space="preserve"> las razones o motivos de inconformidad hechos valer por el Recurrente, en el Recurso de Revisión </w:t>
      </w:r>
      <w:r w:rsidRPr="00157C2F" w:rsidR="00157C2F">
        <w:rPr>
          <w:rFonts w:eastAsia="Batang" w:cs="Tahoma"/>
          <w:b/>
          <w:bCs/>
          <w:color w:val="auto"/>
          <w:lang w:val="es-ES" w:eastAsia="es-ES"/>
        </w:rPr>
        <w:lastRenderedPageBreak/>
        <w:t>0</w:t>
      </w:r>
      <w:r w:rsidR="00F140A1">
        <w:rPr>
          <w:rFonts w:eastAsia="Batang" w:cs="Tahoma"/>
          <w:b/>
          <w:bCs/>
          <w:color w:val="auto"/>
          <w:lang w:val="es-ES" w:eastAsia="es-ES"/>
        </w:rPr>
        <w:t>5296</w:t>
      </w:r>
      <w:r w:rsidRPr="00157C2F" w:rsidR="00157C2F">
        <w:rPr>
          <w:rFonts w:eastAsia="Batang" w:cs="Tahoma"/>
          <w:b/>
          <w:bCs/>
          <w:color w:val="auto"/>
          <w:lang w:val="es-ES" w:eastAsia="es-ES"/>
        </w:rPr>
        <w:t>/INFOEM/IP/RR/2022</w:t>
      </w:r>
      <w:r w:rsidRPr="0038233A">
        <w:rPr>
          <w:rFonts w:eastAsia="Batang" w:cs="Tahoma"/>
          <w:b/>
          <w:bCs/>
          <w:color w:val="auto"/>
          <w:lang w:val="es-ES" w:eastAsia="es-ES"/>
        </w:rPr>
        <w:t>,</w:t>
      </w:r>
      <w:r w:rsidRPr="0038233A">
        <w:rPr>
          <w:rFonts w:eastAsia="Batang" w:cs="Tahoma"/>
          <w:bCs/>
          <w:color w:val="auto"/>
          <w:lang w:val="es-ES" w:eastAsia="es-ES"/>
        </w:rPr>
        <w:t xml:space="preserve"> en términos de los Considerandos </w:t>
      </w:r>
      <w:r w:rsidRPr="00B14A10">
        <w:rPr>
          <w:rFonts w:eastAsia="Batang" w:cs="Tahoma"/>
          <w:color w:val="auto"/>
          <w:lang w:val="es-ES" w:eastAsia="es-ES"/>
        </w:rPr>
        <w:t>QUINTO y SEXTO</w:t>
      </w:r>
      <w:r w:rsidRPr="0038233A">
        <w:rPr>
          <w:rFonts w:eastAsia="Batang" w:cs="Tahoma"/>
          <w:bCs/>
          <w:color w:val="auto"/>
          <w:lang w:val="es-ES" w:eastAsia="es-ES"/>
        </w:rPr>
        <w:t xml:space="preserve"> de esta Resolución.</w:t>
      </w:r>
    </w:p>
    <w:p w:rsidRPr="0038233A" w:rsidR="0038233A" w:rsidP="00AD62BD" w:rsidRDefault="0038233A" w14:paraId="49995A17" w14:textId="77777777">
      <w:pPr>
        <w:spacing w:after="0" w:line="360" w:lineRule="auto"/>
        <w:rPr>
          <w:rFonts w:eastAsia="Batang" w:cs="Tahoma"/>
          <w:bCs/>
          <w:color w:val="auto"/>
          <w:lang w:val="es-ES" w:eastAsia="es-ES"/>
        </w:rPr>
      </w:pPr>
    </w:p>
    <w:p w:rsidRPr="0038233A" w:rsidR="0038233A" w:rsidP="00AD62BD" w:rsidRDefault="0038233A" w14:paraId="1B22125A" w14:textId="4984F137">
      <w:pPr>
        <w:spacing w:after="0" w:line="360" w:lineRule="auto"/>
        <w:rPr>
          <w:rFonts w:eastAsia="Batang" w:cs="Tahoma"/>
          <w:bCs/>
          <w:color w:val="auto"/>
          <w:lang w:val="es-ES" w:eastAsia="es-ES"/>
        </w:rPr>
      </w:pPr>
      <w:r w:rsidRPr="0038233A">
        <w:rPr>
          <w:rFonts w:eastAsia="Batang" w:cs="Tahoma"/>
          <w:b/>
          <w:bCs/>
          <w:color w:val="auto"/>
          <w:lang w:val="es-ES" w:eastAsia="es-ES"/>
        </w:rPr>
        <w:t xml:space="preserve">SEGUNDO. </w:t>
      </w:r>
      <w:r w:rsidRPr="0038233A">
        <w:rPr>
          <w:rFonts w:eastAsia="Batang" w:cs="Tahoma"/>
          <w:bCs/>
          <w:color w:val="auto"/>
          <w:lang w:val="es-ES" w:eastAsia="es-ES"/>
        </w:rPr>
        <w:t xml:space="preserve">Se </w:t>
      </w:r>
      <w:r w:rsidRPr="0038233A">
        <w:rPr>
          <w:rFonts w:eastAsia="Batang" w:cs="Tahoma"/>
          <w:b/>
          <w:bCs/>
          <w:color w:val="auto"/>
          <w:lang w:val="es-ES" w:eastAsia="es-ES"/>
        </w:rPr>
        <w:t>ORDENA</w:t>
      </w:r>
      <w:r w:rsidR="00157C2F">
        <w:rPr>
          <w:rFonts w:eastAsia="Batang" w:cs="Tahoma"/>
          <w:bCs/>
          <w:color w:val="auto"/>
          <w:lang w:val="es-ES" w:eastAsia="es-ES"/>
        </w:rPr>
        <w:t xml:space="preserve"> al Ayuntamiento de Tenancingo</w:t>
      </w:r>
      <w:r w:rsidRPr="0038233A">
        <w:rPr>
          <w:rFonts w:eastAsia="Batang" w:cs="Tahoma"/>
          <w:bCs/>
          <w:color w:val="auto"/>
          <w:lang w:val="es-ES" w:eastAsia="es-ES"/>
        </w:rPr>
        <w:t>, a</w:t>
      </w:r>
      <w:r w:rsidR="00B542BD">
        <w:rPr>
          <w:rFonts w:eastAsia="Batang" w:cs="Tahoma"/>
          <w:bCs/>
          <w:color w:val="auto"/>
          <w:lang w:val="es-ES" w:eastAsia="es-ES"/>
        </w:rPr>
        <w:t xml:space="preserve"> efecto de</w:t>
      </w:r>
      <w:r w:rsidRPr="0038233A">
        <w:rPr>
          <w:rFonts w:eastAsia="Batang" w:cs="Tahoma"/>
          <w:bCs/>
          <w:color w:val="auto"/>
          <w:lang w:val="es-ES" w:eastAsia="es-ES"/>
        </w:rPr>
        <w:t xml:space="preserve"> que</w:t>
      </w:r>
      <w:r w:rsidR="00B542BD">
        <w:rPr>
          <w:rFonts w:eastAsia="Batang" w:cs="Tahoma"/>
          <w:bCs/>
          <w:color w:val="auto"/>
          <w:lang w:val="es-ES" w:eastAsia="es-ES"/>
        </w:rPr>
        <w:t>,</w:t>
      </w:r>
      <w:r w:rsidRPr="0038233A">
        <w:rPr>
          <w:rFonts w:eastAsia="Batang" w:cs="Tahoma"/>
          <w:bCs/>
          <w:color w:val="auto"/>
          <w:lang w:val="es-ES" w:eastAsia="es-ES"/>
        </w:rPr>
        <w:t xml:space="preserve"> entregue, a tr</w:t>
      </w:r>
      <w:r w:rsidRPr="0038233A">
        <w:rPr>
          <w:rFonts w:eastAsia="Batang" w:cs="Tahoma"/>
          <w:bCs/>
          <w:color w:val="auto"/>
          <w:lang w:val="x-none" w:eastAsia="es-ES"/>
        </w:rPr>
        <w:t xml:space="preserve">avés, </w:t>
      </w:r>
      <w:r w:rsidRPr="0038233A">
        <w:rPr>
          <w:rFonts w:eastAsia="Batang" w:cs="Tahoma"/>
          <w:bCs/>
          <w:color w:val="auto"/>
          <w:lang w:val="es-ES" w:eastAsia="es-ES"/>
        </w:rPr>
        <w:t>del Sistema de Acceso a la Información Mexiquense (SAIMEX), en versión pública, lo siguiente:</w:t>
      </w:r>
    </w:p>
    <w:p w:rsidRPr="0038233A" w:rsidR="0038233A" w:rsidP="00AD62BD" w:rsidRDefault="0038233A" w14:paraId="0526D30D" w14:textId="77777777">
      <w:pPr>
        <w:spacing w:after="0" w:line="360" w:lineRule="auto"/>
        <w:rPr>
          <w:rFonts w:eastAsia="Batang" w:cs="Tahoma"/>
          <w:bCs/>
          <w:color w:val="auto"/>
          <w:lang w:val="es-ES" w:eastAsia="es-ES"/>
        </w:rPr>
      </w:pPr>
    </w:p>
    <w:p w:rsidRPr="00B542BD" w:rsidR="00B542BD" w:rsidP="00B542BD" w:rsidRDefault="00291426" w14:paraId="68AC7A0A" w14:textId="47DC4FC0">
      <w:pPr>
        <w:pStyle w:val="Prrafodelista"/>
        <w:numPr>
          <w:ilvl w:val="0"/>
          <w:numId w:val="22"/>
        </w:numPr>
        <w:spacing w:line="360" w:lineRule="auto"/>
        <w:rPr>
          <w:rFonts w:cs="Tahoma"/>
          <w:bCs/>
          <w:lang w:val="es-ES_tradnl"/>
        </w:rPr>
      </w:pPr>
      <w:r>
        <w:rPr>
          <w:rFonts w:cs="Tahoma"/>
          <w:bCs/>
          <w:lang w:val="es-ES_tradnl"/>
        </w:rPr>
        <w:t>El recibo de nómina entregado en respuesta</w:t>
      </w:r>
      <w:r w:rsidRPr="00B542BD" w:rsidR="00B542BD">
        <w:rPr>
          <w:rFonts w:cs="Tahoma"/>
          <w:bCs/>
          <w:lang w:val="es-ES_tradnl"/>
        </w:rPr>
        <w:t>.</w:t>
      </w:r>
    </w:p>
    <w:p w:rsidRPr="0038233A" w:rsidR="00B542BD" w:rsidP="00B542BD" w:rsidRDefault="00B542BD" w14:paraId="3BD2D309" w14:textId="77777777">
      <w:pPr>
        <w:spacing w:after="0" w:line="360" w:lineRule="auto"/>
        <w:rPr>
          <w:rFonts w:eastAsia="Times New Roman" w:cs="Tahoma"/>
          <w:bCs/>
          <w:color w:val="auto"/>
          <w:lang w:val="es-ES_tradnl" w:eastAsia="es-ES"/>
        </w:rPr>
      </w:pPr>
    </w:p>
    <w:p w:rsidRPr="0038233A" w:rsidR="00B542BD" w:rsidP="00B542BD" w:rsidRDefault="00B542BD" w14:paraId="21F6CE59" w14:textId="02E6631F">
      <w:pPr>
        <w:autoSpaceDE w:val="0"/>
        <w:autoSpaceDN w:val="0"/>
        <w:adjustRightInd w:val="0"/>
        <w:spacing w:after="0" w:line="360" w:lineRule="auto"/>
        <w:rPr>
          <w:rFonts w:eastAsia="Calibri" w:cs="Tahoma"/>
          <w:bCs/>
          <w:iCs/>
          <w:color w:val="000000"/>
          <w:lang w:val="es-ES_tradnl"/>
        </w:rPr>
      </w:pPr>
      <w:r w:rsidRPr="0038233A">
        <w:rPr>
          <w:rFonts w:eastAsia="Calibri" w:cs="Tahoma"/>
          <w:bCs/>
          <w:iCs/>
          <w:color w:val="000000"/>
          <w:lang w:val="es-ES_tradnl"/>
        </w:rPr>
        <w:t xml:space="preserve">Además, deberá proporcionar el Acuerdo de Clasificación donde el Comité de Transparencia, confirme la eliminación de los datos </w:t>
      </w:r>
      <w:r w:rsidR="00291426">
        <w:rPr>
          <w:rFonts w:eastAsia="Calibri" w:cs="Tahoma"/>
          <w:bCs/>
          <w:iCs/>
          <w:color w:val="000000"/>
          <w:lang w:val="es-ES_tradnl"/>
        </w:rPr>
        <w:t xml:space="preserve">referidos en el Considerando </w:t>
      </w:r>
      <w:r w:rsidRPr="00291426" w:rsidR="00291426">
        <w:rPr>
          <w:rFonts w:eastAsia="Calibri" w:cs="Tahoma"/>
          <w:bCs/>
          <w:iCs/>
          <w:color w:val="000000"/>
          <w:lang w:val="es-ES_tradnl"/>
        </w:rPr>
        <w:t>SEXTO</w:t>
      </w:r>
      <w:r w:rsidRPr="00291426">
        <w:rPr>
          <w:rFonts w:eastAsia="Calibri" w:cs="Tahoma"/>
          <w:bCs/>
          <w:iCs/>
          <w:color w:val="000000"/>
          <w:lang w:val="es-ES_tradnl"/>
        </w:rPr>
        <w:t>,</w:t>
      </w:r>
      <w:r w:rsidRPr="00291426">
        <w:rPr>
          <w:rFonts w:eastAsia="Calibri" w:cs="Tahoma"/>
          <w:b/>
          <w:iCs/>
          <w:color w:val="000000"/>
          <w:lang w:val="es-ES_tradnl"/>
        </w:rPr>
        <w:t xml:space="preserve"> </w:t>
      </w:r>
      <w:r w:rsidRPr="0038233A">
        <w:rPr>
          <w:rFonts w:eastAsia="Calibri" w:cs="Tahoma"/>
          <w:bCs/>
          <w:iCs/>
          <w:color w:val="000000"/>
          <w:lang w:val="es-ES_tradnl"/>
        </w:rPr>
        <w:t>en la versión pública, de conformidad con los artículos 49, fracciones II y VIII</w:t>
      </w:r>
      <w:r>
        <w:rPr>
          <w:rFonts w:eastAsia="Calibri" w:cs="Tahoma"/>
          <w:bCs/>
          <w:iCs/>
          <w:color w:val="000000"/>
          <w:lang w:val="es-ES_tradnl"/>
        </w:rPr>
        <w:t>,</w:t>
      </w:r>
      <w:r w:rsidRPr="0038233A">
        <w:rPr>
          <w:rFonts w:eastAsia="Calibri" w:cs="Tahoma"/>
          <w:bCs/>
          <w:iCs/>
          <w:color w:val="000000"/>
          <w:lang w:val="es-ES_tradnl"/>
        </w:rPr>
        <w:t xml:space="preserve"> 132, fracción II</w:t>
      </w:r>
      <w:r>
        <w:rPr>
          <w:rFonts w:eastAsia="Calibri" w:cs="Tahoma"/>
          <w:bCs/>
          <w:iCs/>
          <w:color w:val="000000"/>
          <w:lang w:val="es-ES_tradnl"/>
        </w:rPr>
        <w:t>, y 149</w:t>
      </w:r>
      <w:r w:rsidRPr="0038233A">
        <w:rPr>
          <w:rFonts w:eastAsia="Calibri" w:cs="Tahoma"/>
          <w:bCs/>
          <w:iCs/>
          <w:color w:val="000000"/>
          <w:lang w:val="es-ES_tradnl"/>
        </w:rPr>
        <w:t xml:space="preserve"> de la Ley de Transparencia y Acceso a la Información Pública del Estado de México y Municipios.</w:t>
      </w:r>
    </w:p>
    <w:p w:rsidRPr="0038233A" w:rsidR="0038233A" w:rsidP="00AD62BD" w:rsidRDefault="0038233A" w14:paraId="7DF14F1F" w14:textId="77777777">
      <w:pPr>
        <w:spacing w:after="0" w:line="360" w:lineRule="auto"/>
        <w:rPr>
          <w:rFonts w:eastAsia="Batang" w:cs="Tahoma"/>
          <w:bCs/>
          <w:color w:val="auto"/>
          <w:lang w:val="es-ES" w:eastAsia="es-ES"/>
        </w:rPr>
      </w:pPr>
    </w:p>
    <w:p w:rsidRPr="0038233A" w:rsidR="0038233A" w:rsidP="00AD62BD" w:rsidRDefault="0038233A" w14:paraId="2D7564C1" w14:textId="77777777">
      <w:pPr>
        <w:spacing w:after="0" w:line="360" w:lineRule="auto"/>
        <w:rPr>
          <w:rFonts w:eastAsia="Batang" w:cs="Tahoma"/>
          <w:bCs/>
          <w:color w:val="auto"/>
          <w:lang w:val="es-ES" w:eastAsia="es-ES"/>
        </w:rPr>
      </w:pPr>
      <w:r w:rsidRPr="0038233A">
        <w:rPr>
          <w:rFonts w:eastAsia="Batang" w:cs="Tahoma"/>
          <w:b/>
          <w:bCs/>
          <w:color w:val="auto"/>
          <w:lang w:val="es-ES" w:eastAsia="es-ES"/>
        </w:rPr>
        <w:t xml:space="preserve">TERCERO. NOTIFÍQUESE </w:t>
      </w:r>
      <w:r w:rsidRPr="0038233A">
        <w:rPr>
          <w:rFonts w:eastAsia="Batang" w:cs="Tahoma"/>
          <w:b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8233A" w:rsidR="0038233A" w:rsidP="00AD62BD" w:rsidRDefault="0038233A" w14:paraId="0BA709C5" w14:textId="77777777">
      <w:pPr>
        <w:spacing w:after="0" w:line="360" w:lineRule="auto"/>
        <w:rPr>
          <w:rFonts w:eastAsia="Batang" w:cs="Tahoma"/>
          <w:bCs/>
          <w:color w:val="auto"/>
          <w:lang w:val="es-ES" w:eastAsia="es-ES"/>
        </w:rPr>
      </w:pPr>
    </w:p>
    <w:p w:rsidRPr="0038233A" w:rsidR="0038233A" w:rsidP="00AD62BD" w:rsidRDefault="0038233A" w14:paraId="222E9340" w14:textId="77777777">
      <w:pPr>
        <w:spacing w:after="0" w:line="360" w:lineRule="auto"/>
        <w:rPr>
          <w:rFonts w:eastAsia="Times New Roman" w:cs="Arial"/>
          <w:bCs/>
          <w:color w:val="auto"/>
          <w:lang w:val="es-ES_tradnl" w:eastAsia="es-ES"/>
        </w:rPr>
      </w:pPr>
      <w:bookmarkStart w:name="_Hlk61509110" w:id="1"/>
      <w:r w:rsidRPr="0038233A">
        <w:rPr>
          <w:rFonts w:eastAsia="Times New Roman" w:cs="Arial"/>
          <w:bCs/>
          <w:color w:val="auto"/>
          <w:lang w:val="es-ES_tradnl"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38233A" w:rsidR="0038233A" w:rsidP="00AD62BD" w:rsidRDefault="0038233A" w14:paraId="6FD3B911" w14:textId="77777777">
      <w:pPr>
        <w:spacing w:after="0" w:line="360" w:lineRule="auto"/>
        <w:rPr>
          <w:rFonts w:eastAsia="Batang" w:cs="Tahoma"/>
          <w:bCs/>
          <w:color w:val="auto"/>
          <w:lang w:val="es-ES" w:eastAsia="es-ES"/>
        </w:rPr>
      </w:pPr>
    </w:p>
    <w:p w:rsidRPr="0038233A" w:rsidR="0038233A" w:rsidP="00AD62BD" w:rsidRDefault="0038233A" w14:paraId="286FB192" w14:textId="77777777">
      <w:pPr>
        <w:spacing w:after="0" w:line="360" w:lineRule="auto"/>
        <w:rPr>
          <w:rFonts w:eastAsia="Batang" w:cs="Tahoma"/>
          <w:bCs/>
          <w:color w:val="auto"/>
          <w:lang w:val="es-ES" w:eastAsia="es-ES"/>
        </w:rPr>
      </w:pPr>
      <w:r w:rsidRPr="0038233A">
        <w:rPr>
          <w:rFonts w:eastAsia="Batang" w:cs="Tahoma"/>
          <w:b/>
          <w:bCs/>
          <w:color w:val="auto"/>
          <w:lang w:val="es-ES" w:eastAsia="es-ES"/>
        </w:rPr>
        <w:t>CUARTO. NOTIFÍQUESE</w:t>
      </w:r>
      <w:r w:rsidRPr="0038233A">
        <w:rPr>
          <w:rFonts w:eastAsia="Batang" w:cs="Tahoma"/>
          <w:bCs/>
          <w:color w:val="auto"/>
          <w:lang w:val="es-ES" w:eastAsia="es-ES"/>
        </w:rPr>
        <w:t xml:space="preserve"> al Recurrente la presente Resolución, asimismo, se hace de su conocimiento que de conformidad con lo establecido en el artículo 196 de la Ley de </w:t>
      </w:r>
      <w:r w:rsidRPr="0038233A">
        <w:rPr>
          <w:rFonts w:eastAsia="Batang" w:cs="Tahoma"/>
          <w:bCs/>
          <w:color w:val="auto"/>
          <w:lang w:val="es-ES" w:eastAsia="es-ES"/>
        </w:rPr>
        <w:lastRenderedPageBreak/>
        <w:t>Transparencia y Acceso a la Información Pública del Estado de México y Municipios podrá promover el Juicio de Amparo en los términos de las leyes aplicables.</w:t>
      </w:r>
    </w:p>
    <w:p w:rsidR="0038233A" w:rsidP="00AD62BD" w:rsidRDefault="0038233A" w14:paraId="5FFBF332" w14:textId="6F82CA2E">
      <w:pPr>
        <w:spacing w:after="0" w:line="360" w:lineRule="auto"/>
        <w:contextualSpacing/>
        <w:rPr>
          <w:rFonts w:eastAsia="Calibri" w:cs="Tahoma"/>
          <w:color w:val="auto"/>
          <w:lang w:val="es-ES" w:eastAsia="es-ES_tradnl"/>
        </w:rPr>
      </w:pPr>
    </w:p>
    <w:p w:rsidRPr="0038233A" w:rsidR="0038233A" w:rsidP="00AD62BD" w:rsidRDefault="00157C2F" w14:paraId="267CAFB6" w14:textId="47216407">
      <w:pPr>
        <w:spacing w:after="0" w:line="360" w:lineRule="auto"/>
        <w:contextualSpacing/>
        <w:rPr>
          <w:rFonts w:eastAsia="Calibri" w:cs="Tahoma"/>
          <w:color w:val="auto"/>
          <w:lang w:val="es-ES" w:eastAsia="es-ES_tradnl"/>
        </w:rPr>
      </w:pPr>
      <w:r w:rsidRPr="00157C2F">
        <w:rPr>
          <w:rFonts w:eastAsia="Calibri" w:cs="Tahoma"/>
          <w:color w:val="auto"/>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2C1F30">
        <w:rPr>
          <w:rFonts w:eastAsia="Calibri" w:cs="Tahoma"/>
          <w:color w:val="auto"/>
          <w:lang w:val="es-ES" w:eastAsia="es-ES_tradnl"/>
        </w:rPr>
        <w:t>NOVENA</w:t>
      </w:r>
      <w:r w:rsidRPr="00157C2F">
        <w:rPr>
          <w:rFonts w:eastAsia="Calibri" w:cs="Tahoma"/>
          <w:color w:val="auto"/>
          <w:lang w:val="es-ES" w:eastAsia="es-ES_tradnl"/>
        </w:rPr>
        <w:t xml:space="preserve"> SESIÓN ORDINARIA, CELEBRADA EL </w:t>
      </w:r>
      <w:r w:rsidR="002C1F30">
        <w:rPr>
          <w:rFonts w:eastAsia="Calibri" w:cs="Tahoma"/>
          <w:color w:val="auto"/>
          <w:lang w:val="es-ES" w:eastAsia="es-ES_tradnl"/>
        </w:rPr>
        <w:t>VEINTICINO DE MAYO</w:t>
      </w:r>
      <w:r w:rsidR="00AF5626">
        <w:rPr>
          <w:rFonts w:eastAsia="Calibri" w:cs="Tahoma"/>
          <w:color w:val="auto"/>
          <w:lang w:val="es-ES" w:eastAsia="es-ES_tradnl"/>
        </w:rPr>
        <w:t xml:space="preserve"> </w:t>
      </w:r>
      <w:r w:rsidRPr="00157C2F">
        <w:rPr>
          <w:rFonts w:eastAsia="Calibri" w:cs="Tahoma"/>
          <w:color w:val="auto"/>
          <w:lang w:val="es-ES" w:eastAsia="es-ES_tradnl"/>
        </w:rPr>
        <w:t>DE DOS MIL VEINTIDÓS, ANTE EL SECRETARIO TÉCNICO DEL PLENO, ALEXIS TAPIA RAMÍREZ.</w:t>
      </w:r>
    </w:p>
    <w:p w:rsidR="00502DB5" w:rsidRDefault="00502DB5" w14:paraId="7CA0CBFE" w14:textId="0CA4D6EA">
      <w:pPr>
        <w:jc w:val="left"/>
        <w:rPr>
          <w:rFonts w:eastAsia="Calibri" w:cs="Tahoma"/>
          <w:color w:val="auto"/>
          <w:lang w:val="es-ES" w:eastAsia="es-ES_tradnl"/>
        </w:rPr>
      </w:pPr>
      <w:r>
        <w:rPr>
          <w:rFonts w:eastAsia="Calibri" w:cs="Tahoma"/>
          <w:color w:val="auto"/>
          <w:lang w:val="es-ES" w:eastAsia="es-ES_tradnl"/>
        </w:rPr>
        <w:br w:type="page"/>
      </w:r>
    </w:p>
    <w:p w:rsidRPr="00FF32E9" w:rsidR="0038233A" w:rsidP="00AD62BD" w:rsidRDefault="0038233A" w14:paraId="2AD58615" w14:textId="77777777">
      <w:pPr>
        <w:spacing w:after="0" w:line="360" w:lineRule="auto"/>
      </w:pPr>
    </w:p>
    <w:sectPr w:rsidRPr="00FF32E9" w:rsidR="0038233A" w:rsidSect="002C59A0">
      <w:headerReference w:type="even" r:id="rId17"/>
      <w:headerReference w:type="default" r:id="rId18"/>
      <w:footerReference w:type="even" r:id="rId19"/>
      <w:footerReference w:type="default" r:id="rId20"/>
      <w:headerReference w:type="first" r:id="rId21"/>
      <w:footerReference w:type="first" r:id="rId22"/>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193B" w:rsidP="00C853D1" w:rsidRDefault="002A193B" w14:paraId="2C954DD6" w14:textId="77777777">
      <w:pPr>
        <w:spacing w:after="0" w:line="240" w:lineRule="auto"/>
      </w:pPr>
      <w:r>
        <w:separator/>
      </w:r>
    </w:p>
  </w:endnote>
  <w:endnote w:type="continuationSeparator" w:id="0">
    <w:p w:rsidR="002A193B" w:rsidP="00C853D1" w:rsidRDefault="002A193B" w14:paraId="50247F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33A" w:rsidRDefault="0038233A"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38233A" w:rsidRDefault="0038233A"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38233A" w:rsidRDefault="0038233A"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33F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33F2">
              <w:rPr>
                <w:b/>
                <w:bCs/>
                <w:noProof/>
              </w:rPr>
              <w:t>34</w:t>
            </w:r>
            <w:r>
              <w:rPr>
                <w:b/>
                <w:bCs/>
                <w:sz w:val="24"/>
                <w:szCs w:val="24"/>
              </w:rPr>
              <w:fldChar w:fldCharType="end"/>
            </w:r>
          </w:p>
        </w:sdtContent>
      </w:sdt>
    </w:sdtContent>
  </w:sdt>
  <w:p w:rsidR="0038233A" w:rsidRDefault="0038233A"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233A" w:rsidRDefault="0038233A"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33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33F2">
      <w:rPr>
        <w:b/>
        <w:bCs/>
        <w:noProof/>
      </w:rPr>
      <w:t>34</w:t>
    </w:r>
    <w:r>
      <w:rPr>
        <w:b/>
        <w:bCs/>
        <w:sz w:val="24"/>
        <w:szCs w:val="24"/>
      </w:rPr>
      <w:fldChar w:fldCharType="end"/>
    </w:r>
  </w:p>
  <w:p w:rsidR="0038233A" w:rsidRDefault="0038233A"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193B" w:rsidP="00C853D1" w:rsidRDefault="002A193B" w14:paraId="1C5E38E4" w14:textId="77777777">
      <w:pPr>
        <w:spacing w:after="0" w:line="240" w:lineRule="auto"/>
      </w:pPr>
      <w:r>
        <w:separator/>
      </w:r>
    </w:p>
  </w:footnote>
  <w:footnote w:type="continuationSeparator" w:id="0">
    <w:p w:rsidR="002A193B" w:rsidP="00C853D1" w:rsidRDefault="002A193B" w14:paraId="1116D5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38233A" w:rsidTr="002C59A0" w14:paraId="282B3A75" w14:textId="77777777">
      <w:trPr>
        <w:trHeight w:val="141"/>
      </w:trPr>
      <w:tc>
        <w:tcPr>
          <w:tcW w:w="2404" w:type="dxa"/>
        </w:tcPr>
        <w:p w:rsidRPr="001B5FB6" w:rsidR="0038233A" w:rsidP="002C59A0" w:rsidRDefault="0038233A"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38233A" w:rsidP="002C59A0" w:rsidRDefault="0038233A"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38233A" w:rsidTr="002C59A0" w14:paraId="46AFE2B4" w14:textId="77777777">
      <w:trPr>
        <w:trHeight w:val="276"/>
      </w:trPr>
      <w:tc>
        <w:tcPr>
          <w:tcW w:w="2404" w:type="dxa"/>
        </w:tcPr>
        <w:p w:rsidRPr="001B5FB6" w:rsidR="0038233A" w:rsidP="002C59A0" w:rsidRDefault="0038233A"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38233A" w:rsidP="002C59A0" w:rsidRDefault="0038233A"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38233A" w:rsidTr="002C59A0" w14:paraId="1FA679E9" w14:textId="77777777">
      <w:trPr>
        <w:trHeight w:val="276"/>
      </w:trPr>
      <w:tc>
        <w:tcPr>
          <w:tcW w:w="2404" w:type="dxa"/>
        </w:tcPr>
        <w:p w:rsidRPr="001B5FB6" w:rsidR="0038233A" w:rsidP="002C59A0" w:rsidRDefault="0038233A"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38233A" w:rsidP="002C59A0" w:rsidRDefault="0038233A"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38233A" w:rsidRDefault="00502DB5"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38233A" w:rsidRDefault="0038233A" w14:paraId="435693B3" w14:textId="77777777">
    <w:pPr>
      <w:rPr>
        <w:sz w:val="18"/>
        <w:szCs w:val="18"/>
      </w:rPr>
    </w:pPr>
  </w:p>
  <w:tbl>
    <w:tblPr>
      <w:tblStyle w:val="Tablaconcuadrcula"/>
      <w:tblW w:w="6662"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4253"/>
    </w:tblGrid>
    <w:tr w:rsidR="0038233A" w:rsidTr="001C2EB4" w14:paraId="66182C1A" w14:textId="77777777">
      <w:trPr>
        <w:trHeight w:val="141"/>
      </w:trPr>
      <w:tc>
        <w:tcPr>
          <w:tcW w:w="2409" w:type="dxa"/>
        </w:tcPr>
        <w:p w:rsidRPr="001B5FB6" w:rsidR="0038233A" w:rsidP="000F1C51" w:rsidRDefault="0038233A" w14:paraId="61DF328B" w14:textId="77777777">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253" w:type="dxa"/>
        </w:tcPr>
        <w:p w:rsidRPr="00EA4542" w:rsidR="0038233A" w:rsidP="000F1C51" w:rsidRDefault="0038233A" w14:paraId="697C716C" w14:textId="7E6346E9">
          <w:pPr>
            <w:tabs>
              <w:tab w:val="left" w:pos="2586"/>
              <w:tab w:val="right" w:pos="8838"/>
            </w:tabs>
            <w:ind w:left="-28"/>
            <w:rPr>
              <w:rFonts w:eastAsia="Calibri" w:cs="Tahoma"/>
            </w:rPr>
          </w:pPr>
          <w:r w:rsidRPr="00A66618">
            <w:rPr>
              <w:rFonts w:eastAsia="Calibri" w:cs="Tahoma"/>
              <w:lang w:val="es-MX"/>
            </w:rPr>
            <w:t>0</w:t>
          </w:r>
          <w:r w:rsidR="00F140A1">
            <w:rPr>
              <w:rFonts w:eastAsia="Calibri" w:cs="Tahoma"/>
              <w:lang w:val="es-MX"/>
            </w:rPr>
            <w:t>5296</w:t>
          </w:r>
          <w:r w:rsidRPr="00A66618">
            <w:rPr>
              <w:rFonts w:eastAsia="Calibri" w:cs="Tahoma"/>
              <w:lang w:val="es-MX"/>
            </w:rPr>
            <w:t>/INFOEM/IP/RR/2022</w:t>
          </w:r>
        </w:p>
      </w:tc>
    </w:tr>
    <w:tr w:rsidR="0038233A" w:rsidTr="001C2EB4" w14:paraId="05319D97" w14:textId="77777777">
      <w:trPr>
        <w:trHeight w:val="276"/>
      </w:trPr>
      <w:tc>
        <w:tcPr>
          <w:tcW w:w="2409" w:type="dxa"/>
        </w:tcPr>
        <w:p w:rsidRPr="001B5FB6" w:rsidR="0038233A" w:rsidP="000F1C51" w:rsidRDefault="0038233A" w14:paraId="4860C28D" w14:textId="77777777">
          <w:pPr>
            <w:tabs>
              <w:tab w:val="right" w:pos="8838"/>
            </w:tabs>
            <w:ind w:right="-105"/>
            <w:rPr>
              <w:rFonts w:eastAsia="Calibri" w:cs="Tahoma"/>
              <w:b/>
              <w:lang w:val="es-MX"/>
            </w:rPr>
          </w:pPr>
          <w:r w:rsidRPr="001B5FB6">
            <w:rPr>
              <w:rFonts w:eastAsia="Calibri" w:cs="Tahoma"/>
              <w:b/>
              <w:lang w:val="es-MX"/>
            </w:rPr>
            <w:t>Sujeto Obligado:</w:t>
          </w:r>
        </w:p>
      </w:tc>
      <w:tc>
        <w:tcPr>
          <w:tcW w:w="4253" w:type="dxa"/>
        </w:tcPr>
        <w:p w:rsidRPr="00605283" w:rsidR="0038233A" w:rsidP="00A66618" w:rsidRDefault="0038233A" w14:paraId="431484A6" w14:textId="693174CD">
          <w:pPr>
            <w:tabs>
              <w:tab w:val="right" w:pos="8838"/>
            </w:tabs>
            <w:rPr>
              <w:rFonts w:eastAsia="Calibri" w:cs="Tahoma"/>
              <w:lang w:val="es-MX"/>
            </w:rPr>
          </w:pPr>
          <w:r w:rsidRPr="003E7E96">
            <w:rPr>
              <w:rFonts w:eastAsia="Calibri" w:cs="Tahoma"/>
              <w:lang w:val="es-MX"/>
            </w:rPr>
            <w:t xml:space="preserve">Ayuntamiento de </w:t>
          </w:r>
          <w:r>
            <w:rPr>
              <w:rFonts w:eastAsia="Calibri" w:cs="Tahoma"/>
              <w:lang w:val="es-MX"/>
            </w:rPr>
            <w:t>Tenancingo</w:t>
          </w:r>
        </w:p>
      </w:tc>
    </w:tr>
    <w:tr w:rsidR="0038233A" w:rsidTr="001C2EB4" w14:paraId="713A715B" w14:textId="77777777">
      <w:trPr>
        <w:trHeight w:val="276"/>
      </w:trPr>
      <w:tc>
        <w:tcPr>
          <w:tcW w:w="2409" w:type="dxa"/>
        </w:tcPr>
        <w:p w:rsidRPr="001B5FB6" w:rsidR="0038233A" w:rsidP="000F1C51" w:rsidRDefault="0038233A" w14:paraId="5B774FB1" w14:textId="77777777">
          <w:pPr>
            <w:tabs>
              <w:tab w:val="right" w:pos="8838"/>
            </w:tabs>
            <w:ind w:right="-105"/>
            <w:rPr>
              <w:rFonts w:eastAsia="Calibri" w:cs="Tahoma"/>
              <w:b/>
              <w:lang w:val="es-MX"/>
            </w:rPr>
          </w:pPr>
          <w:r w:rsidRPr="001B5FB6">
            <w:rPr>
              <w:rFonts w:eastAsia="Calibri" w:cs="Tahoma"/>
              <w:b/>
              <w:lang w:val="es-MX"/>
            </w:rPr>
            <w:t>Comisionado Ponente:</w:t>
          </w:r>
        </w:p>
      </w:tc>
      <w:tc>
        <w:tcPr>
          <w:tcW w:w="4253" w:type="dxa"/>
        </w:tcPr>
        <w:p w:rsidRPr="00A8173F" w:rsidR="0038233A" w:rsidP="000F1C51" w:rsidRDefault="0038233A" w14:paraId="2BD04D83" w14:textId="19AA1FE2">
          <w:pPr>
            <w:tabs>
              <w:tab w:val="right" w:pos="8838"/>
            </w:tabs>
            <w:rPr>
              <w:rFonts w:eastAsia="Calibri" w:cs="Tahoma"/>
              <w:lang w:val="es-MX"/>
            </w:rPr>
          </w:pPr>
          <w:r w:rsidRPr="00A8173F">
            <w:rPr>
              <w:rFonts w:eastAsia="Calibri" w:cs="Tahoma"/>
              <w:lang w:val="es-MX"/>
            </w:rPr>
            <w:t>Luis Gustavo Parra Noriega</w:t>
          </w:r>
        </w:p>
      </w:tc>
    </w:tr>
  </w:tbl>
  <w:p w:rsidR="0038233A" w:rsidRDefault="00502DB5"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268"/>
      <w:gridCol w:w="7087"/>
    </w:tblGrid>
    <w:tr w:rsidRPr="005C106F" w:rsidR="0038233A" w:rsidTr="49E6DD33" w14:paraId="791E66FA" w14:textId="77777777">
      <w:trPr>
        <w:trHeight w:val="1546"/>
      </w:trPr>
      <w:tc>
        <w:tcPr>
          <w:tcW w:w="2268" w:type="dxa"/>
          <w:shd w:val="clear" w:color="auto" w:fill="auto"/>
          <w:tcMar/>
        </w:tcPr>
        <w:p w:rsidRPr="005C106F" w:rsidR="0038233A" w:rsidP="00723C8A" w:rsidRDefault="0038233A" w14:paraId="0C9AAC3E" w14:textId="77777777">
          <w:pPr>
            <w:tabs>
              <w:tab w:val="right" w:pos="4273"/>
            </w:tabs>
            <w:rPr>
              <w:rFonts w:ascii="Garamond" w:hAnsi="Garamond" w:eastAsia="Calibri"/>
              <w:sz w:val="16"/>
              <w:szCs w:val="16"/>
            </w:rPr>
          </w:pPr>
        </w:p>
      </w:tc>
      <w:tc>
        <w:tcPr>
          <w:tcW w:w="7087" w:type="dxa"/>
          <w:shd w:val="clear" w:color="auto" w:fill="auto"/>
          <w:tcMar/>
        </w:tcPr>
        <w:p w:rsidR="0038233A" w:rsidRDefault="0038233A" w14:paraId="385DD670" w14:textId="77777777"/>
        <w:tbl>
          <w:tblPr>
            <w:tblStyle w:val="Tablaconcuadrcula"/>
            <w:tblW w:w="6520" w:type="dxa"/>
            <w:tblInd w:w="1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6"/>
          </w:tblGrid>
          <w:tr w:rsidR="0038233A" w:rsidTr="49E6DD33" w14:paraId="751CE72E" w14:textId="77777777">
            <w:trPr>
              <w:trHeight w:val="141"/>
            </w:trPr>
            <w:tc>
              <w:tcPr>
                <w:tcW w:w="2404" w:type="dxa"/>
                <w:tcMar/>
              </w:tcPr>
              <w:p w:rsidRPr="001B5FB6" w:rsidR="0038233A" w:rsidP="00723C8A" w:rsidRDefault="0038233A" w14:paraId="24CE744E" w14:textId="77777777">
                <w:pPr>
                  <w:tabs>
                    <w:tab w:val="right" w:pos="8838"/>
                  </w:tabs>
                  <w:ind w:right="-105"/>
                  <w:jc w:val="left"/>
                  <w:rPr>
                    <w:rFonts w:eastAsia="Calibri" w:cs="Tahoma"/>
                    <w:b/>
                    <w:lang w:val="es-MX"/>
                  </w:rPr>
                </w:pPr>
                <w:r w:rsidRPr="001B5FB6">
                  <w:rPr>
                    <w:rFonts w:eastAsia="Calibri" w:cs="Tahoma"/>
                    <w:b/>
                    <w:lang w:val="es-MX"/>
                  </w:rPr>
                  <w:t>Recurso de Revisión:</w:t>
                </w:r>
              </w:p>
            </w:tc>
            <w:tc>
              <w:tcPr>
                <w:tcW w:w="4116" w:type="dxa"/>
                <w:tcMar/>
              </w:tcPr>
              <w:p w:rsidRPr="00EA4542" w:rsidR="0038233A" w:rsidP="00723C8A" w:rsidRDefault="0038233A" w14:paraId="1F50AD81" w14:textId="58EE6EC8">
                <w:pPr>
                  <w:tabs>
                    <w:tab w:val="right" w:pos="8838"/>
                  </w:tabs>
                  <w:ind w:right="-107"/>
                  <w:rPr>
                    <w:rFonts w:eastAsia="Calibri" w:cs="Tahoma"/>
                  </w:rPr>
                </w:pPr>
                <w:r w:rsidRPr="00A66618">
                  <w:rPr>
                    <w:rFonts w:eastAsia="Calibri" w:cs="Tahoma"/>
                    <w:lang w:val="es-MX"/>
                  </w:rPr>
                  <w:t>0</w:t>
                </w:r>
                <w:r w:rsidR="00F140A1">
                  <w:rPr>
                    <w:rFonts w:eastAsia="Calibri" w:cs="Tahoma"/>
                    <w:lang w:val="es-MX"/>
                  </w:rPr>
                  <w:t>5296</w:t>
                </w:r>
                <w:r w:rsidRPr="00A66618">
                  <w:rPr>
                    <w:rFonts w:eastAsia="Calibri" w:cs="Tahoma"/>
                    <w:lang w:val="es-MX"/>
                  </w:rPr>
                  <w:t>/INFOEM/IP/RR/2022</w:t>
                </w:r>
              </w:p>
            </w:tc>
          </w:tr>
          <w:tr w:rsidR="0038233A" w:rsidTr="49E6DD33" w14:paraId="7FBF0A30" w14:textId="77777777">
            <w:trPr>
              <w:trHeight w:val="141"/>
            </w:trPr>
            <w:tc>
              <w:tcPr>
                <w:tcW w:w="2404" w:type="dxa"/>
                <w:tcMar/>
              </w:tcPr>
              <w:p w:rsidRPr="001B5FB6" w:rsidR="0038233A" w:rsidP="00723C8A" w:rsidRDefault="0038233A" w14:paraId="70DDCE30" w14:textId="77777777">
                <w:pPr>
                  <w:tabs>
                    <w:tab w:val="right" w:pos="8838"/>
                  </w:tabs>
                  <w:ind w:right="-105"/>
                  <w:rPr>
                    <w:rFonts w:eastAsia="Calibri" w:cs="Tahoma"/>
                    <w:b/>
                    <w:lang w:val="es-MX"/>
                  </w:rPr>
                </w:pPr>
                <w:r w:rsidRPr="001B5FB6">
                  <w:rPr>
                    <w:rFonts w:eastAsia="Calibri" w:cs="Tahoma"/>
                    <w:b/>
                    <w:lang w:val="es-MX"/>
                  </w:rPr>
                  <w:t>Recurrente:</w:t>
                </w:r>
              </w:p>
            </w:tc>
            <w:tc>
              <w:tcPr>
                <w:tcW w:w="4116" w:type="dxa"/>
                <w:tcMar/>
              </w:tcPr>
              <w:p w:rsidRPr="003405AF" w:rsidR="0038233A" w:rsidP="49E6DD33" w:rsidRDefault="00F140A1" w14:paraId="083BF8A8" w14:textId="4DE1C8A7">
                <w:pPr>
                  <w:pStyle w:val="Normal"/>
                  <w:tabs>
                    <w:tab w:val="right" w:leader="none" w:pos="8838"/>
                  </w:tabs>
                  <w:bidi w:val="0"/>
                  <w:spacing w:before="0" w:beforeAutospacing="off" w:after="0" w:afterAutospacing="off" w:line="259" w:lineRule="auto"/>
                  <w:ind w:left="0" w:right="-107"/>
                  <w:jc w:val="both"/>
                  <w:rPr>
                    <w:rFonts w:eastAsia="Calibri" w:cs="Tahoma"/>
                    <w:color w:val="000000" w:themeColor="text1" w:themeTint="FF" w:themeShade="FF"/>
                    <w:highlight w:val="black"/>
                    <w:lang w:val="es-MX"/>
                  </w:rPr>
                </w:pPr>
                <w:r w:rsidRPr="49E6DD33" w:rsidR="49E6DD33">
                  <w:rPr>
                    <w:rFonts w:eastAsia="Calibri" w:cs="Tahoma"/>
                    <w:color w:val="000000" w:themeColor="text1" w:themeTint="FF" w:themeShade="FF"/>
                    <w:highlight w:val="black"/>
                    <w:lang w:val="es-MX"/>
                  </w:rPr>
                  <w:t>XXXXXXXXXX</w:t>
                </w:r>
              </w:p>
            </w:tc>
          </w:tr>
          <w:tr w:rsidR="0038233A" w:rsidTr="49E6DD33" w14:paraId="7C9355BB" w14:textId="77777777">
            <w:trPr>
              <w:trHeight w:val="276"/>
            </w:trPr>
            <w:tc>
              <w:tcPr>
                <w:tcW w:w="2404" w:type="dxa"/>
                <w:tcMar/>
              </w:tcPr>
              <w:p w:rsidRPr="001B5FB6" w:rsidR="0038233A" w:rsidP="00723C8A" w:rsidRDefault="0038233A" w14:paraId="5EF6C660" w14:textId="77777777">
                <w:pPr>
                  <w:tabs>
                    <w:tab w:val="right" w:pos="8838"/>
                  </w:tabs>
                  <w:ind w:right="-105"/>
                  <w:rPr>
                    <w:rFonts w:eastAsia="Calibri" w:cs="Tahoma"/>
                    <w:b/>
                    <w:lang w:val="es-MX"/>
                  </w:rPr>
                </w:pPr>
                <w:r w:rsidRPr="001B5FB6">
                  <w:rPr>
                    <w:rFonts w:eastAsia="Calibri" w:cs="Tahoma"/>
                    <w:b/>
                    <w:lang w:val="es-MX"/>
                  </w:rPr>
                  <w:t>Sujeto Obligado:</w:t>
                </w:r>
              </w:p>
            </w:tc>
            <w:tc>
              <w:tcPr>
                <w:tcW w:w="4116" w:type="dxa"/>
                <w:tcMar/>
              </w:tcPr>
              <w:p w:rsidRPr="00605283" w:rsidR="0038233A" w:rsidP="00F406CE" w:rsidRDefault="0038233A" w14:paraId="3C25434B" w14:textId="016568B6">
                <w:pPr>
                  <w:tabs>
                    <w:tab w:val="right" w:pos="8838"/>
                  </w:tabs>
                  <w:ind w:left="-28" w:right="-107"/>
                  <w:rPr>
                    <w:rFonts w:eastAsia="Calibri" w:cs="Tahoma"/>
                    <w:lang w:val="es-MX"/>
                  </w:rPr>
                </w:pPr>
                <w:r w:rsidRPr="00A66618">
                  <w:rPr>
                    <w:rFonts w:eastAsia="Calibri" w:cs="Tahoma"/>
                    <w:lang w:val="es-MX"/>
                  </w:rPr>
                  <w:t>Ayuntamiento de Tenancingo</w:t>
                </w:r>
              </w:p>
            </w:tc>
          </w:tr>
          <w:tr w:rsidR="0038233A" w:rsidTr="49E6DD33" w14:paraId="0752A001" w14:textId="77777777">
            <w:trPr>
              <w:trHeight w:val="276"/>
            </w:trPr>
            <w:tc>
              <w:tcPr>
                <w:tcW w:w="2404" w:type="dxa"/>
                <w:tcMar/>
              </w:tcPr>
              <w:p w:rsidRPr="001B5FB6" w:rsidR="0038233A" w:rsidP="00723C8A" w:rsidRDefault="0038233A" w14:paraId="3B4CDDB2"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6" w:type="dxa"/>
                <w:tcMar/>
              </w:tcPr>
              <w:p w:rsidRPr="00A8173F" w:rsidR="0038233A" w:rsidP="00723C8A" w:rsidRDefault="0038233A" w14:paraId="0EE1CBC3" w14:textId="77777777">
                <w:pPr>
                  <w:tabs>
                    <w:tab w:val="right" w:pos="8838"/>
                  </w:tabs>
                  <w:ind w:left="-28" w:right="-107"/>
                  <w:rPr>
                    <w:rFonts w:eastAsia="Calibri" w:cs="Tahoma"/>
                    <w:lang w:val="es-MX"/>
                  </w:rPr>
                </w:pPr>
                <w:r w:rsidRPr="00A8173F">
                  <w:rPr>
                    <w:rFonts w:eastAsia="Calibri" w:cs="Tahoma"/>
                    <w:lang w:val="es-MX"/>
                  </w:rPr>
                  <w:t>Luis Gustavo Parra Noriega</w:t>
                </w:r>
              </w:p>
            </w:tc>
          </w:tr>
        </w:tbl>
        <w:p w:rsidRPr="005C106F" w:rsidR="0038233A" w:rsidP="00723C8A" w:rsidRDefault="0038233A" w14:paraId="07D107A1" w14:textId="77777777">
          <w:pPr>
            <w:tabs>
              <w:tab w:val="right" w:pos="8838"/>
            </w:tabs>
            <w:ind w:left="-28"/>
            <w:rPr>
              <w:rFonts w:ascii="Arial" w:hAnsi="Arial" w:eastAsia="Calibri" w:cs="Arial"/>
              <w:b/>
            </w:rPr>
          </w:pPr>
        </w:p>
      </w:tc>
    </w:tr>
  </w:tbl>
  <w:p w:rsidR="0038233A" w:rsidRDefault="00502DB5"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6.1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A9C4457"/>
    <w:multiLevelType w:val="hybridMultilevel"/>
    <w:tmpl w:val="428C773A"/>
    <w:lvl w:ilvl="0" w:tplc="71E4D072">
      <w:start w:val="5"/>
      <w:numFmt w:val="bullet"/>
      <w:lvlText w:val="-"/>
      <w:lvlJc w:val="left"/>
      <w:pPr>
        <w:ind w:left="786" w:hanging="360"/>
      </w:pPr>
      <w:rPr>
        <w:rFonts w:hint="default" w:ascii="Palatino Linotype" w:hAnsi="Palatino Linotype" w:eastAsia="Times New Roman" w:cs="Tahoma"/>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4"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CBF0975"/>
    <w:multiLevelType w:val="hybridMultilevel"/>
    <w:tmpl w:val="1996E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3082DD5"/>
    <w:multiLevelType w:val="hybridMultilevel"/>
    <w:tmpl w:val="FF3ADA90"/>
    <w:lvl w:ilvl="0" w:tplc="080A0001">
      <w:start w:val="1"/>
      <w:numFmt w:val="bullet"/>
      <w:lvlText w:val=""/>
      <w:lvlJc w:val="left"/>
      <w:pPr>
        <w:ind w:left="778" w:hanging="360"/>
      </w:pPr>
      <w:rPr>
        <w:rFonts w:hint="default" w:ascii="Symbol" w:hAnsi="Symbol"/>
      </w:rPr>
    </w:lvl>
    <w:lvl w:ilvl="1" w:tplc="080A0003" w:tentative="1">
      <w:start w:val="1"/>
      <w:numFmt w:val="bullet"/>
      <w:lvlText w:val="o"/>
      <w:lvlJc w:val="left"/>
      <w:pPr>
        <w:ind w:left="1498" w:hanging="360"/>
      </w:pPr>
      <w:rPr>
        <w:rFonts w:hint="default" w:ascii="Courier New" w:hAnsi="Courier New" w:cs="Courier New"/>
      </w:rPr>
    </w:lvl>
    <w:lvl w:ilvl="2" w:tplc="080A0005" w:tentative="1">
      <w:start w:val="1"/>
      <w:numFmt w:val="bullet"/>
      <w:lvlText w:val=""/>
      <w:lvlJc w:val="left"/>
      <w:pPr>
        <w:ind w:left="2218" w:hanging="360"/>
      </w:pPr>
      <w:rPr>
        <w:rFonts w:hint="default" w:ascii="Wingdings" w:hAnsi="Wingdings"/>
      </w:rPr>
    </w:lvl>
    <w:lvl w:ilvl="3" w:tplc="080A0001" w:tentative="1">
      <w:start w:val="1"/>
      <w:numFmt w:val="bullet"/>
      <w:lvlText w:val=""/>
      <w:lvlJc w:val="left"/>
      <w:pPr>
        <w:ind w:left="2938" w:hanging="360"/>
      </w:pPr>
      <w:rPr>
        <w:rFonts w:hint="default" w:ascii="Symbol" w:hAnsi="Symbol"/>
      </w:rPr>
    </w:lvl>
    <w:lvl w:ilvl="4" w:tplc="080A0003" w:tentative="1">
      <w:start w:val="1"/>
      <w:numFmt w:val="bullet"/>
      <w:lvlText w:val="o"/>
      <w:lvlJc w:val="left"/>
      <w:pPr>
        <w:ind w:left="3658" w:hanging="360"/>
      </w:pPr>
      <w:rPr>
        <w:rFonts w:hint="default" w:ascii="Courier New" w:hAnsi="Courier New" w:cs="Courier New"/>
      </w:rPr>
    </w:lvl>
    <w:lvl w:ilvl="5" w:tplc="080A0005" w:tentative="1">
      <w:start w:val="1"/>
      <w:numFmt w:val="bullet"/>
      <w:lvlText w:val=""/>
      <w:lvlJc w:val="left"/>
      <w:pPr>
        <w:ind w:left="4378" w:hanging="360"/>
      </w:pPr>
      <w:rPr>
        <w:rFonts w:hint="default" w:ascii="Wingdings" w:hAnsi="Wingdings"/>
      </w:rPr>
    </w:lvl>
    <w:lvl w:ilvl="6" w:tplc="080A0001" w:tentative="1">
      <w:start w:val="1"/>
      <w:numFmt w:val="bullet"/>
      <w:lvlText w:val=""/>
      <w:lvlJc w:val="left"/>
      <w:pPr>
        <w:ind w:left="5098" w:hanging="360"/>
      </w:pPr>
      <w:rPr>
        <w:rFonts w:hint="default" w:ascii="Symbol" w:hAnsi="Symbol"/>
      </w:rPr>
    </w:lvl>
    <w:lvl w:ilvl="7" w:tplc="080A0003" w:tentative="1">
      <w:start w:val="1"/>
      <w:numFmt w:val="bullet"/>
      <w:lvlText w:val="o"/>
      <w:lvlJc w:val="left"/>
      <w:pPr>
        <w:ind w:left="5818" w:hanging="360"/>
      </w:pPr>
      <w:rPr>
        <w:rFonts w:hint="default" w:ascii="Courier New" w:hAnsi="Courier New" w:cs="Courier New"/>
      </w:rPr>
    </w:lvl>
    <w:lvl w:ilvl="8" w:tplc="080A0005" w:tentative="1">
      <w:start w:val="1"/>
      <w:numFmt w:val="bullet"/>
      <w:lvlText w:val=""/>
      <w:lvlJc w:val="left"/>
      <w:pPr>
        <w:ind w:left="6538" w:hanging="360"/>
      </w:pPr>
      <w:rPr>
        <w:rFonts w:hint="default" w:ascii="Wingdings" w:hAnsi="Wingdings"/>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44588A"/>
    <w:multiLevelType w:val="hybridMultilevel"/>
    <w:tmpl w:val="8FA07C02"/>
    <w:lvl w:ilvl="0" w:tplc="43FA59C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AB0D79"/>
    <w:multiLevelType w:val="hybridMultilevel"/>
    <w:tmpl w:val="16C265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C36226E"/>
    <w:multiLevelType w:val="hybridMultilevel"/>
    <w:tmpl w:val="113C88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DC48D6"/>
    <w:multiLevelType w:val="hybridMultilevel"/>
    <w:tmpl w:val="1744E84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79C371EC"/>
    <w:multiLevelType w:val="hybridMultilevel"/>
    <w:tmpl w:val="748483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D1A2A4C"/>
    <w:multiLevelType w:val="hybridMultilevel"/>
    <w:tmpl w:val="0210841E"/>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304582069">
    <w:abstractNumId w:val="8"/>
  </w:num>
  <w:num w:numId="2" w16cid:durableId="585311402">
    <w:abstractNumId w:val="16"/>
  </w:num>
  <w:num w:numId="3" w16cid:durableId="185170768">
    <w:abstractNumId w:val="21"/>
  </w:num>
  <w:num w:numId="4" w16cid:durableId="528567849">
    <w:abstractNumId w:val="24"/>
  </w:num>
  <w:num w:numId="5" w16cid:durableId="395587625">
    <w:abstractNumId w:val="6"/>
  </w:num>
  <w:num w:numId="6" w16cid:durableId="1334411162">
    <w:abstractNumId w:val="25"/>
  </w:num>
  <w:num w:numId="7" w16cid:durableId="1369574477">
    <w:abstractNumId w:val="7"/>
  </w:num>
  <w:num w:numId="8" w16cid:durableId="1091197262">
    <w:abstractNumId w:val="11"/>
  </w:num>
  <w:num w:numId="9" w16cid:durableId="676617709">
    <w:abstractNumId w:val="5"/>
  </w:num>
  <w:num w:numId="10" w16cid:durableId="210507146">
    <w:abstractNumId w:val="10"/>
  </w:num>
  <w:num w:numId="11" w16cid:durableId="649286130">
    <w:abstractNumId w:val="22"/>
  </w:num>
  <w:num w:numId="12" w16cid:durableId="486095354">
    <w:abstractNumId w:val="14"/>
  </w:num>
  <w:num w:numId="13" w16cid:durableId="1359308584">
    <w:abstractNumId w:val="18"/>
  </w:num>
  <w:num w:numId="14" w16cid:durableId="69935469">
    <w:abstractNumId w:val="12"/>
  </w:num>
  <w:num w:numId="15" w16cid:durableId="1511292867">
    <w:abstractNumId w:val="13"/>
  </w:num>
  <w:num w:numId="16" w16cid:durableId="835459848">
    <w:abstractNumId w:val="2"/>
  </w:num>
  <w:num w:numId="17" w16cid:durableId="886067240">
    <w:abstractNumId w:val="3"/>
  </w:num>
  <w:num w:numId="18" w16cid:durableId="12534748">
    <w:abstractNumId w:val="19"/>
  </w:num>
  <w:num w:numId="19" w16cid:durableId="998508447">
    <w:abstractNumId w:val="1"/>
  </w:num>
  <w:num w:numId="20" w16cid:durableId="1538932294">
    <w:abstractNumId w:val="9"/>
  </w:num>
  <w:num w:numId="21" w16cid:durableId="2022080056">
    <w:abstractNumId w:val="4"/>
  </w:num>
  <w:num w:numId="22" w16cid:durableId="772634250">
    <w:abstractNumId w:val="17"/>
  </w:num>
  <w:num w:numId="23" w16cid:durableId="735860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3487197">
    <w:abstractNumId w:val="23"/>
  </w:num>
  <w:num w:numId="25" w16cid:durableId="1182889996">
    <w:abstractNumId w:val="0"/>
  </w:num>
  <w:num w:numId="26" w16cid:durableId="1999075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70F"/>
    <w:rsid w:val="00001F87"/>
    <w:rsid w:val="00002E53"/>
    <w:rsid w:val="000039BC"/>
    <w:rsid w:val="00003CB3"/>
    <w:rsid w:val="000051F1"/>
    <w:rsid w:val="00005C32"/>
    <w:rsid w:val="00007008"/>
    <w:rsid w:val="00007EB8"/>
    <w:rsid w:val="0001030E"/>
    <w:rsid w:val="000114B7"/>
    <w:rsid w:val="0001263E"/>
    <w:rsid w:val="00013773"/>
    <w:rsid w:val="0001499A"/>
    <w:rsid w:val="00014F81"/>
    <w:rsid w:val="00017AB4"/>
    <w:rsid w:val="00017D8C"/>
    <w:rsid w:val="000223B0"/>
    <w:rsid w:val="00022CE2"/>
    <w:rsid w:val="00022EDA"/>
    <w:rsid w:val="00024F36"/>
    <w:rsid w:val="00027FA3"/>
    <w:rsid w:val="00030561"/>
    <w:rsid w:val="00030CAA"/>
    <w:rsid w:val="00031A8A"/>
    <w:rsid w:val="00032741"/>
    <w:rsid w:val="0003549B"/>
    <w:rsid w:val="00036A9C"/>
    <w:rsid w:val="00037D99"/>
    <w:rsid w:val="000409AC"/>
    <w:rsid w:val="00043D6A"/>
    <w:rsid w:val="00046650"/>
    <w:rsid w:val="000477C6"/>
    <w:rsid w:val="00050591"/>
    <w:rsid w:val="00050A47"/>
    <w:rsid w:val="00051537"/>
    <w:rsid w:val="00052A57"/>
    <w:rsid w:val="00052BD5"/>
    <w:rsid w:val="00053D03"/>
    <w:rsid w:val="00055FDE"/>
    <w:rsid w:val="00062286"/>
    <w:rsid w:val="00062AAC"/>
    <w:rsid w:val="00062C8B"/>
    <w:rsid w:val="000705A9"/>
    <w:rsid w:val="00076640"/>
    <w:rsid w:val="00077E8D"/>
    <w:rsid w:val="00081145"/>
    <w:rsid w:val="00084E05"/>
    <w:rsid w:val="00084E4E"/>
    <w:rsid w:val="00086C02"/>
    <w:rsid w:val="00093915"/>
    <w:rsid w:val="000939CD"/>
    <w:rsid w:val="0009537D"/>
    <w:rsid w:val="00096694"/>
    <w:rsid w:val="000A1ECD"/>
    <w:rsid w:val="000A2588"/>
    <w:rsid w:val="000A259F"/>
    <w:rsid w:val="000A61A2"/>
    <w:rsid w:val="000A66BB"/>
    <w:rsid w:val="000A7729"/>
    <w:rsid w:val="000A785D"/>
    <w:rsid w:val="000B0552"/>
    <w:rsid w:val="000B0A40"/>
    <w:rsid w:val="000B0EAF"/>
    <w:rsid w:val="000B18A1"/>
    <w:rsid w:val="000B3863"/>
    <w:rsid w:val="000B4EDD"/>
    <w:rsid w:val="000B7029"/>
    <w:rsid w:val="000C715C"/>
    <w:rsid w:val="000D00F9"/>
    <w:rsid w:val="000D1A72"/>
    <w:rsid w:val="000D2522"/>
    <w:rsid w:val="000D45D9"/>
    <w:rsid w:val="000D4F5A"/>
    <w:rsid w:val="000D59F5"/>
    <w:rsid w:val="000D69EB"/>
    <w:rsid w:val="000D6E57"/>
    <w:rsid w:val="000D6E68"/>
    <w:rsid w:val="000D73F7"/>
    <w:rsid w:val="000D7FE9"/>
    <w:rsid w:val="000E28E6"/>
    <w:rsid w:val="000E4E10"/>
    <w:rsid w:val="000F1C51"/>
    <w:rsid w:val="000F2A9A"/>
    <w:rsid w:val="000F3403"/>
    <w:rsid w:val="000F45A1"/>
    <w:rsid w:val="000F644C"/>
    <w:rsid w:val="001004CE"/>
    <w:rsid w:val="00100EB3"/>
    <w:rsid w:val="0010232F"/>
    <w:rsid w:val="00102353"/>
    <w:rsid w:val="0010413E"/>
    <w:rsid w:val="0010424F"/>
    <w:rsid w:val="00105557"/>
    <w:rsid w:val="001059E3"/>
    <w:rsid w:val="00105EF9"/>
    <w:rsid w:val="001105DE"/>
    <w:rsid w:val="001105F1"/>
    <w:rsid w:val="00110868"/>
    <w:rsid w:val="00111983"/>
    <w:rsid w:val="00115309"/>
    <w:rsid w:val="001202DE"/>
    <w:rsid w:val="00121E17"/>
    <w:rsid w:val="00121E23"/>
    <w:rsid w:val="001251F1"/>
    <w:rsid w:val="0012681A"/>
    <w:rsid w:val="00134C39"/>
    <w:rsid w:val="00134C8F"/>
    <w:rsid w:val="00142439"/>
    <w:rsid w:val="00142455"/>
    <w:rsid w:val="00146731"/>
    <w:rsid w:val="00151942"/>
    <w:rsid w:val="00155B0D"/>
    <w:rsid w:val="00157C2F"/>
    <w:rsid w:val="001601CC"/>
    <w:rsid w:val="00161E74"/>
    <w:rsid w:val="00164599"/>
    <w:rsid w:val="001675D9"/>
    <w:rsid w:val="00170D35"/>
    <w:rsid w:val="00173543"/>
    <w:rsid w:val="0017427D"/>
    <w:rsid w:val="00174F57"/>
    <w:rsid w:val="00175572"/>
    <w:rsid w:val="00176482"/>
    <w:rsid w:val="0017654A"/>
    <w:rsid w:val="00180003"/>
    <w:rsid w:val="001900B4"/>
    <w:rsid w:val="00190B1D"/>
    <w:rsid w:val="00190EBA"/>
    <w:rsid w:val="001920B8"/>
    <w:rsid w:val="001935D3"/>
    <w:rsid w:val="0019465D"/>
    <w:rsid w:val="00194DD1"/>
    <w:rsid w:val="00194EFB"/>
    <w:rsid w:val="001951CB"/>
    <w:rsid w:val="0019678D"/>
    <w:rsid w:val="001A47FB"/>
    <w:rsid w:val="001A4A1F"/>
    <w:rsid w:val="001A641F"/>
    <w:rsid w:val="001A6D00"/>
    <w:rsid w:val="001B176C"/>
    <w:rsid w:val="001B3B40"/>
    <w:rsid w:val="001B4706"/>
    <w:rsid w:val="001B77BD"/>
    <w:rsid w:val="001B7C6E"/>
    <w:rsid w:val="001C1007"/>
    <w:rsid w:val="001C2EB4"/>
    <w:rsid w:val="001C3C7E"/>
    <w:rsid w:val="001C3D02"/>
    <w:rsid w:val="001C6764"/>
    <w:rsid w:val="001D02DD"/>
    <w:rsid w:val="001D37BB"/>
    <w:rsid w:val="001D41B7"/>
    <w:rsid w:val="001D4812"/>
    <w:rsid w:val="001D5DF0"/>
    <w:rsid w:val="001E386E"/>
    <w:rsid w:val="001E41D0"/>
    <w:rsid w:val="001E6D1F"/>
    <w:rsid w:val="001F4559"/>
    <w:rsid w:val="001F483D"/>
    <w:rsid w:val="001F5800"/>
    <w:rsid w:val="001F6496"/>
    <w:rsid w:val="001F7383"/>
    <w:rsid w:val="001F7C51"/>
    <w:rsid w:val="001F7D15"/>
    <w:rsid w:val="0020259E"/>
    <w:rsid w:val="00204AF1"/>
    <w:rsid w:val="00207DDC"/>
    <w:rsid w:val="00210FBE"/>
    <w:rsid w:val="002111A8"/>
    <w:rsid w:val="00213776"/>
    <w:rsid w:val="002142D3"/>
    <w:rsid w:val="002161B2"/>
    <w:rsid w:val="002173BE"/>
    <w:rsid w:val="002201A7"/>
    <w:rsid w:val="00220583"/>
    <w:rsid w:val="0022261D"/>
    <w:rsid w:val="0022288F"/>
    <w:rsid w:val="00222FF2"/>
    <w:rsid w:val="00223645"/>
    <w:rsid w:val="00223ACE"/>
    <w:rsid w:val="0022757C"/>
    <w:rsid w:val="00230AA4"/>
    <w:rsid w:val="00231746"/>
    <w:rsid w:val="00232D61"/>
    <w:rsid w:val="00235BA0"/>
    <w:rsid w:val="002402DE"/>
    <w:rsid w:val="00241762"/>
    <w:rsid w:val="002419E9"/>
    <w:rsid w:val="0024313A"/>
    <w:rsid w:val="00244E3C"/>
    <w:rsid w:val="002505B3"/>
    <w:rsid w:val="00250EA7"/>
    <w:rsid w:val="00250FC0"/>
    <w:rsid w:val="00252EF3"/>
    <w:rsid w:val="0025392A"/>
    <w:rsid w:val="0025433F"/>
    <w:rsid w:val="002557A7"/>
    <w:rsid w:val="00257162"/>
    <w:rsid w:val="00257F3B"/>
    <w:rsid w:val="0026066D"/>
    <w:rsid w:val="00260AAA"/>
    <w:rsid w:val="00261807"/>
    <w:rsid w:val="00261BED"/>
    <w:rsid w:val="002629BF"/>
    <w:rsid w:val="002634E5"/>
    <w:rsid w:val="00263945"/>
    <w:rsid w:val="002659EC"/>
    <w:rsid w:val="0026680B"/>
    <w:rsid w:val="00270B8B"/>
    <w:rsid w:val="002718A0"/>
    <w:rsid w:val="00271D9C"/>
    <w:rsid w:val="00272886"/>
    <w:rsid w:val="00272C86"/>
    <w:rsid w:val="00273E3B"/>
    <w:rsid w:val="0028305A"/>
    <w:rsid w:val="002848FE"/>
    <w:rsid w:val="00290786"/>
    <w:rsid w:val="0029095F"/>
    <w:rsid w:val="00290A59"/>
    <w:rsid w:val="00291426"/>
    <w:rsid w:val="00294A21"/>
    <w:rsid w:val="00296E2A"/>
    <w:rsid w:val="002A0C47"/>
    <w:rsid w:val="002A193B"/>
    <w:rsid w:val="002A3703"/>
    <w:rsid w:val="002A6797"/>
    <w:rsid w:val="002B0B6F"/>
    <w:rsid w:val="002B23B1"/>
    <w:rsid w:val="002B3565"/>
    <w:rsid w:val="002B3FDA"/>
    <w:rsid w:val="002B54AE"/>
    <w:rsid w:val="002B7645"/>
    <w:rsid w:val="002C1F30"/>
    <w:rsid w:val="002C514D"/>
    <w:rsid w:val="002C59A0"/>
    <w:rsid w:val="002C6390"/>
    <w:rsid w:val="002C7309"/>
    <w:rsid w:val="002D138C"/>
    <w:rsid w:val="002D2293"/>
    <w:rsid w:val="002D2E5D"/>
    <w:rsid w:val="002D41BF"/>
    <w:rsid w:val="002D6C44"/>
    <w:rsid w:val="002D6F3F"/>
    <w:rsid w:val="002D7BC7"/>
    <w:rsid w:val="002E0552"/>
    <w:rsid w:val="002E05CE"/>
    <w:rsid w:val="002E05D6"/>
    <w:rsid w:val="002E25E7"/>
    <w:rsid w:val="002E333F"/>
    <w:rsid w:val="002E33E8"/>
    <w:rsid w:val="002E4C7D"/>
    <w:rsid w:val="002E5ABC"/>
    <w:rsid w:val="002E5CED"/>
    <w:rsid w:val="002E64D7"/>
    <w:rsid w:val="002F4AC0"/>
    <w:rsid w:val="002F5BC4"/>
    <w:rsid w:val="002F5C14"/>
    <w:rsid w:val="002F66A8"/>
    <w:rsid w:val="002F7A33"/>
    <w:rsid w:val="00300286"/>
    <w:rsid w:val="0030153D"/>
    <w:rsid w:val="00311288"/>
    <w:rsid w:val="003114A1"/>
    <w:rsid w:val="00311811"/>
    <w:rsid w:val="0031541E"/>
    <w:rsid w:val="0031593A"/>
    <w:rsid w:val="003160D6"/>
    <w:rsid w:val="00316279"/>
    <w:rsid w:val="00316C63"/>
    <w:rsid w:val="003173D5"/>
    <w:rsid w:val="00320671"/>
    <w:rsid w:val="00320B93"/>
    <w:rsid w:val="003211C1"/>
    <w:rsid w:val="003265A2"/>
    <w:rsid w:val="0033005B"/>
    <w:rsid w:val="003313F2"/>
    <w:rsid w:val="00334B20"/>
    <w:rsid w:val="00335471"/>
    <w:rsid w:val="003356A2"/>
    <w:rsid w:val="00336980"/>
    <w:rsid w:val="00337401"/>
    <w:rsid w:val="00341E9F"/>
    <w:rsid w:val="003422FA"/>
    <w:rsid w:val="003436E6"/>
    <w:rsid w:val="003444C2"/>
    <w:rsid w:val="0034462A"/>
    <w:rsid w:val="00345528"/>
    <w:rsid w:val="00346076"/>
    <w:rsid w:val="00346E7D"/>
    <w:rsid w:val="00346FCE"/>
    <w:rsid w:val="003475E0"/>
    <w:rsid w:val="00350D55"/>
    <w:rsid w:val="00352A89"/>
    <w:rsid w:val="003537E3"/>
    <w:rsid w:val="003545A0"/>
    <w:rsid w:val="00355553"/>
    <w:rsid w:val="00360690"/>
    <w:rsid w:val="00360926"/>
    <w:rsid w:val="00362C97"/>
    <w:rsid w:val="00362DE2"/>
    <w:rsid w:val="00363046"/>
    <w:rsid w:val="00364050"/>
    <w:rsid w:val="003647F7"/>
    <w:rsid w:val="00365075"/>
    <w:rsid w:val="0036547D"/>
    <w:rsid w:val="0037048D"/>
    <w:rsid w:val="00371DAE"/>
    <w:rsid w:val="00372B67"/>
    <w:rsid w:val="00372BAB"/>
    <w:rsid w:val="00375A1F"/>
    <w:rsid w:val="00376559"/>
    <w:rsid w:val="00380368"/>
    <w:rsid w:val="00381289"/>
    <w:rsid w:val="00381FDE"/>
    <w:rsid w:val="0038233A"/>
    <w:rsid w:val="00384A4A"/>
    <w:rsid w:val="00384DC9"/>
    <w:rsid w:val="0038641D"/>
    <w:rsid w:val="00386D06"/>
    <w:rsid w:val="0038779D"/>
    <w:rsid w:val="00387F06"/>
    <w:rsid w:val="003907C6"/>
    <w:rsid w:val="0039106C"/>
    <w:rsid w:val="00391EDC"/>
    <w:rsid w:val="003936D2"/>
    <w:rsid w:val="00394E0F"/>
    <w:rsid w:val="003955C4"/>
    <w:rsid w:val="003975AD"/>
    <w:rsid w:val="00397660"/>
    <w:rsid w:val="003A0B47"/>
    <w:rsid w:val="003A1B84"/>
    <w:rsid w:val="003A367E"/>
    <w:rsid w:val="003A6FD5"/>
    <w:rsid w:val="003A733F"/>
    <w:rsid w:val="003B0BA2"/>
    <w:rsid w:val="003B3EA2"/>
    <w:rsid w:val="003B46DC"/>
    <w:rsid w:val="003B52C1"/>
    <w:rsid w:val="003B6F53"/>
    <w:rsid w:val="003B77BC"/>
    <w:rsid w:val="003C1E55"/>
    <w:rsid w:val="003C2872"/>
    <w:rsid w:val="003C2ED7"/>
    <w:rsid w:val="003C470A"/>
    <w:rsid w:val="003C5B59"/>
    <w:rsid w:val="003C6CA0"/>
    <w:rsid w:val="003D15D4"/>
    <w:rsid w:val="003D2F87"/>
    <w:rsid w:val="003D30B4"/>
    <w:rsid w:val="003D4A58"/>
    <w:rsid w:val="003D7ED4"/>
    <w:rsid w:val="003E2FB0"/>
    <w:rsid w:val="003E5EEB"/>
    <w:rsid w:val="003E6425"/>
    <w:rsid w:val="003E7060"/>
    <w:rsid w:val="003E7914"/>
    <w:rsid w:val="003E7E96"/>
    <w:rsid w:val="003F0CE1"/>
    <w:rsid w:val="003F0E14"/>
    <w:rsid w:val="003F0F63"/>
    <w:rsid w:val="003F1756"/>
    <w:rsid w:val="003F627E"/>
    <w:rsid w:val="003F796D"/>
    <w:rsid w:val="00402F0B"/>
    <w:rsid w:val="00404FE3"/>
    <w:rsid w:val="0040544D"/>
    <w:rsid w:val="004059D0"/>
    <w:rsid w:val="00406DAB"/>
    <w:rsid w:val="004100F2"/>
    <w:rsid w:val="004122A9"/>
    <w:rsid w:val="0041449D"/>
    <w:rsid w:val="004145A8"/>
    <w:rsid w:val="00415A15"/>
    <w:rsid w:val="00417EED"/>
    <w:rsid w:val="00420D0E"/>
    <w:rsid w:val="004224DF"/>
    <w:rsid w:val="00423810"/>
    <w:rsid w:val="0042422A"/>
    <w:rsid w:val="004256B6"/>
    <w:rsid w:val="00425CB1"/>
    <w:rsid w:val="00430B0D"/>
    <w:rsid w:val="00433658"/>
    <w:rsid w:val="00433CAA"/>
    <w:rsid w:val="00434DC4"/>
    <w:rsid w:val="00435998"/>
    <w:rsid w:val="00443A58"/>
    <w:rsid w:val="00446A02"/>
    <w:rsid w:val="00450E6E"/>
    <w:rsid w:val="00451AB2"/>
    <w:rsid w:val="00452038"/>
    <w:rsid w:val="004542DC"/>
    <w:rsid w:val="004548CD"/>
    <w:rsid w:val="00460EAD"/>
    <w:rsid w:val="00462A63"/>
    <w:rsid w:val="004633F1"/>
    <w:rsid w:val="00463A70"/>
    <w:rsid w:val="00464242"/>
    <w:rsid w:val="00465EC8"/>
    <w:rsid w:val="004673C4"/>
    <w:rsid w:val="00467664"/>
    <w:rsid w:val="00467751"/>
    <w:rsid w:val="00470A7A"/>
    <w:rsid w:val="00470AF6"/>
    <w:rsid w:val="00470B1D"/>
    <w:rsid w:val="00471A6E"/>
    <w:rsid w:val="004730CB"/>
    <w:rsid w:val="00474538"/>
    <w:rsid w:val="00474E4C"/>
    <w:rsid w:val="00475766"/>
    <w:rsid w:val="00476ED1"/>
    <w:rsid w:val="004829B9"/>
    <w:rsid w:val="004845BF"/>
    <w:rsid w:val="00485D8B"/>
    <w:rsid w:val="0048648B"/>
    <w:rsid w:val="00487051"/>
    <w:rsid w:val="0049061B"/>
    <w:rsid w:val="00491C3E"/>
    <w:rsid w:val="00491DA5"/>
    <w:rsid w:val="00493C19"/>
    <w:rsid w:val="00494387"/>
    <w:rsid w:val="004949AC"/>
    <w:rsid w:val="00496426"/>
    <w:rsid w:val="004A11B5"/>
    <w:rsid w:val="004A1724"/>
    <w:rsid w:val="004A1E88"/>
    <w:rsid w:val="004A27DB"/>
    <w:rsid w:val="004A3505"/>
    <w:rsid w:val="004A528D"/>
    <w:rsid w:val="004A715C"/>
    <w:rsid w:val="004A74BF"/>
    <w:rsid w:val="004A7747"/>
    <w:rsid w:val="004A7D90"/>
    <w:rsid w:val="004B15BE"/>
    <w:rsid w:val="004B60AA"/>
    <w:rsid w:val="004B720F"/>
    <w:rsid w:val="004B726A"/>
    <w:rsid w:val="004B72FC"/>
    <w:rsid w:val="004C03A0"/>
    <w:rsid w:val="004C0426"/>
    <w:rsid w:val="004C05C5"/>
    <w:rsid w:val="004C1B53"/>
    <w:rsid w:val="004C34C6"/>
    <w:rsid w:val="004C3C1A"/>
    <w:rsid w:val="004C4E6C"/>
    <w:rsid w:val="004C547F"/>
    <w:rsid w:val="004C6C75"/>
    <w:rsid w:val="004D088D"/>
    <w:rsid w:val="004D0B02"/>
    <w:rsid w:val="004D2468"/>
    <w:rsid w:val="004D4220"/>
    <w:rsid w:val="004D66A3"/>
    <w:rsid w:val="004E1BF6"/>
    <w:rsid w:val="004E2875"/>
    <w:rsid w:val="004E33C1"/>
    <w:rsid w:val="004E5602"/>
    <w:rsid w:val="004E617D"/>
    <w:rsid w:val="004E6BF4"/>
    <w:rsid w:val="004E6D06"/>
    <w:rsid w:val="004F1048"/>
    <w:rsid w:val="004F4445"/>
    <w:rsid w:val="004F59B3"/>
    <w:rsid w:val="004F6003"/>
    <w:rsid w:val="004F61BE"/>
    <w:rsid w:val="004F662C"/>
    <w:rsid w:val="004F736C"/>
    <w:rsid w:val="004F7666"/>
    <w:rsid w:val="004F7899"/>
    <w:rsid w:val="005010C6"/>
    <w:rsid w:val="00502565"/>
    <w:rsid w:val="00502A03"/>
    <w:rsid w:val="00502DB5"/>
    <w:rsid w:val="005054D9"/>
    <w:rsid w:val="00506F24"/>
    <w:rsid w:val="005072F3"/>
    <w:rsid w:val="00507489"/>
    <w:rsid w:val="00511265"/>
    <w:rsid w:val="00513F33"/>
    <w:rsid w:val="00513F76"/>
    <w:rsid w:val="00515CA2"/>
    <w:rsid w:val="00517B06"/>
    <w:rsid w:val="00517D95"/>
    <w:rsid w:val="00520182"/>
    <w:rsid w:val="00522F3F"/>
    <w:rsid w:val="005230CF"/>
    <w:rsid w:val="00526FC2"/>
    <w:rsid w:val="005277CB"/>
    <w:rsid w:val="00533C3F"/>
    <w:rsid w:val="00534616"/>
    <w:rsid w:val="00534853"/>
    <w:rsid w:val="00534932"/>
    <w:rsid w:val="0054028E"/>
    <w:rsid w:val="00540994"/>
    <w:rsid w:val="00541DB9"/>
    <w:rsid w:val="0054404E"/>
    <w:rsid w:val="005461D7"/>
    <w:rsid w:val="0054636A"/>
    <w:rsid w:val="00550D10"/>
    <w:rsid w:val="00551230"/>
    <w:rsid w:val="00551B8F"/>
    <w:rsid w:val="00553571"/>
    <w:rsid w:val="00553F49"/>
    <w:rsid w:val="00565C58"/>
    <w:rsid w:val="005706CC"/>
    <w:rsid w:val="00570BE6"/>
    <w:rsid w:val="00571737"/>
    <w:rsid w:val="00572AAD"/>
    <w:rsid w:val="005747FF"/>
    <w:rsid w:val="00574F67"/>
    <w:rsid w:val="00576A3D"/>
    <w:rsid w:val="00581915"/>
    <w:rsid w:val="00581B60"/>
    <w:rsid w:val="00583138"/>
    <w:rsid w:val="00583352"/>
    <w:rsid w:val="0058490B"/>
    <w:rsid w:val="005861E7"/>
    <w:rsid w:val="00587FE6"/>
    <w:rsid w:val="00593E62"/>
    <w:rsid w:val="0059523B"/>
    <w:rsid w:val="00596883"/>
    <w:rsid w:val="005A2AB1"/>
    <w:rsid w:val="005A3B3B"/>
    <w:rsid w:val="005A45F3"/>
    <w:rsid w:val="005A483C"/>
    <w:rsid w:val="005A6AA1"/>
    <w:rsid w:val="005B4CD4"/>
    <w:rsid w:val="005B6ACB"/>
    <w:rsid w:val="005C0BD8"/>
    <w:rsid w:val="005C2081"/>
    <w:rsid w:val="005C40CA"/>
    <w:rsid w:val="005C6308"/>
    <w:rsid w:val="005C6C63"/>
    <w:rsid w:val="005C7219"/>
    <w:rsid w:val="005C7A42"/>
    <w:rsid w:val="005D2E05"/>
    <w:rsid w:val="005D3368"/>
    <w:rsid w:val="005D6109"/>
    <w:rsid w:val="005D62C4"/>
    <w:rsid w:val="005D6A74"/>
    <w:rsid w:val="005D755E"/>
    <w:rsid w:val="005E0A33"/>
    <w:rsid w:val="005E497A"/>
    <w:rsid w:val="005E5646"/>
    <w:rsid w:val="005E5F3C"/>
    <w:rsid w:val="005F0AA5"/>
    <w:rsid w:val="005F0F77"/>
    <w:rsid w:val="005F233D"/>
    <w:rsid w:val="005F251F"/>
    <w:rsid w:val="005F2BAD"/>
    <w:rsid w:val="005F4E56"/>
    <w:rsid w:val="005F5E7D"/>
    <w:rsid w:val="005F6ED0"/>
    <w:rsid w:val="006026B5"/>
    <w:rsid w:val="006045E8"/>
    <w:rsid w:val="00604FB9"/>
    <w:rsid w:val="00607213"/>
    <w:rsid w:val="006072B5"/>
    <w:rsid w:val="00607F00"/>
    <w:rsid w:val="006134B9"/>
    <w:rsid w:val="0061403D"/>
    <w:rsid w:val="00614077"/>
    <w:rsid w:val="00614CDB"/>
    <w:rsid w:val="00615F7E"/>
    <w:rsid w:val="00621E91"/>
    <w:rsid w:val="00625925"/>
    <w:rsid w:val="00625D90"/>
    <w:rsid w:val="00627C08"/>
    <w:rsid w:val="00631373"/>
    <w:rsid w:val="00631491"/>
    <w:rsid w:val="00631FD1"/>
    <w:rsid w:val="00632D9B"/>
    <w:rsid w:val="0063438C"/>
    <w:rsid w:val="00634D08"/>
    <w:rsid w:val="00635177"/>
    <w:rsid w:val="0063599F"/>
    <w:rsid w:val="00642A31"/>
    <w:rsid w:val="006441E1"/>
    <w:rsid w:val="00644838"/>
    <w:rsid w:val="00644CE6"/>
    <w:rsid w:val="00647391"/>
    <w:rsid w:val="006473A8"/>
    <w:rsid w:val="006507ED"/>
    <w:rsid w:val="00650901"/>
    <w:rsid w:val="006510F8"/>
    <w:rsid w:val="00660363"/>
    <w:rsid w:val="00660E60"/>
    <w:rsid w:val="006631C9"/>
    <w:rsid w:val="006642B4"/>
    <w:rsid w:val="006644A2"/>
    <w:rsid w:val="00667E20"/>
    <w:rsid w:val="006703A5"/>
    <w:rsid w:val="006733E5"/>
    <w:rsid w:val="0067363E"/>
    <w:rsid w:val="006751C0"/>
    <w:rsid w:val="006771D9"/>
    <w:rsid w:val="00682222"/>
    <w:rsid w:val="0068273E"/>
    <w:rsid w:val="00687641"/>
    <w:rsid w:val="006901C3"/>
    <w:rsid w:val="0069145A"/>
    <w:rsid w:val="006920D1"/>
    <w:rsid w:val="0069249E"/>
    <w:rsid w:val="0069416F"/>
    <w:rsid w:val="00695E03"/>
    <w:rsid w:val="0069743D"/>
    <w:rsid w:val="006A0781"/>
    <w:rsid w:val="006A0B45"/>
    <w:rsid w:val="006A4247"/>
    <w:rsid w:val="006A4B2F"/>
    <w:rsid w:val="006A4E8D"/>
    <w:rsid w:val="006A7E48"/>
    <w:rsid w:val="006B0096"/>
    <w:rsid w:val="006B06CA"/>
    <w:rsid w:val="006B2FD4"/>
    <w:rsid w:val="006B3126"/>
    <w:rsid w:val="006B3FCF"/>
    <w:rsid w:val="006B5B3E"/>
    <w:rsid w:val="006B7416"/>
    <w:rsid w:val="006C03ED"/>
    <w:rsid w:val="006C0CD7"/>
    <w:rsid w:val="006C4AD2"/>
    <w:rsid w:val="006D1782"/>
    <w:rsid w:val="006D4AB9"/>
    <w:rsid w:val="006D6F5A"/>
    <w:rsid w:val="006E035D"/>
    <w:rsid w:val="006E0643"/>
    <w:rsid w:val="006E353E"/>
    <w:rsid w:val="006E5273"/>
    <w:rsid w:val="006F0508"/>
    <w:rsid w:val="006F3217"/>
    <w:rsid w:val="006F6104"/>
    <w:rsid w:val="00700A99"/>
    <w:rsid w:val="00700DA7"/>
    <w:rsid w:val="00701875"/>
    <w:rsid w:val="00703B59"/>
    <w:rsid w:val="007047C7"/>
    <w:rsid w:val="00706604"/>
    <w:rsid w:val="00713CB5"/>
    <w:rsid w:val="007143DD"/>
    <w:rsid w:val="007159B7"/>
    <w:rsid w:val="00717C58"/>
    <w:rsid w:val="00721566"/>
    <w:rsid w:val="00723C8A"/>
    <w:rsid w:val="00723CF2"/>
    <w:rsid w:val="00724108"/>
    <w:rsid w:val="00724A49"/>
    <w:rsid w:val="0072572B"/>
    <w:rsid w:val="0072615B"/>
    <w:rsid w:val="007268C8"/>
    <w:rsid w:val="00732599"/>
    <w:rsid w:val="007359A2"/>
    <w:rsid w:val="007367DF"/>
    <w:rsid w:val="00740CD0"/>
    <w:rsid w:val="0074256C"/>
    <w:rsid w:val="00742693"/>
    <w:rsid w:val="007430FE"/>
    <w:rsid w:val="00743729"/>
    <w:rsid w:val="00743B72"/>
    <w:rsid w:val="00744439"/>
    <w:rsid w:val="00745508"/>
    <w:rsid w:val="00745AEC"/>
    <w:rsid w:val="007474FF"/>
    <w:rsid w:val="00747EE0"/>
    <w:rsid w:val="00750797"/>
    <w:rsid w:val="00754696"/>
    <w:rsid w:val="007550F6"/>
    <w:rsid w:val="0075605D"/>
    <w:rsid w:val="0076077F"/>
    <w:rsid w:val="00762999"/>
    <w:rsid w:val="00766816"/>
    <w:rsid w:val="00766FC9"/>
    <w:rsid w:val="0077299F"/>
    <w:rsid w:val="007745CA"/>
    <w:rsid w:val="007776EE"/>
    <w:rsid w:val="0078026D"/>
    <w:rsid w:val="00782132"/>
    <w:rsid w:val="0078759B"/>
    <w:rsid w:val="007876AD"/>
    <w:rsid w:val="0079077D"/>
    <w:rsid w:val="00791D0A"/>
    <w:rsid w:val="0079217A"/>
    <w:rsid w:val="00792748"/>
    <w:rsid w:val="00793F36"/>
    <w:rsid w:val="00795899"/>
    <w:rsid w:val="007A0941"/>
    <w:rsid w:val="007A0978"/>
    <w:rsid w:val="007A0D0B"/>
    <w:rsid w:val="007A5041"/>
    <w:rsid w:val="007A5334"/>
    <w:rsid w:val="007A66D1"/>
    <w:rsid w:val="007B18D2"/>
    <w:rsid w:val="007B18F1"/>
    <w:rsid w:val="007B321D"/>
    <w:rsid w:val="007B446D"/>
    <w:rsid w:val="007B4E43"/>
    <w:rsid w:val="007B50A8"/>
    <w:rsid w:val="007B58EA"/>
    <w:rsid w:val="007B6C03"/>
    <w:rsid w:val="007B78E9"/>
    <w:rsid w:val="007C7218"/>
    <w:rsid w:val="007C7F7D"/>
    <w:rsid w:val="007D42C2"/>
    <w:rsid w:val="007D75E7"/>
    <w:rsid w:val="007D779A"/>
    <w:rsid w:val="007D7AB9"/>
    <w:rsid w:val="007E2548"/>
    <w:rsid w:val="007E38E8"/>
    <w:rsid w:val="007E5D97"/>
    <w:rsid w:val="007E600B"/>
    <w:rsid w:val="007E785B"/>
    <w:rsid w:val="007F06F2"/>
    <w:rsid w:val="007F0EAE"/>
    <w:rsid w:val="007F400F"/>
    <w:rsid w:val="007F4C6B"/>
    <w:rsid w:val="007F6297"/>
    <w:rsid w:val="007F7D92"/>
    <w:rsid w:val="008006C4"/>
    <w:rsid w:val="00800FED"/>
    <w:rsid w:val="00803EAF"/>
    <w:rsid w:val="00804053"/>
    <w:rsid w:val="00804248"/>
    <w:rsid w:val="00805FCA"/>
    <w:rsid w:val="00806297"/>
    <w:rsid w:val="008100B0"/>
    <w:rsid w:val="00810184"/>
    <w:rsid w:val="0081115E"/>
    <w:rsid w:val="0081134E"/>
    <w:rsid w:val="0081663D"/>
    <w:rsid w:val="00820595"/>
    <w:rsid w:val="00820B99"/>
    <w:rsid w:val="00820C1B"/>
    <w:rsid w:val="00821B22"/>
    <w:rsid w:val="00823130"/>
    <w:rsid w:val="0082578E"/>
    <w:rsid w:val="008262C2"/>
    <w:rsid w:val="00826445"/>
    <w:rsid w:val="00826FBE"/>
    <w:rsid w:val="00827B0C"/>
    <w:rsid w:val="0083107B"/>
    <w:rsid w:val="00831EAC"/>
    <w:rsid w:val="0083321B"/>
    <w:rsid w:val="00834A0C"/>
    <w:rsid w:val="00836F1F"/>
    <w:rsid w:val="00842168"/>
    <w:rsid w:val="00843AB9"/>
    <w:rsid w:val="00845AB7"/>
    <w:rsid w:val="00846E04"/>
    <w:rsid w:val="008472E0"/>
    <w:rsid w:val="008508E2"/>
    <w:rsid w:val="00850A5F"/>
    <w:rsid w:val="00852049"/>
    <w:rsid w:val="008525AF"/>
    <w:rsid w:val="008538DF"/>
    <w:rsid w:val="00853ACB"/>
    <w:rsid w:val="00853F28"/>
    <w:rsid w:val="00855331"/>
    <w:rsid w:val="0085649B"/>
    <w:rsid w:val="00857F62"/>
    <w:rsid w:val="008639C8"/>
    <w:rsid w:val="008644E3"/>
    <w:rsid w:val="008702B3"/>
    <w:rsid w:val="00875294"/>
    <w:rsid w:val="008767DC"/>
    <w:rsid w:val="00880F6A"/>
    <w:rsid w:val="00884AD3"/>
    <w:rsid w:val="00886078"/>
    <w:rsid w:val="00892595"/>
    <w:rsid w:val="008929CD"/>
    <w:rsid w:val="008934EE"/>
    <w:rsid w:val="008949CD"/>
    <w:rsid w:val="0089580C"/>
    <w:rsid w:val="0089660D"/>
    <w:rsid w:val="008977F6"/>
    <w:rsid w:val="00897AC3"/>
    <w:rsid w:val="00897D57"/>
    <w:rsid w:val="00897E20"/>
    <w:rsid w:val="008A024A"/>
    <w:rsid w:val="008A10DE"/>
    <w:rsid w:val="008A34BD"/>
    <w:rsid w:val="008A43BA"/>
    <w:rsid w:val="008A7269"/>
    <w:rsid w:val="008B0792"/>
    <w:rsid w:val="008B0A88"/>
    <w:rsid w:val="008B2FFC"/>
    <w:rsid w:val="008B42C1"/>
    <w:rsid w:val="008B4F02"/>
    <w:rsid w:val="008B5B74"/>
    <w:rsid w:val="008C1062"/>
    <w:rsid w:val="008C1F90"/>
    <w:rsid w:val="008C3029"/>
    <w:rsid w:val="008C4F3D"/>
    <w:rsid w:val="008C5A8C"/>
    <w:rsid w:val="008D129C"/>
    <w:rsid w:val="008D1382"/>
    <w:rsid w:val="008D1DE2"/>
    <w:rsid w:val="008D4F4A"/>
    <w:rsid w:val="008D69D3"/>
    <w:rsid w:val="008E3B00"/>
    <w:rsid w:val="008E3B54"/>
    <w:rsid w:val="008E702E"/>
    <w:rsid w:val="008F0C20"/>
    <w:rsid w:val="008F119B"/>
    <w:rsid w:val="008F1359"/>
    <w:rsid w:val="008F5FA0"/>
    <w:rsid w:val="008F619E"/>
    <w:rsid w:val="00904433"/>
    <w:rsid w:val="00906B83"/>
    <w:rsid w:val="00907F1A"/>
    <w:rsid w:val="00911756"/>
    <w:rsid w:val="00911857"/>
    <w:rsid w:val="00912177"/>
    <w:rsid w:val="00912D87"/>
    <w:rsid w:val="00913A37"/>
    <w:rsid w:val="009144C6"/>
    <w:rsid w:val="00915C22"/>
    <w:rsid w:val="0091790E"/>
    <w:rsid w:val="00917B11"/>
    <w:rsid w:val="009237C1"/>
    <w:rsid w:val="00925E8E"/>
    <w:rsid w:val="00925F02"/>
    <w:rsid w:val="009264DB"/>
    <w:rsid w:val="00927AEA"/>
    <w:rsid w:val="0093192E"/>
    <w:rsid w:val="0093249D"/>
    <w:rsid w:val="00932C12"/>
    <w:rsid w:val="009366D5"/>
    <w:rsid w:val="009402FE"/>
    <w:rsid w:val="009418D2"/>
    <w:rsid w:val="00942065"/>
    <w:rsid w:val="009430B1"/>
    <w:rsid w:val="00943279"/>
    <w:rsid w:val="00943E54"/>
    <w:rsid w:val="0094466D"/>
    <w:rsid w:val="009447E7"/>
    <w:rsid w:val="00946009"/>
    <w:rsid w:val="009467EF"/>
    <w:rsid w:val="009508A6"/>
    <w:rsid w:val="00950F9B"/>
    <w:rsid w:val="00951B5E"/>
    <w:rsid w:val="00951F34"/>
    <w:rsid w:val="00952265"/>
    <w:rsid w:val="0095423B"/>
    <w:rsid w:val="0096288F"/>
    <w:rsid w:val="00963588"/>
    <w:rsid w:val="00964709"/>
    <w:rsid w:val="00965902"/>
    <w:rsid w:val="0097139A"/>
    <w:rsid w:val="009731FC"/>
    <w:rsid w:val="00974DB8"/>
    <w:rsid w:val="00975AFF"/>
    <w:rsid w:val="00977125"/>
    <w:rsid w:val="0097775B"/>
    <w:rsid w:val="00977D0A"/>
    <w:rsid w:val="009854E2"/>
    <w:rsid w:val="00990069"/>
    <w:rsid w:val="0099158B"/>
    <w:rsid w:val="00993F22"/>
    <w:rsid w:val="00994641"/>
    <w:rsid w:val="009963BA"/>
    <w:rsid w:val="00996629"/>
    <w:rsid w:val="009A0576"/>
    <w:rsid w:val="009A0E5A"/>
    <w:rsid w:val="009A4179"/>
    <w:rsid w:val="009A57DD"/>
    <w:rsid w:val="009A61BE"/>
    <w:rsid w:val="009A6EAB"/>
    <w:rsid w:val="009A779C"/>
    <w:rsid w:val="009B2A82"/>
    <w:rsid w:val="009B31FE"/>
    <w:rsid w:val="009B3CF0"/>
    <w:rsid w:val="009B5B5A"/>
    <w:rsid w:val="009B772D"/>
    <w:rsid w:val="009C0C58"/>
    <w:rsid w:val="009C5489"/>
    <w:rsid w:val="009C577D"/>
    <w:rsid w:val="009C6134"/>
    <w:rsid w:val="009C7EAF"/>
    <w:rsid w:val="009C7F06"/>
    <w:rsid w:val="009D011E"/>
    <w:rsid w:val="009D58BE"/>
    <w:rsid w:val="009D6CD2"/>
    <w:rsid w:val="009D7F75"/>
    <w:rsid w:val="009E0D40"/>
    <w:rsid w:val="009E104C"/>
    <w:rsid w:val="009E1A29"/>
    <w:rsid w:val="009E3B82"/>
    <w:rsid w:val="009E3E67"/>
    <w:rsid w:val="009E5AC3"/>
    <w:rsid w:val="009E6313"/>
    <w:rsid w:val="009F508D"/>
    <w:rsid w:val="009F56E9"/>
    <w:rsid w:val="009F5A21"/>
    <w:rsid w:val="009F64B4"/>
    <w:rsid w:val="00A0114C"/>
    <w:rsid w:val="00A0199F"/>
    <w:rsid w:val="00A03718"/>
    <w:rsid w:val="00A0516E"/>
    <w:rsid w:val="00A05BA1"/>
    <w:rsid w:val="00A1044E"/>
    <w:rsid w:val="00A159E8"/>
    <w:rsid w:val="00A16CED"/>
    <w:rsid w:val="00A17DFE"/>
    <w:rsid w:val="00A22164"/>
    <w:rsid w:val="00A22D36"/>
    <w:rsid w:val="00A242C3"/>
    <w:rsid w:val="00A26733"/>
    <w:rsid w:val="00A27233"/>
    <w:rsid w:val="00A3342E"/>
    <w:rsid w:val="00A363F7"/>
    <w:rsid w:val="00A46704"/>
    <w:rsid w:val="00A46802"/>
    <w:rsid w:val="00A477DA"/>
    <w:rsid w:val="00A47DC9"/>
    <w:rsid w:val="00A50618"/>
    <w:rsid w:val="00A519CC"/>
    <w:rsid w:val="00A54169"/>
    <w:rsid w:val="00A54187"/>
    <w:rsid w:val="00A556D2"/>
    <w:rsid w:val="00A60167"/>
    <w:rsid w:val="00A60478"/>
    <w:rsid w:val="00A60831"/>
    <w:rsid w:val="00A61B17"/>
    <w:rsid w:val="00A6227E"/>
    <w:rsid w:val="00A62CEC"/>
    <w:rsid w:val="00A6477D"/>
    <w:rsid w:val="00A64BB2"/>
    <w:rsid w:val="00A66618"/>
    <w:rsid w:val="00A7345F"/>
    <w:rsid w:val="00A75CBA"/>
    <w:rsid w:val="00A760F1"/>
    <w:rsid w:val="00A81572"/>
    <w:rsid w:val="00A82B69"/>
    <w:rsid w:val="00A91369"/>
    <w:rsid w:val="00A918B0"/>
    <w:rsid w:val="00A919E2"/>
    <w:rsid w:val="00A91D47"/>
    <w:rsid w:val="00A92676"/>
    <w:rsid w:val="00A944F4"/>
    <w:rsid w:val="00A9493D"/>
    <w:rsid w:val="00A95746"/>
    <w:rsid w:val="00A961BB"/>
    <w:rsid w:val="00A969A6"/>
    <w:rsid w:val="00A96B5F"/>
    <w:rsid w:val="00AA11AF"/>
    <w:rsid w:val="00AA223D"/>
    <w:rsid w:val="00AA35F6"/>
    <w:rsid w:val="00AA484B"/>
    <w:rsid w:val="00AA520F"/>
    <w:rsid w:val="00AA64FB"/>
    <w:rsid w:val="00AB0C45"/>
    <w:rsid w:val="00AB38CD"/>
    <w:rsid w:val="00AC1A2F"/>
    <w:rsid w:val="00AC1F87"/>
    <w:rsid w:val="00AC4743"/>
    <w:rsid w:val="00AC5758"/>
    <w:rsid w:val="00AC5CD1"/>
    <w:rsid w:val="00AC6254"/>
    <w:rsid w:val="00AD0B6A"/>
    <w:rsid w:val="00AD4CDA"/>
    <w:rsid w:val="00AD53B4"/>
    <w:rsid w:val="00AD546F"/>
    <w:rsid w:val="00AD5B92"/>
    <w:rsid w:val="00AD62BD"/>
    <w:rsid w:val="00AD6B7D"/>
    <w:rsid w:val="00AE167C"/>
    <w:rsid w:val="00AE1BEB"/>
    <w:rsid w:val="00AE29CA"/>
    <w:rsid w:val="00AE2E27"/>
    <w:rsid w:val="00AE3AE5"/>
    <w:rsid w:val="00AE6E01"/>
    <w:rsid w:val="00AE72C5"/>
    <w:rsid w:val="00AE797B"/>
    <w:rsid w:val="00AF18E7"/>
    <w:rsid w:val="00AF3BFC"/>
    <w:rsid w:val="00AF4D91"/>
    <w:rsid w:val="00AF5626"/>
    <w:rsid w:val="00AF573D"/>
    <w:rsid w:val="00AF5CDA"/>
    <w:rsid w:val="00B01965"/>
    <w:rsid w:val="00B0417C"/>
    <w:rsid w:val="00B042A0"/>
    <w:rsid w:val="00B11874"/>
    <w:rsid w:val="00B125A8"/>
    <w:rsid w:val="00B13BB1"/>
    <w:rsid w:val="00B14A10"/>
    <w:rsid w:val="00B14E1D"/>
    <w:rsid w:val="00B15379"/>
    <w:rsid w:val="00B16DA7"/>
    <w:rsid w:val="00B17B6E"/>
    <w:rsid w:val="00B20B03"/>
    <w:rsid w:val="00B21C46"/>
    <w:rsid w:val="00B22574"/>
    <w:rsid w:val="00B233F2"/>
    <w:rsid w:val="00B25169"/>
    <w:rsid w:val="00B2553F"/>
    <w:rsid w:val="00B25B74"/>
    <w:rsid w:val="00B25F9A"/>
    <w:rsid w:val="00B260D4"/>
    <w:rsid w:val="00B265BF"/>
    <w:rsid w:val="00B30B2A"/>
    <w:rsid w:val="00B30D07"/>
    <w:rsid w:val="00B31157"/>
    <w:rsid w:val="00B332FC"/>
    <w:rsid w:val="00B33A5D"/>
    <w:rsid w:val="00B35E3E"/>
    <w:rsid w:val="00B378F6"/>
    <w:rsid w:val="00B43451"/>
    <w:rsid w:val="00B44165"/>
    <w:rsid w:val="00B50F7D"/>
    <w:rsid w:val="00B51A51"/>
    <w:rsid w:val="00B51C6C"/>
    <w:rsid w:val="00B529C5"/>
    <w:rsid w:val="00B542BD"/>
    <w:rsid w:val="00B55078"/>
    <w:rsid w:val="00B561F9"/>
    <w:rsid w:val="00B5630E"/>
    <w:rsid w:val="00B56BF7"/>
    <w:rsid w:val="00B57547"/>
    <w:rsid w:val="00B57860"/>
    <w:rsid w:val="00B57EC4"/>
    <w:rsid w:val="00B606C3"/>
    <w:rsid w:val="00B645F7"/>
    <w:rsid w:val="00B64B0F"/>
    <w:rsid w:val="00B65640"/>
    <w:rsid w:val="00B67F6E"/>
    <w:rsid w:val="00B70C84"/>
    <w:rsid w:val="00B72C4B"/>
    <w:rsid w:val="00B73787"/>
    <w:rsid w:val="00B75925"/>
    <w:rsid w:val="00B8071B"/>
    <w:rsid w:val="00B808EE"/>
    <w:rsid w:val="00B810E2"/>
    <w:rsid w:val="00B81498"/>
    <w:rsid w:val="00B820A5"/>
    <w:rsid w:val="00B83559"/>
    <w:rsid w:val="00B853F9"/>
    <w:rsid w:val="00B85CCF"/>
    <w:rsid w:val="00B85DBE"/>
    <w:rsid w:val="00B86707"/>
    <w:rsid w:val="00B91978"/>
    <w:rsid w:val="00B935E7"/>
    <w:rsid w:val="00BA252D"/>
    <w:rsid w:val="00BA48D6"/>
    <w:rsid w:val="00BA75B1"/>
    <w:rsid w:val="00BB0E33"/>
    <w:rsid w:val="00BB1C7F"/>
    <w:rsid w:val="00BB47EF"/>
    <w:rsid w:val="00BB4A78"/>
    <w:rsid w:val="00BB672D"/>
    <w:rsid w:val="00BB6F15"/>
    <w:rsid w:val="00BB76CD"/>
    <w:rsid w:val="00BC012A"/>
    <w:rsid w:val="00BC2DAE"/>
    <w:rsid w:val="00BC3F9C"/>
    <w:rsid w:val="00BC5C92"/>
    <w:rsid w:val="00BC5D41"/>
    <w:rsid w:val="00BC6F77"/>
    <w:rsid w:val="00BC7821"/>
    <w:rsid w:val="00BC7EF1"/>
    <w:rsid w:val="00BD6668"/>
    <w:rsid w:val="00BD6BDC"/>
    <w:rsid w:val="00BE0C4E"/>
    <w:rsid w:val="00BE2400"/>
    <w:rsid w:val="00BE2A2E"/>
    <w:rsid w:val="00BF0782"/>
    <w:rsid w:val="00BF1F82"/>
    <w:rsid w:val="00BF27F5"/>
    <w:rsid w:val="00BF548C"/>
    <w:rsid w:val="00BF70FF"/>
    <w:rsid w:val="00BF7714"/>
    <w:rsid w:val="00BF7E1E"/>
    <w:rsid w:val="00C00CFE"/>
    <w:rsid w:val="00C00FE4"/>
    <w:rsid w:val="00C015CB"/>
    <w:rsid w:val="00C04DBE"/>
    <w:rsid w:val="00C12238"/>
    <w:rsid w:val="00C1455C"/>
    <w:rsid w:val="00C160F9"/>
    <w:rsid w:val="00C171B9"/>
    <w:rsid w:val="00C204C6"/>
    <w:rsid w:val="00C216C1"/>
    <w:rsid w:val="00C21871"/>
    <w:rsid w:val="00C21CEE"/>
    <w:rsid w:val="00C228A9"/>
    <w:rsid w:val="00C252B9"/>
    <w:rsid w:val="00C25B94"/>
    <w:rsid w:val="00C26F66"/>
    <w:rsid w:val="00C30FE2"/>
    <w:rsid w:val="00C334F1"/>
    <w:rsid w:val="00C35A21"/>
    <w:rsid w:val="00C4317C"/>
    <w:rsid w:val="00C44692"/>
    <w:rsid w:val="00C44EB3"/>
    <w:rsid w:val="00C452FF"/>
    <w:rsid w:val="00C4557B"/>
    <w:rsid w:val="00C47C36"/>
    <w:rsid w:val="00C52B02"/>
    <w:rsid w:val="00C52C1C"/>
    <w:rsid w:val="00C546C5"/>
    <w:rsid w:val="00C554B4"/>
    <w:rsid w:val="00C57B4D"/>
    <w:rsid w:val="00C60189"/>
    <w:rsid w:val="00C60B2F"/>
    <w:rsid w:val="00C61F87"/>
    <w:rsid w:val="00C63390"/>
    <w:rsid w:val="00C63B7B"/>
    <w:rsid w:val="00C66BA3"/>
    <w:rsid w:val="00C70CD6"/>
    <w:rsid w:val="00C71FE9"/>
    <w:rsid w:val="00C72970"/>
    <w:rsid w:val="00C72F8C"/>
    <w:rsid w:val="00C74988"/>
    <w:rsid w:val="00C771AB"/>
    <w:rsid w:val="00C804D7"/>
    <w:rsid w:val="00C80E8A"/>
    <w:rsid w:val="00C82914"/>
    <w:rsid w:val="00C82AC1"/>
    <w:rsid w:val="00C84C2B"/>
    <w:rsid w:val="00C853D1"/>
    <w:rsid w:val="00C85A96"/>
    <w:rsid w:val="00C862B1"/>
    <w:rsid w:val="00C914F5"/>
    <w:rsid w:val="00C917DB"/>
    <w:rsid w:val="00C91EA8"/>
    <w:rsid w:val="00C95196"/>
    <w:rsid w:val="00CA076B"/>
    <w:rsid w:val="00CA0C1D"/>
    <w:rsid w:val="00CA274F"/>
    <w:rsid w:val="00CA2F84"/>
    <w:rsid w:val="00CA4E51"/>
    <w:rsid w:val="00CA580E"/>
    <w:rsid w:val="00CA7E22"/>
    <w:rsid w:val="00CB201B"/>
    <w:rsid w:val="00CB2304"/>
    <w:rsid w:val="00CB2B7B"/>
    <w:rsid w:val="00CB4E09"/>
    <w:rsid w:val="00CB5A9E"/>
    <w:rsid w:val="00CC12D9"/>
    <w:rsid w:val="00CC1566"/>
    <w:rsid w:val="00CC2EBD"/>
    <w:rsid w:val="00CC5561"/>
    <w:rsid w:val="00CC6359"/>
    <w:rsid w:val="00CC7111"/>
    <w:rsid w:val="00CC7573"/>
    <w:rsid w:val="00CC7EAC"/>
    <w:rsid w:val="00CD0DBB"/>
    <w:rsid w:val="00CD1CB3"/>
    <w:rsid w:val="00CD573E"/>
    <w:rsid w:val="00CD7B85"/>
    <w:rsid w:val="00CE05D1"/>
    <w:rsid w:val="00CE247C"/>
    <w:rsid w:val="00CE4572"/>
    <w:rsid w:val="00CF036D"/>
    <w:rsid w:val="00CF1FCE"/>
    <w:rsid w:val="00CF38E2"/>
    <w:rsid w:val="00CF5199"/>
    <w:rsid w:val="00CF5EE6"/>
    <w:rsid w:val="00CF7595"/>
    <w:rsid w:val="00CF7911"/>
    <w:rsid w:val="00CF7954"/>
    <w:rsid w:val="00D00019"/>
    <w:rsid w:val="00D00156"/>
    <w:rsid w:val="00D00414"/>
    <w:rsid w:val="00D00BC6"/>
    <w:rsid w:val="00D02413"/>
    <w:rsid w:val="00D02460"/>
    <w:rsid w:val="00D0270E"/>
    <w:rsid w:val="00D04493"/>
    <w:rsid w:val="00D060B7"/>
    <w:rsid w:val="00D069DF"/>
    <w:rsid w:val="00D104DB"/>
    <w:rsid w:val="00D10BBE"/>
    <w:rsid w:val="00D10F9F"/>
    <w:rsid w:val="00D114F9"/>
    <w:rsid w:val="00D11E84"/>
    <w:rsid w:val="00D121F9"/>
    <w:rsid w:val="00D15032"/>
    <w:rsid w:val="00D16932"/>
    <w:rsid w:val="00D16C0D"/>
    <w:rsid w:val="00D20A44"/>
    <w:rsid w:val="00D20C67"/>
    <w:rsid w:val="00D237F3"/>
    <w:rsid w:val="00D2535A"/>
    <w:rsid w:val="00D256F6"/>
    <w:rsid w:val="00D26ACA"/>
    <w:rsid w:val="00D33852"/>
    <w:rsid w:val="00D349C8"/>
    <w:rsid w:val="00D401D4"/>
    <w:rsid w:val="00D43B43"/>
    <w:rsid w:val="00D45FB2"/>
    <w:rsid w:val="00D4680A"/>
    <w:rsid w:val="00D5012F"/>
    <w:rsid w:val="00D518D7"/>
    <w:rsid w:val="00D53A0C"/>
    <w:rsid w:val="00D54C5E"/>
    <w:rsid w:val="00D553B2"/>
    <w:rsid w:val="00D603BF"/>
    <w:rsid w:val="00D6172E"/>
    <w:rsid w:val="00D61C0E"/>
    <w:rsid w:val="00D62C6E"/>
    <w:rsid w:val="00D6407D"/>
    <w:rsid w:val="00D72D9E"/>
    <w:rsid w:val="00D733EF"/>
    <w:rsid w:val="00D73D6C"/>
    <w:rsid w:val="00D752D2"/>
    <w:rsid w:val="00D76975"/>
    <w:rsid w:val="00D76A94"/>
    <w:rsid w:val="00D7709F"/>
    <w:rsid w:val="00D77265"/>
    <w:rsid w:val="00D772C9"/>
    <w:rsid w:val="00D77542"/>
    <w:rsid w:val="00D8043C"/>
    <w:rsid w:val="00D82B73"/>
    <w:rsid w:val="00D842B8"/>
    <w:rsid w:val="00D87528"/>
    <w:rsid w:val="00D90E06"/>
    <w:rsid w:val="00D92095"/>
    <w:rsid w:val="00D93EFD"/>
    <w:rsid w:val="00D94C0C"/>
    <w:rsid w:val="00D96276"/>
    <w:rsid w:val="00DA3751"/>
    <w:rsid w:val="00DA3D2D"/>
    <w:rsid w:val="00DA3DB6"/>
    <w:rsid w:val="00DA42CA"/>
    <w:rsid w:val="00DA7675"/>
    <w:rsid w:val="00DA7965"/>
    <w:rsid w:val="00DB078E"/>
    <w:rsid w:val="00DB10DD"/>
    <w:rsid w:val="00DB268E"/>
    <w:rsid w:val="00DB34B8"/>
    <w:rsid w:val="00DB4837"/>
    <w:rsid w:val="00DB6D27"/>
    <w:rsid w:val="00DC48A3"/>
    <w:rsid w:val="00DC6387"/>
    <w:rsid w:val="00DD116F"/>
    <w:rsid w:val="00DD2536"/>
    <w:rsid w:val="00DD3A33"/>
    <w:rsid w:val="00DD4FEF"/>
    <w:rsid w:val="00DD5573"/>
    <w:rsid w:val="00DD59BB"/>
    <w:rsid w:val="00DD6442"/>
    <w:rsid w:val="00DE19D2"/>
    <w:rsid w:val="00DE29D1"/>
    <w:rsid w:val="00DE6290"/>
    <w:rsid w:val="00DE7E47"/>
    <w:rsid w:val="00DF2623"/>
    <w:rsid w:val="00DF2DD7"/>
    <w:rsid w:val="00DF359E"/>
    <w:rsid w:val="00DF5B7E"/>
    <w:rsid w:val="00DF63B1"/>
    <w:rsid w:val="00E00CF7"/>
    <w:rsid w:val="00E010F7"/>
    <w:rsid w:val="00E01538"/>
    <w:rsid w:val="00E02169"/>
    <w:rsid w:val="00E0272E"/>
    <w:rsid w:val="00E0369E"/>
    <w:rsid w:val="00E04C2F"/>
    <w:rsid w:val="00E04D30"/>
    <w:rsid w:val="00E04FB4"/>
    <w:rsid w:val="00E0540B"/>
    <w:rsid w:val="00E06552"/>
    <w:rsid w:val="00E1087F"/>
    <w:rsid w:val="00E129BA"/>
    <w:rsid w:val="00E12BBA"/>
    <w:rsid w:val="00E156A5"/>
    <w:rsid w:val="00E160CE"/>
    <w:rsid w:val="00E204A5"/>
    <w:rsid w:val="00E240BC"/>
    <w:rsid w:val="00E2454A"/>
    <w:rsid w:val="00E27498"/>
    <w:rsid w:val="00E2762E"/>
    <w:rsid w:val="00E278F2"/>
    <w:rsid w:val="00E27F64"/>
    <w:rsid w:val="00E30E7E"/>
    <w:rsid w:val="00E317EA"/>
    <w:rsid w:val="00E32D11"/>
    <w:rsid w:val="00E33E03"/>
    <w:rsid w:val="00E34FB8"/>
    <w:rsid w:val="00E378A7"/>
    <w:rsid w:val="00E37BBC"/>
    <w:rsid w:val="00E41E5D"/>
    <w:rsid w:val="00E443A4"/>
    <w:rsid w:val="00E447A4"/>
    <w:rsid w:val="00E44BC4"/>
    <w:rsid w:val="00E45953"/>
    <w:rsid w:val="00E45CDC"/>
    <w:rsid w:val="00E46DA8"/>
    <w:rsid w:val="00E47549"/>
    <w:rsid w:val="00E53ED0"/>
    <w:rsid w:val="00E5473E"/>
    <w:rsid w:val="00E54DBF"/>
    <w:rsid w:val="00E552D6"/>
    <w:rsid w:val="00E61E5E"/>
    <w:rsid w:val="00E64A86"/>
    <w:rsid w:val="00E65363"/>
    <w:rsid w:val="00E7338D"/>
    <w:rsid w:val="00E768F1"/>
    <w:rsid w:val="00E76EB8"/>
    <w:rsid w:val="00E819E2"/>
    <w:rsid w:val="00E826C5"/>
    <w:rsid w:val="00E8346C"/>
    <w:rsid w:val="00E83494"/>
    <w:rsid w:val="00E840CA"/>
    <w:rsid w:val="00E857C9"/>
    <w:rsid w:val="00E86620"/>
    <w:rsid w:val="00E9186A"/>
    <w:rsid w:val="00E92B4A"/>
    <w:rsid w:val="00E93EDF"/>
    <w:rsid w:val="00E941C0"/>
    <w:rsid w:val="00E94C84"/>
    <w:rsid w:val="00E966F3"/>
    <w:rsid w:val="00E97929"/>
    <w:rsid w:val="00E97976"/>
    <w:rsid w:val="00EA0743"/>
    <w:rsid w:val="00EA1004"/>
    <w:rsid w:val="00EA2CF6"/>
    <w:rsid w:val="00EA301A"/>
    <w:rsid w:val="00EA4542"/>
    <w:rsid w:val="00EA7D9B"/>
    <w:rsid w:val="00EB051B"/>
    <w:rsid w:val="00EB0AEA"/>
    <w:rsid w:val="00EB1E57"/>
    <w:rsid w:val="00EB3D43"/>
    <w:rsid w:val="00EB43DB"/>
    <w:rsid w:val="00EB44E2"/>
    <w:rsid w:val="00EB46A0"/>
    <w:rsid w:val="00EB4799"/>
    <w:rsid w:val="00EB4A38"/>
    <w:rsid w:val="00EB7382"/>
    <w:rsid w:val="00EC01B9"/>
    <w:rsid w:val="00EC023F"/>
    <w:rsid w:val="00EC2202"/>
    <w:rsid w:val="00EC285B"/>
    <w:rsid w:val="00EC2EC2"/>
    <w:rsid w:val="00EC5778"/>
    <w:rsid w:val="00EC60B9"/>
    <w:rsid w:val="00EC7E39"/>
    <w:rsid w:val="00ED23EB"/>
    <w:rsid w:val="00ED38B5"/>
    <w:rsid w:val="00ED78E0"/>
    <w:rsid w:val="00EE23E5"/>
    <w:rsid w:val="00EE3F19"/>
    <w:rsid w:val="00EE4995"/>
    <w:rsid w:val="00EE4D04"/>
    <w:rsid w:val="00EE53C5"/>
    <w:rsid w:val="00EF0402"/>
    <w:rsid w:val="00EF0D39"/>
    <w:rsid w:val="00EF0EFF"/>
    <w:rsid w:val="00EF3E1F"/>
    <w:rsid w:val="00EF58DF"/>
    <w:rsid w:val="00EF639E"/>
    <w:rsid w:val="00F035AE"/>
    <w:rsid w:val="00F03666"/>
    <w:rsid w:val="00F05643"/>
    <w:rsid w:val="00F05761"/>
    <w:rsid w:val="00F05903"/>
    <w:rsid w:val="00F05DDC"/>
    <w:rsid w:val="00F060A2"/>
    <w:rsid w:val="00F11DE4"/>
    <w:rsid w:val="00F121AE"/>
    <w:rsid w:val="00F140A1"/>
    <w:rsid w:val="00F1513C"/>
    <w:rsid w:val="00F169E1"/>
    <w:rsid w:val="00F22080"/>
    <w:rsid w:val="00F22C2F"/>
    <w:rsid w:val="00F26D1C"/>
    <w:rsid w:val="00F32A7A"/>
    <w:rsid w:val="00F35A10"/>
    <w:rsid w:val="00F4029B"/>
    <w:rsid w:val="00F406CE"/>
    <w:rsid w:val="00F44120"/>
    <w:rsid w:val="00F4573A"/>
    <w:rsid w:val="00F468E7"/>
    <w:rsid w:val="00F516F1"/>
    <w:rsid w:val="00F54246"/>
    <w:rsid w:val="00F561D0"/>
    <w:rsid w:val="00F571FC"/>
    <w:rsid w:val="00F57CB3"/>
    <w:rsid w:val="00F71E90"/>
    <w:rsid w:val="00F7240C"/>
    <w:rsid w:val="00F7369F"/>
    <w:rsid w:val="00F762D3"/>
    <w:rsid w:val="00F81A9B"/>
    <w:rsid w:val="00F821C8"/>
    <w:rsid w:val="00F82A1C"/>
    <w:rsid w:val="00F86B31"/>
    <w:rsid w:val="00F926A0"/>
    <w:rsid w:val="00F92F36"/>
    <w:rsid w:val="00F933DB"/>
    <w:rsid w:val="00F93CDA"/>
    <w:rsid w:val="00F96B44"/>
    <w:rsid w:val="00FA17A5"/>
    <w:rsid w:val="00FA3601"/>
    <w:rsid w:val="00FA3952"/>
    <w:rsid w:val="00FA3DB8"/>
    <w:rsid w:val="00FA5759"/>
    <w:rsid w:val="00FC4CB0"/>
    <w:rsid w:val="00FC6454"/>
    <w:rsid w:val="00FC6B3E"/>
    <w:rsid w:val="00FD0651"/>
    <w:rsid w:val="00FD1A44"/>
    <w:rsid w:val="00FD1AE8"/>
    <w:rsid w:val="00FD77C5"/>
    <w:rsid w:val="00FD7DCB"/>
    <w:rsid w:val="00FE2618"/>
    <w:rsid w:val="00FE2B6B"/>
    <w:rsid w:val="00FE3038"/>
    <w:rsid w:val="00FE53FE"/>
    <w:rsid w:val="00FE5E84"/>
    <w:rsid w:val="00FF2CDA"/>
    <w:rsid w:val="00FF32E9"/>
    <w:rsid w:val="00FF4276"/>
    <w:rsid w:val="00FF57AB"/>
    <w:rsid w:val="00FF69E9"/>
    <w:rsid w:val="49E6DD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018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2762E"/>
    <w:rPr>
      <w:rFonts w:ascii="Palatino Linotype" w:hAnsi="Palatino Linotype"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762E"/>
    <w:pPr>
      <w:spacing w:after="0" w:line="240" w:lineRule="auto"/>
      <w:ind w:left="720"/>
      <w:contextualSpacing/>
    </w:pPr>
    <w:rPr>
      <w:rFonts w:eastAsia="Times New Roman" w:cs="Times New Roman"/>
      <w:color w:val="auto"/>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character" w:styleId="Mencinsinresolver2" w:customStyle="1">
    <w:name w:val="Mención sin resolver2"/>
    <w:basedOn w:val="Fuentedeprrafopredeter"/>
    <w:uiPriority w:val="99"/>
    <w:semiHidden/>
    <w:unhideWhenUsed/>
    <w:rsid w:val="004100F2"/>
    <w:rPr>
      <w:color w:val="605E5C"/>
      <w:shd w:val="clear" w:color="auto" w:fill="E1DFDD"/>
    </w:rPr>
  </w:style>
  <w:style w:type="table" w:styleId="Tablaconcuadrcula1" w:customStyle="1">
    <w:name w:val="Tabla con cuadrícula1"/>
    <w:basedOn w:val="Tablanormal"/>
    <w:next w:val="Tablaconcuadrcula"/>
    <w:uiPriority w:val="59"/>
    <w:rsid w:val="00D82B7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FA3DB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FA3DB8"/>
    <w:pPr>
      <w:spacing w:after="0" w:line="240" w:lineRule="auto"/>
      <w:jc w:val="left"/>
    </w:pPr>
    <w:rPr>
      <w:rFonts w:ascii="Calibri" w:hAnsi="Calibri" w:eastAsia="Calibri" w:cs="Times New Roman"/>
      <w:color w:val="auto"/>
      <w:sz w:val="20"/>
      <w:szCs w:val="20"/>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FA3DB8"/>
    <w:rPr>
      <w:rFonts w:ascii="Calibri" w:hAnsi="Calibri" w:eastAsia="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849">
      <w:bodyDiv w:val="1"/>
      <w:marLeft w:val="0"/>
      <w:marRight w:val="0"/>
      <w:marTop w:val="0"/>
      <w:marBottom w:val="0"/>
      <w:divBdr>
        <w:top w:val="none" w:sz="0" w:space="0" w:color="auto"/>
        <w:left w:val="none" w:sz="0" w:space="0" w:color="auto"/>
        <w:bottom w:val="none" w:sz="0" w:space="0" w:color="auto"/>
        <w:right w:val="none" w:sz="0" w:space="0" w:color="auto"/>
      </w:divBdr>
    </w:div>
    <w:div w:id="209195628">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55157449">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11782374">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31147">
      <w:bodyDiv w:val="1"/>
      <w:marLeft w:val="0"/>
      <w:marRight w:val="0"/>
      <w:marTop w:val="0"/>
      <w:marBottom w:val="0"/>
      <w:divBdr>
        <w:top w:val="none" w:sz="0" w:space="0" w:color="auto"/>
        <w:left w:val="none" w:sz="0" w:space="0" w:color="auto"/>
        <w:bottom w:val="none" w:sz="0" w:space="0" w:color="auto"/>
        <w:right w:val="none" w:sz="0" w:space="0" w:color="auto"/>
      </w:divBdr>
    </w:div>
    <w:div w:id="695928248">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147">
      <w:bodyDiv w:val="1"/>
      <w:marLeft w:val="0"/>
      <w:marRight w:val="0"/>
      <w:marTop w:val="0"/>
      <w:marBottom w:val="0"/>
      <w:divBdr>
        <w:top w:val="none" w:sz="0" w:space="0" w:color="auto"/>
        <w:left w:val="none" w:sz="0" w:space="0" w:color="auto"/>
        <w:bottom w:val="none" w:sz="0" w:space="0" w:color="auto"/>
        <w:right w:val="none" w:sz="0" w:space="0" w:color="auto"/>
      </w:divBdr>
    </w:div>
    <w:div w:id="966815763">
      <w:bodyDiv w:val="1"/>
      <w:marLeft w:val="0"/>
      <w:marRight w:val="0"/>
      <w:marTop w:val="0"/>
      <w:marBottom w:val="0"/>
      <w:divBdr>
        <w:top w:val="none" w:sz="0" w:space="0" w:color="auto"/>
        <w:left w:val="none" w:sz="0" w:space="0" w:color="auto"/>
        <w:bottom w:val="none" w:sz="0" w:space="0" w:color="auto"/>
        <w:right w:val="none" w:sz="0" w:space="0" w:color="auto"/>
      </w:divBdr>
    </w:div>
    <w:div w:id="1040209483">
      <w:bodyDiv w:val="1"/>
      <w:marLeft w:val="0"/>
      <w:marRight w:val="0"/>
      <w:marTop w:val="0"/>
      <w:marBottom w:val="0"/>
      <w:divBdr>
        <w:top w:val="none" w:sz="0" w:space="0" w:color="auto"/>
        <w:left w:val="none" w:sz="0" w:space="0" w:color="auto"/>
        <w:bottom w:val="none" w:sz="0" w:space="0" w:color="auto"/>
        <w:right w:val="none" w:sz="0" w:space="0" w:color="auto"/>
      </w:divBdr>
    </w:div>
    <w:div w:id="1141734327">
      <w:bodyDiv w:val="1"/>
      <w:marLeft w:val="0"/>
      <w:marRight w:val="0"/>
      <w:marTop w:val="0"/>
      <w:marBottom w:val="0"/>
      <w:divBdr>
        <w:top w:val="none" w:sz="0" w:space="0" w:color="auto"/>
        <w:left w:val="none" w:sz="0" w:space="0" w:color="auto"/>
        <w:bottom w:val="none" w:sz="0" w:space="0" w:color="auto"/>
        <w:right w:val="none" w:sz="0" w:space="0" w:color="auto"/>
      </w:divBdr>
    </w:div>
    <w:div w:id="117519440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5426">
      <w:bodyDiv w:val="1"/>
      <w:marLeft w:val="0"/>
      <w:marRight w:val="0"/>
      <w:marTop w:val="0"/>
      <w:marBottom w:val="0"/>
      <w:divBdr>
        <w:top w:val="none" w:sz="0" w:space="0" w:color="auto"/>
        <w:left w:val="none" w:sz="0" w:space="0" w:color="auto"/>
        <w:bottom w:val="none" w:sz="0" w:space="0" w:color="auto"/>
        <w:right w:val="none" w:sz="0" w:space="0" w:color="auto"/>
      </w:divBdr>
    </w:div>
    <w:div w:id="1291010519">
      <w:bodyDiv w:val="1"/>
      <w:marLeft w:val="0"/>
      <w:marRight w:val="0"/>
      <w:marTop w:val="0"/>
      <w:marBottom w:val="0"/>
      <w:divBdr>
        <w:top w:val="none" w:sz="0" w:space="0" w:color="auto"/>
        <w:left w:val="none" w:sz="0" w:space="0" w:color="auto"/>
        <w:bottom w:val="none" w:sz="0" w:space="0" w:color="auto"/>
        <w:right w:val="none" w:sz="0" w:space="0" w:color="auto"/>
      </w:divBdr>
    </w:div>
    <w:div w:id="1645770792">
      <w:bodyDiv w:val="1"/>
      <w:marLeft w:val="0"/>
      <w:marRight w:val="0"/>
      <w:marTop w:val="0"/>
      <w:marBottom w:val="0"/>
      <w:divBdr>
        <w:top w:val="none" w:sz="0" w:space="0" w:color="auto"/>
        <w:left w:val="none" w:sz="0" w:space="0" w:color="auto"/>
        <w:bottom w:val="none" w:sz="0" w:space="0" w:color="auto"/>
        <w:right w:val="none" w:sz="0" w:space="0" w:color="auto"/>
      </w:divBdr>
    </w:div>
    <w:div w:id="1656446153">
      <w:bodyDiv w:val="1"/>
      <w:marLeft w:val="0"/>
      <w:marRight w:val="0"/>
      <w:marTop w:val="0"/>
      <w:marBottom w:val="0"/>
      <w:divBdr>
        <w:top w:val="none" w:sz="0" w:space="0" w:color="auto"/>
        <w:left w:val="none" w:sz="0" w:space="0" w:color="auto"/>
        <w:bottom w:val="none" w:sz="0" w:space="0" w:color="auto"/>
        <w:right w:val="none" w:sz="0" w:space="0" w:color="auto"/>
      </w:divBdr>
    </w:div>
    <w:div w:id="168840800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21794914">
      <w:bodyDiv w:val="1"/>
      <w:marLeft w:val="0"/>
      <w:marRight w:val="0"/>
      <w:marTop w:val="0"/>
      <w:marBottom w:val="0"/>
      <w:divBdr>
        <w:top w:val="none" w:sz="0" w:space="0" w:color="auto"/>
        <w:left w:val="none" w:sz="0" w:space="0" w:color="auto"/>
        <w:bottom w:val="none" w:sz="0" w:space="0" w:color="auto"/>
        <w:right w:val="none" w:sz="0" w:space="0" w:color="auto"/>
      </w:divBdr>
    </w:div>
    <w:div w:id="19803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dof.gob.mx/nota_detalle.php?codigo=5492254&amp;fecha=28/07/2017"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s://www.gob.mx/segob/renapo/acciones-y-programas/clave-unica-de-registro-de-poblacion-curp-142226"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portalanterior.ine.mx/archivos2/tutoriales/sistemas/ApoyoInstitucional/SIF/docs/candidatos/folioFiscalFactura.pdf" TargetMode="External" Id="rId14" /><Relationship Type="http://schemas.openxmlformats.org/officeDocument/2006/relationships/footer" Target="footer3.xml" Id="rId22" /><Relationship Type="http://schemas.openxmlformats.org/officeDocument/2006/relationships/glossaryDocument" Target="glossary/document.xml" Id="Rdaeb80a0a22247d8"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f075579-01f3-4ad8-ac62-ed6b20ee62e7}"/>
      </w:docPartPr>
      <w:docPartBody>
        <w:p w14:paraId="1BF98A7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873C-5A65-440F-81CF-B1A38A5BF6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2022-05-20T02:24:00.0000000Z</dcterms:created>
  <dcterms:modified xsi:type="dcterms:W3CDTF">2022-06-02T17:29:08.6722210Z</dcterms:modified>
</coreProperties>
</file>