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6459773" w:rsidR="00662C69" w:rsidRPr="009F3119" w:rsidRDefault="009B11D6" w:rsidP="00B31E90">
      <w:pPr>
        <w:tabs>
          <w:tab w:val="left" w:pos="3465"/>
        </w:tabs>
        <w:spacing w:line="360" w:lineRule="auto"/>
        <w:jc w:val="both"/>
        <w:rPr>
          <w:rFonts w:ascii="Palatino Linotype" w:hAnsi="Palatino Linotype"/>
          <w:color w:val="000000" w:themeColor="text1"/>
        </w:rPr>
      </w:pPr>
      <w:r w:rsidRPr="009F3119">
        <w:rPr>
          <w:rFonts w:ascii="Palatino Linotype" w:hAnsi="Palatino Linotype"/>
          <w:color w:val="000000" w:themeColor="text1"/>
        </w:rPr>
        <w:t>R</w:t>
      </w:r>
      <w:r w:rsidR="00662C69" w:rsidRPr="009F311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F3119">
        <w:rPr>
          <w:rFonts w:ascii="Palatino Linotype" w:hAnsi="Palatino Linotype"/>
          <w:color w:val="000000" w:themeColor="text1"/>
        </w:rPr>
        <w:t>icipios, con</w:t>
      </w:r>
      <w:r w:rsidR="00662C69" w:rsidRPr="009F3119">
        <w:rPr>
          <w:rFonts w:ascii="Palatino Linotype" w:hAnsi="Palatino Linotype"/>
          <w:color w:val="000000" w:themeColor="text1"/>
        </w:rPr>
        <w:t xml:space="preserve"> </w:t>
      </w:r>
      <w:r w:rsidR="00485DB6" w:rsidRPr="009F3119">
        <w:rPr>
          <w:rFonts w:ascii="Palatino Linotype" w:hAnsi="Palatino Linotype"/>
          <w:color w:val="000000" w:themeColor="text1"/>
        </w:rPr>
        <w:t xml:space="preserve">domicilio </w:t>
      </w:r>
      <w:r w:rsidR="00662C69" w:rsidRPr="009F3119">
        <w:rPr>
          <w:rFonts w:ascii="Palatino Linotype" w:hAnsi="Palatino Linotype"/>
          <w:color w:val="000000" w:themeColor="text1"/>
        </w:rPr>
        <w:t xml:space="preserve">en Metepec, Estado de México; de </w:t>
      </w:r>
      <w:r w:rsidR="0085795E" w:rsidRPr="009F3119">
        <w:rPr>
          <w:rFonts w:ascii="Palatino Linotype" w:hAnsi="Palatino Linotype"/>
          <w:color w:val="000000" w:themeColor="text1"/>
        </w:rPr>
        <w:t xml:space="preserve">seis (06) de julio </w:t>
      </w:r>
      <w:r w:rsidR="00C83C79" w:rsidRPr="009F3119">
        <w:rPr>
          <w:rFonts w:ascii="Palatino Linotype" w:hAnsi="Palatino Linotype"/>
          <w:color w:val="000000" w:themeColor="text1"/>
        </w:rPr>
        <w:t>de dos mil veintidós</w:t>
      </w:r>
      <w:r w:rsidR="00662C69" w:rsidRPr="009F3119">
        <w:rPr>
          <w:rFonts w:ascii="Palatino Linotype" w:hAnsi="Palatino Linotype"/>
          <w:color w:val="000000" w:themeColor="text1"/>
        </w:rPr>
        <w:t>.</w:t>
      </w:r>
    </w:p>
    <w:p w14:paraId="1181C59D" w14:textId="77777777" w:rsidR="00B31E90" w:rsidRPr="009F3119" w:rsidRDefault="00B31E90" w:rsidP="00B31E90">
      <w:pPr>
        <w:tabs>
          <w:tab w:val="left" w:pos="3465"/>
        </w:tabs>
        <w:spacing w:line="360" w:lineRule="auto"/>
        <w:jc w:val="both"/>
        <w:rPr>
          <w:rFonts w:ascii="Palatino Linotype" w:hAnsi="Palatino Linotype"/>
          <w:color w:val="000000" w:themeColor="text1"/>
        </w:rPr>
      </w:pPr>
    </w:p>
    <w:p w14:paraId="04F87235" w14:textId="09FDAA58" w:rsidR="005F0007" w:rsidRPr="009F3119" w:rsidRDefault="00662C69" w:rsidP="00B31E90">
      <w:pPr>
        <w:spacing w:line="360" w:lineRule="auto"/>
        <w:jc w:val="both"/>
        <w:rPr>
          <w:rFonts w:ascii="Palatino Linotype" w:eastAsia="Times New Roman" w:hAnsi="Palatino Linotype" w:cs="Times New Roman"/>
          <w:color w:val="000000" w:themeColor="text1"/>
        </w:rPr>
      </w:pPr>
      <w:r w:rsidRPr="009F3119">
        <w:rPr>
          <w:rFonts w:ascii="Palatino Linotype" w:hAnsi="Palatino Linotype"/>
          <w:b/>
          <w:color w:val="000000" w:themeColor="text1"/>
        </w:rPr>
        <w:t>VISTO</w:t>
      </w:r>
      <w:r w:rsidRPr="009F3119">
        <w:rPr>
          <w:rFonts w:ascii="Palatino Linotype" w:hAnsi="Palatino Linotype"/>
          <w:color w:val="000000" w:themeColor="text1"/>
        </w:rPr>
        <w:t xml:space="preserve"> </w:t>
      </w:r>
      <w:r w:rsidR="00F25B61" w:rsidRPr="009F3119">
        <w:rPr>
          <w:rFonts w:ascii="Palatino Linotype" w:hAnsi="Palatino Linotype"/>
          <w:color w:val="000000" w:themeColor="text1"/>
        </w:rPr>
        <w:t>el</w:t>
      </w:r>
      <w:r w:rsidRPr="009F3119">
        <w:rPr>
          <w:rFonts w:ascii="Palatino Linotype" w:hAnsi="Palatino Linotype"/>
          <w:color w:val="000000" w:themeColor="text1"/>
        </w:rPr>
        <w:t xml:space="preserve"> expediente electrónico for</w:t>
      </w:r>
      <w:r w:rsidR="00D37494" w:rsidRPr="009F3119">
        <w:rPr>
          <w:rFonts w:ascii="Palatino Linotype" w:hAnsi="Palatino Linotype"/>
          <w:color w:val="000000" w:themeColor="text1"/>
        </w:rPr>
        <w:t>mado con motivo del</w:t>
      </w:r>
      <w:r w:rsidRPr="009F3119">
        <w:rPr>
          <w:rFonts w:ascii="Palatino Linotype" w:hAnsi="Palatino Linotype"/>
          <w:color w:val="000000" w:themeColor="text1"/>
        </w:rPr>
        <w:t xml:space="preserve"> recurso de revisión </w:t>
      </w:r>
      <w:r w:rsidR="0085795E" w:rsidRPr="009F3119">
        <w:rPr>
          <w:rFonts w:ascii="Palatino Linotype" w:hAnsi="Palatino Linotype"/>
          <w:b/>
          <w:bCs/>
          <w:color w:val="000000" w:themeColor="text1"/>
        </w:rPr>
        <w:t>07003/INFOEM/IP/RR/2022</w:t>
      </w:r>
      <w:r w:rsidR="005F1362" w:rsidRPr="009F3119">
        <w:rPr>
          <w:rFonts w:ascii="Palatino Linotype" w:eastAsia="Times New Roman" w:hAnsi="Palatino Linotype" w:cs="Arial"/>
          <w:bCs/>
          <w:color w:val="000000" w:themeColor="text1"/>
        </w:rPr>
        <w:t xml:space="preserve">, </w:t>
      </w:r>
      <w:r w:rsidR="006B31E7" w:rsidRPr="009F3119">
        <w:rPr>
          <w:rFonts w:ascii="Palatino Linotype" w:eastAsia="Times New Roman" w:hAnsi="Palatino Linotype" w:cs="Times New Roman"/>
          <w:color w:val="000000" w:themeColor="text1"/>
        </w:rPr>
        <w:t>interpuesto por</w:t>
      </w:r>
      <w:r w:rsidR="0085795E" w:rsidRPr="009F3119">
        <w:rPr>
          <w:rFonts w:ascii="Palatino Linotype" w:eastAsia="Times New Roman" w:hAnsi="Palatino Linotype" w:cs="Times New Roman"/>
          <w:color w:val="000000" w:themeColor="text1"/>
        </w:rPr>
        <w:t xml:space="preserve"> </w:t>
      </w:r>
      <w:r w:rsidR="00C63B37">
        <w:rPr>
          <w:rFonts w:ascii="Palatino Linotype" w:eastAsia="Times New Roman" w:hAnsi="Palatino Linotype" w:cs="Times New Roman"/>
          <w:b/>
          <w:color w:val="000000" w:themeColor="text1"/>
        </w:rPr>
        <w:t>XXXXX XXX XXXX</w:t>
      </w:r>
      <w:bookmarkStart w:id="0" w:name="_GoBack"/>
      <w:bookmarkEnd w:id="0"/>
      <w:r w:rsidR="0085795E" w:rsidRPr="009F3119">
        <w:rPr>
          <w:rFonts w:ascii="Palatino Linotype" w:eastAsia="Times New Roman" w:hAnsi="Palatino Linotype" w:cs="Times New Roman"/>
          <w:color w:val="000000" w:themeColor="text1"/>
        </w:rPr>
        <w:t>, en su calidad de</w:t>
      </w:r>
      <w:r w:rsidR="00E92215" w:rsidRPr="009F3119">
        <w:rPr>
          <w:rFonts w:ascii="Palatino Linotype" w:eastAsia="Times New Roman" w:hAnsi="Palatino Linotype" w:cs="Times New Roman"/>
          <w:color w:val="000000" w:themeColor="text1"/>
        </w:rPr>
        <w:t xml:space="preserve"> </w:t>
      </w:r>
      <w:r w:rsidR="006B31E7" w:rsidRPr="009F3119">
        <w:rPr>
          <w:rFonts w:ascii="Palatino Linotype" w:eastAsia="Times New Roman" w:hAnsi="Palatino Linotype" w:cs="Times New Roman"/>
          <w:b/>
          <w:bCs/>
          <w:color w:val="000000" w:themeColor="text1"/>
        </w:rPr>
        <w:t>RECURRENTE</w:t>
      </w:r>
      <w:r w:rsidR="00E647FF" w:rsidRPr="009F3119">
        <w:rPr>
          <w:rFonts w:ascii="Palatino Linotype" w:eastAsia="Times New Roman" w:hAnsi="Palatino Linotype" w:cs="Arial"/>
          <w:color w:val="000000" w:themeColor="text1"/>
        </w:rPr>
        <w:t>;</w:t>
      </w:r>
      <w:r w:rsidR="005F1362" w:rsidRPr="009F3119">
        <w:rPr>
          <w:rFonts w:ascii="Palatino Linotype" w:eastAsia="Times New Roman" w:hAnsi="Palatino Linotype" w:cs="Arial"/>
          <w:color w:val="000000" w:themeColor="text1"/>
        </w:rPr>
        <w:t xml:space="preserve"> en contra de la respuesta del</w:t>
      </w:r>
      <w:r w:rsidR="002C1007" w:rsidRPr="009F3119">
        <w:rPr>
          <w:rFonts w:ascii="Palatino Linotype" w:eastAsia="Times New Roman" w:hAnsi="Palatino Linotype" w:cs="Arial"/>
          <w:color w:val="000000" w:themeColor="text1"/>
        </w:rPr>
        <w:t xml:space="preserve"> </w:t>
      </w:r>
      <w:r w:rsidR="0085795E" w:rsidRPr="009F3119">
        <w:rPr>
          <w:rFonts w:ascii="Palatino Linotype" w:eastAsia="Times New Roman" w:hAnsi="Palatino Linotype" w:cs="Arial"/>
          <w:b/>
          <w:color w:val="000000" w:themeColor="text1"/>
        </w:rPr>
        <w:t>Ayuntamiento de Melchor Ocampo</w:t>
      </w:r>
      <w:r w:rsidR="009572EE" w:rsidRPr="009F3119">
        <w:rPr>
          <w:rFonts w:ascii="Palatino Linotype" w:eastAsia="Calibri" w:hAnsi="Palatino Linotype" w:cs="Arial"/>
          <w:color w:val="000000" w:themeColor="text1"/>
          <w:lang w:val="es-ES"/>
        </w:rPr>
        <w:t>,</w:t>
      </w:r>
      <w:r w:rsidR="005F1362" w:rsidRPr="009F3119">
        <w:rPr>
          <w:rFonts w:ascii="Palatino Linotype" w:eastAsia="Calibri" w:hAnsi="Palatino Linotype" w:cs="Arial"/>
          <w:color w:val="000000" w:themeColor="text1"/>
          <w:lang w:val="es-ES"/>
        </w:rPr>
        <w:t xml:space="preserve"> </w:t>
      </w:r>
      <w:r w:rsidR="00F17EFA" w:rsidRPr="009F3119">
        <w:rPr>
          <w:rFonts w:ascii="Palatino Linotype" w:eastAsia="Calibri" w:hAnsi="Palatino Linotype" w:cs="Arial"/>
          <w:color w:val="000000" w:themeColor="text1"/>
          <w:lang w:val="es-ES"/>
        </w:rPr>
        <w:t>en adelante,</w:t>
      </w:r>
      <w:r w:rsidR="00F17EFA" w:rsidRPr="009F3119">
        <w:rPr>
          <w:rFonts w:ascii="Palatino Linotype" w:eastAsia="Times New Roman" w:hAnsi="Palatino Linotype" w:cs="Times New Roman"/>
          <w:color w:val="000000" w:themeColor="text1"/>
        </w:rPr>
        <w:t xml:space="preserve"> </w:t>
      </w:r>
      <w:r w:rsidR="005F1362" w:rsidRPr="009F3119">
        <w:rPr>
          <w:rFonts w:ascii="Palatino Linotype" w:eastAsia="Times New Roman" w:hAnsi="Palatino Linotype" w:cs="Times New Roman"/>
          <w:color w:val="000000" w:themeColor="text1"/>
        </w:rPr>
        <w:t>el</w:t>
      </w:r>
      <w:r w:rsidR="005F1362" w:rsidRPr="009F3119">
        <w:rPr>
          <w:rFonts w:ascii="Palatino Linotype" w:eastAsia="Times New Roman" w:hAnsi="Palatino Linotype" w:cs="Times New Roman"/>
          <w:b/>
          <w:color w:val="000000" w:themeColor="text1"/>
        </w:rPr>
        <w:t xml:space="preserve"> SUJETO OBLIGADO</w:t>
      </w:r>
      <w:r w:rsidR="005F1362" w:rsidRPr="009F3119">
        <w:rPr>
          <w:rFonts w:ascii="Palatino Linotype" w:eastAsia="Times New Roman" w:hAnsi="Palatino Linotype" w:cs="Times New Roman"/>
          <w:color w:val="000000" w:themeColor="text1"/>
        </w:rPr>
        <w:t>,</w:t>
      </w:r>
      <w:r w:rsidR="005F1362" w:rsidRPr="009F3119">
        <w:rPr>
          <w:rFonts w:ascii="Palatino Linotype" w:eastAsia="Times New Roman" w:hAnsi="Palatino Linotype" w:cs="Times New Roman"/>
          <w:b/>
          <w:color w:val="000000" w:themeColor="text1"/>
        </w:rPr>
        <w:t xml:space="preserve"> </w:t>
      </w:r>
      <w:r w:rsidR="005F1362" w:rsidRPr="009F311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9F3119" w:rsidRDefault="009A593A" w:rsidP="00B31E90">
      <w:pPr>
        <w:spacing w:line="360" w:lineRule="auto"/>
        <w:jc w:val="both"/>
        <w:rPr>
          <w:rFonts w:ascii="Palatino Linotype" w:hAnsi="Palatino Linotype"/>
          <w:b/>
          <w:color w:val="000000" w:themeColor="text1"/>
        </w:rPr>
      </w:pPr>
    </w:p>
    <w:p w14:paraId="769E1410" w14:textId="395F5B5E" w:rsidR="00587366" w:rsidRPr="009F3119"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9F3119">
        <w:rPr>
          <w:b/>
          <w:color w:val="000000" w:themeColor="text1"/>
        </w:rPr>
        <w:t>ANTECEDENTES</w:t>
      </w:r>
      <w:bookmarkEnd w:id="1"/>
      <w:bookmarkEnd w:id="2"/>
      <w:bookmarkEnd w:id="3"/>
    </w:p>
    <w:p w14:paraId="5672105D" w14:textId="77777777" w:rsidR="00B31E90" w:rsidRPr="009F311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5F17FBB" w:rsidR="00D9392E" w:rsidRPr="009F3119"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3119">
        <w:rPr>
          <w:rFonts w:ascii="Palatino Linotype" w:eastAsia="Calibri" w:hAnsi="Palatino Linotype" w:cs="Arial"/>
          <w:color w:val="000000" w:themeColor="text1"/>
          <w:lang w:val="es-ES"/>
        </w:rPr>
        <w:t>El</w:t>
      </w:r>
      <w:r w:rsidR="00D9392E" w:rsidRPr="009F3119">
        <w:rPr>
          <w:rFonts w:ascii="Palatino Linotype" w:eastAsia="Calibri" w:hAnsi="Palatino Linotype" w:cs="Arial"/>
          <w:color w:val="000000" w:themeColor="text1"/>
          <w:lang w:val="es-ES"/>
        </w:rPr>
        <w:t xml:space="preserve"> </w:t>
      </w:r>
      <w:r w:rsidR="0085795E" w:rsidRPr="009F3119">
        <w:rPr>
          <w:rFonts w:ascii="Palatino Linotype" w:eastAsia="Calibri" w:hAnsi="Palatino Linotype" w:cs="Arial"/>
          <w:color w:val="000000" w:themeColor="text1"/>
          <w:lang w:val="es-ES"/>
        </w:rPr>
        <w:t xml:space="preserve">seis (06) de abril </w:t>
      </w:r>
      <w:r w:rsidR="00FE159E" w:rsidRPr="009F3119">
        <w:rPr>
          <w:rFonts w:ascii="Palatino Linotype" w:eastAsia="Calibri" w:hAnsi="Palatino Linotype" w:cs="Arial"/>
          <w:color w:val="000000" w:themeColor="text1"/>
          <w:lang w:val="es-ES"/>
        </w:rPr>
        <w:t>de dos mil veintidós</w:t>
      </w:r>
      <w:r w:rsidR="005F1362" w:rsidRPr="009F3119">
        <w:rPr>
          <w:rFonts w:ascii="Palatino Linotype" w:eastAsia="Calibri" w:hAnsi="Palatino Linotype" w:cs="Arial"/>
          <w:color w:val="000000" w:themeColor="text1"/>
          <w:lang w:val="es-ES"/>
        </w:rPr>
        <w:t xml:space="preserve">, </w:t>
      </w:r>
      <w:r w:rsidR="00FE159E" w:rsidRPr="009F3119">
        <w:rPr>
          <w:rFonts w:ascii="Palatino Linotype" w:eastAsia="Calibri" w:hAnsi="Palatino Linotype" w:cs="Arial"/>
          <w:color w:val="000000" w:themeColor="text1"/>
          <w:lang w:val="es-ES"/>
        </w:rPr>
        <w:t>el particular</w:t>
      </w:r>
      <w:r w:rsidR="005F1362" w:rsidRPr="009F3119">
        <w:rPr>
          <w:rFonts w:ascii="Palatino Linotype" w:hAnsi="Palatino Linotype"/>
          <w:color w:val="000000" w:themeColor="text1"/>
        </w:rPr>
        <w:t xml:space="preserve"> presentó</w:t>
      </w:r>
      <w:r w:rsidR="005F1362" w:rsidRPr="009F3119">
        <w:rPr>
          <w:rFonts w:ascii="Palatino Linotype" w:hAnsi="Palatino Linotype"/>
          <w:b/>
          <w:color w:val="000000" w:themeColor="text1"/>
        </w:rPr>
        <w:t xml:space="preserve"> </w:t>
      </w:r>
      <w:r w:rsidR="00127E68" w:rsidRPr="009F3119">
        <w:rPr>
          <w:rFonts w:ascii="Palatino Linotype" w:hAnsi="Palatino Linotype"/>
          <w:bCs/>
          <w:color w:val="000000" w:themeColor="text1"/>
        </w:rPr>
        <w:t xml:space="preserve">a través </w:t>
      </w:r>
      <w:r w:rsidR="009E58CA" w:rsidRPr="009F3119">
        <w:rPr>
          <w:rFonts w:ascii="Palatino Linotype" w:hAnsi="Palatino Linotype"/>
          <w:bCs/>
          <w:color w:val="000000" w:themeColor="text1"/>
        </w:rPr>
        <w:t>del</w:t>
      </w:r>
      <w:r w:rsidR="00DE4F75" w:rsidRPr="009F3119">
        <w:rPr>
          <w:rFonts w:ascii="Palatino Linotype" w:hAnsi="Palatino Linotype"/>
          <w:bCs/>
          <w:color w:val="000000" w:themeColor="text1"/>
        </w:rPr>
        <w:t xml:space="preserve"> </w:t>
      </w:r>
      <w:r w:rsidR="00FE159E" w:rsidRPr="009F3119">
        <w:rPr>
          <w:rFonts w:ascii="Palatino Linotype" w:eastAsia="Calibri" w:hAnsi="Palatino Linotype" w:cs="Arial"/>
          <w:color w:val="000000" w:themeColor="text1"/>
          <w:lang w:val="es-ES"/>
        </w:rPr>
        <w:t>SAIMEX</w:t>
      </w:r>
      <w:r w:rsidR="005F1362" w:rsidRPr="009F3119">
        <w:rPr>
          <w:rFonts w:ascii="Palatino Linotype" w:eastAsia="Calibri" w:hAnsi="Palatino Linotype" w:cs="Arial"/>
          <w:color w:val="000000" w:themeColor="text1"/>
          <w:lang w:val="es-ES"/>
        </w:rPr>
        <w:t>, la solicitud de información pública registrada</w:t>
      </w:r>
      <w:r w:rsidR="00772245" w:rsidRPr="009F3119">
        <w:rPr>
          <w:rFonts w:ascii="Palatino Linotype" w:eastAsia="Calibri" w:hAnsi="Palatino Linotype" w:cs="Arial"/>
          <w:color w:val="000000" w:themeColor="text1"/>
          <w:lang w:val="es-ES"/>
        </w:rPr>
        <w:t xml:space="preserve"> con </w:t>
      </w:r>
      <w:r w:rsidR="00F25B61" w:rsidRPr="009F3119">
        <w:rPr>
          <w:rFonts w:ascii="Palatino Linotype" w:eastAsia="Calibri" w:hAnsi="Palatino Linotype" w:cs="Arial"/>
          <w:color w:val="000000" w:themeColor="text1"/>
          <w:lang w:val="es-ES"/>
        </w:rPr>
        <w:t>el</w:t>
      </w:r>
      <w:r w:rsidR="005F1362" w:rsidRPr="009F3119">
        <w:rPr>
          <w:rFonts w:ascii="Palatino Linotype" w:eastAsia="Calibri" w:hAnsi="Palatino Linotype" w:cs="Arial"/>
          <w:color w:val="000000" w:themeColor="text1"/>
          <w:lang w:val="es-ES"/>
        </w:rPr>
        <w:t xml:space="preserve"> número</w:t>
      </w:r>
      <w:r w:rsidR="00772245" w:rsidRPr="009F3119">
        <w:rPr>
          <w:rFonts w:ascii="Palatino Linotype" w:eastAsia="Calibri" w:hAnsi="Palatino Linotype" w:cs="Arial"/>
          <w:color w:val="000000" w:themeColor="text1"/>
          <w:lang w:val="es-ES"/>
        </w:rPr>
        <w:t xml:space="preserve"> </w:t>
      </w:r>
      <w:r w:rsidR="0085795E" w:rsidRPr="009F3119">
        <w:rPr>
          <w:rFonts w:ascii="Palatino Linotype" w:eastAsia="Calibri" w:hAnsi="Palatino Linotype" w:cs="Arial"/>
          <w:b/>
          <w:color w:val="000000" w:themeColor="text1"/>
          <w:lang w:val="es-ES"/>
        </w:rPr>
        <w:t>00048/MELOCAM/IP/2022</w:t>
      </w:r>
      <w:r w:rsidR="005F1362" w:rsidRPr="009F3119">
        <w:rPr>
          <w:rFonts w:ascii="Palatino Linotype" w:hAnsi="Palatino Linotype"/>
          <w:b/>
          <w:bCs/>
          <w:color w:val="000000" w:themeColor="text1"/>
        </w:rPr>
        <w:t>,</w:t>
      </w:r>
      <w:r w:rsidR="00F25B61" w:rsidRPr="009F3119">
        <w:rPr>
          <w:rFonts w:ascii="Palatino Linotype" w:eastAsia="Calibri" w:hAnsi="Palatino Linotype" w:cs="Arial"/>
          <w:color w:val="000000" w:themeColor="text1"/>
          <w:lang w:val="es-ES"/>
        </w:rPr>
        <w:t xml:space="preserve"> mediante la</w:t>
      </w:r>
      <w:r w:rsidR="00772245" w:rsidRPr="009F3119">
        <w:rPr>
          <w:rFonts w:ascii="Palatino Linotype" w:eastAsia="Calibri" w:hAnsi="Palatino Linotype" w:cs="Arial"/>
          <w:color w:val="000000" w:themeColor="text1"/>
          <w:lang w:val="es-ES"/>
        </w:rPr>
        <w:t xml:space="preserve"> que </w:t>
      </w:r>
      <w:r w:rsidR="005F1362" w:rsidRPr="009F3119">
        <w:rPr>
          <w:rFonts w:ascii="Palatino Linotype" w:eastAsia="Calibri" w:hAnsi="Palatino Linotype" w:cs="Arial"/>
          <w:color w:val="000000" w:themeColor="text1"/>
          <w:lang w:val="es-ES"/>
        </w:rPr>
        <w:t>requirió</w:t>
      </w:r>
      <w:r w:rsidR="00022D89" w:rsidRPr="009F3119">
        <w:rPr>
          <w:rFonts w:ascii="Palatino Linotype" w:eastAsia="Calibri" w:hAnsi="Palatino Linotype" w:cs="Arial"/>
          <w:color w:val="000000" w:themeColor="text1"/>
          <w:lang w:val="es-ES"/>
        </w:rPr>
        <w:t xml:space="preserve"> lo siguiente</w:t>
      </w:r>
      <w:r w:rsidR="005F1362" w:rsidRPr="009F3119">
        <w:rPr>
          <w:rFonts w:ascii="Palatino Linotype" w:eastAsia="Calibri" w:hAnsi="Palatino Linotype" w:cs="Arial"/>
          <w:color w:val="000000" w:themeColor="text1"/>
          <w:lang w:val="es-ES"/>
        </w:rPr>
        <w:t>:</w:t>
      </w:r>
    </w:p>
    <w:p w14:paraId="76EB7490" w14:textId="77777777" w:rsidR="00B31E90" w:rsidRPr="009F311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E1A9339" w:rsidR="0097210F" w:rsidRPr="009F3119"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9F3119">
        <w:rPr>
          <w:rFonts w:ascii="Palatino Linotype" w:hAnsi="Palatino Linotype"/>
          <w:i/>
          <w:color w:val="000000" w:themeColor="text1"/>
          <w:sz w:val="22"/>
          <w:szCs w:val="22"/>
        </w:rPr>
        <w:t xml:space="preserve"> </w:t>
      </w:r>
      <w:r w:rsidR="005F1362" w:rsidRPr="009F3119">
        <w:rPr>
          <w:rFonts w:ascii="Palatino Linotype" w:hAnsi="Palatino Linotype"/>
          <w:i/>
          <w:color w:val="000000" w:themeColor="text1"/>
          <w:sz w:val="22"/>
          <w:szCs w:val="22"/>
        </w:rPr>
        <w:t>“</w:t>
      </w:r>
      <w:r w:rsidR="0085795E" w:rsidRPr="009F3119">
        <w:rPr>
          <w:rFonts w:ascii="Palatino Linotype" w:hAnsi="Palatino Linotype"/>
          <w:i/>
          <w:iCs/>
          <w:color w:val="000000" w:themeColor="text1"/>
          <w:sz w:val="22"/>
          <w:szCs w:val="22"/>
        </w:rPr>
        <w:t>SOLICITO LA VERSIÓN PÚBLICA DE LOS COMPROBANTES DE PAGO (DE NOMINA, SALARIO, SUELDOS, HONORARIOS, GRATIFICACIONES, ETC) EMITIDOS DE LA SEGUNDA QUINCENA DE MARZO DE 2022 DE LOS TRABAJADORES DE BASE Y DE CONFIANZA DEL AYUNTAMIENTO, DE LOS INTEGRANTES DEL CABILDO, DE LOS DIRECTIVOS DEL SISTEMA MUNICIPAL DIF Y DE LOS TRABAJADORES DE LAS DIFERENTES DIRECCIONES DEL AYUNTAMIENTO.</w:t>
      </w:r>
      <w:r w:rsidR="005F1362" w:rsidRPr="009F3119">
        <w:rPr>
          <w:rFonts w:ascii="Palatino Linotype" w:hAnsi="Palatino Linotype"/>
          <w:i/>
          <w:color w:val="000000" w:themeColor="text1"/>
          <w:sz w:val="22"/>
          <w:szCs w:val="22"/>
        </w:rPr>
        <w:t xml:space="preserve">” </w:t>
      </w:r>
      <w:r w:rsidR="005F1362" w:rsidRPr="009F3119">
        <w:rPr>
          <w:rFonts w:ascii="Palatino Linotype" w:hAnsi="Palatino Linotype"/>
          <w:color w:val="000000" w:themeColor="text1"/>
          <w:sz w:val="22"/>
          <w:szCs w:val="22"/>
        </w:rPr>
        <w:t>(Sic).</w:t>
      </w:r>
    </w:p>
    <w:p w14:paraId="65A03C8D" w14:textId="77777777" w:rsidR="005F1362" w:rsidRPr="009F3119" w:rsidRDefault="005F1362" w:rsidP="00B31E90">
      <w:pPr>
        <w:spacing w:line="360" w:lineRule="auto"/>
        <w:ind w:right="333"/>
        <w:jc w:val="both"/>
        <w:rPr>
          <w:rFonts w:ascii="Palatino Linotype" w:hAnsi="Palatino Linotype"/>
          <w:color w:val="000000" w:themeColor="text1"/>
        </w:rPr>
      </w:pPr>
    </w:p>
    <w:p w14:paraId="49C21E77" w14:textId="42FF0B56" w:rsidR="0039142B" w:rsidRPr="009F3119"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3119">
        <w:rPr>
          <w:rFonts w:ascii="Palatino Linotype" w:hAnsi="Palatino Linotype" w:cs="Arial"/>
          <w:color w:val="000000" w:themeColor="text1"/>
        </w:rPr>
        <w:t xml:space="preserve">Se hace constar que </w:t>
      </w:r>
      <w:r w:rsidR="00025127" w:rsidRPr="009F3119">
        <w:rPr>
          <w:rFonts w:ascii="Palatino Linotype" w:eastAsia="Times New Roman" w:hAnsi="Palatino Linotype" w:cs="Arial"/>
          <w:color w:val="000000" w:themeColor="text1"/>
          <w:lang w:val="es-ES"/>
        </w:rPr>
        <w:t>el entonces</w:t>
      </w:r>
      <w:r w:rsidR="00FD7996" w:rsidRPr="009F3119">
        <w:rPr>
          <w:rFonts w:ascii="Palatino Linotype" w:eastAsia="Times New Roman" w:hAnsi="Palatino Linotype" w:cs="Arial"/>
          <w:color w:val="000000" w:themeColor="text1"/>
          <w:lang w:val="es-ES"/>
        </w:rPr>
        <w:t xml:space="preserve"> </w:t>
      </w:r>
      <w:r w:rsidR="00FD7996" w:rsidRPr="009F3119">
        <w:rPr>
          <w:rFonts w:ascii="Palatino Linotype" w:eastAsia="Times New Roman" w:hAnsi="Palatino Linotype" w:cs="Arial"/>
          <w:b/>
          <w:color w:val="000000" w:themeColor="text1"/>
          <w:lang w:val="es-ES"/>
        </w:rPr>
        <w:t>SOLICITANTE</w:t>
      </w:r>
      <w:r w:rsidRPr="009F3119">
        <w:rPr>
          <w:rFonts w:ascii="Palatino Linotype" w:eastAsia="Times New Roman" w:hAnsi="Palatino Linotype" w:cs="Arial"/>
          <w:color w:val="000000" w:themeColor="text1"/>
          <w:lang w:val="es-ES"/>
        </w:rPr>
        <w:t xml:space="preserve"> señaló como modalidad de entrega de la información</w:t>
      </w:r>
      <w:r w:rsidRPr="009F3119">
        <w:rPr>
          <w:rFonts w:ascii="Palatino Linotype" w:eastAsia="Times New Roman" w:hAnsi="Palatino Linotype" w:cs="Arial"/>
          <w:bCs/>
          <w:color w:val="000000" w:themeColor="text1"/>
          <w:lang w:val="es-ES"/>
        </w:rPr>
        <w:t>:</w:t>
      </w:r>
      <w:r w:rsidR="001E4152" w:rsidRPr="009F3119">
        <w:rPr>
          <w:rFonts w:ascii="Palatino Linotype" w:eastAsia="Times New Roman" w:hAnsi="Palatino Linotype" w:cs="Arial"/>
          <w:b/>
          <w:color w:val="000000" w:themeColor="text1"/>
          <w:lang w:val="es-ES"/>
        </w:rPr>
        <w:t xml:space="preserve"> </w:t>
      </w:r>
      <w:r w:rsidR="001E4152" w:rsidRPr="009F3119">
        <w:rPr>
          <w:rFonts w:ascii="Palatino Linotype" w:eastAsia="Times New Roman" w:hAnsi="Palatino Linotype" w:cs="Arial"/>
          <w:b/>
          <w:i/>
          <w:iCs/>
          <w:color w:val="000000" w:themeColor="text1"/>
          <w:lang w:val="es-ES"/>
        </w:rPr>
        <w:t>A través del SAIMEX</w:t>
      </w:r>
      <w:r w:rsidR="005B4B08" w:rsidRPr="009F3119">
        <w:rPr>
          <w:rFonts w:ascii="Palatino Linotype" w:eastAsia="Calibri" w:hAnsi="Palatino Linotype" w:cs="Arial"/>
          <w:color w:val="000000" w:themeColor="text1"/>
          <w:lang w:val="es-ES"/>
        </w:rPr>
        <w:t>.</w:t>
      </w:r>
    </w:p>
    <w:p w14:paraId="35BA18A9" w14:textId="77777777" w:rsidR="0039142B" w:rsidRPr="009F311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AEB489B" w:rsidR="0022448D" w:rsidRPr="009F3119"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F3119">
        <w:rPr>
          <w:rFonts w:ascii="Palatino Linotype" w:eastAsia="MS Mincho" w:hAnsi="Palatino Linotype" w:cs="Times New Roman"/>
          <w:color w:val="000000" w:themeColor="text1"/>
        </w:rPr>
        <w:t>E</w:t>
      </w:r>
      <w:r w:rsidR="00B31E90" w:rsidRPr="009F3119">
        <w:rPr>
          <w:rFonts w:ascii="Palatino Linotype" w:eastAsia="MS Mincho" w:hAnsi="Palatino Linotype" w:cs="Times New Roman"/>
          <w:color w:val="000000" w:themeColor="text1"/>
        </w:rPr>
        <w:t xml:space="preserve">l </w:t>
      </w:r>
      <w:r w:rsidR="0085795E" w:rsidRPr="009F3119">
        <w:rPr>
          <w:rFonts w:ascii="Palatino Linotype" w:eastAsia="MS Mincho" w:hAnsi="Palatino Linotype" w:cs="Times New Roman"/>
          <w:color w:val="000000" w:themeColor="text1"/>
        </w:rPr>
        <w:t>cuatro (04</w:t>
      </w:r>
      <w:r w:rsidR="00CF24AD" w:rsidRPr="009F3119">
        <w:rPr>
          <w:rFonts w:ascii="Palatino Linotype" w:eastAsia="MS Mincho" w:hAnsi="Palatino Linotype" w:cs="Times New Roman"/>
          <w:color w:val="000000" w:themeColor="text1"/>
        </w:rPr>
        <w:t>) de mayo</w:t>
      </w:r>
      <w:r w:rsidR="00FE159E" w:rsidRPr="009F3119">
        <w:rPr>
          <w:rFonts w:ascii="Palatino Linotype" w:eastAsia="MS Mincho" w:hAnsi="Palatino Linotype" w:cs="Times New Roman"/>
          <w:color w:val="000000" w:themeColor="text1"/>
        </w:rPr>
        <w:t xml:space="preserve"> de dos mil </w:t>
      </w:r>
      <w:r w:rsidR="00392FF3" w:rsidRPr="009F3119">
        <w:rPr>
          <w:rFonts w:ascii="Palatino Linotype" w:eastAsia="MS Mincho" w:hAnsi="Palatino Linotype" w:cs="Times New Roman"/>
          <w:color w:val="000000" w:themeColor="text1"/>
        </w:rPr>
        <w:t>veintidós</w:t>
      </w:r>
      <w:r w:rsidR="000411E2" w:rsidRPr="009F3119">
        <w:rPr>
          <w:rFonts w:ascii="Palatino Linotype" w:eastAsia="MS Mincho" w:hAnsi="Palatino Linotype" w:cs="Times New Roman"/>
          <w:color w:val="000000" w:themeColor="text1"/>
        </w:rPr>
        <w:t xml:space="preserve">, </w:t>
      </w:r>
      <w:r w:rsidR="000411E2" w:rsidRPr="009F3119">
        <w:rPr>
          <w:rFonts w:ascii="Palatino Linotype" w:hAnsi="Palatino Linotype"/>
          <w:color w:val="000000" w:themeColor="text1"/>
          <w:szCs w:val="14"/>
        </w:rPr>
        <w:t xml:space="preserve">el </w:t>
      </w:r>
      <w:r w:rsidR="000411E2" w:rsidRPr="009F3119">
        <w:rPr>
          <w:rFonts w:ascii="Palatino Linotype" w:hAnsi="Palatino Linotype"/>
          <w:b/>
          <w:color w:val="000000" w:themeColor="text1"/>
          <w:szCs w:val="14"/>
        </w:rPr>
        <w:t>SUJETO OBLIGADO</w:t>
      </w:r>
      <w:r w:rsidR="000411E2" w:rsidRPr="009F3119">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9F3119" w:rsidRDefault="009A593A" w:rsidP="00B31E90">
      <w:pPr>
        <w:pStyle w:val="Sinespaciado"/>
        <w:ind w:left="567" w:right="567"/>
        <w:jc w:val="right"/>
        <w:rPr>
          <w:rFonts w:ascii="Palatino Linotype" w:hAnsi="Palatino Linotype"/>
          <w:i/>
          <w:noProof/>
          <w:color w:val="000000" w:themeColor="text1"/>
          <w:lang w:eastAsia="es-MX"/>
        </w:rPr>
      </w:pPr>
    </w:p>
    <w:p w14:paraId="13FBC643" w14:textId="77777777" w:rsidR="0085795E" w:rsidRPr="009F3119" w:rsidRDefault="00F25B61" w:rsidP="008579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F3119">
        <w:rPr>
          <w:rFonts w:ascii="Palatino Linotype" w:hAnsi="Palatino Linotype"/>
          <w:i/>
          <w:noProof/>
          <w:color w:val="000000" w:themeColor="text1"/>
          <w:sz w:val="22"/>
          <w:szCs w:val="22"/>
          <w:lang w:val="es-MX" w:eastAsia="es-MX"/>
        </w:rPr>
        <w:t xml:space="preserve"> </w:t>
      </w:r>
      <w:r w:rsidR="005F1362" w:rsidRPr="009F3119">
        <w:rPr>
          <w:rFonts w:ascii="Palatino Linotype" w:hAnsi="Palatino Linotype"/>
          <w:i/>
          <w:noProof/>
          <w:color w:val="000000" w:themeColor="text1"/>
          <w:sz w:val="22"/>
          <w:szCs w:val="22"/>
          <w:lang w:val="es-MX" w:eastAsia="es-MX"/>
        </w:rPr>
        <w:t>“</w:t>
      </w:r>
      <w:r w:rsidR="0085795E" w:rsidRPr="009F311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27E7A8" w14:textId="77777777" w:rsidR="0085795E" w:rsidRPr="009F3119" w:rsidRDefault="0085795E" w:rsidP="0085795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CF1C0DF" w14:textId="77777777" w:rsidR="0085795E" w:rsidRPr="009F3119" w:rsidRDefault="0085795E" w:rsidP="008579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F3119">
        <w:rPr>
          <w:rFonts w:ascii="Palatino Linotype" w:hAnsi="Palatino Linotype"/>
          <w:i/>
          <w:noProof/>
          <w:color w:val="000000" w:themeColor="text1"/>
          <w:sz w:val="22"/>
          <w:szCs w:val="22"/>
          <w:lang w:val="es-MX" w:eastAsia="es-MX"/>
        </w:rPr>
        <w:t>Estando en tiempo y forma en términos de los artículos 12, 150, 157, 163 y demás relativos de la Ley de Transparencia y Acceso a la Información Pública del Estado de México y Municipios vigente, con respecto a su petición 00048/MELOCAM/IP/2022 mediante el sistema SAIMEX, se le informa: la información solicitada se encuentra en el portal de IPOMEX, donde puede ser consultada.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5EEF1216" w14:textId="77777777" w:rsidR="0085795E" w:rsidRPr="009F3119" w:rsidRDefault="0085795E" w:rsidP="0085795E">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180FE42" w14:textId="77777777" w:rsidR="0085795E" w:rsidRPr="009F3119" w:rsidRDefault="0085795E" w:rsidP="0085795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F3119">
        <w:rPr>
          <w:rFonts w:ascii="Palatino Linotype" w:hAnsi="Palatino Linotype"/>
          <w:i/>
          <w:noProof/>
          <w:color w:val="000000" w:themeColor="text1"/>
          <w:sz w:val="22"/>
          <w:szCs w:val="22"/>
          <w:lang w:val="es-MX" w:eastAsia="es-MX"/>
        </w:rPr>
        <w:t>ATENTAMENTE</w:t>
      </w:r>
    </w:p>
    <w:p w14:paraId="35A36DE0" w14:textId="6CA6FC3F" w:rsidR="0039142B" w:rsidRPr="009F3119" w:rsidRDefault="0085795E" w:rsidP="0085795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F3119">
        <w:rPr>
          <w:rFonts w:ascii="Palatino Linotype" w:hAnsi="Palatino Linotype"/>
          <w:i/>
          <w:noProof/>
          <w:color w:val="000000" w:themeColor="text1"/>
          <w:sz w:val="22"/>
          <w:szCs w:val="22"/>
          <w:lang w:val="es-MX" w:eastAsia="es-MX"/>
        </w:rPr>
        <w:t>MUNICIPIO DE MELCHOR OCAMPO</w:t>
      </w:r>
      <w:r w:rsidR="005F1362" w:rsidRPr="009F3119">
        <w:rPr>
          <w:rFonts w:ascii="Palatino Linotype" w:hAnsi="Palatino Linotype"/>
          <w:i/>
          <w:noProof/>
          <w:color w:val="000000" w:themeColor="text1"/>
          <w:sz w:val="22"/>
          <w:szCs w:val="22"/>
          <w:lang w:val="es-MX" w:eastAsia="es-MX"/>
        </w:rPr>
        <w:t>”</w:t>
      </w:r>
      <w:r w:rsidR="00EB3DF7" w:rsidRPr="009F3119">
        <w:rPr>
          <w:rFonts w:ascii="Palatino Linotype" w:hAnsi="Palatino Linotype"/>
          <w:noProof/>
          <w:color w:val="000000" w:themeColor="text1"/>
          <w:sz w:val="22"/>
          <w:szCs w:val="22"/>
          <w:lang w:val="es-MX" w:eastAsia="es-MX"/>
        </w:rPr>
        <w:t xml:space="preserve"> (Sic.)</w:t>
      </w:r>
    </w:p>
    <w:p w14:paraId="18538835" w14:textId="77777777" w:rsidR="00FE159E" w:rsidRPr="009F3119" w:rsidRDefault="00FE159E" w:rsidP="00B67B60">
      <w:pPr>
        <w:spacing w:line="360" w:lineRule="auto"/>
        <w:jc w:val="both"/>
        <w:rPr>
          <w:rFonts w:ascii="Palatino Linotype" w:hAnsi="Palatino Linotype" w:cs="Arial"/>
        </w:rPr>
      </w:pPr>
    </w:p>
    <w:p w14:paraId="272B63B3" w14:textId="5A880639" w:rsidR="000D5A1D" w:rsidRPr="009F311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F3119">
        <w:rPr>
          <w:rFonts w:ascii="Palatino Linotype" w:eastAsia="Times New Roman" w:hAnsi="Palatino Linotype" w:cs="Arial"/>
          <w:color w:val="000000" w:themeColor="text1"/>
          <w:lang w:val="es-ES"/>
        </w:rPr>
        <w:t>D</w:t>
      </w:r>
      <w:r w:rsidR="00561ED1" w:rsidRPr="009F3119">
        <w:rPr>
          <w:rFonts w:ascii="Palatino Linotype" w:eastAsia="Times New Roman" w:hAnsi="Palatino Linotype" w:cs="Arial"/>
          <w:color w:val="000000" w:themeColor="text1"/>
          <w:lang w:val="es-ES"/>
        </w:rPr>
        <w:t xml:space="preserve">erivado de la respuesta emitida por el </w:t>
      </w:r>
      <w:r w:rsidR="00561ED1" w:rsidRPr="009F3119">
        <w:rPr>
          <w:rFonts w:ascii="Palatino Linotype" w:eastAsia="Times New Roman" w:hAnsi="Palatino Linotype" w:cs="Arial"/>
          <w:b/>
          <w:color w:val="000000" w:themeColor="text1"/>
          <w:lang w:val="es-ES"/>
        </w:rPr>
        <w:t>SUJETO OBLIGADO</w:t>
      </w:r>
      <w:r w:rsidR="00561ED1" w:rsidRPr="009F3119">
        <w:rPr>
          <w:rFonts w:ascii="Palatino Linotype" w:eastAsia="Times New Roman" w:hAnsi="Palatino Linotype" w:cs="Arial"/>
          <w:color w:val="000000" w:themeColor="text1"/>
          <w:lang w:val="es-ES"/>
        </w:rPr>
        <w:t>, e</w:t>
      </w:r>
      <w:r w:rsidR="00DB4BEF" w:rsidRPr="009F3119">
        <w:rPr>
          <w:rFonts w:ascii="Palatino Linotype" w:eastAsia="Times New Roman" w:hAnsi="Palatino Linotype" w:cs="Arial"/>
          <w:color w:val="000000" w:themeColor="text1"/>
          <w:lang w:val="es-ES"/>
        </w:rPr>
        <w:t xml:space="preserve">l </w:t>
      </w:r>
      <w:r w:rsidR="0085795E" w:rsidRPr="009F3119">
        <w:rPr>
          <w:rFonts w:ascii="Palatino Linotype" w:eastAsia="Times New Roman" w:hAnsi="Palatino Linotype" w:cs="Arial"/>
          <w:color w:val="000000" w:themeColor="text1"/>
          <w:lang w:val="es-ES"/>
        </w:rPr>
        <w:t>seis (06</w:t>
      </w:r>
      <w:r w:rsidR="00CF24AD" w:rsidRPr="009F3119">
        <w:rPr>
          <w:rFonts w:ascii="Palatino Linotype" w:eastAsia="Times New Roman" w:hAnsi="Palatino Linotype" w:cs="Arial"/>
          <w:color w:val="000000" w:themeColor="text1"/>
          <w:lang w:val="es-ES"/>
        </w:rPr>
        <w:t>) de mayo</w:t>
      </w:r>
      <w:r w:rsidR="00864EBB" w:rsidRPr="009F3119">
        <w:rPr>
          <w:rFonts w:ascii="Palatino Linotype" w:eastAsia="Times New Roman" w:hAnsi="Palatino Linotype" w:cs="Arial"/>
          <w:color w:val="000000" w:themeColor="text1"/>
          <w:lang w:val="es-ES"/>
        </w:rPr>
        <w:t xml:space="preserve"> de dos mil veintidós</w:t>
      </w:r>
      <w:r w:rsidR="00FE49E3" w:rsidRPr="009F3119">
        <w:rPr>
          <w:rFonts w:ascii="Palatino Linotype" w:eastAsia="Times New Roman" w:hAnsi="Palatino Linotype" w:cs="Arial"/>
          <w:color w:val="000000" w:themeColor="text1"/>
          <w:lang w:val="es-ES"/>
        </w:rPr>
        <w:t xml:space="preserve">, </w:t>
      </w:r>
      <w:r w:rsidR="001468E9" w:rsidRPr="009F3119">
        <w:rPr>
          <w:rFonts w:ascii="Palatino Linotype" w:eastAsia="Times New Roman" w:hAnsi="Palatino Linotype" w:cs="Arial"/>
          <w:color w:val="000000" w:themeColor="text1"/>
          <w:lang w:val="es-ES"/>
        </w:rPr>
        <w:t>el</w:t>
      </w:r>
      <w:r w:rsidR="005F1362" w:rsidRPr="009F3119">
        <w:rPr>
          <w:rFonts w:ascii="Palatino Linotype" w:eastAsia="Times New Roman" w:hAnsi="Palatino Linotype" w:cs="Arial"/>
          <w:color w:val="000000" w:themeColor="text1"/>
          <w:lang w:val="es-ES"/>
        </w:rPr>
        <w:t xml:space="preserve"> particular</w:t>
      </w:r>
      <w:r w:rsidR="00DB4BEF" w:rsidRPr="009F3119">
        <w:rPr>
          <w:rFonts w:ascii="Palatino Linotype" w:eastAsia="Times New Roman" w:hAnsi="Palatino Linotype" w:cs="Arial"/>
          <w:color w:val="000000" w:themeColor="text1"/>
          <w:lang w:val="es-ES"/>
        </w:rPr>
        <w:t xml:space="preserve"> interpuso</w:t>
      </w:r>
      <w:r w:rsidR="009316E9" w:rsidRPr="009F3119">
        <w:rPr>
          <w:rFonts w:ascii="Palatino Linotype" w:eastAsia="Times New Roman" w:hAnsi="Palatino Linotype" w:cs="Arial"/>
          <w:color w:val="000000" w:themeColor="text1"/>
          <w:lang w:val="es-ES"/>
        </w:rPr>
        <w:t xml:space="preserve"> </w:t>
      </w:r>
      <w:r w:rsidR="00F25B61" w:rsidRPr="009F3119">
        <w:rPr>
          <w:rFonts w:ascii="Palatino Linotype" w:eastAsia="Times New Roman" w:hAnsi="Palatino Linotype" w:cs="Arial"/>
          <w:color w:val="000000" w:themeColor="text1"/>
          <w:lang w:val="es-ES"/>
        </w:rPr>
        <w:t>el</w:t>
      </w:r>
      <w:r w:rsidR="004D68F8" w:rsidRPr="009F3119">
        <w:rPr>
          <w:rFonts w:ascii="Palatino Linotype" w:eastAsia="Times New Roman" w:hAnsi="Palatino Linotype" w:cs="Arial"/>
          <w:color w:val="000000" w:themeColor="text1"/>
          <w:lang w:val="es-ES"/>
        </w:rPr>
        <w:t xml:space="preserve"> recurso de revisión </w:t>
      </w:r>
      <w:r w:rsidR="0085795E" w:rsidRPr="009F3119">
        <w:rPr>
          <w:rFonts w:ascii="Palatino Linotype" w:eastAsia="Calibri" w:hAnsi="Palatino Linotype" w:cs="Arial"/>
          <w:b/>
          <w:color w:val="000000" w:themeColor="text1"/>
          <w:lang w:val="es-ES"/>
        </w:rPr>
        <w:t>07003/INFOEM/IP/RR/2022</w:t>
      </w:r>
      <w:r w:rsidR="009A0461" w:rsidRPr="009F3119">
        <w:rPr>
          <w:rFonts w:ascii="Palatino Linotype" w:eastAsia="Calibri" w:hAnsi="Palatino Linotype" w:cs="Arial"/>
          <w:color w:val="000000" w:themeColor="text1"/>
          <w:lang w:val="es-ES"/>
        </w:rPr>
        <w:t>;</w:t>
      </w:r>
      <w:r w:rsidR="00102D65" w:rsidRPr="009F3119">
        <w:rPr>
          <w:rFonts w:ascii="Palatino Linotype" w:eastAsia="Times New Roman" w:hAnsi="Palatino Linotype" w:cs="Arial"/>
          <w:color w:val="000000" w:themeColor="text1"/>
          <w:lang w:val="es-ES"/>
        </w:rPr>
        <w:t xml:space="preserve"> </w:t>
      </w:r>
      <w:r w:rsidR="00F25B61" w:rsidRPr="009F3119">
        <w:rPr>
          <w:rFonts w:ascii="Palatino Linotype" w:eastAsia="Times New Roman" w:hAnsi="Palatino Linotype" w:cs="Arial"/>
          <w:color w:val="000000" w:themeColor="text1"/>
          <w:lang w:val="es-ES"/>
        </w:rPr>
        <w:t>impugnación</w:t>
      </w:r>
      <w:r w:rsidR="004D68F8" w:rsidRPr="009F3119">
        <w:rPr>
          <w:rFonts w:ascii="Palatino Linotype" w:eastAsia="Times New Roman" w:hAnsi="Palatino Linotype" w:cs="Arial"/>
          <w:color w:val="000000" w:themeColor="text1"/>
          <w:lang w:val="es-ES"/>
        </w:rPr>
        <w:t xml:space="preserve"> </w:t>
      </w:r>
      <w:r w:rsidR="00A45546" w:rsidRPr="009F3119">
        <w:rPr>
          <w:rFonts w:ascii="Palatino Linotype" w:eastAsia="Times New Roman" w:hAnsi="Palatino Linotype" w:cs="Arial"/>
          <w:color w:val="000000" w:themeColor="text1"/>
          <w:lang w:val="es-ES"/>
        </w:rPr>
        <w:t xml:space="preserve">en </w:t>
      </w:r>
      <w:r w:rsidR="00977D37" w:rsidRPr="009F3119">
        <w:rPr>
          <w:rFonts w:ascii="Palatino Linotype" w:eastAsia="Times New Roman" w:hAnsi="Palatino Linotype" w:cs="Arial"/>
          <w:color w:val="000000" w:themeColor="text1"/>
          <w:lang w:val="es-ES"/>
        </w:rPr>
        <w:t>la</w:t>
      </w:r>
      <w:r w:rsidR="00A45546" w:rsidRPr="009F3119">
        <w:rPr>
          <w:rFonts w:ascii="Palatino Linotype" w:eastAsia="Times New Roman" w:hAnsi="Palatino Linotype" w:cs="Arial"/>
          <w:color w:val="000000" w:themeColor="text1"/>
          <w:lang w:val="es-ES"/>
        </w:rPr>
        <w:t xml:space="preserve"> que refirió </w:t>
      </w:r>
      <w:r w:rsidR="004D68F8" w:rsidRPr="009F3119">
        <w:rPr>
          <w:rFonts w:ascii="Palatino Linotype" w:eastAsia="Times New Roman" w:hAnsi="Palatino Linotype" w:cs="Arial"/>
          <w:color w:val="000000" w:themeColor="text1"/>
          <w:lang w:val="es-ES"/>
        </w:rPr>
        <w:t>lo siguiente:</w:t>
      </w:r>
    </w:p>
    <w:p w14:paraId="054906C6" w14:textId="77777777" w:rsidR="00E34622" w:rsidRPr="009F311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2C4D38B" w:rsidR="00E34622" w:rsidRPr="009F3119" w:rsidRDefault="00E34622" w:rsidP="0085795E">
      <w:pPr>
        <w:pStyle w:val="Prrafodelista"/>
        <w:numPr>
          <w:ilvl w:val="0"/>
          <w:numId w:val="19"/>
        </w:numPr>
        <w:tabs>
          <w:tab w:val="left" w:pos="993"/>
        </w:tabs>
        <w:spacing w:line="360" w:lineRule="auto"/>
        <w:ind w:left="1134" w:right="567" w:hanging="425"/>
        <w:jc w:val="both"/>
        <w:rPr>
          <w:rFonts w:ascii="Palatino Linotype" w:eastAsia="Times New Roman" w:hAnsi="Palatino Linotype" w:cs="Arial"/>
          <w:color w:val="000000" w:themeColor="text1"/>
          <w:lang w:val="es-ES"/>
        </w:rPr>
      </w:pPr>
      <w:r w:rsidRPr="009F3119">
        <w:rPr>
          <w:rFonts w:ascii="Palatino Linotype" w:eastAsia="Times New Roman" w:hAnsi="Palatino Linotype" w:cs="Arial"/>
          <w:b/>
          <w:color w:val="000000" w:themeColor="text1"/>
          <w:lang w:val="es-ES"/>
        </w:rPr>
        <w:t>Acto impugnado:</w:t>
      </w:r>
      <w:r w:rsidRPr="009F3119">
        <w:rPr>
          <w:rFonts w:ascii="Palatino Linotype" w:eastAsia="Times New Roman" w:hAnsi="Palatino Linotype" w:cs="Arial"/>
          <w:color w:val="000000" w:themeColor="text1"/>
          <w:lang w:val="es-ES"/>
        </w:rPr>
        <w:t xml:space="preserve"> “</w:t>
      </w:r>
      <w:r w:rsidR="0085795E" w:rsidRPr="009F3119">
        <w:rPr>
          <w:rFonts w:ascii="Palatino Linotype" w:eastAsia="Times New Roman" w:hAnsi="Palatino Linotype" w:cs="Arial"/>
          <w:i/>
          <w:color w:val="000000" w:themeColor="text1"/>
        </w:rPr>
        <w:t>No se hace entrega de la información solicitada.</w:t>
      </w:r>
      <w:r w:rsidRPr="009F3119">
        <w:rPr>
          <w:rFonts w:ascii="Palatino Linotype" w:eastAsia="Times New Roman" w:hAnsi="Palatino Linotype" w:cs="Arial"/>
          <w:i/>
          <w:color w:val="000000" w:themeColor="text1"/>
          <w:lang w:val="es-ES"/>
        </w:rPr>
        <w:t>”</w:t>
      </w:r>
      <w:r w:rsidRPr="009F3119">
        <w:rPr>
          <w:rFonts w:ascii="Palatino Linotype" w:eastAsia="Times New Roman" w:hAnsi="Palatino Linotype" w:cs="Arial"/>
          <w:color w:val="000000" w:themeColor="text1"/>
          <w:lang w:val="es-ES"/>
        </w:rPr>
        <w:t xml:space="preserve"> (Sic).</w:t>
      </w:r>
    </w:p>
    <w:p w14:paraId="25E44FB6" w14:textId="77777777" w:rsidR="00F25B61" w:rsidRPr="009F3119" w:rsidRDefault="00F25B61" w:rsidP="0085795E">
      <w:pPr>
        <w:pStyle w:val="Prrafodelista"/>
        <w:tabs>
          <w:tab w:val="left" w:pos="993"/>
        </w:tabs>
        <w:spacing w:line="360" w:lineRule="auto"/>
        <w:ind w:left="1134" w:right="567" w:hanging="425"/>
        <w:jc w:val="both"/>
        <w:rPr>
          <w:rFonts w:ascii="Palatino Linotype" w:eastAsia="Times New Roman" w:hAnsi="Palatino Linotype" w:cs="Arial"/>
          <w:color w:val="000000" w:themeColor="text1"/>
          <w:lang w:val="es-ES"/>
        </w:rPr>
      </w:pPr>
    </w:p>
    <w:p w14:paraId="7DB0260F" w14:textId="684668EF" w:rsidR="000E096F" w:rsidRPr="009F3119" w:rsidRDefault="00E34622" w:rsidP="0085795E">
      <w:pPr>
        <w:pStyle w:val="Prrafodelista"/>
        <w:numPr>
          <w:ilvl w:val="0"/>
          <w:numId w:val="19"/>
        </w:numPr>
        <w:tabs>
          <w:tab w:val="left" w:pos="993"/>
        </w:tabs>
        <w:spacing w:line="360" w:lineRule="auto"/>
        <w:ind w:left="1134" w:right="567" w:hanging="425"/>
        <w:jc w:val="both"/>
        <w:rPr>
          <w:rFonts w:ascii="Palatino Linotype" w:eastAsia="Times New Roman" w:hAnsi="Palatino Linotype" w:cs="Arial"/>
          <w:color w:val="000000" w:themeColor="text1"/>
          <w:lang w:val="es-ES"/>
        </w:rPr>
      </w:pPr>
      <w:r w:rsidRPr="009F3119">
        <w:rPr>
          <w:rFonts w:ascii="Palatino Linotype" w:eastAsia="Times New Roman" w:hAnsi="Palatino Linotype" w:cs="Arial"/>
          <w:b/>
          <w:color w:val="000000" w:themeColor="text1"/>
          <w:lang w:val="es-ES"/>
        </w:rPr>
        <w:t>Razones o motivos de inconformidad:</w:t>
      </w:r>
      <w:r w:rsidRPr="009F3119">
        <w:rPr>
          <w:rFonts w:ascii="Palatino Linotype" w:eastAsia="Times New Roman" w:hAnsi="Palatino Linotype" w:cs="Arial"/>
          <w:color w:val="000000" w:themeColor="text1"/>
          <w:lang w:val="es-ES"/>
        </w:rPr>
        <w:t xml:space="preserve"> “</w:t>
      </w:r>
      <w:r w:rsidR="0085795E" w:rsidRPr="009F3119">
        <w:rPr>
          <w:rFonts w:ascii="Palatino Linotype" w:hAnsi="Palatino Linotype"/>
          <w:i/>
          <w:iCs/>
          <w:color w:val="000000"/>
        </w:rPr>
        <w:t xml:space="preserve">El sujeto obligado no hace entrega de la información solicitada, </w:t>
      </w:r>
      <w:proofErr w:type="spellStart"/>
      <w:r w:rsidR="0085795E" w:rsidRPr="009F3119">
        <w:rPr>
          <w:rFonts w:ascii="Palatino Linotype" w:hAnsi="Palatino Linotype"/>
          <w:i/>
          <w:iCs/>
          <w:color w:val="000000"/>
        </w:rPr>
        <w:t>pretextanto</w:t>
      </w:r>
      <w:proofErr w:type="spellEnd"/>
      <w:r w:rsidR="0085795E" w:rsidRPr="009F3119">
        <w:rPr>
          <w:rFonts w:ascii="Palatino Linotype" w:hAnsi="Palatino Linotype"/>
          <w:i/>
          <w:iCs/>
          <w:color w:val="000000"/>
        </w:rPr>
        <w:t xml:space="preserve"> que dicha información se </w:t>
      </w:r>
      <w:r w:rsidR="0085795E" w:rsidRPr="009F3119">
        <w:rPr>
          <w:rFonts w:ascii="Palatino Linotype" w:hAnsi="Palatino Linotype"/>
          <w:i/>
          <w:iCs/>
          <w:color w:val="000000"/>
        </w:rPr>
        <w:lastRenderedPageBreak/>
        <w:t xml:space="preserve">encuentra disponible en el portal </w:t>
      </w:r>
      <w:proofErr w:type="spellStart"/>
      <w:r w:rsidR="0085795E" w:rsidRPr="009F3119">
        <w:rPr>
          <w:rFonts w:ascii="Palatino Linotype" w:hAnsi="Palatino Linotype"/>
          <w:i/>
          <w:iCs/>
          <w:color w:val="000000"/>
        </w:rPr>
        <w:t>ipomex</w:t>
      </w:r>
      <w:proofErr w:type="spellEnd"/>
      <w:r w:rsidR="0085795E" w:rsidRPr="009F3119">
        <w:rPr>
          <w:rFonts w:ascii="Palatino Linotype" w:hAnsi="Palatino Linotype"/>
          <w:i/>
          <w:iCs/>
          <w:color w:val="000000"/>
        </w:rPr>
        <w:t>, pero que al ser consultado, no aparece en él.</w:t>
      </w:r>
      <w:r w:rsidRPr="009F3119">
        <w:rPr>
          <w:rFonts w:ascii="Palatino Linotype" w:eastAsia="Times New Roman" w:hAnsi="Palatino Linotype" w:cs="Arial"/>
          <w:i/>
          <w:color w:val="000000" w:themeColor="text1"/>
          <w:lang w:val="es-ES"/>
        </w:rPr>
        <w:t>”</w:t>
      </w:r>
      <w:r w:rsidRPr="009F3119">
        <w:rPr>
          <w:rFonts w:ascii="Palatino Linotype" w:eastAsia="Times New Roman" w:hAnsi="Palatino Linotype" w:cs="Arial"/>
          <w:color w:val="000000" w:themeColor="text1"/>
          <w:lang w:val="es-ES"/>
        </w:rPr>
        <w:t xml:space="preserve"> (Sic).</w:t>
      </w:r>
    </w:p>
    <w:p w14:paraId="4D16C3B0" w14:textId="77777777" w:rsidR="00E34622" w:rsidRPr="009F3119" w:rsidRDefault="00E34622" w:rsidP="00E85FF3">
      <w:pPr>
        <w:tabs>
          <w:tab w:val="left" w:pos="426"/>
        </w:tabs>
        <w:spacing w:line="360" w:lineRule="auto"/>
        <w:jc w:val="both"/>
        <w:rPr>
          <w:rFonts w:ascii="Palatino Linotype" w:hAnsi="Palatino Linotype"/>
          <w:color w:val="000000" w:themeColor="text1"/>
          <w:szCs w:val="22"/>
        </w:rPr>
      </w:pPr>
    </w:p>
    <w:p w14:paraId="3F0AFD31" w14:textId="65D61AA6" w:rsidR="005C7898" w:rsidRPr="009F3119"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F3119">
        <w:rPr>
          <w:rFonts w:ascii="Palatino Linotype" w:eastAsia="Calibri" w:hAnsi="Palatino Linotype" w:cs="Arial"/>
          <w:color w:val="000000" w:themeColor="text1"/>
          <w:lang w:val="es-ES"/>
        </w:rPr>
        <w:t xml:space="preserve">Se </w:t>
      </w:r>
      <w:r w:rsidR="00F25B61" w:rsidRPr="009F3119">
        <w:rPr>
          <w:rFonts w:ascii="Palatino Linotype" w:eastAsia="Times New Roman" w:hAnsi="Palatino Linotype" w:cs="Arial"/>
          <w:color w:val="000000" w:themeColor="text1"/>
          <w:lang w:val="es-ES"/>
        </w:rPr>
        <w:t>registró</w:t>
      </w:r>
      <w:r w:rsidRPr="009F3119">
        <w:rPr>
          <w:rFonts w:ascii="Palatino Linotype" w:eastAsia="Times New Roman" w:hAnsi="Palatino Linotype" w:cs="Arial"/>
          <w:color w:val="000000" w:themeColor="text1"/>
          <w:lang w:val="es-ES"/>
        </w:rPr>
        <w:t xml:space="preserve"> </w:t>
      </w:r>
      <w:r w:rsidR="00F25B61" w:rsidRPr="009F3119">
        <w:rPr>
          <w:rFonts w:ascii="Palatino Linotype" w:eastAsia="Times New Roman" w:hAnsi="Palatino Linotype" w:cs="Arial"/>
          <w:color w:val="000000" w:themeColor="text1"/>
          <w:lang w:val="es-ES"/>
        </w:rPr>
        <w:t>el</w:t>
      </w:r>
      <w:r w:rsidRPr="009F3119">
        <w:rPr>
          <w:rFonts w:ascii="Palatino Linotype" w:eastAsia="Times New Roman" w:hAnsi="Palatino Linotype" w:cs="Arial"/>
          <w:color w:val="000000" w:themeColor="text1"/>
          <w:lang w:val="es-ES"/>
        </w:rPr>
        <w:t xml:space="preserve"> recurso de revisión bajo </w:t>
      </w:r>
      <w:r w:rsidR="00F25B61" w:rsidRPr="009F3119">
        <w:rPr>
          <w:rFonts w:ascii="Palatino Linotype" w:eastAsia="Times New Roman" w:hAnsi="Palatino Linotype" w:cs="Arial"/>
          <w:color w:val="000000" w:themeColor="text1"/>
          <w:lang w:val="es-ES"/>
        </w:rPr>
        <w:t>el</w:t>
      </w:r>
      <w:r w:rsidRPr="009F3119">
        <w:rPr>
          <w:rFonts w:ascii="Palatino Linotype" w:eastAsia="Times New Roman" w:hAnsi="Palatino Linotype" w:cs="Arial"/>
          <w:color w:val="000000" w:themeColor="text1"/>
          <w:lang w:val="es-ES"/>
        </w:rPr>
        <w:t xml:space="preserve"> número de expediente </w:t>
      </w:r>
      <w:r w:rsidR="0085795E" w:rsidRPr="009F3119">
        <w:rPr>
          <w:rFonts w:ascii="Palatino Linotype" w:eastAsia="Times New Roman" w:hAnsi="Palatino Linotype" w:cs="Arial"/>
          <w:b/>
          <w:color w:val="000000" w:themeColor="text1"/>
          <w:lang w:val="es-ES"/>
        </w:rPr>
        <w:t>07003/INFOEM/IP/RR/2022</w:t>
      </w:r>
      <w:r w:rsidRPr="009F3119">
        <w:rPr>
          <w:rFonts w:ascii="Palatino Linotype" w:hAnsi="Palatino Linotype" w:cs="Arial"/>
          <w:bCs/>
          <w:color w:val="000000" w:themeColor="text1"/>
        </w:rPr>
        <w:t xml:space="preserve">; asimismo, con fundamento en lo dispuesto por el </w:t>
      </w:r>
      <w:r w:rsidRPr="009F3119">
        <w:rPr>
          <w:rFonts w:ascii="Palatino Linotype" w:eastAsia="Calibri" w:hAnsi="Palatino Linotype" w:cs="Arial"/>
          <w:bCs/>
          <w:color w:val="000000" w:themeColor="text1"/>
          <w:lang w:val="es-ES"/>
        </w:rPr>
        <w:t>artículo 185</w:t>
      </w:r>
      <w:r w:rsidR="00AE1CCB" w:rsidRPr="009F3119">
        <w:rPr>
          <w:rFonts w:ascii="Palatino Linotype" w:eastAsia="Calibri" w:hAnsi="Palatino Linotype" w:cs="Arial"/>
          <w:bCs/>
          <w:color w:val="000000" w:themeColor="text1"/>
          <w:lang w:val="es-ES"/>
        </w:rPr>
        <w:t>,</w:t>
      </w:r>
      <w:r w:rsidRPr="009F3119">
        <w:rPr>
          <w:rFonts w:ascii="Palatino Linotype" w:eastAsia="Calibri" w:hAnsi="Palatino Linotype" w:cs="Arial"/>
          <w:bCs/>
          <w:color w:val="000000" w:themeColor="text1"/>
          <w:lang w:val="es-ES"/>
        </w:rPr>
        <w:t xml:space="preserve"> fracción I</w:t>
      </w:r>
      <w:r w:rsidR="00AE1CCB" w:rsidRPr="009F3119">
        <w:rPr>
          <w:rFonts w:ascii="Palatino Linotype" w:eastAsia="Calibri" w:hAnsi="Palatino Linotype" w:cs="Arial"/>
          <w:bCs/>
          <w:color w:val="000000" w:themeColor="text1"/>
          <w:lang w:val="es-ES"/>
        </w:rPr>
        <w:t>,</w:t>
      </w:r>
      <w:r w:rsidRPr="009F311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9F3119">
        <w:rPr>
          <w:rFonts w:ascii="Palatino Linotype" w:eastAsia="Times New Roman" w:hAnsi="Palatino Linotype" w:cs="Arial"/>
          <w:bCs/>
          <w:color w:val="000000" w:themeColor="text1"/>
          <w:lang w:val="es-ES"/>
        </w:rPr>
        <w:t xml:space="preserve">se </w:t>
      </w:r>
      <w:r w:rsidR="00F25B61" w:rsidRPr="009F3119">
        <w:rPr>
          <w:rFonts w:ascii="Palatino Linotype" w:eastAsia="Times New Roman" w:hAnsi="Palatino Linotype" w:cs="Arial"/>
          <w:bCs/>
          <w:color w:val="000000" w:themeColor="text1"/>
          <w:lang w:val="es-ES"/>
        </w:rPr>
        <w:t>turnó</w:t>
      </w:r>
      <w:r w:rsidRPr="009F3119">
        <w:rPr>
          <w:rFonts w:ascii="Palatino Linotype" w:eastAsia="Times New Roman" w:hAnsi="Palatino Linotype" w:cs="Arial"/>
          <w:bCs/>
          <w:color w:val="000000" w:themeColor="text1"/>
          <w:lang w:val="es-ES"/>
        </w:rPr>
        <w:t xml:space="preserve"> a l</w:t>
      </w:r>
      <w:r w:rsidR="00F25B61" w:rsidRPr="009F3119">
        <w:rPr>
          <w:rFonts w:ascii="Palatino Linotype" w:eastAsia="Times New Roman" w:hAnsi="Palatino Linotype" w:cs="Arial"/>
          <w:bCs/>
          <w:color w:val="000000" w:themeColor="text1"/>
          <w:lang w:val="es-ES"/>
        </w:rPr>
        <w:t>a</w:t>
      </w:r>
      <w:r w:rsidRPr="009F3119">
        <w:rPr>
          <w:rFonts w:ascii="Palatino Linotype" w:eastAsia="Times New Roman" w:hAnsi="Palatino Linotype" w:cs="Arial"/>
          <w:bCs/>
          <w:color w:val="000000" w:themeColor="text1"/>
          <w:lang w:val="es-ES"/>
        </w:rPr>
        <w:t xml:space="preserve"> </w:t>
      </w:r>
      <w:r w:rsidRPr="009F3119">
        <w:rPr>
          <w:rFonts w:ascii="Palatino Linotype" w:eastAsia="Times New Roman" w:hAnsi="Palatino Linotype" w:cs="Arial"/>
          <w:b/>
          <w:bCs/>
          <w:color w:val="000000" w:themeColor="text1"/>
          <w:lang w:val="es-ES"/>
        </w:rPr>
        <w:t>Comisionad</w:t>
      </w:r>
      <w:r w:rsidR="00F25B61" w:rsidRPr="009F3119">
        <w:rPr>
          <w:rFonts w:ascii="Palatino Linotype" w:eastAsia="Times New Roman" w:hAnsi="Palatino Linotype" w:cs="Arial"/>
          <w:b/>
          <w:bCs/>
          <w:color w:val="000000" w:themeColor="text1"/>
          <w:lang w:val="es-ES"/>
        </w:rPr>
        <w:t>a</w:t>
      </w:r>
      <w:r w:rsidRPr="009F3119">
        <w:rPr>
          <w:rFonts w:ascii="Palatino Linotype" w:eastAsia="Times New Roman" w:hAnsi="Palatino Linotype" w:cs="Arial"/>
          <w:b/>
          <w:bCs/>
          <w:color w:val="000000" w:themeColor="text1"/>
          <w:lang w:val="es-ES"/>
        </w:rPr>
        <w:t xml:space="preserve"> María del Rosario Mejía Ayala</w:t>
      </w:r>
      <w:r w:rsidR="00F25B61" w:rsidRPr="009F3119">
        <w:rPr>
          <w:rFonts w:ascii="Palatino Linotype" w:eastAsia="Times New Roman" w:hAnsi="Palatino Linotype" w:cs="Arial"/>
          <w:bCs/>
          <w:color w:val="000000" w:themeColor="text1"/>
          <w:lang w:val="es-ES"/>
        </w:rPr>
        <w:t>,</w:t>
      </w:r>
      <w:r w:rsidRPr="009F3119">
        <w:rPr>
          <w:rFonts w:ascii="Palatino Linotype" w:eastAsia="Times New Roman" w:hAnsi="Palatino Linotype" w:cs="Arial"/>
          <w:bCs/>
          <w:color w:val="000000" w:themeColor="text1"/>
          <w:lang w:val="es-ES"/>
        </w:rPr>
        <w:t xml:space="preserve"> con el objeto de </w:t>
      </w:r>
      <w:r w:rsidRPr="009F3119">
        <w:rPr>
          <w:rFonts w:ascii="Palatino Linotype" w:eastAsia="Times New Roman" w:hAnsi="Palatino Linotype" w:cs="Arial"/>
          <w:bCs/>
          <w:color w:val="000000" w:themeColor="text1"/>
        </w:rPr>
        <w:t>su análisis.</w:t>
      </w:r>
    </w:p>
    <w:p w14:paraId="23A01433" w14:textId="77777777" w:rsidR="005C7898" w:rsidRPr="009F3119"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333AA22" w:rsidR="00473F11" w:rsidRPr="009F3119"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sidRPr="009F3119">
        <w:rPr>
          <w:rFonts w:ascii="Palatino Linotype" w:eastAsia="Times New Roman" w:hAnsi="Palatino Linotype" w:cs="Arial"/>
          <w:color w:val="000000" w:themeColor="text1"/>
          <w:lang w:val="es-ES"/>
        </w:rPr>
        <w:t>La Comisionada Ponente</w:t>
      </w:r>
      <w:r w:rsidR="00473F11" w:rsidRPr="009F3119">
        <w:rPr>
          <w:rFonts w:ascii="Palatino Linotype" w:eastAsia="Calibri" w:hAnsi="Palatino Linotype" w:cs="Arial"/>
          <w:color w:val="000000" w:themeColor="text1"/>
          <w:lang w:val="es-ES"/>
        </w:rPr>
        <w:t>, con fundamento en lo dispuesto por el artículo 185</w:t>
      </w:r>
      <w:r w:rsidR="00F638B9" w:rsidRPr="009F3119">
        <w:rPr>
          <w:rFonts w:ascii="Palatino Linotype" w:eastAsia="Calibri" w:hAnsi="Palatino Linotype" w:cs="Arial"/>
          <w:color w:val="000000" w:themeColor="text1"/>
          <w:lang w:val="es-ES"/>
        </w:rPr>
        <w:t>,</w:t>
      </w:r>
      <w:r w:rsidR="00473F11" w:rsidRPr="009F3119">
        <w:rPr>
          <w:rFonts w:ascii="Palatino Linotype" w:eastAsia="Calibri" w:hAnsi="Palatino Linotype" w:cs="Arial"/>
          <w:color w:val="000000" w:themeColor="text1"/>
          <w:lang w:val="es-ES"/>
        </w:rPr>
        <w:t xml:space="preserve"> fracción II</w:t>
      </w:r>
      <w:r w:rsidR="00F638B9" w:rsidRPr="009F3119">
        <w:rPr>
          <w:rFonts w:ascii="Palatino Linotype" w:eastAsia="Calibri" w:hAnsi="Palatino Linotype" w:cs="Arial"/>
          <w:color w:val="000000" w:themeColor="text1"/>
          <w:lang w:val="es-ES"/>
        </w:rPr>
        <w:t>,</w:t>
      </w:r>
      <w:r w:rsidR="00473F11" w:rsidRPr="009F3119">
        <w:rPr>
          <w:rFonts w:ascii="Palatino Linotype" w:eastAsia="Calibri" w:hAnsi="Palatino Linotype" w:cs="Arial"/>
          <w:color w:val="000000" w:themeColor="text1"/>
          <w:lang w:val="es-ES"/>
        </w:rPr>
        <w:t xml:space="preserve"> de la </w:t>
      </w:r>
      <w:r w:rsidRPr="009F3119">
        <w:rPr>
          <w:rFonts w:ascii="Palatino Linotype" w:eastAsia="Calibri" w:hAnsi="Palatino Linotype" w:cs="Arial"/>
          <w:color w:val="000000" w:themeColor="text1"/>
          <w:lang w:val="es-ES"/>
        </w:rPr>
        <w:t xml:space="preserve">Ley </w:t>
      </w:r>
      <w:r w:rsidR="00473F11" w:rsidRPr="009F3119">
        <w:rPr>
          <w:rFonts w:ascii="Palatino Linotype" w:eastAsia="Calibri" w:hAnsi="Palatino Linotype" w:cs="Arial"/>
          <w:color w:val="000000" w:themeColor="text1"/>
          <w:lang w:val="es-ES"/>
        </w:rPr>
        <w:t>de la materia, a través del acuerdo de admisión de</w:t>
      </w:r>
      <w:r w:rsidR="007E5A30" w:rsidRPr="009F3119">
        <w:rPr>
          <w:rFonts w:ascii="Palatino Linotype" w:eastAsia="Calibri" w:hAnsi="Palatino Linotype" w:cs="Arial"/>
          <w:color w:val="000000" w:themeColor="text1"/>
          <w:lang w:val="es-ES"/>
        </w:rPr>
        <w:t xml:space="preserve"> </w:t>
      </w:r>
      <w:r w:rsidR="0085795E" w:rsidRPr="009F3119">
        <w:rPr>
          <w:rFonts w:ascii="Palatino Linotype" w:eastAsia="Calibri" w:hAnsi="Palatino Linotype" w:cs="Arial"/>
          <w:color w:val="000000" w:themeColor="text1"/>
          <w:lang w:val="es-ES"/>
        </w:rPr>
        <w:t>once (11</w:t>
      </w:r>
      <w:r w:rsidR="00CF24AD" w:rsidRPr="009F3119">
        <w:rPr>
          <w:rFonts w:ascii="Palatino Linotype" w:eastAsia="Calibri" w:hAnsi="Palatino Linotype" w:cs="Arial"/>
          <w:color w:val="000000" w:themeColor="text1"/>
          <w:lang w:val="es-ES"/>
        </w:rPr>
        <w:t>) de mayo</w:t>
      </w:r>
      <w:r w:rsidR="00AE1CCB" w:rsidRPr="009F3119">
        <w:rPr>
          <w:rFonts w:ascii="Palatino Linotype" w:eastAsia="Calibri" w:hAnsi="Palatino Linotype" w:cs="Arial"/>
          <w:color w:val="000000" w:themeColor="text1"/>
          <w:lang w:val="es-ES"/>
        </w:rPr>
        <w:t xml:space="preserve"> de dos mil veintidós</w:t>
      </w:r>
      <w:r w:rsidR="00473F11" w:rsidRPr="009F3119">
        <w:rPr>
          <w:rFonts w:ascii="Palatino Linotype" w:eastAsia="Calibri" w:hAnsi="Palatino Linotype" w:cs="Arial"/>
          <w:color w:val="000000" w:themeColor="text1"/>
          <w:lang w:val="es-ES"/>
        </w:rPr>
        <w:t xml:space="preserve">, </w:t>
      </w:r>
      <w:r w:rsidRPr="009F3119">
        <w:rPr>
          <w:rFonts w:ascii="Palatino Linotype" w:eastAsia="Calibri" w:hAnsi="Palatino Linotype" w:cs="Arial"/>
          <w:color w:val="000000" w:themeColor="text1"/>
          <w:lang w:val="es-ES"/>
        </w:rPr>
        <w:t>puso</w:t>
      </w:r>
      <w:r w:rsidR="00473F11" w:rsidRPr="009F3119">
        <w:rPr>
          <w:rFonts w:ascii="Palatino Linotype" w:eastAsia="Calibri" w:hAnsi="Palatino Linotype" w:cs="Arial"/>
          <w:color w:val="000000" w:themeColor="text1"/>
          <w:lang w:val="es-ES"/>
        </w:rPr>
        <w:t xml:space="preserve"> a disposición de las partes </w:t>
      </w:r>
      <w:r w:rsidRPr="009F3119">
        <w:rPr>
          <w:rFonts w:ascii="Palatino Linotype" w:eastAsia="Calibri" w:hAnsi="Palatino Linotype" w:cs="Arial"/>
          <w:color w:val="000000" w:themeColor="text1"/>
          <w:lang w:val="es-ES"/>
        </w:rPr>
        <w:t>el expediente electrónico</w:t>
      </w:r>
      <w:r w:rsidR="00473F11" w:rsidRPr="009F3119">
        <w:rPr>
          <w:rFonts w:ascii="Palatino Linotype" w:eastAsia="Calibri" w:hAnsi="Palatino Linotype" w:cs="Arial"/>
          <w:color w:val="000000" w:themeColor="text1"/>
          <w:lang w:val="es-ES"/>
        </w:rPr>
        <w:t xml:space="preserve"> </w:t>
      </w:r>
      <w:r w:rsidR="00473F11" w:rsidRPr="009F3119">
        <w:rPr>
          <w:rFonts w:ascii="Palatino Linotype" w:eastAsia="Calibri" w:hAnsi="Palatino Linotype" w:cs="Arial"/>
          <w:color w:val="000000" w:themeColor="text1"/>
        </w:rPr>
        <w:t xml:space="preserve">vía </w:t>
      </w:r>
      <w:r w:rsidR="00E85FF3" w:rsidRPr="009F3119">
        <w:rPr>
          <w:rFonts w:ascii="Palatino Linotype" w:eastAsia="Calibri" w:hAnsi="Palatino Linotype" w:cs="Arial"/>
          <w:color w:val="000000" w:themeColor="text1"/>
          <w:lang w:val="es-ES"/>
        </w:rPr>
        <w:t xml:space="preserve">SAIMEX, </w:t>
      </w:r>
      <w:r w:rsidR="00473F11" w:rsidRPr="009F3119">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9F3119">
        <w:rPr>
          <w:rFonts w:ascii="Palatino Linotype" w:eastAsia="Calibri" w:hAnsi="Palatino Linotype" w:cs="Arial"/>
          <w:b/>
          <w:color w:val="000000" w:themeColor="text1"/>
          <w:lang w:val="es-ES"/>
        </w:rPr>
        <w:t>SUJETO OBLIGADO</w:t>
      </w:r>
      <w:r w:rsidR="00473F11" w:rsidRPr="009F3119">
        <w:rPr>
          <w:rFonts w:ascii="Palatino Linotype" w:eastAsia="Calibri" w:hAnsi="Palatino Linotype" w:cs="Arial"/>
          <w:color w:val="000000" w:themeColor="text1"/>
          <w:lang w:val="es-ES"/>
        </w:rPr>
        <w:t xml:space="preserve"> presentara los Informes Justificados procedentes</w:t>
      </w:r>
      <w:bookmarkEnd w:id="4"/>
      <w:r w:rsidR="00AE1CCB" w:rsidRPr="009F3119">
        <w:rPr>
          <w:rFonts w:ascii="Palatino Linotype" w:eastAsia="Calibri" w:hAnsi="Palatino Linotype" w:cs="Arial"/>
          <w:color w:val="000000" w:themeColor="text1"/>
          <w:lang w:val="es-ES"/>
        </w:rPr>
        <w:t>.</w:t>
      </w:r>
    </w:p>
    <w:p w14:paraId="095A11D4" w14:textId="77777777" w:rsidR="00AE1CCB" w:rsidRPr="009F3119"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9085A18" w14:textId="6954BFE1" w:rsidR="00AE1CCB" w:rsidRPr="009F3119" w:rsidRDefault="00CF24AD" w:rsidP="00CF24AD">
      <w:pPr>
        <w:pStyle w:val="Prrafodelista"/>
        <w:numPr>
          <w:ilvl w:val="0"/>
          <w:numId w:val="1"/>
        </w:numPr>
        <w:tabs>
          <w:tab w:val="left" w:pos="426"/>
        </w:tabs>
        <w:spacing w:line="360" w:lineRule="auto"/>
        <w:jc w:val="both"/>
        <w:rPr>
          <w:rFonts w:ascii="Palatino Linotype" w:hAnsi="Palatino Linotype"/>
          <w:color w:val="000000" w:themeColor="text1"/>
        </w:rPr>
      </w:pPr>
      <w:r w:rsidRPr="009F3119">
        <w:rPr>
          <w:rFonts w:ascii="Palatino Linotype" w:eastAsia="Calibri" w:hAnsi="Palatino Linotype" w:cs="Arial"/>
          <w:color w:val="000000" w:themeColor="text1"/>
          <w:lang w:val="es-ES"/>
        </w:rPr>
        <w:t xml:space="preserve">De </w:t>
      </w:r>
      <w:r w:rsidRPr="009F3119">
        <w:rPr>
          <w:rFonts w:ascii="Palatino Linotype" w:eastAsia="Calibri" w:hAnsi="Palatino Linotype" w:cs="Arial"/>
          <w:color w:val="000000" w:themeColor="text1"/>
        </w:rPr>
        <w:t xml:space="preserve">las constancias que obran en el expediente digital del recurso de revisión que hoy se resuelve, se aprecia que el </w:t>
      </w:r>
      <w:r w:rsidRPr="009F3119">
        <w:rPr>
          <w:rFonts w:ascii="Palatino Linotype" w:eastAsia="Calibri" w:hAnsi="Palatino Linotype" w:cs="Arial"/>
          <w:b/>
          <w:color w:val="000000" w:themeColor="text1"/>
        </w:rPr>
        <w:t>SUJETO OBLIGADO</w:t>
      </w:r>
      <w:r w:rsidRPr="009F3119">
        <w:rPr>
          <w:rFonts w:ascii="Palatino Linotype" w:eastAsia="Calibri" w:hAnsi="Palatino Linotype" w:cs="Arial"/>
          <w:color w:val="000000" w:themeColor="text1"/>
        </w:rPr>
        <w:t xml:space="preserve"> no rindió su informe justificado para manifestar lo que a su derecho conviniera; por su parte, </w:t>
      </w:r>
      <w:r w:rsidR="00103B71" w:rsidRPr="009F3119">
        <w:rPr>
          <w:rFonts w:ascii="Palatino Linotype" w:eastAsia="Calibri" w:hAnsi="Palatino Linotype" w:cs="Arial"/>
          <w:color w:val="000000" w:themeColor="text1"/>
        </w:rPr>
        <w:t>el</w:t>
      </w:r>
      <w:r w:rsidRPr="009F3119">
        <w:rPr>
          <w:rFonts w:ascii="Palatino Linotype" w:eastAsia="Calibri" w:hAnsi="Palatino Linotype" w:cs="Arial"/>
          <w:color w:val="000000" w:themeColor="text1"/>
        </w:rPr>
        <w:t xml:space="preserve"> </w:t>
      </w:r>
      <w:r w:rsidRPr="009F3119">
        <w:rPr>
          <w:rFonts w:ascii="Palatino Linotype" w:eastAsia="Calibri" w:hAnsi="Palatino Linotype" w:cs="Arial"/>
          <w:b/>
          <w:color w:val="000000" w:themeColor="text1"/>
        </w:rPr>
        <w:t>RECURRENTE</w:t>
      </w:r>
      <w:r w:rsidRPr="009F3119">
        <w:rPr>
          <w:rFonts w:ascii="Palatino Linotype" w:eastAsia="Calibri" w:hAnsi="Palatino Linotype" w:cs="Arial"/>
          <w:color w:val="000000" w:themeColor="text1"/>
        </w:rPr>
        <w:t xml:space="preserve"> no presentó alegatos u ofreció medios de prueba. Se adjunta la captura de imagen del apartado de </w:t>
      </w:r>
      <w:r w:rsidRPr="009F3119">
        <w:rPr>
          <w:rFonts w:ascii="Palatino Linotype" w:eastAsia="Calibri" w:hAnsi="Palatino Linotype" w:cs="Arial"/>
          <w:i/>
          <w:color w:val="000000" w:themeColor="text1"/>
        </w:rPr>
        <w:t>Manifestaciones</w:t>
      </w:r>
      <w:r w:rsidRPr="009F3119">
        <w:rPr>
          <w:rFonts w:ascii="Palatino Linotype" w:eastAsia="Calibri" w:hAnsi="Palatino Linotype" w:cs="Arial"/>
          <w:color w:val="000000" w:themeColor="text1"/>
        </w:rPr>
        <w:t xml:space="preserve"> del SAIMEX a modo de referencia:</w:t>
      </w:r>
    </w:p>
    <w:p w14:paraId="7B7C436C" w14:textId="516A5AF8" w:rsidR="00CF24AD" w:rsidRPr="009F3119" w:rsidRDefault="00CF24AD" w:rsidP="00CF24AD">
      <w:pPr>
        <w:pStyle w:val="Prrafodelista"/>
        <w:tabs>
          <w:tab w:val="left" w:pos="426"/>
        </w:tabs>
        <w:spacing w:line="360" w:lineRule="auto"/>
        <w:ind w:left="0"/>
        <w:jc w:val="both"/>
        <w:rPr>
          <w:rFonts w:ascii="Palatino Linotype" w:hAnsi="Palatino Linotype"/>
          <w:color w:val="000000" w:themeColor="text1"/>
        </w:rPr>
      </w:pPr>
    </w:p>
    <w:p w14:paraId="7830C787" w14:textId="4BDF3F0A" w:rsidR="00CF24AD" w:rsidRPr="009F3119" w:rsidRDefault="0085795E" w:rsidP="00CF24AD">
      <w:pPr>
        <w:pStyle w:val="Prrafodelista"/>
        <w:tabs>
          <w:tab w:val="left" w:pos="426"/>
        </w:tabs>
        <w:spacing w:line="360" w:lineRule="auto"/>
        <w:ind w:left="0"/>
        <w:jc w:val="center"/>
        <w:rPr>
          <w:rFonts w:ascii="Palatino Linotype" w:hAnsi="Palatino Linotype"/>
          <w:color w:val="000000" w:themeColor="text1"/>
        </w:rPr>
      </w:pPr>
      <w:r w:rsidRPr="009F3119">
        <w:object w:dxaOrig="14850" w:dyaOrig="3510" w14:anchorId="2352E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35pt;height:91.6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21741049" r:id="rId9"/>
        </w:object>
      </w:r>
    </w:p>
    <w:p w14:paraId="3F8F2BB8" w14:textId="77777777" w:rsidR="00CF24AD" w:rsidRPr="009F3119" w:rsidRDefault="00CF24AD" w:rsidP="00CF24AD">
      <w:pPr>
        <w:pStyle w:val="Prrafodelista"/>
        <w:tabs>
          <w:tab w:val="left" w:pos="426"/>
        </w:tabs>
        <w:spacing w:line="360" w:lineRule="auto"/>
        <w:ind w:left="0"/>
        <w:jc w:val="both"/>
        <w:rPr>
          <w:rFonts w:ascii="Palatino Linotype" w:hAnsi="Palatino Linotype"/>
          <w:color w:val="000000" w:themeColor="text1"/>
        </w:rPr>
      </w:pPr>
    </w:p>
    <w:p w14:paraId="68B04BD4" w14:textId="590291DA" w:rsidR="00F638B9" w:rsidRPr="009F3119" w:rsidRDefault="00F638B9"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5" w:name="_Toc461555889"/>
      <w:bookmarkStart w:id="6" w:name="_Toc466371858"/>
      <w:r w:rsidRPr="009F3119">
        <w:rPr>
          <w:rFonts w:ascii="Palatino Linotype" w:eastAsia="Times New Roman" w:hAnsi="Palatino Linotype" w:cs="Arial"/>
          <w:color w:val="000000" w:themeColor="text1"/>
        </w:rPr>
        <w:t>E</w:t>
      </w:r>
      <w:r w:rsidR="001E0672" w:rsidRPr="009F3119">
        <w:rPr>
          <w:rFonts w:ascii="Palatino Linotype" w:eastAsia="Times New Roman" w:hAnsi="Palatino Linotype" w:cs="Arial"/>
          <w:color w:val="000000" w:themeColor="text1"/>
        </w:rPr>
        <w:t xml:space="preserve">l </w:t>
      </w:r>
      <w:r w:rsidR="0085795E" w:rsidRPr="009F3119">
        <w:rPr>
          <w:rFonts w:ascii="Palatino Linotype" w:eastAsia="Times New Roman" w:hAnsi="Palatino Linotype" w:cs="Arial"/>
          <w:color w:val="000000" w:themeColor="text1"/>
        </w:rPr>
        <w:t>treinta (30</w:t>
      </w:r>
      <w:r w:rsidR="00103B71" w:rsidRPr="009F3119">
        <w:rPr>
          <w:rFonts w:ascii="Palatino Linotype" w:eastAsia="Times New Roman" w:hAnsi="Palatino Linotype" w:cs="Arial"/>
          <w:color w:val="000000" w:themeColor="text1"/>
        </w:rPr>
        <w:t>) de junio</w:t>
      </w:r>
      <w:r w:rsidR="00AE1CCB" w:rsidRPr="009F3119">
        <w:rPr>
          <w:rFonts w:ascii="Palatino Linotype" w:eastAsia="Times New Roman" w:hAnsi="Palatino Linotype" w:cs="Arial"/>
          <w:color w:val="000000" w:themeColor="text1"/>
        </w:rPr>
        <w:t xml:space="preserve"> de dos mil veintidós</w:t>
      </w:r>
      <w:r w:rsidR="001E0672" w:rsidRPr="009F3119">
        <w:rPr>
          <w:rFonts w:ascii="Palatino Linotype" w:eastAsia="Times New Roman" w:hAnsi="Palatino Linotype" w:cs="Arial"/>
          <w:color w:val="000000" w:themeColor="text1"/>
        </w:rPr>
        <w:t xml:space="preserve">, </w:t>
      </w:r>
      <w:r w:rsidR="00AE1CCB" w:rsidRPr="009F3119">
        <w:rPr>
          <w:rFonts w:ascii="Palatino Linotype" w:hAnsi="Palatino Linotype" w:cs="Arial"/>
          <w:color w:val="000000" w:themeColor="text1"/>
        </w:rPr>
        <w:t xml:space="preserve">la Comisionada Ponente decretó el cierre del periodo de instrucción, por lo que ordenó turnar </w:t>
      </w:r>
      <w:r w:rsidR="008A7F1F" w:rsidRPr="009F3119">
        <w:rPr>
          <w:rFonts w:ascii="Palatino Linotype" w:hAnsi="Palatino Linotype" w:cs="Arial"/>
          <w:color w:val="000000" w:themeColor="text1"/>
        </w:rPr>
        <w:t>el expediente</w:t>
      </w:r>
      <w:r w:rsidR="004D5BA4" w:rsidRPr="009F3119">
        <w:rPr>
          <w:rFonts w:ascii="Palatino Linotype" w:hAnsi="Palatino Linotype" w:cs="Arial"/>
          <w:color w:val="000000" w:themeColor="text1"/>
        </w:rPr>
        <w:t xml:space="preserve"> </w:t>
      </w:r>
      <w:r w:rsidR="00AE1CCB" w:rsidRPr="009F3119">
        <w:rPr>
          <w:rFonts w:ascii="Palatino Linotype" w:hAnsi="Palatino Linotype" w:cs="Arial"/>
          <w:color w:val="000000" w:themeColor="text1"/>
        </w:rPr>
        <w:t>para su resolución, misma que ahora se pronuncia</w:t>
      </w:r>
      <w:r w:rsidR="00103B71" w:rsidRPr="009F3119">
        <w:rPr>
          <w:rFonts w:ascii="Palatino Linotype" w:hAnsi="Palatino Linotype" w:cs="Arial"/>
          <w:color w:val="000000" w:themeColor="text1"/>
        </w:rPr>
        <w:t xml:space="preserve">; y, en misma fecha, </w:t>
      </w:r>
      <w:r w:rsidRPr="009F3119">
        <w:rPr>
          <w:rFonts w:ascii="Palatino Linotype" w:hAnsi="Palatino Linotype" w:cs="Arial"/>
          <w:color w:val="000000" w:themeColor="text1"/>
          <w:lang w:val="es-ES"/>
        </w:rPr>
        <w:t>con fundamento en el artículo 181</w:t>
      </w:r>
      <w:r w:rsidR="00802B28" w:rsidRPr="009F3119">
        <w:rPr>
          <w:rFonts w:ascii="Palatino Linotype" w:hAnsi="Palatino Linotype" w:cs="Arial"/>
          <w:color w:val="000000" w:themeColor="text1"/>
          <w:lang w:val="es-ES"/>
        </w:rPr>
        <w:t>,</w:t>
      </w:r>
      <w:r w:rsidRPr="009F3119">
        <w:rPr>
          <w:rFonts w:ascii="Palatino Linotype" w:hAnsi="Palatino Linotype" w:cs="Arial"/>
          <w:color w:val="000000" w:themeColor="text1"/>
          <w:lang w:val="es-ES"/>
        </w:rPr>
        <w:t xml:space="preserve"> tercer párrafo</w:t>
      </w:r>
      <w:r w:rsidR="00802B28" w:rsidRPr="009F3119">
        <w:rPr>
          <w:rFonts w:ascii="Palatino Linotype" w:hAnsi="Palatino Linotype" w:cs="Arial"/>
          <w:color w:val="000000" w:themeColor="text1"/>
          <w:lang w:val="es-ES"/>
        </w:rPr>
        <w:t>,</w:t>
      </w:r>
      <w:r w:rsidRPr="009F3119">
        <w:rPr>
          <w:rFonts w:ascii="Palatino Linotype" w:hAnsi="Palatino Linotype" w:cs="Arial"/>
          <w:color w:val="000000" w:themeColor="text1"/>
          <w:lang w:val="es-ES"/>
        </w:rPr>
        <w:t xml:space="preserve"> de la Ley de Transparencia y Acceso a la Información Pública del Estado de México y Municipios</w:t>
      </w:r>
      <w:r w:rsidRPr="009F3119">
        <w:rPr>
          <w:rFonts w:ascii="Palatino Linotype" w:hAnsi="Palatino Linotype" w:cs="Arial"/>
          <w:bCs/>
          <w:color w:val="000000" w:themeColor="text1"/>
          <w:lang w:val="es-ES"/>
        </w:rPr>
        <w:t xml:space="preserve"> </w:t>
      </w:r>
      <w:r w:rsidRPr="009F3119">
        <w:rPr>
          <w:rFonts w:ascii="Palatino Linotype" w:hAnsi="Palatino Linotype" w:cs="Arial"/>
          <w:color w:val="000000" w:themeColor="text1"/>
          <w:lang w:val="es-ES"/>
        </w:rPr>
        <w:t xml:space="preserve">se notificó que el plazo de treinta (30) días para resolver </w:t>
      </w:r>
      <w:r w:rsidR="008A7F1F" w:rsidRPr="009F3119">
        <w:rPr>
          <w:rFonts w:ascii="Palatino Linotype" w:hAnsi="Palatino Linotype" w:cs="Arial"/>
          <w:color w:val="000000" w:themeColor="text1"/>
          <w:lang w:val="es-ES"/>
        </w:rPr>
        <w:t>el</w:t>
      </w:r>
      <w:r w:rsidRPr="009F3119">
        <w:rPr>
          <w:rFonts w:ascii="Palatino Linotype" w:hAnsi="Palatino Linotype" w:cs="Arial"/>
          <w:color w:val="000000" w:themeColor="text1"/>
          <w:lang w:val="es-ES"/>
        </w:rPr>
        <w:t xml:space="preserve"> recurso de revisión sería ampliado por un periodo de </w:t>
      </w:r>
      <w:r w:rsidR="008A7F1F" w:rsidRPr="009F3119">
        <w:rPr>
          <w:rFonts w:ascii="Palatino Linotype" w:hAnsi="Palatino Linotype" w:cs="Arial"/>
          <w:color w:val="000000" w:themeColor="text1"/>
          <w:lang w:val="es-ES"/>
        </w:rPr>
        <w:t>15</w:t>
      </w:r>
      <w:r w:rsidRPr="009F3119">
        <w:rPr>
          <w:rFonts w:ascii="Palatino Linotype" w:hAnsi="Palatino Linotype" w:cs="Arial"/>
          <w:color w:val="000000" w:themeColor="text1"/>
          <w:lang w:val="es-ES"/>
        </w:rPr>
        <w:t xml:space="preserve"> días hábiles adicionales; y -----------------------</w:t>
      </w:r>
      <w:r w:rsidR="00802B28" w:rsidRPr="009F3119">
        <w:rPr>
          <w:rFonts w:ascii="Palatino Linotype" w:hAnsi="Palatino Linotype" w:cs="Arial"/>
          <w:color w:val="000000" w:themeColor="text1"/>
          <w:lang w:val="es-ES"/>
        </w:rPr>
        <w:t>------------</w:t>
      </w:r>
      <w:r w:rsidR="004D5BA4" w:rsidRPr="009F3119">
        <w:rPr>
          <w:rFonts w:ascii="Palatino Linotype" w:hAnsi="Palatino Linotype" w:cs="Arial"/>
          <w:color w:val="000000" w:themeColor="text1"/>
          <w:lang w:val="es-ES"/>
        </w:rPr>
        <w:t>----------</w:t>
      </w:r>
      <w:r w:rsidR="008A7F1F" w:rsidRPr="009F3119">
        <w:rPr>
          <w:rFonts w:ascii="Palatino Linotype" w:hAnsi="Palatino Linotype" w:cs="Arial"/>
          <w:color w:val="000000" w:themeColor="text1"/>
          <w:lang w:val="es-ES"/>
        </w:rPr>
        <w:t>------------------------------------</w:t>
      </w:r>
    </w:p>
    <w:p w14:paraId="1F1CC116" w14:textId="77777777" w:rsidR="008A74F2" w:rsidRPr="009F3119"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9F3119"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9F3119" w:rsidRDefault="007C0013" w:rsidP="00B31E90">
      <w:pPr>
        <w:pStyle w:val="Ttulo1"/>
        <w:spacing w:before="0"/>
        <w:jc w:val="center"/>
        <w:rPr>
          <w:b/>
          <w:color w:val="000000" w:themeColor="text1"/>
        </w:rPr>
      </w:pPr>
      <w:bookmarkStart w:id="7" w:name="_Toc88071777"/>
      <w:r w:rsidRPr="009F3119">
        <w:rPr>
          <w:b/>
          <w:color w:val="000000" w:themeColor="text1"/>
        </w:rPr>
        <w:t>CONSIDERANDO</w:t>
      </w:r>
      <w:bookmarkEnd w:id="5"/>
      <w:bookmarkEnd w:id="6"/>
      <w:bookmarkEnd w:id="7"/>
    </w:p>
    <w:p w14:paraId="435CF9A4" w14:textId="77777777" w:rsidR="00FC1DA7" w:rsidRPr="009F3119" w:rsidRDefault="00FC1DA7" w:rsidP="00B31E90">
      <w:pPr>
        <w:rPr>
          <w:color w:val="000000" w:themeColor="text1"/>
          <w:lang w:eastAsia="en-US"/>
        </w:rPr>
      </w:pPr>
    </w:p>
    <w:p w14:paraId="629A5BE2" w14:textId="1FC05436" w:rsidR="007C0013" w:rsidRPr="009F3119"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9F3119">
        <w:rPr>
          <w:rFonts w:ascii="Palatino Linotype" w:hAnsi="Palatino Linotype"/>
          <w:b/>
          <w:color w:val="000000" w:themeColor="text1"/>
          <w:sz w:val="24"/>
        </w:rPr>
        <w:t>PRIMERO. De la competencia</w:t>
      </w:r>
      <w:bookmarkEnd w:id="8"/>
      <w:bookmarkEnd w:id="9"/>
      <w:bookmarkEnd w:id="10"/>
    </w:p>
    <w:p w14:paraId="60FBD8C7" w14:textId="77777777" w:rsidR="00FC1DA7" w:rsidRPr="009F3119" w:rsidRDefault="00FC1DA7" w:rsidP="00B31E90">
      <w:pPr>
        <w:rPr>
          <w:rFonts w:ascii="Palatino Linotype" w:hAnsi="Palatino Linotype"/>
          <w:color w:val="000000" w:themeColor="text1"/>
          <w:lang w:eastAsia="en-US"/>
        </w:rPr>
      </w:pPr>
    </w:p>
    <w:p w14:paraId="0BF52B18" w14:textId="2D570B6F" w:rsidR="005A228F" w:rsidRPr="009F311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F3119">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F3119">
        <w:rPr>
          <w:rFonts w:ascii="Palatino Linotype" w:eastAsia="Calibri" w:hAnsi="Palatino Linotype" w:cs="Times New Roman"/>
          <w:color w:val="000000" w:themeColor="text1"/>
          <w:lang w:val="es-ES"/>
        </w:rPr>
        <w:t xml:space="preserve">etente para conocer y resolver </w:t>
      </w:r>
      <w:r w:rsidR="005C7898" w:rsidRPr="009F3119">
        <w:rPr>
          <w:rFonts w:ascii="Palatino Linotype" w:eastAsia="Calibri" w:hAnsi="Palatino Linotype" w:cs="Times New Roman"/>
          <w:color w:val="000000" w:themeColor="text1"/>
          <w:lang w:val="es-ES"/>
        </w:rPr>
        <w:t>los</w:t>
      </w:r>
      <w:r w:rsidRPr="009F3119">
        <w:rPr>
          <w:rFonts w:ascii="Palatino Linotype" w:eastAsia="Calibri" w:hAnsi="Palatino Linotype" w:cs="Times New Roman"/>
          <w:color w:val="000000" w:themeColor="text1"/>
          <w:lang w:val="es-ES"/>
        </w:rPr>
        <w:t xml:space="preserve"> presente</w:t>
      </w:r>
      <w:r w:rsidR="005C7898" w:rsidRPr="009F3119">
        <w:rPr>
          <w:rFonts w:ascii="Palatino Linotype" w:eastAsia="Calibri" w:hAnsi="Palatino Linotype" w:cs="Times New Roman"/>
          <w:color w:val="000000" w:themeColor="text1"/>
          <w:lang w:val="es-ES"/>
        </w:rPr>
        <w:t>s</w:t>
      </w:r>
      <w:r w:rsidRPr="009F3119">
        <w:rPr>
          <w:rFonts w:ascii="Palatino Linotype" w:eastAsia="Calibri" w:hAnsi="Palatino Linotype" w:cs="Times New Roman"/>
          <w:color w:val="000000" w:themeColor="text1"/>
          <w:lang w:val="es-ES"/>
        </w:rPr>
        <w:t xml:space="preserve"> recurso</w:t>
      </w:r>
      <w:r w:rsidR="005C7898" w:rsidRPr="009F3119">
        <w:rPr>
          <w:rFonts w:ascii="Palatino Linotype" w:eastAsia="Calibri" w:hAnsi="Palatino Linotype" w:cs="Times New Roman"/>
          <w:color w:val="000000" w:themeColor="text1"/>
          <w:lang w:val="es-ES"/>
        </w:rPr>
        <w:t>s</w:t>
      </w:r>
      <w:r w:rsidRPr="009F3119">
        <w:rPr>
          <w:rFonts w:ascii="Palatino Linotype" w:eastAsia="Calibri" w:hAnsi="Palatino Linotype" w:cs="Times New Roman"/>
          <w:color w:val="000000" w:themeColor="text1"/>
          <w:lang w:val="es-ES"/>
        </w:rPr>
        <w:t xml:space="preserve"> de conformidad con el artículo: 6, apartado A, fracción IV de la </w:t>
      </w:r>
      <w:r w:rsidRPr="009F3119">
        <w:rPr>
          <w:rFonts w:ascii="Palatino Linotype" w:eastAsia="Calibri" w:hAnsi="Palatino Linotype" w:cs="Times New Roman"/>
          <w:b/>
          <w:color w:val="000000" w:themeColor="text1"/>
          <w:lang w:val="es-ES"/>
        </w:rPr>
        <w:t>Constitución Política de los Estados Unidos Mexicanos</w:t>
      </w:r>
      <w:r w:rsidRPr="009F3119">
        <w:rPr>
          <w:rFonts w:ascii="Palatino Linotype" w:eastAsia="Calibri" w:hAnsi="Palatino Linotype" w:cs="Times New Roman"/>
          <w:color w:val="000000" w:themeColor="text1"/>
          <w:lang w:val="es-ES"/>
        </w:rPr>
        <w:t xml:space="preserve">; 5, párrafos </w:t>
      </w:r>
      <w:r w:rsidR="000B7C4F" w:rsidRPr="009F3119">
        <w:rPr>
          <w:rFonts w:ascii="Palatino Linotype" w:eastAsia="Calibri" w:hAnsi="Palatino Linotype" w:cs="Times New Roman"/>
          <w:color w:val="000000" w:themeColor="text1"/>
          <w:lang w:val="es-ES"/>
        </w:rPr>
        <w:t>trigésimo, trigésimo primero y trigésimo segundo</w:t>
      </w:r>
      <w:r w:rsidR="004F785F" w:rsidRPr="009F3119">
        <w:rPr>
          <w:rFonts w:ascii="Palatino Linotype" w:eastAsia="Calibri" w:hAnsi="Palatino Linotype" w:cs="Times New Roman"/>
          <w:color w:val="000000" w:themeColor="text1"/>
          <w:lang w:val="es-ES"/>
        </w:rPr>
        <w:t>,</w:t>
      </w:r>
      <w:r w:rsidRPr="009F3119">
        <w:rPr>
          <w:rFonts w:ascii="Palatino Linotype" w:eastAsia="Calibri" w:hAnsi="Palatino Linotype" w:cs="Times New Roman"/>
          <w:color w:val="000000" w:themeColor="text1"/>
          <w:lang w:val="es-ES"/>
        </w:rPr>
        <w:t xml:space="preserve"> fracciones IV y V</w:t>
      </w:r>
      <w:r w:rsidR="004F785F" w:rsidRPr="009F3119">
        <w:rPr>
          <w:rFonts w:ascii="Palatino Linotype" w:eastAsia="Calibri" w:hAnsi="Palatino Linotype" w:cs="Times New Roman"/>
          <w:color w:val="000000" w:themeColor="text1"/>
          <w:lang w:val="es-ES"/>
        </w:rPr>
        <w:t>,</w:t>
      </w:r>
      <w:r w:rsidRPr="009F3119">
        <w:rPr>
          <w:rFonts w:ascii="Palatino Linotype" w:eastAsia="Calibri" w:hAnsi="Palatino Linotype" w:cs="Times New Roman"/>
          <w:color w:val="000000" w:themeColor="text1"/>
          <w:lang w:val="es-ES"/>
        </w:rPr>
        <w:t xml:space="preserve"> de la </w:t>
      </w:r>
      <w:r w:rsidRPr="009F3119">
        <w:rPr>
          <w:rFonts w:ascii="Palatino Linotype" w:eastAsia="Calibri" w:hAnsi="Palatino Linotype" w:cs="Times New Roman"/>
          <w:b/>
          <w:color w:val="000000" w:themeColor="text1"/>
          <w:lang w:val="es-ES"/>
        </w:rPr>
        <w:t>Constitución Política del Estado Libre y Soberano de México</w:t>
      </w:r>
      <w:r w:rsidRPr="009F311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F3119">
        <w:rPr>
          <w:rFonts w:ascii="Palatino Linotype" w:eastAsia="Calibri" w:hAnsi="Palatino Linotype" w:cs="Arial"/>
          <w:color w:val="000000" w:themeColor="text1"/>
          <w:lang w:val="es-ES"/>
        </w:rPr>
        <w:t xml:space="preserve">de la </w:t>
      </w:r>
      <w:r w:rsidRPr="009F3119">
        <w:rPr>
          <w:rFonts w:ascii="Palatino Linotype" w:eastAsia="Calibri" w:hAnsi="Palatino Linotype" w:cs="Arial"/>
          <w:b/>
          <w:color w:val="000000" w:themeColor="text1"/>
          <w:lang w:val="es-ES"/>
        </w:rPr>
        <w:t xml:space="preserve">Ley de Transparencia y Acceso a la Información Pública del Estado de México y </w:t>
      </w:r>
      <w:r w:rsidRPr="009F3119">
        <w:rPr>
          <w:rFonts w:ascii="Palatino Linotype" w:eastAsia="Calibri" w:hAnsi="Palatino Linotype" w:cs="Arial"/>
          <w:b/>
          <w:color w:val="000000" w:themeColor="text1"/>
          <w:lang w:val="es-ES"/>
        </w:rPr>
        <w:lastRenderedPageBreak/>
        <w:t>Municipios</w:t>
      </w:r>
      <w:r w:rsidRPr="009F3119">
        <w:rPr>
          <w:rFonts w:ascii="Palatino Linotype" w:eastAsia="Calibri" w:hAnsi="Palatino Linotype" w:cs="Arial"/>
          <w:color w:val="000000" w:themeColor="text1"/>
          <w:lang w:val="es-ES"/>
        </w:rPr>
        <w:t xml:space="preserve">; y 10, 7, 9 fracciones I y XXIV, y 11 del </w:t>
      </w:r>
      <w:r w:rsidRPr="009F311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9F3119"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F3119"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9F3119">
        <w:rPr>
          <w:rFonts w:ascii="Palatino Linotype" w:hAnsi="Palatino Linotype"/>
          <w:b/>
          <w:color w:val="000000" w:themeColor="text1"/>
          <w:sz w:val="24"/>
        </w:rPr>
        <w:t>SEGUNDO. De la oportunidad y proced</w:t>
      </w:r>
      <w:r w:rsidR="00F35C44" w:rsidRPr="009F3119">
        <w:rPr>
          <w:rFonts w:ascii="Palatino Linotype" w:hAnsi="Palatino Linotype"/>
          <w:b/>
          <w:color w:val="000000" w:themeColor="text1"/>
          <w:sz w:val="24"/>
        </w:rPr>
        <w:t>encia</w:t>
      </w:r>
      <w:r w:rsidRPr="009F3119">
        <w:rPr>
          <w:rFonts w:ascii="Palatino Linotype" w:hAnsi="Palatino Linotype"/>
          <w:b/>
          <w:color w:val="000000" w:themeColor="text1"/>
          <w:sz w:val="24"/>
        </w:rPr>
        <w:t>.</w:t>
      </w:r>
      <w:bookmarkEnd w:id="11"/>
      <w:bookmarkEnd w:id="12"/>
      <w:bookmarkEnd w:id="13"/>
    </w:p>
    <w:p w14:paraId="18E22450" w14:textId="77777777" w:rsidR="00C6440A" w:rsidRPr="009F3119" w:rsidRDefault="00C6440A" w:rsidP="00B31E90">
      <w:pPr>
        <w:rPr>
          <w:color w:val="000000" w:themeColor="text1"/>
          <w:lang w:eastAsia="en-US"/>
        </w:rPr>
      </w:pPr>
    </w:p>
    <w:p w14:paraId="1DAE4B2B" w14:textId="386B8449" w:rsidR="008A7F1F" w:rsidRPr="009F3119"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9F3119">
        <w:rPr>
          <w:rFonts w:ascii="Palatino Linotype" w:eastAsia="Calibri" w:hAnsi="Palatino Linotype" w:cs="Arial"/>
          <w:color w:val="000000" w:themeColor="text1"/>
        </w:rPr>
        <w:t>El</w:t>
      </w:r>
      <w:r w:rsidR="003E6D0F" w:rsidRPr="009F3119">
        <w:rPr>
          <w:rFonts w:ascii="Palatino Linotype" w:eastAsia="Calibri" w:hAnsi="Palatino Linotype" w:cs="Arial"/>
          <w:color w:val="000000" w:themeColor="text1"/>
        </w:rPr>
        <w:t xml:space="preserve"> </w:t>
      </w:r>
      <w:r w:rsidRPr="009F3119">
        <w:rPr>
          <w:rFonts w:ascii="Palatino Linotype" w:eastAsia="Calibri" w:hAnsi="Palatino Linotype" w:cs="Arial"/>
          <w:lang w:val="es-ES_tradnl"/>
        </w:rPr>
        <w:t>medio de impugnación fue presentado a través del SAIMEX</w:t>
      </w:r>
      <w:r w:rsidRPr="009F3119">
        <w:rPr>
          <w:rFonts w:ascii="Palatino Linotype" w:eastAsia="Calibri" w:hAnsi="Palatino Linotype" w:cs="Arial"/>
          <w:b/>
          <w:lang w:val="es-ES_tradnl"/>
        </w:rPr>
        <w:t>,</w:t>
      </w:r>
      <w:r w:rsidRPr="009F3119">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9F3119">
        <w:rPr>
          <w:rFonts w:ascii="Palatino Linotype" w:eastAsia="Calibri" w:hAnsi="Palatino Linotype" w:cs="Arial"/>
          <w:b/>
          <w:lang w:val="es-ES_tradnl"/>
        </w:rPr>
        <w:t>SUJETO OBLIGADO</w:t>
      </w:r>
      <w:r w:rsidRPr="009F3119">
        <w:rPr>
          <w:rFonts w:ascii="Palatino Linotype" w:eastAsia="Calibri" w:hAnsi="Palatino Linotype" w:cs="Arial"/>
          <w:lang w:val="es-ES_tradnl"/>
        </w:rPr>
        <w:t xml:space="preserve"> entregó respuesta el </w:t>
      </w:r>
      <w:r w:rsidR="00A1333D" w:rsidRPr="009F3119">
        <w:rPr>
          <w:rFonts w:ascii="Palatino Linotype" w:eastAsia="Calibri" w:hAnsi="Palatino Linotype" w:cs="Arial"/>
          <w:lang w:val="es-ES_tradnl"/>
        </w:rPr>
        <w:t>cuatro (04</w:t>
      </w:r>
      <w:r w:rsidR="00103B71" w:rsidRPr="009F3119">
        <w:rPr>
          <w:rFonts w:ascii="Palatino Linotype" w:eastAsia="Calibri" w:hAnsi="Palatino Linotype" w:cs="Arial"/>
          <w:lang w:val="es-ES_tradnl"/>
        </w:rPr>
        <w:t>) de mayo</w:t>
      </w:r>
      <w:r w:rsidRPr="009F3119">
        <w:rPr>
          <w:rFonts w:ascii="Palatino Linotype" w:eastAsia="Calibri" w:hAnsi="Palatino Linotype" w:cs="Arial"/>
          <w:lang w:val="es-ES_tradnl"/>
        </w:rPr>
        <w:t xml:space="preserve"> de dos mil veintidós</w:t>
      </w:r>
      <w:r w:rsidRPr="009F3119">
        <w:rPr>
          <w:rFonts w:ascii="Palatino Linotype" w:eastAsia="Calibri" w:hAnsi="Palatino Linotype" w:cs="Arial"/>
        </w:rPr>
        <w:t xml:space="preserve">, el plazo para interponer el recurso de revisión trascurrió del </w:t>
      </w:r>
      <w:r w:rsidR="00A1333D" w:rsidRPr="009F3119">
        <w:rPr>
          <w:rFonts w:ascii="Palatino Linotype" w:eastAsia="Calibri" w:hAnsi="Palatino Linotype" w:cs="Arial"/>
        </w:rPr>
        <w:t xml:space="preserve">seis (06) al veintiséis (26) de mayo </w:t>
      </w:r>
      <w:r w:rsidRPr="009F3119">
        <w:rPr>
          <w:rFonts w:ascii="Palatino Linotype" w:eastAsia="Calibri" w:hAnsi="Palatino Linotype" w:cs="Arial"/>
        </w:rPr>
        <w:t>de dos mil veintidós; sin contemplar en el cómputo los días</w:t>
      </w:r>
      <w:r w:rsidR="00A1333D" w:rsidRPr="009F3119">
        <w:rPr>
          <w:rFonts w:ascii="Palatino Linotype" w:eastAsia="Calibri" w:hAnsi="Palatino Linotype" w:cs="Arial"/>
        </w:rPr>
        <w:t xml:space="preserve"> cinco (05), siete (07), ocho (08),</w:t>
      </w:r>
      <w:r w:rsidRPr="009F3119">
        <w:rPr>
          <w:rFonts w:ascii="Palatino Linotype" w:eastAsia="Calibri" w:hAnsi="Palatino Linotype" w:cs="Arial"/>
        </w:rPr>
        <w:t xml:space="preserve"> </w:t>
      </w:r>
      <w:r w:rsidR="00103B71" w:rsidRPr="009F3119">
        <w:rPr>
          <w:rFonts w:ascii="Palatino Linotype" w:eastAsia="Calibri" w:hAnsi="Palatino Linotype" w:cs="Arial"/>
        </w:rPr>
        <w:t xml:space="preserve">catorce (14), quince (15), </w:t>
      </w:r>
      <w:r w:rsidR="00A1333D" w:rsidRPr="009F3119">
        <w:rPr>
          <w:rFonts w:ascii="Palatino Linotype" w:eastAsia="Calibri" w:hAnsi="Palatino Linotype" w:cs="Arial"/>
        </w:rPr>
        <w:t>veintiuno (21) y veintidós (22)</w:t>
      </w:r>
      <w:r w:rsidRPr="009F3119">
        <w:rPr>
          <w:rFonts w:ascii="Palatino Linotype" w:eastAsia="Calibri" w:hAnsi="Palatino Linotype" w:cs="Arial"/>
        </w:rPr>
        <w:t>, por corresponder a sábados</w:t>
      </w:r>
      <w:r w:rsidR="00103B71" w:rsidRPr="009F3119">
        <w:rPr>
          <w:rFonts w:ascii="Palatino Linotype" w:eastAsia="Calibri" w:hAnsi="Palatino Linotype" w:cs="Arial"/>
        </w:rPr>
        <w:t xml:space="preserve"> y</w:t>
      </w:r>
      <w:r w:rsidRPr="009F3119">
        <w:rPr>
          <w:rFonts w:ascii="Palatino Linotype" w:eastAsia="Calibri" w:hAnsi="Palatino Linotype" w:cs="Arial"/>
        </w:rPr>
        <w:t xml:space="preserve"> domingos, en términos del artículo 3, fracción X, de la Ley de Transparencia y Acceso a la Información Pública del Estado de México y Municipios.</w:t>
      </w:r>
    </w:p>
    <w:p w14:paraId="42866E96" w14:textId="77777777" w:rsidR="008A7F1F" w:rsidRPr="009F3119"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209ED040" w:rsidR="00740BA4" w:rsidRPr="009F3119"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eastAsia="Calibri" w:hAnsi="Palatino Linotype" w:cs="Arial"/>
        </w:rPr>
        <w:t xml:space="preserve">Luego entonces, si el presente recurso de revisión fue interpuesto el </w:t>
      </w:r>
      <w:r w:rsidR="00A1333D" w:rsidRPr="009F3119">
        <w:rPr>
          <w:rFonts w:ascii="Palatino Linotype" w:eastAsia="Calibri" w:hAnsi="Palatino Linotype" w:cs="Arial"/>
        </w:rPr>
        <w:t>seis (06</w:t>
      </w:r>
      <w:r w:rsidR="00103B71" w:rsidRPr="009F3119">
        <w:rPr>
          <w:rFonts w:ascii="Palatino Linotype" w:eastAsia="Calibri" w:hAnsi="Palatino Linotype" w:cs="Arial"/>
        </w:rPr>
        <w:t>) de mayo</w:t>
      </w:r>
      <w:r w:rsidRPr="009F3119">
        <w:rPr>
          <w:rFonts w:ascii="Palatino Linotype" w:eastAsia="Calibri" w:hAnsi="Palatino Linotype" w:cs="Arial"/>
        </w:rPr>
        <w:t xml:space="preserve"> de dos mil veintidós, éste se encuentra dentro de los márgenes temporales previstos en el artículo 178 de la Ley de Transparencia y Acceso a la Información Pública del Estado de México y Municipios</w:t>
      </w:r>
      <w:r w:rsidRPr="009F3119">
        <w:rPr>
          <w:rFonts w:ascii="Palatino Linotype" w:eastAsia="Calibri" w:hAnsi="Palatino Linotype" w:cs="Arial"/>
          <w:b/>
        </w:rPr>
        <w:t xml:space="preserve"> </w:t>
      </w:r>
      <w:r w:rsidRPr="009F3119">
        <w:rPr>
          <w:rFonts w:ascii="Palatino Linotype" w:eastAsia="Calibri" w:hAnsi="Palatino Linotype" w:cs="Arial"/>
        </w:rPr>
        <w:t>vigente.</w:t>
      </w:r>
    </w:p>
    <w:p w14:paraId="02C2E378" w14:textId="77777777" w:rsidR="009F0467" w:rsidRPr="009F311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33681FA" w14:textId="48861FC5" w:rsidR="009F0467" w:rsidRPr="009F311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hAnsi="Palatino Linotype" w:cs="Arial"/>
          <w:color w:val="000000" w:themeColor="text1"/>
        </w:rPr>
        <w:t xml:space="preserve">Por </w:t>
      </w:r>
      <w:r w:rsidRPr="009F3119">
        <w:rPr>
          <w:rFonts w:ascii="Palatino Linotype" w:hAnsi="Palatino Linotype" w:cs="Arial"/>
          <w:color w:val="000000" w:themeColor="text1"/>
          <w:lang w:val="es-ES"/>
        </w:rPr>
        <w:t xml:space="preserve">otro lado, de la revisión al expediente electrónico contenido en el </w:t>
      </w:r>
      <w:r w:rsidR="00FB2EE1" w:rsidRPr="009F3119">
        <w:rPr>
          <w:rFonts w:ascii="Palatino Linotype" w:hAnsi="Palatino Linotype" w:cs="Arial"/>
          <w:color w:val="000000" w:themeColor="text1"/>
          <w:lang w:val="es-ES"/>
        </w:rPr>
        <w:t>SAIMEX</w:t>
      </w:r>
      <w:r w:rsidRPr="009F3119">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w:t>
      </w:r>
      <w:r w:rsidRPr="009F3119">
        <w:rPr>
          <w:rFonts w:ascii="Palatino Linotype" w:hAnsi="Palatino Linotype" w:cs="Arial"/>
          <w:color w:val="000000" w:themeColor="text1"/>
          <w:lang w:val="es-ES"/>
        </w:rPr>
        <w:lastRenderedPageBreak/>
        <w:t xml:space="preserve">información como en el recurso de revisión, </w:t>
      </w:r>
      <w:r w:rsidRPr="009F3119">
        <w:rPr>
          <w:rFonts w:ascii="Palatino Linotype" w:hAnsi="Palatino Linotype" w:cs="Arial"/>
          <w:b/>
          <w:color w:val="000000" w:themeColor="text1"/>
          <w:lang w:val="es-ES"/>
        </w:rPr>
        <w:t>no señaló</w:t>
      </w:r>
      <w:r w:rsidR="00A1333D" w:rsidRPr="009F3119">
        <w:rPr>
          <w:rFonts w:ascii="Palatino Linotype" w:hAnsi="Palatino Linotype" w:cs="Arial"/>
          <w:b/>
          <w:color w:val="000000" w:themeColor="text1"/>
          <w:lang w:val="es-ES"/>
        </w:rPr>
        <w:t xml:space="preserve"> su nombre completo</w:t>
      </w:r>
      <w:r w:rsidRPr="009F3119">
        <w:rPr>
          <w:rFonts w:ascii="Palatino Linotype" w:hAnsi="Palatino Linotype" w:cs="Arial"/>
          <w:b/>
          <w:color w:val="000000" w:themeColor="text1"/>
          <w:lang w:val="es-ES"/>
        </w:rPr>
        <w:t>, ni se tiene certeza de su identidad</w:t>
      </w:r>
      <w:r w:rsidRPr="009F3119">
        <w:rPr>
          <w:rFonts w:ascii="Palatino Linotype" w:hAnsi="Palatino Linotype" w:cs="Arial"/>
          <w:color w:val="000000" w:themeColor="text1"/>
          <w:lang w:val="es-ES"/>
        </w:rPr>
        <w:t xml:space="preserve">; sin embargo, es importante señalar que </w:t>
      </w:r>
      <w:r w:rsidRPr="009F3119">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8742F3F" w14:textId="77777777" w:rsidR="009F0467" w:rsidRPr="009F311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99D2300" w14:textId="3F5F9D73" w:rsidR="009F0467" w:rsidRPr="009F311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hAnsi="Palatino Linotype" w:cs="Arial"/>
          <w:color w:val="000000" w:themeColor="text1"/>
        </w:rPr>
        <w:t xml:space="preserve">Esto </w:t>
      </w:r>
      <w:r w:rsidRPr="009F3119">
        <w:rPr>
          <w:rFonts w:ascii="Palatino Linotype" w:hAnsi="Palatino Linotype" w:cs="Arial"/>
          <w:color w:val="000000" w:themeColor="text1"/>
          <w:lang w:val="es-ES"/>
        </w:rPr>
        <w:t xml:space="preserve">es así, ya que de conformidad con los artículos 6, apartado A, fracciones III y IV de la </w:t>
      </w:r>
      <w:r w:rsidRPr="009F3119">
        <w:rPr>
          <w:rFonts w:ascii="Palatino Linotype" w:hAnsi="Palatino Linotype" w:cs="Arial"/>
          <w:b/>
          <w:color w:val="000000" w:themeColor="text1"/>
          <w:lang w:val="es-ES"/>
        </w:rPr>
        <w:t>Constitución Política de los Estados Unidos Mexicanos</w:t>
      </w:r>
      <w:r w:rsidRPr="009F3119">
        <w:rPr>
          <w:rFonts w:ascii="Palatino Linotype" w:hAnsi="Palatino Linotype" w:cs="Arial"/>
          <w:color w:val="000000" w:themeColor="text1"/>
          <w:lang w:val="es-ES"/>
        </w:rPr>
        <w:t xml:space="preserve">; 5, párrafos vigésimo segundo, vigésimo tercero y vigésimo cuarto, fracciones III, IV y V, de la </w:t>
      </w:r>
      <w:r w:rsidRPr="009F3119">
        <w:rPr>
          <w:rFonts w:ascii="Palatino Linotype" w:hAnsi="Palatino Linotype" w:cs="Arial"/>
          <w:b/>
          <w:color w:val="000000" w:themeColor="text1"/>
          <w:lang w:val="es-ES"/>
        </w:rPr>
        <w:t>Constitución Política del Estado Libre y Soberano de México</w:t>
      </w:r>
      <w:r w:rsidRPr="009F3119">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456944" w14:textId="77777777" w:rsidR="009F0467" w:rsidRPr="009F311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547783" w14:textId="200DB5A9" w:rsidR="009F0467" w:rsidRPr="009F311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hAnsi="Palatino Linotype" w:cs="Arial"/>
          <w:color w:val="000000" w:themeColor="text1"/>
        </w:rPr>
        <w:t xml:space="preserve">Por </w:t>
      </w:r>
      <w:r w:rsidRPr="009F3119">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9F3119">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1DE42654" w14:textId="77777777" w:rsidR="009F0467" w:rsidRPr="009F311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EB23AC8" w14:textId="6041055A" w:rsidR="009F0467" w:rsidRPr="009F311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hAnsi="Palatino Linotype" w:cs="Arial"/>
          <w:color w:val="000000" w:themeColor="text1"/>
        </w:rPr>
        <w:t xml:space="preserve">Asimismo, </w:t>
      </w:r>
      <w:r w:rsidRPr="009F3119">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49F2913" w14:textId="77777777" w:rsidR="009F0467" w:rsidRPr="009F311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76D438F" w14:textId="2C218D4F" w:rsidR="009F0467" w:rsidRPr="009F311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hAnsi="Palatino Linotype" w:cs="Arial"/>
          <w:color w:val="000000" w:themeColor="text1"/>
        </w:rPr>
        <w:t xml:space="preserve">De </w:t>
      </w:r>
      <w:r w:rsidRPr="009F3119">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8F79F75" w14:textId="77777777" w:rsidR="009F0467" w:rsidRPr="009F3119" w:rsidRDefault="009F0467" w:rsidP="009F046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A5E3E7" w14:textId="47200828" w:rsidR="009F0467" w:rsidRPr="009F3119" w:rsidRDefault="009F0467"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F3119">
        <w:rPr>
          <w:rFonts w:ascii="Palatino Linotype" w:hAnsi="Palatino Linotype" w:cs="Arial"/>
          <w:color w:val="000000" w:themeColor="text1"/>
        </w:rPr>
        <w:t>Luego entonces</w:t>
      </w:r>
      <w:r w:rsidRPr="009F3119">
        <w:rPr>
          <w:rFonts w:ascii="Palatino Linotype" w:eastAsia="Calibri" w:hAnsi="Palatino Linotype" w:cs="Arial"/>
        </w:rPr>
        <w:t xml:space="preserve">, </w:t>
      </w:r>
      <w:r w:rsidRPr="009F3119">
        <w:rPr>
          <w:rFonts w:ascii="Palatino Linotype" w:eastAsia="Times New Roman" w:hAnsi="Palatino Linotype" w:cs="Arial"/>
          <w:color w:val="000000" w:themeColor="text1"/>
          <w:lang w:val="es-ES" w:eastAsia="es-MX"/>
        </w:rPr>
        <w:t xml:space="preserve">el nombre del </w:t>
      </w:r>
      <w:r w:rsidRPr="009F3119">
        <w:rPr>
          <w:rFonts w:ascii="Palatino Linotype" w:eastAsia="Times New Roman" w:hAnsi="Palatino Linotype" w:cs="Arial"/>
          <w:b/>
          <w:color w:val="000000" w:themeColor="text1"/>
          <w:lang w:val="es-ES" w:eastAsia="es-MX"/>
        </w:rPr>
        <w:t>SOLICITANTE</w:t>
      </w:r>
      <w:r w:rsidRPr="009F3119">
        <w:rPr>
          <w:rFonts w:ascii="Palatino Linotype" w:eastAsia="Times New Roman" w:hAnsi="Palatino Linotype" w:cs="Arial"/>
          <w:color w:val="000000" w:themeColor="text1"/>
          <w:lang w:val="es-ES" w:eastAsia="es-MX"/>
        </w:rPr>
        <w:t xml:space="preserve"> y subsecuente </w:t>
      </w:r>
      <w:r w:rsidRPr="009F3119">
        <w:rPr>
          <w:rFonts w:ascii="Palatino Linotype" w:eastAsia="Times New Roman" w:hAnsi="Palatino Linotype" w:cs="Arial"/>
          <w:b/>
          <w:color w:val="000000" w:themeColor="text1"/>
          <w:lang w:val="es-ES" w:eastAsia="es-MX"/>
        </w:rPr>
        <w:t>RECURRENTE</w:t>
      </w:r>
      <w:r w:rsidRPr="009F3119">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9F3119">
        <w:rPr>
          <w:rFonts w:ascii="Palatino Linotype" w:eastAsia="Times New Roman" w:hAnsi="Palatino Linotype" w:cs="Arial"/>
          <w:color w:val="000000" w:themeColor="text1"/>
          <w:lang w:val="es-ES" w:eastAsia="es-MX"/>
        </w:rPr>
        <w:t>Resolutor</w:t>
      </w:r>
      <w:proofErr w:type="spellEnd"/>
      <w:r w:rsidRPr="009F3119">
        <w:rPr>
          <w:rFonts w:ascii="Palatino Linotype" w:eastAsia="Times New Roman" w:hAnsi="Palatino Linotype" w:cs="Arial"/>
          <w:color w:val="000000" w:themeColor="text1"/>
          <w:lang w:val="es-ES" w:eastAsia="es-MX"/>
        </w:rPr>
        <w:t>.</w:t>
      </w:r>
    </w:p>
    <w:p w14:paraId="59CCEA40" w14:textId="77777777" w:rsidR="00774AB3" w:rsidRPr="009F311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9F311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9F3119">
        <w:rPr>
          <w:rFonts w:ascii="Palatino Linotype" w:eastAsia="Calibri" w:hAnsi="Palatino Linotype" w:cs="Arial"/>
          <w:color w:val="000000" w:themeColor="text1"/>
        </w:rPr>
        <w:t xml:space="preserve">Consecuencia de lo anterior, </w:t>
      </w:r>
      <w:r w:rsidR="00566BC5" w:rsidRPr="009F3119">
        <w:rPr>
          <w:rFonts w:ascii="Palatino Linotype" w:eastAsia="Calibri" w:hAnsi="Palatino Linotype" w:cs="Arial"/>
          <w:color w:val="000000" w:themeColor="text1"/>
        </w:rPr>
        <w:t>este Órgano Garante</w:t>
      </w:r>
      <w:r w:rsidRPr="009F3119">
        <w:rPr>
          <w:rFonts w:ascii="Palatino Linotype" w:eastAsia="Calibri" w:hAnsi="Palatino Linotype" w:cs="Arial"/>
          <w:color w:val="000000" w:themeColor="text1"/>
        </w:rPr>
        <w:t xml:space="preserve"> advierte que </w:t>
      </w:r>
      <w:r w:rsidR="00FB2EE1" w:rsidRPr="009F3119">
        <w:rPr>
          <w:rFonts w:ascii="Palatino Linotype" w:eastAsia="Calibri" w:hAnsi="Palatino Linotype" w:cs="Arial"/>
          <w:color w:val="000000" w:themeColor="text1"/>
        </w:rPr>
        <w:t>el</w:t>
      </w:r>
      <w:r w:rsidR="00540208" w:rsidRPr="009F3119">
        <w:rPr>
          <w:rFonts w:ascii="Palatino Linotype" w:eastAsia="Calibri" w:hAnsi="Palatino Linotype" w:cs="Arial"/>
          <w:color w:val="000000" w:themeColor="text1"/>
        </w:rPr>
        <w:t xml:space="preserve"> </w:t>
      </w:r>
      <w:r w:rsidR="00FB2EE1" w:rsidRPr="009F3119">
        <w:rPr>
          <w:rFonts w:ascii="Palatino Linotype" w:eastAsia="Calibri" w:hAnsi="Palatino Linotype" w:cs="Arial"/>
          <w:color w:val="000000" w:themeColor="text1"/>
        </w:rPr>
        <w:t xml:space="preserve">escrito </w:t>
      </w:r>
      <w:r w:rsidR="00540208" w:rsidRPr="009F3119">
        <w:rPr>
          <w:rFonts w:ascii="Palatino Linotype" w:eastAsia="Calibri" w:hAnsi="Palatino Linotype" w:cs="Arial"/>
          <w:color w:val="000000" w:themeColor="text1"/>
        </w:rPr>
        <w:t>contiene las formalidades previstas por el artículo 180</w:t>
      </w:r>
      <w:r w:rsidR="00FB2EE1" w:rsidRPr="009F3119">
        <w:rPr>
          <w:rFonts w:ascii="Palatino Linotype" w:eastAsia="Calibri" w:hAnsi="Palatino Linotype" w:cs="Arial"/>
          <w:color w:val="000000" w:themeColor="text1"/>
        </w:rPr>
        <w:t>,</w:t>
      </w:r>
      <w:r w:rsidR="00540208" w:rsidRPr="009F3119">
        <w:rPr>
          <w:rFonts w:ascii="Palatino Linotype" w:eastAsia="Calibri" w:hAnsi="Palatino Linotype" w:cs="Arial"/>
          <w:color w:val="000000" w:themeColor="text1"/>
        </w:rPr>
        <w:t xml:space="preserve"> último párrafo</w:t>
      </w:r>
      <w:r w:rsidR="00FB2EE1" w:rsidRPr="009F3119">
        <w:rPr>
          <w:rFonts w:ascii="Palatino Linotype" w:eastAsia="Calibri" w:hAnsi="Palatino Linotype" w:cs="Arial"/>
          <w:color w:val="000000" w:themeColor="text1"/>
        </w:rPr>
        <w:t>,</w:t>
      </w:r>
      <w:r w:rsidR="00540208" w:rsidRPr="009F3119">
        <w:rPr>
          <w:rFonts w:ascii="Palatino Linotype" w:eastAsia="Calibri" w:hAnsi="Palatino Linotype" w:cs="Arial"/>
          <w:color w:val="000000" w:themeColor="text1"/>
        </w:rPr>
        <w:t xml:space="preserve"> de la Ley </w:t>
      </w:r>
      <w:r w:rsidR="004911B6" w:rsidRPr="009F3119">
        <w:rPr>
          <w:rFonts w:ascii="Palatino Linotype" w:eastAsia="Calibri" w:hAnsi="Palatino Linotype" w:cs="Arial"/>
          <w:color w:val="000000" w:themeColor="text1"/>
        </w:rPr>
        <w:t>de Transparencia y Acceso a la Información Pública del Estado de México y Municipios</w:t>
      </w:r>
      <w:r w:rsidR="00540208" w:rsidRPr="009F3119">
        <w:rPr>
          <w:rFonts w:ascii="Palatino Linotype" w:eastAsia="Calibri" w:hAnsi="Palatino Linotype" w:cs="Arial"/>
          <w:color w:val="000000" w:themeColor="text1"/>
        </w:rPr>
        <w:t xml:space="preserve">, por lo que es procedente que </w:t>
      </w:r>
      <w:r w:rsidR="004911B6" w:rsidRPr="009F3119">
        <w:rPr>
          <w:rFonts w:ascii="Palatino Linotype" w:eastAsia="Calibri" w:hAnsi="Palatino Linotype" w:cs="Arial"/>
          <w:color w:val="000000" w:themeColor="text1"/>
        </w:rPr>
        <w:t>e</w:t>
      </w:r>
      <w:r w:rsidR="00540208" w:rsidRPr="009F3119">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9F3119">
        <w:rPr>
          <w:rFonts w:ascii="Palatino Linotype" w:eastAsia="Calibri" w:hAnsi="Palatino Linotype" w:cs="Arial"/>
          <w:color w:val="000000" w:themeColor="text1"/>
        </w:rPr>
        <w:t xml:space="preserve">Municipios, conozca y resuelva </w:t>
      </w:r>
      <w:r w:rsidR="00FB2EE1" w:rsidRPr="009F3119">
        <w:rPr>
          <w:rFonts w:ascii="Palatino Linotype" w:eastAsia="Calibri" w:hAnsi="Palatino Linotype" w:cs="Arial"/>
          <w:color w:val="000000" w:themeColor="text1"/>
        </w:rPr>
        <w:t>el</w:t>
      </w:r>
      <w:r w:rsidR="00540208" w:rsidRPr="009F3119">
        <w:rPr>
          <w:rFonts w:ascii="Palatino Linotype" w:eastAsia="Calibri" w:hAnsi="Palatino Linotype" w:cs="Arial"/>
          <w:color w:val="000000" w:themeColor="text1"/>
        </w:rPr>
        <w:t xml:space="preserve"> presente recurso.</w:t>
      </w:r>
    </w:p>
    <w:p w14:paraId="316CB621" w14:textId="77777777" w:rsidR="00710B50" w:rsidRPr="009F3119"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9F3119"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sidRPr="009F3119">
        <w:rPr>
          <w:rFonts w:ascii="Palatino Linotype" w:hAnsi="Palatino Linotype"/>
          <w:b/>
          <w:color w:val="000000" w:themeColor="text1"/>
        </w:rPr>
        <w:t xml:space="preserve">TERCERO. </w:t>
      </w:r>
      <w:r w:rsidR="00D5750C" w:rsidRPr="009F3119">
        <w:rPr>
          <w:rFonts w:ascii="Palatino Linotype" w:hAnsi="Palatino Linotype"/>
          <w:b/>
          <w:color w:val="000000" w:themeColor="text1"/>
        </w:rPr>
        <w:t xml:space="preserve">Del planteamiento de la </w:t>
      </w:r>
      <w:r w:rsidR="00D5750C" w:rsidRPr="009F3119">
        <w:rPr>
          <w:rFonts w:ascii="Palatino Linotype" w:hAnsi="Palatino Linotype"/>
          <w:b/>
          <w:i/>
          <w:color w:val="000000" w:themeColor="text1"/>
        </w:rPr>
        <w:t>Litis</w:t>
      </w:r>
      <w:r w:rsidRPr="009F3119">
        <w:rPr>
          <w:rFonts w:ascii="Palatino Linotype" w:hAnsi="Palatino Linotype"/>
          <w:b/>
          <w:color w:val="000000" w:themeColor="text1"/>
        </w:rPr>
        <w:t>.</w:t>
      </w:r>
      <w:bookmarkEnd w:id="14"/>
    </w:p>
    <w:p w14:paraId="4FB84CAD" w14:textId="77777777" w:rsidR="00CA62D4" w:rsidRPr="009F3119"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4711C40F" w:rsidR="0056788F" w:rsidRPr="009F3119"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sidRPr="009F3119">
        <w:rPr>
          <w:rFonts w:ascii="Palatino Linotype" w:hAnsi="Palatino Linotype" w:cs="Arial"/>
          <w:color w:val="000000" w:themeColor="text1"/>
        </w:rPr>
        <w:t xml:space="preserve">Se </w:t>
      </w:r>
      <w:r w:rsidR="00A1333D" w:rsidRPr="009F3119">
        <w:rPr>
          <w:rFonts w:ascii="Palatino Linotype" w:hAnsi="Palatino Linotype" w:cs="Arial"/>
          <w:color w:val="000000" w:themeColor="text1"/>
        </w:rPr>
        <w:t>requirieron los comprobantes de pago de nómina, salario, sueldos, honorarios, gratificaciones, etc., de los trabajadores de base y confianza del Ayuntamiento de Melchor Ocampo, así como de los Integrantes del Cabildo, trabajadores de las diferentes Direcciones, y Directivos del Sistema Municipal para el Desarrollo Integral de la Familia, emitidos para la segunda quincena de marzo de dos mil veintidós</w:t>
      </w:r>
      <w:r w:rsidR="002076E2" w:rsidRPr="009F3119">
        <w:rPr>
          <w:rFonts w:ascii="Palatino Linotype" w:hAnsi="Palatino Linotype" w:cs="Arial"/>
          <w:color w:val="000000" w:themeColor="text1"/>
        </w:rPr>
        <w:t>.</w:t>
      </w:r>
      <w:r w:rsidRPr="009F3119">
        <w:rPr>
          <w:rFonts w:ascii="Palatino Linotype" w:hAnsi="Palatino Linotype" w:cs="Arial"/>
          <w:color w:val="000000" w:themeColor="text1"/>
        </w:rPr>
        <w:t xml:space="preserve"> E</w:t>
      </w:r>
      <w:r w:rsidR="00A1333D" w:rsidRPr="009F3119">
        <w:rPr>
          <w:rFonts w:ascii="Palatino Linotype" w:hAnsi="Palatino Linotype" w:cs="Arial"/>
          <w:color w:val="000000" w:themeColor="text1"/>
        </w:rPr>
        <w:t>n su respuesta, e</w:t>
      </w:r>
      <w:r w:rsidR="00E50385" w:rsidRPr="009F3119">
        <w:rPr>
          <w:rFonts w:ascii="Palatino Linotype" w:hAnsi="Palatino Linotype" w:cs="Arial"/>
          <w:color w:val="000000" w:themeColor="text1"/>
        </w:rPr>
        <w:t xml:space="preserve">l </w:t>
      </w:r>
      <w:r w:rsidR="00E50385" w:rsidRPr="009F3119">
        <w:rPr>
          <w:rFonts w:ascii="Palatino Linotype" w:hAnsi="Palatino Linotype" w:cs="Arial"/>
          <w:b/>
          <w:color w:val="000000" w:themeColor="text1"/>
        </w:rPr>
        <w:t>SUJETO OBLIGADO</w:t>
      </w:r>
      <w:r w:rsidR="00E50385" w:rsidRPr="009F3119">
        <w:rPr>
          <w:rFonts w:ascii="Palatino Linotype" w:hAnsi="Palatino Linotype" w:cs="Arial"/>
          <w:color w:val="000000" w:themeColor="text1"/>
        </w:rPr>
        <w:t xml:space="preserve"> </w:t>
      </w:r>
      <w:r w:rsidR="00A1333D" w:rsidRPr="009F3119">
        <w:rPr>
          <w:rFonts w:ascii="Palatino Linotype" w:hAnsi="Palatino Linotype" w:cs="Arial"/>
          <w:color w:val="000000" w:themeColor="text1"/>
        </w:rPr>
        <w:t>refirió al particular que la información solicitada se encontraba publicada en el portal de Información Pública de Oficio Mexiquense (IPOMEX)</w:t>
      </w:r>
      <w:r w:rsidR="00CA4CF0" w:rsidRPr="009F3119">
        <w:rPr>
          <w:rFonts w:ascii="Palatino Linotype" w:hAnsi="Palatino Linotype" w:cs="Arial"/>
          <w:color w:val="000000" w:themeColor="text1"/>
        </w:rPr>
        <w:t>.</w:t>
      </w:r>
      <w:r w:rsidR="007758D3" w:rsidRPr="009F3119">
        <w:rPr>
          <w:rFonts w:ascii="Palatino Linotype" w:hAnsi="Palatino Linotype" w:cs="Arial"/>
          <w:color w:val="000000" w:themeColor="text1"/>
        </w:rPr>
        <w:t xml:space="preserve"> </w:t>
      </w:r>
      <w:r w:rsidR="001025C6" w:rsidRPr="009F3119">
        <w:rPr>
          <w:rFonts w:ascii="Palatino Linotype" w:hAnsi="Palatino Linotype" w:cs="Arial"/>
          <w:color w:val="000000" w:themeColor="text1"/>
        </w:rPr>
        <w:t>El</w:t>
      </w:r>
      <w:r w:rsidR="007758D3" w:rsidRPr="009F3119">
        <w:rPr>
          <w:rFonts w:ascii="Palatino Linotype" w:hAnsi="Palatino Linotype" w:cs="Arial"/>
          <w:color w:val="000000" w:themeColor="text1"/>
        </w:rPr>
        <w:t xml:space="preserve"> particular impugnó la respuesta del </w:t>
      </w:r>
      <w:r w:rsidR="007758D3" w:rsidRPr="009F3119">
        <w:rPr>
          <w:rFonts w:ascii="Palatino Linotype" w:hAnsi="Palatino Linotype" w:cs="Arial"/>
          <w:b/>
          <w:color w:val="000000" w:themeColor="text1"/>
        </w:rPr>
        <w:t>SUJETO OBLIGADO</w:t>
      </w:r>
      <w:r w:rsidR="001025C6" w:rsidRPr="009F3119">
        <w:rPr>
          <w:rFonts w:ascii="Palatino Linotype" w:hAnsi="Palatino Linotype" w:cs="Arial"/>
          <w:bCs/>
          <w:color w:val="000000" w:themeColor="text1"/>
        </w:rPr>
        <w:t>,</w:t>
      </w:r>
      <w:r w:rsidR="007758D3" w:rsidRPr="009F3119">
        <w:rPr>
          <w:rFonts w:ascii="Palatino Linotype" w:hAnsi="Palatino Linotype" w:cs="Arial"/>
          <w:color w:val="000000" w:themeColor="text1"/>
        </w:rPr>
        <w:t xml:space="preserve"> mediante recurso de revisión</w:t>
      </w:r>
      <w:r w:rsidR="001025C6" w:rsidRPr="009F3119">
        <w:rPr>
          <w:rFonts w:ascii="Palatino Linotype" w:hAnsi="Palatino Linotype" w:cs="Arial"/>
          <w:color w:val="000000" w:themeColor="text1"/>
        </w:rPr>
        <w:t>,</w:t>
      </w:r>
      <w:r w:rsidR="007758D3" w:rsidRPr="009F3119">
        <w:rPr>
          <w:rFonts w:ascii="Palatino Linotype" w:hAnsi="Palatino Linotype" w:cs="Arial"/>
          <w:color w:val="000000" w:themeColor="text1"/>
        </w:rPr>
        <w:t xml:space="preserve"> </w:t>
      </w:r>
      <w:r w:rsidR="001025C6" w:rsidRPr="009F3119">
        <w:rPr>
          <w:rFonts w:ascii="Palatino Linotype" w:hAnsi="Palatino Linotype" w:cs="Arial"/>
          <w:color w:val="000000" w:themeColor="text1"/>
        </w:rPr>
        <w:t xml:space="preserve">y </w:t>
      </w:r>
      <w:r w:rsidR="007758D3" w:rsidRPr="009F3119">
        <w:rPr>
          <w:rFonts w:ascii="Palatino Linotype" w:hAnsi="Palatino Linotype" w:cs="Arial"/>
          <w:color w:val="000000" w:themeColor="text1"/>
        </w:rPr>
        <w:t xml:space="preserve">en </w:t>
      </w:r>
      <w:r w:rsidRPr="009F3119">
        <w:rPr>
          <w:rFonts w:ascii="Palatino Linotype" w:hAnsi="Palatino Linotype" w:cs="Arial"/>
          <w:color w:val="000000" w:themeColor="text1"/>
        </w:rPr>
        <w:t>el</w:t>
      </w:r>
      <w:r w:rsidR="006015F0" w:rsidRPr="009F3119">
        <w:rPr>
          <w:rFonts w:ascii="Palatino Linotype" w:hAnsi="Palatino Linotype" w:cs="Arial"/>
          <w:color w:val="000000" w:themeColor="text1"/>
        </w:rPr>
        <w:t xml:space="preserve"> que señaló por agravios, </w:t>
      </w:r>
      <w:r w:rsidR="00A1333D" w:rsidRPr="009F3119">
        <w:rPr>
          <w:rFonts w:ascii="Palatino Linotype" w:hAnsi="Palatino Linotype" w:cs="Arial"/>
          <w:color w:val="000000" w:themeColor="text1"/>
        </w:rPr>
        <w:t>la negativa a la información solicitada</w:t>
      </w:r>
      <w:r w:rsidR="0021056F" w:rsidRPr="009F3119">
        <w:rPr>
          <w:rFonts w:ascii="Palatino Linotype" w:hAnsi="Palatino Linotype" w:cs="Arial"/>
          <w:color w:val="000000" w:themeColor="text1"/>
        </w:rPr>
        <w:t>.</w:t>
      </w:r>
    </w:p>
    <w:p w14:paraId="52493E42" w14:textId="77777777" w:rsidR="0056788F" w:rsidRPr="009F3119"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DF03471" w:rsidR="001A032D" w:rsidRPr="009F3119"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3119">
        <w:rPr>
          <w:rFonts w:ascii="Palatino Linotype" w:hAnsi="Palatino Linotype" w:cs="Arial"/>
          <w:color w:val="000000" w:themeColor="text1"/>
        </w:rPr>
        <w:t xml:space="preserve">En ese sentido, </w:t>
      </w:r>
      <w:r w:rsidR="00566BC5" w:rsidRPr="009F3119">
        <w:rPr>
          <w:rFonts w:ascii="Palatino Linotype" w:hAnsi="Palatino Linotype" w:cs="Arial"/>
          <w:color w:val="000000" w:themeColor="text1"/>
        </w:rPr>
        <w:t>este Órgano Garante</w:t>
      </w:r>
      <w:r w:rsidR="002E160F" w:rsidRPr="009F3119">
        <w:rPr>
          <w:rFonts w:ascii="Palatino Linotype" w:hAnsi="Palatino Linotype" w:cs="Arial"/>
          <w:color w:val="000000" w:themeColor="text1"/>
        </w:rPr>
        <w:t xml:space="preserve"> advierte que las razones o motivos de inconformidad manifestados por el </w:t>
      </w:r>
      <w:r w:rsidRPr="009F3119">
        <w:rPr>
          <w:rFonts w:ascii="Palatino Linotype" w:hAnsi="Palatino Linotype" w:cs="Arial"/>
          <w:b/>
          <w:bCs/>
          <w:color w:val="000000" w:themeColor="text1"/>
        </w:rPr>
        <w:t>RECURRENTE</w:t>
      </w:r>
      <w:r w:rsidRPr="009F3119">
        <w:rPr>
          <w:rFonts w:ascii="Palatino Linotype" w:hAnsi="Palatino Linotype" w:cs="Arial"/>
          <w:color w:val="000000" w:themeColor="text1"/>
        </w:rPr>
        <w:t xml:space="preserve"> </w:t>
      </w:r>
      <w:r w:rsidR="002E160F" w:rsidRPr="009F3119">
        <w:rPr>
          <w:rFonts w:ascii="Palatino Linotype" w:hAnsi="Palatino Linotype" w:cs="Arial"/>
          <w:color w:val="000000" w:themeColor="text1"/>
        </w:rPr>
        <w:t>sugieren que la respuesta proporcionada</w:t>
      </w:r>
      <w:r w:rsidR="00B855AA" w:rsidRPr="009F3119">
        <w:rPr>
          <w:rFonts w:ascii="Palatino Linotype" w:hAnsi="Palatino Linotype" w:cs="Arial"/>
          <w:color w:val="000000" w:themeColor="text1"/>
        </w:rPr>
        <w:t xml:space="preserve"> por el </w:t>
      </w:r>
      <w:r w:rsidR="00B855AA" w:rsidRPr="009F3119">
        <w:rPr>
          <w:rFonts w:ascii="Palatino Linotype" w:hAnsi="Palatino Linotype" w:cs="Arial"/>
          <w:b/>
          <w:bCs/>
          <w:color w:val="000000" w:themeColor="text1"/>
        </w:rPr>
        <w:t>SUJETO OBLIGADO</w:t>
      </w:r>
      <w:r w:rsidR="007409D8" w:rsidRPr="009F3119">
        <w:rPr>
          <w:rFonts w:ascii="Palatino Linotype" w:hAnsi="Palatino Linotype" w:cs="Arial"/>
          <w:color w:val="000000" w:themeColor="text1"/>
        </w:rPr>
        <w:t xml:space="preserve"> no </w:t>
      </w:r>
      <w:r w:rsidR="006D57BE" w:rsidRPr="009F3119">
        <w:rPr>
          <w:rFonts w:ascii="Palatino Linotype" w:hAnsi="Palatino Linotype" w:cs="Arial"/>
          <w:color w:val="000000" w:themeColor="text1"/>
        </w:rPr>
        <w:t>cumplió</w:t>
      </w:r>
      <w:r w:rsidR="00B855AA" w:rsidRPr="009F3119">
        <w:rPr>
          <w:rFonts w:ascii="Palatino Linotype" w:hAnsi="Palatino Linotype" w:cs="Arial"/>
          <w:color w:val="000000" w:themeColor="text1"/>
        </w:rPr>
        <w:t xml:space="preserve"> con </w:t>
      </w:r>
      <w:r w:rsidR="008F7752" w:rsidRPr="009F3119">
        <w:rPr>
          <w:rFonts w:ascii="Palatino Linotype" w:hAnsi="Palatino Linotype" w:cs="Arial"/>
          <w:color w:val="000000" w:themeColor="text1"/>
        </w:rPr>
        <w:t>los</w:t>
      </w:r>
      <w:r w:rsidR="00B855AA" w:rsidRPr="009F3119">
        <w:rPr>
          <w:rFonts w:ascii="Palatino Linotype" w:hAnsi="Palatino Linotype" w:cs="Arial"/>
          <w:color w:val="000000" w:themeColor="text1"/>
        </w:rPr>
        <w:t xml:space="preserve"> principio</w:t>
      </w:r>
      <w:r w:rsidR="008F7752" w:rsidRPr="009F3119">
        <w:rPr>
          <w:rFonts w:ascii="Palatino Linotype" w:hAnsi="Palatino Linotype" w:cs="Arial"/>
          <w:color w:val="000000" w:themeColor="text1"/>
        </w:rPr>
        <w:t>s</w:t>
      </w:r>
      <w:r w:rsidR="00B855AA" w:rsidRPr="009F3119">
        <w:rPr>
          <w:rFonts w:ascii="Palatino Linotype" w:hAnsi="Palatino Linotype" w:cs="Arial"/>
          <w:color w:val="000000" w:themeColor="text1"/>
        </w:rPr>
        <w:t xml:space="preserve"> contendido</w:t>
      </w:r>
      <w:r w:rsidR="008F7752" w:rsidRPr="009F3119">
        <w:rPr>
          <w:rFonts w:ascii="Palatino Linotype" w:hAnsi="Palatino Linotype" w:cs="Arial"/>
          <w:color w:val="000000" w:themeColor="text1"/>
        </w:rPr>
        <w:t>s</w:t>
      </w:r>
      <w:r w:rsidR="00B855AA" w:rsidRPr="009F3119">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9F3119">
        <w:rPr>
          <w:rFonts w:ascii="Palatino Linotype" w:hAnsi="Palatino Linotype" w:cs="Arial"/>
          <w:color w:val="000000" w:themeColor="text1"/>
        </w:rPr>
        <w:t>os</w:t>
      </w:r>
      <w:r w:rsidR="00B855AA" w:rsidRPr="009F3119">
        <w:rPr>
          <w:rFonts w:ascii="Palatino Linotype" w:hAnsi="Palatino Linotype" w:cs="Arial"/>
          <w:color w:val="000000" w:themeColor="text1"/>
        </w:rPr>
        <w:t xml:space="preserve"> cual</w:t>
      </w:r>
      <w:r w:rsidR="008F7752" w:rsidRPr="009F3119">
        <w:rPr>
          <w:rFonts w:ascii="Palatino Linotype" w:hAnsi="Palatino Linotype" w:cs="Arial"/>
          <w:color w:val="000000" w:themeColor="text1"/>
        </w:rPr>
        <w:t>es</w:t>
      </w:r>
      <w:r w:rsidR="00B855AA" w:rsidRPr="009F3119">
        <w:rPr>
          <w:rFonts w:ascii="Palatino Linotype" w:hAnsi="Palatino Linotype" w:cs="Arial"/>
          <w:color w:val="000000" w:themeColor="text1"/>
        </w:rPr>
        <w:t xml:space="preserve"> señala</w:t>
      </w:r>
      <w:r w:rsidR="008F7752" w:rsidRPr="009F3119">
        <w:rPr>
          <w:rFonts w:ascii="Palatino Linotype" w:hAnsi="Palatino Linotype" w:cs="Arial"/>
          <w:color w:val="000000" w:themeColor="text1"/>
        </w:rPr>
        <w:t>n</w:t>
      </w:r>
      <w:r w:rsidR="00B855AA" w:rsidRPr="009F3119">
        <w:rPr>
          <w:rFonts w:ascii="Palatino Linotype" w:hAnsi="Palatino Linotype" w:cs="Arial"/>
          <w:color w:val="000000" w:themeColor="text1"/>
        </w:rPr>
        <w:t xml:space="preserve"> que en la generación, publicación y entrega de información se deberá garantizar que ésta </w:t>
      </w:r>
      <w:r w:rsidR="00C51671" w:rsidRPr="009F3119">
        <w:rPr>
          <w:rFonts w:ascii="Palatino Linotype" w:hAnsi="Palatino Linotype" w:cs="Arial"/>
          <w:color w:val="000000" w:themeColor="text1"/>
        </w:rPr>
        <w:t>sea</w:t>
      </w:r>
      <w:r w:rsidR="007409D8" w:rsidRPr="009F3119">
        <w:rPr>
          <w:rFonts w:ascii="Palatino Linotype" w:hAnsi="Palatino Linotype" w:cs="Arial"/>
          <w:color w:val="000000" w:themeColor="text1"/>
        </w:rPr>
        <w:t xml:space="preserve"> </w:t>
      </w:r>
      <w:r w:rsidR="00A1333D" w:rsidRPr="009F3119">
        <w:rPr>
          <w:rFonts w:ascii="Palatino Linotype" w:hAnsi="Palatino Linotype" w:cs="Arial"/>
          <w:b/>
          <w:color w:val="000000" w:themeColor="text1"/>
        </w:rPr>
        <w:t>accesible</w:t>
      </w:r>
      <w:r w:rsidR="0021056F" w:rsidRPr="009F3119">
        <w:rPr>
          <w:rFonts w:ascii="Palatino Linotype" w:hAnsi="Palatino Linotype" w:cs="Arial"/>
          <w:b/>
          <w:color w:val="000000" w:themeColor="text1"/>
        </w:rPr>
        <w:t xml:space="preserve"> </w:t>
      </w:r>
      <w:r w:rsidR="0021056F" w:rsidRPr="009F3119">
        <w:rPr>
          <w:rFonts w:ascii="Palatino Linotype" w:hAnsi="Palatino Linotype" w:cs="Arial"/>
          <w:color w:val="000000" w:themeColor="text1"/>
        </w:rPr>
        <w:t>y</w:t>
      </w:r>
      <w:r w:rsidR="0021056F" w:rsidRPr="009F3119">
        <w:rPr>
          <w:rFonts w:ascii="Palatino Linotype" w:hAnsi="Palatino Linotype" w:cs="Arial"/>
          <w:b/>
          <w:color w:val="000000" w:themeColor="text1"/>
        </w:rPr>
        <w:t xml:space="preserve"> </w:t>
      </w:r>
      <w:r w:rsidR="000D24F6" w:rsidRPr="009F3119">
        <w:rPr>
          <w:rFonts w:ascii="Palatino Linotype" w:hAnsi="Palatino Linotype" w:cs="Arial"/>
          <w:b/>
          <w:color w:val="000000" w:themeColor="text1"/>
        </w:rPr>
        <w:t>expedita</w:t>
      </w:r>
      <w:r w:rsidR="00B855AA" w:rsidRPr="009F3119">
        <w:rPr>
          <w:rFonts w:ascii="Palatino Linotype" w:hAnsi="Palatino Linotype" w:cs="Arial"/>
          <w:color w:val="000000" w:themeColor="text1"/>
        </w:rPr>
        <w:t>.</w:t>
      </w:r>
    </w:p>
    <w:p w14:paraId="026A3A70" w14:textId="77777777" w:rsidR="00197091" w:rsidRPr="009F3119"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8CE75EE" w:rsidR="00AD76A1" w:rsidRPr="009F3119"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9F3119">
        <w:rPr>
          <w:rFonts w:ascii="Palatino Linotype" w:hAnsi="Palatino Linotype" w:cs="Arial"/>
          <w:color w:val="000000" w:themeColor="text1"/>
          <w:szCs w:val="23"/>
        </w:rPr>
        <w:t xml:space="preserve">Por lo anterior, la </w:t>
      </w:r>
      <w:r w:rsidRPr="009F3119">
        <w:rPr>
          <w:rFonts w:ascii="Palatino Linotype" w:hAnsi="Palatino Linotype" w:cs="Arial"/>
          <w:i/>
          <w:color w:val="000000" w:themeColor="text1"/>
          <w:szCs w:val="23"/>
        </w:rPr>
        <w:t>Litis</w:t>
      </w:r>
      <w:r w:rsidRPr="009F3119">
        <w:rPr>
          <w:rFonts w:ascii="Palatino Linotype" w:hAnsi="Palatino Linotype" w:cs="Arial"/>
          <w:color w:val="000000" w:themeColor="text1"/>
          <w:szCs w:val="23"/>
        </w:rPr>
        <w:t xml:space="preserve"> a resolver en el presente recurso se circunscribe en determinar si</w:t>
      </w:r>
      <w:r w:rsidR="002C6561" w:rsidRPr="009F3119">
        <w:rPr>
          <w:rFonts w:ascii="Palatino Linotype" w:hAnsi="Palatino Linotype" w:cs="Arial"/>
          <w:color w:val="000000" w:themeColor="text1"/>
          <w:szCs w:val="23"/>
        </w:rPr>
        <w:t xml:space="preserve"> </w:t>
      </w:r>
      <w:r w:rsidR="004B0EB6" w:rsidRPr="009F3119">
        <w:rPr>
          <w:rFonts w:ascii="Palatino Linotype" w:hAnsi="Palatino Linotype" w:cs="Arial"/>
          <w:color w:val="000000" w:themeColor="text1"/>
          <w:szCs w:val="23"/>
        </w:rPr>
        <w:t>la respuesta del</w:t>
      </w:r>
      <w:r w:rsidR="002C6561" w:rsidRPr="009F3119">
        <w:rPr>
          <w:rFonts w:ascii="Palatino Linotype" w:hAnsi="Palatino Linotype" w:cs="Arial"/>
          <w:color w:val="000000" w:themeColor="text1"/>
          <w:szCs w:val="23"/>
        </w:rPr>
        <w:t xml:space="preserve"> </w:t>
      </w:r>
      <w:r w:rsidR="002C6561" w:rsidRPr="009F3119">
        <w:rPr>
          <w:rFonts w:ascii="Palatino Linotype" w:hAnsi="Palatino Linotype" w:cs="Arial"/>
          <w:b/>
          <w:bCs/>
          <w:color w:val="000000" w:themeColor="text1"/>
          <w:szCs w:val="23"/>
        </w:rPr>
        <w:t>SUJETO OBLIGADO</w:t>
      </w:r>
      <w:r w:rsidR="002C6561" w:rsidRPr="009F3119">
        <w:rPr>
          <w:rFonts w:ascii="Palatino Linotype" w:hAnsi="Palatino Linotype" w:cs="Arial"/>
          <w:color w:val="000000" w:themeColor="text1"/>
          <w:szCs w:val="23"/>
        </w:rPr>
        <w:t xml:space="preserve"> </w:t>
      </w:r>
      <w:r w:rsidR="004B0EB6" w:rsidRPr="009F3119">
        <w:rPr>
          <w:rFonts w:ascii="Palatino Linotype" w:hAnsi="Palatino Linotype" w:cs="Arial"/>
          <w:color w:val="000000" w:themeColor="text1"/>
          <w:szCs w:val="23"/>
        </w:rPr>
        <w:t xml:space="preserve">colma el derecho de acceso a </w:t>
      </w:r>
      <w:r w:rsidR="004B0EB6" w:rsidRPr="009F3119">
        <w:rPr>
          <w:rFonts w:ascii="Palatino Linotype" w:hAnsi="Palatino Linotype" w:cs="Arial"/>
          <w:color w:val="000000" w:themeColor="text1"/>
          <w:szCs w:val="23"/>
        </w:rPr>
        <w:lastRenderedPageBreak/>
        <w:t xml:space="preserve">la información ejercido por </w:t>
      </w:r>
      <w:r w:rsidR="001025C6" w:rsidRPr="009F3119">
        <w:rPr>
          <w:rFonts w:ascii="Palatino Linotype" w:hAnsi="Palatino Linotype" w:cs="Arial"/>
          <w:color w:val="000000" w:themeColor="text1"/>
          <w:szCs w:val="23"/>
        </w:rPr>
        <w:t>el</w:t>
      </w:r>
      <w:r w:rsidR="004B0EB6" w:rsidRPr="009F3119">
        <w:rPr>
          <w:rFonts w:ascii="Palatino Linotype" w:hAnsi="Palatino Linotype" w:cs="Arial"/>
          <w:color w:val="000000" w:themeColor="text1"/>
          <w:szCs w:val="23"/>
        </w:rPr>
        <w:t xml:space="preserve"> </w:t>
      </w:r>
      <w:r w:rsidR="004B0EB6" w:rsidRPr="009F3119">
        <w:rPr>
          <w:rFonts w:ascii="Palatino Linotype" w:hAnsi="Palatino Linotype" w:cs="Arial"/>
          <w:b/>
          <w:bCs/>
          <w:color w:val="000000" w:themeColor="text1"/>
          <w:szCs w:val="23"/>
        </w:rPr>
        <w:t>RECURRENTE</w:t>
      </w:r>
      <w:r w:rsidR="002C6561" w:rsidRPr="009F3119">
        <w:rPr>
          <w:rFonts w:ascii="Palatino Linotype" w:hAnsi="Palatino Linotype" w:cs="Arial"/>
          <w:color w:val="000000" w:themeColor="text1"/>
          <w:szCs w:val="23"/>
        </w:rPr>
        <w:t xml:space="preserve"> o</w:t>
      </w:r>
      <w:r w:rsidR="001025C6" w:rsidRPr="009F3119">
        <w:rPr>
          <w:rFonts w:ascii="Palatino Linotype" w:hAnsi="Palatino Linotype" w:cs="Arial"/>
          <w:color w:val="000000" w:themeColor="text1"/>
          <w:szCs w:val="23"/>
        </w:rPr>
        <w:t>,</w:t>
      </w:r>
      <w:r w:rsidR="002C6561" w:rsidRPr="009F3119">
        <w:rPr>
          <w:rFonts w:ascii="Palatino Linotype" w:hAnsi="Palatino Linotype" w:cs="Arial"/>
          <w:color w:val="000000" w:themeColor="text1"/>
          <w:szCs w:val="23"/>
        </w:rPr>
        <w:t xml:space="preserve"> si por el contrario, se</w:t>
      </w:r>
      <w:r w:rsidR="00E32652" w:rsidRPr="009F3119">
        <w:rPr>
          <w:rFonts w:ascii="Palatino Linotype" w:hAnsi="Palatino Linotype" w:cs="Arial"/>
          <w:color w:val="000000" w:themeColor="text1"/>
          <w:szCs w:val="23"/>
        </w:rPr>
        <w:t xml:space="preserve"> </w:t>
      </w:r>
      <w:r w:rsidR="0028248C" w:rsidRPr="009F3119">
        <w:rPr>
          <w:rFonts w:ascii="Palatino Linotype" w:hAnsi="Palatino Linotype"/>
          <w:color w:val="000000" w:themeColor="text1"/>
        </w:rPr>
        <w:t>actualiza</w:t>
      </w:r>
      <w:r w:rsidR="00C51671" w:rsidRPr="009F3119">
        <w:rPr>
          <w:rFonts w:ascii="Palatino Linotype" w:hAnsi="Palatino Linotype"/>
          <w:color w:val="000000" w:themeColor="text1"/>
        </w:rPr>
        <w:t>n</w:t>
      </w:r>
      <w:r w:rsidR="0028248C" w:rsidRPr="009F3119">
        <w:rPr>
          <w:rFonts w:ascii="Palatino Linotype" w:hAnsi="Palatino Linotype"/>
          <w:color w:val="000000" w:themeColor="text1"/>
        </w:rPr>
        <w:t xml:space="preserve"> la</w:t>
      </w:r>
      <w:r w:rsidR="00C51671" w:rsidRPr="009F3119">
        <w:rPr>
          <w:rFonts w:ascii="Palatino Linotype" w:hAnsi="Palatino Linotype"/>
          <w:color w:val="000000" w:themeColor="text1"/>
        </w:rPr>
        <w:t>s</w:t>
      </w:r>
      <w:r w:rsidR="0028248C" w:rsidRPr="009F3119">
        <w:rPr>
          <w:rFonts w:ascii="Palatino Linotype" w:hAnsi="Palatino Linotype"/>
          <w:color w:val="000000" w:themeColor="text1"/>
        </w:rPr>
        <w:t xml:space="preserve"> causal</w:t>
      </w:r>
      <w:r w:rsidR="00C51671" w:rsidRPr="009F3119">
        <w:rPr>
          <w:rFonts w:ascii="Palatino Linotype" w:hAnsi="Palatino Linotype"/>
          <w:color w:val="000000" w:themeColor="text1"/>
        </w:rPr>
        <w:t>es</w:t>
      </w:r>
      <w:r w:rsidR="0028248C" w:rsidRPr="009F3119">
        <w:rPr>
          <w:rFonts w:ascii="Palatino Linotype" w:hAnsi="Palatino Linotype"/>
          <w:color w:val="000000" w:themeColor="text1"/>
        </w:rPr>
        <w:t xml:space="preserve"> de procedencia</w:t>
      </w:r>
      <w:r w:rsidR="00E66A80" w:rsidRPr="009F3119">
        <w:rPr>
          <w:rFonts w:ascii="Palatino Linotype" w:hAnsi="Palatino Linotype" w:cs="Arial"/>
          <w:color w:val="000000" w:themeColor="text1"/>
          <w:szCs w:val="23"/>
        </w:rPr>
        <w:t xml:space="preserve"> del recurso de revisión establecida</w:t>
      </w:r>
      <w:r w:rsidR="00C51671" w:rsidRPr="009F3119">
        <w:rPr>
          <w:rFonts w:ascii="Palatino Linotype" w:hAnsi="Palatino Linotype" w:cs="Arial"/>
          <w:color w:val="000000" w:themeColor="text1"/>
          <w:szCs w:val="23"/>
        </w:rPr>
        <w:t>s</w:t>
      </w:r>
      <w:r w:rsidR="00E66A80" w:rsidRPr="009F3119">
        <w:rPr>
          <w:rFonts w:ascii="Palatino Linotype" w:hAnsi="Palatino Linotype" w:cs="Arial"/>
          <w:color w:val="000000" w:themeColor="text1"/>
          <w:szCs w:val="23"/>
        </w:rPr>
        <w:t xml:space="preserve"> en el artículo 179 </w:t>
      </w:r>
      <w:r w:rsidR="00C51671" w:rsidRPr="009F3119">
        <w:rPr>
          <w:rFonts w:ascii="Palatino Linotype" w:hAnsi="Palatino Linotype" w:cs="Arial"/>
          <w:color w:val="000000" w:themeColor="text1"/>
          <w:szCs w:val="23"/>
        </w:rPr>
        <w:t>fracciones</w:t>
      </w:r>
      <w:r w:rsidR="00E66A80" w:rsidRPr="009F3119">
        <w:rPr>
          <w:rFonts w:ascii="Palatino Linotype" w:hAnsi="Palatino Linotype" w:cs="Arial"/>
          <w:color w:val="000000" w:themeColor="text1"/>
          <w:szCs w:val="23"/>
        </w:rPr>
        <w:t xml:space="preserve"> </w:t>
      </w:r>
      <w:r w:rsidR="006015F0" w:rsidRPr="009F3119">
        <w:rPr>
          <w:rFonts w:ascii="Palatino Linotype" w:hAnsi="Palatino Linotype" w:cs="Arial"/>
          <w:color w:val="000000" w:themeColor="text1"/>
          <w:szCs w:val="23"/>
        </w:rPr>
        <w:t>I</w:t>
      </w:r>
      <w:r w:rsidR="0021056F" w:rsidRPr="009F3119">
        <w:rPr>
          <w:rFonts w:ascii="Palatino Linotype" w:hAnsi="Palatino Linotype" w:cs="Arial"/>
          <w:color w:val="000000" w:themeColor="text1"/>
          <w:szCs w:val="23"/>
        </w:rPr>
        <w:t xml:space="preserve"> y </w:t>
      </w:r>
      <w:r w:rsidR="000D24F6" w:rsidRPr="009F3119">
        <w:rPr>
          <w:rFonts w:ascii="Palatino Linotype" w:hAnsi="Palatino Linotype" w:cs="Arial"/>
          <w:color w:val="000000" w:themeColor="text1"/>
          <w:szCs w:val="23"/>
        </w:rPr>
        <w:t>VIII</w:t>
      </w:r>
      <w:r w:rsidR="00390D23" w:rsidRPr="009F3119">
        <w:rPr>
          <w:rFonts w:ascii="Palatino Linotype" w:hAnsi="Palatino Linotype" w:cs="Arial"/>
          <w:color w:val="000000" w:themeColor="text1"/>
          <w:szCs w:val="23"/>
        </w:rPr>
        <w:t xml:space="preserve"> </w:t>
      </w:r>
      <w:r w:rsidR="00E66A80" w:rsidRPr="009F3119">
        <w:rPr>
          <w:rFonts w:ascii="Palatino Linotype" w:hAnsi="Palatino Linotype" w:cs="Arial"/>
          <w:color w:val="000000" w:themeColor="text1"/>
          <w:szCs w:val="23"/>
        </w:rPr>
        <w:t xml:space="preserve">de la Ley de Transparencia y Acceso a la Información Pública del Estado de México y Municipios, </w:t>
      </w:r>
      <w:r w:rsidR="00C51671" w:rsidRPr="009F3119">
        <w:rPr>
          <w:rFonts w:ascii="Palatino Linotype" w:hAnsi="Palatino Linotype" w:cs="Arial"/>
          <w:color w:val="000000" w:themeColor="text1"/>
          <w:szCs w:val="23"/>
        </w:rPr>
        <w:t xml:space="preserve">y </w:t>
      </w:r>
      <w:r w:rsidR="00E66A80" w:rsidRPr="009F3119">
        <w:rPr>
          <w:rFonts w:ascii="Palatino Linotype" w:hAnsi="Palatino Linotype" w:cs="Arial"/>
          <w:color w:val="000000" w:themeColor="text1"/>
          <w:szCs w:val="23"/>
        </w:rPr>
        <w:t>que se transcribe</w:t>
      </w:r>
      <w:r w:rsidR="00C51671" w:rsidRPr="009F3119">
        <w:rPr>
          <w:rFonts w:ascii="Palatino Linotype" w:hAnsi="Palatino Linotype" w:cs="Arial"/>
          <w:color w:val="000000" w:themeColor="text1"/>
          <w:szCs w:val="23"/>
        </w:rPr>
        <w:t>n</w:t>
      </w:r>
      <w:r w:rsidR="00E66A80" w:rsidRPr="009F3119">
        <w:rPr>
          <w:rFonts w:ascii="Palatino Linotype" w:hAnsi="Palatino Linotype" w:cs="Arial"/>
          <w:color w:val="000000" w:themeColor="text1"/>
          <w:szCs w:val="23"/>
        </w:rPr>
        <w:t xml:space="preserve"> a continuación:</w:t>
      </w:r>
    </w:p>
    <w:p w14:paraId="5D251E5B" w14:textId="77777777" w:rsidR="002630E4" w:rsidRPr="009F3119"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9F3119" w:rsidRDefault="00E66A80" w:rsidP="00B31E90">
      <w:pPr>
        <w:pStyle w:val="Sinespaciado"/>
        <w:tabs>
          <w:tab w:val="left" w:pos="426"/>
        </w:tabs>
        <w:ind w:left="851" w:right="567"/>
        <w:jc w:val="both"/>
        <w:rPr>
          <w:rFonts w:ascii="Palatino Linotype" w:hAnsi="Palatino Linotype"/>
          <w:i/>
          <w:color w:val="000000" w:themeColor="text1"/>
          <w:sz w:val="22"/>
        </w:rPr>
      </w:pPr>
      <w:r w:rsidRPr="009F3119">
        <w:rPr>
          <w:rFonts w:ascii="Palatino Linotype" w:hAnsi="Palatino Linotype"/>
          <w:i/>
          <w:color w:val="000000" w:themeColor="text1"/>
          <w:sz w:val="22"/>
        </w:rPr>
        <w:t>“</w:t>
      </w:r>
      <w:r w:rsidRPr="009F3119">
        <w:rPr>
          <w:rFonts w:ascii="Palatino Linotype" w:hAnsi="Palatino Linotype"/>
          <w:b/>
          <w:i/>
          <w:color w:val="000000" w:themeColor="text1"/>
          <w:sz w:val="22"/>
        </w:rPr>
        <w:t>Artículo 179.</w:t>
      </w:r>
      <w:r w:rsidRPr="009F311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9F3119" w:rsidRDefault="007409D8" w:rsidP="00B31E90">
      <w:pPr>
        <w:pStyle w:val="Sinespaciado"/>
        <w:tabs>
          <w:tab w:val="left" w:pos="426"/>
        </w:tabs>
        <w:ind w:left="851" w:right="567"/>
        <w:jc w:val="both"/>
        <w:rPr>
          <w:rFonts w:ascii="Palatino Linotype" w:hAnsi="Palatino Linotype"/>
          <w:bCs/>
          <w:i/>
          <w:color w:val="000000" w:themeColor="text1"/>
          <w:sz w:val="22"/>
        </w:rPr>
      </w:pPr>
      <w:r w:rsidRPr="009F3119">
        <w:rPr>
          <w:rFonts w:ascii="Palatino Linotype" w:hAnsi="Palatino Linotype"/>
          <w:b/>
          <w:bCs/>
          <w:i/>
          <w:color w:val="000000" w:themeColor="text1"/>
          <w:sz w:val="22"/>
        </w:rPr>
        <w:t>I.</w:t>
      </w:r>
      <w:r w:rsidRPr="009F3119">
        <w:rPr>
          <w:rFonts w:ascii="Palatino Linotype" w:hAnsi="Palatino Linotype"/>
          <w:bCs/>
          <w:i/>
          <w:color w:val="000000" w:themeColor="text1"/>
          <w:sz w:val="22"/>
        </w:rPr>
        <w:t xml:space="preserve"> La negativa a la información solicitada;</w:t>
      </w:r>
    </w:p>
    <w:p w14:paraId="0FA844DD" w14:textId="569F63AD" w:rsidR="004107D7" w:rsidRPr="009F3119" w:rsidRDefault="0021056F" w:rsidP="004107D7">
      <w:pPr>
        <w:pStyle w:val="Sinespaciado"/>
        <w:tabs>
          <w:tab w:val="left" w:pos="426"/>
        </w:tabs>
        <w:ind w:left="851" w:right="567"/>
        <w:jc w:val="both"/>
        <w:rPr>
          <w:rFonts w:ascii="Palatino Linotype" w:hAnsi="Palatino Linotype"/>
          <w:i/>
          <w:color w:val="000000" w:themeColor="text1"/>
          <w:sz w:val="22"/>
        </w:rPr>
      </w:pPr>
      <w:r w:rsidRPr="009F3119">
        <w:rPr>
          <w:rFonts w:ascii="Palatino Linotype" w:hAnsi="Palatino Linotype"/>
          <w:i/>
          <w:color w:val="000000" w:themeColor="text1"/>
          <w:sz w:val="22"/>
        </w:rPr>
        <w:t xml:space="preserve"> </w:t>
      </w:r>
      <w:r w:rsidR="004107D7" w:rsidRPr="009F3119">
        <w:rPr>
          <w:rFonts w:ascii="Palatino Linotype" w:hAnsi="Palatino Linotype"/>
          <w:i/>
          <w:color w:val="000000" w:themeColor="text1"/>
          <w:sz w:val="22"/>
        </w:rPr>
        <w:t>(…)</w:t>
      </w:r>
    </w:p>
    <w:p w14:paraId="03DDB952" w14:textId="29F55C23" w:rsidR="000D24F6" w:rsidRPr="009F3119" w:rsidRDefault="000D24F6" w:rsidP="000D24F6">
      <w:pPr>
        <w:pStyle w:val="Sinespaciado"/>
        <w:tabs>
          <w:tab w:val="left" w:pos="426"/>
        </w:tabs>
        <w:ind w:left="851" w:right="567"/>
        <w:jc w:val="both"/>
        <w:rPr>
          <w:rFonts w:ascii="Palatino Linotype" w:hAnsi="Palatino Linotype"/>
          <w:i/>
          <w:color w:val="000000" w:themeColor="text1"/>
          <w:sz w:val="22"/>
        </w:rPr>
      </w:pPr>
      <w:r w:rsidRPr="009F3119">
        <w:rPr>
          <w:rFonts w:ascii="Palatino Linotype" w:hAnsi="Palatino Linotype"/>
          <w:b/>
          <w:bCs/>
          <w:i/>
          <w:color w:val="000000" w:themeColor="text1"/>
          <w:sz w:val="22"/>
        </w:rPr>
        <w:t>VIII.</w:t>
      </w:r>
      <w:r w:rsidRPr="009F3119">
        <w:rPr>
          <w:rFonts w:ascii="Palatino Linotype" w:hAnsi="Palatino Linotype"/>
          <w:i/>
          <w:color w:val="000000" w:themeColor="text1"/>
          <w:sz w:val="22"/>
        </w:rPr>
        <w:t xml:space="preserve"> La notificación, entrega o puesta a disposición de información en una modalidad o formato distinto al solicitado</w:t>
      </w:r>
    </w:p>
    <w:p w14:paraId="4FCA9B3F" w14:textId="3F43B9C4" w:rsidR="00515DEC" w:rsidRPr="009F3119" w:rsidRDefault="0021056F" w:rsidP="004107D7">
      <w:pPr>
        <w:pStyle w:val="Sinespaciado"/>
        <w:tabs>
          <w:tab w:val="left" w:pos="426"/>
        </w:tabs>
        <w:ind w:left="851" w:right="567"/>
        <w:jc w:val="both"/>
        <w:rPr>
          <w:rFonts w:ascii="Palatino Linotype" w:hAnsi="Palatino Linotype"/>
          <w:i/>
          <w:color w:val="000000" w:themeColor="text1"/>
          <w:sz w:val="22"/>
        </w:rPr>
      </w:pPr>
      <w:r w:rsidRPr="009F3119">
        <w:rPr>
          <w:rFonts w:ascii="Palatino Linotype" w:hAnsi="Palatino Linotype"/>
          <w:i/>
          <w:color w:val="000000" w:themeColor="text1"/>
          <w:sz w:val="22"/>
        </w:rPr>
        <w:t>(…)</w:t>
      </w:r>
      <w:r w:rsidR="004107D7" w:rsidRPr="009F3119">
        <w:rPr>
          <w:rFonts w:ascii="Palatino Linotype" w:hAnsi="Palatino Linotype"/>
          <w:i/>
          <w:color w:val="000000" w:themeColor="text1"/>
          <w:sz w:val="22"/>
        </w:rPr>
        <w:t>”</w:t>
      </w:r>
    </w:p>
    <w:p w14:paraId="3000BF2B" w14:textId="43F12A12" w:rsidR="0021056F" w:rsidRPr="009F3119" w:rsidRDefault="0021056F" w:rsidP="0021056F">
      <w:pPr>
        <w:pStyle w:val="Sinespaciado"/>
        <w:tabs>
          <w:tab w:val="left" w:pos="426"/>
        </w:tabs>
        <w:ind w:right="567"/>
        <w:jc w:val="both"/>
        <w:rPr>
          <w:rFonts w:ascii="Palatino Linotype" w:hAnsi="Palatino Linotype"/>
          <w:i/>
          <w:color w:val="000000" w:themeColor="text1"/>
          <w:sz w:val="22"/>
        </w:rPr>
      </w:pPr>
    </w:p>
    <w:p w14:paraId="17A656F3" w14:textId="77777777" w:rsidR="0021056F" w:rsidRPr="009F3119"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9F3119" w:rsidRDefault="0021056F" w:rsidP="0021056F">
      <w:pPr>
        <w:rPr>
          <w:lang w:eastAsia="en-US"/>
        </w:rPr>
      </w:pPr>
    </w:p>
    <w:p w14:paraId="5CEC2F48" w14:textId="072A0162" w:rsidR="00EF014A" w:rsidRPr="009F3119" w:rsidRDefault="00094B41" w:rsidP="00F96156">
      <w:pPr>
        <w:pStyle w:val="Ttulo2"/>
        <w:tabs>
          <w:tab w:val="left" w:pos="426"/>
        </w:tabs>
        <w:rPr>
          <w:rFonts w:ascii="Palatino Linotype" w:hAnsi="Palatino Linotype" w:cs="Arial"/>
          <w:b/>
          <w:color w:val="000000" w:themeColor="text1"/>
          <w:sz w:val="24"/>
        </w:rPr>
      </w:pPr>
      <w:bookmarkStart w:id="20" w:name="_Toc88071781"/>
      <w:r w:rsidRPr="009F3119">
        <w:rPr>
          <w:rFonts w:ascii="Palatino Linotype" w:hAnsi="Palatino Linotype" w:cs="Arial"/>
          <w:b/>
          <w:color w:val="000000" w:themeColor="text1"/>
          <w:sz w:val="24"/>
        </w:rPr>
        <w:t>CUARTO</w:t>
      </w:r>
      <w:r w:rsidR="00EF014A" w:rsidRPr="009F3119">
        <w:rPr>
          <w:rFonts w:ascii="Palatino Linotype" w:hAnsi="Palatino Linotype" w:cs="Arial"/>
          <w:b/>
          <w:color w:val="000000" w:themeColor="text1"/>
          <w:sz w:val="24"/>
        </w:rPr>
        <w:t>. Estudio y Resolución del asunto.</w:t>
      </w:r>
      <w:bookmarkEnd w:id="20"/>
    </w:p>
    <w:p w14:paraId="6E979250" w14:textId="2A34D6B5" w:rsidR="00A55D2B" w:rsidRPr="009F311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9F3119"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sidRPr="009F3119">
        <w:rPr>
          <w:rFonts w:ascii="Palatino Linotype" w:hAnsi="Palatino Linotype"/>
          <w:b/>
          <w:color w:val="000000" w:themeColor="text1"/>
        </w:rPr>
        <w:t xml:space="preserve">I. </w:t>
      </w:r>
      <w:r w:rsidR="008C33F9" w:rsidRPr="009F3119">
        <w:rPr>
          <w:rFonts w:ascii="Palatino Linotype" w:hAnsi="Palatino Linotype"/>
          <w:b/>
          <w:color w:val="000000" w:themeColor="text1"/>
        </w:rPr>
        <w:t>Del deber de las autoridades de promover, respetar, proteger y garantizar el derecho de acceso a la información pública</w:t>
      </w:r>
      <w:r w:rsidR="00167813" w:rsidRPr="009F3119">
        <w:rPr>
          <w:rFonts w:ascii="Palatino Linotype" w:hAnsi="Palatino Linotype"/>
          <w:b/>
          <w:color w:val="000000" w:themeColor="text1"/>
        </w:rPr>
        <w:t>.</w:t>
      </w:r>
      <w:bookmarkEnd w:id="23"/>
    </w:p>
    <w:p w14:paraId="126843DA" w14:textId="77777777" w:rsidR="008C33F9" w:rsidRPr="009F311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9F311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lang w:val="es-ES"/>
        </w:rPr>
        <w:t xml:space="preserve">Es elemental </w:t>
      </w:r>
      <w:r w:rsidRPr="009F3119">
        <w:rPr>
          <w:rFonts w:ascii="Palatino Linotype" w:hAnsi="Palatino Linotype"/>
          <w:lang w:val="es-ES_tradnl"/>
        </w:rPr>
        <w:t>precisar</w:t>
      </w:r>
      <w:r w:rsidRPr="009F3119">
        <w:rPr>
          <w:rFonts w:ascii="Palatino Linotype" w:hAnsi="Palatino Linotype"/>
          <w:bCs/>
        </w:rPr>
        <w:t xml:space="preserve"> que </w:t>
      </w:r>
      <w:r w:rsidRPr="009F311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F3119">
        <w:rPr>
          <w:rFonts w:ascii="Palatino Linotype" w:hAnsi="Palatino Linotype"/>
          <w:b/>
          <w:bCs/>
          <w:lang w:val="es-ES_tradnl"/>
        </w:rPr>
        <w:t>SUJETO OBLIGADO</w:t>
      </w:r>
      <w:r w:rsidRPr="009F311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w:t>
      </w:r>
      <w:r w:rsidRPr="009F3119">
        <w:rPr>
          <w:rFonts w:ascii="Palatino Linotype" w:hAnsi="Palatino Linotype"/>
          <w:bCs/>
          <w:lang w:val="es-ES_tradnl"/>
        </w:rPr>
        <w:lastRenderedPageBreak/>
        <w:t xml:space="preserve">según lo dispone el tercer párrafo del artículo primero de la </w:t>
      </w:r>
      <w:r w:rsidRPr="009F3119">
        <w:rPr>
          <w:rFonts w:ascii="Palatino Linotype" w:hAnsi="Palatino Linotype"/>
          <w:b/>
          <w:bCs/>
          <w:lang w:val="es-ES_tradnl"/>
        </w:rPr>
        <w:t xml:space="preserve">Constitución Política de los Estados Unidos Mexicanos </w:t>
      </w:r>
      <w:r w:rsidRPr="009F3119">
        <w:rPr>
          <w:rFonts w:ascii="Palatino Linotype" w:hAnsi="Palatino Linotype"/>
          <w:bCs/>
          <w:lang w:val="es-ES_tradnl"/>
        </w:rPr>
        <w:t xml:space="preserve">al señalar la obligación de “promover, </w:t>
      </w:r>
      <w:r w:rsidRPr="009F3119">
        <w:rPr>
          <w:rFonts w:ascii="Palatino Linotype" w:hAnsi="Palatino Linotype"/>
          <w:b/>
          <w:bCs/>
          <w:lang w:val="es-ES_tradnl"/>
        </w:rPr>
        <w:t>respetar</w:t>
      </w:r>
      <w:r w:rsidRPr="009F3119">
        <w:rPr>
          <w:rFonts w:ascii="Palatino Linotype" w:hAnsi="Palatino Linotype"/>
          <w:bCs/>
          <w:lang w:val="es-ES_tradnl"/>
        </w:rPr>
        <w:t xml:space="preserve">, proteger y </w:t>
      </w:r>
      <w:r w:rsidRPr="009F3119">
        <w:rPr>
          <w:rFonts w:ascii="Palatino Linotype" w:hAnsi="Palatino Linotype"/>
          <w:b/>
          <w:bCs/>
          <w:lang w:val="es-ES_tradnl"/>
        </w:rPr>
        <w:t>garantizar</w:t>
      </w:r>
      <w:r w:rsidRPr="009F3119">
        <w:rPr>
          <w:rFonts w:ascii="Palatino Linotype" w:hAnsi="Palatino Linotype"/>
          <w:bCs/>
          <w:lang w:val="es-ES_tradnl"/>
        </w:rPr>
        <w:t xml:space="preserve"> los derechos humanos”, entre los cuales se encuentra dicho derecho.</w:t>
      </w:r>
    </w:p>
    <w:p w14:paraId="1F31B48B" w14:textId="77777777" w:rsidR="008C33F9" w:rsidRPr="009F311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9F311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lang w:val="es-ES"/>
        </w:rPr>
        <w:t xml:space="preserve">Por </w:t>
      </w:r>
      <w:r w:rsidRPr="009F3119">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9F311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9F311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lang w:val="es-ES"/>
        </w:rPr>
        <w:t xml:space="preserve">Así las cosas, </w:t>
      </w:r>
      <w:r w:rsidRPr="009F3119">
        <w:rPr>
          <w:rFonts w:ascii="Palatino Linotype" w:hAnsi="Palatino Linotype"/>
          <w:color w:val="000000" w:themeColor="text1"/>
        </w:rPr>
        <w:t xml:space="preserve">podemos definir el Derecho de Acceso a la Información Pública como: </w:t>
      </w:r>
      <w:r w:rsidRPr="009F3119">
        <w:rPr>
          <w:rFonts w:ascii="Palatino Linotype" w:hAnsi="Palatino Linotype"/>
          <w:i/>
          <w:color w:val="000000" w:themeColor="text1"/>
        </w:rPr>
        <w:t>La igualdad de oportunidades para recibir, buscar e impartir información</w:t>
      </w:r>
      <w:r w:rsidRPr="009F3119">
        <w:rPr>
          <w:rFonts w:ascii="Palatino Linotype" w:hAnsi="Palatino Linotype"/>
          <w:i/>
          <w:color w:val="000000" w:themeColor="text1"/>
          <w:vertAlign w:val="superscript"/>
        </w:rPr>
        <w:footnoteReference w:id="1"/>
      </w:r>
      <w:r w:rsidRPr="009F3119">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F3119">
        <w:rPr>
          <w:rFonts w:ascii="Palatino Linotype" w:hAnsi="Palatino Linotype"/>
          <w:i/>
          <w:color w:val="000000" w:themeColor="text1"/>
          <w:vertAlign w:val="superscript"/>
        </w:rPr>
        <w:footnoteReference w:id="2"/>
      </w:r>
      <w:r w:rsidRPr="009F3119">
        <w:rPr>
          <w:rFonts w:ascii="Palatino Linotype" w:hAnsi="Palatino Linotype"/>
          <w:color w:val="000000" w:themeColor="text1"/>
        </w:rPr>
        <w:t>que se constituye como una herramienta fundamental para ejercer</w:t>
      </w:r>
      <w:r w:rsidRPr="009F3119">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9F3119">
        <w:rPr>
          <w:rFonts w:ascii="Palatino Linotype" w:hAnsi="Palatino Linotype"/>
          <w:i/>
          <w:color w:val="000000" w:themeColor="text1"/>
          <w:vertAlign w:val="superscript"/>
        </w:rPr>
        <w:footnoteReference w:id="3"/>
      </w:r>
      <w:r w:rsidRPr="009F3119">
        <w:rPr>
          <w:rFonts w:ascii="Palatino Linotype" w:hAnsi="Palatino Linotype"/>
          <w:i/>
          <w:color w:val="000000" w:themeColor="text1"/>
        </w:rPr>
        <w:t xml:space="preserve"> </w:t>
      </w:r>
      <w:r w:rsidRPr="009F3119">
        <w:rPr>
          <w:rFonts w:ascii="Palatino Linotype" w:hAnsi="Palatino Linotype"/>
          <w:color w:val="000000" w:themeColor="text1"/>
        </w:rPr>
        <w:t>fomentando</w:t>
      </w:r>
      <w:r w:rsidRPr="009F3119">
        <w:rPr>
          <w:rFonts w:ascii="Palatino Linotype" w:hAnsi="Palatino Linotype"/>
          <w:i/>
          <w:color w:val="000000" w:themeColor="text1"/>
        </w:rPr>
        <w:t xml:space="preserve"> la transparencia de las actividades estatales y </w:t>
      </w:r>
      <w:r w:rsidRPr="009F3119">
        <w:rPr>
          <w:rFonts w:ascii="Palatino Linotype" w:hAnsi="Palatino Linotype"/>
          <w:color w:val="000000" w:themeColor="text1"/>
        </w:rPr>
        <w:t>promoviendo</w:t>
      </w:r>
      <w:r w:rsidRPr="009F3119">
        <w:rPr>
          <w:rFonts w:ascii="Palatino Linotype" w:hAnsi="Palatino Linotype"/>
          <w:i/>
          <w:color w:val="000000" w:themeColor="text1"/>
        </w:rPr>
        <w:t xml:space="preserve"> la responsabilidad de los funcionarios sobre su gestión </w:t>
      </w:r>
      <w:r w:rsidRPr="009F3119">
        <w:rPr>
          <w:rFonts w:ascii="Palatino Linotype" w:hAnsi="Palatino Linotype"/>
          <w:i/>
          <w:color w:val="000000" w:themeColor="text1"/>
        </w:rPr>
        <w:lastRenderedPageBreak/>
        <w:t>pública,</w:t>
      </w:r>
      <w:r w:rsidRPr="009F3119">
        <w:rPr>
          <w:rFonts w:ascii="Palatino Linotype" w:hAnsi="Palatino Linotype"/>
          <w:i/>
          <w:color w:val="000000" w:themeColor="text1"/>
          <w:vertAlign w:val="superscript"/>
        </w:rPr>
        <w:footnoteReference w:id="4"/>
      </w:r>
      <w:r w:rsidRPr="009F3119">
        <w:rPr>
          <w:rFonts w:ascii="Palatino Linotype" w:hAnsi="Palatino Linotype"/>
          <w:color w:val="000000" w:themeColor="text1"/>
        </w:rPr>
        <w:t>que permite</w:t>
      </w:r>
      <w:r w:rsidRPr="009F3119">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9F311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9F311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lang w:val="es-ES"/>
        </w:rPr>
        <w:t xml:space="preserve">Por </w:t>
      </w:r>
      <w:r w:rsidRPr="009F3119">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9F3119">
        <w:rPr>
          <w:rFonts w:ascii="Palatino Linotype" w:hAnsi="Palatino Linotype"/>
          <w:color w:val="000000" w:themeColor="text1"/>
        </w:rPr>
        <w:t>,</w:t>
      </w:r>
      <w:r w:rsidRPr="009F3119">
        <w:rPr>
          <w:rFonts w:ascii="Palatino Linotype" w:hAnsi="Palatino Linotype"/>
          <w:color w:val="000000" w:themeColor="text1"/>
        </w:rPr>
        <w:t xml:space="preserve"> establece que </w:t>
      </w:r>
      <w:r w:rsidRPr="009F3119">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9F3119">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Pr="009F3119"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9F3119"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8071784"/>
      <w:r w:rsidRPr="009F3119">
        <w:rPr>
          <w:rFonts w:ascii="Palatino Linotype" w:hAnsi="Palatino Linotype"/>
          <w:b/>
          <w:color w:val="000000" w:themeColor="text1"/>
        </w:rPr>
        <w:t>I</w:t>
      </w:r>
      <w:r w:rsidR="009E260E" w:rsidRPr="009F3119">
        <w:rPr>
          <w:rFonts w:ascii="Palatino Linotype" w:hAnsi="Palatino Linotype"/>
          <w:b/>
          <w:color w:val="000000" w:themeColor="text1"/>
        </w:rPr>
        <w:t>I. De la atención a la solicitud de información.</w:t>
      </w:r>
      <w:bookmarkEnd w:id="24"/>
    </w:p>
    <w:p w14:paraId="5E98A031" w14:textId="77777777" w:rsidR="0031153E" w:rsidRPr="009F3119"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9F311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9F311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9F311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Para atender las solicitudes de información, los Sujetos Obligados contarán con un área denominada </w:t>
      </w:r>
      <w:r w:rsidRPr="009F3119">
        <w:rPr>
          <w:rFonts w:ascii="Palatino Linotype" w:hAnsi="Palatino Linotype"/>
          <w:b/>
          <w:bCs/>
          <w:color w:val="000000" w:themeColor="text1"/>
        </w:rPr>
        <w:t>Unidad de Transparencia</w:t>
      </w:r>
      <w:r w:rsidRPr="009F3119">
        <w:rPr>
          <w:rFonts w:ascii="Palatino Linotype" w:hAnsi="Palatino Linotype"/>
          <w:color w:val="000000" w:themeColor="text1"/>
          <w:vertAlign w:val="superscript"/>
        </w:rPr>
        <w:footnoteReference w:id="5"/>
      </w:r>
      <w:r w:rsidRPr="009F3119">
        <w:rPr>
          <w:rFonts w:ascii="Palatino Linotype" w:hAnsi="Palatino Linotype"/>
          <w:color w:val="000000" w:themeColor="text1"/>
        </w:rPr>
        <w:t xml:space="preserve">, la cual será presidida por un Titular, quien fungirá como enlace entre éstos y los solicitantes. Dicha Unidad </w:t>
      </w:r>
      <w:r w:rsidRPr="009F3119">
        <w:rPr>
          <w:rFonts w:ascii="Palatino Linotype" w:hAnsi="Palatino Linotype"/>
          <w:b/>
          <w:bCs/>
          <w:color w:val="000000" w:themeColor="text1"/>
        </w:rPr>
        <w:t>será la encargada de tramitar internamente la solicitud de información</w:t>
      </w:r>
      <w:r w:rsidRPr="009F3119">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9F3119">
        <w:rPr>
          <w:rFonts w:ascii="Palatino Linotype" w:hAnsi="Palatino Linotype"/>
          <w:b/>
          <w:bCs/>
          <w:color w:val="000000" w:themeColor="text1"/>
        </w:rPr>
        <w:t xml:space="preserve">gestionar la atención a las solicitudes de información </w:t>
      </w:r>
      <w:r w:rsidRPr="009F3119">
        <w:rPr>
          <w:rFonts w:ascii="Palatino Linotype" w:hAnsi="Palatino Linotype"/>
          <w:color w:val="000000" w:themeColor="text1"/>
        </w:rPr>
        <w:t>en los términos de la Ley General y la Ley de Transparencia y Acceso a la Información Pública del Estado de México y Municipios</w:t>
      </w:r>
      <w:r w:rsidRPr="009F3119">
        <w:rPr>
          <w:rFonts w:ascii="Palatino Linotype" w:hAnsi="Palatino Linotype"/>
          <w:color w:val="000000" w:themeColor="text1"/>
          <w:vertAlign w:val="superscript"/>
        </w:rPr>
        <w:footnoteReference w:id="6"/>
      </w:r>
      <w:r w:rsidRPr="009F3119">
        <w:rPr>
          <w:rFonts w:ascii="Palatino Linotype" w:hAnsi="Palatino Linotype"/>
          <w:color w:val="000000" w:themeColor="text1"/>
        </w:rPr>
        <w:t>.</w:t>
      </w:r>
    </w:p>
    <w:p w14:paraId="5D0D7CB4" w14:textId="77777777" w:rsidR="000435A5" w:rsidRPr="009F311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9F311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rPr>
        <w:t xml:space="preserve">De </w:t>
      </w:r>
      <w:r w:rsidRPr="009F3119">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9F3119"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9F3119">
        <w:rPr>
          <w:rFonts w:ascii="Palatino Linotype" w:eastAsia="MS Mincho" w:hAnsi="Palatino Linotype" w:cs="Times New Roman"/>
          <w:color w:val="000000"/>
        </w:rPr>
        <w:t>Recibir, tramitar y dar respuesta a las solicitudes de acceso a la información;</w:t>
      </w:r>
    </w:p>
    <w:p w14:paraId="6C2C3A0D" w14:textId="77777777" w:rsidR="000435A5" w:rsidRPr="009F3119"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9F3119">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9F3119" w:rsidRDefault="000435A5" w:rsidP="000435A5">
      <w:pPr>
        <w:pStyle w:val="Prrafodelista"/>
        <w:numPr>
          <w:ilvl w:val="1"/>
          <w:numId w:val="38"/>
        </w:numPr>
        <w:tabs>
          <w:tab w:val="left" w:pos="426"/>
        </w:tabs>
        <w:spacing w:before="240" w:after="240" w:line="360" w:lineRule="auto"/>
        <w:ind w:left="1134" w:right="51"/>
        <w:jc w:val="both"/>
        <w:rPr>
          <w:rFonts w:ascii="Palatino Linotype" w:eastAsia="MS Mincho" w:hAnsi="Palatino Linotype" w:cs="Times New Roman"/>
          <w:color w:val="000000"/>
        </w:rPr>
      </w:pPr>
      <w:r w:rsidRPr="009F3119">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9F3119" w:rsidRDefault="000435A5" w:rsidP="000435A5">
      <w:pPr>
        <w:pStyle w:val="Prrafodelista"/>
        <w:numPr>
          <w:ilvl w:val="1"/>
          <w:numId w:val="38"/>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eastAsia="MS Mincho" w:hAnsi="Palatino Linotype" w:cs="Times New Roman"/>
          <w:color w:val="000000"/>
        </w:rPr>
        <w:t>Efectuar las notificaciones a los solicitantes.</w:t>
      </w:r>
    </w:p>
    <w:p w14:paraId="6A3849A5" w14:textId="77777777" w:rsidR="000435A5" w:rsidRPr="009F311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9F311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rPr>
        <w:lastRenderedPageBreak/>
        <w:t>Otros sujetos del proceso de atención a las solicitudes de información son los servidores públicos habilitados, quienes serán designados por el titular del Sujeto Obligado a propuesta del responsable de la Unidad de Transparencia</w:t>
      </w:r>
      <w:r w:rsidRPr="009F3119">
        <w:rPr>
          <w:rFonts w:ascii="Palatino Linotype" w:hAnsi="Palatino Linotype"/>
          <w:vertAlign w:val="superscript"/>
        </w:rPr>
        <w:footnoteReference w:id="7"/>
      </w:r>
      <w:r w:rsidRPr="009F3119">
        <w:rPr>
          <w:rFonts w:ascii="Palatino Linotype" w:hAnsi="Palatino Linotype"/>
        </w:rPr>
        <w:t xml:space="preserve"> y tendrán, entre sus atribuciones, las siguientes</w:t>
      </w:r>
      <w:r w:rsidRPr="009F3119">
        <w:rPr>
          <w:rFonts w:ascii="Palatino Linotype" w:hAnsi="Palatino Linotype"/>
          <w:vertAlign w:val="superscript"/>
        </w:rPr>
        <w:footnoteReference w:id="8"/>
      </w:r>
      <w:r w:rsidRPr="009F3119">
        <w:rPr>
          <w:rFonts w:ascii="Palatino Linotype" w:hAnsi="Palatino Linotype"/>
        </w:rPr>
        <w:t>:</w:t>
      </w:r>
    </w:p>
    <w:p w14:paraId="25765840" w14:textId="77777777" w:rsidR="000435A5" w:rsidRPr="009F3119"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rPr>
      </w:pPr>
      <w:r w:rsidRPr="009F3119">
        <w:rPr>
          <w:rFonts w:ascii="Palatino Linotype" w:hAnsi="Palatino Linotype"/>
        </w:rPr>
        <w:t>Localizar la información que le solicite la Unidad de Transparencia; y</w:t>
      </w:r>
    </w:p>
    <w:p w14:paraId="6C3FAB50" w14:textId="48244E1D" w:rsidR="000435A5" w:rsidRPr="009F3119" w:rsidRDefault="000435A5" w:rsidP="000435A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hAnsi="Palatino Linotype"/>
        </w:rPr>
        <w:t>Proporcionar la información que obre en los archivos y que le sea solicitada por la Unidad de Transparencia.</w:t>
      </w:r>
    </w:p>
    <w:p w14:paraId="7C2BA39A" w14:textId="77777777" w:rsidR="000435A5" w:rsidRPr="009F3119"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9F3119"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rPr>
        <w:t xml:space="preserve">De tal </w:t>
      </w:r>
      <w:r w:rsidRPr="009F3119">
        <w:rPr>
          <w:rFonts w:ascii="Palatino Linotype" w:eastAsia="MS Mincho" w:hAnsi="Palatino Linotype" w:cs="Times New Roman"/>
          <w:color w:val="000000"/>
        </w:rPr>
        <w:t xml:space="preserve">manera que cada una de las áreas administrativas del </w:t>
      </w:r>
      <w:r w:rsidRPr="009F3119">
        <w:rPr>
          <w:rFonts w:ascii="Palatino Linotype" w:eastAsia="MS Mincho" w:hAnsi="Palatino Linotype" w:cs="Times New Roman"/>
          <w:b/>
          <w:bCs/>
          <w:color w:val="000000"/>
        </w:rPr>
        <w:t>SUJETO OBLIGADO</w:t>
      </w:r>
      <w:r w:rsidRPr="009F3119">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9F3119"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29579E6" w:rsidR="009E260E" w:rsidRPr="009F3119"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rPr>
        <w:t>U</w:t>
      </w:r>
      <w:r w:rsidR="00215A63" w:rsidRPr="009F3119">
        <w:rPr>
          <w:rFonts w:ascii="Palatino Linotype" w:hAnsi="Palatino Linotype"/>
        </w:rPr>
        <w:t xml:space="preserve">na expuesto lo anterior, </w:t>
      </w:r>
      <w:r w:rsidR="009E260E" w:rsidRPr="009F3119">
        <w:rPr>
          <w:rFonts w:ascii="Palatino Linotype" w:hAnsi="Palatino Linotype"/>
        </w:rPr>
        <w:t xml:space="preserve">de la lectura a la solicitud de información </w:t>
      </w:r>
      <w:r w:rsidR="0085795E" w:rsidRPr="009F3119">
        <w:rPr>
          <w:rFonts w:ascii="Palatino Linotype" w:hAnsi="Palatino Linotype"/>
          <w:b/>
        </w:rPr>
        <w:t>00048/MELOCAM/IP/2022</w:t>
      </w:r>
      <w:r w:rsidR="002D57AA" w:rsidRPr="009F3119">
        <w:rPr>
          <w:rFonts w:ascii="Palatino Linotype" w:hAnsi="Palatino Linotype"/>
        </w:rPr>
        <w:t>,</w:t>
      </w:r>
      <w:r w:rsidR="009E260E" w:rsidRPr="009F3119">
        <w:rPr>
          <w:rFonts w:ascii="Palatino Linotype" w:hAnsi="Palatino Linotype"/>
        </w:rPr>
        <w:t xml:space="preserve">  </w:t>
      </w:r>
      <w:r w:rsidR="006D57BE" w:rsidRPr="009F3119">
        <w:rPr>
          <w:rFonts w:ascii="Palatino Linotype" w:hAnsi="Palatino Linotype"/>
        </w:rPr>
        <w:t xml:space="preserve">y </w:t>
      </w:r>
      <w:r w:rsidR="009E260E" w:rsidRPr="009F3119">
        <w:rPr>
          <w:rFonts w:ascii="Palatino Linotype" w:hAnsi="Palatino Linotype"/>
        </w:rPr>
        <w:t xml:space="preserve">como fuera señalado en el </w:t>
      </w:r>
      <w:r w:rsidR="009E260E" w:rsidRPr="009F3119">
        <w:rPr>
          <w:rFonts w:ascii="Palatino Linotype" w:hAnsi="Palatino Linotype"/>
          <w:i/>
          <w:iCs/>
        </w:rPr>
        <w:t>Planteamiento de la Litis</w:t>
      </w:r>
      <w:r w:rsidR="009E260E" w:rsidRPr="009F3119">
        <w:rPr>
          <w:rFonts w:ascii="Palatino Linotype" w:hAnsi="Palatino Linotype"/>
        </w:rPr>
        <w:t xml:space="preserve"> de esta resolución, se advierte que el entonces </w:t>
      </w:r>
      <w:r w:rsidR="009E260E" w:rsidRPr="009F3119">
        <w:rPr>
          <w:rFonts w:ascii="Palatino Linotype" w:hAnsi="Palatino Linotype"/>
          <w:b/>
        </w:rPr>
        <w:t>SOLICITANTE</w:t>
      </w:r>
      <w:r w:rsidR="009E260E" w:rsidRPr="009F3119">
        <w:rPr>
          <w:rFonts w:ascii="Palatino Linotype" w:hAnsi="Palatino Linotype"/>
        </w:rPr>
        <w:t xml:space="preserve"> requirió acceder a </w:t>
      </w:r>
      <w:r w:rsidR="00840DD4" w:rsidRPr="009F3119">
        <w:rPr>
          <w:rFonts w:ascii="Palatino Linotype" w:hAnsi="Palatino Linotype"/>
        </w:rPr>
        <w:t xml:space="preserve">los comprobantes de pago de </w:t>
      </w:r>
      <w:r w:rsidR="00840DD4" w:rsidRPr="009F3119">
        <w:rPr>
          <w:rFonts w:ascii="Palatino Linotype" w:hAnsi="Palatino Linotype" w:cs="Arial"/>
          <w:color w:val="000000" w:themeColor="text1"/>
        </w:rPr>
        <w:t>nómina, salario, sueldos, honorarios, gratificaciones, etc., de la segunda quincena de marzo de dos mil veintidós, de los siguientes servidores públicos:</w:t>
      </w:r>
    </w:p>
    <w:p w14:paraId="585FC7B3" w14:textId="77777777" w:rsidR="00840DD4" w:rsidRPr="009F3119" w:rsidRDefault="00840DD4" w:rsidP="00840DD4">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hAnsi="Palatino Linotype" w:cs="Arial"/>
          <w:color w:val="000000" w:themeColor="text1"/>
        </w:rPr>
        <w:t>Del Ayuntamiento de Melchor Ocampo:</w:t>
      </w:r>
    </w:p>
    <w:p w14:paraId="6E78E475" w14:textId="77777777" w:rsidR="00840DD4" w:rsidRPr="009F3119" w:rsidRDefault="00840DD4" w:rsidP="00840DD4">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9F3119">
        <w:rPr>
          <w:rFonts w:ascii="Palatino Linotype" w:hAnsi="Palatino Linotype" w:cs="Arial"/>
          <w:color w:val="000000" w:themeColor="text1"/>
        </w:rPr>
        <w:t>Trabajadores de base y confianza;</w:t>
      </w:r>
    </w:p>
    <w:p w14:paraId="31AECA46" w14:textId="77777777" w:rsidR="00840DD4" w:rsidRPr="009F3119" w:rsidRDefault="00840DD4" w:rsidP="00840DD4">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9F3119">
        <w:rPr>
          <w:rFonts w:ascii="Palatino Linotype" w:hAnsi="Palatino Linotype" w:cs="Arial"/>
          <w:color w:val="000000" w:themeColor="text1"/>
        </w:rPr>
        <w:lastRenderedPageBreak/>
        <w:t>Integrantes del Cabildo; y</w:t>
      </w:r>
    </w:p>
    <w:p w14:paraId="27AF2514" w14:textId="6D57B187" w:rsidR="00840DD4" w:rsidRPr="009F3119" w:rsidRDefault="00840DD4" w:rsidP="00840DD4">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9F3119">
        <w:rPr>
          <w:rFonts w:ascii="Palatino Linotype" w:hAnsi="Palatino Linotype" w:cs="Arial"/>
          <w:color w:val="000000" w:themeColor="text1"/>
        </w:rPr>
        <w:t>Trabajadores de las diferentes Direcciones.</w:t>
      </w:r>
    </w:p>
    <w:p w14:paraId="3A9A8558" w14:textId="31763FF5" w:rsidR="00327D27" w:rsidRPr="009F3119" w:rsidRDefault="00141919" w:rsidP="00840DD4">
      <w:pPr>
        <w:pStyle w:val="Prrafodelista"/>
        <w:numPr>
          <w:ilvl w:val="1"/>
          <w:numId w:val="40"/>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hAnsi="Palatino Linotype" w:cs="Arial"/>
          <w:color w:val="000000" w:themeColor="text1"/>
        </w:rPr>
        <w:t>Del</w:t>
      </w:r>
      <w:r w:rsidR="00840DD4" w:rsidRPr="009F3119">
        <w:rPr>
          <w:rFonts w:ascii="Palatino Linotype" w:hAnsi="Palatino Linotype" w:cs="Arial"/>
          <w:color w:val="000000" w:themeColor="text1"/>
        </w:rPr>
        <w:t xml:space="preserve"> Sistema Municipal para el Desarrollo Integral de la Familia</w:t>
      </w:r>
      <w:r w:rsidRPr="009F3119">
        <w:rPr>
          <w:rFonts w:ascii="Palatino Linotype" w:hAnsi="Palatino Linotype" w:cs="Arial"/>
          <w:color w:val="000000" w:themeColor="text1"/>
        </w:rPr>
        <w:t>:</w:t>
      </w:r>
    </w:p>
    <w:p w14:paraId="208070B3" w14:textId="5B1EB7AF" w:rsidR="00141919" w:rsidRPr="009F3119" w:rsidRDefault="00141919" w:rsidP="00141919">
      <w:pPr>
        <w:pStyle w:val="Prrafodelista"/>
        <w:numPr>
          <w:ilvl w:val="2"/>
          <w:numId w:val="40"/>
        </w:numPr>
        <w:tabs>
          <w:tab w:val="left" w:pos="426"/>
        </w:tabs>
        <w:spacing w:before="240" w:after="240" w:line="360" w:lineRule="auto"/>
        <w:ind w:left="1701" w:right="51"/>
        <w:jc w:val="both"/>
        <w:rPr>
          <w:rFonts w:ascii="Palatino Linotype" w:hAnsi="Palatino Linotype"/>
          <w:color w:val="000000" w:themeColor="text1"/>
        </w:rPr>
      </w:pPr>
      <w:r w:rsidRPr="009F3119">
        <w:rPr>
          <w:rFonts w:ascii="Palatino Linotype" w:hAnsi="Palatino Linotype" w:cs="Arial"/>
          <w:color w:val="000000" w:themeColor="text1"/>
        </w:rPr>
        <w:t>Directores.</w:t>
      </w:r>
    </w:p>
    <w:p w14:paraId="37402E07" w14:textId="77777777" w:rsidR="001C3732" w:rsidRPr="009F3119" w:rsidRDefault="001C3732"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16DE4E3C" w:rsidR="0021056F" w:rsidRPr="009F3119" w:rsidRDefault="005917A6"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rPr>
        <w:t>E</w:t>
      </w:r>
      <w:r w:rsidR="00984D47" w:rsidRPr="009F3119">
        <w:rPr>
          <w:rFonts w:ascii="Palatino Linotype" w:hAnsi="Palatino Linotype"/>
        </w:rPr>
        <w:t xml:space="preserve">n respuesta a la solicitud de información </w:t>
      </w:r>
      <w:r w:rsidR="0085795E" w:rsidRPr="009F3119">
        <w:rPr>
          <w:rFonts w:ascii="Palatino Linotype" w:hAnsi="Palatino Linotype"/>
          <w:b/>
          <w:bCs/>
        </w:rPr>
        <w:t>00048/MELOCAM/IP/2022</w:t>
      </w:r>
      <w:r w:rsidR="00984D47" w:rsidRPr="009F3119">
        <w:rPr>
          <w:rFonts w:ascii="Palatino Linotype" w:hAnsi="Palatino Linotype"/>
        </w:rPr>
        <w:t xml:space="preserve">, </w:t>
      </w:r>
      <w:r w:rsidRPr="009F3119">
        <w:rPr>
          <w:rFonts w:ascii="Palatino Linotype" w:hAnsi="Palatino Linotype"/>
        </w:rPr>
        <w:t xml:space="preserve">el </w:t>
      </w:r>
      <w:r w:rsidRPr="009F3119">
        <w:rPr>
          <w:rFonts w:ascii="Palatino Linotype" w:hAnsi="Palatino Linotype"/>
          <w:b/>
        </w:rPr>
        <w:t>SUJETO OBLIGADO</w:t>
      </w:r>
      <w:r w:rsidRPr="009F3119">
        <w:rPr>
          <w:rFonts w:ascii="Palatino Linotype" w:hAnsi="Palatino Linotype"/>
        </w:rPr>
        <w:t xml:space="preserve"> </w:t>
      </w:r>
      <w:r w:rsidR="00141919" w:rsidRPr="009F3119">
        <w:rPr>
          <w:rFonts w:ascii="Palatino Linotype" w:hAnsi="Palatino Linotype"/>
        </w:rPr>
        <w:t>informó, vía SAIMEX, lo siguiente</w:t>
      </w:r>
      <w:r w:rsidRPr="009F3119">
        <w:rPr>
          <w:rFonts w:ascii="Palatino Linotype" w:hAnsi="Palatino Linotype"/>
        </w:rPr>
        <w:t>:</w:t>
      </w:r>
    </w:p>
    <w:p w14:paraId="09FA6A78" w14:textId="31E7A299" w:rsidR="00213DFB" w:rsidRPr="009F3119" w:rsidRDefault="00213DFB"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62B76372" w14:textId="63B7481B" w:rsidR="00984D47" w:rsidRPr="009F3119" w:rsidRDefault="00984D47" w:rsidP="005917A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F3119">
        <w:rPr>
          <w:rFonts w:ascii="Palatino Linotype" w:hAnsi="Palatino Linotype"/>
          <w:i/>
          <w:iCs/>
          <w:color w:val="000000" w:themeColor="text1"/>
          <w:sz w:val="22"/>
          <w:szCs w:val="22"/>
        </w:rPr>
        <w:t>“</w:t>
      </w:r>
      <w:r w:rsidR="00141919" w:rsidRPr="009F3119">
        <w:rPr>
          <w:rFonts w:ascii="Palatino Linotype" w:hAnsi="Palatino Linotype"/>
          <w:i/>
          <w:iCs/>
          <w:color w:val="000000" w:themeColor="text1"/>
          <w:sz w:val="22"/>
          <w:szCs w:val="22"/>
        </w:rPr>
        <w:t>Estando en tiempo y forma en términos de los artículos 12, 150, 157, 163 y demás relativos de la Ley de Transparencia y Acceso a la Información Pública del Estado de México y Municipios vigente, con respecto a su petición 00048/MELOCAM/IP/2022 mediante el sistema SAIMEX, se le informa: la información solicitada se encuentra en el portal de IPOMEX, donde puede ser consultada.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5917A6" w:rsidRPr="009F3119">
        <w:rPr>
          <w:rFonts w:ascii="Palatino Linotype" w:hAnsi="Palatino Linotype"/>
          <w:i/>
          <w:iCs/>
          <w:color w:val="000000" w:themeColor="text1"/>
          <w:sz w:val="22"/>
          <w:szCs w:val="22"/>
        </w:rPr>
        <w:t>”</w:t>
      </w:r>
      <w:r w:rsidR="005917A6" w:rsidRPr="009F3119">
        <w:rPr>
          <w:rFonts w:ascii="Palatino Linotype" w:hAnsi="Palatino Linotype"/>
          <w:color w:val="000000" w:themeColor="text1"/>
          <w:sz w:val="22"/>
          <w:szCs w:val="22"/>
        </w:rPr>
        <w:t xml:space="preserve"> </w:t>
      </w:r>
      <w:r w:rsidR="009747E8" w:rsidRPr="009F3119">
        <w:rPr>
          <w:rFonts w:ascii="Palatino Linotype" w:hAnsi="Palatino Linotype"/>
          <w:color w:val="000000" w:themeColor="text1"/>
          <w:sz w:val="22"/>
          <w:szCs w:val="22"/>
        </w:rPr>
        <w:t>(Sic)</w:t>
      </w:r>
    </w:p>
    <w:p w14:paraId="716ACF31" w14:textId="77777777" w:rsidR="008624DD" w:rsidRPr="009F3119" w:rsidRDefault="008624DD" w:rsidP="00912F01">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3E2B37F5" w:rsidR="009E260E" w:rsidRPr="009F3119" w:rsidRDefault="00912F01"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A</w:t>
      </w:r>
      <w:r w:rsidR="004107D7" w:rsidRPr="009F3119">
        <w:rPr>
          <w:rFonts w:ascii="Palatino Linotype" w:hAnsi="Palatino Linotype"/>
          <w:color w:val="000000" w:themeColor="text1"/>
        </w:rPr>
        <w:t>sí las cosas, de las</w:t>
      </w:r>
      <w:r w:rsidR="00C9667A" w:rsidRPr="009F3119">
        <w:rPr>
          <w:rFonts w:ascii="Palatino Linotype" w:hAnsi="Palatino Linotype"/>
          <w:color w:val="000000" w:themeColor="text1"/>
        </w:rPr>
        <w:t xml:space="preserve"> manifes</w:t>
      </w:r>
      <w:r w:rsidR="004107D7" w:rsidRPr="009F3119">
        <w:rPr>
          <w:rFonts w:ascii="Palatino Linotype" w:hAnsi="Palatino Linotype"/>
          <w:color w:val="000000" w:themeColor="text1"/>
        </w:rPr>
        <w:t xml:space="preserve">taciones realizadas por </w:t>
      </w:r>
      <w:r w:rsidR="009747E8" w:rsidRPr="009F3119">
        <w:rPr>
          <w:rFonts w:ascii="Palatino Linotype" w:hAnsi="Palatino Linotype"/>
          <w:color w:val="000000" w:themeColor="text1"/>
        </w:rPr>
        <w:t xml:space="preserve">el </w:t>
      </w:r>
      <w:r w:rsidR="00141919" w:rsidRPr="009F3119">
        <w:rPr>
          <w:rFonts w:ascii="Palatino Linotype" w:hAnsi="Palatino Linotype"/>
          <w:b/>
          <w:bCs/>
          <w:color w:val="000000" w:themeColor="text1"/>
        </w:rPr>
        <w:t>SUJETO OBLIGADO</w:t>
      </w:r>
      <w:r w:rsidR="00141919" w:rsidRPr="009F3119">
        <w:rPr>
          <w:rFonts w:ascii="Palatino Linotype" w:hAnsi="Palatino Linotype"/>
          <w:color w:val="000000" w:themeColor="text1"/>
        </w:rPr>
        <w:t xml:space="preserve"> dentro de su acuse de respuesta a la solicitud de información</w:t>
      </w:r>
      <w:r w:rsidR="00213DFB" w:rsidRPr="009F3119">
        <w:rPr>
          <w:rFonts w:ascii="Palatino Linotype" w:hAnsi="Palatino Linotype"/>
          <w:color w:val="000000" w:themeColor="text1"/>
        </w:rPr>
        <w:t>,</w:t>
      </w:r>
      <w:r w:rsidR="004107D7" w:rsidRPr="009F3119">
        <w:rPr>
          <w:rFonts w:ascii="Palatino Linotype" w:hAnsi="Palatino Linotype"/>
          <w:color w:val="000000" w:themeColor="text1"/>
        </w:rPr>
        <w:t xml:space="preserve"> </w:t>
      </w:r>
      <w:r w:rsidR="00C9667A" w:rsidRPr="009F3119">
        <w:rPr>
          <w:rFonts w:ascii="Palatino Linotype" w:hAnsi="Palatino Linotype"/>
          <w:color w:val="000000" w:themeColor="text1"/>
        </w:rPr>
        <w:t>podemos rescatar los siguientes elementos:</w:t>
      </w:r>
    </w:p>
    <w:p w14:paraId="30C18103" w14:textId="21EBA859" w:rsidR="004107D7" w:rsidRPr="009F3119" w:rsidRDefault="00141919" w:rsidP="005917A6">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hAnsi="Palatino Linotype"/>
          <w:color w:val="000000" w:themeColor="text1"/>
        </w:rPr>
        <w:t>El Ayuntamiento de Melchor Ocampo exhortó al particular para consultar la información solicitada a través de su portal IPOMEX.</w:t>
      </w:r>
    </w:p>
    <w:p w14:paraId="38B4FD70" w14:textId="77777777" w:rsidR="005917A6" w:rsidRPr="009F3119" w:rsidRDefault="005917A6" w:rsidP="005917A6">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608DEC49" w:rsidR="009747E8" w:rsidRPr="009F3119" w:rsidRDefault="000A2A8C"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Derivado de lo anterior</w:t>
      </w:r>
      <w:r w:rsidR="009747E8" w:rsidRPr="009F3119">
        <w:rPr>
          <w:rFonts w:ascii="Palatino Linotype" w:hAnsi="Palatino Linotype"/>
          <w:color w:val="000000" w:themeColor="text1"/>
        </w:rPr>
        <w:t xml:space="preserve">, el ahora </w:t>
      </w:r>
      <w:r w:rsidR="009747E8" w:rsidRPr="009F3119">
        <w:rPr>
          <w:rFonts w:ascii="Palatino Linotype" w:hAnsi="Palatino Linotype"/>
          <w:b/>
          <w:color w:val="000000" w:themeColor="text1"/>
        </w:rPr>
        <w:t>RECURRENTE</w:t>
      </w:r>
      <w:r w:rsidR="009747E8" w:rsidRPr="009F3119">
        <w:rPr>
          <w:rFonts w:ascii="Palatino Linotype" w:hAnsi="Palatino Linotype"/>
          <w:color w:val="000000" w:themeColor="text1"/>
        </w:rPr>
        <w:t xml:space="preserve"> promovió el recurso de revisión con número al rubro indicado, en contra de la respuesta del </w:t>
      </w:r>
      <w:r w:rsidR="009747E8" w:rsidRPr="009F3119">
        <w:rPr>
          <w:rFonts w:ascii="Palatino Linotype" w:hAnsi="Palatino Linotype"/>
          <w:b/>
          <w:color w:val="000000" w:themeColor="text1"/>
        </w:rPr>
        <w:t xml:space="preserve">SUJETO </w:t>
      </w:r>
      <w:r w:rsidR="009747E8" w:rsidRPr="009F3119">
        <w:rPr>
          <w:rFonts w:ascii="Palatino Linotype" w:hAnsi="Palatino Linotype"/>
          <w:b/>
          <w:color w:val="000000" w:themeColor="text1"/>
        </w:rPr>
        <w:lastRenderedPageBreak/>
        <w:t>OBLIGADO</w:t>
      </w:r>
      <w:r w:rsidR="009747E8" w:rsidRPr="009F3119">
        <w:rPr>
          <w:rFonts w:ascii="Palatino Linotype" w:hAnsi="Palatino Linotype"/>
          <w:color w:val="000000" w:themeColor="text1"/>
        </w:rPr>
        <w:t xml:space="preserve">, y en los que señaló por agravios, esencialmente, </w:t>
      </w:r>
      <w:r w:rsidRPr="009F3119">
        <w:rPr>
          <w:rFonts w:ascii="Palatino Linotype" w:hAnsi="Palatino Linotype"/>
          <w:color w:val="000000" w:themeColor="text1"/>
        </w:rPr>
        <w:t xml:space="preserve">que </w:t>
      </w:r>
      <w:r w:rsidR="00141919" w:rsidRPr="009F3119">
        <w:rPr>
          <w:rFonts w:ascii="Palatino Linotype" w:hAnsi="Palatino Linotype"/>
          <w:color w:val="000000" w:themeColor="text1"/>
        </w:rPr>
        <w:t>no se le había hecho entrega de lo solicitado</w:t>
      </w:r>
      <w:r w:rsidR="009747E8" w:rsidRPr="009F3119">
        <w:rPr>
          <w:rFonts w:ascii="Palatino Linotype" w:hAnsi="Palatino Linotype"/>
          <w:color w:val="000000" w:themeColor="text1"/>
        </w:rPr>
        <w:t>.</w:t>
      </w:r>
    </w:p>
    <w:p w14:paraId="35553B91" w14:textId="77777777" w:rsidR="00392FF3" w:rsidRPr="009F3119"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57131FD0" w:rsidR="004107D7" w:rsidRPr="009F3119" w:rsidRDefault="000A2A8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Razón de lo anterior</w:t>
      </w:r>
      <w:r w:rsidR="004A2A62" w:rsidRPr="009F3119">
        <w:rPr>
          <w:rFonts w:ascii="Palatino Linotype" w:hAnsi="Palatino Linotype"/>
          <w:color w:val="000000" w:themeColor="text1"/>
        </w:rPr>
        <w:t>, se procede</w:t>
      </w:r>
      <w:r w:rsidR="00923604" w:rsidRPr="009F3119">
        <w:rPr>
          <w:rFonts w:ascii="Palatino Linotype" w:hAnsi="Palatino Linotype"/>
          <w:color w:val="000000" w:themeColor="text1"/>
        </w:rPr>
        <w:t>rá</w:t>
      </w:r>
      <w:r w:rsidR="004A2A62" w:rsidRPr="009F3119">
        <w:rPr>
          <w:rFonts w:ascii="Palatino Linotype" w:hAnsi="Palatino Linotype"/>
          <w:color w:val="000000" w:themeColor="text1"/>
        </w:rPr>
        <w:t xml:space="preserve"> a analizar el marco legal que engloba la información solicitada,</w:t>
      </w:r>
      <w:r w:rsidRPr="009F3119">
        <w:rPr>
          <w:rFonts w:ascii="Palatino Linotype" w:hAnsi="Palatino Linotype"/>
          <w:color w:val="000000" w:themeColor="text1"/>
        </w:rPr>
        <w:t xml:space="preserve"> así como la legalidad en la orientación para acceder a lo solicitado vía internet,</w:t>
      </w:r>
      <w:r w:rsidR="004A2A62" w:rsidRPr="009F3119">
        <w:rPr>
          <w:rFonts w:ascii="Palatino Linotype" w:hAnsi="Palatino Linotype"/>
          <w:color w:val="000000" w:themeColor="text1"/>
        </w:rPr>
        <w:t xml:space="preserve"> a fin de determinar si, con </w:t>
      </w:r>
      <w:r w:rsidR="00141919" w:rsidRPr="009F3119">
        <w:rPr>
          <w:rFonts w:ascii="Palatino Linotype" w:hAnsi="Palatino Linotype"/>
          <w:color w:val="000000" w:themeColor="text1"/>
        </w:rPr>
        <w:t>su</w:t>
      </w:r>
      <w:r w:rsidRPr="009F3119">
        <w:rPr>
          <w:rFonts w:ascii="Palatino Linotype" w:hAnsi="Palatino Linotype"/>
          <w:color w:val="000000" w:themeColor="text1"/>
        </w:rPr>
        <w:t xml:space="preserve"> respuesta</w:t>
      </w:r>
      <w:r w:rsidR="004A2A62" w:rsidRPr="009F3119">
        <w:rPr>
          <w:rFonts w:ascii="Palatino Linotype" w:hAnsi="Palatino Linotype"/>
          <w:color w:val="000000" w:themeColor="text1"/>
        </w:rPr>
        <w:t xml:space="preserve">, el </w:t>
      </w:r>
      <w:r w:rsidR="004A2A62" w:rsidRPr="009F3119">
        <w:rPr>
          <w:rFonts w:ascii="Palatino Linotype" w:hAnsi="Palatino Linotype"/>
          <w:b/>
          <w:color w:val="000000" w:themeColor="text1"/>
        </w:rPr>
        <w:t>SUJETO OBLIGADO</w:t>
      </w:r>
      <w:r w:rsidR="004A2A62" w:rsidRPr="009F3119">
        <w:rPr>
          <w:rFonts w:ascii="Palatino Linotype" w:hAnsi="Palatino Linotype"/>
          <w:color w:val="000000" w:themeColor="text1"/>
        </w:rPr>
        <w:t xml:space="preserve"> logró colmar el derecho de acceso a la información ejercido por el </w:t>
      </w:r>
      <w:r w:rsidR="004A2A62" w:rsidRPr="009F3119">
        <w:rPr>
          <w:rFonts w:ascii="Palatino Linotype" w:hAnsi="Palatino Linotype"/>
          <w:b/>
          <w:color w:val="000000" w:themeColor="text1"/>
        </w:rPr>
        <w:t>RECURRENTE</w:t>
      </w:r>
      <w:r w:rsidR="00923604" w:rsidRPr="009F3119">
        <w:rPr>
          <w:rFonts w:ascii="Palatino Linotype" w:hAnsi="Palatino Linotype"/>
          <w:bCs/>
          <w:color w:val="000000" w:themeColor="text1"/>
        </w:rPr>
        <w:t>;</w:t>
      </w:r>
      <w:r w:rsidR="004A2A62" w:rsidRPr="009F3119">
        <w:rPr>
          <w:rFonts w:ascii="Palatino Linotype" w:hAnsi="Palatino Linotype"/>
          <w:color w:val="000000" w:themeColor="text1"/>
        </w:rPr>
        <w:t xml:space="preserve"> o, si por el contrario, procede la entrega de información.</w:t>
      </w:r>
    </w:p>
    <w:p w14:paraId="3ADC38B3" w14:textId="77777777" w:rsidR="00865611" w:rsidRPr="009F3119"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752BF67E" w14:textId="017AE47D" w:rsidR="00865611" w:rsidRPr="009F3119" w:rsidRDefault="00865611" w:rsidP="0086561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F3119">
        <w:rPr>
          <w:rFonts w:ascii="Palatino Linotype" w:hAnsi="Palatino Linotype"/>
          <w:b/>
          <w:color w:val="000000" w:themeColor="text1"/>
        </w:rPr>
        <w:t xml:space="preserve">III. Del </w:t>
      </w:r>
      <w:r w:rsidR="00141919" w:rsidRPr="009F3119">
        <w:rPr>
          <w:rFonts w:ascii="Palatino Linotype" w:hAnsi="Palatino Linotype"/>
          <w:b/>
          <w:color w:val="000000" w:themeColor="text1"/>
        </w:rPr>
        <w:t>portal señalado por el Ayuntamiento de Melchor Ocampo</w:t>
      </w:r>
      <w:r w:rsidRPr="009F3119">
        <w:rPr>
          <w:rFonts w:ascii="Palatino Linotype" w:hAnsi="Palatino Linotype"/>
          <w:b/>
          <w:color w:val="000000" w:themeColor="text1"/>
        </w:rPr>
        <w:t xml:space="preserve"> para consultar la información.</w:t>
      </w:r>
    </w:p>
    <w:p w14:paraId="329C4273" w14:textId="77777777" w:rsidR="00865611" w:rsidRPr="009F3119"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EFD9271" w14:textId="02624B17" w:rsidR="00865611" w:rsidRPr="009F3119"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El artículo 161 de la Ley de Transparencia y Acceso a la Información Pública del Estado de México y Municipios establece que, cuando la </w:t>
      </w:r>
      <w:r w:rsidRPr="009F3119">
        <w:rPr>
          <w:rFonts w:ascii="Palatino Linotype" w:hAnsi="Palatino Linotype"/>
          <w:color w:val="000000" w:themeColor="text1"/>
          <w:lang w:val="es-ES_tradnl"/>
        </w:rPr>
        <w:t xml:space="preserve">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9F3119">
        <w:rPr>
          <w:rFonts w:ascii="Palatino Linotype" w:hAnsi="Palatino Linotype"/>
          <w:b/>
          <w:color w:val="000000" w:themeColor="text1"/>
          <w:lang w:val="es-ES_tradnl"/>
        </w:rPr>
        <w:t>en un plazo no mayor a cinco días hábiles</w:t>
      </w:r>
      <w:r w:rsidRPr="009F3119">
        <w:rPr>
          <w:rFonts w:ascii="Palatino Linotype" w:hAnsi="Palatino Linotype"/>
          <w:color w:val="000000" w:themeColor="text1"/>
          <w:lang w:val="es-ES_tradnl"/>
        </w:rPr>
        <w:t xml:space="preserve">. </w:t>
      </w:r>
      <w:r w:rsidRPr="009F3119">
        <w:rPr>
          <w:rFonts w:ascii="Palatino Linotype" w:hAnsi="Palatino Linotype"/>
          <w:b/>
          <w:color w:val="000000" w:themeColor="text1"/>
          <w:lang w:val="es-ES_tradnl"/>
        </w:rPr>
        <w:t>La fuente deberá ser precisa y concreta</w:t>
      </w:r>
      <w:r w:rsidRPr="009F3119">
        <w:rPr>
          <w:rFonts w:ascii="Palatino Linotype" w:hAnsi="Palatino Linotype"/>
          <w:color w:val="000000" w:themeColor="text1"/>
          <w:lang w:val="es-ES_tradnl"/>
        </w:rPr>
        <w:t xml:space="preserve"> y </w:t>
      </w:r>
      <w:r w:rsidRPr="009F3119">
        <w:rPr>
          <w:rFonts w:ascii="Palatino Linotype" w:hAnsi="Palatino Linotype"/>
          <w:b/>
          <w:color w:val="000000" w:themeColor="text1"/>
          <w:lang w:val="es-ES_tradnl"/>
        </w:rPr>
        <w:t>no debe implicar que el solicitante realice una búsqueda en toda la información que se encuentre disponible</w:t>
      </w:r>
      <w:r w:rsidRPr="009F3119">
        <w:rPr>
          <w:rFonts w:ascii="Palatino Linotype" w:hAnsi="Palatino Linotype"/>
          <w:color w:val="000000" w:themeColor="text1"/>
          <w:lang w:val="es-ES_tradnl"/>
        </w:rPr>
        <w:t>.</w:t>
      </w:r>
    </w:p>
    <w:p w14:paraId="2D77FD60" w14:textId="77777777" w:rsidR="00865611" w:rsidRPr="009F3119"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00E7B539" w14:textId="2CE524AB" w:rsidR="00865611" w:rsidRPr="009F3119"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Así </w:t>
      </w:r>
      <w:r w:rsidRPr="009F3119">
        <w:rPr>
          <w:rFonts w:ascii="Palatino Linotype" w:eastAsia="MS Mincho" w:hAnsi="Palatino Linotype" w:cs="Times New Roman"/>
        </w:rPr>
        <w:t xml:space="preserve">las cosas, la Ley de la materia establece que, para el caso de que la información que requieran los particulares ya se encuentre disponible en medios </w:t>
      </w:r>
      <w:r w:rsidRPr="009F3119">
        <w:rPr>
          <w:rFonts w:ascii="Palatino Linotype" w:eastAsia="MS Mincho" w:hAnsi="Palatino Linotype" w:cs="Times New Roman"/>
        </w:rPr>
        <w:lastRenderedPageBreak/>
        <w:t xml:space="preserve">electrónicos, el </w:t>
      </w:r>
      <w:r w:rsidRPr="009F3119">
        <w:rPr>
          <w:rFonts w:ascii="Palatino Linotype" w:eastAsia="MS Mincho" w:hAnsi="Palatino Linotype" w:cs="Times New Roman"/>
          <w:b/>
          <w:bCs/>
        </w:rPr>
        <w:t>SUJETO OBLIGADO</w:t>
      </w:r>
      <w:r w:rsidRPr="009F3119">
        <w:rPr>
          <w:rFonts w:ascii="Palatino Linotype" w:eastAsia="MS Mincho" w:hAnsi="Palatino Linotype" w:cs="Times New Roman"/>
        </w:rPr>
        <w:t xml:space="preserve"> podrá hacerle saber al particular la fuente de consulta atendiendo dos consideraciones: </w:t>
      </w:r>
      <w:r w:rsidRPr="009F3119">
        <w:rPr>
          <w:rFonts w:ascii="Palatino Linotype" w:eastAsia="MS Mincho" w:hAnsi="Palatino Linotype" w:cs="Times New Roman"/>
          <w:b/>
          <w:bCs/>
        </w:rPr>
        <w:t>a)</w:t>
      </w:r>
      <w:r w:rsidRPr="009F3119">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9F3119">
        <w:rPr>
          <w:rFonts w:ascii="Palatino Linotype" w:eastAsia="MS Mincho" w:hAnsi="Palatino Linotype" w:cs="Times New Roman"/>
          <w:b/>
          <w:bCs/>
        </w:rPr>
        <w:t>b)</w:t>
      </w:r>
      <w:r w:rsidRPr="009F3119">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6F401740" w14:textId="77777777" w:rsidR="00865611" w:rsidRPr="009F3119"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2DBDCEF" w14:textId="22078247" w:rsidR="00865611" w:rsidRPr="009F3119"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MS Mincho" w:hAnsi="Palatino Linotype" w:cs="Times New Roman"/>
        </w:rPr>
        <w:t xml:space="preserve">el presente asunto, por cuanto hace al primer elemento para acreditar la entrega de información señalando una fuente de consulta, como fuera señalado en el apartado de </w:t>
      </w:r>
      <w:r w:rsidRPr="009F3119">
        <w:rPr>
          <w:rFonts w:ascii="Palatino Linotype" w:eastAsia="MS Mincho" w:hAnsi="Palatino Linotype" w:cs="Times New Roman"/>
          <w:i/>
        </w:rPr>
        <w:t>Antecedentes</w:t>
      </w:r>
      <w:r w:rsidRPr="009F3119">
        <w:rPr>
          <w:rFonts w:ascii="Palatino Linotype" w:eastAsia="MS Mincho" w:hAnsi="Palatino Linotype" w:cs="Times New Roman"/>
        </w:rPr>
        <w:t xml:space="preserve"> de la presente resolución, el </w:t>
      </w:r>
      <w:r w:rsidRPr="009F3119">
        <w:rPr>
          <w:rFonts w:ascii="Palatino Linotype" w:eastAsia="MS Mincho" w:hAnsi="Palatino Linotype" w:cs="Times New Roman"/>
          <w:b/>
          <w:bCs/>
        </w:rPr>
        <w:t>SUJETO OBLIGADO</w:t>
      </w:r>
      <w:r w:rsidRPr="009F3119">
        <w:rPr>
          <w:rFonts w:ascii="Palatino Linotype" w:eastAsia="MS Mincho" w:hAnsi="Palatino Linotype" w:cs="Times New Roman"/>
        </w:rPr>
        <w:t xml:space="preserve"> entregó respuesta a la solicitud de información el </w:t>
      </w:r>
      <w:r w:rsidR="001418CB" w:rsidRPr="009F3119">
        <w:rPr>
          <w:rFonts w:ascii="Palatino Linotype" w:eastAsia="MS Mincho" w:hAnsi="Palatino Linotype" w:cs="Times New Roman"/>
        </w:rPr>
        <w:t>cuatro (04</w:t>
      </w:r>
      <w:r w:rsidRPr="009F3119">
        <w:rPr>
          <w:rFonts w:ascii="Palatino Linotype" w:eastAsia="MS Mincho" w:hAnsi="Palatino Linotype" w:cs="Times New Roman"/>
        </w:rPr>
        <w:t xml:space="preserve">) de mayo de dos mil veintidós; esto es, al décimo </w:t>
      </w:r>
      <w:r w:rsidR="001418CB" w:rsidRPr="009F3119">
        <w:rPr>
          <w:rFonts w:ascii="Palatino Linotype" w:eastAsia="MS Mincho" w:hAnsi="Palatino Linotype" w:cs="Times New Roman"/>
        </w:rPr>
        <w:t>quinto</w:t>
      </w:r>
      <w:r w:rsidRPr="009F3119">
        <w:rPr>
          <w:rFonts w:ascii="Palatino Linotype" w:eastAsia="MS Mincho" w:hAnsi="Palatino Linotype" w:cs="Times New Roman"/>
        </w:rPr>
        <w:t xml:space="preserve"> día hábil posterior a la presentación de la solicitud de información </w:t>
      </w:r>
      <w:r w:rsidR="0085795E" w:rsidRPr="009F3119">
        <w:rPr>
          <w:rFonts w:ascii="Palatino Linotype" w:eastAsia="MS Mincho" w:hAnsi="Palatino Linotype" w:cs="Times New Roman"/>
          <w:b/>
          <w:bCs/>
        </w:rPr>
        <w:t>00048/MELOCAM/IP/2022</w:t>
      </w:r>
      <w:r w:rsidRPr="009F3119">
        <w:rPr>
          <w:rFonts w:ascii="Palatino Linotype" w:eastAsia="MS Mincho" w:hAnsi="Palatino Linotype" w:cs="Times New Roman"/>
        </w:rPr>
        <w:t>, encontrándose superados los cinco días hábiles que determina la Ley de Transparencia Estatal.</w:t>
      </w:r>
    </w:p>
    <w:p w14:paraId="08C8E81E" w14:textId="77777777" w:rsidR="00865611" w:rsidRPr="009F3119"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2A95DE17" w14:textId="30911A47" w:rsidR="00865611" w:rsidRPr="009F3119"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Por otro lado, por cuanto hace a la fuente precisa y concreta para consultar la información, conviene recordar que el </w:t>
      </w:r>
      <w:r w:rsidRPr="009F3119">
        <w:rPr>
          <w:rFonts w:ascii="Palatino Linotype" w:hAnsi="Palatino Linotype"/>
          <w:b/>
          <w:color w:val="000000" w:themeColor="text1"/>
        </w:rPr>
        <w:t>SUJETO OBLIGADO</w:t>
      </w:r>
      <w:r w:rsidRPr="009F3119">
        <w:rPr>
          <w:rFonts w:ascii="Palatino Linotype" w:hAnsi="Palatino Linotype"/>
          <w:color w:val="000000" w:themeColor="text1"/>
        </w:rPr>
        <w:t xml:space="preserve"> </w:t>
      </w:r>
      <w:r w:rsidR="001418CB" w:rsidRPr="009F3119">
        <w:rPr>
          <w:rFonts w:ascii="Palatino Linotype" w:hAnsi="Palatino Linotype"/>
          <w:color w:val="000000" w:themeColor="text1"/>
        </w:rPr>
        <w:t xml:space="preserve">únicamente refirió que </w:t>
      </w:r>
      <w:r w:rsidR="001418CB" w:rsidRPr="009F3119">
        <w:rPr>
          <w:rFonts w:ascii="Palatino Linotype" w:hAnsi="Palatino Linotype"/>
          <w:i/>
          <w:iCs/>
          <w:color w:val="000000" w:themeColor="text1"/>
        </w:rPr>
        <w:t>“la información solicitada se encuentra en el portal de IPOMEX”</w:t>
      </w:r>
      <w:r w:rsidR="001418CB" w:rsidRPr="009F3119">
        <w:rPr>
          <w:rFonts w:ascii="Palatino Linotype" w:hAnsi="Palatino Linotype"/>
          <w:color w:val="000000" w:themeColor="text1"/>
        </w:rPr>
        <w:t>; empero, éste no entregó, siquiera, la dirección electrónica del portal de Información Pública de Oficio Mexiquense del Ayuntamiento de Melchor Ocampo, y mucho menos presentó instrucciones precisas al particular para dar con la información solicitada entre todo el cúmulo de información publicado en el portal referido.</w:t>
      </w:r>
    </w:p>
    <w:p w14:paraId="4D3458E9" w14:textId="77777777" w:rsidR="00865611" w:rsidRPr="009F3119"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696D0660" w14:textId="13BAD8FE" w:rsidR="00865611" w:rsidRPr="009F3119" w:rsidRDefault="001418C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lastRenderedPageBreak/>
        <w:t xml:space="preserve">Luego </w:t>
      </w:r>
      <w:proofErr w:type="spellStart"/>
      <w:r w:rsidRPr="009F3119">
        <w:rPr>
          <w:rFonts w:ascii="Palatino Linotype" w:hAnsi="Palatino Linotype"/>
          <w:color w:val="000000" w:themeColor="text1"/>
        </w:rPr>
        <w:t>entonce</w:t>
      </w:r>
      <w:proofErr w:type="spellEnd"/>
      <w:r w:rsidR="00A225C1" w:rsidRPr="009F3119">
        <w:rPr>
          <w:rFonts w:ascii="Palatino Linotype" w:hAnsi="Palatino Linotype"/>
          <w:color w:val="000000" w:themeColor="text1"/>
        </w:rPr>
        <w:t xml:space="preserve">, resulta evidente, a todas luces, que el </w:t>
      </w:r>
      <w:r w:rsidR="00A225C1" w:rsidRPr="009F3119">
        <w:rPr>
          <w:rFonts w:ascii="Palatino Linotype" w:hAnsi="Palatino Linotype"/>
          <w:b/>
          <w:color w:val="000000" w:themeColor="text1"/>
        </w:rPr>
        <w:t>SUJETO OBLIGADO</w:t>
      </w:r>
      <w:r w:rsidR="00A225C1" w:rsidRPr="009F3119">
        <w:rPr>
          <w:rFonts w:ascii="Palatino Linotype" w:hAnsi="Palatino Linotype"/>
          <w:color w:val="000000" w:themeColor="text1"/>
        </w:rPr>
        <w:t xml:space="preserve"> no proporcionó una fuente precisa que permitiera al </w:t>
      </w:r>
      <w:r w:rsidR="00A225C1" w:rsidRPr="009F3119">
        <w:rPr>
          <w:rFonts w:ascii="Palatino Linotype" w:hAnsi="Palatino Linotype"/>
          <w:b/>
          <w:color w:val="000000" w:themeColor="text1"/>
        </w:rPr>
        <w:t>RECURRENTE</w:t>
      </w:r>
      <w:r w:rsidR="00A225C1" w:rsidRPr="009F3119">
        <w:rPr>
          <w:rFonts w:ascii="Palatino Linotype" w:hAnsi="Palatino Linotype"/>
          <w:color w:val="000000" w:themeColor="text1"/>
        </w:rPr>
        <w:t xml:space="preserve"> consultar la información solicitada. Por lo tanto, el segundo elemento considerado por el artículo 161 de la Ley de Transparencia y Acceso a la Información Pública del Estado de México y Municipios, tampoco fue atendido por el </w:t>
      </w:r>
      <w:r w:rsidR="0085795E" w:rsidRPr="009F3119">
        <w:rPr>
          <w:rFonts w:ascii="Palatino Linotype" w:hAnsi="Palatino Linotype"/>
          <w:color w:val="000000" w:themeColor="text1"/>
        </w:rPr>
        <w:t>Ayuntamiento de Melchor Ocampo</w:t>
      </w:r>
      <w:r w:rsidR="00A225C1" w:rsidRPr="009F3119">
        <w:rPr>
          <w:rFonts w:ascii="Palatino Linotype" w:hAnsi="Palatino Linotype"/>
          <w:color w:val="000000" w:themeColor="text1"/>
        </w:rPr>
        <w:t>.</w:t>
      </w:r>
    </w:p>
    <w:p w14:paraId="3DA0F3B3" w14:textId="77777777" w:rsidR="00EB6084" w:rsidRPr="009F3119"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20761E66" w:rsidR="00893537" w:rsidRPr="009F3119"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9F3119">
        <w:rPr>
          <w:rFonts w:ascii="Palatino Linotype" w:hAnsi="Palatino Linotype"/>
          <w:b/>
          <w:color w:val="000000" w:themeColor="text1"/>
        </w:rPr>
        <w:t>I</w:t>
      </w:r>
      <w:r w:rsidR="00893537" w:rsidRPr="009F3119">
        <w:rPr>
          <w:rFonts w:ascii="Palatino Linotype" w:hAnsi="Palatino Linotype"/>
          <w:b/>
          <w:color w:val="000000" w:themeColor="text1"/>
        </w:rPr>
        <w:t>V. De</w:t>
      </w:r>
      <w:r w:rsidR="00F31AE8" w:rsidRPr="009F3119">
        <w:rPr>
          <w:rFonts w:ascii="Palatino Linotype" w:hAnsi="Palatino Linotype"/>
          <w:b/>
          <w:color w:val="000000" w:themeColor="text1"/>
        </w:rPr>
        <w:t xml:space="preserve"> </w:t>
      </w:r>
      <w:r w:rsidR="00923604" w:rsidRPr="009F3119">
        <w:rPr>
          <w:rFonts w:ascii="Palatino Linotype" w:hAnsi="Palatino Linotype"/>
          <w:b/>
          <w:color w:val="000000" w:themeColor="text1"/>
        </w:rPr>
        <w:t>la nómina</w:t>
      </w:r>
      <w:r w:rsidR="00B246C8" w:rsidRPr="009F3119">
        <w:rPr>
          <w:rFonts w:ascii="Palatino Linotype" w:hAnsi="Palatino Linotype"/>
          <w:b/>
          <w:color w:val="000000" w:themeColor="text1"/>
        </w:rPr>
        <w:t xml:space="preserve"> de los servidores públicos</w:t>
      </w:r>
      <w:r w:rsidR="00893537" w:rsidRPr="009F3119">
        <w:rPr>
          <w:rFonts w:ascii="Palatino Linotype" w:hAnsi="Palatino Linotype"/>
          <w:b/>
          <w:color w:val="000000" w:themeColor="text1"/>
        </w:rPr>
        <w:t>.</w:t>
      </w:r>
    </w:p>
    <w:p w14:paraId="56B52BDA" w14:textId="77777777" w:rsidR="00893537" w:rsidRPr="009F3119"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6F844AC8" w14:textId="2C7E0024" w:rsidR="00174A5C" w:rsidRPr="009F3119" w:rsidRDefault="00174A5C" w:rsidP="00174A5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No es ocioso mencionar</w:t>
      </w:r>
      <w:r w:rsidRPr="009F3119">
        <w:rPr>
          <w:rFonts w:ascii="Palatino Linotype" w:eastAsia="MS Mincho" w:hAnsi="Palatino Linotype" w:cs="Times New Roman"/>
        </w:rPr>
        <w:t xml:space="preserve"> que, de acuerdo con la naturaleza de la información solicitada, ésta resulta de interés general y de alcance público, en atención a lo dispuesto por el artículo 23, fracción IV, y penúltimo párrafo de la Ley de Transparencia y Acceso a la Información Pública del Estado de México y Municipios, el cual establece que </w:t>
      </w:r>
      <w:r w:rsidRPr="009F3119">
        <w:rPr>
          <w:rFonts w:ascii="Palatino Linotype" w:eastAsia="MS Mincho" w:hAnsi="Palatino Linotype" w:cs="Times New Roman"/>
          <w:b/>
          <w:bCs/>
        </w:rPr>
        <w:t>los ayuntamientos</w:t>
      </w:r>
      <w:r w:rsidRPr="009F3119">
        <w:rPr>
          <w:rFonts w:ascii="Palatino Linotype" w:eastAsia="MS Mincho" w:hAnsi="Palatino Linotype" w:cs="Times New Roman"/>
        </w:rPr>
        <w:t xml:space="preserve"> y las dependencias, organismos, órganos y entidades de la administración municipal, </w:t>
      </w:r>
      <w:r w:rsidRPr="009F3119">
        <w:rPr>
          <w:rFonts w:ascii="Palatino Linotype" w:eastAsia="MS Mincho" w:hAnsi="Palatino Linotype" w:cs="Times New Roman"/>
          <w:b/>
          <w:bCs/>
        </w:rPr>
        <w:t>deberán hacer pública toda aquella información relativa a las personas a quienes entreguen recursos públicos</w:t>
      </w:r>
      <w:r w:rsidRPr="009F3119">
        <w:rPr>
          <w:rFonts w:ascii="Palatino Linotype" w:eastAsia="MS Mincho" w:hAnsi="Palatino Linotype" w:cs="Times New Roman"/>
        </w:rPr>
        <w:t>.</w:t>
      </w:r>
    </w:p>
    <w:p w14:paraId="4135D996" w14:textId="77777777" w:rsidR="00174A5C" w:rsidRPr="009F3119" w:rsidRDefault="00174A5C" w:rsidP="00174A5C">
      <w:pPr>
        <w:pStyle w:val="Prrafodelista"/>
        <w:tabs>
          <w:tab w:val="left" w:pos="426"/>
        </w:tabs>
        <w:spacing w:before="240" w:after="240" w:line="360" w:lineRule="auto"/>
        <w:ind w:left="0" w:right="51"/>
        <w:jc w:val="both"/>
        <w:rPr>
          <w:rFonts w:ascii="Palatino Linotype" w:hAnsi="Palatino Linotype"/>
          <w:color w:val="000000" w:themeColor="text1"/>
        </w:rPr>
      </w:pPr>
    </w:p>
    <w:p w14:paraId="49E91DF1" w14:textId="77777777" w:rsidR="00174A5C" w:rsidRPr="009F3119" w:rsidRDefault="00174A5C" w:rsidP="00174A5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Más </w:t>
      </w:r>
      <w:r w:rsidRPr="009F3119">
        <w:rPr>
          <w:rFonts w:ascii="Palatino Linotype" w:eastAsia="MS Gothic" w:hAnsi="Palatino Linotype" w:cs="Times New Roman"/>
          <w:szCs w:val="26"/>
        </w:rPr>
        <w:t xml:space="preserve">aún, se debe destacar que la información relacionada con las remuneraciones de los servidores públicos se encuentra reconocida como una de las obligaciones de transparencia común que el </w:t>
      </w:r>
      <w:r w:rsidRPr="009F3119">
        <w:rPr>
          <w:rFonts w:ascii="Palatino Linotype" w:eastAsia="MS Gothic" w:hAnsi="Palatino Linotype" w:cs="Times New Roman"/>
          <w:b/>
          <w:bCs/>
          <w:szCs w:val="26"/>
        </w:rPr>
        <w:t>SUJETO OBLIGADO</w:t>
      </w:r>
      <w:r w:rsidRPr="009F3119">
        <w:rPr>
          <w:rFonts w:ascii="Palatino Linotype" w:eastAsia="MS Gothic" w:hAnsi="Palatino Linotype" w:cs="Times New Roman"/>
          <w:szCs w:val="26"/>
        </w:rPr>
        <w:t xml:space="preserve"> </w:t>
      </w:r>
      <w:r w:rsidRPr="009F3119">
        <w:rPr>
          <w:rFonts w:ascii="Palatino Linotype" w:eastAsia="MS Gothic" w:hAnsi="Palatino Linotype" w:cs="Times New Roman"/>
          <w:i/>
          <w:iCs/>
          <w:szCs w:val="26"/>
        </w:rPr>
        <w:t>a fortiori</w:t>
      </w:r>
      <w:r w:rsidRPr="009F3119">
        <w:rPr>
          <w:rFonts w:ascii="Palatino Linotype" w:eastAsia="MS Gothic" w:hAnsi="Palatino Linotype" w:cs="Times New Roman"/>
          <w:szCs w:val="26"/>
        </w:rPr>
        <w:t xml:space="preserve"> debe publicar y difundir a la ciudadanía de conformidad con lo dispuesto en el artículo 92, fracción VIII, de la Ley de Transparencia y Acceso a la Información Pública del Estado de México y Municipios, y que a la letra dice:</w:t>
      </w:r>
    </w:p>
    <w:p w14:paraId="0F2E8736" w14:textId="77777777" w:rsidR="00174A5C" w:rsidRPr="009F3119" w:rsidRDefault="00174A5C" w:rsidP="00174A5C">
      <w:pPr>
        <w:pStyle w:val="Prrafodelista"/>
        <w:tabs>
          <w:tab w:val="left" w:pos="426"/>
        </w:tabs>
        <w:spacing w:before="240" w:line="360" w:lineRule="auto"/>
        <w:ind w:left="0" w:right="51"/>
        <w:jc w:val="both"/>
        <w:rPr>
          <w:rFonts w:ascii="Palatino Linotype" w:hAnsi="Palatino Linotype"/>
          <w:color w:val="000000" w:themeColor="text1"/>
        </w:rPr>
      </w:pPr>
    </w:p>
    <w:p w14:paraId="0705E23C" w14:textId="77777777" w:rsidR="00174A5C" w:rsidRPr="009F3119" w:rsidRDefault="00174A5C" w:rsidP="00174A5C">
      <w:pPr>
        <w:pStyle w:val="Prrafodelista"/>
        <w:tabs>
          <w:tab w:val="left" w:pos="426"/>
        </w:tabs>
        <w:spacing w:before="240" w:after="240" w:line="276" w:lineRule="auto"/>
        <w:ind w:left="567" w:right="567"/>
        <w:jc w:val="both"/>
        <w:rPr>
          <w:rFonts w:ascii="Palatino Linotype" w:hAnsi="Palatino Linotype"/>
          <w:i/>
          <w:iCs/>
          <w:sz w:val="22"/>
          <w:szCs w:val="22"/>
        </w:rPr>
      </w:pPr>
      <w:r w:rsidRPr="009F3119">
        <w:rPr>
          <w:rFonts w:ascii="Palatino Linotype" w:hAnsi="Palatino Linotype"/>
          <w:i/>
          <w:iCs/>
          <w:sz w:val="22"/>
          <w:szCs w:val="22"/>
        </w:rPr>
        <w:t>“</w:t>
      </w:r>
      <w:r w:rsidRPr="009F3119">
        <w:rPr>
          <w:rFonts w:ascii="Palatino Linotype" w:hAnsi="Palatino Linotype"/>
          <w:b/>
          <w:bCs/>
          <w:i/>
          <w:iCs/>
          <w:sz w:val="22"/>
          <w:szCs w:val="22"/>
        </w:rPr>
        <w:t>Artículo 92.</w:t>
      </w:r>
      <w:r w:rsidRPr="009F3119">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C4D372" w14:textId="77777777" w:rsidR="00174A5C" w:rsidRPr="009F3119" w:rsidRDefault="00174A5C" w:rsidP="00174A5C">
      <w:pPr>
        <w:pStyle w:val="Prrafodelista"/>
        <w:tabs>
          <w:tab w:val="left" w:pos="426"/>
        </w:tabs>
        <w:spacing w:before="240" w:after="240" w:line="276" w:lineRule="auto"/>
        <w:ind w:left="567" w:right="567"/>
        <w:jc w:val="both"/>
        <w:rPr>
          <w:rFonts w:ascii="Palatino Linotype" w:hAnsi="Palatino Linotype"/>
          <w:i/>
          <w:iCs/>
          <w:sz w:val="22"/>
          <w:szCs w:val="22"/>
        </w:rPr>
      </w:pPr>
      <w:r w:rsidRPr="009F3119">
        <w:rPr>
          <w:rFonts w:ascii="Palatino Linotype" w:hAnsi="Palatino Linotype"/>
          <w:i/>
          <w:iCs/>
          <w:sz w:val="22"/>
          <w:szCs w:val="22"/>
        </w:rPr>
        <w:t>(…)</w:t>
      </w:r>
    </w:p>
    <w:p w14:paraId="24F06002" w14:textId="77777777" w:rsidR="00174A5C" w:rsidRPr="009F3119" w:rsidRDefault="00174A5C" w:rsidP="00174A5C">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F3119">
        <w:rPr>
          <w:rFonts w:ascii="Palatino Linotype" w:hAnsi="Palatino Linotype"/>
          <w:b/>
          <w:bCs/>
          <w:i/>
          <w:iCs/>
          <w:sz w:val="22"/>
          <w:szCs w:val="22"/>
        </w:rPr>
        <w:t xml:space="preserve">VIII. </w:t>
      </w:r>
      <w:r w:rsidRPr="009F3119">
        <w:rPr>
          <w:rFonts w:ascii="Palatino Linotype" w:hAnsi="Palatino Linotype"/>
          <w:i/>
          <w:iCs/>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9F3119">
        <w:rPr>
          <w:rFonts w:ascii="Palatino Linotype" w:hAnsi="Palatino Linotype"/>
          <w:b/>
          <w:bCs/>
          <w:i/>
          <w:iCs/>
          <w:sz w:val="22"/>
          <w:szCs w:val="22"/>
        </w:rPr>
        <w:t xml:space="preserve"> </w:t>
      </w:r>
    </w:p>
    <w:p w14:paraId="349FEAEB" w14:textId="77777777" w:rsidR="00174A5C" w:rsidRPr="009F3119" w:rsidRDefault="00174A5C" w:rsidP="00174A5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F3119">
        <w:rPr>
          <w:rFonts w:ascii="Palatino Linotype" w:hAnsi="Palatino Linotype"/>
          <w:i/>
          <w:iCs/>
          <w:sz w:val="22"/>
          <w:szCs w:val="22"/>
        </w:rPr>
        <w:t>(…)”</w:t>
      </w:r>
    </w:p>
    <w:p w14:paraId="725F5BEA" w14:textId="77777777" w:rsidR="00174A5C" w:rsidRPr="009F3119" w:rsidRDefault="00174A5C" w:rsidP="00174A5C">
      <w:pPr>
        <w:pStyle w:val="Prrafodelista"/>
        <w:tabs>
          <w:tab w:val="left" w:pos="426"/>
        </w:tabs>
        <w:spacing w:before="240" w:after="240" w:line="360" w:lineRule="auto"/>
        <w:ind w:left="0" w:right="51"/>
        <w:jc w:val="both"/>
        <w:rPr>
          <w:rFonts w:ascii="Palatino Linotype" w:hAnsi="Palatino Linotype"/>
          <w:color w:val="000000" w:themeColor="text1"/>
        </w:rPr>
      </w:pPr>
    </w:p>
    <w:p w14:paraId="13C2D6E7" w14:textId="320408BA" w:rsidR="00422378" w:rsidRPr="009F3119" w:rsidRDefault="00174A5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Al respecto, el</w:t>
      </w:r>
      <w:r w:rsidR="00B246C8" w:rsidRPr="009F3119">
        <w:rPr>
          <w:rFonts w:ascii="Palatino Linotype" w:hAnsi="Palatino Linotype"/>
          <w:color w:val="000000" w:themeColor="text1"/>
        </w:rPr>
        <w:t xml:space="preserve"> </w:t>
      </w:r>
      <w:r w:rsidR="00B246C8" w:rsidRPr="009F3119">
        <w:rPr>
          <w:rFonts w:ascii="Palatino Linotype" w:hAnsi="Palatino Linotype" w:cs="Arial"/>
          <w:color w:val="000000" w:themeColor="text1"/>
        </w:rPr>
        <w:t>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w:t>
      </w:r>
    </w:p>
    <w:p w14:paraId="5F40E734"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9E1A09" w14:textId="6AE48613" w:rsidR="00B246C8" w:rsidRPr="009F3119" w:rsidRDefault="00B246C8"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Por su parte, </w:t>
      </w:r>
      <w:r w:rsidR="00D43E64" w:rsidRPr="009F3119">
        <w:rPr>
          <w:rFonts w:ascii="Palatino Linotype" w:hAnsi="Palatino Linotype"/>
          <w:color w:val="000000" w:themeColor="text1"/>
        </w:rPr>
        <w:t>la Constitución Política del Estado Libre y Soberano de México, en sus</w:t>
      </w:r>
      <w:r w:rsidRPr="009F3119">
        <w:rPr>
          <w:rFonts w:ascii="Palatino Linotype" w:hAnsi="Palatino Linotype"/>
          <w:color w:val="000000" w:themeColor="text1"/>
        </w:rPr>
        <w:t xml:space="preserve"> numerales 125 y 147</w:t>
      </w:r>
      <w:r w:rsidR="00D43E64" w:rsidRPr="009F3119">
        <w:rPr>
          <w:rFonts w:ascii="Palatino Linotype" w:hAnsi="Palatino Linotype"/>
          <w:color w:val="000000" w:themeColor="text1"/>
        </w:rPr>
        <w:t xml:space="preserve"> </w:t>
      </w:r>
      <w:r w:rsidRPr="009F3119">
        <w:rPr>
          <w:rFonts w:ascii="Palatino Linotype" w:hAnsi="Palatino Linotype"/>
          <w:color w:val="000000" w:themeColor="text1"/>
        </w:rPr>
        <w:t>establece, en relación con el presupuesto público y las remuneraciones de los trabajadores</w:t>
      </w:r>
      <w:r w:rsidR="00D43E64" w:rsidRPr="009F3119">
        <w:rPr>
          <w:rFonts w:ascii="Palatino Linotype" w:hAnsi="Palatino Linotype"/>
          <w:color w:val="000000" w:themeColor="text1"/>
        </w:rPr>
        <w:t>, lo siguiente:</w:t>
      </w:r>
    </w:p>
    <w:p w14:paraId="105860E9" w14:textId="5BF87E69" w:rsidR="00B246C8" w:rsidRPr="009F3119"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3608DD8" w14:textId="77777777" w:rsidR="00D43E64" w:rsidRPr="009F3119" w:rsidRDefault="00D43E64" w:rsidP="00D43E64">
      <w:pPr>
        <w:spacing w:line="276" w:lineRule="auto"/>
        <w:ind w:left="567" w:right="616"/>
        <w:jc w:val="both"/>
        <w:rPr>
          <w:rFonts w:ascii="Palatino Linotype" w:hAnsi="Palatino Linotype" w:cs="Arial"/>
          <w:i/>
          <w:sz w:val="22"/>
        </w:rPr>
      </w:pPr>
      <w:r w:rsidRPr="009F3119">
        <w:rPr>
          <w:rFonts w:ascii="Palatino Linotype" w:hAnsi="Palatino Linotype" w:cs="Arial"/>
          <w:b/>
          <w:bCs/>
          <w:i/>
          <w:sz w:val="22"/>
        </w:rPr>
        <w:t>“Artículo 125.</w:t>
      </w:r>
      <w:r w:rsidRPr="009F3119">
        <w:rPr>
          <w:rFonts w:ascii="Palatino Linotype" w:hAnsi="Palatino Linotype" w:cs="Arial"/>
          <w:i/>
          <w:sz w:val="22"/>
        </w:rPr>
        <w:t xml:space="preserve"> </w:t>
      </w:r>
    </w:p>
    <w:p w14:paraId="0A2E931B" w14:textId="77777777" w:rsidR="00D43E64" w:rsidRPr="009F3119" w:rsidRDefault="00D43E64" w:rsidP="00D43E64">
      <w:pPr>
        <w:spacing w:line="276" w:lineRule="auto"/>
        <w:ind w:left="567" w:right="616"/>
        <w:jc w:val="both"/>
        <w:rPr>
          <w:rFonts w:ascii="Palatino Linotype" w:hAnsi="Palatino Linotype" w:cs="Arial"/>
          <w:b/>
          <w:bCs/>
          <w:i/>
          <w:sz w:val="22"/>
        </w:rPr>
      </w:pPr>
      <w:r w:rsidRPr="009F3119">
        <w:rPr>
          <w:rFonts w:ascii="Palatino Linotype" w:hAnsi="Palatino Linotype" w:cs="Arial"/>
          <w:i/>
          <w:sz w:val="22"/>
        </w:rPr>
        <w:t>(…)</w:t>
      </w:r>
    </w:p>
    <w:p w14:paraId="37CE1B0C" w14:textId="77777777" w:rsidR="00D43E64" w:rsidRPr="009F3119" w:rsidRDefault="00D43E64" w:rsidP="00D43E64">
      <w:pPr>
        <w:spacing w:line="276" w:lineRule="auto"/>
        <w:ind w:left="567" w:right="616"/>
        <w:jc w:val="both"/>
        <w:rPr>
          <w:rFonts w:ascii="Palatino Linotype" w:eastAsia="Calibri" w:hAnsi="Palatino Linotype" w:cs="Arial"/>
          <w:i/>
          <w:sz w:val="22"/>
          <w:lang w:eastAsia="es-MX"/>
        </w:rPr>
      </w:pPr>
      <w:r w:rsidRPr="009F3119">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9F3119">
        <w:rPr>
          <w:rFonts w:ascii="Palatino Linotype" w:eastAsia="Calibri" w:hAnsi="Palatino Linotype" w:cs="Arial"/>
          <w:i/>
          <w:sz w:val="22"/>
          <w:lang w:eastAsia="es-MX"/>
        </w:rPr>
        <w:t>, sujetándose a lo dispuesto en el artículo 147 de esta Constitución.</w:t>
      </w:r>
    </w:p>
    <w:p w14:paraId="78F06396" w14:textId="77777777" w:rsidR="00D43E64" w:rsidRPr="009F3119" w:rsidRDefault="00D43E64" w:rsidP="00D43E64">
      <w:pPr>
        <w:spacing w:line="276" w:lineRule="auto"/>
        <w:ind w:left="567" w:right="616"/>
        <w:jc w:val="both"/>
        <w:rPr>
          <w:rFonts w:ascii="Palatino Linotype" w:eastAsia="Calibri" w:hAnsi="Palatino Linotype" w:cs="Arial"/>
          <w:i/>
          <w:sz w:val="22"/>
          <w:lang w:eastAsia="es-MX"/>
        </w:rPr>
      </w:pPr>
    </w:p>
    <w:p w14:paraId="39297597" w14:textId="77777777" w:rsidR="00D43E64" w:rsidRPr="009F3119" w:rsidRDefault="00D43E64" w:rsidP="00D43E64">
      <w:pPr>
        <w:spacing w:line="276" w:lineRule="auto"/>
        <w:ind w:left="567" w:right="616"/>
        <w:jc w:val="both"/>
        <w:rPr>
          <w:rFonts w:ascii="Palatino Linotype" w:eastAsia="Times New Roman" w:hAnsi="Palatino Linotype" w:cs="Arial"/>
          <w:b/>
          <w:bCs/>
          <w:iCs/>
          <w:sz w:val="22"/>
          <w:lang w:val="es-ES"/>
        </w:rPr>
      </w:pPr>
      <w:r w:rsidRPr="009F3119">
        <w:rPr>
          <w:rFonts w:ascii="Palatino Linotype" w:eastAsia="Times New Roman" w:hAnsi="Palatino Linotype" w:cs="Arial"/>
          <w:b/>
          <w:bCs/>
          <w:i/>
          <w:sz w:val="22"/>
          <w:lang w:val="es-ES"/>
        </w:rPr>
        <w:t xml:space="preserve">Artículo 147.- </w:t>
      </w:r>
      <w:r w:rsidRPr="009F3119">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9F3119">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p>
    <w:p w14:paraId="069104B1" w14:textId="77777777" w:rsidR="00D43E64" w:rsidRPr="009F3119" w:rsidRDefault="00D43E64" w:rsidP="00D43E64">
      <w:pPr>
        <w:spacing w:line="276" w:lineRule="auto"/>
        <w:ind w:left="567" w:right="616"/>
        <w:jc w:val="both"/>
        <w:rPr>
          <w:rFonts w:ascii="Palatino Linotype" w:eastAsia="Arial" w:hAnsi="Palatino Linotype" w:cs="Arial"/>
          <w:iCs/>
          <w:sz w:val="20"/>
          <w:lang w:eastAsia="en-US"/>
        </w:rPr>
      </w:pPr>
      <w:r w:rsidRPr="009F3119">
        <w:rPr>
          <w:rFonts w:ascii="Palatino Linotype" w:eastAsia="Times New Roman" w:hAnsi="Palatino Linotype" w:cs="Arial"/>
          <w:iCs/>
          <w:sz w:val="22"/>
          <w:lang w:val="es-ES"/>
        </w:rPr>
        <w:t>(Énfasis añadido)</w:t>
      </w:r>
    </w:p>
    <w:p w14:paraId="5A88097F"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0F106EE" w14:textId="7EEDBEE7"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MS Gothic" w:hAnsi="Palatino Linotype" w:cs="Times New Roman"/>
          <w:szCs w:val="26"/>
        </w:rPr>
        <w:t xml:space="preserve">este </w:t>
      </w:r>
      <w:r w:rsidRPr="009F3119">
        <w:rPr>
          <w:rFonts w:ascii="Palatino Linotype" w:eastAsia="MS Mincho" w:hAnsi="Palatino Linotype" w:cs="Times New Roman"/>
          <w:color w:val="000000"/>
        </w:rPr>
        <w:t xml:space="preserve">orden de ideas el artículo 31 de la </w:t>
      </w:r>
      <w:r w:rsidRPr="009F3119">
        <w:rPr>
          <w:rFonts w:ascii="Palatino Linotype" w:eastAsia="MS Mincho" w:hAnsi="Palatino Linotype" w:cs="Times New Roman"/>
          <w:b/>
          <w:color w:val="000000"/>
        </w:rPr>
        <w:t xml:space="preserve">Ley Orgánica Municipal del Estado de México y Municipios </w:t>
      </w:r>
      <w:r w:rsidRPr="009F3119">
        <w:rPr>
          <w:rFonts w:ascii="Palatino Linotype" w:eastAsia="MS Mincho" w:hAnsi="Palatino Linotype" w:cs="Times New Roman"/>
          <w:color w:val="000000"/>
        </w:rPr>
        <w:t>a la letra señala que:</w:t>
      </w:r>
    </w:p>
    <w:p w14:paraId="40B0A176" w14:textId="44A2C089" w:rsidR="00B246C8" w:rsidRPr="009F3119"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8B666BA"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b/>
          <w:i/>
          <w:sz w:val="22"/>
        </w:rPr>
        <w:t>“Artículo 31</w:t>
      </w:r>
      <w:r w:rsidRPr="009F3119">
        <w:rPr>
          <w:rFonts w:ascii="Palatino Linotype" w:hAnsi="Palatino Linotype"/>
          <w:i/>
          <w:sz w:val="22"/>
        </w:rPr>
        <w:t>.- Son atribuciones de los ayuntamientos:</w:t>
      </w:r>
    </w:p>
    <w:p w14:paraId="388FE42F"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i/>
          <w:sz w:val="22"/>
        </w:rPr>
        <w:t>(…)</w:t>
      </w:r>
    </w:p>
    <w:p w14:paraId="0331A729"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b/>
          <w:i/>
          <w:sz w:val="22"/>
        </w:rPr>
        <w:t>IV.</w:t>
      </w:r>
      <w:r w:rsidRPr="009F3119">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22E67955"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i/>
          <w:sz w:val="22"/>
        </w:rPr>
        <w:t>(…)</w:t>
      </w:r>
    </w:p>
    <w:p w14:paraId="7EC97683"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b/>
          <w:i/>
          <w:sz w:val="22"/>
        </w:rPr>
        <w:t>XIX.</w:t>
      </w:r>
      <w:r w:rsidRPr="009F3119">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11D47F1F"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9F3119">
        <w:rPr>
          <w:rFonts w:ascii="Palatino Linotype" w:hAnsi="Palatino Linotype"/>
          <w:i/>
          <w:sz w:val="22"/>
        </w:rPr>
        <w:t xml:space="preserve">, determinada conforme a principios de racionalidad, austeridad, </w:t>
      </w:r>
      <w:r w:rsidRPr="009F3119">
        <w:rPr>
          <w:rFonts w:ascii="Palatino Linotype" w:hAnsi="Palatino Linotype"/>
          <w:i/>
          <w:sz w:val="22"/>
        </w:rPr>
        <w:lastRenderedPageBreak/>
        <w:t xml:space="preserve">disciplina financiera, equidad, legalidad, igualdad y transparencia, sujetándose a lo dispuesto por el Código Financiero y demás disposiciones legales aplicables. </w:t>
      </w:r>
    </w:p>
    <w:p w14:paraId="201D81BC" w14:textId="77777777" w:rsidR="00D43E64" w:rsidRPr="009F3119" w:rsidRDefault="00D43E64" w:rsidP="00D43E64">
      <w:pPr>
        <w:autoSpaceDE w:val="0"/>
        <w:autoSpaceDN w:val="0"/>
        <w:adjustRightInd w:val="0"/>
        <w:spacing w:line="276" w:lineRule="auto"/>
        <w:ind w:left="567" w:right="567"/>
        <w:jc w:val="both"/>
        <w:rPr>
          <w:rFonts w:ascii="Palatino Linotype" w:hAnsi="Palatino Linotype"/>
          <w:i/>
          <w:sz w:val="22"/>
        </w:rPr>
      </w:pPr>
      <w:r w:rsidRPr="009F3119">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2706C8FD" w14:textId="77777777" w:rsidR="00D43E64" w:rsidRPr="009F3119" w:rsidRDefault="00D43E64" w:rsidP="00D43E64">
      <w:pPr>
        <w:autoSpaceDE w:val="0"/>
        <w:autoSpaceDN w:val="0"/>
        <w:adjustRightInd w:val="0"/>
        <w:spacing w:line="276" w:lineRule="auto"/>
        <w:ind w:left="567" w:right="567"/>
        <w:jc w:val="both"/>
        <w:rPr>
          <w:rFonts w:ascii="Palatino Linotype" w:eastAsia="Arial" w:hAnsi="Palatino Linotype" w:cs="Arial"/>
          <w:sz w:val="20"/>
          <w:lang w:eastAsia="en-US"/>
        </w:rPr>
      </w:pPr>
      <w:r w:rsidRPr="009F3119">
        <w:rPr>
          <w:rFonts w:ascii="Palatino Linotype" w:hAnsi="Palatino Linotype"/>
          <w:sz w:val="22"/>
        </w:rPr>
        <w:t>(Énfasis añadido)</w:t>
      </w:r>
    </w:p>
    <w:p w14:paraId="79D82AC3"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35D9C0E3" w14:textId="5C18166A" w:rsidR="00B246C8" w:rsidRPr="009F3119" w:rsidRDefault="0092360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Dicho lo anterior, </w:t>
      </w:r>
      <w:r w:rsidR="00D43E64" w:rsidRPr="009F3119">
        <w:rPr>
          <w:rFonts w:ascii="Palatino Linotype" w:eastAsia="MS Gothic" w:hAnsi="Palatino Linotype" w:cs="Times New Roman"/>
          <w:szCs w:val="26"/>
        </w:rPr>
        <w:t xml:space="preserve">si bien es cierto que en nuestra legislación no existe como tal una definición del término </w:t>
      </w:r>
      <w:r w:rsidR="00D43E64" w:rsidRPr="009F3119">
        <w:rPr>
          <w:rFonts w:ascii="Palatino Linotype" w:eastAsia="MS Gothic" w:hAnsi="Palatino Linotype" w:cs="Times New Roman"/>
          <w:b/>
          <w:i/>
          <w:szCs w:val="26"/>
        </w:rPr>
        <w:t>nómina,</w:t>
      </w:r>
      <w:r w:rsidR="00D43E64" w:rsidRPr="009F3119">
        <w:rPr>
          <w:rFonts w:ascii="Palatino Linotype" w:eastAsia="MS Gothic" w:hAnsi="Palatino Linotype" w:cs="Times New Roman"/>
          <w:szCs w:val="26"/>
        </w:rPr>
        <w:t xml:space="preserve"> el </w:t>
      </w:r>
      <w:r w:rsidR="00D43E64" w:rsidRPr="009F3119">
        <w:rPr>
          <w:rFonts w:ascii="Palatino Linotype" w:eastAsia="MS Gothic" w:hAnsi="Palatino Linotype" w:cs="Times New Roman"/>
          <w:i/>
          <w:szCs w:val="26"/>
        </w:rPr>
        <w:t xml:space="preserve">“Glosario de Términos Usuales de Finanzas Públicas” </w:t>
      </w:r>
      <w:r w:rsidR="00D43E64" w:rsidRPr="009F3119">
        <w:rPr>
          <w:rFonts w:ascii="Palatino Linotype" w:eastAsia="MS Gothic" w:hAnsi="Palatino Linotype" w:cs="Times New Roman"/>
          <w:szCs w:val="26"/>
        </w:rPr>
        <w:t xml:space="preserve">del Centro de Estudios de las Finanzas Públicas de la Cámara de Diputados del H. Congreso de la Unión, el </w:t>
      </w:r>
      <w:r w:rsidR="00D43E64" w:rsidRPr="009F3119">
        <w:rPr>
          <w:rFonts w:ascii="Palatino Linotype" w:eastAsia="MS Gothic" w:hAnsi="Palatino Linotype" w:cs="Times New Roman"/>
          <w:i/>
          <w:szCs w:val="26"/>
        </w:rPr>
        <w:t>“Glosario de Términos Administrativos”</w:t>
      </w:r>
      <w:r w:rsidR="00D43E64" w:rsidRPr="009F3119">
        <w:rPr>
          <w:rFonts w:ascii="Palatino Linotype" w:eastAsia="MS Gothic" w:hAnsi="Palatino Linotype" w:cs="Times New Roman"/>
          <w:szCs w:val="26"/>
        </w:rPr>
        <w:t xml:space="preserve">, emitido por el Instituto Nacional de Administración Pública, A.C. y el </w:t>
      </w:r>
      <w:r w:rsidR="00D43E64" w:rsidRPr="009F3119">
        <w:rPr>
          <w:rFonts w:ascii="Palatino Linotype" w:eastAsia="MS Gothic" w:hAnsi="Palatino Linotype" w:cs="Times New Roman"/>
          <w:i/>
          <w:szCs w:val="26"/>
        </w:rPr>
        <w:t xml:space="preserve">“Glosario de Términos para el Proceso de Planeación, Programación, </w:t>
      </w:r>
      <w:proofErr w:type="spellStart"/>
      <w:r w:rsidR="00D43E64" w:rsidRPr="009F3119">
        <w:rPr>
          <w:rFonts w:ascii="Palatino Linotype" w:eastAsia="MS Gothic" w:hAnsi="Palatino Linotype" w:cs="Times New Roman"/>
          <w:i/>
          <w:szCs w:val="26"/>
        </w:rPr>
        <w:t>Presupuestación</w:t>
      </w:r>
      <w:proofErr w:type="spellEnd"/>
      <w:r w:rsidR="00D43E64" w:rsidRPr="009F3119">
        <w:rPr>
          <w:rFonts w:ascii="Palatino Linotype" w:eastAsia="MS Gothic" w:hAnsi="Palatino Linotype" w:cs="Times New Roman"/>
          <w:i/>
          <w:szCs w:val="26"/>
        </w:rPr>
        <w:t xml:space="preserve"> y Evaluación en la Administración Pública”,</w:t>
      </w:r>
      <w:r w:rsidR="00D43E64" w:rsidRPr="009F3119">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C87F31C" w14:textId="14983D76" w:rsidR="00B246C8" w:rsidRPr="009F3119"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339655A6" w14:textId="5FCF9DD0" w:rsidR="00D43E64" w:rsidRPr="009F3119" w:rsidRDefault="00D43E64" w:rsidP="00D43E64">
      <w:pPr>
        <w:autoSpaceDE w:val="0"/>
        <w:autoSpaceDN w:val="0"/>
        <w:adjustRightInd w:val="0"/>
        <w:spacing w:line="276" w:lineRule="auto"/>
        <w:ind w:left="851" w:right="567"/>
        <w:jc w:val="both"/>
        <w:rPr>
          <w:rFonts w:ascii="Palatino Linotype" w:hAnsi="Palatino Linotype" w:cs="Arial"/>
          <w:iCs/>
          <w:sz w:val="22"/>
          <w:lang w:eastAsia="es-MX"/>
        </w:rPr>
      </w:pPr>
      <w:r w:rsidRPr="009F3119">
        <w:rPr>
          <w:rFonts w:ascii="Palatino Linotype" w:hAnsi="Palatino Linotype" w:cs="Arial"/>
          <w:b/>
          <w:bCs/>
          <w:i/>
          <w:sz w:val="22"/>
          <w:lang w:eastAsia="es-MX"/>
        </w:rPr>
        <w:t>“NÓMINA: Listado</w:t>
      </w:r>
      <w:r w:rsidRPr="009F3119">
        <w:rPr>
          <w:rFonts w:ascii="Palatino Linotype" w:hAnsi="Palatino Linotype" w:cs="Arial"/>
          <w:i/>
          <w:sz w:val="22"/>
          <w:lang w:eastAsia="es-MX"/>
        </w:rPr>
        <w:t xml:space="preserve"> general de los trabajadores de una institución, e</w:t>
      </w:r>
      <w:r w:rsidRPr="009F3119">
        <w:rPr>
          <w:rFonts w:ascii="Palatino Linotype" w:hAnsi="Palatino Linotype" w:cs="Arial"/>
          <w:b/>
          <w:bCs/>
          <w:i/>
          <w:sz w:val="22"/>
          <w:lang w:eastAsia="es-MX"/>
        </w:rPr>
        <w:t>n el cual se asientan las percepciones brutas, deducciones y alcance neto de las mismas</w:t>
      </w:r>
      <w:r w:rsidRPr="009F3119">
        <w:rPr>
          <w:rFonts w:ascii="Palatino Linotype" w:hAnsi="Palatino Linotype" w:cs="Arial"/>
          <w:i/>
          <w:sz w:val="22"/>
          <w:lang w:eastAsia="es-MX"/>
        </w:rPr>
        <w:t>; la nómina es utilizada para</w:t>
      </w:r>
      <w:r w:rsidRPr="009F3119">
        <w:rPr>
          <w:rFonts w:ascii="Palatino Linotype" w:hAnsi="Palatino Linotype" w:cs="Arial"/>
          <w:b/>
          <w:bCs/>
          <w:i/>
          <w:sz w:val="22"/>
          <w:lang w:eastAsia="es-MX"/>
        </w:rPr>
        <w:t xml:space="preserve"> </w:t>
      </w:r>
      <w:r w:rsidRPr="009F3119">
        <w:rPr>
          <w:rFonts w:ascii="Palatino Linotype" w:hAnsi="Palatino Linotype" w:cs="Arial"/>
          <w:i/>
          <w:sz w:val="22"/>
          <w:lang w:eastAsia="es-MX"/>
        </w:rPr>
        <w:t>efectuar los pagos periódicos (semanales, quincenales o</w:t>
      </w:r>
      <w:r w:rsidRPr="009F3119">
        <w:rPr>
          <w:rFonts w:ascii="Palatino Linotype" w:hAnsi="Palatino Linotype" w:cs="Arial"/>
          <w:b/>
          <w:bCs/>
          <w:i/>
          <w:sz w:val="22"/>
          <w:lang w:eastAsia="es-MX"/>
        </w:rPr>
        <w:t xml:space="preserve"> </w:t>
      </w:r>
      <w:r w:rsidRPr="009F3119">
        <w:rPr>
          <w:rFonts w:ascii="Palatino Linotype" w:hAnsi="Palatino Linotype" w:cs="Arial"/>
          <w:i/>
          <w:sz w:val="22"/>
          <w:lang w:eastAsia="es-MX"/>
        </w:rPr>
        <w:t>mensuales) a los trabajadores por concepto de sueldos y</w:t>
      </w:r>
      <w:r w:rsidRPr="009F3119">
        <w:rPr>
          <w:rFonts w:ascii="Palatino Linotype" w:hAnsi="Palatino Linotype" w:cs="Arial"/>
          <w:b/>
          <w:bCs/>
          <w:i/>
          <w:sz w:val="22"/>
          <w:lang w:eastAsia="es-MX"/>
        </w:rPr>
        <w:t xml:space="preserve"> </w:t>
      </w:r>
      <w:r w:rsidRPr="009F3119">
        <w:rPr>
          <w:rFonts w:ascii="Palatino Linotype" w:hAnsi="Palatino Linotype" w:cs="Arial"/>
          <w:i/>
          <w:sz w:val="22"/>
          <w:lang w:eastAsia="es-MX"/>
        </w:rPr>
        <w:t>salarios.”</w:t>
      </w:r>
    </w:p>
    <w:p w14:paraId="3AE61106" w14:textId="638365D7" w:rsidR="00174A5C" w:rsidRPr="009F3119" w:rsidRDefault="00174A5C" w:rsidP="00D43E64">
      <w:pPr>
        <w:autoSpaceDE w:val="0"/>
        <w:autoSpaceDN w:val="0"/>
        <w:adjustRightInd w:val="0"/>
        <w:spacing w:line="276" w:lineRule="auto"/>
        <w:ind w:left="851" w:right="567"/>
        <w:jc w:val="both"/>
        <w:rPr>
          <w:rFonts w:ascii="Palatino Linotype" w:hAnsi="Palatino Linotype" w:cs="Arial"/>
          <w:iCs/>
          <w:sz w:val="22"/>
          <w:lang w:eastAsia="es-MX"/>
        </w:rPr>
      </w:pPr>
      <w:r w:rsidRPr="009F3119">
        <w:rPr>
          <w:rFonts w:ascii="Palatino Linotype" w:hAnsi="Palatino Linotype" w:cs="Arial"/>
          <w:iCs/>
          <w:sz w:val="22"/>
          <w:lang w:eastAsia="es-MX"/>
        </w:rPr>
        <w:t>(Énfasis añadido)</w:t>
      </w:r>
    </w:p>
    <w:p w14:paraId="566CA02F"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EF2EED2" w14:textId="0944720D"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lastRenderedPageBreak/>
        <w:t xml:space="preserve">Relativo </w:t>
      </w:r>
      <w:r w:rsidRPr="009F3119">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394855FB"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CF9F2E1" w14:textId="18F51AFA"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MS Mincho" w:hAnsi="Palatino Linotype" w:cs="Times New Roman"/>
        </w:rPr>
        <w:t>el mismo sentido, el Código Financiero del Estado de México y Municipios, en su artículo 3° fracción XXXXII estipula lo siguiente:</w:t>
      </w:r>
    </w:p>
    <w:p w14:paraId="429372A4" w14:textId="43477E40" w:rsidR="00B246C8" w:rsidRPr="009F3119"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73A15703" w14:textId="77777777" w:rsidR="00D43E64" w:rsidRPr="009F3119" w:rsidRDefault="00D43E64" w:rsidP="00D43E64">
      <w:pPr>
        <w:pStyle w:val="Prrafodelista"/>
        <w:spacing w:line="276" w:lineRule="auto"/>
        <w:ind w:left="567" w:right="567"/>
        <w:jc w:val="both"/>
        <w:rPr>
          <w:rFonts w:ascii="Palatino Linotype" w:eastAsia="MS Mincho" w:hAnsi="Palatino Linotype" w:cs="Times New Roman"/>
          <w:i/>
          <w:sz w:val="22"/>
        </w:rPr>
      </w:pPr>
      <w:r w:rsidRPr="009F3119">
        <w:rPr>
          <w:rFonts w:ascii="Palatino Linotype" w:eastAsia="MS Mincho" w:hAnsi="Palatino Linotype" w:cs="Times New Roman"/>
          <w:i/>
          <w:sz w:val="22"/>
        </w:rPr>
        <w:t>“</w:t>
      </w:r>
      <w:r w:rsidRPr="009F3119">
        <w:rPr>
          <w:rFonts w:ascii="Palatino Linotype" w:eastAsia="MS Mincho" w:hAnsi="Palatino Linotype" w:cs="Times New Roman"/>
          <w:b/>
          <w:i/>
          <w:sz w:val="22"/>
        </w:rPr>
        <w:t>Artículo 3.</w:t>
      </w:r>
      <w:r w:rsidRPr="009F3119">
        <w:rPr>
          <w:rFonts w:ascii="Palatino Linotype" w:eastAsia="MS Mincho" w:hAnsi="Palatino Linotype" w:cs="Times New Roman"/>
          <w:i/>
          <w:sz w:val="22"/>
        </w:rPr>
        <w:t xml:space="preserve"> </w:t>
      </w:r>
    </w:p>
    <w:p w14:paraId="0F940B13" w14:textId="77777777" w:rsidR="00D43E64" w:rsidRPr="009F3119" w:rsidRDefault="00D43E64" w:rsidP="00D43E64">
      <w:pPr>
        <w:pStyle w:val="Prrafodelista"/>
        <w:spacing w:line="276" w:lineRule="auto"/>
        <w:ind w:left="567" w:right="567"/>
        <w:jc w:val="both"/>
        <w:rPr>
          <w:rFonts w:ascii="Palatino Linotype" w:eastAsia="MS Mincho" w:hAnsi="Palatino Linotype" w:cs="Times New Roman"/>
          <w:i/>
          <w:sz w:val="22"/>
        </w:rPr>
      </w:pPr>
      <w:r w:rsidRPr="009F3119">
        <w:rPr>
          <w:rFonts w:ascii="Palatino Linotype" w:eastAsia="MS Mincho" w:hAnsi="Palatino Linotype" w:cs="Times New Roman"/>
          <w:i/>
          <w:sz w:val="22"/>
        </w:rPr>
        <w:t>(…)</w:t>
      </w:r>
    </w:p>
    <w:p w14:paraId="3D798A7B" w14:textId="77777777" w:rsidR="00D43E64" w:rsidRPr="009F3119" w:rsidRDefault="00D43E64" w:rsidP="00D43E64">
      <w:pPr>
        <w:pStyle w:val="Prrafodelista"/>
        <w:spacing w:line="276" w:lineRule="auto"/>
        <w:ind w:left="567" w:right="567"/>
        <w:jc w:val="both"/>
        <w:rPr>
          <w:rFonts w:ascii="Palatino Linotype" w:eastAsia="MS Mincho" w:hAnsi="Palatino Linotype" w:cs="Times New Roman"/>
          <w:i/>
          <w:sz w:val="22"/>
        </w:rPr>
      </w:pPr>
      <w:r w:rsidRPr="009F3119">
        <w:rPr>
          <w:rFonts w:ascii="Palatino Linotype" w:eastAsia="MS Mincho" w:hAnsi="Palatino Linotype" w:cs="Times New Roman"/>
          <w:b/>
          <w:i/>
          <w:sz w:val="22"/>
        </w:rPr>
        <w:t>XXXII. Remuneración:</w:t>
      </w:r>
      <w:r w:rsidRPr="009F3119">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AC25B75" w14:textId="77777777" w:rsidR="00D43E64" w:rsidRPr="009F3119" w:rsidRDefault="00D43E64" w:rsidP="00D43E64">
      <w:pPr>
        <w:pStyle w:val="Prrafodelista"/>
        <w:spacing w:line="276" w:lineRule="auto"/>
        <w:ind w:left="567" w:right="567"/>
        <w:jc w:val="both"/>
        <w:rPr>
          <w:rFonts w:ascii="Palatino Linotype" w:eastAsia="MS Mincho" w:hAnsi="Palatino Linotype" w:cs="Times New Roman"/>
          <w:i/>
          <w:sz w:val="22"/>
        </w:rPr>
      </w:pPr>
      <w:r w:rsidRPr="009F3119">
        <w:rPr>
          <w:rFonts w:ascii="Palatino Linotype" w:eastAsia="MS Mincho" w:hAnsi="Palatino Linotype" w:cs="Times New Roman"/>
          <w:i/>
          <w:sz w:val="22"/>
        </w:rPr>
        <w:t>(…)”</w:t>
      </w:r>
    </w:p>
    <w:p w14:paraId="2949D937"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FD309D" w14:textId="75705FB1"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Ahora </w:t>
      </w:r>
      <w:r w:rsidRPr="009F3119">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34285D2D" w14:textId="4726D76D"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7F6A216" w14:textId="77777777" w:rsidR="00D43E64" w:rsidRPr="009F3119" w:rsidRDefault="00D43E64" w:rsidP="00D43E64">
      <w:pPr>
        <w:tabs>
          <w:tab w:val="left" w:pos="4962"/>
        </w:tabs>
        <w:spacing w:line="276" w:lineRule="auto"/>
        <w:ind w:left="567" w:right="567"/>
        <w:jc w:val="both"/>
        <w:rPr>
          <w:rFonts w:ascii="Palatino Linotype" w:hAnsi="Palatino Linotype" w:cs="Tahoma"/>
          <w:i/>
          <w:iCs/>
          <w:sz w:val="8"/>
          <w:szCs w:val="10"/>
        </w:rPr>
      </w:pPr>
      <w:r w:rsidRPr="009F3119">
        <w:rPr>
          <w:rFonts w:ascii="Palatino Linotype" w:hAnsi="Palatino Linotype" w:cs="Tahoma"/>
          <w:b/>
          <w:bCs/>
          <w:i/>
          <w:iCs/>
          <w:sz w:val="22"/>
        </w:rPr>
        <w:t>“ARTÍCULO 71.</w:t>
      </w:r>
      <w:r w:rsidRPr="009F3119">
        <w:rPr>
          <w:rFonts w:ascii="Palatino Linotype" w:hAnsi="Palatino Linotype" w:cs="Tahoma"/>
          <w:i/>
          <w:iCs/>
          <w:sz w:val="22"/>
        </w:rPr>
        <w:t xml:space="preserve"> </w:t>
      </w:r>
      <w:r w:rsidRPr="009F3119">
        <w:rPr>
          <w:rFonts w:ascii="Palatino Linotype" w:hAnsi="Palatino Linotype" w:cs="Tahoma"/>
          <w:b/>
          <w:bCs/>
          <w:i/>
          <w:iCs/>
          <w:sz w:val="22"/>
          <w:u w:val="double"/>
        </w:rPr>
        <w:t>El sueldo es la retribución que la institución pública debe pagar al servidor público por los servicios prestados</w:t>
      </w:r>
      <w:r w:rsidRPr="009F3119">
        <w:rPr>
          <w:rFonts w:ascii="Palatino Linotype" w:hAnsi="Palatino Linotype" w:cs="Tahoma"/>
          <w:i/>
          <w:iCs/>
          <w:sz w:val="22"/>
        </w:rPr>
        <w:t>.</w:t>
      </w:r>
      <w:r w:rsidRPr="009F3119">
        <w:rPr>
          <w:rFonts w:ascii="Palatino Linotype" w:hAnsi="Palatino Linotype" w:cs="Tahoma"/>
          <w:i/>
          <w:iCs/>
          <w:sz w:val="22"/>
        </w:rPr>
        <w:cr/>
      </w:r>
    </w:p>
    <w:p w14:paraId="3BB4FA70" w14:textId="77777777" w:rsidR="00D43E64" w:rsidRPr="009F3119" w:rsidRDefault="00D43E64" w:rsidP="00D43E64">
      <w:pPr>
        <w:tabs>
          <w:tab w:val="left" w:pos="4962"/>
        </w:tabs>
        <w:spacing w:line="276" w:lineRule="auto"/>
        <w:ind w:left="567" w:right="567"/>
        <w:jc w:val="both"/>
        <w:rPr>
          <w:rFonts w:ascii="Palatino Linotype" w:hAnsi="Palatino Linotype" w:cs="Tahoma"/>
          <w:i/>
          <w:iCs/>
          <w:sz w:val="22"/>
        </w:rPr>
      </w:pPr>
      <w:r w:rsidRPr="009F3119">
        <w:rPr>
          <w:rFonts w:ascii="Palatino Linotype" w:hAnsi="Palatino Linotype" w:cs="Tahoma"/>
          <w:b/>
          <w:bCs/>
          <w:i/>
          <w:iCs/>
          <w:sz w:val="22"/>
        </w:rPr>
        <w:t>ARTÍCULO 220 K.-</w:t>
      </w:r>
      <w:r w:rsidRPr="009F3119">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8F8695D" w14:textId="77777777" w:rsidR="00D43E64" w:rsidRPr="009F3119" w:rsidRDefault="00D43E64" w:rsidP="00D43E64">
      <w:pPr>
        <w:tabs>
          <w:tab w:val="left" w:pos="4962"/>
        </w:tabs>
        <w:spacing w:line="276" w:lineRule="auto"/>
        <w:ind w:left="567" w:right="567"/>
        <w:jc w:val="both"/>
        <w:rPr>
          <w:rFonts w:ascii="Palatino Linotype" w:hAnsi="Palatino Linotype" w:cs="Tahoma"/>
          <w:i/>
          <w:iCs/>
          <w:sz w:val="22"/>
        </w:rPr>
      </w:pPr>
      <w:r w:rsidRPr="009F3119">
        <w:rPr>
          <w:rFonts w:ascii="Palatino Linotype" w:hAnsi="Palatino Linotype" w:cs="Tahoma"/>
          <w:i/>
          <w:iCs/>
          <w:sz w:val="22"/>
        </w:rPr>
        <w:t>I. Contratos, Nombramientos o Formato Único de Movimientos de Personal, cuando no exista Convenio de condiciones generales de trabajo aplicable;</w:t>
      </w:r>
    </w:p>
    <w:p w14:paraId="5CEEE3FC" w14:textId="77777777" w:rsidR="00D43E64" w:rsidRPr="009F3119" w:rsidRDefault="00D43E64" w:rsidP="00D43E64">
      <w:pPr>
        <w:tabs>
          <w:tab w:val="left" w:pos="4962"/>
        </w:tabs>
        <w:spacing w:line="276" w:lineRule="auto"/>
        <w:ind w:left="567" w:right="567"/>
        <w:jc w:val="both"/>
        <w:rPr>
          <w:rFonts w:ascii="Palatino Linotype" w:hAnsi="Palatino Linotype" w:cs="Tahoma"/>
          <w:b/>
          <w:i/>
          <w:iCs/>
          <w:sz w:val="22"/>
        </w:rPr>
      </w:pPr>
      <w:r w:rsidRPr="009F3119">
        <w:rPr>
          <w:rFonts w:ascii="Palatino Linotype" w:hAnsi="Palatino Linotype" w:cs="Tahoma"/>
          <w:b/>
          <w:i/>
          <w:iCs/>
          <w:sz w:val="22"/>
        </w:rPr>
        <w:lastRenderedPageBreak/>
        <w:t>II. Recibos de pagos de salarios o las constancias documentales del pago de salario cuando sea por depósito o mediante información electrónica;</w:t>
      </w:r>
    </w:p>
    <w:p w14:paraId="53AD1429" w14:textId="77777777" w:rsidR="00D43E64" w:rsidRPr="009F3119" w:rsidRDefault="00D43E64" w:rsidP="00D43E64">
      <w:pPr>
        <w:tabs>
          <w:tab w:val="left" w:pos="4962"/>
        </w:tabs>
        <w:spacing w:line="276" w:lineRule="auto"/>
        <w:ind w:left="567" w:right="567"/>
        <w:jc w:val="both"/>
        <w:rPr>
          <w:rFonts w:ascii="Palatino Linotype" w:hAnsi="Palatino Linotype" w:cs="Tahoma"/>
          <w:i/>
          <w:iCs/>
          <w:sz w:val="22"/>
        </w:rPr>
      </w:pPr>
      <w:r w:rsidRPr="009F3119">
        <w:rPr>
          <w:rFonts w:ascii="Palatino Linotype" w:hAnsi="Palatino Linotype" w:cs="Tahoma"/>
          <w:i/>
          <w:iCs/>
          <w:sz w:val="22"/>
        </w:rPr>
        <w:t>III. Controles de asistencia o la información magnética o electrónica de asistencia de los servidores públicos;</w:t>
      </w:r>
    </w:p>
    <w:p w14:paraId="31EB4C07" w14:textId="77777777" w:rsidR="00D43E64" w:rsidRPr="009F3119" w:rsidRDefault="00D43E64" w:rsidP="00D43E64">
      <w:pPr>
        <w:tabs>
          <w:tab w:val="left" w:pos="4962"/>
        </w:tabs>
        <w:spacing w:line="276" w:lineRule="auto"/>
        <w:ind w:left="567" w:right="567"/>
        <w:jc w:val="both"/>
        <w:rPr>
          <w:rFonts w:ascii="Palatino Linotype" w:hAnsi="Palatino Linotype" w:cs="Tahoma"/>
          <w:i/>
          <w:iCs/>
          <w:sz w:val="22"/>
        </w:rPr>
      </w:pPr>
      <w:r w:rsidRPr="009F3119">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9F3119">
        <w:rPr>
          <w:rFonts w:ascii="Palatino Linotype" w:hAnsi="Palatino Linotype" w:cs="Tahoma"/>
          <w:i/>
          <w:iCs/>
          <w:sz w:val="22"/>
        </w:rPr>
        <w:t xml:space="preserve"> y</w:t>
      </w:r>
    </w:p>
    <w:p w14:paraId="2AD067EF" w14:textId="77777777" w:rsidR="00D43E64" w:rsidRPr="009F3119" w:rsidRDefault="00D43E64" w:rsidP="00D43E64">
      <w:pPr>
        <w:tabs>
          <w:tab w:val="left" w:pos="4962"/>
        </w:tabs>
        <w:spacing w:line="276" w:lineRule="auto"/>
        <w:ind w:left="567" w:right="567"/>
        <w:jc w:val="both"/>
        <w:rPr>
          <w:rFonts w:ascii="Palatino Linotype" w:hAnsi="Palatino Linotype" w:cs="Tahoma"/>
          <w:i/>
          <w:iCs/>
          <w:sz w:val="22"/>
        </w:rPr>
      </w:pPr>
      <w:r w:rsidRPr="009F3119">
        <w:rPr>
          <w:rFonts w:ascii="Palatino Linotype" w:hAnsi="Palatino Linotype" w:cs="Tahoma"/>
          <w:i/>
          <w:iCs/>
          <w:sz w:val="22"/>
        </w:rPr>
        <w:t>V. Los demás que señalen las leyes.</w:t>
      </w:r>
    </w:p>
    <w:p w14:paraId="183008EE" w14:textId="77777777" w:rsidR="00D43E64" w:rsidRPr="009F3119"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9F3119">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9F3119">
        <w:rPr>
          <w:rFonts w:ascii="Palatino Linotype" w:eastAsia="Times New Roman" w:hAnsi="Palatino Linotype"/>
          <w:b/>
          <w:bCs/>
          <w:i/>
          <w:iCs/>
          <w:sz w:val="22"/>
        </w:rPr>
        <w:t>II, III, IV durante el último año y un año después de que se extinga la relación laboral,</w:t>
      </w:r>
      <w:r w:rsidRPr="009F3119">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5D3426B" w14:textId="77777777" w:rsidR="00D43E64" w:rsidRPr="009F3119" w:rsidRDefault="00D43E64" w:rsidP="00D43E64">
      <w:pPr>
        <w:tabs>
          <w:tab w:val="left" w:pos="8222"/>
          <w:tab w:val="left" w:pos="8789"/>
        </w:tabs>
        <w:spacing w:line="276" w:lineRule="auto"/>
        <w:ind w:left="567" w:right="567"/>
        <w:jc w:val="both"/>
        <w:rPr>
          <w:rFonts w:ascii="Palatino Linotype" w:eastAsia="Times New Roman" w:hAnsi="Palatino Linotype"/>
          <w:bCs/>
          <w:i/>
          <w:iCs/>
          <w:sz w:val="22"/>
        </w:rPr>
      </w:pPr>
      <w:r w:rsidRPr="009F3119">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14A7BFF1" w14:textId="77777777" w:rsidR="00D43E64" w:rsidRPr="009F3119" w:rsidRDefault="00D43E64" w:rsidP="00D43E64">
      <w:pPr>
        <w:tabs>
          <w:tab w:val="left" w:pos="8222"/>
          <w:tab w:val="left" w:pos="8789"/>
        </w:tabs>
        <w:spacing w:line="276" w:lineRule="auto"/>
        <w:ind w:left="567" w:right="567"/>
        <w:jc w:val="both"/>
        <w:rPr>
          <w:rFonts w:ascii="Palatino Linotype" w:eastAsia="Times New Roman" w:hAnsi="Palatino Linotype"/>
          <w:bCs/>
          <w:iCs/>
          <w:sz w:val="22"/>
        </w:rPr>
      </w:pPr>
      <w:r w:rsidRPr="009F3119">
        <w:rPr>
          <w:rFonts w:ascii="Palatino Linotype" w:eastAsia="Times New Roman" w:hAnsi="Palatino Linotype"/>
          <w:bCs/>
          <w:iCs/>
          <w:sz w:val="22"/>
        </w:rPr>
        <w:t>(Énfasis añadido)</w:t>
      </w:r>
    </w:p>
    <w:p w14:paraId="0C11F5DA"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BC3E94A" w14:textId="42F3610A"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De </w:t>
      </w:r>
      <w:r w:rsidRPr="009F3119">
        <w:rPr>
          <w:rFonts w:ascii="Palatino Linotype" w:eastAsia="MS Gothic" w:hAnsi="Palatino Linotype" w:cs="Times New Roman"/>
          <w:szCs w:val="26"/>
        </w:rPr>
        <w:t xml:space="preserve">lo anterior, se advierte que </w:t>
      </w:r>
      <w:r w:rsidRPr="009F3119">
        <w:rPr>
          <w:rFonts w:ascii="Palatino Linotype" w:eastAsia="MS Gothic" w:hAnsi="Palatino Linotype" w:cs="Times New Roman"/>
          <w:b/>
          <w:szCs w:val="26"/>
        </w:rPr>
        <w:t>toda institución pública o dependencia del Estado de México</w:t>
      </w:r>
      <w:r w:rsidRPr="009F3119">
        <w:rPr>
          <w:rFonts w:ascii="Palatino Linotype" w:eastAsia="MS Gothic" w:hAnsi="Palatino Linotype" w:cs="Times New Roman"/>
          <w:szCs w:val="26"/>
        </w:rPr>
        <w:t xml:space="preserve"> debe conservar las constancias documentales del </w:t>
      </w:r>
      <w:r w:rsidRPr="009F3119">
        <w:rPr>
          <w:rFonts w:ascii="Palatino Linotype" w:eastAsia="MS Gothic" w:hAnsi="Palatino Linotype" w:cs="Times New Roman"/>
          <w:b/>
          <w:szCs w:val="26"/>
        </w:rPr>
        <w:t>pago de salario</w:t>
      </w:r>
      <w:r w:rsidRPr="009F3119">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793C8CB9"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7472187" w14:textId="2CFC3192"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w:t>
      </w:r>
      <w:r w:rsidRPr="009F3119">
        <w:rPr>
          <w:rFonts w:ascii="Palatino Linotype" w:eastAsia="MS Gothic" w:hAnsi="Palatino Linotype" w:cs="Times New Roman"/>
          <w:szCs w:val="26"/>
        </w:rPr>
        <w:lastRenderedPageBreak/>
        <w:t xml:space="preserve">para documentar el pago de salarios, la prima vacacional, el aguinaldo o las demás prestaciones, son denominados “recibos o </w:t>
      </w:r>
      <w:r w:rsidRPr="009F3119">
        <w:rPr>
          <w:rFonts w:ascii="Palatino Linotype" w:eastAsia="MS Gothic" w:hAnsi="Palatino Linotype" w:cs="Times New Roman"/>
          <w:b/>
          <w:bCs/>
          <w:szCs w:val="26"/>
        </w:rPr>
        <w:t>comprobantes de pago</w:t>
      </w:r>
      <w:r w:rsidRPr="009F3119">
        <w:rPr>
          <w:rFonts w:ascii="Palatino Linotype" w:eastAsia="MS Gothic" w:hAnsi="Palatino Linotype" w:cs="Times New Roman"/>
          <w:szCs w:val="26"/>
        </w:rPr>
        <w:t>”, los cuales constituyen un instrumento mediante el cual el</w:t>
      </w:r>
      <w:r w:rsidRPr="009F3119">
        <w:rPr>
          <w:rFonts w:ascii="Palatino Linotype" w:eastAsia="MS Gothic" w:hAnsi="Palatino Linotype" w:cs="Times New Roman"/>
          <w:b/>
          <w:bCs/>
          <w:szCs w:val="26"/>
        </w:rPr>
        <w:t xml:space="preserve"> SUJETO OBLIGADO </w:t>
      </w:r>
      <w:r w:rsidRPr="009F3119">
        <w:rPr>
          <w:rFonts w:ascii="Palatino Linotype" w:eastAsia="MS Gothic" w:hAnsi="Palatino Linotype" w:cs="Times New Roman"/>
          <w:szCs w:val="26"/>
        </w:rPr>
        <w:t>acredita las remuneraciones al personal.</w:t>
      </w:r>
    </w:p>
    <w:p w14:paraId="5C8B8B95"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8DEAC02" w14:textId="79E78E7F"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9F3119">
        <w:rPr>
          <w:rFonts w:ascii="Palatino Linotype" w:eastAsia="MS Mincho" w:hAnsi="Palatino Linotype" w:cs="Times New Roman"/>
          <w:b/>
          <w:bCs/>
        </w:rPr>
        <w:t>públicas.</w:t>
      </w:r>
    </w:p>
    <w:p w14:paraId="159403B9"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8D8CB44" w14:textId="6D900BBE"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Sirve </w:t>
      </w:r>
      <w:r w:rsidRPr="009F3119">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F3FCBBE" w14:textId="2D15AE8E" w:rsidR="00B246C8" w:rsidRPr="009F3119"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6C1941FA" w14:textId="77777777" w:rsidR="00D43E64" w:rsidRPr="009F3119"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9F3119">
        <w:rPr>
          <w:rFonts w:ascii="Palatino Linotype" w:eastAsia="Calibri" w:hAnsi="Palatino Linotype" w:cs="Arial"/>
          <w:b/>
          <w:i/>
          <w:iCs/>
          <w:color w:val="000000"/>
          <w:sz w:val="22"/>
          <w:shd w:val="clear" w:color="auto" w:fill="FFFFFF"/>
        </w:rPr>
        <w:t>Criterio 01/2003.</w:t>
      </w:r>
    </w:p>
    <w:p w14:paraId="20051107" w14:textId="77777777" w:rsidR="00D43E64" w:rsidRPr="009F3119"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9F3119">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9F3119">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w:t>
      </w:r>
      <w:r w:rsidRPr="009F3119">
        <w:rPr>
          <w:rFonts w:ascii="Palatino Linotype" w:eastAsia="Calibri" w:hAnsi="Palatino Linotype" w:cs="Arial"/>
          <w:i/>
          <w:iCs/>
          <w:color w:val="000000"/>
          <w:sz w:val="22"/>
          <w:shd w:val="clear" w:color="auto" w:fill="FFFFFF"/>
        </w:rPr>
        <w:lastRenderedPageBreak/>
        <w:t>realiza un órgano del Estado en base con los recursos que encuentran su origen en mayor medida en las contribuciones aportados por los gobernados.”</w:t>
      </w:r>
    </w:p>
    <w:p w14:paraId="7D6B0119" w14:textId="77777777" w:rsidR="00D43E64" w:rsidRPr="009F3119" w:rsidRDefault="00D43E64" w:rsidP="00D43E64">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0D1607D5" w14:textId="77777777" w:rsidR="00D43E64" w:rsidRPr="009F3119" w:rsidRDefault="00D43E64" w:rsidP="00D43E6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9F3119">
        <w:rPr>
          <w:rFonts w:ascii="Palatino Linotype" w:eastAsia="Calibri" w:hAnsi="Palatino Linotype" w:cs="Arial"/>
          <w:b/>
          <w:i/>
          <w:iCs/>
          <w:color w:val="000000"/>
          <w:sz w:val="22"/>
          <w:shd w:val="clear" w:color="auto" w:fill="FFFFFF"/>
        </w:rPr>
        <w:t>Criterio 02/2003.</w:t>
      </w:r>
    </w:p>
    <w:p w14:paraId="213731A6" w14:textId="77777777" w:rsidR="00D43E64" w:rsidRPr="009F3119" w:rsidRDefault="00D43E64" w:rsidP="00D43E6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9F3119">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9F3119">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638134A"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81AF94D" w14:textId="147A8ECF"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Esto </w:t>
      </w:r>
      <w:r w:rsidRPr="009F3119">
        <w:rPr>
          <w:rFonts w:ascii="Palatino Linotype" w:eastAsia="MS Mincho" w:hAnsi="Palatino Linotype" w:cs="Times New Roman"/>
        </w:rPr>
        <w:t>es</w:t>
      </w:r>
      <w:r w:rsidR="00174A5C" w:rsidRPr="009F3119">
        <w:rPr>
          <w:rFonts w:ascii="Palatino Linotype" w:eastAsia="MS Mincho" w:hAnsi="Palatino Linotype" w:cs="Times New Roman"/>
        </w:rPr>
        <w:t xml:space="preserve"> así,</w:t>
      </w:r>
      <w:r w:rsidRPr="009F3119">
        <w:rPr>
          <w:rFonts w:ascii="Palatino Linotype" w:eastAsia="MS Mincho" w:hAnsi="Palatino Linotype" w:cs="Times New Roman"/>
        </w:rPr>
        <w:t xml:space="preserve">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14:paraId="04070961" w14:textId="27E98099" w:rsidR="00B246C8" w:rsidRPr="009F3119" w:rsidRDefault="00B246C8" w:rsidP="00D43E64">
      <w:pPr>
        <w:pStyle w:val="Prrafodelista"/>
        <w:tabs>
          <w:tab w:val="left" w:pos="426"/>
        </w:tabs>
        <w:spacing w:before="240" w:line="360" w:lineRule="auto"/>
        <w:ind w:left="0" w:right="51"/>
        <w:jc w:val="both"/>
        <w:rPr>
          <w:rFonts w:ascii="Palatino Linotype" w:hAnsi="Palatino Linotype"/>
          <w:color w:val="000000" w:themeColor="text1"/>
        </w:rPr>
      </w:pPr>
    </w:p>
    <w:p w14:paraId="46678887" w14:textId="77777777" w:rsidR="00D43E64" w:rsidRPr="009F3119" w:rsidRDefault="00D43E64" w:rsidP="00D43E64">
      <w:pPr>
        <w:pStyle w:val="Prrafodelista"/>
        <w:spacing w:line="276" w:lineRule="auto"/>
        <w:ind w:left="567" w:right="567"/>
        <w:jc w:val="both"/>
        <w:rPr>
          <w:rFonts w:ascii="Palatino Linotype" w:eastAsia="Times New Roman" w:hAnsi="Palatino Linotype" w:cs="Arial"/>
          <w:b/>
          <w:i/>
          <w:iCs/>
          <w:sz w:val="22"/>
          <w:lang w:val="es-ES"/>
        </w:rPr>
      </w:pPr>
      <w:r w:rsidRPr="009F3119">
        <w:rPr>
          <w:rFonts w:ascii="Palatino Linotype" w:eastAsia="Times New Roman" w:hAnsi="Palatino Linotype" w:cs="Arial"/>
          <w:b/>
          <w:i/>
          <w:iCs/>
          <w:sz w:val="22"/>
          <w:lang w:val="es-ES"/>
        </w:rPr>
        <w:t>“Artículo 61.</w:t>
      </w:r>
    </w:p>
    <w:p w14:paraId="0CED710C" w14:textId="77777777" w:rsidR="00D43E64" w:rsidRPr="009F3119" w:rsidRDefault="00D43E64" w:rsidP="00D43E64">
      <w:pPr>
        <w:pStyle w:val="Prrafodelista"/>
        <w:spacing w:line="276" w:lineRule="auto"/>
        <w:ind w:left="567" w:right="567"/>
        <w:jc w:val="both"/>
        <w:rPr>
          <w:rFonts w:ascii="Palatino Linotype" w:eastAsia="Times New Roman" w:hAnsi="Palatino Linotype" w:cs="Arial"/>
          <w:iCs/>
          <w:sz w:val="22"/>
          <w:szCs w:val="10"/>
          <w:lang w:val="es-ES"/>
        </w:rPr>
      </w:pPr>
      <w:r w:rsidRPr="009F3119">
        <w:rPr>
          <w:rFonts w:ascii="Palatino Linotype" w:eastAsia="Times New Roman" w:hAnsi="Palatino Linotype" w:cs="Arial"/>
          <w:iCs/>
          <w:sz w:val="22"/>
          <w:szCs w:val="10"/>
          <w:lang w:val="es-ES"/>
        </w:rPr>
        <w:t>(…)</w:t>
      </w:r>
    </w:p>
    <w:p w14:paraId="0C169036" w14:textId="77777777" w:rsidR="00D43E64" w:rsidRPr="009F3119"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9F3119">
        <w:rPr>
          <w:rFonts w:ascii="Palatino Linotype" w:hAnsi="Palatino Linotype" w:cs="Bookman Old Style"/>
          <w:b/>
          <w:i/>
          <w:iCs/>
          <w:sz w:val="22"/>
        </w:rPr>
        <w:t>XXXIII.</w:t>
      </w:r>
      <w:r w:rsidRPr="009F3119">
        <w:rPr>
          <w:rFonts w:ascii="Palatino Linotype" w:hAnsi="Palatino Linotype" w:cs="Bookman Old Style"/>
          <w:i/>
          <w:iCs/>
          <w:sz w:val="22"/>
        </w:rPr>
        <w:t xml:space="preserve"> Revisar, por conducto del </w:t>
      </w:r>
      <w:r w:rsidRPr="009F3119">
        <w:rPr>
          <w:rFonts w:ascii="Palatino Linotype" w:hAnsi="Palatino Linotype" w:cs="Bookman Old Style"/>
          <w:b/>
          <w:i/>
          <w:iCs/>
          <w:sz w:val="22"/>
        </w:rPr>
        <w:t>Órgano Superior de Fiscalización del Estado de México</w:t>
      </w:r>
      <w:r w:rsidRPr="009F3119">
        <w:rPr>
          <w:rFonts w:ascii="Palatino Linotype" w:hAnsi="Palatino Linotype" w:cs="Bookman Old Style"/>
          <w:i/>
          <w:iCs/>
          <w:sz w:val="22"/>
        </w:rPr>
        <w:t xml:space="preserve">, las cuentas y actos relativos a la aplicación de los fondos públicos del Estado y de los Municipios, así como fondos públicos federales en los términos convenidos con dicho ámbito que incluirán la información correspondiente a los Poderes Públicos, </w:t>
      </w:r>
      <w:r w:rsidRPr="009F3119">
        <w:rPr>
          <w:rFonts w:ascii="Palatino Linotype" w:hAnsi="Palatino Linotype" w:cs="Bookman Old Style"/>
          <w:i/>
          <w:iCs/>
          <w:sz w:val="22"/>
        </w:rPr>
        <w:lastRenderedPageBreak/>
        <w:t>organismos autónomos, organismos auxiliares, fideicomisos públicos o privados y demás entes públicos que manejen recursos del Estado y Municipios;</w:t>
      </w:r>
    </w:p>
    <w:p w14:paraId="58A71998" w14:textId="77777777" w:rsidR="00D43E64" w:rsidRPr="009F3119"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9F3119">
        <w:rPr>
          <w:rFonts w:ascii="Palatino Linotype" w:hAnsi="Palatino Linotype" w:cs="Bookman Old Style"/>
          <w:i/>
          <w:iCs/>
          <w:sz w:val="22"/>
        </w:rPr>
        <w:t>(…)</w:t>
      </w:r>
    </w:p>
    <w:p w14:paraId="1D8DBBFB" w14:textId="77777777" w:rsidR="00D43E64" w:rsidRPr="009F3119"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9F3119">
        <w:rPr>
          <w:rFonts w:ascii="Palatino Linotype" w:hAnsi="Palatino Linotype" w:cs="Bookman Old Style"/>
          <w:b/>
          <w:i/>
          <w:iCs/>
          <w:sz w:val="22"/>
        </w:rPr>
        <w:t>XXXIV.</w:t>
      </w:r>
      <w:r w:rsidRPr="009F3119">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F3119">
        <w:rPr>
          <w:rFonts w:ascii="Palatino Linotype" w:hAnsi="Palatino Linotype" w:cs="Bookman Old Style"/>
          <w:b/>
          <w:i/>
          <w:iCs/>
          <w:sz w:val="22"/>
        </w:rPr>
        <w:t>Órgano Superior de Fiscalización</w:t>
      </w:r>
      <w:r w:rsidRPr="009F3119">
        <w:rPr>
          <w:rFonts w:ascii="Palatino Linotype" w:hAnsi="Palatino Linotype" w:cs="Bookman Old Style"/>
          <w:i/>
          <w:iCs/>
          <w:sz w:val="22"/>
        </w:rPr>
        <w:t>.”</w:t>
      </w:r>
    </w:p>
    <w:p w14:paraId="617144E7" w14:textId="77777777" w:rsidR="00D43E64" w:rsidRPr="009F3119" w:rsidRDefault="00D43E64" w:rsidP="00D43E6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9F3119">
        <w:rPr>
          <w:rFonts w:ascii="Palatino Linotype" w:hAnsi="Palatino Linotype" w:cs="Bookman Old Style"/>
          <w:iCs/>
          <w:sz w:val="22"/>
        </w:rPr>
        <w:t>(Énfasis añadido)</w:t>
      </w:r>
    </w:p>
    <w:p w14:paraId="2EF7F1B8"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551E0658" w14:textId="562A2324" w:rsidR="00B246C8" w:rsidRPr="009F3119" w:rsidRDefault="00D43E64"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Correlativo </w:t>
      </w:r>
      <w:r w:rsidRPr="009F3119">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9F3119">
        <w:rPr>
          <w:rFonts w:ascii="Palatino Linotype" w:eastAsia="MS Mincho" w:hAnsi="Palatino Linotype" w:cs="Times New Roman"/>
          <w:b/>
        </w:rPr>
        <w:t>SUJETO OBLIGADO</w:t>
      </w:r>
      <w:r w:rsidRPr="009F3119">
        <w:rPr>
          <w:rFonts w:ascii="Palatino Linotype" w:eastAsia="MS Mincho" w:hAnsi="Palatino Linotype" w:cs="Times New Roman"/>
        </w:rPr>
        <w:t xml:space="preserve"> se halla reconocido como un Sujeto de Fiscalización con base en los artículos 2, fracción II, y 4, fracción II:</w:t>
      </w:r>
    </w:p>
    <w:p w14:paraId="103A2580" w14:textId="4159AA9F" w:rsidR="00B246C8" w:rsidRPr="009F3119" w:rsidRDefault="00B246C8" w:rsidP="00483042">
      <w:pPr>
        <w:pStyle w:val="Prrafodelista"/>
        <w:tabs>
          <w:tab w:val="left" w:pos="426"/>
        </w:tabs>
        <w:spacing w:before="240" w:line="360" w:lineRule="auto"/>
        <w:ind w:left="0" w:right="51"/>
        <w:jc w:val="both"/>
        <w:rPr>
          <w:rFonts w:ascii="Palatino Linotype" w:hAnsi="Palatino Linotype"/>
          <w:color w:val="000000" w:themeColor="text1"/>
        </w:rPr>
      </w:pPr>
    </w:p>
    <w:p w14:paraId="05C81FE9" w14:textId="77777777"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i/>
          <w:sz w:val="22"/>
        </w:rPr>
        <w:t>“</w:t>
      </w:r>
      <w:r w:rsidRPr="009F3119">
        <w:rPr>
          <w:rFonts w:ascii="Palatino Linotype" w:hAnsi="Palatino Linotype"/>
          <w:b/>
          <w:i/>
          <w:sz w:val="22"/>
        </w:rPr>
        <w:t>Artículo 2.</w:t>
      </w:r>
      <w:r w:rsidRPr="009F3119">
        <w:rPr>
          <w:rFonts w:ascii="Palatino Linotype" w:hAnsi="Palatino Linotype"/>
          <w:i/>
          <w:sz w:val="22"/>
        </w:rPr>
        <w:t xml:space="preserve"> Para los efectos de la presente Ley, se entenderá por:</w:t>
      </w:r>
    </w:p>
    <w:p w14:paraId="697CF067" w14:textId="77777777"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i/>
          <w:sz w:val="22"/>
        </w:rPr>
        <w:t>(…)</w:t>
      </w:r>
    </w:p>
    <w:p w14:paraId="791F998C" w14:textId="77777777"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b/>
          <w:i/>
          <w:sz w:val="22"/>
        </w:rPr>
        <w:t>II.</w:t>
      </w:r>
      <w:r w:rsidRPr="009F3119">
        <w:rPr>
          <w:rFonts w:ascii="Palatino Linotype" w:hAnsi="Palatino Linotype"/>
          <w:i/>
          <w:sz w:val="22"/>
        </w:rPr>
        <w:t xml:space="preserve"> Municipios: A los Municipios del Estado;</w:t>
      </w:r>
    </w:p>
    <w:p w14:paraId="4C5292E9" w14:textId="50768A2A"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i/>
          <w:sz w:val="22"/>
        </w:rPr>
        <w:t>(…)</w:t>
      </w:r>
      <w:r w:rsidR="00483042" w:rsidRPr="009F3119">
        <w:rPr>
          <w:rFonts w:ascii="Palatino Linotype" w:hAnsi="Palatino Linotype"/>
          <w:i/>
          <w:sz w:val="22"/>
        </w:rPr>
        <w:t>”</w:t>
      </w:r>
    </w:p>
    <w:p w14:paraId="16DAC2A6" w14:textId="77777777" w:rsidR="00D43E64" w:rsidRPr="009F3119" w:rsidRDefault="00D43E64" w:rsidP="00D43E64">
      <w:pPr>
        <w:spacing w:line="276" w:lineRule="auto"/>
        <w:ind w:left="567" w:right="567"/>
        <w:contextualSpacing/>
        <w:jc w:val="both"/>
        <w:rPr>
          <w:rFonts w:ascii="Palatino Linotype" w:hAnsi="Palatino Linotype"/>
          <w:i/>
          <w:sz w:val="22"/>
        </w:rPr>
      </w:pPr>
    </w:p>
    <w:p w14:paraId="616A1127" w14:textId="4CBD9819" w:rsidR="00D43E64" w:rsidRPr="009F3119" w:rsidRDefault="00483042" w:rsidP="00D43E64">
      <w:pPr>
        <w:spacing w:line="276" w:lineRule="auto"/>
        <w:ind w:left="567" w:right="567"/>
        <w:contextualSpacing/>
        <w:jc w:val="both"/>
        <w:rPr>
          <w:rFonts w:ascii="Palatino Linotype" w:hAnsi="Palatino Linotype"/>
          <w:i/>
          <w:sz w:val="22"/>
        </w:rPr>
      </w:pPr>
      <w:r w:rsidRPr="009F3119">
        <w:rPr>
          <w:rFonts w:ascii="Palatino Linotype" w:hAnsi="Palatino Linotype"/>
          <w:bCs/>
          <w:i/>
          <w:sz w:val="22"/>
        </w:rPr>
        <w:t>“</w:t>
      </w:r>
      <w:r w:rsidR="00D43E64" w:rsidRPr="009F3119">
        <w:rPr>
          <w:rFonts w:ascii="Palatino Linotype" w:hAnsi="Palatino Linotype"/>
          <w:b/>
          <w:i/>
          <w:sz w:val="22"/>
        </w:rPr>
        <w:t>Artículo 4.-</w:t>
      </w:r>
      <w:r w:rsidR="00D43E64" w:rsidRPr="009F3119">
        <w:rPr>
          <w:rFonts w:ascii="Palatino Linotype" w:hAnsi="Palatino Linotype"/>
          <w:i/>
          <w:sz w:val="22"/>
        </w:rPr>
        <w:t xml:space="preserve"> Son sujetos de fiscalización:</w:t>
      </w:r>
    </w:p>
    <w:p w14:paraId="3D20DD82" w14:textId="77777777"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i/>
          <w:sz w:val="22"/>
        </w:rPr>
        <w:t>(…)</w:t>
      </w:r>
    </w:p>
    <w:p w14:paraId="30DEA3FC" w14:textId="77777777"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b/>
          <w:i/>
          <w:sz w:val="22"/>
        </w:rPr>
        <w:t>II.</w:t>
      </w:r>
      <w:r w:rsidRPr="009F3119">
        <w:rPr>
          <w:rFonts w:ascii="Palatino Linotype" w:hAnsi="Palatino Linotype"/>
          <w:i/>
          <w:sz w:val="22"/>
        </w:rPr>
        <w:t xml:space="preserve"> Los municipios del Estado de México; </w:t>
      </w:r>
    </w:p>
    <w:p w14:paraId="6845D9A1" w14:textId="77777777" w:rsidR="00D43E64" w:rsidRPr="009F3119" w:rsidRDefault="00D43E64" w:rsidP="00D43E64">
      <w:pPr>
        <w:spacing w:line="276" w:lineRule="auto"/>
        <w:ind w:left="567" w:right="567"/>
        <w:contextualSpacing/>
        <w:jc w:val="both"/>
        <w:rPr>
          <w:rFonts w:ascii="Palatino Linotype" w:hAnsi="Palatino Linotype"/>
          <w:i/>
          <w:sz w:val="22"/>
        </w:rPr>
      </w:pPr>
      <w:r w:rsidRPr="009F3119">
        <w:rPr>
          <w:rFonts w:ascii="Palatino Linotype" w:hAnsi="Palatino Linotype"/>
          <w:i/>
          <w:sz w:val="22"/>
        </w:rPr>
        <w:t>(…)”</w:t>
      </w:r>
    </w:p>
    <w:p w14:paraId="2D4EF862" w14:textId="77777777" w:rsidR="00D43E64" w:rsidRPr="009F3119" w:rsidRDefault="00D43E64"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7E0236A" w14:textId="3C97C051" w:rsidR="00B246C8" w:rsidRPr="009F3119" w:rsidRDefault="00174A5C"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Al respecto</w:t>
      </w:r>
      <w:r w:rsidR="00483042" w:rsidRPr="009F3119">
        <w:rPr>
          <w:rFonts w:ascii="Palatino Linotype" w:eastAsia="MS Mincho" w:hAnsi="Palatino Linotype" w:cs="Times New Roman"/>
          <w:lang w:val="es-ES_tradnl"/>
        </w:rPr>
        <w:t xml:space="preserve">, el Órgano Superior de Fiscalización del Estado de México (OSFEM), emite anualmente una herramienta para elaborar y presentar los informes trimestrales, denominado </w:t>
      </w:r>
      <w:r w:rsidR="00483042" w:rsidRPr="009F3119">
        <w:rPr>
          <w:rFonts w:ascii="Palatino Linotype" w:eastAsia="MS Mincho" w:hAnsi="Palatino Linotype" w:cs="Times New Roman"/>
          <w:b/>
          <w:bCs/>
          <w:lang w:val="es-ES_tradnl"/>
        </w:rPr>
        <w:t xml:space="preserve">“Políticas para la Integración del Informe Trimestral de </w:t>
      </w:r>
      <w:r w:rsidR="00483042" w:rsidRPr="009F3119">
        <w:rPr>
          <w:rFonts w:ascii="Palatino Linotype" w:eastAsia="MS Mincho" w:hAnsi="Palatino Linotype" w:cs="Times New Roman"/>
          <w:b/>
          <w:bCs/>
          <w:lang w:val="es-ES_tradnl"/>
        </w:rPr>
        <w:lastRenderedPageBreak/>
        <w:t>los Sujetos de Fiscalización Municipales”</w:t>
      </w:r>
      <w:r w:rsidR="00483042" w:rsidRPr="009F3119">
        <w:rPr>
          <w:rFonts w:ascii="Palatino Linotype" w:eastAsia="MS Mincho" w:hAnsi="Palatino Linotype" w:cs="Times New Roman"/>
          <w:lang w:val="es-ES_tradnl"/>
        </w:rPr>
        <w:t>, cuyo objetivo es establecer las especificaciones necesarias para que las entidades fiscales elaboren y presentes los referidos informes.</w:t>
      </w:r>
    </w:p>
    <w:p w14:paraId="7A7DABF3"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E6AB60D" w14:textId="78F818DD" w:rsidR="00B246C8" w:rsidRPr="009F3119"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Estas políticas </w:t>
      </w:r>
      <w:r w:rsidRPr="009F3119">
        <w:rPr>
          <w:rFonts w:ascii="Palatino Linotype" w:eastAsia="MS Mincho" w:hAnsi="Palatino Linotype" w:cs="Times New Roman"/>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A9686FB"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69580A86" w14:textId="5D86E673" w:rsidR="00B246C8" w:rsidRPr="009F3119"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La </w:t>
      </w:r>
      <w:r w:rsidRPr="009F3119">
        <w:rPr>
          <w:rFonts w:ascii="Palatino Linotype" w:eastAsia="MS Mincho" w:hAnsi="Palatino Linotype" w:cs="Times New Roman"/>
          <w:lang w:val="es-ES_tradnl"/>
        </w:rPr>
        <w:t>integración del Informe Trimestral se entregará de manera física al Órgano Superior de Fiscalización del Estado de México, y estará compuesto de la siguiente manera:</w:t>
      </w:r>
    </w:p>
    <w:p w14:paraId="7F371790" w14:textId="77777777" w:rsidR="00483042" w:rsidRPr="009F3119" w:rsidRDefault="00483042" w:rsidP="00483042">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lang w:val="es-ES_tradnl"/>
        </w:rPr>
      </w:pPr>
      <w:r w:rsidRPr="009F3119">
        <w:rPr>
          <w:rFonts w:ascii="Palatino Linotype" w:eastAsia="MS Mincho" w:hAnsi="Palatino Linotype" w:cs="Times New Roman"/>
          <w:lang w:val="es-ES_tradnl"/>
        </w:rPr>
        <w:t>Información impresa; e</w:t>
      </w:r>
    </w:p>
    <w:p w14:paraId="1B43B2FB" w14:textId="7F8FF2E2" w:rsidR="00483042" w:rsidRPr="009F3119"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eastAsia="MS Mincho" w:hAnsi="Palatino Linotype" w:cs="Times New Roman"/>
          <w:lang w:val="es-ES_tradnl"/>
        </w:rPr>
        <w:t>Información en medio de almacenamiento electrónico.</w:t>
      </w:r>
    </w:p>
    <w:p w14:paraId="37CDAA76"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7036F3A6" w14:textId="74FF50C7" w:rsidR="00B246C8" w:rsidRPr="009F3119"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Por </w:t>
      </w:r>
      <w:r w:rsidRPr="009F3119">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40DDDAD3" w14:textId="77777777" w:rsidR="00483042" w:rsidRPr="009F3119"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9F3119">
        <w:rPr>
          <w:rFonts w:ascii="Palatino Linotype" w:hAnsi="Palatino Linotype" w:cs="Arial"/>
          <w:color w:val="000000" w:themeColor="text1"/>
        </w:rPr>
        <w:t>Módulo 1: Información contable y financiera;</w:t>
      </w:r>
    </w:p>
    <w:p w14:paraId="1A20A5B3" w14:textId="77777777" w:rsidR="00483042" w:rsidRPr="009F3119"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9F3119">
        <w:rPr>
          <w:rFonts w:ascii="Palatino Linotype" w:hAnsi="Palatino Linotype" w:cs="Arial"/>
          <w:color w:val="000000" w:themeColor="text1"/>
        </w:rPr>
        <w:t>Módulo 2: Información presupuestaria;</w:t>
      </w:r>
    </w:p>
    <w:p w14:paraId="71817DB8" w14:textId="77777777" w:rsidR="00483042" w:rsidRPr="009F3119"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s="Arial"/>
          <w:color w:val="000000" w:themeColor="text1"/>
        </w:rPr>
      </w:pPr>
      <w:r w:rsidRPr="009F3119">
        <w:rPr>
          <w:rFonts w:ascii="Palatino Linotype" w:hAnsi="Palatino Linotype" w:cs="Arial"/>
          <w:color w:val="000000" w:themeColor="text1"/>
        </w:rPr>
        <w:t>Módulo 3: Información programática; y</w:t>
      </w:r>
    </w:p>
    <w:p w14:paraId="01CAE74B" w14:textId="0FC0F6CE" w:rsidR="00483042" w:rsidRPr="009F3119" w:rsidRDefault="00483042" w:rsidP="00483042">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9F3119">
        <w:rPr>
          <w:rFonts w:ascii="Palatino Linotype" w:hAnsi="Palatino Linotype" w:cs="Arial"/>
          <w:color w:val="000000" w:themeColor="text1"/>
        </w:rPr>
        <w:t>Módulo 4: Información administrativa.</w:t>
      </w:r>
    </w:p>
    <w:p w14:paraId="78F3445D"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0C6FA3B1" w14:textId="66D664C0" w:rsidR="00B246C8" w:rsidRPr="009F3119" w:rsidRDefault="00483042"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lastRenderedPageBreak/>
        <w:t xml:space="preserve">Siendo de especial interés, para el presente asunto, </w:t>
      </w:r>
      <w:r w:rsidR="008027FA" w:rsidRPr="009F3119">
        <w:rPr>
          <w:rFonts w:ascii="Palatino Linotype" w:hAnsi="Palatino Linotype"/>
          <w:color w:val="000000" w:themeColor="text1"/>
        </w:rPr>
        <w:t xml:space="preserve">el contenido del Módulo 4, sobre ‘Información Administrativa’; la cual, de acuerdo con las </w:t>
      </w:r>
      <w:r w:rsidR="008027FA" w:rsidRPr="009F3119">
        <w:rPr>
          <w:rFonts w:ascii="Palatino Linotype" w:eastAsia="MS Mincho" w:hAnsi="Palatino Linotype" w:cs="Times New Roman"/>
          <w:b/>
          <w:bCs/>
          <w:lang w:val="es-ES_tradnl"/>
        </w:rPr>
        <w:t>“Políticas para la Integración del Informe Trimestral de los Sujetos de Fiscalización Municipales”</w:t>
      </w:r>
      <w:r w:rsidR="008027FA" w:rsidRPr="009F3119">
        <w:rPr>
          <w:rFonts w:ascii="Palatino Linotype" w:eastAsia="MS Mincho" w:hAnsi="Palatino Linotype" w:cs="Times New Roman"/>
          <w:lang w:val="es-ES_tradnl"/>
        </w:rPr>
        <w:t>, se compondrá de los siguientes documentos:</w:t>
      </w:r>
    </w:p>
    <w:p w14:paraId="40030EB9" w14:textId="521272BE"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73FAEF" w14:textId="3CA4B6F5" w:rsidR="008027FA" w:rsidRPr="009F3119" w:rsidRDefault="00923604" w:rsidP="008027FA">
      <w:pPr>
        <w:pStyle w:val="Prrafodelista"/>
        <w:tabs>
          <w:tab w:val="left" w:pos="426"/>
        </w:tabs>
        <w:spacing w:before="240" w:after="240" w:line="360" w:lineRule="auto"/>
        <w:ind w:left="0" w:right="51"/>
        <w:jc w:val="center"/>
        <w:rPr>
          <w:rFonts w:ascii="Palatino Linotype" w:hAnsi="Palatino Linotype"/>
          <w:color w:val="000000" w:themeColor="text1"/>
        </w:rPr>
      </w:pPr>
      <w:r w:rsidRPr="009F3119">
        <w:object w:dxaOrig="5730" w:dyaOrig="4575" w14:anchorId="493CAF0D">
          <v:shape id="_x0000_i1026" type="#_x0000_t75" style="width:324.3pt;height:259.2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Brush" ShapeID="_x0000_i1026" DrawAspect="Content" ObjectID="_1721741050" r:id="rId11"/>
        </w:object>
      </w:r>
    </w:p>
    <w:p w14:paraId="73AB97AF" w14:textId="77777777" w:rsidR="008027FA" w:rsidRPr="009F3119" w:rsidRDefault="008027FA"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2096A6EA" w14:textId="665DA340" w:rsidR="00B246C8" w:rsidRPr="009F3119" w:rsidRDefault="008027F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lo que corresponde al </w:t>
      </w:r>
      <w:proofErr w:type="spellStart"/>
      <w:r w:rsidRPr="009F3119">
        <w:rPr>
          <w:rFonts w:ascii="Palatino Linotype" w:hAnsi="Palatino Linotype"/>
          <w:color w:val="000000" w:themeColor="text1"/>
        </w:rPr>
        <w:t>Submódulo</w:t>
      </w:r>
      <w:proofErr w:type="spellEnd"/>
      <w:r w:rsidRPr="009F3119">
        <w:rPr>
          <w:rFonts w:ascii="Palatino Linotype" w:hAnsi="Palatino Linotype"/>
          <w:color w:val="000000" w:themeColor="text1"/>
        </w:rPr>
        <w:t xml:space="preserve"> de ‘Nómina y Comprobantes Fiscales’, se advierte que el </w:t>
      </w:r>
      <w:r w:rsidRPr="009F3119">
        <w:rPr>
          <w:rFonts w:ascii="Palatino Linotype" w:hAnsi="Palatino Linotype"/>
          <w:b/>
          <w:bCs/>
          <w:color w:val="000000" w:themeColor="text1"/>
        </w:rPr>
        <w:t>SUJETO OBLIGADO</w:t>
      </w:r>
      <w:r w:rsidRPr="009F3119">
        <w:rPr>
          <w:rFonts w:ascii="Palatino Linotype" w:hAnsi="Palatino Linotype"/>
          <w:color w:val="000000" w:themeColor="text1"/>
        </w:rPr>
        <w:t xml:space="preserve"> deberá integrar, en formato </w:t>
      </w:r>
      <w:r w:rsidRPr="009F3119">
        <w:rPr>
          <w:rFonts w:ascii="Palatino Linotype" w:hAnsi="Palatino Linotype"/>
          <w:i/>
          <w:iCs/>
          <w:color w:val="000000" w:themeColor="text1"/>
        </w:rPr>
        <w:t>.</w:t>
      </w:r>
      <w:proofErr w:type="spellStart"/>
      <w:r w:rsidRPr="009F3119">
        <w:rPr>
          <w:rFonts w:ascii="Palatino Linotype" w:hAnsi="Palatino Linotype"/>
          <w:i/>
          <w:iCs/>
          <w:color w:val="000000" w:themeColor="text1"/>
        </w:rPr>
        <w:t>pdf</w:t>
      </w:r>
      <w:proofErr w:type="spellEnd"/>
      <w:r w:rsidRPr="009F3119">
        <w:rPr>
          <w:rFonts w:ascii="Palatino Linotype" w:hAnsi="Palatino Linotype"/>
          <w:color w:val="000000" w:themeColor="text1"/>
        </w:rPr>
        <w:t xml:space="preserve">, </w:t>
      </w:r>
      <w:r w:rsidRPr="009F3119">
        <w:rPr>
          <w:rFonts w:ascii="Palatino Linotype" w:hAnsi="Palatino Linotype"/>
          <w:b/>
          <w:bCs/>
          <w:color w:val="000000" w:themeColor="text1"/>
        </w:rPr>
        <w:t xml:space="preserve">y de forma </w:t>
      </w:r>
      <w:r w:rsidR="00E0482E" w:rsidRPr="009F3119">
        <w:rPr>
          <w:rFonts w:ascii="Palatino Linotype" w:hAnsi="Palatino Linotype"/>
          <w:b/>
          <w:bCs/>
          <w:color w:val="000000" w:themeColor="text1"/>
        </w:rPr>
        <w:t>quincenal</w:t>
      </w:r>
      <w:r w:rsidRPr="009F3119">
        <w:rPr>
          <w:rFonts w:ascii="Palatino Linotype" w:hAnsi="Palatino Linotype"/>
          <w:color w:val="000000" w:themeColor="text1"/>
        </w:rPr>
        <w:t xml:space="preserve">, </w:t>
      </w:r>
      <w:r w:rsidR="00E0482E" w:rsidRPr="009F3119">
        <w:rPr>
          <w:rFonts w:ascii="Palatino Linotype" w:hAnsi="Palatino Linotype"/>
          <w:color w:val="000000" w:themeColor="text1"/>
        </w:rPr>
        <w:t>los</w:t>
      </w:r>
      <w:r w:rsidR="00A13838" w:rsidRPr="009F3119">
        <w:rPr>
          <w:rFonts w:ascii="Palatino Linotype" w:hAnsi="Palatino Linotype"/>
          <w:color w:val="000000" w:themeColor="text1"/>
        </w:rPr>
        <w:t xml:space="preserve"> documento</w:t>
      </w:r>
      <w:r w:rsidR="00E0482E" w:rsidRPr="009F3119">
        <w:rPr>
          <w:rFonts w:ascii="Palatino Linotype" w:hAnsi="Palatino Linotype"/>
          <w:color w:val="000000" w:themeColor="text1"/>
        </w:rPr>
        <w:t>s</w:t>
      </w:r>
      <w:r w:rsidR="00A13838" w:rsidRPr="009F3119">
        <w:rPr>
          <w:rFonts w:ascii="Palatino Linotype" w:hAnsi="Palatino Linotype"/>
          <w:color w:val="000000" w:themeColor="text1"/>
        </w:rPr>
        <w:t xml:space="preserve"> titulado</w:t>
      </w:r>
      <w:r w:rsidR="00E0482E" w:rsidRPr="009F3119">
        <w:rPr>
          <w:rFonts w:ascii="Palatino Linotype" w:hAnsi="Palatino Linotype"/>
          <w:color w:val="000000" w:themeColor="text1"/>
        </w:rPr>
        <w:t>s</w:t>
      </w:r>
      <w:r w:rsidR="00A13838" w:rsidRPr="009F3119">
        <w:rPr>
          <w:rFonts w:ascii="Palatino Linotype" w:hAnsi="Palatino Linotype"/>
          <w:color w:val="000000" w:themeColor="text1"/>
        </w:rPr>
        <w:t xml:space="preserve"> </w:t>
      </w:r>
      <w:r w:rsidR="00E0482E" w:rsidRPr="009F3119">
        <w:rPr>
          <w:rFonts w:ascii="Palatino Linotype" w:hAnsi="Palatino Linotype"/>
          <w:b/>
          <w:bCs/>
          <w:color w:val="000000" w:themeColor="text1"/>
          <w:u w:val="single"/>
        </w:rPr>
        <w:t>Comprobantes Fiscales Digitales por Internet por concepto de Honorarios</w:t>
      </w:r>
      <w:r w:rsidR="00E0482E" w:rsidRPr="009F3119">
        <w:rPr>
          <w:rFonts w:ascii="Palatino Linotype" w:hAnsi="Palatino Linotype"/>
          <w:color w:val="000000" w:themeColor="text1"/>
        </w:rPr>
        <w:t xml:space="preserve"> y </w:t>
      </w:r>
      <w:r w:rsidR="00E0482E" w:rsidRPr="009F3119">
        <w:rPr>
          <w:rFonts w:ascii="Palatino Linotype" w:hAnsi="Palatino Linotype"/>
          <w:b/>
          <w:bCs/>
          <w:color w:val="000000" w:themeColor="text1"/>
          <w:u w:val="single"/>
        </w:rPr>
        <w:t>Comprobantes Fiscales Digitales por Internet por concepto de Nómina</w:t>
      </w:r>
      <w:r w:rsidR="000A1CCA" w:rsidRPr="009F3119">
        <w:rPr>
          <w:rFonts w:ascii="Palatino Linotype" w:hAnsi="Palatino Linotype"/>
          <w:color w:val="000000" w:themeColor="text1"/>
        </w:rPr>
        <w:t xml:space="preserve">, tal como lo establece el mapa de integración del </w:t>
      </w:r>
      <w:proofErr w:type="spellStart"/>
      <w:r w:rsidR="000A1CCA" w:rsidRPr="009F3119">
        <w:rPr>
          <w:rFonts w:ascii="Palatino Linotype" w:hAnsi="Palatino Linotype"/>
          <w:color w:val="000000" w:themeColor="text1"/>
        </w:rPr>
        <w:t>Submódulo</w:t>
      </w:r>
      <w:proofErr w:type="spellEnd"/>
      <w:r w:rsidR="000A1CCA" w:rsidRPr="009F3119">
        <w:rPr>
          <w:rFonts w:ascii="Palatino Linotype" w:hAnsi="Palatino Linotype"/>
          <w:color w:val="000000" w:themeColor="text1"/>
        </w:rPr>
        <w:t xml:space="preserve"> en comento:</w:t>
      </w:r>
    </w:p>
    <w:p w14:paraId="7479A19B" w14:textId="2F9DAB01"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EB61529" w14:textId="3325FC35" w:rsidR="000A1CCA" w:rsidRPr="009F3119" w:rsidRDefault="002A0411" w:rsidP="000A1CCA">
      <w:pPr>
        <w:pStyle w:val="Prrafodelista"/>
        <w:tabs>
          <w:tab w:val="left" w:pos="426"/>
        </w:tabs>
        <w:spacing w:before="240" w:after="240" w:line="360" w:lineRule="auto"/>
        <w:ind w:left="0" w:right="51"/>
        <w:jc w:val="center"/>
        <w:rPr>
          <w:rFonts w:ascii="Palatino Linotype" w:hAnsi="Palatino Linotype"/>
          <w:color w:val="000000" w:themeColor="text1"/>
        </w:rPr>
      </w:pPr>
      <w:r w:rsidRPr="009F3119">
        <w:object w:dxaOrig="16725" w:dyaOrig="4890" w14:anchorId="10AFFA3A">
          <v:shape id="_x0000_i1027" type="#_x0000_t75" style="width:384.75pt;height:112.9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PBrush" ShapeID="_x0000_i1027" DrawAspect="Content" ObjectID="_1721741051" r:id="rId13"/>
        </w:object>
      </w:r>
    </w:p>
    <w:p w14:paraId="7F3B0C18" w14:textId="77777777" w:rsidR="001E11C8" w:rsidRPr="009F3119" w:rsidRDefault="001E11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46E0C385" w14:textId="0866FA95" w:rsidR="00B246C8" w:rsidRPr="009F3119" w:rsidRDefault="000A1CCA"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hAnsi="Palatino Linotype"/>
        </w:rPr>
        <w:t xml:space="preserve">ese sentido, se concluye que el </w:t>
      </w:r>
      <w:r w:rsidRPr="009F3119">
        <w:rPr>
          <w:rFonts w:ascii="Palatino Linotype" w:hAnsi="Palatino Linotype"/>
          <w:b/>
        </w:rPr>
        <w:t>SUJETO OBLIGADO</w:t>
      </w:r>
      <w:r w:rsidRPr="009F3119">
        <w:rPr>
          <w:rFonts w:ascii="Palatino Linotype" w:hAnsi="Palatino Linotype"/>
        </w:rPr>
        <w:t xml:space="preserve"> cuenta con las atribuciones suficientes, para que en el ejercicio de éstas, hubiere generado los documentos mediante los cuales el derecho de acceso a la información de la parte </w:t>
      </w:r>
      <w:r w:rsidRPr="009F3119">
        <w:rPr>
          <w:rFonts w:ascii="Palatino Linotype" w:hAnsi="Palatino Linotype"/>
          <w:b/>
        </w:rPr>
        <w:t>RECURRENTE</w:t>
      </w:r>
      <w:r w:rsidRPr="009F3119">
        <w:rPr>
          <w:rFonts w:ascii="Palatino Linotype" w:hAnsi="Palatino Linotype"/>
        </w:rPr>
        <w:t xml:space="preserve"> pueda atenderse, concretamente </w:t>
      </w:r>
      <w:r w:rsidR="00E0482E" w:rsidRPr="009F3119">
        <w:rPr>
          <w:rFonts w:ascii="Palatino Linotype" w:hAnsi="Palatino Linotype"/>
        </w:rPr>
        <w:t xml:space="preserve">los Comprobantes Fiscales Digitales por Internet por concepto de Honorarios y </w:t>
      </w:r>
      <w:r w:rsidR="002A0411" w:rsidRPr="009F3119">
        <w:rPr>
          <w:rFonts w:ascii="Palatino Linotype" w:hAnsi="Palatino Linotype"/>
        </w:rPr>
        <w:t>Nómina</w:t>
      </w:r>
      <w:r w:rsidR="00E96FC5" w:rsidRPr="009F3119">
        <w:rPr>
          <w:rFonts w:ascii="Palatino Linotype" w:hAnsi="Palatino Linotype"/>
        </w:rPr>
        <w:t xml:space="preserve">, </w:t>
      </w:r>
      <w:r w:rsidRPr="009F3119">
        <w:rPr>
          <w:rFonts w:ascii="Palatino Linotype" w:hAnsi="Palatino Linotype"/>
        </w:rPr>
        <w:t>los cuales, debe generar como parte del cumplimiento de sus obligaciones fiscales.</w:t>
      </w:r>
    </w:p>
    <w:p w14:paraId="3A321BF6" w14:textId="77777777" w:rsidR="00CC1B52" w:rsidRPr="009F3119" w:rsidRDefault="00CC1B52" w:rsidP="00CC1B52">
      <w:pPr>
        <w:pStyle w:val="Prrafodelista"/>
        <w:tabs>
          <w:tab w:val="left" w:pos="426"/>
        </w:tabs>
        <w:spacing w:before="240" w:after="240" w:line="360" w:lineRule="auto"/>
        <w:ind w:left="0" w:right="51"/>
        <w:jc w:val="both"/>
        <w:rPr>
          <w:rFonts w:ascii="Palatino Linotype" w:hAnsi="Palatino Linotype"/>
          <w:color w:val="000000" w:themeColor="text1"/>
        </w:rPr>
      </w:pPr>
    </w:p>
    <w:p w14:paraId="587F0309" w14:textId="79A39EF8" w:rsidR="00CC1B52" w:rsidRPr="009F3119" w:rsidRDefault="00CC1B52" w:rsidP="00CC1B5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Derivado de todo lo anterior, este Organismo Garante concluye que </w:t>
      </w:r>
      <w:r w:rsidRPr="009F3119">
        <w:rPr>
          <w:rFonts w:ascii="Palatino Linotype" w:hAnsi="Palatino Linotype"/>
          <w:b/>
          <w:bCs/>
          <w:color w:val="000000" w:themeColor="text1"/>
        </w:rPr>
        <w:t xml:space="preserve">no ha lugar a considerar por colmado el derecho de acceso a la información ejercido por el particular </w:t>
      </w:r>
      <w:r w:rsidRPr="009F3119">
        <w:rPr>
          <w:rFonts w:ascii="Palatino Linotype" w:hAnsi="Palatino Linotype"/>
          <w:color w:val="000000" w:themeColor="text1"/>
        </w:rPr>
        <w:t xml:space="preserve">a través de la solicitud </w:t>
      </w:r>
      <w:r w:rsidR="0085795E" w:rsidRPr="009F3119">
        <w:rPr>
          <w:rFonts w:ascii="Palatino Linotype" w:hAnsi="Palatino Linotype"/>
          <w:b/>
          <w:bCs/>
          <w:color w:val="000000" w:themeColor="text1"/>
        </w:rPr>
        <w:t>00048/MELOCAM/IP/2022</w:t>
      </w:r>
      <w:r w:rsidRPr="009F3119">
        <w:rPr>
          <w:rFonts w:ascii="Palatino Linotype" w:hAnsi="Palatino Linotype"/>
          <w:color w:val="000000" w:themeColor="text1"/>
        </w:rPr>
        <w:t xml:space="preserve">, toda vez que la información solicitada no solamente se relaciona con parte de las obligaciones de transparencia común que el </w:t>
      </w:r>
      <w:r w:rsidR="0085795E" w:rsidRPr="009F3119">
        <w:rPr>
          <w:rFonts w:ascii="Palatino Linotype" w:hAnsi="Palatino Linotype"/>
          <w:color w:val="000000" w:themeColor="text1"/>
        </w:rPr>
        <w:t>Ayuntamiento de Melchor Ocampo</w:t>
      </w:r>
      <w:r w:rsidRPr="009F3119">
        <w:rPr>
          <w:rFonts w:ascii="Palatino Linotype" w:hAnsi="Palatino Linotype"/>
          <w:color w:val="000000" w:themeColor="text1"/>
        </w:rPr>
        <w:t xml:space="preserve"> debe publicar y difundir a la ciudadanía, sino que también se vincula con instrumentos que demuestran el respeto y atención del derecho, de índole laboral, consistente en la percepción de un salario.</w:t>
      </w:r>
    </w:p>
    <w:p w14:paraId="17CAD693" w14:textId="77777777" w:rsidR="000A2A8C" w:rsidRPr="009F3119" w:rsidRDefault="000A2A8C" w:rsidP="000A2A8C">
      <w:pPr>
        <w:pStyle w:val="Prrafodelista"/>
        <w:tabs>
          <w:tab w:val="left" w:pos="426"/>
        </w:tabs>
        <w:spacing w:before="240" w:after="240" w:line="360" w:lineRule="auto"/>
        <w:ind w:left="0" w:right="51"/>
        <w:jc w:val="both"/>
        <w:rPr>
          <w:rFonts w:ascii="Palatino Linotype" w:hAnsi="Palatino Linotype"/>
          <w:color w:val="000000" w:themeColor="text1"/>
        </w:rPr>
      </w:pPr>
    </w:p>
    <w:p w14:paraId="0E260A84" w14:textId="3FDBEDE5" w:rsidR="00B246C8" w:rsidRPr="009F3119" w:rsidRDefault="00FB25AF" w:rsidP="00B246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Palatino Linotype" w:hAnsi="Palatino Linotype" w:cs="Palatino Linotype"/>
          <w:color w:val="000000"/>
        </w:rPr>
        <w:t xml:space="preserve">consecuencia de lo anterior, el </w:t>
      </w:r>
      <w:r w:rsidRPr="009F3119">
        <w:rPr>
          <w:rFonts w:ascii="Palatino Linotype" w:eastAsia="Palatino Linotype" w:hAnsi="Palatino Linotype" w:cs="Palatino Linotype"/>
          <w:b/>
          <w:color w:val="000000"/>
        </w:rPr>
        <w:t>SUJETO OBLIGADO</w:t>
      </w:r>
      <w:r w:rsidRPr="009F3119">
        <w:rPr>
          <w:rFonts w:ascii="Palatino Linotype" w:eastAsia="Palatino Linotype" w:hAnsi="Palatino Linotype" w:cs="Palatino Linotype"/>
          <w:color w:val="000000"/>
        </w:rPr>
        <w:t xml:space="preserve"> deberá entregar al </w:t>
      </w:r>
      <w:r w:rsidRPr="009F3119">
        <w:rPr>
          <w:rFonts w:ascii="Palatino Linotype" w:eastAsia="Palatino Linotype" w:hAnsi="Palatino Linotype" w:cs="Palatino Linotype"/>
          <w:b/>
          <w:color w:val="000000"/>
        </w:rPr>
        <w:t>RECURRENTE</w:t>
      </w:r>
      <w:r w:rsidRPr="009F3119">
        <w:rPr>
          <w:rFonts w:ascii="Palatino Linotype" w:eastAsia="Palatino Linotype" w:hAnsi="Palatino Linotype" w:cs="Palatino Linotype"/>
          <w:color w:val="000000"/>
        </w:rPr>
        <w:t xml:space="preserve"> </w:t>
      </w:r>
      <w:r w:rsidR="00291D91" w:rsidRPr="009F3119">
        <w:rPr>
          <w:rFonts w:ascii="Palatino Linotype" w:eastAsia="Palatino Linotype" w:hAnsi="Palatino Linotype" w:cs="Palatino Linotype"/>
          <w:color w:val="000000"/>
        </w:rPr>
        <w:t xml:space="preserve">los </w:t>
      </w:r>
      <w:r w:rsidR="002A0411" w:rsidRPr="009F3119">
        <w:rPr>
          <w:rFonts w:ascii="Palatino Linotype" w:eastAsia="Palatino Linotype" w:hAnsi="Palatino Linotype" w:cs="Palatino Linotype"/>
          <w:color w:val="000000"/>
        </w:rPr>
        <w:t xml:space="preserve">comprobantes de pago de nómina de todo el personal del </w:t>
      </w:r>
      <w:r w:rsidR="002A0411" w:rsidRPr="009F3119">
        <w:rPr>
          <w:rFonts w:ascii="Palatino Linotype" w:eastAsia="Palatino Linotype" w:hAnsi="Palatino Linotype" w:cs="Palatino Linotype"/>
          <w:color w:val="000000"/>
        </w:rPr>
        <w:lastRenderedPageBreak/>
        <w:t>ayuntamiento, así como de los Directores del Sistema Municipal para el Desarrollo Integral de la Familia</w:t>
      </w:r>
      <w:r w:rsidRPr="009F3119">
        <w:rPr>
          <w:rFonts w:ascii="Palatino Linotype" w:eastAsia="Palatino Linotype" w:hAnsi="Palatino Linotype" w:cs="Palatino Linotype"/>
          <w:bCs/>
          <w:color w:val="000000"/>
        </w:rPr>
        <w:t xml:space="preserve">, </w:t>
      </w:r>
      <w:r w:rsidR="002A0411" w:rsidRPr="009F3119">
        <w:rPr>
          <w:rFonts w:ascii="Palatino Linotype" w:eastAsia="Palatino Linotype" w:hAnsi="Palatino Linotype" w:cs="Palatino Linotype"/>
          <w:bCs/>
          <w:color w:val="000000"/>
        </w:rPr>
        <w:t xml:space="preserve">generados respecto a la segunda quincena de marzo de dos mil veintidós, </w:t>
      </w:r>
      <w:r w:rsidRPr="009F3119">
        <w:rPr>
          <w:rFonts w:ascii="Palatino Linotype" w:eastAsia="Palatino Linotype" w:hAnsi="Palatino Linotype" w:cs="Palatino Linotype"/>
          <w:bCs/>
          <w:color w:val="000000"/>
        </w:rPr>
        <w:t>en versión pública</w:t>
      </w:r>
      <w:r w:rsidRPr="009F3119">
        <w:rPr>
          <w:rFonts w:ascii="Palatino Linotype" w:eastAsia="Palatino Linotype" w:hAnsi="Palatino Linotype" w:cs="Palatino Linotype"/>
          <w:color w:val="000000"/>
        </w:rPr>
        <w:t>.</w:t>
      </w:r>
    </w:p>
    <w:p w14:paraId="2678AD22" w14:textId="77777777" w:rsidR="00B246C8" w:rsidRPr="009F3119" w:rsidRDefault="00B246C8" w:rsidP="00B246C8">
      <w:pPr>
        <w:pStyle w:val="Prrafodelista"/>
        <w:tabs>
          <w:tab w:val="left" w:pos="426"/>
        </w:tabs>
        <w:spacing w:before="240" w:after="240" w:line="360" w:lineRule="auto"/>
        <w:ind w:left="0" w:right="51"/>
        <w:jc w:val="both"/>
        <w:rPr>
          <w:rFonts w:ascii="Palatino Linotype" w:hAnsi="Palatino Linotype"/>
          <w:color w:val="000000" w:themeColor="text1"/>
        </w:rPr>
      </w:pPr>
    </w:p>
    <w:p w14:paraId="119580C7" w14:textId="55BE25C9" w:rsidR="00FF335C" w:rsidRPr="009F3119"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9F3119">
        <w:rPr>
          <w:rFonts w:ascii="Palatino Linotype" w:hAnsi="Palatino Linotype"/>
          <w:b/>
          <w:color w:val="000000" w:themeColor="text1"/>
        </w:rPr>
        <w:t>QUINTO. De la versión pública.</w:t>
      </w:r>
    </w:p>
    <w:p w14:paraId="2F7A1BA6" w14:textId="77777777" w:rsidR="00FF335C" w:rsidRPr="009F3119"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737D2827" w14:textId="77777777" w:rsidR="00055DD8" w:rsidRPr="009F3119"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eastAsia="Palatino Linotype" w:hAnsi="Palatino Linotype" w:cs="Palatino Linotype"/>
          <w:color w:val="000000"/>
        </w:rPr>
        <w:t xml:space="preserve">Debe </w:t>
      </w:r>
      <w:r w:rsidRPr="009F3119">
        <w:rPr>
          <w:rFonts w:ascii="Palatino Linotype" w:hAnsi="Palatino Linotype"/>
          <w:color w:val="000000" w:themeColor="text1"/>
        </w:rPr>
        <w:t xml:space="preserve">destacarse que, debido a la naturaleza de la información </w:t>
      </w:r>
      <w:r w:rsidRPr="009F3119">
        <w:rPr>
          <w:rFonts w:ascii="Palatino Linotype" w:hAnsi="Palatino Linotype"/>
          <w:bCs/>
          <w:color w:val="000000" w:themeColor="text1"/>
        </w:rPr>
        <w:t>solicitada, consistente en los oficios emitidos por el titular de un área administrativa, eventualmente</w:t>
      </w:r>
      <w:r w:rsidRPr="009F3119">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7A616C" w14:textId="77777777" w:rsidR="00055DD8" w:rsidRPr="009F3119" w:rsidRDefault="00055DD8"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28F82C73" w14:textId="3987E354" w:rsidR="00055DD8" w:rsidRPr="009F3119" w:rsidRDefault="00055DD8" w:rsidP="00055D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La </w:t>
      </w:r>
      <w:r w:rsidR="00C454F4" w:rsidRPr="009F3119">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00C454F4" w:rsidRPr="009F3119">
        <w:rPr>
          <w:rFonts w:ascii="Palatino Linotype" w:eastAsia="Times New Roman" w:hAnsi="Palatino Linotype" w:cs="Arial"/>
          <w:color w:val="000000"/>
        </w:rPr>
        <w:t xml:space="preserve">Actualmente, el grave problema que enfrentamos son los Acuerdos de Clasificación de la Información que emiten los </w:t>
      </w:r>
      <w:r w:rsidR="00C454F4" w:rsidRPr="009F3119">
        <w:rPr>
          <w:rFonts w:ascii="Palatino Linotype" w:eastAsia="Times New Roman" w:hAnsi="Palatino Linotype" w:cs="Arial"/>
          <w:b/>
          <w:color w:val="000000"/>
        </w:rPr>
        <w:t>SUJETOS OBLIGADOS</w:t>
      </w:r>
      <w:r w:rsidR="00C454F4" w:rsidRPr="009F3119">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C454F4" w:rsidRPr="009F3119" w14:paraId="5C79F2FE" w14:textId="77777777" w:rsidTr="00F25B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C348F9C" w14:textId="77777777" w:rsidR="00C454F4" w:rsidRPr="009F3119" w:rsidRDefault="00C454F4" w:rsidP="00F25B61">
            <w:pPr>
              <w:rPr>
                <w:sz w:val="20"/>
                <w:szCs w:val="20"/>
              </w:rPr>
            </w:pPr>
            <w:r w:rsidRPr="009F3119">
              <w:rPr>
                <w:rFonts w:ascii="Palatino Linotype" w:hAnsi="Palatino Linotype" w:cstheme="majorBidi"/>
                <w:b w:val="0"/>
                <w:sz w:val="20"/>
                <w:szCs w:val="20"/>
              </w:rPr>
              <w:lastRenderedPageBreak/>
              <w:t>a) Requisitos previos.</w:t>
            </w:r>
          </w:p>
        </w:tc>
        <w:tc>
          <w:tcPr>
            <w:tcW w:w="6990" w:type="dxa"/>
          </w:tcPr>
          <w:p w14:paraId="27760D12" w14:textId="77777777" w:rsidR="00C454F4" w:rsidRPr="009F3119"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F3119">
              <w:rPr>
                <w:rFonts w:ascii="Palatino Linotype" w:eastAsia="Times New Roman" w:hAnsi="Palatino Linotype" w:cs="Arial"/>
                <w:b w:val="0"/>
                <w:color w:val="000000"/>
                <w:sz w:val="20"/>
                <w:szCs w:val="20"/>
              </w:rPr>
              <w:t>Sujetos Obligados</w:t>
            </w:r>
            <w:r w:rsidRPr="009F3119">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6E03B42" w14:textId="77777777" w:rsidR="00C454F4" w:rsidRPr="009F3119"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134E5D5F" w14:textId="77777777" w:rsidR="00C454F4" w:rsidRPr="009F3119" w:rsidRDefault="00C454F4" w:rsidP="00F25B61">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4060CBDF" w14:textId="77777777" w:rsidR="00C454F4" w:rsidRPr="009F3119" w:rsidRDefault="00C454F4" w:rsidP="00F25B61">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F3119">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F3119">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9F3119">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454F4" w:rsidRPr="009F3119" w14:paraId="6B70D006"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D6BD0F7" w14:textId="77777777" w:rsidR="00C454F4" w:rsidRPr="009F3119" w:rsidRDefault="00C454F4" w:rsidP="00F25B61">
            <w:pPr>
              <w:rPr>
                <w:sz w:val="20"/>
                <w:szCs w:val="20"/>
              </w:rPr>
            </w:pPr>
            <w:r w:rsidRPr="009F3119">
              <w:rPr>
                <w:rFonts w:ascii="Palatino Linotype" w:hAnsi="Palatino Linotype" w:cstheme="majorBidi"/>
                <w:b w:val="0"/>
                <w:sz w:val="20"/>
                <w:szCs w:val="20"/>
              </w:rPr>
              <w:t>b) Supuestos de clasificación.</w:t>
            </w:r>
          </w:p>
        </w:tc>
        <w:tc>
          <w:tcPr>
            <w:tcW w:w="6990" w:type="dxa"/>
          </w:tcPr>
          <w:p w14:paraId="3C3C73A4"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62D213C"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60DFA7" w14:textId="77777777" w:rsidR="00C454F4" w:rsidRPr="009F3119" w:rsidRDefault="00C454F4" w:rsidP="00F25B6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F3119">
              <w:rPr>
                <w:rFonts w:ascii="Palatino Linotype" w:eastAsia="Times New Roman" w:hAnsi="Palatino Linotype" w:cs="Arial"/>
                <w:color w:val="000000"/>
                <w:sz w:val="20"/>
                <w:szCs w:val="20"/>
              </w:rPr>
              <w:t xml:space="preserve">El </w:t>
            </w:r>
            <w:r w:rsidRPr="009F3119">
              <w:rPr>
                <w:rFonts w:ascii="Palatino Linotype" w:eastAsia="Times New Roman" w:hAnsi="Palatino Linotype" w:cs="Arial"/>
                <w:b/>
                <w:color w:val="000000"/>
                <w:sz w:val="20"/>
                <w:szCs w:val="20"/>
              </w:rPr>
              <w:t>SUJETO OBLIGADO</w:t>
            </w:r>
            <w:r w:rsidRPr="009F3119">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54F4" w:rsidRPr="009F3119" w14:paraId="5F0AB916"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61E96585" w14:textId="77777777" w:rsidR="00C454F4" w:rsidRPr="009F3119" w:rsidRDefault="00C454F4" w:rsidP="00F25B61">
            <w:pPr>
              <w:rPr>
                <w:sz w:val="20"/>
                <w:szCs w:val="20"/>
              </w:rPr>
            </w:pPr>
            <w:r w:rsidRPr="009F3119">
              <w:rPr>
                <w:rFonts w:ascii="Palatino Linotype" w:hAnsi="Palatino Linotype" w:cstheme="majorBidi"/>
                <w:b w:val="0"/>
                <w:sz w:val="20"/>
                <w:szCs w:val="20"/>
              </w:rPr>
              <w:t>c) Formalidades para emitir el acuerdo de clasificación.</w:t>
            </w:r>
          </w:p>
        </w:tc>
        <w:tc>
          <w:tcPr>
            <w:tcW w:w="6990" w:type="dxa"/>
          </w:tcPr>
          <w:p w14:paraId="51E89C85" w14:textId="77777777" w:rsidR="00C454F4" w:rsidRPr="009F3119"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3C98829" w14:textId="77777777" w:rsidR="00C454F4" w:rsidRPr="009F3119"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 xml:space="preserve">Es necesario que </w:t>
            </w:r>
            <w:r w:rsidRPr="009F3119">
              <w:rPr>
                <w:rFonts w:ascii="Palatino Linotype" w:eastAsia="Times New Roman" w:hAnsi="Palatino Linotype" w:cs="Arial"/>
                <w:b/>
                <w:color w:val="000000"/>
                <w:sz w:val="20"/>
                <w:szCs w:val="20"/>
                <w:u w:val="single"/>
              </w:rPr>
              <w:t>el acto reúna con los requisitos elementales</w:t>
            </w:r>
            <w:r w:rsidRPr="009F3119">
              <w:rPr>
                <w:rFonts w:ascii="Palatino Linotype" w:eastAsia="Times New Roman" w:hAnsi="Palatino Linotype" w:cs="Arial"/>
                <w:color w:val="000000"/>
                <w:sz w:val="20"/>
                <w:szCs w:val="20"/>
              </w:rPr>
              <w:t>, entre ellos, que la autoridad que va a emitir el acto de autoridad sea la legalmente facultada para ello.</w:t>
            </w:r>
          </w:p>
          <w:p w14:paraId="457971AC" w14:textId="77777777" w:rsidR="00C454F4" w:rsidRPr="009F3119" w:rsidRDefault="00C454F4" w:rsidP="00F25B6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F3119">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w:t>
            </w:r>
            <w:r w:rsidRPr="009F3119">
              <w:rPr>
                <w:rFonts w:ascii="Palatino Linotype" w:eastAsia="Times New Roman" w:hAnsi="Palatino Linotype" w:cs="Arial"/>
                <w:color w:val="000000"/>
                <w:sz w:val="20"/>
                <w:szCs w:val="20"/>
              </w:rPr>
              <w:lastRenderedPageBreak/>
              <w:t>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454F4" w:rsidRPr="009F3119" w14:paraId="75D97B9F" w14:textId="77777777" w:rsidTr="00F25B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6B6685" w14:textId="77777777" w:rsidR="00C454F4" w:rsidRPr="009F3119" w:rsidRDefault="00C454F4" w:rsidP="00F25B61">
            <w:pPr>
              <w:rPr>
                <w:b w:val="0"/>
                <w:sz w:val="20"/>
                <w:szCs w:val="20"/>
              </w:rPr>
            </w:pPr>
          </w:p>
          <w:p w14:paraId="6848DAE0" w14:textId="77777777" w:rsidR="00C454F4" w:rsidRPr="009F3119" w:rsidRDefault="00C454F4" w:rsidP="00F25B61">
            <w:pPr>
              <w:jc w:val="both"/>
              <w:rPr>
                <w:b w:val="0"/>
                <w:sz w:val="20"/>
                <w:szCs w:val="20"/>
              </w:rPr>
            </w:pPr>
            <w:r w:rsidRPr="009F3119">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4E01A60E"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F3119">
              <w:rPr>
                <w:rFonts w:ascii="Palatino Linotype" w:eastAsia="Times New Roman" w:hAnsi="Palatino Linotype" w:cs="Arial"/>
                <w:b/>
                <w:color w:val="000000"/>
                <w:sz w:val="20"/>
                <w:szCs w:val="20"/>
              </w:rPr>
              <w:t>Sujetos Obligados</w:t>
            </w:r>
            <w:r w:rsidRPr="009F3119">
              <w:rPr>
                <w:rFonts w:ascii="Palatino Linotype" w:eastAsia="Times New Roman" w:hAnsi="Palatino Linotype" w:cs="Arial"/>
                <w:color w:val="000000"/>
                <w:sz w:val="20"/>
                <w:szCs w:val="20"/>
              </w:rPr>
              <w:t xml:space="preserve">, por lo que deberán fundar y motivar debidamente la clasificación. </w:t>
            </w:r>
          </w:p>
          <w:p w14:paraId="304C4965"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 xml:space="preserve">De lo anterior, se desprende que para una correcta </w:t>
            </w:r>
            <w:r w:rsidRPr="009F3119">
              <w:rPr>
                <w:rFonts w:ascii="Palatino Linotype" w:eastAsia="Times New Roman" w:hAnsi="Palatino Linotype" w:cs="Arial"/>
                <w:b/>
                <w:color w:val="000000"/>
                <w:sz w:val="20"/>
                <w:szCs w:val="20"/>
              </w:rPr>
              <w:t>clasificación total o parcial</w:t>
            </w:r>
            <w:r w:rsidRPr="009F3119">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A86727"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8A3D9A"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6E6A0F4A" w14:textId="77777777" w:rsidR="00C454F4" w:rsidRPr="009F3119" w:rsidRDefault="00C454F4" w:rsidP="00F25B61">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t xml:space="preserve">Ahora bien, </w:t>
            </w:r>
            <w:r w:rsidRPr="009F3119">
              <w:rPr>
                <w:rFonts w:ascii="Palatino Linotype" w:eastAsia="Times New Roman" w:hAnsi="Palatino Linotype" w:cs="Arial"/>
                <w:b/>
                <w:color w:val="000000"/>
                <w:sz w:val="20"/>
                <w:szCs w:val="20"/>
                <w:u w:val="single"/>
              </w:rPr>
              <w:t>para cada caso además de fundar y motivar</w:t>
            </w:r>
            <w:r w:rsidRPr="009F3119">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F3119">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54F4" w:rsidRPr="009F3119" w14:paraId="0079E3C5" w14:textId="77777777" w:rsidTr="00F25B61">
        <w:tc>
          <w:tcPr>
            <w:cnfStyle w:val="001000000000" w:firstRow="0" w:lastRow="0" w:firstColumn="1" w:lastColumn="0" w:oddVBand="0" w:evenVBand="0" w:oddHBand="0" w:evenHBand="0" w:firstRowFirstColumn="0" w:firstRowLastColumn="0" w:lastRowFirstColumn="0" w:lastRowLastColumn="0"/>
            <w:tcW w:w="1838" w:type="dxa"/>
          </w:tcPr>
          <w:p w14:paraId="336878C6" w14:textId="77777777" w:rsidR="00C454F4" w:rsidRPr="009F3119" w:rsidRDefault="00C454F4" w:rsidP="00F25B61">
            <w:pPr>
              <w:spacing w:line="360" w:lineRule="auto"/>
              <w:ind w:right="49"/>
              <w:jc w:val="both"/>
              <w:rPr>
                <w:rFonts w:ascii="Palatino Linotype" w:eastAsia="Times New Roman" w:hAnsi="Palatino Linotype" w:cs="Arial"/>
                <w:color w:val="000000"/>
                <w:sz w:val="20"/>
                <w:szCs w:val="20"/>
              </w:rPr>
            </w:pPr>
            <w:r w:rsidRPr="009F3119">
              <w:rPr>
                <w:rFonts w:ascii="Palatino Linotype" w:eastAsia="MS Gothic" w:hAnsi="Palatino Linotype" w:cs="Times New Roman"/>
                <w:b w:val="0"/>
                <w:sz w:val="20"/>
                <w:szCs w:val="20"/>
              </w:rPr>
              <w:t xml:space="preserve">e) Condiciones especiales de la clasificación de la </w:t>
            </w:r>
            <w:r w:rsidRPr="009F3119">
              <w:rPr>
                <w:rFonts w:ascii="Palatino Linotype" w:eastAsia="MS Gothic" w:hAnsi="Palatino Linotype" w:cs="Times New Roman"/>
                <w:b w:val="0"/>
                <w:sz w:val="20"/>
                <w:szCs w:val="20"/>
              </w:rPr>
              <w:lastRenderedPageBreak/>
              <w:t xml:space="preserve">información como confidencial. </w:t>
            </w:r>
          </w:p>
          <w:p w14:paraId="49EE2111" w14:textId="77777777" w:rsidR="00C454F4" w:rsidRPr="009F3119" w:rsidRDefault="00C454F4" w:rsidP="00F25B61">
            <w:pPr>
              <w:rPr>
                <w:sz w:val="20"/>
                <w:szCs w:val="20"/>
              </w:rPr>
            </w:pPr>
          </w:p>
        </w:tc>
        <w:tc>
          <w:tcPr>
            <w:tcW w:w="6990" w:type="dxa"/>
          </w:tcPr>
          <w:p w14:paraId="4F775A8C" w14:textId="77777777" w:rsidR="00C454F4" w:rsidRPr="009F3119"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30D990BD" w14:textId="77777777" w:rsidR="00C454F4" w:rsidRPr="009F3119" w:rsidRDefault="00C454F4" w:rsidP="00F25B61">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F3119">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92815F" w14:textId="77777777" w:rsidR="00C454F4" w:rsidRPr="009F3119" w:rsidRDefault="00C454F4" w:rsidP="00F25B61">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F3119">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FC1815" w14:textId="7B6F500C" w:rsidR="00C454F4" w:rsidRPr="009F3119"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785EE015" w14:textId="30C951CA" w:rsidR="00C454F4" w:rsidRPr="009F3119"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F3119">
        <w:rPr>
          <w:rFonts w:ascii="Palatino Linotype" w:hAnsi="Palatino Linotype"/>
          <w:b/>
          <w:bCs/>
          <w:color w:val="000000" w:themeColor="text1"/>
        </w:rPr>
        <w:t>I. Del análisis de los datos susceptibles de ser protegidos.</w:t>
      </w:r>
    </w:p>
    <w:p w14:paraId="7F893A9C" w14:textId="77777777" w:rsidR="00C454F4" w:rsidRPr="009F3119" w:rsidRDefault="00C454F4" w:rsidP="00055DD8">
      <w:pPr>
        <w:pStyle w:val="Prrafodelista"/>
        <w:tabs>
          <w:tab w:val="left" w:pos="426"/>
        </w:tabs>
        <w:spacing w:before="240" w:after="240" w:line="360" w:lineRule="auto"/>
        <w:ind w:left="0" w:right="51"/>
        <w:jc w:val="both"/>
        <w:rPr>
          <w:rFonts w:ascii="Palatino Linotype" w:hAnsi="Palatino Linotype"/>
          <w:color w:val="000000" w:themeColor="text1"/>
        </w:rPr>
      </w:pPr>
    </w:p>
    <w:p w14:paraId="355BD649" w14:textId="44EF5F8A" w:rsidR="00E62DCB" w:rsidRPr="009F3119"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Bajo </w:t>
      </w:r>
      <w:r w:rsidRPr="009F3119">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9F3119">
        <w:rPr>
          <w:rFonts w:ascii="Palatino Linotype" w:eastAsia="Times New Roman" w:hAnsi="Palatino Linotype" w:cs="Arial"/>
          <w:b/>
          <w:bCs/>
          <w:color w:val="000000"/>
        </w:rPr>
        <w:t xml:space="preserve">recibos de nómina </w:t>
      </w:r>
      <w:r w:rsidRPr="009F3119">
        <w:rPr>
          <w:rFonts w:ascii="Palatino Linotype" w:eastAsia="Times New Roman" w:hAnsi="Palatino Linotype" w:cs="Arial"/>
          <w:color w:val="000000"/>
        </w:rPr>
        <w:t xml:space="preserve">de los servidores públicos referidos en la solicitud de información, tales como </w:t>
      </w:r>
      <w:r w:rsidRPr="009F3119">
        <w:rPr>
          <w:rFonts w:ascii="Palatino Linotype" w:eastAsia="Times New Roman" w:hAnsi="Palatino Linotype" w:cs="Arial"/>
          <w:b/>
          <w:bCs/>
          <w:color w:val="000000"/>
        </w:rPr>
        <w:t xml:space="preserve">Registro Federal de Contribuyentes (RFC), </w:t>
      </w:r>
      <w:r w:rsidRPr="009F3119">
        <w:rPr>
          <w:rFonts w:ascii="Palatino Linotype" w:eastAsia="Times New Roman" w:hAnsi="Palatino Linotype" w:cs="Arial"/>
          <w:color w:val="000000"/>
        </w:rPr>
        <w:t xml:space="preserve">la </w:t>
      </w:r>
      <w:r w:rsidRPr="009F3119">
        <w:rPr>
          <w:rFonts w:ascii="Palatino Linotype" w:eastAsia="Times New Roman" w:hAnsi="Palatino Linotype" w:cs="Arial"/>
          <w:b/>
          <w:bCs/>
          <w:color w:val="000000"/>
        </w:rPr>
        <w:t>Clave Única de Registro de Población (CURP)</w:t>
      </w:r>
      <w:r w:rsidRPr="009F3119">
        <w:rPr>
          <w:rFonts w:ascii="Palatino Linotype" w:eastAsia="Times New Roman" w:hAnsi="Palatino Linotype" w:cs="Arial"/>
          <w:color w:val="000000"/>
        </w:rPr>
        <w:t xml:space="preserve">, la </w:t>
      </w:r>
      <w:r w:rsidRPr="009F3119">
        <w:rPr>
          <w:rFonts w:ascii="Palatino Linotype" w:eastAsia="Times New Roman" w:hAnsi="Palatino Linotype" w:cs="Arial"/>
          <w:b/>
          <w:bCs/>
          <w:color w:val="000000"/>
        </w:rPr>
        <w:t xml:space="preserve">Clave de </w:t>
      </w:r>
      <w:proofErr w:type="spellStart"/>
      <w:r w:rsidRPr="009F3119">
        <w:rPr>
          <w:rFonts w:ascii="Palatino Linotype" w:eastAsia="Times New Roman" w:hAnsi="Palatino Linotype" w:cs="Arial"/>
          <w:b/>
          <w:bCs/>
          <w:color w:val="000000"/>
        </w:rPr>
        <w:t>ISSEMyM</w:t>
      </w:r>
      <w:proofErr w:type="spellEnd"/>
      <w:r w:rsidRPr="009F3119">
        <w:rPr>
          <w:rFonts w:ascii="Palatino Linotype" w:eastAsia="Times New Roman" w:hAnsi="Palatino Linotype" w:cs="Arial"/>
          <w:b/>
          <w:bCs/>
          <w:color w:val="000000"/>
        </w:rPr>
        <w:t xml:space="preserve"> </w:t>
      </w:r>
      <w:r w:rsidRPr="009F3119">
        <w:rPr>
          <w:rFonts w:ascii="Palatino Linotype" w:eastAsia="Times New Roman" w:hAnsi="Palatino Linotype" w:cs="Arial"/>
          <w:color w:val="000000"/>
        </w:rPr>
        <w:t xml:space="preserve">u análogos, </w:t>
      </w:r>
      <w:r w:rsidRPr="009F3119">
        <w:rPr>
          <w:rFonts w:ascii="Palatino Linotype" w:eastAsia="Times New Roman" w:hAnsi="Palatino Linotype" w:cs="Arial"/>
          <w:b/>
          <w:bCs/>
          <w:color w:val="000000"/>
        </w:rPr>
        <w:t xml:space="preserve">préstamos o descuentos </w:t>
      </w:r>
      <w:r w:rsidRPr="009F3119">
        <w:rPr>
          <w:rFonts w:ascii="Palatino Linotype" w:eastAsia="Times New Roman" w:hAnsi="Palatino Linotype" w:cs="Arial"/>
          <w:color w:val="000000"/>
        </w:rPr>
        <w:t xml:space="preserve">realizados al servidor público y la </w:t>
      </w:r>
      <w:r w:rsidRPr="009F3119">
        <w:rPr>
          <w:rFonts w:ascii="Palatino Linotype" w:eastAsia="Times New Roman" w:hAnsi="Palatino Linotype" w:cs="Arial"/>
          <w:b/>
          <w:bCs/>
          <w:color w:val="000000"/>
        </w:rPr>
        <w:t>clave interbancaria de depósito.</w:t>
      </w:r>
    </w:p>
    <w:p w14:paraId="27425A14" w14:textId="4706EE7F"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FF8507B" w14:textId="122088F9" w:rsidR="00C454F4" w:rsidRPr="009F3119" w:rsidRDefault="00C454F4" w:rsidP="00C454F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F3119">
        <w:rPr>
          <w:rFonts w:ascii="Palatino Linotype" w:hAnsi="Palatino Linotype"/>
          <w:b/>
          <w:bCs/>
          <w:color w:val="000000" w:themeColor="text1"/>
        </w:rPr>
        <w:t>a) Del Registro Federal de Contribuyentes.</w:t>
      </w:r>
    </w:p>
    <w:p w14:paraId="0AC9D540"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B8252C1" w14:textId="34002D10" w:rsidR="00C454F4" w:rsidRPr="009F3119"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El </w:t>
      </w:r>
      <w:r w:rsidRPr="009F3119">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w:t>
      </w:r>
      <w:r w:rsidRPr="009F3119">
        <w:rPr>
          <w:rFonts w:ascii="Palatino Linotype" w:eastAsia="Times New Roman" w:hAnsi="Palatino Linotype" w:cs="Arial"/>
          <w:color w:val="000000"/>
        </w:rPr>
        <w:lastRenderedPageBreak/>
        <w:t xml:space="preserve">mes y día, los tres últimos dígitos son la </w:t>
      </w:r>
      <w:proofErr w:type="spellStart"/>
      <w:r w:rsidRPr="009F3119">
        <w:rPr>
          <w:rFonts w:ascii="Palatino Linotype" w:eastAsia="Times New Roman" w:hAnsi="Palatino Linotype" w:cs="Arial"/>
          <w:color w:val="000000"/>
        </w:rPr>
        <w:t>homoclave</w:t>
      </w:r>
      <w:proofErr w:type="spellEnd"/>
      <w:r w:rsidRPr="009F3119">
        <w:rPr>
          <w:rFonts w:ascii="Palatino Linotype" w:eastAsia="Times New Roman" w:hAnsi="Palatino Linotype" w:cs="Arial"/>
          <w:color w:val="000000"/>
        </w:rPr>
        <w:t xml:space="preserve"> que es asignada por el Servicio de Administración Tributaria (SAT).</w:t>
      </w:r>
    </w:p>
    <w:p w14:paraId="3A0A3C3D"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CBA213C" w14:textId="7427F38B" w:rsidR="00C454F4" w:rsidRPr="009F3119"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Las </w:t>
      </w:r>
      <w:r w:rsidRPr="009F3119">
        <w:rPr>
          <w:rFonts w:ascii="Palatino Linotype" w:eastAsia="MS Mincho" w:hAnsi="Palatino Linotype" w:cs="Times New Roman"/>
        </w:rPr>
        <w:t>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19C5972B"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569995D" w14:textId="51E959B9" w:rsidR="00C454F4" w:rsidRPr="009F3119"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Del </w:t>
      </w:r>
      <w:r w:rsidRPr="009F3119">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0D7DB821"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3DF6078" w14:textId="2E95D86C" w:rsidR="00C454F4" w:rsidRPr="009F3119" w:rsidRDefault="00C454F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De </w:t>
      </w:r>
      <w:r w:rsidRPr="009F3119">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4036E888"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4BD7254" w14:textId="21A18C72"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4D95B17A" w14:textId="77777777" w:rsidR="009405CB" w:rsidRPr="009F3119"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9807381" w14:textId="5A7E8F7A" w:rsidR="009405CB" w:rsidRPr="009F3119"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9F3119">
        <w:rPr>
          <w:rFonts w:ascii="Palatino Linotype" w:eastAsia="Calibri" w:hAnsi="Palatino Linotype" w:cs="Tahoma"/>
          <w:b/>
          <w:bCs/>
          <w:i/>
          <w:sz w:val="22"/>
        </w:rPr>
        <w:lastRenderedPageBreak/>
        <w:t>REGISTRO FEDERAL DE CONTRIBUYENTES (RFC) DE PERSONAS FÍSICAS.</w:t>
      </w:r>
      <w:r w:rsidRPr="009F3119">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6179FFB" w14:textId="445313F6"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23199A3" w14:textId="1958B180" w:rsidR="009405CB" w:rsidRPr="009F3119"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F3119">
        <w:rPr>
          <w:rFonts w:ascii="Palatino Linotype" w:hAnsi="Palatino Linotype"/>
          <w:b/>
          <w:bCs/>
          <w:color w:val="000000" w:themeColor="text1"/>
        </w:rPr>
        <w:t>b) De la Clave Única de Registro de Población.</w:t>
      </w:r>
    </w:p>
    <w:p w14:paraId="3C5AAA28" w14:textId="77777777"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20359203" w14:textId="13E5C34D"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La </w:t>
      </w:r>
      <w:r w:rsidRPr="009F3119">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7C1879C4" w14:textId="19415919" w:rsidR="009405CB" w:rsidRPr="009F3119" w:rsidRDefault="009405CB" w:rsidP="009405CB">
      <w:pPr>
        <w:pStyle w:val="Prrafodelista"/>
        <w:tabs>
          <w:tab w:val="left" w:pos="426"/>
        </w:tabs>
        <w:spacing w:before="240" w:after="240" w:line="360" w:lineRule="auto"/>
        <w:ind w:left="0" w:right="51"/>
        <w:jc w:val="center"/>
        <w:rPr>
          <w:rFonts w:ascii="Palatino Linotype" w:hAnsi="Palatino Linotype"/>
          <w:color w:val="000000" w:themeColor="text1"/>
        </w:rPr>
      </w:pPr>
      <w:r w:rsidRPr="009F3119">
        <w:rPr>
          <w:noProof/>
          <w:lang w:eastAsia="es-MX"/>
        </w:rPr>
        <w:drawing>
          <wp:inline distT="0" distB="0" distL="0" distR="0" wp14:anchorId="7B03D1D2" wp14:editId="129B8841">
            <wp:extent cx="4266820" cy="3522428"/>
            <wp:effectExtent l="0" t="0" r="635" b="1905"/>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14"/>
                    <a:srcRect l="25748" t="8269" r="41254" b="18082"/>
                    <a:stretch/>
                  </pic:blipFill>
                  <pic:spPr bwMode="auto">
                    <a:xfrm>
                      <a:off x="0" y="0"/>
                      <a:ext cx="4305802" cy="3554609"/>
                    </a:xfrm>
                    <a:prstGeom prst="rect">
                      <a:avLst/>
                    </a:prstGeom>
                    <a:ln>
                      <a:noFill/>
                    </a:ln>
                    <a:extLst>
                      <a:ext uri="{53640926-AAD7-44D8-BBD7-CCE9431645EC}">
                        <a14:shadowObscured xmlns:a14="http://schemas.microsoft.com/office/drawing/2010/main"/>
                      </a:ext>
                    </a:extLst>
                  </pic:spPr>
                </pic:pic>
              </a:graphicData>
            </a:graphic>
          </wp:inline>
        </w:drawing>
      </w:r>
    </w:p>
    <w:p w14:paraId="0CB679A1" w14:textId="77777777"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7F5F792" w14:textId="7DCE5AFC"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Es </w:t>
      </w:r>
      <w:r w:rsidRPr="009F3119">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0CC0B1CA"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DBA579C" w14:textId="36E3491B"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Entre </w:t>
      </w:r>
      <w:r w:rsidRPr="009F3119">
        <w:rPr>
          <w:rFonts w:ascii="Palatino Linotype" w:eastAsia="MS Mincho" w:hAnsi="Palatino Linotype" w:cs="Arial"/>
          <w:iCs/>
        </w:rPr>
        <w:t>las características de la CURP, se encuentra:</w:t>
      </w:r>
    </w:p>
    <w:p w14:paraId="2E80C6E2" w14:textId="5A7C8E98" w:rsidR="00C454F4" w:rsidRPr="009F3119"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658AAD16" w14:textId="77777777" w:rsidR="009405CB" w:rsidRPr="009F3119"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F3119">
        <w:rPr>
          <w:rFonts w:ascii="Palatino Linotype" w:eastAsia="MS Mincho" w:hAnsi="Palatino Linotype" w:cs="Arial"/>
          <w:b/>
          <w:bCs/>
          <w:i/>
          <w:iCs/>
          <w:sz w:val="22"/>
        </w:rPr>
        <w:t xml:space="preserve">Composición. </w:t>
      </w:r>
      <w:r w:rsidRPr="009F3119">
        <w:rPr>
          <w:rFonts w:ascii="Palatino Linotype" w:eastAsia="MS Mincho" w:hAnsi="Palatino Linotype" w:cs="Arial"/>
          <w:i/>
          <w:iCs/>
          <w:sz w:val="22"/>
        </w:rPr>
        <w:t>Alfanumérica.</w:t>
      </w:r>
    </w:p>
    <w:p w14:paraId="141F2160" w14:textId="77777777" w:rsidR="009405CB" w:rsidRPr="009F3119"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F3119">
        <w:rPr>
          <w:rFonts w:ascii="Palatino Linotype" w:eastAsia="MS Mincho" w:hAnsi="Palatino Linotype" w:cs="Arial"/>
          <w:b/>
          <w:bCs/>
          <w:i/>
          <w:iCs/>
          <w:sz w:val="22"/>
        </w:rPr>
        <w:t xml:space="preserve">Longitud. </w:t>
      </w:r>
      <w:r w:rsidRPr="009F3119">
        <w:rPr>
          <w:rFonts w:ascii="Palatino Linotype" w:eastAsia="MS Mincho" w:hAnsi="Palatino Linotype" w:cs="Arial"/>
          <w:i/>
          <w:iCs/>
          <w:sz w:val="22"/>
        </w:rPr>
        <w:t xml:space="preserve"> 18 caracteres.</w:t>
      </w:r>
    </w:p>
    <w:p w14:paraId="0950276F" w14:textId="77777777" w:rsidR="009405CB" w:rsidRPr="009F3119"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F3119">
        <w:rPr>
          <w:rFonts w:ascii="Palatino Linotype" w:eastAsia="MS Mincho" w:hAnsi="Palatino Linotype" w:cs="Arial"/>
          <w:b/>
          <w:bCs/>
          <w:i/>
          <w:iCs/>
          <w:sz w:val="22"/>
        </w:rPr>
        <w:t xml:space="preserve">Naturaleza. </w:t>
      </w:r>
      <w:r w:rsidRPr="009F3119">
        <w:rPr>
          <w:rFonts w:ascii="Palatino Linotype" w:eastAsia="MS Mincho" w:hAnsi="Palatino Linotype" w:cs="Arial"/>
          <w:i/>
          <w:iCs/>
          <w:sz w:val="22"/>
        </w:rPr>
        <w:t>Biunívoca.</w:t>
      </w:r>
    </w:p>
    <w:p w14:paraId="630592B5" w14:textId="77777777" w:rsidR="009405CB" w:rsidRPr="009F3119" w:rsidRDefault="009405CB" w:rsidP="009405C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9F3119">
        <w:rPr>
          <w:rFonts w:ascii="Palatino Linotype" w:eastAsia="MS Mincho" w:hAnsi="Palatino Linotype" w:cs="Arial"/>
          <w:b/>
          <w:bCs/>
          <w:i/>
          <w:iCs/>
          <w:sz w:val="22"/>
        </w:rPr>
        <w:t xml:space="preserve">Universalidad. </w:t>
      </w:r>
      <w:r w:rsidRPr="009F3119">
        <w:rPr>
          <w:rFonts w:ascii="Palatino Linotype" w:eastAsia="MS Mincho" w:hAnsi="Palatino Linotype" w:cs="Arial"/>
          <w:i/>
          <w:iCs/>
          <w:sz w:val="22"/>
        </w:rPr>
        <w:t>Se asigna a todas las personas que conforman la población.</w:t>
      </w:r>
    </w:p>
    <w:p w14:paraId="67DA0B3C" w14:textId="77777777" w:rsidR="009405CB" w:rsidRPr="009F3119" w:rsidRDefault="009405CB" w:rsidP="009405CB">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9F3119">
        <w:rPr>
          <w:rFonts w:ascii="Palatino Linotype" w:eastAsia="MS Mincho" w:hAnsi="Palatino Linotype" w:cs="Arial"/>
          <w:b/>
          <w:bCs/>
          <w:i/>
          <w:iCs/>
          <w:sz w:val="22"/>
        </w:rPr>
        <w:t xml:space="preserve">Verificabilidad. </w:t>
      </w:r>
      <w:r w:rsidRPr="009F3119">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71672656" w14:textId="77777777"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D40DDFE" w14:textId="6F06AC9C"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Del </w:t>
      </w:r>
      <w:r w:rsidRPr="009F3119">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4F9B5A3"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71CAE7FB" w14:textId="1F2C04EB"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Es </w:t>
      </w:r>
      <w:r w:rsidRPr="009F3119">
        <w:rPr>
          <w:rFonts w:ascii="Palatino Linotype" w:eastAsia="MS Mincho" w:hAnsi="Palatino Linotype" w:cs="Arial"/>
          <w:iCs/>
        </w:rPr>
        <w:t xml:space="preserve">entonces que, de lo anterior, se desprende que la Clave Única de Registro de Población es un dato personal confidencial, ya que por sí releva información </w:t>
      </w:r>
      <w:r w:rsidRPr="009F3119">
        <w:rPr>
          <w:rFonts w:ascii="Palatino Linotype" w:eastAsia="MS Mincho" w:hAnsi="Palatino Linotype" w:cs="Arial"/>
          <w:iCs/>
        </w:rPr>
        <w:lastRenderedPageBreak/>
        <w:t>personal de su titular, y su exposición únicamente vulneraría la esfera privada del mismo, aunado a que no guarda relación con el desempeño profesional o laboral de un individuo ni con el ejercicio de recursos públicos.</w:t>
      </w:r>
    </w:p>
    <w:p w14:paraId="7A1C5D90"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838A647" w14:textId="13EF5BDD"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Ante </w:t>
      </w:r>
      <w:r w:rsidRPr="009F3119">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49F8A0E8" w14:textId="47FCCE34" w:rsidR="00C454F4" w:rsidRPr="009F3119" w:rsidRDefault="00C454F4" w:rsidP="009405CB">
      <w:pPr>
        <w:pStyle w:val="Prrafodelista"/>
        <w:tabs>
          <w:tab w:val="left" w:pos="426"/>
        </w:tabs>
        <w:spacing w:before="240" w:line="360" w:lineRule="auto"/>
        <w:ind w:left="0" w:right="51"/>
        <w:jc w:val="both"/>
        <w:rPr>
          <w:rFonts w:ascii="Palatino Linotype" w:hAnsi="Palatino Linotype"/>
          <w:color w:val="000000" w:themeColor="text1"/>
        </w:rPr>
      </w:pPr>
    </w:p>
    <w:p w14:paraId="4719EA82" w14:textId="47B6E4DB" w:rsidR="009405CB" w:rsidRPr="009F3119" w:rsidRDefault="009405CB" w:rsidP="009405CB">
      <w:pPr>
        <w:shd w:val="clear" w:color="auto" w:fill="FFFFFF" w:themeFill="background1"/>
        <w:spacing w:line="276" w:lineRule="auto"/>
        <w:ind w:left="567" w:right="567"/>
        <w:jc w:val="both"/>
        <w:rPr>
          <w:rFonts w:ascii="Palatino Linotype" w:eastAsia="Calibri" w:hAnsi="Palatino Linotype" w:cs="Tahoma"/>
          <w:bCs/>
          <w:i/>
          <w:sz w:val="22"/>
        </w:rPr>
      </w:pPr>
      <w:r w:rsidRPr="009F3119">
        <w:rPr>
          <w:rFonts w:ascii="Palatino Linotype" w:eastAsia="Calibri" w:hAnsi="Palatino Linotype" w:cs="Tahoma"/>
          <w:b/>
          <w:bCs/>
          <w:i/>
          <w:sz w:val="22"/>
        </w:rPr>
        <w:t>CLAVE ÚNICA DE REGISTRO DE POBLACIÓN (CURP). “</w:t>
      </w:r>
      <w:r w:rsidRPr="009F3119">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C948F0" w14:textId="4E768398"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33A3367C" w14:textId="23F2A338" w:rsidR="009405CB" w:rsidRPr="009F3119" w:rsidRDefault="009405CB" w:rsidP="009405CB">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9F3119">
        <w:rPr>
          <w:rFonts w:ascii="Palatino Linotype" w:hAnsi="Palatino Linotype"/>
          <w:b/>
          <w:bCs/>
          <w:color w:val="000000" w:themeColor="text1"/>
        </w:rPr>
        <w:t>c) De la clave de identificación del Instituto de Seguridad Social del Estado de México y Municipios.</w:t>
      </w:r>
    </w:p>
    <w:p w14:paraId="73C8F3F2" w14:textId="77777777"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4183C6F0" w14:textId="1229BCA7"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El </w:t>
      </w:r>
      <w:r w:rsidRPr="009F3119">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115803B8"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92523E1" w14:textId="710C95CD"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El </w:t>
      </w:r>
      <w:r w:rsidRPr="009F3119">
        <w:rPr>
          <w:rFonts w:ascii="Palatino Linotype" w:eastAsia="MS Mincho" w:hAnsi="Palatino Linotype" w:cs="Arial"/>
        </w:rPr>
        <w:t xml:space="preserve">artículo 9 de la Ley citada en el párrafo anterior, señala que el Instituto expedirá a los derechohabientes documento de identificación para facilitarles el </w:t>
      </w:r>
      <w:r w:rsidRPr="009F3119">
        <w:rPr>
          <w:rFonts w:ascii="Palatino Linotype" w:eastAsia="MS Mincho" w:hAnsi="Palatino Linotype" w:cs="Arial"/>
        </w:rPr>
        <w:lastRenderedPageBreak/>
        <w:t>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48AC41BF"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772D4F3" w14:textId="6039C142"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Entre </w:t>
      </w:r>
      <w:r w:rsidRPr="009F3119">
        <w:rPr>
          <w:rFonts w:ascii="Palatino Linotype" w:eastAsia="MS Mincho" w:hAnsi="Palatino Linotype" w:cs="Arial"/>
        </w:rPr>
        <w:t xml:space="preserve">los elementos que integra la credencial expedida se encuentra la Clave </w:t>
      </w:r>
      <w:proofErr w:type="spellStart"/>
      <w:r w:rsidRPr="009F3119">
        <w:rPr>
          <w:rFonts w:ascii="Palatino Linotype" w:eastAsia="MS Mincho" w:hAnsi="Palatino Linotype" w:cs="Arial"/>
        </w:rPr>
        <w:t>ISSEMyM</w:t>
      </w:r>
      <w:proofErr w:type="spellEnd"/>
      <w:r w:rsidRPr="009F3119">
        <w:rPr>
          <w:rFonts w:ascii="Palatino Linotype" w:eastAsia="MS Mincho" w:hAnsi="Palatino Linotype" w:cs="Arial"/>
        </w:rPr>
        <w:t>, la cual permite identificar al servidor público que actualmente labora o laboró en alguna institución pública y que tenga vigente su derecho a recibir las prestaciones.</w:t>
      </w:r>
    </w:p>
    <w:p w14:paraId="59D19254" w14:textId="77777777"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04D63B01" w14:textId="15AA4B7A"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Como </w:t>
      </w:r>
      <w:r w:rsidRPr="009F3119">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69BD5F28" w14:textId="1E8CC8C8" w:rsidR="00C454F4" w:rsidRPr="009F3119" w:rsidRDefault="00C454F4"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19FF5675" w14:textId="73F8E1D2" w:rsidR="009405CB" w:rsidRPr="009F3119" w:rsidRDefault="009405CB" w:rsidP="009405C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F3119">
        <w:rPr>
          <w:rFonts w:ascii="Palatino Linotype" w:hAnsi="Palatino Linotype"/>
          <w:b/>
          <w:bCs/>
          <w:color w:val="000000" w:themeColor="text1"/>
        </w:rPr>
        <w:t>d) Préstamos o descuentos de carácter personal.</w:t>
      </w:r>
    </w:p>
    <w:p w14:paraId="0A4F882F" w14:textId="77777777" w:rsidR="009405CB" w:rsidRPr="009F3119" w:rsidRDefault="009405CB" w:rsidP="00C454F4">
      <w:pPr>
        <w:pStyle w:val="Prrafodelista"/>
        <w:tabs>
          <w:tab w:val="left" w:pos="426"/>
        </w:tabs>
        <w:spacing w:before="240" w:after="240" w:line="360" w:lineRule="auto"/>
        <w:ind w:left="0" w:right="51"/>
        <w:jc w:val="both"/>
        <w:rPr>
          <w:rFonts w:ascii="Palatino Linotype" w:hAnsi="Palatino Linotype"/>
          <w:color w:val="000000" w:themeColor="text1"/>
        </w:rPr>
      </w:pPr>
    </w:p>
    <w:p w14:paraId="6197F578" w14:textId="4B1E5F2A" w:rsidR="00C454F4"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lastRenderedPageBreak/>
        <w:t xml:space="preserve">Para </w:t>
      </w:r>
      <w:r w:rsidRPr="009F3119">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673599A2" w14:textId="4AA098DE" w:rsidR="009405CB" w:rsidRPr="009F3119" w:rsidRDefault="009405CB" w:rsidP="009405CB">
      <w:pPr>
        <w:pStyle w:val="Prrafodelista"/>
        <w:tabs>
          <w:tab w:val="left" w:pos="426"/>
        </w:tabs>
        <w:spacing w:before="240" w:line="360" w:lineRule="auto"/>
        <w:ind w:left="0" w:right="51"/>
        <w:jc w:val="both"/>
        <w:rPr>
          <w:rFonts w:ascii="Palatino Linotype" w:hAnsi="Palatino Linotype"/>
          <w:color w:val="000000" w:themeColor="text1"/>
        </w:rPr>
      </w:pPr>
    </w:p>
    <w:p w14:paraId="7F0989EF" w14:textId="77777777" w:rsidR="009405CB" w:rsidRPr="009F3119" w:rsidRDefault="009405CB" w:rsidP="009405CB">
      <w:pPr>
        <w:tabs>
          <w:tab w:val="left" w:pos="426"/>
        </w:tabs>
        <w:spacing w:line="276" w:lineRule="auto"/>
        <w:ind w:left="567" w:right="567"/>
        <w:contextualSpacing/>
        <w:jc w:val="both"/>
        <w:rPr>
          <w:rFonts w:ascii="Palatino Linotype" w:hAnsi="Palatino Linotype"/>
          <w:i/>
          <w:sz w:val="22"/>
        </w:rPr>
      </w:pPr>
      <w:r w:rsidRPr="009F3119">
        <w:rPr>
          <w:rFonts w:ascii="Palatino Linotype" w:hAnsi="Palatino Linotype"/>
          <w:b/>
          <w:bCs/>
          <w:i/>
          <w:sz w:val="22"/>
        </w:rPr>
        <w:t>“ARTÍCULO 84.</w:t>
      </w:r>
      <w:r w:rsidRPr="009F3119">
        <w:rPr>
          <w:rFonts w:ascii="Palatino Linotype" w:hAnsi="Palatino Linotype"/>
          <w:i/>
          <w:sz w:val="22"/>
        </w:rPr>
        <w:t xml:space="preserve"> Sólo podrán hacerse retenciones, descuentos o deducciones al sueldo de los servidores públicos por concepto de: </w:t>
      </w:r>
    </w:p>
    <w:p w14:paraId="2BFD7F40" w14:textId="77777777" w:rsidR="009405CB" w:rsidRPr="009F3119" w:rsidRDefault="009405CB" w:rsidP="009405CB">
      <w:pPr>
        <w:tabs>
          <w:tab w:val="left" w:pos="426"/>
        </w:tabs>
        <w:spacing w:line="276" w:lineRule="auto"/>
        <w:ind w:left="567" w:right="567"/>
        <w:jc w:val="both"/>
        <w:rPr>
          <w:rFonts w:ascii="Palatino Linotype" w:hAnsi="Palatino Linotype"/>
          <w:i/>
          <w:sz w:val="22"/>
        </w:rPr>
      </w:pPr>
      <w:r w:rsidRPr="009F3119">
        <w:rPr>
          <w:rFonts w:ascii="Palatino Linotype" w:hAnsi="Palatino Linotype"/>
          <w:b/>
          <w:i/>
          <w:sz w:val="22"/>
        </w:rPr>
        <w:t>I.</w:t>
      </w:r>
      <w:r w:rsidRPr="009F3119">
        <w:rPr>
          <w:rFonts w:ascii="Palatino Linotype" w:hAnsi="Palatino Linotype"/>
          <w:i/>
          <w:sz w:val="22"/>
        </w:rPr>
        <w:t xml:space="preserve"> Gravámenes fiscales relacionados con el sueldo; </w:t>
      </w:r>
    </w:p>
    <w:p w14:paraId="3707839B"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II.</w:t>
      </w:r>
      <w:r w:rsidRPr="009F3119">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3650A47B"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III.</w:t>
      </w:r>
      <w:r w:rsidRPr="009F3119">
        <w:rPr>
          <w:rFonts w:ascii="Palatino Linotype" w:hAnsi="Palatino Linotype"/>
          <w:i/>
          <w:sz w:val="22"/>
        </w:rPr>
        <w:t xml:space="preserve"> Cuotas sindicales; </w:t>
      </w:r>
    </w:p>
    <w:p w14:paraId="4EC2CDFC"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IV.</w:t>
      </w:r>
      <w:r w:rsidRPr="009F3119">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22652B71"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V.</w:t>
      </w:r>
      <w:r w:rsidRPr="009F3119">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1E40614C"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VI.</w:t>
      </w:r>
      <w:r w:rsidRPr="009F3119">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26E172E2"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VII.</w:t>
      </w:r>
      <w:r w:rsidRPr="009F3119">
        <w:rPr>
          <w:rFonts w:ascii="Palatino Linotype" w:hAnsi="Palatino Linotype"/>
          <w:i/>
          <w:sz w:val="22"/>
        </w:rPr>
        <w:t xml:space="preserve"> Faltas de puntualidad o de asistencia injustificadas; </w:t>
      </w:r>
    </w:p>
    <w:p w14:paraId="32010C83"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VIII.</w:t>
      </w:r>
      <w:r w:rsidRPr="009F3119">
        <w:rPr>
          <w:rFonts w:ascii="Palatino Linotype" w:hAnsi="Palatino Linotype"/>
          <w:i/>
          <w:sz w:val="22"/>
        </w:rPr>
        <w:t xml:space="preserve"> Pensiones alimenticias ordenadas por la autoridad judicial; o </w:t>
      </w:r>
    </w:p>
    <w:p w14:paraId="6D49D135" w14:textId="77777777" w:rsidR="009405CB" w:rsidRPr="009F3119" w:rsidRDefault="009405CB" w:rsidP="009405CB">
      <w:pPr>
        <w:spacing w:line="276" w:lineRule="auto"/>
        <w:ind w:left="567" w:right="567"/>
        <w:jc w:val="both"/>
        <w:rPr>
          <w:rFonts w:ascii="Palatino Linotype" w:hAnsi="Palatino Linotype"/>
          <w:i/>
          <w:sz w:val="22"/>
        </w:rPr>
      </w:pPr>
      <w:r w:rsidRPr="009F3119">
        <w:rPr>
          <w:rFonts w:ascii="Palatino Linotype" w:hAnsi="Palatino Linotype"/>
          <w:b/>
          <w:i/>
          <w:sz w:val="22"/>
        </w:rPr>
        <w:t>IX.</w:t>
      </w:r>
      <w:r w:rsidRPr="009F3119">
        <w:rPr>
          <w:rFonts w:ascii="Palatino Linotype" w:hAnsi="Palatino Linotype"/>
          <w:i/>
          <w:sz w:val="22"/>
        </w:rPr>
        <w:t xml:space="preserve"> Cualquier otro convenido con instituciones de servicios y aceptado por el servidor público. </w:t>
      </w:r>
    </w:p>
    <w:p w14:paraId="43EBD35E" w14:textId="77777777" w:rsidR="009405CB" w:rsidRPr="009F3119" w:rsidRDefault="009405CB" w:rsidP="009405CB">
      <w:pPr>
        <w:spacing w:line="276" w:lineRule="auto"/>
        <w:ind w:left="567" w:right="567"/>
        <w:jc w:val="both"/>
        <w:rPr>
          <w:rFonts w:ascii="Palatino Linotype" w:hAnsi="Palatino Linotype"/>
          <w:sz w:val="8"/>
          <w:szCs w:val="10"/>
        </w:rPr>
      </w:pPr>
    </w:p>
    <w:p w14:paraId="49189364" w14:textId="77777777" w:rsidR="009405CB" w:rsidRPr="009F3119" w:rsidRDefault="009405CB" w:rsidP="009405CB">
      <w:pPr>
        <w:spacing w:line="276" w:lineRule="auto"/>
        <w:ind w:left="567" w:right="567"/>
        <w:jc w:val="both"/>
        <w:rPr>
          <w:rFonts w:ascii="Palatino Linotype" w:eastAsia="MS Mincho" w:hAnsi="Palatino Linotype" w:cs="Arial"/>
          <w:i/>
          <w:sz w:val="22"/>
        </w:rPr>
      </w:pPr>
      <w:r w:rsidRPr="009F3119">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9D6C50B" w14:textId="77777777" w:rsidR="009405CB" w:rsidRPr="009F3119"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1379FEDA" w14:textId="412F7F7C" w:rsidR="009405CB" w:rsidRPr="009F3119" w:rsidRDefault="009405C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eastAsia="MS Mincho" w:hAnsi="Palatino Linotype" w:cs="Arial"/>
        </w:rPr>
        <w:lastRenderedPageBreak/>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40A1289B" w14:textId="302BEE54" w:rsidR="009405CB" w:rsidRPr="009F3119"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2062E622" w14:textId="2ECB85CB" w:rsidR="009405CB" w:rsidRPr="009F3119" w:rsidRDefault="009405CB" w:rsidP="006B249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F3119">
        <w:rPr>
          <w:rFonts w:ascii="Palatino Linotype" w:hAnsi="Palatino Linotype"/>
          <w:b/>
          <w:bCs/>
          <w:color w:val="000000" w:themeColor="text1"/>
        </w:rPr>
        <w:t>e) De</w:t>
      </w:r>
      <w:r w:rsidR="00E870B9" w:rsidRPr="009F3119">
        <w:rPr>
          <w:rFonts w:ascii="Palatino Linotype" w:hAnsi="Palatino Linotype"/>
          <w:b/>
          <w:bCs/>
          <w:color w:val="000000" w:themeColor="text1"/>
        </w:rPr>
        <w:t>l nombre de policías</w:t>
      </w:r>
      <w:r w:rsidRPr="009F3119">
        <w:rPr>
          <w:rFonts w:ascii="Palatino Linotype" w:hAnsi="Palatino Linotype"/>
          <w:b/>
          <w:bCs/>
          <w:color w:val="000000" w:themeColor="text1"/>
        </w:rPr>
        <w:t>.</w:t>
      </w:r>
    </w:p>
    <w:p w14:paraId="219E5BA7" w14:textId="77777777" w:rsidR="009405CB" w:rsidRPr="009F3119" w:rsidRDefault="009405CB" w:rsidP="009405CB">
      <w:pPr>
        <w:pStyle w:val="Prrafodelista"/>
        <w:tabs>
          <w:tab w:val="left" w:pos="426"/>
        </w:tabs>
        <w:spacing w:before="240" w:after="240" w:line="360" w:lineRule="auto"/>
        <w:ind w:left="0" w:right="51"/>
        <w:jc w:val="both"/>
        <w:rPr>
          <w:rFonts w:ascii="Palatino Linotype" w:hAnsi="Palatino Linotype"/>
          <w:color w:val="000000" w:themeColor="text1"/>
        </w:rPr>
      </w:pPr>
    </w:p>
    <w:p w14:paraId="3D5E9F90" w14:textId="39788C20" w:rsidR="00E870B9" w:rsidRPr="009F3119" w:rsidRDefault="00E870B9" w:rsidP="00E870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eastAsia="MS Mincho" w:hAnsi="Palatino Linotype" w:cs="Arial"/>
        </w:rPr>
        <w:t>No es ocioso</w:t>
      </w:r>
      <w:r w:rsidR="000F3FE5" w:rsidRPr="009F3119">
        <w:rPr>
          <w:rFonts w:ascii="Palatino Linotype" w:eastAsia="MS Mincho" w:hAnsi="Palatino Linotype" w:cs="Arial"/>
        </w:rPr>
        <w:t xml:space="preserve"> mencionar que dentro del cúmulo de información solicitada por el particular, se encuentran también los recibos de nómina de los </w:t>
      </w:r>
      <w:r w:rsidR="000F3FE5" w:rsidRPr="009F3119">
        <w:rPr>
          <w:rFonts w:ascii="Palatino Linotype" w:eastAsia="Calibri" w:hAnsi="Palatino Linotype"/>
        </w:rPr>
        <w:t>elementos de seguridad pública; por ello, es necesario señalar que las condiciones en las cuales se deberá entregar la información solicitada adquieren una especial naturaleza.</w:t>
      </w:r>
    </w:p>
    <w:p w14:paraId="59E9D0F2"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0CFDA1AC" w14:textId="136D479B" w:rsidR="009405CB"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En </w:t>
      </w:r>
      <w:r w:rsidRPr="009F3119">
        <w:rPr>
          <w:rFonts w:ascii="Palatino Linotype" w:eastAsia="Calibri" w:hAnsi="Palatino Linotype"/>
        </w:rPr>
        <w:t>efecto</w:t>
      </w:r>
      <w:r w:rsidRPr="009F3119">
        <w:rPr>
          <w:rFonts w:ascii="Palatino Linotype" w:hAnsi="Palatino Linotype"/>
          <w:lang w:eastAsia="es-MX"/>
        </w:rPr>
        <w:t>,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31A6A66B" w14:textId="11C4DD2A" w:rsidR="00E870B9" w:rsidRPr="009F3119" w:rsidRDefault="00E870B9" w:rsidP="006B218B">
      <w:pPr>
        <w:pStyle w:val="Prrafodelista"/>
        <w:tabs>
          <w:tab w:val="left" w:pos="426"/>
        </w:tabs>
        <w:spacing w:before="240" w:line="360" w:lineRule="auto"/>
        <w:ind w:left="0" w:right="51"/>
        <w:jc w:val="both"/>
        <w:rPr>
          <w:rFonts w:ascii="Palatino Linotype" w:hAnsi="Palatino Linotype"/>
          <w:color w:val="000000" w:themeColor="text1"/>
        </w:rPr>
      </w:pPr>
    </w:p>
    <w:p w14:paraId="4CCC9266" w14:textId="77777777" w:rsidR="006B218B" w:rsidRPr="009F3119" w:rsidRDefault="006B218B" w:rsidP="006B218B">
      <w:pPr>
        <w:spacing w:before="240" w:after="240" w:line="276" w:lineRule="auto"/>
        <w:ind w:left="567" w:right="616"/>
        <w:contextualSpacing/>
        <w:jc w:val="both"/>
        <w:rPr>
          <w:rFonts w:ascii="Palatino Linotype" w:hAnsi="Palatino Linotype"/>
          <w:i/>
          <w:sz w:val="22"/>
          <w:szCs w:val="22"/>
        </w:rPr>
      </w:pPr>
      <w:r w:rsidRPr="009F3119">
        <w:rPr>
          <w:rFonts w:ascii="Palatino Linotype" w:hAnsi="Palatino Linotype"/>
          <w:b/>
          <w:i/>
          <w:sz w:val="22"/>
          <w:szCs w:val="22"/>
        </w:rPr>
        <w:t>“Artículo 140.</w:t>
      </w:r>
      <w:r w:rsidRPr="009F3119">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43C5A001" w14:textId="011BA872" w:rsidR="006B218B" w:rsidRPr="009F3119" w:rsidRDefault="006B218B" w:rsidP="006B218B">
      <w:pPr>
        <w:spacing w:before="240" w:after="240" w:line="276" w:lineRule="auto"/>
        <w:ind w:left="567" w:right="616"/>
        <w:contextualSpacing/>
        <w:jc w:val="both"/>
        <w:rPr>
          <w:rFonts w:ascii="Palatino Linotype" w:hAnsi="Palatino Linotype"/>
          <w:i/>
          <w:sz w:val="22"/>
          <w:szCs w:val="22"/>
        </w:rPr>
      </w:pPr>
      <w:r w:rsidRPr="009F3119">
        <w:rPr>
          <w:rFonts w:ascii="Palatino Linotype" w:hAnsi="Palatino Linotype"/>
          <w:i/>
          <w:sz w:val="22"/>
          <w:szCs w:val="22"/>
        </w:rPr>
        <w:t>(…)</w:t>
      </w:r>
    </w:p>
    <w:p w14:paraId="0F981378" w14:textId="77777777" w:rsidR="006B218B" w:rsidRPr="009F3119" w:rsidRDefault="006B218B" w:rsidP="006B218B">
      <w:pPr>
        <w:spacing w:before="240" w:after="240" w:line="276" w:lineRule="auto"/>
        <w:ind w:left="567" w:right="616"/>
        <w:contextualSpacing/>
        <w:jc w:val="both"/>
        <w:rPr>
          <w:rFonts w:ascii="Palatino Linotype" w:hAnsi="Palatino Linotype"/>
          <w:b/>
          <w:i/>
          <w:sz w:val="22"/>
          <w:szCs w:val="22"/>
        </w:rPr>
      </w:pPr>
      <w:r w:rsidRPr="009F3119">
        <w:rPr>
          <w:rFonts w:ascii="Palatino Linotype" w:hAnsi="Palatino Linotype"/>
          <w:b/>
          <w:i/>
          <w:sz w:val="22"/>
          <w:szCs w:val="22"/>
        </w:rPr>
        <w:t>IV. Ponga en riesgo la vida, la seguridad o la salud de una persona física;</w:t>
      </w:r>
    </w:p>
    <w:p w14:paraId="582F928C" w14:textId="1D19D1A4" w:rsidR="006B218B" w:rsidRPr="009F3119" w:rsidRDefault="006B218B" w:rsidP="006B218B">
      <w:pPr>
        <w:spacing w:before="240" w:after="240" w:line="276" w:lineRule="auto"/>
        <w:ind w:left="567" w:right="616"/>
        <w:contextualSpacing/>
        <w:jc w:val="both"/>
        <w:rPr>
          <w:rFonts w:ascii="Palatino Linotype" w:eastAsia="Calibri" w:hAnsi="Palatino Linotype"/>
          <w:i/>
          <w:sz w:val="22"/>
          <w:szCs w:val="22"/>
        </w:rPr>
      </w:pPr>
      <w:r w:rsidRPr="009F3119">
        <w:rPr>
          <w:rFonts w:ascii="Palatino Linotype" w:hAnsi="Palatino Linotype"/>
          <w:i/>
          <w:sz w:val="22"/>
          <w:szCs w:val="22"/>
        </w:rPr>
        <w:t xml:space="preserve"> (…)” </w:t>
      </w:r>
    </w:p>
    <w:p w14:paraId="04EE4765" w14:textId="77777777" w:rsidR="006B218B" w:rsidRPr="009F3119" w:rsidRDefault="006B218B"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5B631B17" w14:textId="03141AB0"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lastRenderedPageBreak/>
        <w:t xml:space="preserve">En </w:t>
      </w:r>
      <w:r w:rsidRPr="009F3119">
        <w:rPr>
          <w:rFonts w:ascii="Palatino Linotype" w:hAnsi="Palatino Linotype"/>
          <w:lang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9F3119">
        <w:rPr>
          <w:rFonts w:ascii="Palatino Linotype" w:hAnsi="Palatino Linotype" w:cs="Tahoma"/>
          <w:bCs/>
          <w:lang w:eastAsia="es-MX"/>
        </w:rPr>
        <w:t xml:space="preserve">; así, dicha información puede ser utilizada para </w:t>
      </w:r>
      <w:r w:rsidRPr="009F3119">
        <w:rPr>
          <w:rFonts w:ascii="Palatino Linotype" w:hAnsi="Palatino Linotype" w:cs="Tahoma"/>
          <w:b/>
          <w:bCs/>
          <w:lang w:eastAsia="es-MX"/>
        </w:rPr>
        <w:t xml:space="preserve">vulnerar la vida, seguridad o salud de dichos elementos, incluso la de sus familias o entorno social, </w:t>
      </w:r>
      <w:r w:rsidRPr="009F3119">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B849435"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9B02360" w14:textId="2351CD1C"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Por lo tanto, </w:t>
      </w:r>
      <w:r w:rsidRPr="009F3119">
        <w:rPr>
          <w:rFonts w:ascii="Palatino Linotype" w:eastAsia="Calibri" w:hAnsi="Palatino Linotype" w:cs="Tahoma"/>
          <w:bCs/>
          <w:lang w:eastAsia="es-MX"/>
        </w:rPr>
        <w:t>el proporcionar el nombre de los elementos policiales operativos dentro de los recibos de nómina del personal adscrito a la Dirección de Seguridad Pública, o equivalente, pone en riesgo de manera directa la vida y la seguridad de dichos servidores públicos, siendo obligación de la Institución protegerla en todo momento para salvaguarda de sus integrantes.</w:t>
      </w:r>
    </w:p>
    <w:p w14:paraId="6C174BB0"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467EB68" w14:textId="093B6101"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Lo </w:t>
      </w:r>
      <w:r w:rsidRPr="009F3119">
        <w:rPr>
          <w:rFonts w:ascii="Palatino Linotype" w:eastAsia="Calibri" w:hAnsi="Palatino Linotype" w:cs="Tahoma"/>
          <w:bCs/>
          <w:lang w:eastAsia="es-MX"/>
        </w:rPr>
        <w:t>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53189E8D"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21594C4C" w14:textId="1D9D4D16"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Asimismo, </w:t>
      </w:r>
      <w:r w:rsidRPr="009F3119">
        <w:rPr>
          <w:rFonts w:ascii="Palatino Linotype" w:eastAsia="Calibri" w:hAnsi="Palatino Linotype" w:cs="Tahoma"/>
          <w:bCs/>
          <w:lang w:eastAsia="es-MX"/>
        </w:rPr>
        <w:t xml:space="preserve">existe la posibilidad de que personas ajenas a la Institución la utilicen para sorprender a la ciudadanía y realicen extorsiones telefónicas al amparo de usurpar la identidad de algún servidor público encargado de la seguridad </w:t>
      </w:r>
      <w:r w:rsidRPr="009F3119">
        <w:rPr>
          <w:rFonts w:ascii="Palatino Linotype" w:eastAsia="Calibri" w:hAnsi="Palatino Linotype" w:cs="Tahoma"/>
          <w:bCs/>
          <w:lang w:eastAsia="es-MX"/>
        </w:rPr>
        <w:lastRenderedPageBreak/>
        <w:t>pública; o que integrantes de organizaciones criminales los contacten para presionar en entregar información, como por ejemplo, la relacionada con investigaciones, nombres de integrantes que participan en los operativos e incluso documentación emitida por el</w:t>
      </w:r>
      <w:r w:rsidRPr="009F3119">
        <w:rPr>
          <w:rFonts w:ascii="Palatino Linotype" w:eastAsia="Calibri" w:hAnsi="Palatino Linotype" w:cs="Tahoma"/>
          <w:b/>
          <w:bCs/>
          <w:lang w:eastAsia="es-MX"/>
        </w:rPr>
        <w:t xml:space="preserve"> SUJETO OBLIGADO</w:t>
      </w:r>
      <w:r w:rsidRPr="009F3119">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288E79C"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3B0DB40D" w14:textId="3A2F5B99"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Así </w:t>
      </w:r>
      <w:r w:rsidRPr="009F3119">
        <w:rPr>
          <w:rFonts w:ascii="Palatino Linotype" w:eastAsia="Calibri" w:hAnsi="Palatino Linotype" w:cs="Tahoma"/>
          <w:bCs/>
          <w:lang w:eastAsia="es-MX"/>
        </w:rPr>
        <w:t>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0F4A3726"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4CFE66A0" w14:textId="73810FA6"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El </w:t>
      </w:r>
      <w:r w:rsidRPr="009F3119">
        <w:rPr>
          <w:rFonts w:ascii="Palatino Linotype" w:eastAsia="Calibri" w:hAnsi="Palatino Linotype" w:cs="Tahoma"/>
          <w:bCs/>
          <w:lang w:eastAsia="es-MX"/>
        </w:rPr>
        <w:t>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7EC1918D"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76736F65" w14:textId="30E12985"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lastRenderedPageBreak/>
        <w:t xml:space="preserve">En </w:t>
      </w:r>
      <w:r w:rsidRPr="009F3119">
        <w:rPr>
          <w:rFonts w:ascii="Palatino Linotype" w:eastAsia="Calibri" w:hAnsi="Palatino Linotype" w:cs="Tahoma"/>
          <w:bCs/>
          <w:lang w:eastAsia="es-MX"/>
        </w:rPr>
        <w:t>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24A4BB05"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67B58EE2" w14:textId="20BA846C"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Por </w:t>
      </w:r>
      <w:r w:rsidRPr="009F3119">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57CE7945" w14:textId="77777777" w:rsidR="00E870B9" w:rsidRPr="009F3119" w:rsidRDefault="00E870B9"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69444D66" w14:textId="41A48D87"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Al </w:t>
      </w:r>
      <w:r w:rsidRPr="009F3119">
        <w:rPr>
          <w:rFonts w:ascii="Palatino Linotype" w:eastAsia="MS Mincho" w:hAnsi="Palatino Linotype" w:cs="Arial"/>
          <w:lang w:val="es-ES_tradnl" w:eastAsia="es-MX"/>
        </w:rPr>
        <w:t>respecto, cabe hacer mención que el artículo 81 fracción III de la Ley de Seguridad del Estado de México, establece lo siguiente:</w:t>
      </w:r>
    </w:p>
    <w:p w14:paraId="7CD0A81D" w14:textId="53D9080F" w:rsidR="00E870B9" w:rsidRPr="009F3119" w:rsidRDefault="00E870B9" w:rsidP="006B218B">
      <w:pPr>
        <w:pStyle w:val="Prrafodelista"/>
        <w:tabs>
          <w:tab w:val="left" w:pos="426"/>
        </w:tabs>
        <w:spacing w:before="240" w:line="360" w:lineRule="auto"/>
        <w:ind w:left="0" w:right="51"/>
        <w:jc w:val="both"/>
        <w:rPr>
          <w:rFonts w:ascii="Palatino Linotype" w:hAnsi="Palatino Linotype"/>
          <w:color w:val="000000" w:themeColor="text1"/>
        </w:rPr>
      </w:pPr>
    </w:p>
    <w:p w14:paraId="32F9AD8C" w14:textId="77777777" w:rsidR="006B218B" w:rsidRPr="009F3119"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9F3119">
        <w:rPr>
          <w:rFonts w:ascii="Palatino Linotype" w:eastAsia="MS Mincho" w:hAnsi="Palatino Linotype" w:cs="Arial"/>
          <w:i/>
          <w:sz w:val="22"/>
          <w:szCs w:val="22"/>
          <w:lang w:val="es-ES_tradnl" w:eastAsia="es-MX"/>
        </w:rPr>
        <w:t>“</w:t>
      </w:r>
      <w:r w:rsidRPr="009F3119">
        <w:rPr>
          <w:rFonts w:ascii="Palatino Linotype" w:eastAsia="MS Mincho" w:hAnsi="Palatino Linotype" w:cs="Arial"/>
          <w:b/>
          <w:i/>
          <w:sz w:val="22"/>
          <w:szCs w:val="22"/>
          <w:lang w:val="es-ES_tradnl" w:eastAsia="es-MX"/>
        </w:rPr>
        <w:t>Artículo 81.-</w:t>
      </w:r>
      <w:r w:rsidRPr="009F3119">
        <w:rPr>
          <w:rFonts w:ascii="Palatino Linotype" w:eastAsia="MS Mincho" w:hAnsi="Palatino Linotype" w:cs="Arial"/>
          <w:i/>
          <w:sz w:val="22"/>
          <w:szCs w:val="22"/>
          <w:lang w:val="es-ES_tradnl" w:eastAsia="es-MX"/>
        </w:rPr>
        <w:t xml:space="preserve"> </w:t>
      </w:r>
      <w:r w:rsidRPr="009F3119">
        <w:rPr>
          <w:rFonts w:ascii="Palatino Linotype" w:eastAsia="MS Mincho" w:hAnsi="Palatino Linotype" w:cs="Arial"/>
          <w:b/>
          <w:i/>
          <w:sz w:val="22"/>
          <w:szCs w:val="22"/>
          <w:lang w:val="es-ES_tradnl"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9F3119">
        <w:rPr>
          <w:rFonts w:ascii="Palatino Linotype" w:eastAsia="MS Mincho" w:hAnsi="Palatino Linotype" w:cs="Arial"/>
          <w:i/>
          <w:sz w:val="22"/>
          <w:szCs w:val="22"/>
          <w:lang w:val="es-ES_tradnl" w:eastAsia="es-MX"/>
        </w:rPr>
        <w:t xml:space="preserve"> en los casos siguientes:</w:t>
      </w:r>
    </w:p>
    <w:p w14:paraId="2F8391D4" w14:textId="6F9C8C53" w:rsidR="006B218B" w:rsidRPr="009F3119"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9F3119">
        <w:rPr>
          <w:rFonts w:ascii="Palatino Linotype" w:eastAsia="MS Mincho" w:hAnsi="Palatino Linotype" w:cs="Arial"/>
          <w:i/>
          <w:sz w:val="22"/>
          <w:szCs w:val="22"/>
          <w:lang w:val="es-ES_tradnl" w:eastAsia="es-MX"/>
        </w:rPr>
        <w:lastRenderedPageBreak/>
        <w:t>(…)</w:t>
      </w:r>
    </w:p>
    <w:p w14:paraId="63077330" w14:textId="77777777" w:rsidR="006B218B" w:rsidRPr="009F3119" w:rsidRDefault="006B218B" w:rsidP="006B218B">
      <w:pPr>
        <w:spacing w:line="276" w:lineRule="auto"/>
        <w:ind w:left="720" w:right="567"/>
        <w:contextualSpacing/>
        <w:jc w:val="both"/>
        <w:rPr>
          <w:rFonts w:ascii="Palatino Linotype" w:eastAsia="MS Mincho" w:hAnsi="Palatino Linotype" w:cs="Arial"/>
          <w:b/>
          <w:i/>
          <w:sz w:val="22"/>
          <w:szCs w:val="22"/>
          <w:lang w:val="es-ES_tradnl" w:eastAsia="es-MX"/>
        </w:rPr>
      </w:pPr>
      <w:r w:rsidRPr="009F3119">
        <w:rPr>
          <w:rFonts w:ascii="Palatino Linotype" w:eastAsia="MS Mincho" w:hAnsi="Palatino Linotype" w:cs="Arial"/>
          <w:b/>
          <w:i/>
          <w:sz w:val="22"/>
          <w:szCs w:val="22"/>
          <w:lang w:val="es-ES_tradnl" w:eastAsia="es-MX"/>
        </w:rPr>
        <w:t>III.</w:t>
      </w:r>
      <w:r w:rsidRPr="009F3119">
        <w:rPr>
          <w:rFonts w:ascii="Palatino Linotype" w:eastAsia="MS Mincho" w:hAnsi="Palatino Linotype" w:cs="Arial"/>
          <w:i/>
          <w:sz w:val="22"/>
          <w:szCs w:val="22"/>
          <w:lang w:val="es-ES_tradnl" w:eastAsia="es-MX"/>
        </w:rPr>
        <w:t xml:space="preserve"> </w:t>
      </w:r>
      <w:r w:rsidRPr="009F3119">
        <w:rPr>
          <w:rFonts w:ascii="Palatino Linotype" w:eastAsia="MS Mincho" w:hAnsi="Palatino Linotype" w:cs="Arial"/>
          <w:b/>
          <w:i/>
          <w:sz w:val="22"/>
          <w:szCs w:val="22"/>
          <w:lang w:val="es-ES_tradnl" w:eastAsia="es-MX"/>
        </w:rPr>
        <w:t>La relativa a servidores públicos miembros de las instituciones de seguridad pública, cuya revelación pueda poner en riesgo su vida e integridad física con motivo de sus funciones;</w:t>
      </w:r>
    </w:p>
    <w:p w14:paraId="657E2DCE" w14:textId="2C25837F" w:rsidR="006B218B" w:rsidRPr="009F3119" w:rsidRDefault="006B218B" w:rsidP="006B218B">
      <w:pPr>
        <w:spacing w:line="276" w:lineRule="auto"/>
        <w:ind w:left="720" w:right="567"/>
        <w:contextualSpacing/>
        <w:jc w:val="both"/>
        <w:rPr>
          <w:rFonts w:ascii="Palatino Linotype" w:eastAsia="MS Mincho" w:hAnsi="Palatino Linotype" w:cs="Arial"/>
          <w:i/>
          <w:sz w:val="22"/>
          <w:szCs w:val="22"/>
          <w:lang w:val="es-ES_tradnl" w:eastAsia="es-MX"/>
        </w:rPr>
      </w:pPr>
      <w:r w:rsidRPr="009F3119">
        <w:rPr>
          <w:rFonts w:ascii="Palatino Linotype" w:eastAsia="MS Mincho" w:hAnsi="Palatino Linotype" w:cs="Arial"/>
          <w:bCs/>
          <w:i/>
          <w:sz w:val="22"/>
          <w:szCs w:val="22"/>
          <w:lang w:val="es-ES_tradnl" w:eastAsia="es-MX"/>
        </w:rPr>
        <w:t>(…)</w:t>
      </w:r>
      <w:r w:rsidRPr="009F3119">
        <w:rPr>
          <w:rFonts w:ascii="Palatino Linotype" w:eastAsia="MS Mincho" w:hAnsi="Palatino Linotype" w:cs="Arial"/>
          <w:i/>
          <w:sz w:val="22"/>
          <w:szCs w:val="22"/>
          <w:lang w:val="es-ES_tradnl" w:eastAsia="es-MX"/>
        </w:rPr>
        <w:t>”</w:t>
      </w:r>
    </w:p>
    <w:p w14:paraId="34B03617" w14:textId="77777777" w:rsidR="006B218B" w:rsidRPr="009F3119" w:rsidRDefault="006B218B" w:rsidP="006B218B">
      <w:pPr>
        <w:spacing w:line="276" w:lineRule="auto"/>
        <w:ind w:left="720" w:right="851"/>
        <w:contextualSpacing/>
        <w:jc w:val="both"/>
        <w:rPr>
          <w:rFonts w:ascii="Palatino Linotype" w:eastAsia="MS Mincho" w:hAnsi="Palatino Linotype" w:cs="Arial"/>
          <w:sz w:val="22"/>
          <w:szCs w:val="22"/>
          <w:lang w:val="es-ES_tradnl" w:eastAsia="es-MX"/>
        </w:rPr>
      </w:pPr>
      <w:r w:rsidRPr="009F3119">
        <w:rPr>
          <w:rFonts w:ascii="Palatino Linotype" w:eastAsia="MS Mincho" w:hAnsi="Palatino Linotype" w:cs="Arial"/>
          <w:sz w:val="22"/>
          <w:szCs w:val="22"/>
          <w:lang w:val="es-ES_tradnl" w:eastAsia="es-MX"/>
        </w:rPr>
        <w:t>(Énfasis añadido)</w:t>
      </w:r>
    </w:p>
    <w:p w14:paraId="55D5F8EE" w14:textId="77777777" w:rsidR="006B218B" w:rsidRPr="009F3119" w:rsidRDefault="006B218B" w:rsidP="00E870B9">
      <w:pPr>
        <w:pStyle w:val="Prrafodelista"/>
        <w:tabs>
          <w:tab w:val="left" w:pos="426"/>
        </w:tabs>
        <w:spacing w:before="240" w:after="240" w:line="360" w:lineRule="auto"/>
        <w:ind w:left="0" w:right="51"/>
        <w:jc w:val="both"/>
        <w:rPr>
          <w:rFonts w:ascii="Palatino Linotype" w:hAnsi="Palatino Linotype"/>
          <w:color w:val="000000" w:themeColor="text1"/>
        </w:rPr>
      </w:pPr>
    </w:p>
    <w:p w14:paraId="2BACA23E" w14:textId="28878D72" w:rsidR="00E870B9"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rPr>
        <w:t xml:space="preserve">Argumento </w:t>
      </w:r>
      <w:r w:rsidRPr="009F3119">
        <w:rPr>
          <w:rFonts w:ascii="Palatino Linotype" w:hAnsi="Palatino Linotype" w:cs="Arial"/>
          <w:lang w:eastAsia="es-MX"/>
        </w:rPr>
        <w:t>que se fortalece con lo estipulado en el criterio número 6-09, del Instituto Nacional de Transparencia, Acceso a la Información y Protección de Datos Personales, antes (INAI)</w:t>
      </w:r>
      <w:r w:rsidRPr="009F3119">
        <w:rPr>
          <w:rFonts w:ascii="Palatino Linotype" w:hAnsi="Palatino Linotype" w:cs="Arial"/>
          <w:b/>
          <w:bCs/>
          <w:lang w:eastAsia="es-MX"/>
        </w:rPr>
        <w:t xml:space="preserve">, </w:t>
      </w:r>
      <w:r w:rsidRPr="009F3119">
        <w:rPr>
          <w:rFonts w:ascii="Palatino Linotype" w:hAnsi="Palatino Linotype" w:cs="Arial"/>
          <w:lang w:eastAsia="es-MX"/>
        </w:rPr>
        <w:t>el cual refiere:</w:t>
      </w:r>
    </w:p>
    <w:p w14:paraId="734A0F99" w14:textId="0AF46756" w:rsidR="006B218B" w:rsidRPr="009F3119"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2BE37269" w14:textId="652D2782" w:rsidR="006B218B" w:rsidRPr="009F3119" w:rsidRDefault="006B218B" w:rsidP="006B218B">
      <w:pPr>
        <w:autoSpaceDE w:val="0"/>
        <w:autoSpaceDN w:val="0"/>
        <w:adjustRightInd w:val="0"/>
        <w:spacing w:line="276" w:lineRule="auto"/>
        <w:ind w:left="567" w:right="567"/>
        <w:contextualSpacing/>
        <w:jc w:val="both"/>
        <w:rPr>
          <w:rFonts w:ascii="Palatino Linotype" w:hAnsi="Palatino Linotype" w:cs="Arial"/>
          <w:i/>
          <w:sz w:val="22"/>
          <w:szCs w:val="22"/>
          <w:lang w:eastAsia="es-MX"/>
        </w:rPr>
      </w:pPr>
      <w:r w:rsidRPr="009F3119">
        <w:rPr>
          <w:rFonts w:ascii="Palatino Linotype" w:hAnsi="Palatino Linotype" w:cs="Arial"/>
          <w:b/>
          <w:bCs/>
          <w:i/>
          <w:sz w:val="22"/>
          <w:szCs w:val="22"/>
          <w:lang w:eastAsia="es-MX"/>
        </w:rPr>
        <w:t>NOMBRES DE SERVIDORES PÚBLICOS DEDICADOS A ACTIVIDADES EN MATERIA DE SEGURIDAD, POR EXCEPCIÓN PUEDEN CONSIDERARSE INFORMACIÓN RESERVADA. “</w:t>
      </w:r>
      <w:r w:rsidRPr="009F3119">
        <w:rPr>
          <w:rFonts w:ascii="Palatino Linotype" w:hAnsi="Palatino Linotype" w:cs="Arial"/>
          <w:bCs/>
          <w:i/>
          <w:sz w:val="22"/>
          <w:szCs w:val="22"/>
          <w:lang w:eastAsia="es-MX"/>
        </w:rPr>
        <w:t xml:space="preserve">De conformidad con el artículo 7, fracciones I y III de la Ley Federal de Transparencia y Acceso a la Información Pública Gubernamental </w:t>
      </w:r>
      <w:r w:rsidRPr="009F3119">
        <w:rPr>
          <w:rFonts w:ascii="Palatino Linotype" w:hAnsi="Palatino Linotype" w:cs="Arial"/>
          <w:b/>
          <w:bCs/>
          <w:i/>
          <w:sz w:val="22"/>
          <w:szCs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9F3119">
        <w:rPr>
          <w:rFonts w:ascii="Palatino Linotype" w:hAnsi="Palatino Linotype" w:cs="Arial"/>
          <w:bCs/>
          <w:i/>
          <w:sz w:val="22"/>
          <w:szCs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9F3119">
        <w:rPr>
          <w:rFonts w:ascii="Palatino Linotype" w:hAnsi="Palatino Linotype" w:cs="Arial"/>
          <w:b/>
          <w:bCs/>
          <w:i/>
          <w:sz w:val="22"/>
          <w:szCs w:val="22"/>
          <w:lang w:eastAsia="es-MX"/>
        </w:rPr>
        <w:t>el artículo 13, fracción I de la ley de referencia se establece que podrá clasificarse aquella información cuya difusión pueda comprometer la seguridad nacional y pública</w:t>
      </w:r>
      <w:r w:rsidRPr="009F3119">
        <w:rPr>
          <w:rFonts w:ascii="Palatino Linotype" w:hAnsi="Palatino Linotype" w:cs="Arial"/>
          <w:bCs/>
          <w:i/>
          <w:sz w:val="22"/>
          <w:szCs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9F3119">
        <w:rPr>
          <w:rFonts w:ascii="Palatino Linotype" w:hAnsi="Palatino Linotype" w:cs="Arial"/>
          <w:b/>
          <w:bCs/>
          <w:i/>
          <w:sz w:val="22"/>
          <w:szCs w:val="22"/>
          <w:lang w:eastAsia="es-MX"/>
        </w:rPr>
        <w:t xml:space="preserve">por lo que la reserva de la relación de los nombres y las funciones que desempeñan los servidores públicos que prestan sus servicios en áreas de seguridad nacional o </w:t>
      </w:r>
      <w:r w:rsidRPr="009F3119">
        <w:rPr>
          <w:rFonts w:ascii="Palatino Linotype" w:hAnsi="Palatino Linotype" w:cs="Arial"/>
          <w:b/>
          <w:bCs/>
          <w:i/>
          <w:sz w:val="22"/>
          <w:szCs w:val="22"/>
          <w:lang w:eastAsia="es-MX"/>
        </w:rPr>
        <w:lastRenderedPageBreak/>
        <w:t>pública</w:t>
      </w:r>
      <w:r w:rsidRPr="009F3119">
        <w:rPr>
          <w:rFonts w:ascii="Palatino Linotype" w:hAnsi="Palatino Linotype" w:cs="Arial"/>
          <w:bCs/>
          <w:i/>
          <w:sz w:val="22"/>
          <w:szCs w:val="22"/>
          <w:lang w:eastAsia="es-MX"/>
        </w:rPr>
        <w:t>, puede llegar a constituirse en un componente fundamental en el esfuerzo que realiza el Estado Mexicano para garantizar la seguridad del país en sus diferentes vertientes</w:t>
      </w:r>
      <w:r w:rsidRPr="009F3119">
        <w:rPr>
          <w:rFonts w:ascii="Palatino Linotype" w:hAnsi="Palatino Linotype" w:cs="Arial"/>
          <w:i/>
          <w:sz w:val="22"/>
          <w:szCs w:val="22"/>
          <w:lang w:eastAsia="es-MX"/>
        </w:rPr>
        <w:t>” (Sic)</w:t>
      </w:r>
    </w:p>
    <w:p w14:paraId="5D2CF67A" w14:textId="0EDB4AB0" w:rsidR="006B218B" w:rsidRPr="009F3119" w:rsidRDefault="006B218B" w:rsidP="006B218B">
      <w:pPr>
        <w:tabs>
          <w:tab w:val="left" w:pos="3583"/>
        </w:tabs>
        <w:autoSpaceDE w:val="0"/>
        <w:autoSpaceDN w:val="0"/>
        <w:adjustRightInd w:val="0"/>
        <w:spacing w:line="276" w:lineRule="auto"/>
        <w:ind w:left="567" w:right="567"/>
        <w:contextualSpacing/>
        <w:jc w:val="both"/>
        <w:rPr>
          <w:rFonts w:ascii="Palatino Linotype" w:hAnsi="Palatino Linotype" w:cs="Arial"/>
          <w:sz w:val="22"/>
          <w:szCs w:val="22"/>
          <w:lang w:eastAsia="es-MX"/>
        </w:rPr>
      </w:pPr>
      <w:r w:rsidRPr="009F3119">
        <w:rPr>
          <w:rFonts w:ascii="Palatino Linotype" w:hAnsi="Palatino Linotype" w:cs="Arial"/>
          <w:sz w:val="22"/>
          <w:szCs w:val="22"/>
          <w:lang w:eastAsia="es-MX"/>
        </w:rPr>
        <w:t>(Énfasis añadido).</w:t>
      </w:r>
    </w:p>
    <w:p w14:paraId="7B75B2BD" w14:textId="77777777" w:rsidR="006B218B" w:rsidRPr="009F3119"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346989D5" w14:textId="69DEBC5E" w:rsidR="006B218B"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s="Arial"/>
          <w:lang w:eastAsia="es-MX"/>
        </w:rPr>
        <w:t xml:space="preserve">Precisado </w:t>
      </w:r>
      <w:r w:rsidRPr="009F3119">
        <w:rPr>
          <w:rFonts w:ascii="Palatino Linotype" w:hAnsi="Palatino Linotype"/>
          <w:lang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9F3119">
        <w:rPr>
          <w:rFonts w:ascii="Palatino Linotype" w:hAnsi="Palatino Linotype"/>
          <w:b/>
          <w:lang w:eastAsia="es-MX"/>
        </w:rPr>
        <w:t>SUJETO OBLIGADO</w:t>
      </w:r>
      <w:r w:rsidRPr="009F3119">
        <w:rPr>
          <w:rFonts w:ascii="Palatino Linotype" w:hAnsi="Palatino Linotype"/>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2FC70EF5" w14:textId="5E0B6F6C" w:rsidR="006B218B" w:rsidRPr="009F3119"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6A8574AE"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“Artículo 49</w:t>
      </w:r>
      <w:r w:rsidRPr="009F3119">
        <w:rPr>
          <w:rFonts w:ascii="Palatino Linotype" w:hAnsi="Palatino Linotype"/>
          <w:i/>
          <w:sz w:val="22"/>
          <w:szCs w:val="22"/>
          <w:lang w:eastAsia="es-MX"/>
        </w:rPr>
        <w:t xml:space="preserve">. Los Comités de Transparencia tendrán las siguientes atribuciones: </w:t>
      </w:r>
    </w:p>
    <w:p w14:paraId="1CDA1C5E"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VIII. Aprobar, modificar o revocar la clasificación de la información; </w:t>
      </w:r>
    </w:p>
    <w:p w14:paraId="767EFDDD"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00DDFE93"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Artículo 132</w:t>
      </w:r>
      <w:r w:rsidRPr="009F3119">
        <w:rPr>
          <w:rFonts w:ascii="Palatino Linotype" w:hAnsi="Palatino Linotype"/>
          <w:i/>
          <w:sz w:val="22"/>
          <w:szCs w:val="22"/>
          <w:lang w:eastAsia="es-MX"/>
        </w:rPr>
        <w:t xml:space="preserve">. La clasificación de la información se llevará a cabo en el momento en que: </w:t>
      </w:r>
    </w:p>
    <w:p w14:paraId="5F7C0778"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I. Se reciba una solicitud de acceso a la información; </w:t>
      </w:r>
    </w:p>
    <w:p w14:paraId="34377E08"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II. Se determine mediante resolución de autoridad competente; o </w:t>
      </w:r>
    </w:p>
    <w:p w14:paraId="4FEACC60"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III. Se generen versiones públicas para dar cumplimiento a las obligaciones de transparencia previstas en esta Ley.” </w:t>
      </w:r>
    </w:p>
    <w:p w14:paraId="7DAF660C"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4CEADF22"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Cuarto.</w:t>
      </w:r>
      <w:r w:rsidRPr="009F3119">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w:t>
      </w:r>
      <w:r w:rsidRPr="009F3119">
        <w:rPr>
          <w:rFonts w:ascii="Palatino Linotype" w:hAnsi="Palatino Linotype"/>
          <w:i/>
          <w:sz w:val="22"/>
          <w:szCs w:val="22"/>
          <w:lang w:eastAsia="es-MX"/>
        </w:rPr>
        <w:lastRenderedPageBreak/>
        <w:t xml:space="preserve">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97EF018"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45CDB344"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Quinto.</w:t>
      </w:r>
      <w:r w:rsidRPr="009F3119">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631CC7"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1853FFC6"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Sexto.</w:t>
      </w:r>
      <w:r w:rsidRPr="009F3119">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6987FD9C"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211929BB"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La clasificación de información se realizará conforme a un análisis caso por caso, mediante la aplicación de la prueba de daño y de interés público. </w:t>
      </w:r>
    </w:p>
    <w:p w14:paraId="5D62BF87"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305A7AA8"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Séptimo.</w:t>
      </w:r>
      <w:r w:rsidRPr="009F3119">
        <w:rPr>
          <w:rFonts w:ascii="Palatino Linotype" w:hAnsi="Palatino Linotype"/>
          <w:i/>
          <w:sz w:val="22"/>
          <w:szCs w:val="22"/>
          <w:lang w:eastAsia="es-MX"/>
        </w:rPr>
        <w:t xml:space="preserve"> La clasificación de la información se llevará a cabo en el momento en que: I. Se reciba una solicitud de acceso a la información; </w:t>
      </w:r>
    </w:p>
    <w:p w14:paraId="1A2045FE"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6329D546"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II. Se determine mediante resolución de autoridad competente, o </w:t>
      </w:r>
    </w:p>
    <w:p w14:paraId="56E7BA84"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III. Se generen versiones públicas para dar cumplimiento a las obligaciones de transparencia previstas en la Ley General, la Ley Federal y las correspondientes de las entidades federativas. </w:t>
      </w:r>
    </w:p>
    <w:p w14:paraId="12EB3CDD"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658A94C4"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107A2309"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389EBF1A"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lastRenderedPageBreak/>
        <w:t>Octavo.</w:t>
      </w:r>
      <w:r w:rsidRPr="009F3119">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3D161014"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12739B9F"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7825D9C2"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En caso de referirse a información reservada, la motivación de la clasificación también deberá comprender las circunstancias que justifican el establecimiento de determinado plazo de reserva. </w:t>
      </w:r>
    </w:p>
    <w:p w14:paraId="5F1FCDC1"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62253CB4"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96AC31"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3458B5BC"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4A40B048"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2EB7A2D5"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b/>
          <w:i/>
          <w:sz w:val="22"/>
          <w:szCs w:val="22"/>
          <w:lang w:eastAsia="es-MX"/>
        </w:rPr>
        <w:t>Décimo</w:t>
      </w:r>
      <w:r w:rsidRPr="009F3119">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55EE95B3"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3CF1E971"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r w:rsidRPr="009F3119">
        <w:rPr>
          <w:rFonts w:ascii="Palatino Linotype" w:hAnsi="Palatino Linotype"/>
          <w:i/>
          <w:sz w:val="22"/>
          <w:szCs w:val="22"/>
          <w:lang w:eastAsia="es-MX"/>
        </w:rPr>
        <w:t xml:space="preserve">En ausencia de los titulares de las áreas, la información será clasificada o desclasificada por la persona que lo supla, en términos de la normativa que rija la actuación del sujeto obligado. </w:t>
      </w:r>
    </w:p>
    <w:p w14:paraId="27955FBB" w14:textId="77777777" w:rsidR="006B218B" w:rsidRPr="009F3119" w:rsidRDefault="006B218B" w:rsidP="006B218B">
      <w:pPr>
        <w:spacing w:line="276" w:lineRule="auto"/>
        <w:ind w:left="567" w:right="567"/>
        <w:contextualSpacing/>
        <w:jc w:val="both"/>
        <w:rPr>
          <w:rFonts w:ascii="Palatino Linotype" w:hAnsi="Palatino Linotype"/>
          <w:i/>
          <w:sz w:val="22"/>
          <w:szCs w:val="22"/>
          <w:lang w:eastAsia="es-MX"/>
        </w:rPr>
      </w:pPr>
    </w:p>
    <w:p w14:paraId="77BE7C11" w14:textId="28864DF2" w:rsidR="006B218B" w:rsidRPr="009F3119" w:rsidRDefault="006B218B" w:rsidP="006B218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F3119">
        <w:rPr>
          <w:rFonts w:ascii="Palatino Linotype" w:hAnsi="Palatino Linotype"/>
          <w:b/>
          <w:i/>
          <w:sz w:val="22"/>
          <w:szCs w:val="22"/>
          <w:lang w:eastAsia="es-MX"/>
        </w:rPr>
        <w:lastRenderedPageBreak/>
        <w:t>Décimo primero</w:t>
      </w:r>
      <w:r w:rsidRPr="009F3119">
        <w:rPr>
          <w:rFonts w:ascii="Palatino Linotype" w:hAnsi="Palatino Linotype"/>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4E47E2E" w14:textId="77777777" w:rsidR="006B218B" w:rsidRPr="009F3119" w:rsidRDefault="006B218B" w:rsidP="006B218B">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648F1B07" w:rsidR="006B218B" w:rsidRPr="009F3119" w:rsidRDefault="006B218B"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s="Arial"/>
          <w:lang w:eastAsia="es-MX"/>
        </w:rPr>
        <w:t xml:space="preserve">En </w:t>
      </w:r>
      <w:r w:rsidRPr="009F3119">
        <w:rPr>
          <w:rFonts w:ascii="Palatino Linotype" w:hAnsi="Palatino Linotype"/>
          <w:lang w:eastAsia="es-MX"/>
        </w:rPr>
        <w:t>tal contexto se deberá proceder a la clasificación de los nombres de los elementos de policía que realicen actividades operativas en campo.</w:t>
      </w:r>
    </w:p>
    <w:p w14:paraId="53A0C7F3" w14:textId="77777777" w:rsidR="00E62DCB" w:rsidRPr="009F3119"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A7DA98E" w:rsidR="00F01443" w:rsidRPr="009F3119"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eastAsia="MS Mincho" w:hAnsi="Palatino Linotype" w:cstheme="majorBidi"/>
          <w:lang w:val="es-ES"/>
        </w:rPr>
        <w:t>Por lo tanto, e</w:t>
      </w:r>
      <w:r w:rsidR="003E6079" w:rsidRPr="009F3119">
        <w:rPr>
          <w:rFonts w:ascii="Palatino Linotype" w:eastAsia="MS Mincho" w:hAnsi="Palatino Linotype" w:cstheme="majorBidi"/>
          <w:lang w:val="es-ES"/>
        </w:rPr>
        <w:t>n consecuencia y en mérito de lo expuesto en líneas anteriores, resultan</w:t>
      </w:r>
      <w:r w:rsidR="00094B41" w:rsidRPr="009F3119">
        <w:rPr>
          <w:rFonts w:ascii="Palatino Linotype" w:eastAsia="MS Mincho" w:hAnsi="Palatino Linotype" w:cstheme="majorBidi"/>
          <w:lang w:val="es-ES"/>
        </w:rPr>
        <w:t xml:space="preserve"> </w:t>
      </w:r>
      <w:r w:rsidR="003E6079" w:rsidRPr="009F3119">
        <w:rPr>
          <w:rFonts w:ascii="Palatino Linotype" w:eastAsia="MS Mincho" w:hAnsi="Palatino Linotype" w:cstheme="majorBidi"/>
          <w:lang w:val="es-ES"/>
        </w:rPr>
        <w:t xml:space="preserve">fundadas las razones o motivos de inconformidad hechos valer por el </w:t>
      </w:r>
      <w:r w:rsidR="003E6079" w:rsidRPr="009F3119">
        <w:rPr>
          <w:rFonts w:ascii="Palatino Linotype" w:eastAsia="MS Mincho" w:hAnsi="Palatino Linotype" w:cstheme="majorBidi"/>
          <w:b/>
          <w:lang w:val="es-ES"/>
        </w:rPr>
        <w:t>RECURRENTE</w:t>
      </w:r>
      <w:r w:rsidR="003E6079" w:rsidRPr="009F3119">
        <w:rPr>
          <w:rFonts w:ascii="Palatino Linotype" w:eastAsia="MS Mincho" w:hAnsi="Palatino Linotype" w:cstheme="majorBidi"/>
          <w:lang w:val="es-ES"/>
        </w:rPr>
        <w:t xml:space="preserve"> dentro del recurso de revisión </w:t>
      </w:r>
      <w:r w:rsidR="0085795E" w:rsidRPr="009F3119">
        <w:rPr>
          <w:rFonts w:ascii="Palatino Linotype" w:eastAsia="MS Mincho" w:hAnsi="Palatino Linotype" w:cstheme="majorBidi"/>
          <w:b/>
          <w:bCs/>
          <w:lang w:val="es-ES"/>
        </w:rPr>
        <w:t>07003/INFOEM/IP/RR/2022</w:t>
      </w:r>
      <w:r w:rsidR="003E6079" w:rsidRPr="009F3119">
        <w:rPr>
          <w:rFonts w:ascii="Palatino Linotype" w:eastAsia="MS Mincho" w:hAnsi="Palatino Linotype" w:cstheme="majorBidi"/>
          <w:lang w:val="es-ES"/>
        </w:rPr>
        <w:t xml:space="preserve">; por ello, y con fundamento en la fracción </w:t>
      </w:r>
      <w:r w:rsidR="00743CAC" w:rsidRPr="009F3119">
        <w:rPr>
          <w:rFonts w:ascii="Palatino Linotype" w:eastAsia="MS Mincho" w:hAnsi="Palatino Linotype" w:cstheme="majorBidi"/>
          <w:lang w:val="es-ES"/>
        </w:rPr>
        <w:t>I</w:t>
      </w:r>
      <w:r w:rsidR="003E6079" w:rsidRPr="009F3119">
        <w:rPr>
          <w:rFonts w:ascii="Palatino Linotype" w:eastAsia="MS Mincho" w:hAnsi="Palatino Linotype" w:cstheme="majorBidi"/>
          <w:lang w:val="es-ES"/>
        </w:rPr>
        <w:t>II</w:t>
      </w:r>
      <w:r w:rsidR="00A225C1" w:rsidRPr="009F3119">
        <w:rPr>
          <w:rFonts w:ascii="Palatino Linotype" w:eastAsia="MS Mincho" w:hAnsi="Palatino Linotype" w:cstheme="majorBidi"/>
          <w:lang w:val="es-ES"/>
        </w:rPr>
        <w:t>,</w:t>
      </w:r>
      <w:r w:rsidR="003E6079" w:rsidRPr="009F3119">
        <w:rPr>
          <w:rFonts w:ascii="Palatino Linotype" w:eastAsia="MS Mincho" w:hAnsi="Palatino Linotype" w:cstheme="majorBidi"/>
          <w:lang w:val="es-ES"/>
        </w:rPr>
        <w:t xml:space="preserve"> del numeral 186</w:t>
      </w:r>
      <w:r w:rsidR="00A225C1" w:rsidRPr="009F3119">
        <w:rPr>
          <w:rFonts w:ascii="Palatino Linotype" w:eastAsia="MS Mincho" w:hAnsi="Palatino Linotype" w:cstheme="majorBidi"/>
          <w:lang w:val="es-ES"/>
        </w:rPr>
        <w:t>,</w:t>
      </w:r>
      <w:r w:rsidR="003E6079" w:rsidRPr="009F3119">
        <w:rPr>
          <w:rFonts w:ascii="Palatino Linotype" w:eastAsia="MS Mincho" w:hAnsi="Palatino Linotype" w:cstheme="majorBidi"/>
          <w:lang w:val="es-ES"/>
        </w:rPr>
        <w:t xml:space="preserve"> de la Ley de Transparencia y Acceso a la Información Pública del Estado de México y Municipios, se </w:t>
      </w:r>
      <w:r w:rsidR="00A225C1" w:rsidRPr="009F3119">
        <w:rPr>
          <w:rFonts w:ascii="Palatino Linotype" w:eastAsia="MS Mincho" w:hAnsi="Palatino Linotype" w:cstheme="majorBidi"/>
          <w:b/>
          <w:lang w:val="es-ES"/>
        </w:rPr>
        <w:t>REVOCA</w:t>
      </w:r>
      <w:r w:rsidR="003E6079" w:rsidRPr="009F3119">
        <w:rPr>
          <w:rFonts w:ascii="Palatino Linotype" w:eastAsia="MS Mincho" w:hAnsi="Palatino Linotype" w:cstheme="majorBidi"/>
          <w:lang w:val="es-ES"/>
        </w:rPr>
        <w:t xml:space="preserve"> la respuesta a l</w:t>
      </w:r>
      <w:r w:rsidRPr="009F3119">
        <w:rPr>
          <w:rFonts w:ascii="Palatino Linotype" w:eastAsia="MS Mincho" w:hAnsi="Palatino Linotype" w:cstheme="majorBidi"/>
          <w:lang w:val="es-ES"/>
        </w:rPr>
        <w:t>a</w:t>
      </w:r>
      <w:r w:rsidR="003E6079" w:rsidRPr="009F3119">
        <w:rPr>
          <w:rFonts w:ascii="Palatino Linotype" w:eastAsia="MS Mincho" w:hAnsi="Palatino Linotype" w:cstheme="majorBidi"/>
          <w:lang w:val="es-ES"/>
        </w:rPr>
        <w:t xml:space="preserve"> solicitud de información número </w:t>
      </w:r>
      <w:r w:rsidR="0085795E" w:rsidRPr="009F3119">
        <w:rPr>
          <w:rFonts w:ascii="Palatino Linotype" w:eastAsia="MS Mincho" w:hAnsi="Palatino Linotype" w:cstheme="majorBidi"/>
          <w:b/>
          <w:lang w:val="es-ES"/>
        </w:rPr>
        <w:t>00048/MELOCAM/IP/2022</w:t>
      </w:r>
      <w:r w:rsidR="003E6079" w:rsidRPr="009F3119">
        <w:rPr>
          <w:rFonts w:ascii="Palatino Linotype" w:eastAsia="MS Mincho" w:hAnsi="Palatino Linotype" w:cstheme="majorBidi"/>
          <w:lang w:val="es-ES"/>
        </w:rPr>
        <w:t>.</w:t>
      </w:r>
    </w:p>
    <w:p w14:paraId="370E910A" w14:textId="77777777" w:rsidR="00F01443" w:rsidRPr="009F311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9F311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F3119">
        <w:rPr>
          <w:rFonts w:ascii="Palatino Linotype" w:hAnsi="Palatino Linotype"/>
          <w:color w:val="000000" w:themeColor="text1"/>
          <w:lang w:val="es-ES"/>
        </w:rPr>
        <w:t xml:space="preserve">Por </w:t>
      </w:r>
      <w:r w:rsidR="00B41516" w:rsidRPr="009F3119">
        <w:rPr>
          <w:rFonts w:ascii="Palatino Linotype" w:hAnsi="Palatino Linotype"/>
          <w:color w:val="000000" w:themeColor="text1"/>
        </w:rPr>
        <w:t xml:space="preserve">lo anteriormente expuesto y fundado, </w:t>
      </w:r>
      <w:r w:rsidR="003E6079" w:rsidRPr="009F3119">
        <w:rPr>
          <w:rFonts w:ascii="Palatino Linotype" w:hAnsi="Palatino Linotype"/>
          <w:color w:val="000000" w:themeColor="text1"/>
        </w:rPr>
        <w:t>e</w:t>
      </w:r>
      <w:r w:rsidR="00B41516" w:rsidRPr="009F3119">
        <w:rPr>
          <w:rFonts w:ascii="Palatino Linotype" w:hAnsi="Palatino Linotype"/>
          <w:color w:val="000000" w:themeColor="text1"/>
        </w:rPr>
        <w:t xml:space="preserve">ste </w:t>
      </w:r>
      <w:r w:rsidR="00B41516" w:rsidRPr="009F3119">
        <w:rPr>
          <w:rFonts w:ascii="Palatino Linotype" w:hAnsi="Palatino Linotype"/>
          <w:b/>
          <w:color w:val="000000" w:themeColor="text1"/>
        </w:rPr>
        <w:t>ÓRGANO GARANTE</w:t>
      </w:r>
      <w:r w:rsidR="00B41516" w:rsidRPr="009F3119">
        <w:rPr>
          <w:rFonts w:ascii="Palatino Linotype" w:hAnsi="Palatino Linotype"/>
          <w:color w:val="000000" w:themeColor="text1"/>
        </w:rPr>
        <w:t xml:space="preserve"> emite los siguientes:</w:t>
      </w:r>
      <w:r w:rsidR="003E6079" w:rsidRPr="009F3119">
        <w:rPr>
          <w:rFonts w:ascii="Palatino Linotype" w:hAnsi="Palatino Linotype"/>
          <w:color w:val="000000" w:themeColor="text1"/>
        </w:rPr>
        <w:t xml:space="preserve"> </w:t>
      </w:r>
      <w:r w:rsidR="00D71057" w:rsidRPr="009F3119">
        <w:rPr>
          <w:rFonts w:ascii="Palatino Linotype" w:hAnsi="Palatino Linotype"/>
          <w:color w:val="000000" w:themeColor="text1"/>
        </w:rPr>
        <w:t>--------------------------------------------------------------------------</w:t>
      </w:r>
      <w:r w:rsidR="00E10AC3" w:rsidRPr="009F3119">
        <w:rPr>
          <w:rFonts w:ascii="Palatino Linotype" w:hAnsi="Palatino Linotype"/>
          <w:color w:val="000000" w:themeColor="text1"/>
        </w:rPr>
        <w:t>-----------------</w:t>
      </w:r>
      <w:r w:rsidR="00895335" w:rsidRPr="009F3119">
        <w:rPr>
          <w:rFonts w:ascii="Palatino Linotype" w:hAnsi="Palatino Linotype"/>
          <w:color w:val="000000" w:themeColor="text1"/>
        </w:rPr>
        <w:t>--</w:t>
      </w:r>
      <w:r w:rsidR="003E6079" w:rsidRPr="009F3119">
        <w:rPr>
          <w:rFonts w:ascii="Palatino Linotype" w:hAnsi="Palatino Linotype"/>
          <w:color w:val="000000" w:themeColor="text1"/>
        </w:rPr>
        <w:t>-------------------------------------------------------------------------------------------------------------</w:t>
      </w:r>
      <w:r w:rsidR="00895335" w:rsidRPr="009F3119">
        <w:rPr>
          <w:rFonts w:ascii="Palatino Linotype" w:hAnsi="Palatino Linotype"/>
          <w:color w:val="000000" w:themeColor="text1"/>
        </w:rPr>
        <w:t>--</w:t>
      </w:r>
      <w:r w:rsidR="00A225C1" w:rsidRPr="009F3119">
        <w:rPr>
          <w:rFonts w:ascii="Palatino Linotype" w:hAnsi="Palatino Linotype"/>
          <w:color w:val="000000" w:themeColor="text1"/>
        </w:rPr>
        <w:t>-------------------------------------------------------------------------------------------------------------</w:t>
      </w:r>
    </w:p>
    <w:p w14:paraId="64A61CAA" w14:textId="77777777" w:rsidR="00A73C04" w:rsidRPr="009F3119" w:rsidRDefault="00A73C04">
      <w:pPr>
        <w:rPr>
          <w:rFonts w:ascii="Palatino Linotype" w:hAnsi="Palatino Linotype"/>
          <w:color w:val="000000" w:themeColor="text1"/>
        </w:rPr>
      </w:pPr>
      <w:r w:rsidRPr="009F3119">
        <w:rPr>
          <w:rFonts w:ascii="Palatino Linotype" w:hAnsi="Palatino Linotype"/>
          <w:color w:val="000000" w:themeColor="text1"/>
        </w:rPr>
        <w:br w:type="page"/>
      </w:r>
    </w:p>
    <w:p w14:paraId="18C7D92B" w14:textId="2E6B88EF" w:rsidR="009959DB" w:rsidRPr="009F3119" w:rsidRDefault="009959DB" w:rsidP="009959DB">
      <w:pPr>
        <w:pStyle w:val="Ttulo1"/>
        <w:spacing w:line="360" w:lineRule="auto"/>
        <w:jc w:val="center"/>
        <w:rPr>
          <w:b/>
          <w:color w:val="000000" w:themeColor="text1"/>
          <w:sz w:val="28"/>
          <w:szCs w:val="24"/>
        </w:rPr>
      </w:pPr>
      <w:bookmarkStart w:id="25" w:name="_Toc495427547"/>
      <w:bookmarkStart w:id="26" w:name="_Toc497905366"/>
      <w:bookmarkStart w:id="27" w:name="_Toc88071791"/>
      <w:r w:rsidRPr="009F3119">
        <w:rPr>
          <w:b/>
          <w:color w:val="000000" w:themeColor="text1"/>
          <w:sz w:val="28"/>
          <w:szCs w:val="24"/>
        </w:rPr>
        <w:lastRenderedPageBreak/>
        <w:t>R E S O L U T I V O S</w:t>
      </w:r>
      <w:bookmarkEnd w:id="21"/>
      <w:bookmarkEnd w:id="22"/>
      <w:bookmarkEnd w:id="25"/>
      <w:bookmarkEnd w:id="26"/>
      <w:bookmarkEnd w:id="27"/>
    </w:p>
    <w:p w14:paraId="2EF2AC2D" w14:textId="77777777" w:rsidR="00A73C04" w:rsidRPr="009F3119" w:rsidRDefault="00A73C04" w:rsidP="002578EE">
      <w:pPr>
        <w:spacing w:line="360" w:lineRule="auto"/>
        <w:jc w:val="both"/>
        <w:rPr>
          <w:rFonts w:ascii="Palatino Linotype" w:eastAsia="Times New Roman" w:hAnsi="Palatino Linotype" w:cs="Arial"/>
          <w:b/>
          <w:sz w:val="28"/>
          <w:szCs w:val="28"/>
        </w:rPr>
      </w:pPr>
    </w:p>
    <w:p w14:paraId="0C435278" w14:textId="5DEAA25F" w:rsidR="00A73C04" w:rsidRPr="009F3119" w:rsidRDefault="00A73C04" w:rsidP="00A73C04">
      <w:pPr>
        <w:spacing w:line="360" w:lineRule="auto"/>
        <w:jc w:val="both"/>
        <w:rPr>
          <w:rFonts w:ascii="Palatino Linotype" w:eastAsia="Times New Roman" w:hAnsi="Palatino Linotype" w:cs="Times New Roman"/>
        </w:rPr>
      </w:pPr>
      <w:r w:rsidRPr="009F3119">
        <w:rPr>
          <w:rFonts w:ascii="Palatino Linotype" w:eastAsia="Times New Roman" w:hAnsi="Palatino Linotype" w:cs="Arial"/>
          <w:b/>
          <w:sz w:val="28"/>
          <w:szCs w:val="28"/>
        </w:rPr>
        <w:t>PRIMERO</w:t>
      </w:r>
      <w:r w:rsidRPr="009F3119">
        <w:rPr>
          <w:rFonts w:ascii="Palatino Linotype" w:eastAsia="Times New Roman" w:hAnsi="Palatino Linotype" w:cs="Arial"/>
          <w:b/>
        </w:rPr>
        <w:t xml:space="preserve">. </w:t>
      </w:r>
      <w:r w:rsidR="00743CAC" w:rsidRPr="009F3119">
        <w:rPr>
          <w:rFonts w:ascii="Palatino Linotype" w:eastAsia="Times New Roman" w:hAnsi="Palatino Linotype" w:cs="Arial"/>
        </w:rPr>
        <w:t xml:space="preserve">Resultan </w:t>
      </w:r>
      <w:r w:rsidRPr="009F3119">
        <w:rPr>
          <w:rFonts w:ascii="Palatino Linotype" w:eastAsia="Times New Roman" w:hAnsi="Palatino Linotype" w:cs="Arial"/>
        </w:rPr>
        <w:t>fundadas las</w:t>
      </w:r>
      <w:r w:rsidRPr="009F3119">
        <w:rPr>
          <w:rFonts w:ascii="Palatino Linotype" w:eastAsia="Times New Roman" w:hAnsi="Palatino Linotype" w:cs="Arial"/>
          <w:b/>
        </w:rPr>
        <w:t xml:space="preserve"> </w:t>
      </w:r>
      <w:r w:rsidRPr="009F3119">
        <w:rPr>
          <w:rFonts w:ascii="Palatino Linotype" w:eastAsia="Times New Roman" w:hAnsi="Palatino Linotype" w:cs="Arial"/>
          <w:lang w:val="es-ES"/>
        </w:rPr>
        <w:t xml:space="preserve">razones o motivos de inconformidad hechos valer </w:t>
      </w:r>
      <w:r w:rsidRPr="009F3119">
        <w:rPr>
          <w:rFonts w:ascii="Palatino Linotype" w:eastAsia="Calibri" w:hAnsi="Palatino Linotype" w:cs="Arial"/>
          <w:lang w:val="es-ES"/>
        </w:rPr>
        <w:t xml:space="preserve">en </w:t>
      </w:r>
      <w:r w:rsidR="00291D91" w:rsidRPr="009F3119">
        <w:rPr>
          <w:rFonts w:ascii="Palatino Linotype" w:eastAsia="Calibri" w:hAnsi="Palatino Linotype" w:cs="Arial"/>
          <w:lang w:val="es-ES"/>
        </w:rPr>
        <w:t>el</w:t>
      </w:r>
      <w:r w:rsidRPr="009F3119">
        <w:rPr>
          <w:rFonts w:ascii="Palatino Linotype" w:eastAsia="Calibri" w:hAnsi="Palatino Linotype" w:cs="Arial"/>
          <w:lang w:val="es-ES"/>
        </w:rPr>
        <w:t xml:space="preserve"> recurso de revisión </w:t>
      </w:r>
      <w:r w:rsidR="0085795E" w:rsidRPr="009F3119">
        <w:rPr>
          <w:rFonts w:ascii="Palatino Linotype" w:eastAsia="Times New Roman" w:hAnsi="Palatino Linotype" w:cs="Times New Roman"/>
          <w:b/>
        </w:rPr>
        <w:t>07003/INFOEM/IP/RR/2022</w:t>
      </w:r>
      <w:r w:rsidRPr="009F3119">
        <w:rPr>
          <w:rFonts w:ascii="Palatino Linotype" w:eastAsia="Times New Roman" w:hAnsi="Palatino Linotype" w:cs="Times New Roman"/>
          <w:b/>
        </w:rPr>
        <w:t xml:space="preserve"> </w:t>
      </w:r>
      <w:r w:rsidRPr="009F3119">
        <w:rPr>
          <w:rFonts w:ascii="Palatino Linotype" w:eastAsia="Times New Roman" w:hAnsi="Palatino Linotype" w:cs="Times New Roman"/>
        </w:rPr>
        <w:t>en términos de</w:t>
      </w:r>
      <w:r w:rsidR="00743CAC" w:rsidRPr="009F3119">
        <w:rPr>
          <w:rFonts w:ascii="Palatino Linotype" w:eastAsia="Times New Roman" w:hAnsi="Palatino Linotype" w:cs="Times New Roman"/>
        </w:rPr>
        <w:t xml:space="preserve"> </w:t>
      </w:r>
      <w:r w:rsidRPr="009F3119">
        <w:rPr>
          <w:rFonts w:ascii="Palatino Linotype" w:eastAsia="Times New Roman" w:hAnsi="Palatino Linotype" w:cs="Times New Roman"/>
        </w:rPr>
        <w:t>l</w:t>
      </w:r>
      <w:r w:rsidR="00743CAC" w:rsidRPr="009F3119">
        <w:rPr>
          <w:rFonts w:ascii="Palatino Linotype" w:eastAsia="Times New Roman" w:hAnsi="Palatino Linotype" w:cs="Times New Roman"/>
        </w:rPr>
        <w:t>os</w:t>
      </w:r>
      <w:r w:rsidRPr="009F3119">
        <w:rPr>
          <w:rFonts w:ascii="Palatino Linotype" w:eastAsia="Times New Roman" w:hAnsi="Palatino Linotype" w:cs="Times New Roman"/>
          <w:b/>
          <w:bCs/>
        </w:rPr>
        <w:t xml:space="preserve"> Considerando</w:t>
      </w:r>
      <w:r w:rsidR="00743CAC" w:rsidRPr="009F3119">
        <w:rPr>
          <w:rFonts w:ascii="Palatino Linotype" w:eastAsia="Times New Roman" w:hAnsi="Palatino Linotype" w:cs="Times New Roman"/>
          <w:b/>
          <w:bCs/>
        </w:rPr>
        <w:t>s</w:t>
      </w:r>
      <w:r w:rsidRPr="009F3119">
        <w:rPr>
          <w:rFonts w:ascii="Palatino Linotype" w:eastAsia="Times New Roman" w:hAnsi="Palatino Linotype" w:cs="Times New Roman"/>
        </w:rPr>
        <w:t xml:space="preserve"> </w:t>
      </w:r>
      <w:r w:rsidRPr="009F3119">
        <w:rPr>
          <w:rFonts w:ascii="Palatino Linotype" w:eastAsia="Times New Roman" w:hAnsi="Palatino Linotype" w:cs="Times New Roman"/>
          <w:b/>
        </w:rPr>
        <w:t>CUARTO</w:t>
      </w:r>
      <w:r w:rsidRPr="009F3119">
        <w:rPr>
          <w:rFonts w:ascii="Palatino Linotype" w:eastAsia="Times New Roman" w:hAnsi="Palatino Linotype" w:cs="Times New Roman"/>
        </w:rPr>
        <w:t xml:space="preserve"> </w:t>
      </w:r>
      <w:r w:rsidR="00743CAC" w:rsidRPr="009F3119">
        <w:rPr>
          <w:rFonts w:ascii="Palatino Linotype" w:eastAsia="Times New Roman" w:hAnsi="Palatino Linotype" w:cs="Times New Roman"/>
        </w:rPr>
        <w:t xml:space="preserve">y </w:t>
      </w:r>
      <w:r w:rsidR="00743CAC" w:rsidRPr="009F3119">
        <w:rPr>
          <w:rFonts w:ascii="Palatino Linotype" w:eastAsia="Times New Roman" w:hAnsi="Palatino Linotype" w:cs="Times New Roman"/>
          <w:b/>
        </w:rPr>
        <w:t>QUINTO</w:t>
      </w:r>
      <w:r w:rsidR="00743CAC" w:rsidRPr="009F3119">
        <w:rPr>
          <w:rFonts w:ascii="Palatino Linotype" w:eastAsia="Times New Roman" w:hAnsi="Palatino Linotype" w:cs="Times New Roman"/>
        </w:rPr>
        <w:t xml:space="preserve"> </w:t>
      </w:r>
      <w:r w:rsidRPr="009F3119">
        <w:rPr>
          <w:rFonts w:ascii="Palatino Linotype" w:eastAsia="Times New Roman" w:hAnsi="Palatino Linotype" w:cs="Times New Roman"/>
        </w:rPr>
        <w:t>de la presente resolución.</w:t>
      </w:r>
    </w:p>
    <w:p w14:paraId="0DBF8BF4" w14:textId="77777777" w:rsidR="00A73C04" w:rsidRPr="009F3119" w:rsidRDefault="00A73C04" w:rsidP="00A73C04">
      <w:pPr>
        <w:spacing w:line="360" w:lineRule="auto"/>
        <w:contextualSpacing/>
        <w:jc w:val="both"/>
        <w:rPr>
          <w:rFonts w:ascii="Palatino Linotype" w:eastAsia="Calibri" w:hAnsi="Palatino Linotype" w:cs="Arial"/>
          <w:b/>
          <w:bCs/>
          <w:lang w:val="es-ES"/>
        </w:rPr>
      </w:pPr>
    </w:p>
    <w:p w14:paraId="2A288E5F" w14:textId="592848E8" w:rsidR="00743CAC" w:rsidRPr="009F3119" w:rsidRDefault="00743CAC" w:rsidP="00743CAC">
      <w:pPr>
        <w:spacing w:line="360" w:lineRule="auto"/>
        <w:contextualSpacing/>
        <w:jc w:val="both"/>
        <w:rPr>
          <w:rFonts w:ascii="Palatino Linotype" w:eastAsia="Times New Roman" w:hAnsi="Palatino Linotype" w:cs="Arial"/>
          <w:color w:val="000000"/>
        </w:rPr>
      </w:pPr>
      <w:r w:rsidRPr="009F3119">
        <w:rPr>
          <w:rFonts w:ascii="Palatino Linotype" w:eastAsia="Calibri" w:hAnsi="Palatino Linotype" w:cs="Arial"/>
          <w:b/>
          <w:bCs/>
          <w:sz w:val="28"/>
          <w:szCs w:val="28"/>
          <w:lang w:val="es-ES"/>
        </w:rPr>
        <w:t>SEGUNDO</w:t>
      </w:r>
      <w:r w:rsidRPr="009F3119">
        <w:rPr>
          <w:rFonts w:ascii="Palatino Linotype" w:eastAsia="Calibri" w:hAnsi="Palatino Linotype" w:cs="Arial"/>
          <w:b/>
          <w:bCs/>
          <w:lang w:val="es-ES"/>
        </w:rPr>
        <w:t xml:space="preserve">. </w:t>
      </w:r>
      <w:r w:rsidRPr="009F3119">
        <w:rPr>
          <w:rFonts w:ascii="Palatino Linotype" w:eastAsia="Calibri" w:hAnsi="Palatino Linotype" w:cs="Arial"/>
          <w:lang w:val="es-ES"/>
        </w:rPr>
        <w:t xml:space="preserve">Se </w:t>
      </w:r>
      <w:r w:rsidR="000A2A8C" w:rsidRPr="009F3119">
        <w:rPr>
          <w:rFonts w:ascii="Palatino Linotype" w:eastAsia="Calibri" w:hAnsi="Palatino Linotype" w:cs="Arial"/>
          <w:b/>
          <w:lang w:val="es-ES"/>
        </w:rPr>
        <w:t>REVOCA</w:t>
      </w:r>
      <w:r w:rsidRPr="009F3119">
        <w:rPr>
          <w:rFonts w:ascii="Palatino Linotype" w:eastAsia="Calibri" w:hAnsi="Palatino Linotype" w:cs="Arial"/>
          <w:lang w:val="es-ES"/>
        </w:rPr>
        <w:t xml:space="preserve"> la respuesta emitida por el </w:t>
      </w:r>
      <w:r w:rsidR="0085795E" w:rsidRPr="009F3119">
        <w:rPr>
          <w:rFonts w:ascii="Palatino Linotype" w:eastAsia="Calibri" w:hAnsi="Palatino Linotype" w:cs="Arial"/>
          <w:b/>
        </w:rPr>
        <w:t>Ayuntamiento de Melchor Ocampo</w:t>
      </w:r>
      <w:r w:rsidRPr="009F3119">
        <w:rPr>
          <w:rFonts w:ascii="Palatino Linotype" w:eastAsia="Calibri" w:hAnsi="Palatino Linotype" w:cs="Arial"/>
          <w:bCs/>
        </w:rPr>
        <w:t xml:space="preserve"> a la solicitud </w:t>
      </w:r>
      <w:r w:rsidR="0085795E" w:rsidRPr="009F3119">
        <w:rPr>
          <w:rFonts w:ascii="Palatino Linotype" w:eastAsia="MS Mincho" w:hAnsi="Palatino Linotype" w:cstheme="majorBidi"/>
          <w:b/>
          <w:lang w:val="es-ES"/>
        </w:rPr>
        <w:t>00048/MELOCAM/IP/2022</w:t>
      </w:r>
      <w:r w:rsidRPr="009F3119">
        <w:rPr>
          <w:rFonts w:ascii="Palatino Linotype" w:eastAsia="MS Mincho" w:hAnsi="Palatino Linotype" w:cstheme="majorBidi"/>
          <w:b/>
          <w:lang w:val="es-ES"/>
        </w:rPr>
        <w:t xml:space="preserve"> </w:t>
      </w:r>
      <w:r w:rsidRPr="009F3119">
        <w:rPr>
          <w:rFonts w:ascii="Palatino Linotype" w:eastAsia="Calibri" w:hAnsi="Palatino Linotype" w:cs="Arial"/>
        </w:rPr>
        <w:t xml:space="preserve">y se </w:t>
      </w:r>
      <w:r w:rsidRPr="009F3119">
        <w:rPr>
          <w:rFonts w:ascii="Palatino Linotype" w:eastAsia="Calibri" w:hAnsi="Palatino Linotype" w:cs="Arial"/>
          <w:b/>
        </w:rPr>
        <w:t>ORDENA</w:t>
      </w:r>
      <w:r w:rsidRPr="009F3119">
        <w:rPr>
          <w:rFonts w:ascii="Palatino Linotype" w:eastAsia="Calibri" w:hAnsi="Palatino Linotype" w:cs="Arial"/>
          <w:b/>
          <w:lang w:val="es-ES"/>
        </w:rPr>
        <w:t xml:space="preserve"> </w:t>
      </w:r>
      <w:r w:rsidRPr="009F3119">
        <w:rPr>
          <w:rFonts w:ascii="Palatino Linotype" w:eastAsia="Calibri" w:hAnsi="Palatino Linotype" w:cs="Arial"/>
          <w:lang w:val="es-ES"/>
        </w:rPr>
        <w:t xml:space="preserve">entregar, </w:t>
      </w:r>
      <w:bookmarkStart w:id="28" w:name="_Toc460947013"/>
      <w:r w:rsidRPr="009F3119">
        <w:rPr>
          <w:rFonts w:ascii="Palatino Linotype" w:eastAsia="Calibri" w:hAnsi="Palatino Linotype" w:cs="Arial"/>
          <w:lang w:val="es-ES"/>
        </w:rPr>
        <w:t>vía Sistema de Acceso a la Información Pública Mexiquense (SAIMEX)</w:t>
      </w:r>
      <w:r w:rsidRPr="009F3119">
        <w:rPr>
          <w:rFonts w:ascii="Palatino Linotype" w:eastAsia="Times New Roman" w:hAnsi="Palatino Linotype" w:cs="Arial"/>
          <w:color w:val="000000"/>
        </w:rPr>
        <w:t xml:space="preserve">, en versión pública, </w:t>
      </w:r>
      <w:r w:rsidR="00A84187" w:rsidRPr="009F3119">
        <w:rPr>
          <w:rFonts w:ascii="Palatino Linotype" w:eastAsia="Times New Roman" w:hAnsi="Palatino Linotype" w:cs="Arial"/>
          <w:color w:val="000000"/>
        </w:rPr>
        <w:t>la siguiente información</w:t>
      </w:r>
      <w:r w:rsidRPr="009F3119">
        <w:rPr>
          <w:rFonts w:ascii="Palatino Linotype" w:eastAsia="Times New Roman" w:hAnsi="Palatino Linotype" w:cs="Arial"/>
          <w:color w:val="000000"/>
        </w:rPr>
        <w:t xml:space="preserve">: </w:t>
      </w:r>
    </w:p>
    <w:p w14:paraId="326766E2" w14:textId="0098C65F" w:rsidR="004D54E4" w:rsidRPr="009F3119" w:rsidRDefault="0072509D"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9F3119">
        <w:rPr>
          <w:rFonts w:ascii="Palatino Linotype" w:hAnsi="Palatino Linotype"/>
          <w:b/>
          <w:bCs/>
          <w:color w:val="000000"/>
        </w:rPr>
        <w:t>Comprobantes de pago de nómina, salario, sueldos, honorarios, gratificaciones, etc., emitidos en la segunda quincena de marzo de dos mil veintidós, de los siguientes servidores públicos:</w:t>
      </w:r>
    </w:p>
    <w:p w14:paraId="7FFEE8C6" w14:textId="1B6E9958" w:rsidR="0072509D" w:rsidRPr="009F3119" w:rsidRDefault="0072509D" w:rsidP="0072509D">
      <w:pPr>
        <w:pStyle w:val="Prrafodelista"/>
        <w:numPr>
          <w:ilvl w:val="1"/>
          <w:numId w:val="2"/>
        </w:numPr>
        <w:spacing w:after="240" w:line="360" w:lineRule="auto"/>
        <w:ind w:left="1418" w:right="567"/>
        <w:jc w:val="both"/>
        <w:rPr>
          <w:rFonts w:ascii="Palatino Linotype" w:hAnsi="Palatino Linotype"/>
          <w:b/>
          <w:bCs/>
          <w:color w:val="000000"/>
        </w:rPr>
      </w:pPr>
      <w:r w:rsidRPr="009F3119">
        <w:rPr>
          <w:rFonts w:ascii="Palatino Linotype" w:hAnsi="Palatino Linotype"/>
          <w:b/>
          <w:bCs/>
          <w:color w:val="000000"/>
        </w:rPr>
        <w:t>Personal de base y de confianza;</w:t>
      </w:r>
    </w:p>
    <w:p w14:paraId="7CFD83FB" w14:textId="522FAC7F" w:rsidR="0072509D" w:rsidRPr="009F3119" w:rsidRDefault="0072509D" w:rsidP="0072509D">
      <w:pPr>
        <w:pStyle w:val="Prrafodelista"/>
        <w:numPr>
          <w:ilvl w:val="1"/>
          <w:numId w:val="2"/>
        </w:numPr>
        <w:spacing w:after="240" w:line="360" w:lineRule="auto"/>
        <w:ind w:left="1418" w:right="567"/>
        <w:jc w:val="both"/>
        <w:rPr>
          <w:rFonts w:ascii="Palatino Linotype" w:hAnsi="Palatino Linotype"/>
          <w:b/>
          <w:bCs/>
          <w:color w:val="000000"/>
        </w:rPr>
      </w:pPr>
      <w:r w:rsidRPr="009F3119">
        <w:rPr>
          <w:rFonts w:ascii="Palatino Linotype" w:hAnsi="Palatino Linotype"/>
          <w:b/>
          <w:bCs/>
          <w:color w:val="000000"/>
        </w:rPr>
        <w:t>Integrantes del Cabildo;</w:t>
      </w:r>
    </w:p>
    <w:p w14:paraId="09F96E77" w14:textId="77E41848" w:rsidR="0072509D" w:rsidRPr="009F3119" w:rsidRDefault="0072509D" w:rsidP="0072509D">
      <w:pPr>
        <w:pStyle w:val="Prrafodelista"/>
        <w:numPr>
          <w:ilvl w:val="1"/>
          <w:numId w:val="2"/>
        </w:numPr>
        <w:spacing w:after="240" w:line="360" w:lineRule="auto"/>
        <w:ind w:left="1418" w:right="567"/>
        <w:jc w:val="both"/>
        <w:rPr>
          <w:rFonts w:ascii="Palatino Linotype" w:hAnsi="Palatino Linotype"/>
          <w:b/>
          <w:bCs/>
          <w:color w:val="000000"/>
        </w:rPr>
      </w:pPr>
      <w:r w:rsidRPr="009F3119">
        <w:rPr>
          <w:rFonts w:ascii="Palatino Linotype" w:hAnsi="Palatino Linotype"/>
          <w:b/>
          <w:bCs/>
          <w:color w:val="000000"/>
        </w:rPr>
        <w:t>Trabajadores de las diversas Direcciones que integran la administración pública municipal; y</w:t>
      </w:r>
    </w:p>
    <w:p w14:paraId="04848A4E" w14:textId="47EBAAF9" w:rsidR="0072509D" w:rsidRPr="009F3119" w:rsidRDefault="0072509D" w:rsidP="0072509D">
      <w:pPr>
        <w:pStyle w:val="Prrafodelista"/>
        <w:numPr>
          <w:ilvl w:val="1"/>
          <w:numId w:val="2"/>
        </w:numPr>
        <w:spacing w:after="240" w:line="360" w:lineRule="auto"/>
        <w:ind w:left="1418" w:right="567"/>
        <w:jc w:val="both"/>
        <w:rPr>
          <w:rFonts w:ascii="Palatino Linotype" w:hAnsi="Palatino Linotype"/>
          <w:b/>
          <w:bCs/>
          <w:color w:val="000000"/>
        </w:rPr>
      </w:pPr>
      <w:r w:rsidRPr="009F3119">
        <w:rPr>
          <w:rFonts w:ascii="Palatino Linotype" w:hAnsi="Palatino Linotype"/>
          <w:b/>
          <w:bCs/>
          <w:color w:val="000000"/>
        </w:rPr>
        <w:t>Directores del Sistema Municipal para el Desarrollo Integral de la Familia de Melchor Ocampo</w:t>
      </w:r>
      <w:r w:rsidR="00F766C2" w:rsidRPr="009F3119">
        <w:rPr>
          <w:rFonts w:ascii="Palatino Linotype" w:hAnsi="Palatino Linotype"/>
          <w:b/>
          <w:bCs/>
          <w:color w:val="000000"/>
        </w:rPr>
        <w:t>.</w:t>
      </w:r>
    </w:p>
    <w:p w14:paraId="3AC5FA66" w14:textId="77777777" w:rsidR="004D54E4" w:rsidRPr="009F3119" w:rsidRDefault="004D54E4" w:rsidP="004D54E4">
      <w:pPr>
        <w:tabs>
          <w:tab w:val="left" w:pos="993"/>
        </w:tabs>
        <w:spacing w:line="360" w:lineRule="auto"/>
        <w:jc w:val="both"/>
        <w:rPr>
          <w:rFonts w:ascii="Palatino Linotype" w:eastAsia="Calibri" w:hAnsi="Palatino Linotype" w:cs="Arial"/>
        </w:rPr>
      </w:pPr>
      <w:r w:rsidRPr="009F3119">
        <w:rPr>
          <w:rFonts w:ascii="Palatino Linotype" w:hAnsi="Palatino Linotype"/>
          <w:color w:val="000000"/>
        </w:rPr>
        <w:t xml:space="preserve">Para </w:t>
      </w:r>
      <w:r w:rsidRPr="009F3119">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9F3119">
        <w:rPr>
          <w:rFonts w:ascii="Palatino Linotype" w:eastAsia="Calibri" w:hAnsi="Palatino Linotype" w:cs="Arial"/>
        </w:rPr>
        <w:lastRenderedPageBreak/>
        <w:t xml:space="preserve">dentro del soporte documental respectivo objeto de las versiones públicas que se formulen y se ponga a disposición del </w:t>
      </w:r>
      <w:r w:rsidRPr="009F3119">
        <w:rPr>
          <w:rFonts w:ascii="Palatino Linotype" w:eastAsia="Calibri" w:hAnsi="Palatino Linotype" w:cs="Arial"/>
          <w:b/>
        </w:rPr>
        <w:t>RECURRENTE</w:t>
      </w:r>
      <w:r w:rsidRPr="009F3119">
        <w:rPr>
          <w:rFonts w:ascii="Palatino Linotype" w:eastAsia="Calibri" w:hAnsi="Palatino Linotype" w:cs="Arial"/>
        </w:rPr>
        <w:t>.</w:t>
      </w:r>
    </w:p>
    <w:p w14:paraId="42CFD909" w14:textId="77777777" w:rsidR="004D54E4" w:rsidRPr="009F3119" w:rsidRDefault="004D54E4" w:rsidP="00743CAC">
      <w:pPr>
        <w:tabs>
          <w:tab w:val="left" w:pos="993"/>
        </w:tabs>
        <w:spacing w:line="360" w:lineRule="auto"/>
        <w:jc w:val="both"/>
        <w:rPr>
          <w:rFonts w:ascii="Palatino Linotype" w:hAnsi="Palatino Linotype"/>
          <w:color w:val="000000"/>
        </w:rPr>
      </w:pPr>
    </w:p>
    <w:p w14:paraId="22EACC04" w14:textId="3801BF54" w:rsidR="00743CAC" w:rsidRPr="009F3119" w:rsidRDefault="00743CAC" w:rsidP="00743CAC">
      <w:pPr>
        <w:spacing w:line="360" w:lineRule="auto"/>
        <w:jc w:val="both"/>
        <w:rPr>
          <w:rFonts w:ascii="Palatino Linotype" w:eastAsia="MS Mincho" w:hAnsi="Palatino Linotype" w:cs="Times New Roman"/>
          <w:color w:val="000000"/>
        </w:rPr>
      </w:pPr>
      <w:r w:rsidRPr="009F3119">
        <w:rPr>
          <w:rFonts w:ascii="Palatino Linotype" w:eastAsia="MS Mincho" w:hAnsi="Palatino Linotype" w:cs="Times New Roman"/>
          <w:b/>
          <w:color w:val="000000"/>
          <w:sz w:val="28"/>
          <w:szCs w:val="28"/>
        </w:rPr>
        <w:t>TERCERO</w:t>
      </w:r>
      <w:r w:rsidRPr="009F3119">
        <w:rPr>
          <w:rFonts w:ascii="Palatino Linotype" w:eastAsia="MS Mincho" w:hAnsi="Palatino Linotype" w:cs="Times New Roman"/>
          <w:b/>
          <w:color w:val="000000"/>
        </w:rPr>
        <w:t>.</w:t>
      </w:r>
      <w:r w:rsidRPr="009F3119">
        <w:rPr>
          <w:rFonts w:ascii="Palatino Linotype" w:eastAsia="MS Mincho" w:hAnsi="Palatino Linotype" w:cs="Times New Roman"/>
          <w:color w:val="000000"/>
        </w:rPr>
        <w:t xml:space="preserve"> Notifíquese a</w:t>
      </w:r>
      <w:r w:rsidR="00C603F1" w:rsidRPr="009F3119">
        <w:rPr>
          <w:rFonts w:ascii="Palatino Linotype" w:eastAsia="MS Mincho" w:hAnsi="Palatino Linotype" w:cs="Times New Roman"/>
          <w:color w:val="000000"/>
        </w:rPr>
        <w:t>l</w:t>
      </w:r>
      <w:r w:rsidRPr="009F3119">
        <w:rPr>
          <w:rFonts w:ascii="Palatino Linotype" w:eastAsia="MS Mincho" w:hAnsi="Palatino Linotype" w:cs="Times New Roman"/>
          <w:color w:val="000000"/>
        </w:rPr>
        <w:t xml:space="preserve"> Titular de la Unidad de Transparencia del</w:t>
      </w:r>
      <w:r w:rsidRPr="009F3119">
        <w:rPr>
          <w:rFonts w:ascii="Palatino Linotype" w:eastAsia="MS Mincho" w:hAnsi="Palatino Linotype" w:cs="Times New Roman"/>
          <w:b/>
          <w:color w:val="000000"/>
        </w:rPr>
        <w:t xml:space="preserve"> SUJETO OBLIGADO</w:t>
      </w:r>
      <w:r w:rsidRPr="009F3119">
        <w:rPr>
          <w:rFonts w:ascii="Palatino Linotype" w:eastAsia="MS Mincho" w:hAnsi="Palatino Linotype" w:cs="Times New Roman"/>
          <w:color w:val="000000"/>
        </w:rPr>
        <w:t>, vía Sistema de Acceso a la Información Mexiquense (SAIMEX), para que conforme a los artículos 186</w:t>
      </w:r>
      <w:r w:rsidR="007C1605" w:rsidRPr="009F3119">
        <w:rPr>
          <w:rFonts w:ascii="Palatino Linotype" w:eastAsia="MS Mincho" w:hAnsi="Palatino Linotype" w:cs="Times New Roman"/>
          <w:color w:val="000000"/>
        </w:rPr>
        <w:t>,</w:t>
      </w:r>
      <w:r w:rsidRPr="009F3119">
        <w:rPr>
          <w:rFonts w:ascii="Palatino Linotype" w:eastAsia="MS Mincho" w:hAnsi="Palatino Linotype" w:cs="Times New Roman"/>
          <w:color w:val="000000"/>
        </w:rPr>
        <w:t xml:space="preserve"> último párrafo, 189</w:t>
      </w:r>
      <w:r w:rsidR="007C1605" w:rsidRPr="009F3119">
        <w:rPr>
          <w:rFonts w:ascii="Palatino Linotype" w:eastAsia="MS Mincho" w:hAnsi="Palatino Linotype" w:cs="Times New Roman"/>
          <w:color w:val="000000"/>
        </w:rPr>
        <w:t>,</w:t>
      </w:r>
      <w:r w:rsidRPr="009F3119">
        <w:rPr>
          <w:rFonts w:ascii="Palatino Linotype" w:eastAsia="MS Mincho" w:hAnsi="Palatino Linotype" w:cs="Times New Roman"/>
          <w:color w:val="000000"/>
        </w:rPr>
        <w:t xml:space="preserve"> párrafo segundo</w:t>
      </w:r>
      <w:r w:rsidR="007C1605" w:rsidRPr="009F3119">
        <w:rPr>
          <w:rFonts w:ascii="Palatino Linotype" w:eastAsia="MS Mincho" w:hAnsi="Palatino Linotype" w:cs="Times New Roman"/>
          <w:color w:val="000000"/>
        </w:rPr>
        <w:t>,</w:t>
      </w:r>
      <w:r w:rsidRPr="009F3119">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A1876D" w14:textId="77777777" w:rsidR="00743CAC" w:rsidRPr="009F3119"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9F3119" w:rsidRDefault="00743CAC" w:rsidP="00743CAC">
      <w:pPr>
        <w:spacing w:line="360" w:lineRule="auto"/>
        <w:jc w:val="both"/>
        <w:rPr>
          <w:rFonts w:ascii="Palatino Linotype" w:eastAsia="MS Mincho" w:hAnsi="Palatino Linotype" w:cs="Times New Roman"/>
          <w:color w:val="000000"/>
        </w:rPr>
      </w:pPr>
      <w:r w:rsidRPr="009F3119">
        <w:rPr>
          <w:rFonts w:ascii="Palatino Linotype" w:eastAsia="MS Mincho" w:hAnsi="Palatino Linotype" w:cs="Times New Roman"/>
          <w:b/>
          <w:bCs/>
          <w:color w:val="000000"/>
          <w:sz w:val="28"/>
          <w:szCs w:val="28"/>
        </w:rPr>
        <w:t>CUARTO</w:t>
      </w:r>
      <w:r w:rsidRPr="009F3119">
        <w:rPr>
          <w:rFonts w:ascii="Palatino Linotype" w:eastAsia="MS Mincho" w:hAnsi="Palatino Linotype" w:cs="Times New Roman"/>
          <w:b/>
          <w:bCs/>
          <w:color w:val="000000"/>
        </w:rPr>
        <w:t>.</w:t>
      </w:r>
      <w:r w:rsidRPr="009F3119">
        <w:rPr>
          <w:rFonts w:ascii="Palatino Linotype" w:eastAsia="MS Mincho" w:hAnsi="Palatino Linotype" w:cs="Times New Roman"/>
          <w:color w:val="000000"/>
        </w:rPr>
        <w:t xml:space="preserve"> De </w:t>
      </w:r>
      <w:r w:rsidRPr="009F3119">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9F3119">
        <w:rPr>
          <w:rFonts w:ascii="Palatino Linotype" w:eastAsia="MS Mincho" w:hAnsi="Palatino Linotype" w:cs="Times New Roman"/>
          <w:b/>
          <w:color w:val="000000"/>
        </w:rPr>
        <w:t>SUJETO OBLIGADO,</w:t>
      </w:r>
      <w:r w:rsidRPr="009F3119">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9F3119"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9F3119" w:rsidRDefault="00743CAC" w:rsidP="00743CAC">
      <w:pPr>
        <w:spacing w:line="360" w:lineRule="auto"/>
        <w:jc w:val="both"/>
        <w:rPr>
          <w:rFonts w:ascii="Palatino Linotype" w:eastAsia="MS Mincho" w:hAnsi="Palatino Linotype" w:cs="Times New Roman"/>
          <w:color w:val="000000"/>
        </w:rPr>
      </w:pPr>
      <w:r w:rsidRPr="009F3119">
        <w:rPr>
          <w:rFonts w:ascii="Palatino Linotype" w:eastAsia="MS Mincho" w:hAnsi="Palatino Linotype" w:cs="Times New Roman"/>
          <w:b/>
          <w:color w:val="000000"/>
          <w:sz w:val="28"/>
          <w:szCs w:val="28"/>
        </w:rPr>
        <w:t>QUINTO</w:t>
      </w:r>
      <w:r w:rsidRPr="009F3119">
        <w:rPr>
          <w:rFonts w:ascii="Palatino Linotype" w:eastAsia="MS Mincho" w:hAnsi="Palatino Linotype" w:cs="Times New Roman"/>
          <w:b/>
          <w:color w:val="000000"/>
        </w:rPr>
        <w:t xml:space="preserve">. </w:t>
      </w:r>
      <w:r w:rsidRPr="009F3119">
        <w:rPr>
          <w:rFonts w:ascii="Palatino Linotype" w:eastAsia="MS Mincho" w:hAnsi="Palatino Linotype" w:cs="Times New Roman"/>
          <w:color w:val="000000"/>
        </w:rPr>
        <w:t xml:space="preserve">Notifíquese al </w:t>
      </w:r>
      <w:r w:rsidRPr="009F3119">
        <w:rPr>
          <w:rFonts w:ascii="Palatino Linotype" w:eastAsia="MS Mincho" w:hAnsi="Palatino Linotype" w:cs="Times New Roman"/>
          <w:b/>
          <w:bCs/>
          <w:color w:val="000000"/>
        </w:rPr>
        <w:t>RECURRENTE</w:t>
      </w:r>
      <w:r w:rsidRPr="009F3119">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9F3119" w:rsidRDefault="00743CAC" w:rsidP="00743CAC">
      <w:pPr>
        <w:spacing w:line="360" w:lineRule="auto"/>
        <w:jc w:val="both"/>
        <w:rPr>
          <w:rFonts w:ascii="Palatino Linotype" w:hAnsi="Palatino Linotype"/>
          <w:b/>
        </w:rPr>
      </w:pPr>
    </w:p>
    <w:p w14:paraId="2A314043" w14:textId="741DB04E" w:rsidR="00743CAC" w:rsidRPr="009F3119" w:rsidRDefault="00743CAC" w:rsidP="00743CAC">
      <w:pPr>
        <w:spacing w:line="360" w:lineRule="auto"/>
        <w:jc w:val="both"/>
        <w:rPr>
          <w:rFonts w:ascii="Palatino Linotype" w:eastAsia="MS Mincho" w:hAnsi="Palatino Linotype" w:cs="Times New Roman"/>
          <w:color w:val="000000"/>
        </w:rPr>
      </w:pPr>
      <w:r w:rsidRPr="009F3119">
        <w:rPr>
          <w:rFonts w:ascii="Palatino Linotype" w:eastAsia="MS Mincho" w:hAnsi="Palatino Linotype" w:cs="Times New Roman"/>
          <w:b/>
          <w:sz w:val="28"/>
          <w:szCs w:val="28"/>
        </w:rPr>
        <w:t>SEXTO</w:t>
      </w:r>
      <w:r w:rsidRPr="009F3119">
        <w:rPr>
          <w:rFonts w:ascii="Palatino Linotype" w:eastAsia="MS Mincho" w:hAnsi="Palatino Linotype" w:cs="Times New Roman"/>
          <w:b/>
          <w:color w:val="000000"/>
        </w:rPr>
        <w:t xml:space="preserve">. </w:t>
      </w:r>
      <w:r w:rsidRPr="009F3119">
        <w:rPr>
          <w:rFonts w:ascii="Palatino Linotype" w:eastAsia="MS Mincho" w:hAnsi="Palatino Linotype" w:cs="Times New Roman"/>
          <w:color w:val="000000"/>
        </w:rPr>
        <w:t xml:space="preserve">Se </w:t>
      </w:r>
      <w:bookmarkEnd w:id="28"/>
      <w:r w:rsidRPr="009F3119">
        <w:rPr>
          <w:rFonts w:ascii="Palatino Linotype" w:eastAsia="MS Mincho" w:hAnsi="Palatino Linotype" w:cs="Times New Roman"/>
          <w:color w:val="000000" w:themeColor="text1"/>
        </w:rPr>
        <w:t>hace del conocimiento del</w:t>
      </w:r>
      <w:r w:rsidRPr="009F3119">
        <w:rPr>
          <w:rFonts w:ascii="Palatino Linotype" w:eastAsia="MS Mincho" w:hAnsi="Palatino Linotype" w:cs="Times New Roman"/>
          <w:b/>
          <w:color w:val="000000" w:themeColor="text1"/>
        </w:rPr>
        <w:t xml:space="preserve"> RECURRENTE </w:t>
      </w:r>
      <w:r w:rsidRPr="009F3119">
        <w:rPr>
          <w:rFonts w:ascii="Palatino Linotype" w:eastAsia="MS Mincho" w:hAnsi="Palatino Linotype" w:cs="Times New Roman"/>
          <w:color w:val="000000" w:themeColor="text1"/>
        </w:rPr>
        <w:t xml:space="preserve">que, </w:t>
      </w:r>
      <w:r w:rsidR="00F75114" w:rsidRPr="009F3119">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9F3119">
        <w:rPr>
          <w:rFonts w:ascii="Palatino Linotype" w:eastAsia="MS Mincho" w:hAnsi="Palatino Linotype" w:cs="Times New Roman"/>
          <w:bCs/>
          <w:color w:val="000000"/>
          <w:lang w:val="es-ES"/>
        </w:rPr>
        <w:t>vía juicio de amparo</w:t>
      </w:r>
      <w:r w:rsidR="00F75114" w:rsidRPr="009F3119">
        <w:rPr>
          <w:rFonts w:ascii="Palatino Linotype" w:eastAsia="MS Mincho" w:hAnsi="Palatino Linotype" w:cs="Times New Roman"/>
          <w:color w:val="000000"/>
          <w:lang w:val="es-ES"/>
        </w:rPr>
        <w:t xml:space="preserve"> en los términos de las leyes aplicables</w:t>
      </w:r>
      <w:r w:rsidR="00C603F1" w:rsidRPr="009F3119">
        <w:rPr>
          <w:rFonts w:ascii="Palatino Linotype" w:eastAsia="MS Mincho" w:hAnsi="Palatino Linotype"/>
          <w:color w:val="000000" w:themeColor="text1"/>
        </w:rPr>
        <w:t>.</w:t>
      </w:r>
    </w:p>
    <w:p w14:paraId="09657168" w14:textId="3ADB568B" w:rsidR="009F3119" w:rsidRDefault="009F3119" w:rsidP="009F3119">
      <w:pPr>
        <w:spacing w:before="240" w:after="240" w:line="360" w:lineRule="auto"/>
        <w:jc w:val="both"/>
        <w:rPr>
          <w:rFonts w:ascii="Palatino Linotype" w:hAnsi="Palatino Linotype"/>
        </w:rPr>
      </w:pPr>
      <w:r w:rsidRPr="009F3119">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w:t>
      </w:r>
      <w:r w:rsidR="00FC66EF">
        <w:rPr>
          <w:rFonts w:ascii="Palatino Linotype" w:hAnsi="Palatino Linotype"/>
        </w:rPr>
        <w:t xml:space="preserve"> EMITIENDO VOTO PARTICULAR</w:t>
      </w:r>
      <w:r w:rsidRPr="009F3119">
        <w:rPr>
          <w:rFonts w:ascii="Palatino Linotype" w:hAnsi="Palatino Linotype"/>
        </w:rPr>
        <w:t>; MARÍA DEL ROSARIO MEJÍA AYALA; SHARON CRISTINA MORALES MARTÍNEZ (AUSENCIA JUSTIFICADA); LUIS GUSTAVO PARRA NORIEGA</w:t>
      </w:r>
      <w:r w:rsidR="00FC66EF">
        <w:rPr>
          <w:rFonts w:ascii="Palatino Linotype" w:hAnsi="Palatino Linotype"/>
        </w:rPr>
        <w:t xml:space="preserve"> EMITIENDO VOTO PARTICULAR</w:t>
      </w:r>
      <w:r w:rsidRPr="009F3119">
        <w:rPr>
          <w:rFonts w:ascii="Palatino Linotype" w:hAnsi="Palatino Linotype"/>
        </w:rPr>
        <w:t xml:space="preserve"> Y GUADALUPE RAMÍREZ PEÑA EN LA VIGÉSIMA QUINTA SESIÓN ORDINARIA CELEBRADA EL SEIS (06) DE JULIO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15"/>
      <w:footerReference w:type="default" r:id="rId16"/>
      <w:headerReference w:type="first" r:id="rId17"/>
      <w:footerReference w:type="first" r:id="rId18"/>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975D" w14:textId="77777777" w:rsidR="008B492D" w:rsidRDefault="008B492D" w:rsidP="00587366">
      <w:r>
        <w:separator/>
      </w:r>
    </w:p>
  </w:endnote>
  <w:endnote w:type="continuationSeparator" w:id="0">
    <w:p w14:paraId="7381F1E6" w14:textId="77777777" w:rsidR="008B492D" w:rsidRDefault="008B492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5795E" w:rsidRPr="00883450" w:rsidRDefault="0085795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3B37">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3B37">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5CEA854E" w:rsidR="0085795E" w:rsidRDefault="0085795E">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85795E" w:rsidRPr="00883450" w:rsidRDefault="008579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3B37" w:rsidRPr="00C63B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3B37" w:rsidRPr="00C63B37">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5CB527B9" w:rsidR="0085795E" w:rsidRPr="00883450" w:rsidRDefault="008579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3FEC7" w14:textId="77777777" w:rsidR="008B492D" w:rsidRDefault="008B492D" w:rsidP="00587366">
      <w:r>
        <w:separator/>
      </w:r>
    </w:p>
  </w:footnote>
  <w:footnote w:type="continuationSeparator" w:id="0">
    <w:p w14:paraId="51E07B02" w14:textId="77777777" w:rsidR="008B492D" w:rsidRDefault="008B492D" w:rsidP="00587366">
      <w:r>
        <w:continuationSeparator/>
      </w:r>
    </w:p>
  </w:footnote>
  <w:footnote w:id="1">
    <w:p w14:paraId="7CFF1D76" w14:textId="77777777" w:rsidR="0085795E" w:rsidRPr="009C43C2" w:rsidRDefault="0085795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621A220A" w14:textId="77777777" w:rsidR="0085795E" w:rsidRPr="009C43C2" w:rsidRDefault="0085795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1F98C24F" w14:textId="77777777" w:rsidR="0085795E" w:rsidRPr="009C43C2" w:rsidRDefault="0085795E"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2632106" w14:textId="77777777" w:rsidR="0085795E" w:rsidRDefault="0085795E"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28994546" w14:textId="77777777" w:rsidR="0085795E" w:rsidRDefault="0085795E" w:rsidP="000435A5">
      <w:pPr>
        <w:pStyle w:val="Textonotapie"/>
      </w:pPr>
      <w:r>
        <w:rPr>
          <w:rStyle w:val="Refdenotaalpie"/>
        </w:rPr>
        <w:footnoteRef/>
      </w:r>
      <w:r>
        <w:t xml:space="preserve"> Artículo 50, Ley de Transparencia y Acceso a la Información Pública del Estado de México y Municipios.</w:t>
      </w:r>
    </w:p>
  </w:footnote>
  <w:footnote w:id="6">
    <w:p w14:paraId="1B035E02" w14:textId="77777777" w:rsidR="0085795E" w:rsidRDefault="0085795E" w:rsidP="000435A5">
      <w:pPr>
        <w:pStyle w:val="Textonotapie"/>
      </w:pPr>
      <w:r>
        <w:rPr>
          <w:rStyle w:val="Refdenotaalpie"/>
        </w:rPr>
        <w:footnoteRef/>
      </w:r>
      <w:r>
        <w:t xml:space="preserve"> Artículo 51, Ídem.</w:t>
      </w:r>
    </w:p>
  </w:footnote>
  <w:footnote w:id="7">
    <w:p w14:paraId="00E1D60E" w14:textId="77777777" w:rsidR="0085795E" w:rsidRDefault="0085795E" w:rsidP="000435A5">
      <w:pPr>
        <w:pStyle w:val="Textonotapie"/>
      </w:pPr>
      <w:r>
        <w:rPr>
          <w:rStyle w:val="Refdenotaalpie"/>
        </w:rPr>
        <w:footnoteRef/>
      </w:r>
      <w:r>
        <w:t xml:space="preserve"> Artículo 58, Ley de Transparencia y Acceso a la Información Pública del Estado de México y Municipios.</w:t>
      </w:r>
    </w:p>
  </w:footnote>
  <w:footnote w:id="8">
    <w:p w14:paraId="72DD9799" w14:textId="77777777" w:rsidR="0085795E" w:rsidRDefault="0085795E" w:rsidP="000435A5">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85795E" w:rsidRPr="00025127" w14:paraId="61F907E2" w14:textId="77777777" w:rsidTr="00DB795F">
      <w:trPr>
        <w:trHeight w:val="138"/>
        <w:jc w:val="right"/>
      </w:trPr>
      <w:tc>
        <w:tcPr>
          <w:tcW w:w="3686" w:type="dxa"/>
          <w:vAlign w:val="center"/>
        </w:tcPr>
        <w:p w14:paraId="541E7979" w14:textId="77777777" w:rsidR="0085795E" w:rsidRPr="00025127" w:rsidRDefault="0085795E" w:rsidP="005F1362">
          <w:pPr>
            <w:ind w:right="34"/>
            <w:jc w:val="right"/>
            <w:rPr>
              <w:rFonts w:ascii="Palatino Linotype" w:hAnsi="Palatino Linotype"/>
              <w:b/>
              <w:sz w:val="22"/>
              <w:szCs w:val="22"/>
            </w:rPr>
          </w:pPr>
        </w:p>
      </w:tc>
      <w:tc>
        <w:tcPr>
          <w:tcW w:w="3553" w:type="dxa"/>
          <w:vAlign w:val="center"/>
        </w:tcPr>
        <w:p w14:paraId="3026F7B1" w14:textId="77777777" w:rsidR="0085795E" w:rsidRDefault="0085795E" w:rsidP="00F25B61">
          <w:pPr>
            <w:pStyle w:val="Encabezado"/>
            <w:jc w:val="both"/>
            <w:rPr>
              <w:rFonts w:ascii="Palatino Linotype" w:hAnsi="Palatino Linotype"/>
              <w:b/>
              <w:sz w:val="22"/>
              <w:szCs w:val="22"/>
            </w:rPr>
          </w:pPr>
        </w:p>
      </w:tc>
    </w:tr>
    <w:tr w:rsidR="0085795E" w:rsidRPr="00025127" w14:paraId="07F2896E" w14:textId="77777777" w:rsidTr="00DB795F">
      <w:trPr>
        <w:trHeight w:val="138"/>
        <w:jc w:val="right"/>
      </w:trPr>
      <w:tc>
        <w:tcPr>
          <w:tcW w:w="3686" w:type="dxa"/>
          <w:vAlign w:val="center"/>
        </w:tcPr>
        <w:p w14:paraId="4A5B1974" w14:textId="172F35BB" w:rsidR="0085795E" w:rsidRPr="00025127" w:rsidRDefault="0085795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738915EC" w:rsidR="0085795E" w:rsidRPr="00025127" w:rsidRDefault="0085795E" w:rsidP="00F25B61">
          <w:pPr>
            <w:pStyle w:val="Encabezado"/>
            <w:jc w:val="both"/>
            <w:rPr>
              <w:rFonts w:ascii="Palatino Linotype" w:hAnsi="Palatino Linotype"/>
              <w:b/>
              <w:sz w:val="22"/>
              <w:szCs w:val="22"/>
            </w:rPr>
          </w:pPr>
          <w:r>
            <w:rPr>
              <w:rFonts w:ascii="Palatino Linotype" w:hAnsi="Palatino Linotype"/>
              <w:b/>
              <w:sz w:val="22"/>
              <w:szCs w:val="22"/>
            </w:rPr>
            <w:t>07003</w:t>
          </w:r>
          <w:r w:rsidRPr="00025127">
            <w:rPr>
              <w:rFonts w:ascii="Palatino Linotype" w:hAnsi="Palatino Linotype"/>
              <w:b/>
              <w:sz w:val="22"/>
              <w:szCs w:val="22"/>
            </w:rPr>
            <w:t>/INFOEM/IP/RR/</w:t>
          </w:r>
          <w:r>
            <w:rPr>
              <w:rFonts w:ascii="Palatino Linotype" w:hAnsi="Palatino Linotype"/>
              <w:b/>
              <w:sz w:val="22"/>
              <w:szCs w:val="22"/>
            </w:rPr>
            <w:t>2022</w:t>
          </w:r>
        </w:p>
      </w:tc>
    </w:tr>
    <w:tr w:rsidR="0085795E" w:rsidRPr="00025127" w14:paraId="1B5D8690" w14:textId="77777777" w:rsidTr="00DB795F">
      <w:trPr>
        <w:trHeight w:val="233"/>
        <w:jc w:val="right"/>
      </w:trPr>
      <w:tc>
        <w:tcPr>
          <w:tcW w:w="3686" w:type="dxa"/>
          <w:vAlign w:val="center"/>
        </w:tcPr>
        <w:p w14:paraId="3903F2C6" w14:textId="22D569F8" w:rsidR="0085795E" w:rsidRPr="00025127" w:rsidRDefault="0085795E" w:rsidP="00DB795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7277E39B" w:rsidR="0085795E" w:rsidRPr="00025127" w:rsidRDefault="0085795E" w:rsidP="0085795E">
          <w:pPr>
            <w:pStyle w:val="Encabezado"/>
            <w:rPr>
              <w:rFonts w:ascii="Palatino Linotype" w:hAnsi="Palatino Linotype"/>
              <w:b/>
              <w:sz w:val="22"/>
              <w:szCs w:val="22"/>
            </w:rPr>
          </w:pPr>
          <w:r>
            <w:rPr>
              <w:rFonts w:ascii="Palatino Linotype" w:hAnsi="Palatino Linotype"/>
              <w:b/>
              <w:bCs/>
              <w:color w:val="000000"/>
              <w:sz w:val="22"/>
              <w:szCs w:val="22"/>
            </w:rPr>
            <w:t>Ayuntamiento de Melchor Ocampo</w:t>
          </w:r>
        </w:p>
      </w:tc>
    </w:tr>
    <w:tr w:rsidR="0085795E" w:rsidRPr="00025127" w14:paraId="095EB01B" w14:textId="77777777" w:rsidTr="00DB795F">
      <w:trPr>
        <w:trHeight w:val="321"/>
        <w:jc w:val="right"/>
      </w:trPr>
      <w:tc>
        <w:tcPr>
          <w:tcW w:w="3686" w:type="dxa"/>
          <w:vAlign w:val="center"/>
        </w:tcPr>
        <w:p w14:paraId="6E000A51" w14:textId="05E1861A" w:rsidR="0085795E" w:rsidRPr="00025127" w:rsidRDefault="0085795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85795E" w:rsidRPr="00025127" w:rsidRDefault="0085795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85795E" w:rsidRDefault="0085795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85795E" w:rsidRPr="00025127" w14:paraId="0A3256F2" w14:textId="77777777" w:rsidTr="00DB795F">
      <w:trPr>
        <w:trHeight w:val="138"/>
        <w:jc w:val="right"/>
      </w:trPr>
      <w:tc>
        <w:tcPr>
          <w:tcW w:w="3686" w:type="dxa"/>
          <w:vAlign w:val="center"/>
        </w:tcPr>
        <w:p w14:paraId="3D80769D" w14:textId="44A35B8D" w:rsidR="0085795E" w:rsidRPr="00025127" w:rsidRDefault="0085795E"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1E601EB1" w:rsidR="0085795E" w:rsidRPr="00025127" w:rsidRDefault="0085795E" w:rsidP="00F25B61">
          <w:pPr>
            <w:pStyle w:val="Encabezado"/>
            <w:rPr>
              <w:rFonts w:ascii="Palatino Linotype" w:hAnsi="Palatino Linotype"/>
              <w:b/>
              <w:sz w:val="22"/>
              <w:szCs w:val="22"/>
            </w:rPr>
          </w:pPr>
          <w:r>
            <w:rPr>
              <w:rFonts w:ascii="Palatino Linotype" w:hAnsi="Palatino Linotype"/>
              <w:b/>
              <w:sz w:val="22"/>
              <w:szCs w:val="22"/>
            </w:rPr>
            <w:t>07003</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85795E" w:rsidRPr="00025127" w14:paraId="128C8B3C" w14:textId="77777777" w:rsidTr="00DB795F">
      <w:trPr>
        <w:trHeight w:val="233"/>
        <w:jc w:val="right"/>
      </w:trPr>
      <w:tc>
        <w:tcPr>
          <w:tcW w:w="3686" w:type="dxa"/>
          <w:vAlign w:val="center"/>
        </w:tcPr>
        <w:p w14:paraId="483E3371" w14:textId="66B1BC74" w:rsidR="0085795E" w:rsidRPr="00025127" w:rsidRDefault="0085795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4AF81B46" w:rsidR="0085795E" w:rsidRPr="00025127" w:rsidRDefault="00C63B37"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XXXX</w:t>
          </w:r>
        </w:p>
      </w:tc>
    </w:tr>
    <w:tr w:rsidR="0085795E" w:rsidRPr="00025127" w14:paraId="41BE0704" w14:textId="77777777" w:rsidTr="00DB795F">
      <w:trPr>
        <w:trHeight w:val="321"/>
        <w:jc w:val="right"/>
      </w:trPr>
      <w:tc>
        <w:tcPr>
          <w:tcW w:w="3686" w:type="dxa"/>
          <w:vAlign w:val="center"/>
        </w:tcPr>
        <w:p w14:paraId="34C64148" w14:textId="10C6C8A9" w:rsidR="0085795E" w:rsidRPr="00025127" w:rsidRDefault="0085795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333131A2" w:rsidR="0085795E" w:rsidRPr="00025127" w:rsidRDefault="0085795E" w:rsidP="0085795E">
          <w:pPr>
            <w:pStyle w:val="Encabezado"/>
            <w:rPr>
              <w:rFonts w:ascii="Palatino Linotype" w:hAnsi="Palatino Linotype"/>
              <w:b/>
              <w:sz w:val="22"/>
              <w:szCs w:val="22"/>
            </w:rPr>
          </w:pPr>
          <w:r>
            <w:rPr>
              <w:rFonts w:ascii="Palatino Linotype" w:hAnsi="Palatino Linotype"/>
              <w:b/>
              <w:bCs/>
              <w:color w:val="000000"/>
              <w:sz w:val="22"/>
              <w:szCs w:val="22"/>
            </w:rPr>
            <w:t>Ayuntamiento de Melchor Ocampo</w:t>
          </w:r>
        </w:p>
      </w:tc>
    </w:tr>
    <w:tr w:rsidR="0085795E" w:rsidRPr="00025127" w14:paraId="0C8B6193" w14:textId="77777777" w:rsidTr="00DB795F">
      <w:trPr>
        <w:trHeight w:val="645"/>
        <w:jc w:val="right"/>
      </w:trPr>
      <w:tc>
        <w:tcPr>
          <w:tcW w:w="3686" w:type="dxa"/>
          <w:vAlign w:val="center"/>
        </w:tcPr>
        <w:p w14:paraId="321FFAFF" w14:textId="0E8C2CE7" w:rsidR="0085795E" w:rsidRPr="00025127" w:rsidRDefault="0085795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9" w:type="dxa"/>
          <w:vAlign w:val="center"/>
        </w:tcPr>
        <w:p w14:paraId="0FECDA9D" w14:textId="6D336FD0" w:rsidR="0085795E" w:rsidRPr="00025127" w:rsidRDefault="0085795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71BC392E" w:rsidR="0085795E" w:rsidRDefault="008B492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3pt;margin-top:-125.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E7551C"/>
    <w:multiLevelType w:val="hybridMultilevel"/>
    <w:tmpl w:val="CD6AD4D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CE244C"/>
    <w:multiLevelType w:val="hybridMultilevel"/>
    <w:tmpl w:val="771E1B5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FCF01DE"/>
    <w:multiLevelType w:val="hybridMultilevel"/>
    <w:tmpl w:val="D9A077F0"/>
    <w:lvl w:ilvl="0" w:tplc="FFFFFFFF">
      <w:start w:val="1"/>
      <w:numFmt w:val="upperRoman"/>
      <w:lvlText w:val="%1."/>
      <w:lvlJc w:val="right"/>
      <w:pPr>
        <w:ind w:left="1287" w:hanging="360"/>
      </w:pPr>
      <w:rPr>
        <w:b/>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786E54"/>
    <w:multiLevelType w:val="hybridMultilevel"/>
    <w:tmpl w:val="D7E04CA4"/>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281CAF"/>
    <w:multiLevelType w:val="hybridMultilevel"/>
    <w:tmpl w:val="D6B22240"/>
    <w:lvl w:ilvl="0" w:tplc="FFFFFFFF">
      <w:start w:val="1"/>
      <w:numFmt w:val="decimal"/>
      <w:lvlText w:val="%1."/>
      <w:lvlJc w:val="left"/>
      <w:pPr>
        <w:ind w:left="0" w:firstLine="0"/>
      </w:pPr>
      <w:rPr>
        <w:rFonts w:ascii="Palatino Linotype" w:hAnsi="Palatino Linotype" w:hint="default"/>
        <w:b/>
        <w:i w:val="0"/>
        <w:sz w:val="24"/>
      </w:rPr>
    </w:lvl>
    <w:lvl w:ilvl="1" w:tplc="72D006AC">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B0271D"/>
    <w:multiLevelType w:val="hybridMultilevel"/>
    <w:tmpl w:val="99B2C5F2"/>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50534C"/>
    <w:multiLevelType w:val="hybridMultilevel"/>
    <w:tmpl w:val="D9A077F0"/>
    <w:lvl w:ilvl="0" w:tplc="BFD6F600">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564C5D2A"/>
    <w:multiLevelType w:val="hybridMultilevel"/>
    <w:tmpl w:val="0A386B4A"/>
    <w:lvl w:ilvl="0" w:tplc="505ADDF2">
      <w:start w:val="1"/>
      <w:numFmt w:val="upperRoman"/>
      <w:lvlText w:val="%1."/>
      <w:lvlJc w:val="right"/>
      <w:pPr>
        <w:ind w:left="1287" w:hanging="360"/>
      </w:pPr>
      <w:rPr>
        <w:b/>
      </w:rPr>
    </w:lvl>
    <w:lvl w:ilvl="1" w:tplc="937A55F2">
      <w:start w:val="1"/>
      <w:numFmt w:val="lowerLetter"/>
      <w:lvlText w:val="%2)"/>
      <w:lvlJc w:val="left"/>
      <w:pPr>
        <w:ind w:left="2007" w:hanging="360"/>
      </w:pPr>
      <w:rPr>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964894"/>
    <w:multiLevelType w:val="hybridMultilevel"/>
    <w:tmpl w:val="362E072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947CAD"/>
    <w:multiLevelType w:val="hybridMultilevel"/>
    <w:tmpl w:val="BECC0E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B97AD4"/>
    <w:multiLevelType w:val="hybridMultilevel"/>
    <w:tmpl w:val="9A9A8CD0"/>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287"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B835BBB"/>
    <w:multiLevelType w:val="hybridMultilevel"/>
    <w:tmpl w:val="C06ECB4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C0538D1"/>
    <w:multiLevelType w:val="hybridMultilevel"/>
    <w:tmpl w:val="DA127F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E7718F6"/>
    <w:multiLevelType w:val="hybridMultilevel"/>
    <w:tmpl w:val="4448FA8C"/>
    <w:lvl w:ilvl="0" w:tplc="FFFFFFFF">
      <w:start w:val="1"/>
      <w:numFmt w:val="decimal"/>
      <w:lvlText w:val="%1."/>
      <w:lvlJc w:val="left"/>
      <w:pPr>
        <w:ind w:left="0" w:firstLine="0"/>
      </w:pPr>
      <w:rPr>
        <w:rFonts w:ascii="Palatino Linotype" w:hAnsi="Palatino Linotype" w:hint="default"/>
        <w:b/>
        <w:i w:val="0"/>
        <w:sz w:val="24"/>
      </w:rPr>
    </w:lvl>
    <w:lvl w:ilvl="1" w:tplc="5B66C546">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2087BD7"/>
    <w:multiLevelType w:val="hybridMultilevel"/>
    <w:tmpl w:val="91C81B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3204EE"/>
    <w:multiLevelType w:val="hybridMultilevel"/>
    <w:tmpl w:val="274E2210"/>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1A1B24"/>
    <w:multiLevelType w:val="hybridMultilevel"/>
    <w:tmpl w:val="BA68DC1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EEE49BA"/>
    <w:multiLevelType w:val="hybridMultilevel"/>
    <w:tmpl w:val="75A6E5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BE70CE"/>
    <w:multiLevelType w:val="hybridMultilevel"/>
    <w:tmpl w:val="88D6E418"/>
    <w:lvl w:ilvl="0" w:tplc="FFFFFFFF">
      <w:start w:val="1"/>
      <w:numFmt w:val="decimal"/>
      <w:lvlText w:val="%1."/>
      <w:lvlJc w:val="left"/>
      <w:pPr>
        <w:ind w:left="0" w:firstLine="0"/>
      </w:pPr>
      <w:rPr>
        <w:rFonts w:ascii="Palatino Linotype" w:hAnsi="Palatino Linotype" w:hint="default"/>
        <w:b/>
        <w:i w:val="0"/>
        <w:sz w:val="24"/>
      </w:rPr>
    </w:lvl>
    <w:lvl w:ilvl="1" w:tplc="1C6E24AE">
      <w:start w:val="1"/>
      <w:numFmt w:val="upperRoman"/>
      <w:lvlText w:val="%2."/>
      <w:lvlJc w:val="right"/>
      <w:pPr>
        <w:ind w:left="72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15"/>
  </w:num>
  <w:num w:numId="3">
    <w:abstractNumId w:val="0"/>
  </w:num>
  <w:num w:numId="4">
    <w:abstractNumId w:val="17"/>
  </w:num>
  <w:num w:numId="5">
    <w:abstractNumId w:val="22"/>
  </w:num>
  <w:num w:numId="6">
    <w:abstractNumId w:val="7"/>
  </w:num>
  <w:num w:numId="7">
    <w:abstractNumId w:val="13"/>
  </w:num>
  <w:num w:numId="8">
    <w:abstractNumId w:val="28"/>
  </w:num>
  <w:num w:numId="9">
    <w:abstractNumId w:val="38"/>
  </w:num>
  <w:num w:numId="10">
    <w:abstractNumId w:val="11"/>
  </w:num>
  <w:num w:numId="11">
    <w:abstractNumId w:val="2"/>
  </w:num>
  <w:num w:numId="12">
    <w:abstractNumId w:val="36"/>
  </w:num>
  <w:num w:numId="13">
    <w:abstractNumId w:val="18"/>
  </w:num>
  <w:num w:numId="14">
    <w:abstractNumId w:val="25"/>
  </w:num>
  <w:num w:numId="15">
    <w:abstractNumId w:val="21"/>
  </w:num>
  <w:num w:numId="16">
    <w:abstractNumId w:val="24"/>
  </w:num>
  <w:num w:numId="17">
    <w:abstractNumId w:val="4"/>
  </w:num>
  <w:num w:numId="18">
    <w:abstractNumId w:val="12"/>
  </w:num>
  <w:num w:numId="19">
    <w:abstractNumId w:val="10"/>
  </w:num>
  <w:num w:numId="20">
    <w:abstractNumId w:val="9"/>
  </w:num>
  <w:num w:numId="21">
    <w:abstractNumId w:val="39"/>
  </w:num>
  <w:num w:numId="22">
    <w:abstractNumId w:val="35"/>
  </w:num>
  <w:num w:numId="23">
    <w:abstractNumId w:val="26"/>
  </w:num>
  <w:num w:numId="24">
    <w:abstractNumId w:val="30"/>
  </w:num>
  <w:num w:numId="25">
    <w:abstractNumId w:val="3"/>
  </w:num>
  <w:num w:numId="26">
    <w:abstractNumId w:val="20"/>
  </w:num>
  <w:num w:numId="27">
    <w:abstractNumId w:val="19"/>
  </w:num>
  <w:num w:numId="28">
    <w:abstractNumId w:val="23"/>
  </w:num>
  <w:num w:numId="29">
    <w:abstractNumId w:val="37"/>
  </w:num>
  <w:num w:numId="30">
    <w:abstractNumId w:val="29"/>
  </w:num>
  <w:num w:numId="31">
    <w:abstractNumId w:val="6"/>
  </w:num>
  <w:num w:numId="32">
    <w:abstractNumId w:val="27"/>
  </w:num>
  <w:num w:numId="33">
    <w:abstractNumId w:val="33"/>
  </w:num>
  <w:num w:numId="34">
    <w:abstractNumId w:val="1"/>
  </w:num>
  <w:num w:numId="35">
    <w:abstractNumId w:val="5"/>
  </w:num>
  <w:num w:numId="36">
    <w:abstractNumId w:val="34"/>
  </w:num>
  <w:num w:numId="37">
    <w:abstractNumId w:val="8"/>
  </w:num>
  <w:num w:numId="38">
    <w:abstractNumId w:val="16"/>
  </w:num>
  <w:num w:numId="39">
    <w:abstractNumId w:val="31"/>
  </w:num>
  <w:num w:numId="4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4F6"/>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18CB"/>
    <w:rsid w:val="00141919"/>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404"/>
    <w:rsid w:val="00174A5C"/>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DBD"/>
    <w:rsid w:val="00291D91"/>
    <w:rsid w:val="002948C4"/>
    <w:rsid w:val="002960D6"/>
    <w:rsid w:val="00297E45"/>
    <w:rsid w:val="002A0411"/>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8E"/>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2AA5"/>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17A6"/>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3FAC"/>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509D"/>
    <w:rsid w:val="007263AA"/>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0DD4"/>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5795E"/>
    <w:rsid w:val="00860A1E"/>
    <w:rsid w:val="00861622"/>
    <w:rsid w:val="008624DD"/>
    <w:rsid w:val="00863125"/>
    <w:rsid w:val="008645F1"/>
    <w:rsid w:val="00864EBB"/>
    <w:rsid w:val="00865611"/>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492D"/>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7E8"/>
    <w:rsid w:val="009750AA"/>
    <w:rsid w:val="00977D37"/>
    <w:rsid w:val="009813EA"/>
    <w:rsid w:val="009830D3"/>
    <w:rsid w:val="00983B8F"/>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119"/>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33D"/>
    <w:rsid w:val="00A13400"/>
    <w:rsid w:val="00A13703"/>
    <w:rsid w:val="00A13811"/>
    <w:rsid w:val="00A13838"/>
    <w:rsid w:val="00A15C42"/>
    <w:rsid w:val="00A166B8"/>
    <w:rsid w:val="00A16DF1"/>
    <w:rsid w:val="00A17302"/>
    <w:rsid w:val="00A17A17"/>
    <w:rsid w:val="00A2069D"/>
    <w:rsid w:val="00A20B1F"/>
    <w:rsid w:val="00A21050"/>
    <w:rsid w:val="00A225C1"/>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E05"/>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17BC9"/>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B37"/>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37972"/>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B795F"/>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482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5E7F"/>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766C2"/>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6EF"/>
    <w:rsid w:val="00FC6AC7"/>
    <w:rsid w:val="00FC77FF"/>
    <w:rsid w:val="00FC7E40"/>
    <w:rsid w:val="00FD0B5A"/>
    <w:rsid w:val="00FD1351"/>
    <w:rsid w:val="00FD4B65"/>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482813636">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320EC-6265-4A10-82D5-CED79BBC7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51</Pages>
  <Words>11726</Words>
  <Characters>64499</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2022-06-30T01:35:00Z</dcterms:created>
  <dcterms:modified xsi:type="dcterms:W3CDTF">2022-08-11T21:37:00Z</dcterms:modified>
</cp:coreProperties>
</file>