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63329" w14:textId="77777777" w:rsidR="00996EF6" w:rsidRDefault="00996EF6">
      <w:pPr>
        <w:widowControl w:val="0"/>
        <w:pBdr>
          <w:top w:val="nil"/>
          <w:left w:val="nil"/>
          <w:bottom w:val="nil"/>
          <w:right w:val="nil"/>
          <w:between w:val="nil"/>
        </w:pBdr>
        <w:spacing w:line="276" w:lineRule="auto"/>
      </w:pPr>
    </w:p>
    <w:p w14:paraId="1155971F"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veinticuatro de marzo de dos mil veintidós. </w:t>
      </w:r>
    </w:p>
    <w:p w14:paraId="1B9330F8" w14:textId="601DDD85" w:rsidR="00996EF6" w:rsidRDefault="00B4486C">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05959/INFOEM/IP/RR/2021</w:t>
      </w:r>
      <w:r>
        <w:rPr>
          <w:rFonts w:ascii="Palatino Linotype" w:eastAsia="Palatino Linotype" w:hAnsi="Palatino Linotype" w:cs="Palatino Linotype"/>
        </w:rPr>
        <w:t xml:space="preserve">, interpuesto por </w:t>
      </w:r>
      <w:r w:rsidR="00C218D6" w:rsidRPr="00C218D6">
        <w:rPr>
          <w:rFonts w:ascii="Palatino Linotype" w:eastAsia="Palatino Linotype" w:hAnsi="Palatino Linotype" w:cs="Palatino Linotype"/>
          <w:b/>
        </w:rPr>
        <w:t>xxxxx xxxxxxx xxxxxxx</w:t>
      </w:r>
      <w:r w:rsidR="00C218D6">
        <w:rPr>
          <w:rFonts w:ascii="Palatino Linotype" w:eastAsia="Palatino Linotype" w:hAnsi="Palatino Linotype" w:cs="Palatino Linotype"/>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Tepetlaoxtoc, </w:t>
      </w:r>
      <w:r>
        <w:rPr>
          <w:rFonts w:ascii="Palatino Linotype" w:eastAsia="Palatino Linotype" w:hAnsi="Palatino Linotype" w:cs="Palatino Linotype"/>
        </w:rPr>
        <w:t xml:space="preserve">en </w:t>
      </w:r>
      <w:bookmarkStart w:id="1" w:name="_GoBack"/>
      <w:bookmarkEnd w:id="1"/>
      <w:r>
        <w:rPr>
          <w:rFonts w:ascii="Palatino Linotype" w:eastAsia="Palatino Linotype" w:hAnsi="Palatino Linotype" w:cs="Palatino Linotype"/>
        </w:rPr>
        <w:t xml:space="preserve">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8CA501D" w14:textId="77777777" w:rsidR="00996EF6" w:rsidRDefault="00B4486C">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04706751"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00084/TEPETLAO/IP/2021, </w:t>
      </w:r>
      <w:r>
        <w:rPr>
          <w:rFonts w:ascii="Palatino Linotype" w:eastAsia="Palatino Linotype" w:hAnsi="Palatino Linotype" w:cs="Palatino Linotype"/>
        </w:rPr>
        <w:t xml:space="preserve">mediante la cual requirió la información siguiente: </w:t>
      </w:r>
    </w:p>
    <w:p w14:paraId="67384ECA" w14:textId="77777777" w:rsidR="00996EF6" w:rsidRDefault="00B4486C">
      <w:pPr>
        <w:spacing w:before="240" w:after="240" w:line="276" w:lineRule="auto"/>
        <w:ind w:left="851" w:right="616"/>
        <w:jc w:val="both"/>
        <w:rPr>
          <w:rFonts w:ascii="Palatino Linotype" w:eastAsia="Palatino Linotype" w:hAnsi="Palatino Linotype" w:cs="Palatino Linotype"/>
          <w:b/>
          <w:i/>
          <w:sz w:val="22"/>
          <w:szCs w:val="22"/>
        </w:rPr>
      </w:pPr>
      <w:bookmarkStart w:id="2" w:name="_heading=h.gjdgxs" w:colFirst="0" w:colLast="0"/>
      <w:bookmarkEnd w:id="2"/>
      <w:r>
        <w:rPr>
          <w:rFonts w:ascii="Palatino Linotype" w:eastAsia="Palatino Linotype" w:hAnsi="Palatino Linotype" w:cs="Palatino Linotype"/>
          <w:i/>
          <w:sz w:val="22"/>
          <w:szCs w:val="22"/>
        </w:rPr>
        <w:t>“se requiere el censo más reciente, con el que se factura el alumbrado público del municipio, firmado por la Comisión Federal de Electricidad y el Municipio. se requiere información sobre la recaudación del DAP más reciente.”(sic)</w:t>
      </w:r>
    </w:p>
    <w:p w14:paraId="76337658"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Solicitud a la que adjuntó el archivo identificado como </w:t>
      </w:r>
      <w:r>
        <w:rPr>
          <w:rFonts w:ascii="Palatino Linotype" w:eastAsia="Palatino Linotype" w:hAnsi="Palatino Linotype" w:cs="Palatino Linotype"/>
          <w:b/>
          <w:i/>
        </w:rPr>
        <w:t xml:space="preserve">“solicitud de información.docx” </w:t>
      </w:r>
      <w:r>
        <w:rPr>
          <w:rFonts w:ascii="Palatino Linotype" w:eastAsia="Palatino Linotype" w:hAnsi="Palatino Linotype" w:cs="Palatino Linotype"/>
        </w:rPr>
        <w:t xml:space="preserve">mediante el cual el entonces solicitante realizó los siguientes planteamientos: </w:t>
      </w:r>
    </w:p>
    <w:p w14:paraId="2F4FFB71" w14:textId="77777777" w:rsidR="00996EF6" w:rsidRDefault="00B4486C">
      <w:pPr>
        <w:numPr>
          <w:ilvl w:val="0"/>
          <w:numId w:val="2"/>
        </w:numPr>
        <w:pBdr>
          <w:top w:val="nil"/>
          <w:left w:val="nil"/>
          <w:bottom w:val="nil"/>
          <w:right w:val="nil"/>
          <w:between w:val="nil"/>
        </w:pBdr>
        <w:spacing w:before="240" w:after="240" w:line="276"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“Se requiere ¿cuánto se factura mensualmente en alumbrado público? y ¿cuánto se recauda por derechos de alumbrado público?, y en su caso, el adeudo que se genera y ¿si ya se pagó o no la diferencia entre facturación y DAP? o ¿si existe un saldo a favor del municipio?, Se requiere la información mes por mes del periodo de 1° de enero de 2020 al 31 de octubre de 2021. Se solicita adicionalmente, los avisos recibos emitidos mes con mes por la Comisión Fed</w:t>
      </w:r>
      <w:r>
        <w:rPr>
          <w:rFonts w:ascii="Palatino Linotype" w:eastAsia="Palatino Linotype" w:hAnsi="Palatino Linotype" w:cs="Palatino Linotype"/>
          <w:i/>
          <w:sz w:val="22"/>
          <w:szCs w:val="22"/>
        </w:rPr>
        <w:t>eral de Electricidad por el mismo periodo.</w:t>
      </w:r>
    </w:p>
    <w:p w14:paraId="2A6DE010" w14:textId="77777777" w:rsidR="00996EF6" w:rsidRDefault="00B4486C">
      <w:pPr>
        <w:widowControl w:val="0"/>
        <w:numPr>
          <w:ilvl w:val="0"/>
          <w:numId w:val="2"/>
        </w:numPr>
        <w:pBdr>
          <w:top w:val="nil"/>
          <w:left w:val="nil"/>
          <w:bottom w:val="nil"/>
          <w:right w:val="nil"/>
          <w:between w:val="nil"/>
        </w:pBdr>
        <w:tabs>
          <w:tab w:val="left" w:pos="810"/>
        </w:tabs>
        <w:spacing w:before="240" w:after="240" w:line="276" w:lineRule="auto"/>
        <w:ind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solicita el censo de alumbrado público firmado por la Comisión Federal de Electricidad (CFE) de los ejercicios 2020 o en su caso, el censo más reciente del municipio en colaboración de la CFE, en el que se desglose la siguiente información:</w:t>
      </w:r>
    </w:p>
    <w:p w14:paraId="5439A0A0" w14:textId="77777777" w:rsidR="00996EF6" w:rsidRDefault="00B4486C">
      <w:pPr>
        <w:widowControl w:val="0"/>
        <w:numPr>
          <w:ilvl w:val="1"/>
          <w:numId w:val="3"/>
        </w:numPr>
        <w:pBdr>
          <w:top w:val="nil"/>
          <w:left w:val="nil"/>
          <w:bottom w:val="nil"/>
          <w:right w:val="nil"/>
          <w:between w:val="nil"/>
        </w:pBdr>
        <w:tabs>
          <w:tab w:val="left" w:pos="1518"/>
        </w:tabs>
        <w:spacing w:before="240" w:after="240" w:line="276" w:lineRule="auto"/>
        <w:ind w:right="115" w:hanging="3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Cantidad de luminarias y balastros, el tipo de equipos, la capacidad (</w:t>
      </w:r>
      <w:r>
        <w:rPr>
          <w:rFonts w:ascii="Palatino Linotype" w:eastAsia="Palatino Linotype" w:hAnsi="Palatino Linotype" w:cs="Palatino Linotype"/>
          <w:b/>
          <w:i/>
          <w:sz w:val="22"/>
          <w:szCs w:val="22"/>
        </w:rPr>
        <w:t>potencia</w:t>
      </w:r>
      <w:r>
        <w:rPr>
          <w:rFonts w:ascii="Palatino Linotype" w:eastAsia="Palatino Linotype" w:hAnsi="Palatino Linotype" w:cs="Palatino Linotype"/>
          <w:i/>
          <w:sz w:val="22"/>
          <w:szCs w:val="22"/>
        </w:rPr>
        <w:t>), la ubicación (</w:t>
      </w:r>
      <w:r>
        <w:rPr>
          <w:rFonts w:ascii="Palatino Linotype" w:eastAsia="Palatino Linotype" w:hAnsi="Palatino Linotype" w:cs="Palatino Linotype"/>
          <w:b/>
          <w:i/>
          <w:sz w:val="22"/>
          <w:szCs w:val="22"/>
        </w:rPr>
        <w:t>calle y/o colonia y/o delegación</w:t>
      </w:r>
      <w:r>
        <w:rPr>
          <w:rFonts w:ascii="Palatino Linotype" w:eastAsia="Palatino Linotype" w:hAnsi="Palatino Linotype" w:cs="Palatino Linotype"/>
          <w:i/>
          <w:sz w:val="22"/>
          <w:szCs w:val="22"/>
        </w:rPr>
        <w:t>), y el tipo de poste en el que están montadas las luminarias (</w:t>
      </w:r>
      <w:r>
        <w:rPr>
          <w:rFonts w:ascii="Palatino Linotype" w:eastAsia="Palatino Linotype" w:hAnsi="Palatino Linotype" w:cs="Palatino Linotype"/>
          <w:b/>
          <w:i/>
          <w:sz w:val="22"/>
          <w:szCs w:val="22"/>
        </w:rPr>
        <w:t>lámina, concreto, madera etcétera</w:t>
      </w:r>
      <w:r>
        <w:rPr>
          <w:rFonts w:ascii="Palatino Linotype" w:eastAsia="Palatino Linotype" w:hAnsi="Palatino Linotype" w:cs="Palatino Linotype"/>
          <w:i/>
          <w:sz w:val="22"/>
          <w:szCs w:val="22"/>
        </w:rPr>
        <w:t>).</w:t>
      </w:r>
    </w:p>
    <w:p w14:paraId="41D3F9A9" w14:textId="77777777" w:rsidR="00996EF6" w:rsidRDefault="00B4486C">
      <w:pPr>
        <w:widowControl w:val="0"/>
        <w:numPr>
          <w:ilvl w:val="1"/>
          <w:numId w:val="3"/>
        </w:numPr>
        <w:pBdr>
          <w:top w:val="nil"/>
          <w:left w:val="nil"/>
          <w:bottom w:val="nil"/>
          <w:right w:val="nil"/>
          <w:between w:val="nil"/>
        </w:pBdr>
        <w:tabs>
          <w:tab w:val="left" w:pos="1518"/>
        </w:tabs>
        <w:spacing w:before="240" w:after="240" w:line="276" w:lineRule="auto"/>
        <w:ind w:right="117" w:hanging="3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rPr>
        <w:t>Registro P</w:t>
      </w:r>
      <w:r>
        <w:rPr>
          <w:rFonts w:ascii="Palatino Linotype" w:eastAsia="Palatino Linotype" w:hAnsi="Palatino Linotype" w:cs="Palatino Linotype"/>
          <w:b/>
          <w:i/>
          <w:color w:val="000000"/>
          <w:sz w:val="22"/>
          <w:szCs w:val="22"/>
        </w:rPr>
        <w:t xml:space="preserve">ermanente de Usuario </w:t>
      </w:r>
      <w:r>
        <w:rPr>
          <w:rFonts w:ascii="Palatino Linotype" w:eastAsia="Palatino Linotype" w:hAnsi="Palatino Linotype" w:cs="Palatino Linotype"/>
          <w:i/>
          <w:color w:val="000000"/>
          <w:sz w:val="22"/>
          <w:szCs w:val="22"/>
        </w:rPr>
        <w:t xml:space="preserve">(RPU o RPUs) asignado (s) al servicio de alumbrado público municipal </w:t>
      </w:r>
      <w:r>
        <w:rPr>
          <w:rFonts w:ascii="Palatino Linotype" w:eastAsia="Palatino Linotype" w:hAnsi="Palatino Linotype" w:cs="Palatino Linotype"/>
          <w:b/>
          <w:i/>
          <w:color w:val="000000"/>
          <w:sz w:val="22"/>
          <w:szCs w:val="22"/>
        </w:rPr>
        <w:t>tanto del servicio estimado como del servicio medido</w:t>
      </w:r>
      <w:r>
        <w:rPr>
          <w:rFonts w:ascii="Palatino Linotype" w:eastAsia="Palatino Linotype" w:hAnsi="Palatino Linotype" w:cs="Palatino Linotype"/>
          <w:i/>
          <w:color w:val="000000"/>
          <w:sz w:val="22"/>
          <w:szCs w:val="22"/>
        </w:rPr>
        <w:t>.</w:t>
      </w:r>
    </w:p>
    <w:p w14:paraId="7C1D9292" w14:textId="77777777" w:rsidR="00996EF6" w:rsidRDefault="00B4486C">
      <w:pPr>
        <w:widowControl w:val="0"/>
        <w:numPr>
          <w:ilvl w:val="0"/>
          <w:numId w:val="5"/>
        </w:numPr>
        <w:pBdr>
          <w:top w:val="nil"/>
          <w:left w:val="nil"/>
          <w:bottom w:val="nil"/>
          <w:right w:val="nil"/>
          <w:between w:val="nil"/>
        </w:pBdr>
        <w:tabs>
          <w:tab w:val="left" w:pos="1518"/>
        </w:tabs>
        <w:spacing w:before="240" w:after="240" w:line="276" w:lineRule="auto"/>
        <w:ind w:right="119" w:hanging="36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La cantidad desglosada de luminarias y balastros instalados, el tipo de equipos y su capacidad (potencia) </w:t>
      </w:r>
      <w:r>
        <w:rPr>
          <w:rFonts w:ascii="Palatino Linotype" w:eastAsia="Palatino Linotype" w:hAnsi="Palatino Linotype" w:cs="Palatino Linotype"/>
          <w:b/>
          <w:i/>
          <w:color w:val="000000"/>
          <w:sz w:val="22"/>
          <w:szCs w:val="22"/>
        </w:rPr>
        <w:t>instalados en las avenidas principales del municipio.</w:t>
      </w:r>
    </w:p>
    <w:p w14:paraId="158CE480" w14:textId="77777777" w:rsidR="00996EF6" w:rsidRDefault="00B4486C">
      <w:pPr>
        <w:widowControl w:val="0"/>
        <w:numPr>
          <w:ilvl w:val="0"/>
          <w:numId w:val="5"/>
        </w:numPr>
        <w:pBdr>
          <w:top w:val="nil"/>
          <w:left w:val="nil"/>
          <w:bottom w:val="nil"/>
          <w:right w:val="nil"/>
          <w:between w:val="nil"/>
        </w:pBdr>
        <w:tabs>
          <w:tab w:val="left" w:pos="1518"/>
        </w:tabs>
        <w:spacing w:before="240" w:after="240" w:line="276" w:lineRule="auto"/>
        <w:ind w:right="118" w:hanging="3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cantidad de luminarias y balastros instalados, el tipo de equipos y su capacidad (potencia) instalados que </w:t>
      </w:r>
      <w:r>
        <w:rPr>
          <w:rFonts w:ascii="Palatino Linotype" w:eastAsia="Palatino Linotype" w:hAnsi="Palatino Linotype" w:cs="Palatino Linotype"/>
          <w:b/>
          <w:i/>
          <w:color w:val="000000"/>
          <w:sz w:val="22"/>
          <w:szCs w:val="22"/>
        </w:rPr>
        <w:t>poseen equipo de medición</w:t>
      </w:r>
      <w:r>
        <w:rPr>
          <w:rFonts w:ascii="Palatino Linotype" w:eastAsia="Palatino Linotype" w:hAnsi="Palatino Linotype" w:cs="Palatino Linotype"/>
          <w:i/>
          <w:color w:val="000000"/>
          <w:sz w:val="22"/>
          <w:szCs w:val="22"/>
        </w:rPr>
        <w:t>.” (Sic)</w:t>
      </w:r>
    </w:p>
    <w:p w14:paraId="5926C6E9"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14:paraId="3FA9AC44"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14:paraId="6B427B73"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ESTE MEDIO LE INFORMO QUE DERIVADO DE LAS ACCIONES GENERADAS POR LA PANDEMIA DE COVID-19, </w:t>
      </w:r>
      <w:r>
        <w:rPr>
          <w:rFonts w:ascii="Palatino Linotype" w:eastAsia="Palatino Linotype" w:hAnsi="Palatino Linotype" w:cs="Palatino Linotype"/>
          <w:b/>
          <w:i/>
          <w:sz w:val="22"/>
          <w:szCs w:val="22"/>
        </w:rPr>
        <w:t xml:space="preserve">LA cOMISIÓN FEDERALDE ELECTRICIDAD NO HA REALIZADO NUEVOS </w:t>
      </w:r>
      <w:r>
        <w:rPr>
          <w:rFonts w:ascii="Palatino Linotype" w:eastAsia="Palatino Linotype" w:hAnsi="Palatino Linotype" w:cs="Palatino Linotype"/>
          <w:b/>
          <w:i/>
          <w:sz w:val="22"/>
          <w:szCs w:val="22"/>
        </w:rPr>
        <w:lastRenderedPageBreak/>
        <w:t>CENSOS.</w:t>
      </w:r>
      <w:r>
        <w:rPr>
          <w:rFonts w:ascii="Palatino Linotype" w:eastAsia="Palatino Linotype" w:hAnsi="Palatino Linotype" w:cs="Palatino Linotype"/>
          <w:i/>
          <w:sz w:val="22"/>
          <w:szCs w:val="22"/>
        </w:rPr>
        <w:t xml:space="preserve"> ASI SMIMO LE INFORMO QUE LA CFE MANTIENE LA INFORMACIÓN DE CAPACIDAD, UBICACIÓN Y TIPOS DE POSTES COMO PRSTADORES Y PROVEEDORES DEL SERVICIO. B) REGISTRO PERMANENTE DE USUARIOS: CFE ES EL RESPONSABLE DE LAS MEDICIONES ESTIMADAS CONSUMOS Y COBROS POR SERVICIO. C)TIPO DE EQUIPOS LUMINARIOS, ALUMBRADO PÚBLICO ap ldt100w1f, FLUJO LUMINOSO 9000lm, TEMPERATURA DE CALOR 6500k, HORAS DE VIDA 50000h, ANGULO 120°, TENSIÓN 85V-265V, FRECUENCIA:50/60 Hz, CRI 80. EN EL SIGUIENTE LINK SE PUEN SEGUIR LOS NUEVOS LINEAMIENTOS UTILIZADOS PARA LOS NIUEVOS ACUERDOS Y O CONVENIOS ENTRE CFE Y MUNICIPIOS, </w:t>
      </w:r>
      <w:hyperlink r:id="rId8">
        <w:r>
          <w:rPr>
            <w:rFonts w:ascii="Palatino Linotype" w:eastAsia="Palatino Linotype" w:hAnsi="Palatino Linotype" w:cs="Palatino Linotype"/>
            <w:i/>
            <w:color w:val="0000FF"/>
            <w:sz w:val="22"/>
            <w:szCs w:val="22"/>
            <w:u w:val="single"/>
          </w:rPr>
          <w:t>http://dof.mx/nota_detallep?codigo=5611102&amp;fecha=09/02/2021</w:t>
        </w:r>
      </w:hyperlink>
      <w:r>
        <w:rPr>
          <w:rFonts w:ascii="Palatino Linotype" w:eastAsia="Palatino Linotype" w:hAnsi="Palatino Linotype" w:cs="Palatino Linotype"/>
          <w:i/>
          <w:sz w:val="22"/>
          <w:szCs w:val="22"/>
        </w:rPr>
        <w:t xml:space="preserve"> ESTE MUNICIPIO NO CUENTA CON INFORMACIÓN RELATIVASAL DAP ADICIONAL A LOS NUEVOS LINEAMIENTOS LA SECRETARIA DE NERGIA A TRAVES DE LA COMISIÓN NACIONAL PARA EL USO EFICIENTE DE ENERGÍA A PLANTEADO LOS NUEVOS REQUISITOS PARA OBTENER LA OPINIÓN TÉCNICA DE LA CONUEE. https://www.conuee.gob.mx/transparencia/boletines/SemanaAmericConuee/Alumbrado%20Americ_Conuee_01062020.pdf.”(Sic)</w:t>
      </w:r>
    </w:p>
    <w:p w14:paraId="7086E74E"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veintinueve de noviembre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14:paraId="02649759" w14:textId="77777777" w:rsidR="00996EF6" w:rsidRDefault="00B4486C">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680ED61F"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No. 00084/TEPETLAO/IP/2021, mediante el cual el Sujeto Obligado (municipio de Tepetlaoxtoc en el Estado de México) no me ha proporcionado la información solicitada, misma que ha sido clara y precisa. Fecha de la solicitud: 03 de noviembre del 2021." (sic)</w:t>
      </w:r>
    </w:p>
    <w:p w14:paraId="1C394439"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5BFB0AD5"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bookmarkStart w:id="3" w:name="_heading=h.30j0zll" w:colFirst="0" w:colLast="0"/>
      <w:bookmarkEnd w:id="3"/>
      <w:r>
        <w:rPr>
          <w:rFonts w:ascii="Palatino Linotype" w:eastAsia="Palatino Linotype" w:hAnsi="Palatino Linotype" w:cs="Palatino Linotype"/>
          <w:i/>
          <w:sz w:val="22"/>
          <w:szCs w:val="22"/>
        </w:rPr>
        <w:lastRenderedPageBreak/>
        <w:t>“PLAZO CONCLUIDO PARA DAR RESPUESTA A LA SOLICITUD DE INFORMACIÓN DE FECHA 02 de noviembre del 2021, CON FOLIO No.00084/TEPETLAO/IP/2021.” (sic)</w:t>
      </w:r>
    </w:p>
    <w:p w14:paraId="48DB7C33"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27387CCE" w14:textId="77777777" w:rsidR="00996EF6" w:rsidRDefault="00B4486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tres de diciembre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3D18C13B" w14:textId="77777777" w:rsidR="00996EF6" w:rsidRDefault="00B4486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rindió informe justificado para manifestar lo que a su derecho asistiera y conviniera. 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no ofreció medios de prueba, ni formuló alegatos. </w:t>
      </w:r>
    </w:p>
    <w:p w14:paraId="79B9B877" w14:textId="77777777" w:rsidR="00996EF6" w:rsidRDefault="00B4486C">
      <w:pPr>
        <w:widowControl w:val="0"/>
        <w:spacing w:before="240" w:after="240" w:line="360" w:lineRule="auto"/>
        <w:jc w:val="both"/>
        <w:rPr>
          <w:rFonts w:ascii="Palatino Linotype" w:eastAsia="Palatino Linotype" w:hAnsi="Palatino Linotype" w:cs="Palatino Linotype"/>
        </w:rPr>
      </w:pPr>
      <w:r>
        <w:rPr>
          <w:noProof/>
          <w:lang w:val="es-MX"/>
        </w:rPr>
        <w:lastRenderedPageBreak/>
        <w:drawing>
          <wp:inline distT="0" distB="0" distL="0" distR="0" wp14:anchorId="43EB4EB9" wp14:editId="3537E646">
            <wp:extent cx="5612130" cy="2059305"/>
            <wp:effectExtent l="0" t="0" r="0" b="0"/>
            <wp:docPr id="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2059305"/>
                    </a:xfrm>
                    <a:prstGeom prst="rect">
                      <a:avLst/>
                    </a:prstGeom>
                    <a:ln/>
                  </pic:spPr>
                </pic:pic>
              </a:graphicData>
            </a:graphic>
          </wp:inline>
        </w:drawing>
      </w:r>
    </w:p>
    <w:p w14:paraId="64E6AABC" w14:textId="77777777" w:rsidR="00996EF6" w:rsidRDefault="00B4486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quince de diciembre de dos mil veintiuno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030D1BB"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catorce de marzo de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14:paraId="6BEAA7D5" w14:textId="77777777" w:rsidR="00996EF6" w:rsidRDefault="00B4486C">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2435795D"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27DA4B3" w14:textId="77777777" w:rsidR="00996EF6" w:rsidRDefault="00B4486C">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243E8C"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veinticinco de noviembre de dos mil veintiuno,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veintinueve de noviembre de dos mil veintiuno</w:t>
      </w:r>
      <w:r>
        <w:rPr>
          <w:rFonts w:ascii="Palatino Linotype" w:eastAsia="Palatino Linotype" w:hAnsi="Palatino Linotype" w:cs="Palatino Linotype"/>
        </w:rPr>
        <w:t>, esto es, el segundo día hábil posterior en que tuvo conocimiento de la respuesta impugnada.</w:t>
      </w:r>
    </w:p>
    <w:p w14:paraId="1E803A55"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84A8E92"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se advierte que resulta procedente la interposición del recurso, según lo manifestado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sus motivos de inconformidad, de acuerdo al artículo 179, fracción VII del ordenamiento legal citado, que a la letra dice: </w:t>
      </w:r>
    </w:p>
    <w:p w14:paraId="1F4C39A7" w14:textId="77777777" w:rsidR="00996EF6" w:rsidRDefault="00B4486C">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A4C8180" w14:textId="77777777" w:rsidR="00996EF6" w:rsidRDefault="00B4486C">
      <w:pPr>
        <w:tabs>
          <w:tab w:val="left" w:pos="7088"/>
        </w:tabs>
        <w:spacing w:before="240" w:after="240" w:line="276" w:lineRule="auto"/>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410F06D" w14:textId="77777777" w:rsidR="00996EF6" w:rsidRDefault="00B4486C">
      <w:pPr>
        <w:tabs>
          <w:tab w:val="left" w:pos="7088"/>
        </w:tabs>
        <w:spacing w:before="240" w:after="240" w:line="276" w:lineRule="auto"/>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falta de respuesta a una solicitud de acceso a la información;</w:t>
      </w:r>
    </w:p>
    <w:p w14:paraId="48E47923" w14:textId="77777777" w:rsidR="00996EF6" w:rsidRDefault="00B4486C">
      <w:pPr>
        <w:tabs>
          <w:tab w:val="left" w:pos="7088"/>
        </w:tabs>
        <w:spacing w:before="240" w:after="240" w:line="276" w:lineRule="auto"/>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0008112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5086CC0D"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w:t>
      </w:r>
      <w:r>
        <w:rPr>
          <w:rFonts w:ascii="Palatino Linotype" w:eastAsia="Palatino Linotype" w:hAnsi="Palatino Linotype" w:cs="Palatino Linotype"/>
          <w:color w:val="000000"/>
        </w:rPr>
        <w:t xml:space="preserve">l Pleno de este Instituto considera necesario mencionar que, por cuestiones de técnica jurídica, así como para determinar si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atendi</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de manera puntual a todos y cada uno de los requerimientos formulados por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color w:val="000000"/>
        </w:rPr>
        <w:t>, se considera pertinente elaborar un cuadro de análisis, mismo que se inserta a continuación.</w:t>
      </w:r>
    </w:p>
    <w:tbl>
      <w:tblPr>
        <w:tblStyle w:val="a"/>
        <w:tblW w:w="894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06"/>
        <w:gridCol w:w="4774"/>
        <w:gridCol w:w="61"/>
      </w:tblGrid>
      <w:tr w:rsidR="00996EF6" w14:paraId="6D4F0BCD" w14:textId="77777777">
        <w:trPr>
          <w:gridAfter w:val="1"/>
          <w:wAfter w:w="61" w:type="dxa"/>
        </w:trPr>
        <w:tc>
          <w:tcPr>
            <w:tcW w:w="4106" w:type="dxa"/>
            <w:shd w:val="clear" w:color="auto" w:fill="BFBFBF"/>
          </w:tcPr>
          <w:p w14:paraId="5E4EE21E" w14:textId="77777777" w:rsidR="00996EF6" w:rsidRDefault="00B4486C">
            <w:pPr>
              <w:spacing w:before="240" w:after="240" w:line="276" w:lineRule="auto"/>
              <w:ind w:firstLine="114"/>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Información requerida.</w:t>
            </w:r>
          </w:p>
        </w:tc>
        <w:tc>
          <w:tcPr>
            <w:tcW w:w="4774" w:type="dxa"/>
            <w:shd w:val="clear" w:color="auto" w:fill="BFBFBF"/>
          </w:tcPr>
          <w:p w14:paraId="134586BF" w14:textId="77777777" w:rsidR="00996EF6" w:rsidRDefault="00B4486C">
            <w:pPr>
              <w:spacing w:before="240" w:after="240" w:line="276" w:lineRule="auto"/>
              <w:ind w:firstLine="114"/>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Respuesta</w:t>
            </w:r>
          </w:p>
        </w:tc>
      </w:tr>
      <w:tr w:rsidR="00996EF6" w14:paraId="49E44461" w14:textId="77777777">
        <w:trPr>
          <w:gridAfter w:val="1"/>
          <w:wAfter w:w="61" w:type="dxa"/>
        </w:trPr>
        <w:tc>
          <w:tcPr>
            <w:tcW w:w="4106" w:type="dxa"/>
          </w:tcPr>
          <w:p w14:paraId="0C849D14" w14:textId="77777777" w:rsidR="00996EF6" w:rsidRDefault="00B4486C">
            <w:pPr>
              <w:numPr>
                <w:ilvl w:val="0"/>
                <w:numId w:val="6"/>
              </w:numPr>
              <w:pBdr>
                <w:top w:val="nil"/>
                <w:left w:val="nil"/>
                <w:bottom w:val="nil"/>
                <w:right w:val="nil"/>
                <w:between w:val="nil"/>
              </w:pBdr>
              <w:spacing w:before="240" w:after="240" w:line="276" w:lineRule="auto"/>
              <w:ind w:left="306" w:hanging="28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lastRenderedPageBreak/>
              <w:t>Del 01 de enero de 2020 al 31 de octubre de 2021</w:t>
            </w:r>
          </w:p>
          <w:p w14:paraId="568AC76E" w14:textId="77777777" w:rsidR="00996EF6" w:rsidRDefault="00B4486C">
            <w:pPr>
              <w:numPr>
                <w:ilvl w:val="0"/>
                <w:numId w:val="8"/>
              </w:numPr>
              <w:pBdr>
                <w:top w:val="nil"/>
                <w:left w:val="nil"/>
                <w:bottom w:val="nil"/>
                <w:right w:val="nil"/>
                <w:between w:val="nil"/>
              </w:pBdr>
              <w:spacing w:before="240" w:after="24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Cantidad mensual facturada por alumbrado público</w:t>
            </w:r>
          </w:p>
        </w:tc>
        <w:tc>
          <w:tcPr>
            <w:tcW w:w="4774" w:type="dxa"/>
            <w:vMerge w:val="restart"/>
            <w:vAlign w:val="center"/>
          </w:tcPr>
          <w:p w14:paraId="2511A586" w14:textId="77777777" w:rsidR="00996EF6" w:rsidRDefault="00996EF6">
            <w:pPr>
              <w:spacing w:before="240" w:after="240" w:line="276" w:lineRule="auto"/>
              <w:jc w:val="both"/>
              <w:rPr>
                <w:rFonts w:ascii="Palatino Linotype" w:eastAsia="Palatino Linotype" w:hAnsi="Palatino Linotype" w:cs="Palatino Linotype"/>
                <w:sz w:val="20"/>
                <w:szCs w:val="20"/>
              </w:rPr>
            </w:pPr>
          </w:p>
          <w:p w14:paraId="3107C200" w14:textId="77777777" w:rsidR="00996EF6" w:rsidRDefault="00996EF6">
            <w:pPr>
              <w:spacing w:before="240" w:after="240" w:line="276" w:lineRule="auto"/>
              <w:jc w:val="both"/>
              <w:rPr>
                <w:rFonts w:ascii="Palatino Linotype" w:eastAsia="Palatino Linotype" w:hAnsi="Palatino Linotype" w:cs="Palatino Linotype"/>
                <w:sz w:val="20"/>
                <w:szCs w:val="20"/>
              </w:rPr>
            </w:pPr>
          </w:p>
          <w:p w14:paraId="11AA35F2" w14:textId="77777777" w:rsidR="00996EF6" w:rsidRDefault="00B4486C">
            <w:pPr>
              <w:spacing w:before="240" w:after="240" w:line="276"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PRONUNCIÓ</w:t>
            </w:r>
          </w:p>
        </w:tc>
      </w:tr>
      <w:tr w:rsidR="00996EF6" w14:paraId="4DCE95FF" w14:textId="77777777">
        <w:trPr>
          <w:gridAfter w:val="1"/>
          <w:wAfter w:w="61" w:type="dxa"/>
        </w:trPr>
        <w:tc>
          <w:tcPr>
            <w:tcW w:w="4106" w:type="dxa"/>
          </w:tcPr>
          <w:p w14:paraId="5520114F" w14:textId="77777777" w:rsidR="00996EF6" w:rsidRDefault="00B4486C">
            <w:pPr>
              <w:numPr>
                <w:ilvl w:val="0"/>
                <w:numId w:val="8"/>
              </w:numPr>
              <w:pBdr>
                <w:top w:val="nil"/>
                <w:left w:val="nil"/>
                <w:bottom w:val="nil"/>
                <w:right w:val="nil"/>
                <w:between w:val="nil"/>
              </w:pBd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Cantidad recaudada por derechos de alumbrado público</w:t>
            </w:r>
          </w:p>
        </w:tc>
        <w:tc>
          <w:tcPr>
            <w:tcW w:w="4774" w:type="dxa"/>
            <w:vMerge/>
            <w:vAlign w:val="center"/>
          </w:tcPr>
          <w:p w14:paraId="4A44D5E5" w14:textId="77777777" w:rsidR="00996EF6" w:rsidRDefault="00996EF6">
            <w:pPr>
              <w:widowControl w:val="0"/>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p>
        </w:tc>
      </w:tr>
      <w:tr w:rsidR="00996EF6" w14:paraId="39D9E2BA" w14:textId="77777777">
        <w:trPr>
          <w:gridAfter w:val="1"/>
          <w:wAfter w:w="61" w:type="dxa"/>
        </w:trPr>
        <w:tc>
          <w:tcPr>
            <w:tcW w:w="4106" w:type="dxa"/>
          </w:tcPr>
          <w:p w14:paraId="095D2F62" w14:textId="77777777" w:rsidR="00996EF6" w:rsidRDefault="00B4486C">
            <w:pPr>
              <w:numPr>
                <w:ilvl w:val="0"/>
                <w:numId w:val="8"/>
              </w:numPr>
              <w:pBdr>
                <w:top w:val="nil"/>
                <w:left w:val="nil"/>
                <w:bottom w:val="nil"/>
                <w:right w:val="nil"/>
                <w:between w:val="nil"/>
              </w:pBd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Adeudo que se genera y el pago de la diferencia entre facturación y DAP y en su caso el saldo a favor del Municipio</w:t>
            </w:r>
          </w:p>
        </w:tc>
        <w:tc>
          <w:tcPr>
            <w:tcW w:w="4774" w:type="dxa"/>
            <w:vMerge/>
            <w:vAlign w:val="center"/>
          </w:tcPr>
          <w:p w14:paraId="56EF6A9D" w14:textId="77777777" w:rsidR="00996EF6" w:rsidRDefault="00996EF6">
            <w:pPr>
              <w:widowControl w:val="0"/>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p>
        </w:tc>
      </w:tr>
      <w:tr w:rsidR="00996EF6" w14:paraId="28B509A5" w14:textId="77777777">
        <w:trPr>
          <w:gridAfter w:val="1"/>
          <w:wAfter w:w="61" w:type="dxa"/>
        </w:trPr>
        <w:tc>
          <w:tcPr>
            <w:tcW w:w="4106" w:type="dxa"/>
          </w:tcPr>
          <w:p w14:paraId="76DBBD4D" w14:textId="77777777" w:rsidR="00996EF6" w:rsidRDefault="00B4486C">
            <w:pPr>
              <w:numPr>
                <w:ilvl w:val="0"/>
                <w:numId w:val="8"/>
              </w:numPr>
              <w:pBdr>
                <w:top w:val="nil"/>
                <w:left w:val="nil"/>
                <w:bottom w:val="nil"/>
                <w:right w:val="nil"/>
                <w:between w:val="nil"/>
              </w:pBd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 xml:space="preserve">Avisos emitidos mes con mes por la Comisión Federal de Electricidad. </w:t>
            </w:r>
          </w:p>
        </w:tc>
        <w:tc>
          <w:tcPr>
            <w:tcW w:w="4774" w:type="dxa"/>
            <w:vMerge/>
            <w:vAlign w:val="center"/>
          </w:tcPr>
          <w:p w14:paraId="66FA3AF7" w14:textId="77777777" w:rsidR="00996EF6" w:rsidRDefault="00996EF6">
            <w:pPr>
              <w:widowControl w:val="0"/>
              <w:pBdr>
                <w:top w:val="nil"/>
                <w:left w:val="nil"/>
                <w:bottom w:val="nil"/>
                <w:right w:val="nil"/>
                <w:between w:val="nil"/>
              </w:pBdr>
              <w:spacing w:line="276" w:lineRule="auto"/>
              <w:rPr>
                <w:rFonts w:ascii="Palatino Linotype" w:eastAsia="Palatino Linotype" w:hAnsi="Palatino Linotype" w:cs="Palatino Linotype"/>
                <w:i/>
                <w:color w:val="000000"/>
                <w:sz w:val="20"/>
                <w:szCs w:val="20"/>
              </w:rPr>
            </w:pPr>
          </w:p>
        </w:tc>
      </w:tr>
      <w:tr w:rsidR="00996EF6" w14:paraId="1654674E" w14:textId="77777777">
        <w:trPr>
          <w:gridAfter w:val="1"/>
          <w:wAfter w:w="61" w:type="dxa"/>
        </w:trPr>
        <w:tc>
          <w:tcPr>
            <w:tcW w:w="4106" w:type="dxa"/>
          </w:tcPr>
          <w:p w14:paraId="443FD8B5" w14:textId="77777777" w:rsidR="00996EF6" w:rsidRDefault="00B4486C">
            <w:pPr>
              <w:pBdr>
                <w:top w:val="nil"/>
                <w:left w:val="nil"/>
                <w:bottom w:val="nil"/>
                <w:right w:val="nil"/>
                <w:between w:val="nil"/>
              </w:pBdr>
              <w:spacing w:before="240" w:after="240"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Censo de alumbrado público firmado por la Comisión Federal de Electricidad de 2020 o en su caso el más reciente en el que se desglose lo siguiente: </w:t>
            </w:r>
          </w:p>
          <w:p w14:paraId="60696275" w14:textId="77777777" w:rsidR="00996EF6" w:rsidRDefault="00B4486C">
            <w:pPr>
              <w:widowControl w:val="0"/>
              <w:numPr>
                <w:ilvl w:val="1"/>
                <w:numId w:val="7"/>
              </w:numPr>
              <w:pBdr>
                <w:top w:val="nil"/>
                <w:left w:val="nil"/>
                <w:bottom w:val="nil"/>
                <w:right w:val="nil"/>
                <w:between w:val="nil"/>
              </w:pBdr>
              <w:spacing w:before="240" w:after="240" w:line="276" w:lineRule="auto"/>
              <w:ind w:left="447" w:right="115"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Cantidad de luminarias y balastros, el tipo de equipos, la capacidad (</w:t>
            </w:r>
            <w:r>
              <w:rPr>
                <w:rFonts w:ascii="Palatino Linotype" w:eastAsia="Palatino Linotype" w:hAnsi="Palatino Linotype" w:cs="Palatino Linotype"/>
                <w:b/>
                <w:color w:val="000000"/>
                <w:sz w:val="24"/>
                <w:szCs w:val="24"/>
              </w:rPr>
              <w:t>potencia</w:t>
            </w:r>
            <w:r>
              <w:rPr>
                <w:rFonts w:ascii="Palatino Linotype" w:eastAsia="Palatino Linotype" w:hAnsi="Palatino Linotype" w:cs="Palatino Linotype"/>
                <w:color w:val="000000"/>
                <w:sz w:val="24"/>
                <w:szCs w:val="24"/>
              </w:rPr>
              <w:t>), la ubicación (</w:t>
            </w:r>
            <w:r>
              <w:rPr>
                <w:rFonts w:ascii="Palatino Linotype" w:eastAsia="Palatino Linotype" w:hAnsi="Palatino Linotype" w:cs="Palatino Linotype"/>
                <w:b/>
                <w:color w:val="000000"/>
                <w:sz w:val="24"/>
                <w:szCs w:val="24"/>
              </w:rPr>
              <w:t>calle y/o colonia y/o delegación</w:t>
            </w:r>
            <w:r>
              <w:rPr>
                <w:rFonts w:ascii="Palatino Linotype" w:eastAsia="Palatino Linotype" w:hAnsi="Palatino Linotype" w:cs="Palatino Linotype"/>
                <w:color w:val="000000"/>
                <w:sz w:val="24"/>
                <w:szCs w:val="24"/>
              </w:rPr>
              <w:t>), y el tipo de poste en el que están montadas las luminarias (</w:t>
            </w:r>
            <w:r>
              <w:rPr>
                <w:rFonts w:ascii="Palatino Linotype" w:eastAsia="Palatino Linotype" w:hAnsi="Palatino Linotype" w:cs="Palatino Linotype"/>
                <w:b/>
                <w:color w:val="000000"/>
                <w:sz w:val="24"/>
                <w:szCs w:val="24"/>
              </w:rPr>
              <w:t>lámina, concreto, madera etcétera</w:t>
            </w:r>
            <w:r>
              <w:rPr>
                <w:rFonts w:ascii="Palatino Linotype" w:eastAsia="Palatino Linotype" w:hAnsi="Palatino Linotype" w:cs="Palatino Linotype"/>
                <w:color w:val="000000"/>
                <w:sz w:val="24"/>
                <w:szCs w:val="24"/>
              </w:rPr>
              <w:t>).</w:t>
            </w:r>
          </w:p>
        </w:tc>
        <w:tc>
          <w:tcPr>
            <w:tcW w:w="4774" w:type="dxa"/>
          </w:tcPr>
          <w:p w14:paraId="45F30004" w14:textId="77777777" w:rsidR="00996EF6" w:rsidRDefault="00B4486C">
            <w:pPr>
              <w:spacing w:before="240" w:after="240" w:line="276"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color w:val="000000"/>
              </w:rPr>
              <w:t>DERIVADO DE LAS ACCIONES GENERADAS POR LA PANDEMIA DE COVID-19, LA cOMISIÓN FEDERALDE ELECTRICIDAD NO HA REALIZADO NUEVOS CENSOS. ASI SMIMO LE INFORMO QUE LA CFE MANTIENE LA INFORMACIÓN DE CAPACIDAD, UBICACIÓN Y TIPOS DE POSTES COMO PRSTADORES Y PROVEEDORES DEL SERVICIO</w:t>
            </w:r>
          </w:p>
        </w:tc>
      </w:tr>
      <w:tr w:rsidR="00996EF6" w14:paraId="3B04F39F" w14:textId="77777777">
        <w:trPr>
          <w:gridAfter w:val="1"/>
          <w:wAfter w:w="61" w:type="dxa"/>
        </w:trPr>
        <w:tc>
          <w:tcPr>
            <w:tcW w:w="4106" w:type="dxa"/>
          </w:tcPr>
          <w:p w14:paraId="3F0BEA9C" w14:textId="77777777" w:rsidR="00996EF6" w:rsidRDefault="00B4486C">
            <w:pPr>
              <w:widowControl w:val="0"/>
              <w:numPr>
                <w:ilvl w:val="1"/>
                <w:numId w:val="7"/>
              </w:numPr>
              <w:pBdr>
                <w:top w:val="nil"/>
                <w:left w:val="nil"/>
                <w:bottom w:val="nil"/>
                <w:right w:val="nil"/>
                <w:between w:val="nil"/>
              </w:pBdr>
              <w:spacing w:before="240" w:after="240" w:line="276" w:lineRule="auto"/>
              <w:ind w:left="447" w:right="117"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El Registro Permanente de Usuario (RPU o RPUs) asignado (s) al servicio de alumbrado público municipal tanto del servicio estimado como del servicio medido. </w:t>
            </w:r>
          </w:p>
        </w:tc>
        <w:tc>
          <w:tcPr>
            <w:tcW w:w="4774" w:type="dxa"/>
          </w:tcPr>
          <w:p w14:paraId="47344341" w14:textId="77777777" w:rsidR="00996EF6" w:rsidRDefault="00B4486C">
            <w:pPr>
              <w:spacing w:before="240" w:after="240" w:line="276"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color w:val="000000"/>
              </w:rPr>
              <w:t>CFE ES EL RESPONSABLE DE LAS MEDICIONES ESTIMADAS CONSUMOS Y COBROS POR SERVICIO</w:t>
            </w:r>
          </w:p>
        </w:tc>
      </w:tr>
      <w:tr w:rsidR="00996EF6" w14:paraId="7D25B3DC" w14:textId="77777777">
        <w:trPr>
          <w:trHeight w:val="815"/>
        </w:trPr>
        <w:tc>
          <w:tcPr>
            <w:tcW w:w="4106" w:type="dxa"/>
          </w:tcPr>
          <w:p w14:paraId="480300E4" w14:textId="77777777" w:rsidR="00996EF6" w:rsidRDefault="00B4486C">
            <w:pPr>
              <w:widowControl w:val="0"/>
              <w:numPr>
                <w:ilvl w:val="0"/>
                <w:numId w:val="9"/>
              </w:numPr>
              <w:pBdr>
                <w:top w:val="nil"/>
                <w:left w:val="nil"/>
                <w:bottom w:val="nil"/>
                <w:right w:val="nil"/>
                <w:between w:val="nil"/>
              </w:pBdr>
              <w:tabs>
                <w:tab w:val="left" w:pos="1156"/>
              </w:tabs>
              <w:spacing w:before="240" w:after="240" w:line="276" w:lineRule="auto"/>
              <w:ind w:left="447" w:right="119" w:hanging="425"/>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La cantidad desglosada de luminarias y balastros instalados, el tipo de equipos y su capacidad (potencia) </w:t>
            </w:r>
            <w:r>
              <w:rPr>
                <w:rFonts w:ascii="Palatino Linotype" w:eastAsia="Palatino Linotype" w:hAnsi="Palatino Linotype" w:cs="Palatino Linotype"/>
                <w:b/>
                <w:color w:val="000000"/>
                <w:sz w:val="24"/>
                <w:szCs w:val="24"/>
              </w:rPr>
              <w:t>instalados en las avenidas principales del municipio.</w:t>
            </w:r>
          </w:p>
        </w:tc>
        <w:tc>
          <w:tcPr>
            <w:tcW w:w="4835" w:type="dxa"/>
            <w:gridSpan w:val="2"/>
            <w:vMerge w:val="restart"/>
            <w:vAlign w:val="center"/>
          </w:tcPr>
          <w:p w14:paraId="3645F469" w14:textId="77777777" w:rsidR="00996EF6" w:rsidRDefault="00B4486C">
            <w:pPr>
              <w:spacing w:before="240" w:after="240" w:line="276"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color w:val="000000"/>
              </w:rPr>
              <w:t>TIPO DE EQUIPOS LUMINARIOS, ALUMBRADO PÚBLICO ap ldt100w1f, FLUJO LUMINOSO 9000lm, TEMPERATURA DE CALOR 6500k, HORAS DE VIDA 50000h, ANGULO 120°, TENSIÓN 85V-265V, FRECUENCIA:50/60 Hz, CRI 80.</w:t>
            </w:r>
          </w:p>
          <w:p w14:paraId="34BE21DC" w14:textId="77777777" w:rsidR="00996EF6" w:rsidRDefault="00996EF6">
            <w:pPr>
              <w:spacing w:before="240" w:after="240" w:line="276" w:lineRule="auto"/>
              <w:ind w:right="49"/>
              <w:jc w:val="both"/>
              <w:rPr>
                <w:rFonts w:ascii="Palatino Linotype" w:eastAsia="Palatino Linotype" w:hAnsi="Palatino Linotype" w:cs="Palatino Linotype"/>
                <w:b/>
                <w:i/>
              </w:rPr>
            </w:pPr>
          </w:p>
        </w:tc>
      </w:tr>
      <w:tr w:rsidR="00996EF6" w14:paraId="402A047D" w14:textId="77777777">
        <w:tc>
          <w:tcPr>
            <w:tcW w:w="4106" w:type="dxa"/>
          </w:tcPr>
          <w:p w14:paraId="2A71EEF1" w14:textId="77777777" w:rsidR="00996EF6" w:rsidRDefault="00B4486C">
            <w:pPr>
              <w:widowControl w:val="0"/>
              <w:numPr>
                <w:ilvl w:val="0"/>
                <w:numId w:val="9"/>
              </w:numPr>
              <w:pBdr>
                <w:top w:val="nil"/>
                <w:left w:val="nil"/>
                <w:bottom w:val="nil"/>
                <w:right w:val="nil"/>
                <w:between w:val="nil"/>
              </w:pBdr>
              <w:tabs>
                <w:tab w:val="left" w:pos="1156"/>
              </w:tabs>
              <w:spacing w:before="240" w:after="240" w:line="276" w:lineRule="auto"/>
              <w:ind w:left="306" w:right="118" w:hanging="426"/>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La cantidad de luminarias y balastros instalados, el tipo de equipos y su capacidad (potencia) instalados que </w:t>
            </w:r>
            <w:r>
              <w:rPr>
                <w:rFonts w:ascii="Palatino Linotype" w:eastAsia="Palatino Linotype" w:hAnsi="Palatino Linotype" w:cs="Palatino Linotype"/>
                <w:b/>
                <w:color w:val="000000"/>
                <w:sz w:val="24"/>
                <w:szCs w:val="24"/>
              </w:rPr>
              <w:t>poseen equipo de medición</w:t>
            </w:r>
            <w:r>
              <w:rPr>
                <w:rFonts w:ascii="Palatino Linotype" w:eastAsia="Palatino Linotype" w:hAnsi="Palatino Linotype" w:cs="Palatino Linotype"/>
                <w:color w:val="000000"/>
                <w:sz w:val="24"/>
                <w:szCs w:val="24"/>
              </w:rPr>
              <w:t>.</w:t>
            </w:r>
          </w:p>
        </w:tc>
        <w:tc>
          <w:tcPr>
            <w:tcW w:w="4835" w:type="dxa"/>
            <w:gridSpan w:val="2"/>
            <w:vMerge/>
            <w:vAlign w:val="center"/>
          </w:tcPr>
          <w:p w14:paraId="6FE85C4E" w14:textId="77777777" w:rsidR="00996EF6" w:rsidRDefault="00996EF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4"/>
                <w:szCs w:val="24"/>
              </w:rPr>
            </w:pPr>
          </w:p>
        </w:tc>
      </w:tr>
    </w:tbl>
    <w:p w14:paraId="26FAF578" w14:textId="77777777" w:rsidR="00996EF6" w:rsidRDefault="00B4486C">
      <w:pPr>
        <w:spacing w:before="240" w:after="240" w:line="360" w:lineRule="auto"/>
        <w:ind w:right="48"/>
        <w:jc w:val="both"/>
        <w:rPr>
          <w:rFonts w:ascii="Palatino Linotype" w:eastAsia="Palatino Linotype" w:hAnsi="Palatino Linotype" w:cs="Palatino Linotype"/>
          <w:i/>
          <w:color w:val="000000"/>
        </w:rPr>
      </w:pPr>
      <w:r>
        <w:rPr>
          <w:rFonts w:ascii="Palatino Linotype" w:eastAsia="Palatino Linotype" w:hAnsi="Palatino Linotype" w:cs="Palatino Linotype"/>
        </w:rPr>
        <w:t>Aunado a lo anterior, el Titular de la Unidad de Transparencia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respuesta a la solicitud de información manifestó: </w:t>
      </w:r>
      <w:r>
        <w:rPr>
          <w:rFonts w:ascii="Palatino Linotype" w:eastAsia="Palatino Linotype" w:hAnsi="Palatino Linotype" w:cs="Palatino Linotype"/>
          <w:i/>
        </w:rPr>
        <w:t>“E</w:t>
      </w:r>
      <w:r>
        <w:rPr>
          <w:rFonts w:ascii="Palatino Linotype" w:eastAsia="Palatino Linotype" w:hAnsi="Palatino Linotype" w:cs="Palatino Linotype"/>
          <w:i/>
          <w:color w:val="000000"/>
        </w:rPr>
        <w:t xml:space="preserve">N EL SIGUIENTE LINK SE PUEN SEGUIR LOS NUEVOS LINEAMIENTOS UTILIZADOS PARA LOS NIUEVOS ACUERDOS Y O CONVENIOS ENTRE CFE Y MUNICIPIOS, http://dof.mx/nota_detallep?codigo=5611102&amp;fecha=09/02/2021 ESTE MUNICIPIO NO CUENTA CON INFORMACIÓN RELATIVASAL DAP ADICIONAL A LOS NUEVOS LINEAMIENTOS LA SECRETARIA DE NERGIA A TRAVES DE LA COMISIÓN NACIONAL PARA EL USO EFICIENTE DE ENERGÍA A PLANTEADO LOS </w:t>
      </w:r>
      <w:r>
        <w:rPr>
          <w:rFonts w:ascii="Palatino Linotype" w:eastAsia="Palatino Linotype" w:hAnsi="Palatino Linotype" w:cs="Palatino Linotype"/>
          <w:i/>
          <w:color w:val="000000"/>
        </w:rPr>
        <w:lastRenderedPageBreak/>
        <w:t xml:space="preserve">NUEVOS REQUISITOS PARA OBTENER LA OPINIÓN TÉCNICA DE LA CONUEE. </w:t>
      </w:r>
      <w:hyperlink r:id="rId10">
        <w:r>
          <w:rPr>
            <w:rFonts w:ascii="Palatino Linotype" w:eastAsia="Palatino Linotype" w:hAnsi="Palatino Linotype" w:cs="Palatino Linotype"/>
            <w:i/>
            <w:color w:val="0000FF"/>
            <w:u w:val="single"/>
          </w:rPr>
          <w:t>https://www.conuee.gob.mx/transparencia/boletines/SemanaAmericConuee/Alumbrado%20Americ_Conuee_01062020.pdf</w:t>
        </w:r>
      </w:hyperlink>
    </w:p>
    <w:p w14:paraId="04A7D011" w14:textId="77777777" w:rsidR="00996EF6" w:rsidRDefault="00B4486C">
      <w:pPr>
        <w:spacing w:before="240" w:after="240"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importante referir, que una vez realizada la consulta en los hipervínculos proporcionados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color w:val="000000"/>
        </w:rPr>
        <w:t xml:space="preserve">se observó lo siguiente: </w:t>
      </w:r>
    </w:p>
    <w:p w14:paraId="34E5DCFD" w14:textId="77777777" w:rsidR="00996EF6" w:rsidRDefault="00996EF6">
      <w:pPr>
        <w:spacing w:before="240" w:after="240" w:line="360" w:lineRule="auto"/>
        <w:ind w:right="48"/>
        <w:jc w:val="both"/>
        <w:rPr>
          <w:rFonts w:ascii="Palatino Linotype" w:eastAsia="Palatino Linotype" w:hAnsi="Palatino Linotype" w:cs="Palatino Linotype"/>
        </w:rPr>
      </w:pPr>
    </w:p>
    <w:p w14:paraId="715BB451" w14:textId="77777777" w:rsidR="00996EF6" w:rsidRDefault="00B4486C">
      <w:pPr>
        <w:spacing w:before="240" w:after="240"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C89E7D1" wp14:editId="118F1558">
            <wp:extent cx="5612130" cy="1548765"/>
            <wp:effectExtent l="12700" t="12700" r="12700" b="12700"/>
            <wp:docPr id="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1548765"/>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39329155" wp14:editId="63FE44D7">
                <wp:simplePos x="0" y="0"/>
                <wp:positionH relativeFrom="column">
                  <wp:posOffset>698500</wp:posOffset>
                </wp:positionH>
                <wp:positionV relativeFrom="paragraph">
                  <wp:posOffset>-63499</wp:posOffset>
                </wp:positionV>
                <wp:extent cx="3971925" cy="257175"/>
                <wp:effectExtent l="0" t="0" r="0" b="0"/>
                <wp:wrapNone/>
                <wp:docPr id="85" name="Rectángulo 85"/>
                <wp:cNvGraphicFramePr/>
                <a:graphic xmlns:a="http://schemas.openxmlformats.org/drawingml/2006/main">
                  <a:graphicData uri="http://schemas.microsoft.com/office/word/2010/wordprocessingShape">
                    <wps:wsp>
                      <wps:cNvSpPr/>
                      <wps:spPr>
                        <a:xfrm>
                          <a:off x="3374325" y="3665700"/>
                          <a:ext cx="3943350" cy="228600"/>
                        </a:xfrm>
                        <a:prstGeom prst="rect">
                          <a:avLst/>
                        </a:prstGeom>
                        <a:noFill/>
                        <a:ln w="28575" cap="flat" cmpd="sng">
                          <a:solidFill>
                            <a:srgbClr val="FF0000"/>
                          </a:solidFill>
                          <a:prstDash val="solid"/>
                          <a:round/>
                          <a:headEnd type="none" w="sm" len="sm"/>
                          <a:tailEnd type="none" w="sm" len="sm"/>
                        </a:ln>
                      </wps:spPr>
                      <wps:txbx>
                        <w:txbxContent>
                          <w:p w14:paraId="3D6A8151" w14:textId="77777777" w:rsidR="00996EF6" w:rsidRDefault="00996EF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-63499</wp:posOffset>
                </wp:positionV>
                <wp:extent cx="3971925" cy="257175"/>
                <wp:effectExtent b="0" l="0" r="0" t="0"/>
                <wp:wrapNone/>
                <wp:docPr id="8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3971925" cy="257175"/>
                        </a:xfrm>
                        <a:prstGeom prst="rect"/>
                        <a:ln/>
                      </pic:spPr>
                    </pic:pic>
                  </a:graphicData>
                </a:graphic>
              </wp:anchor>
            </w:drawing>
          </mc:Fallback>
        </mc:AlternateContent>
      </w:r>
    </w:p>
    <w:p w14:paraId="66218288" w14:textId="77777777" w:rsidR="00996EF6" w:rsidRDefault="00B4486C">
      <w:pPr>
        <w:spacing w:before="240" w:after="240" w:line="360" w:lineRule="auto"/>
        <w:ind w:right="48"/>
        <w:jc w:val="both"/>
        <w:rPr>
          <w:rFonts w:ascii="Palatino Linotype" w:eastAsia="Palatino Linotype" w:hAnsi="Palatino Linotype" w:cs="Palatino Linotype"/>
        </w:rPr>
      </w:pPr>
      <w:r>
        <w:rPr>
          <w:noProof/>
          <w:lang w:val="es-MX"/>
        </w:rPr>
        <mc:AlternateContent>
          <mc:Choice Requires="wpg">
            <w:drawing>
              <wp:anchor distT="0" distB="0" distL="114300" distR="114300" simplePos="0" relativeHeight="251659264" behindDoc="0" locked="0" layoutInCell="1" hidden="0" allowOverlap="1" wp14:anchorId="2CA3D994" wp14:editId="24DEC4B4">
                <wp:simplePos x="0" y="0"/>
                <wp:positionH relativeFrom="column">
                  <wp:posOffset>1</wp:posOffset>
                </wp:positionH>
                <wp:positionV relativeFrom="paragraph">
                  <wp:posOffset>330200</wp:posOffset>
                </wp:positionV>
                <wp:extent cx="5381625" cy="438150"/>
                <wp:effectExtent l="0" t="0" r="0" b="0"/>
                <wp:wrapNone/>
                <wp:docPr id="84" name="Rectángulo 84"/>
                <wp:cNvGraphicFramePr/>
                <a:graphic xmlns:a="http://schemas.openxmlformats.org/drawingml/2006/main">
                  <a:graphicData uri="http://schemas.microsoft.com/office/word/2010/wordprocessingShape">
                    <wps:wsp>
                      <wps:cNvSpPr/>
                      <wps:spPr>
                        <a:xfrm>
                          <a:off x="2669475" y="3575213"/>
                          <a:ext cx="5353050" cy="409575"/>
                        </a:xfrm>
                        <a:prstGeom prst="rect">
                          <a:avLst/>
                        </a:prstGeom>
                        <a:noFill/>
                        <a:ln w="28575" cap="flat" cmpd="sng">
                          <a:solidFill>
                            <a:srgbClr val="FF0000"/>
                          </a:solidFill>
                          <a:prstDash val="solid"/>
                          <a:round/>
                          <a:headEnd type="none" w="sm" len="sm"/>
                          <a:tailEnd type="none" w="sm" len="sm"/>
                        </a:ln>
                      </wps:spPr>
                      <wps:txbx>
                        <w:txbxContent>
                          <w:p w14:paraId="3F2E100D" w14:textId="77777777" w:rsidR="00996EF6" w:rsidRDefault="00996EF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330200</wp:posOffset>
                </wp:positionV>
                <wp:extent cx="5381625" cy="438150"/>
                <wp:effectExtent b="0" l="0" r="0" t="0"/>
                <wp:wrapNone/>
                <wp:docPr id="8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381625" cy="438150"/>
                        </a:xfrm>
                        <a:prstGeom prst="rect"/>
                        <a:ln/>
                      </pic:spPr>
                    </pic:pic>
                  </a:graphicData>
                </a:graphic>
              </wp:anchor>
            </w:drawing>
          </mc:Fallback>
        </mc:AlternateContent>
      </w:r>
    </w:p>
    <w:p w14:paraId="2E998608" w14:textId="77777777" w:rsidR="00996EF6" w:rsidRDefault="00B4486C">
      <w:pPr>
        <w:spacing w:before="240" w:after="240"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12D013D" wp14:editId="06953E75">
            <wp:extent cx="5612130" cy="1974215"/>
            <wp:effectExtent l="12700" t="12700" r="12700" b="1270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1974215"/>
                    </a:xfrm>
                    <a:prstGeom prst="rect">
                      <a:avLst/>
                    </a:prstGeom>
                    <a:ln w="12700">
                      <a:solidFill>
                        <a:srgbClr val="000000"/>
                      </a:solidFill>
                      <a:prstDash val="solid"/>
                    </a:ln>
                  </pic:spPr>
                </pic:pic>
              </a:graphicData>
            </a:graphic>
          </wp:inline>
        </w:drawing>
      </w:r>
    </w:p>
    <w:p w14:paraId="52B7A697" w14:textId="77777777" w:rsidR="00996EF6" w:rsidRDefault="00B4486C">
      <w:pPr>
        <w:spacing w:before="240" w:after="240"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una vez analizado el cuadro de análisis que antecede, se advierte que el Titular de la Unidad de Transparencia del </w:t>
      </w:r>
      <w:r>
        <w:rPr>
          <w:rFonts w:ascii="Palatino Linotype" w:eastAsia="Palatino Linotype" w:hAnsi="Palatino Linotype" w:cs="Palatino Linotype"/>
          <w:b/>
        </w:rPr>
        <w:t xml:space="preserve">SUETO OBLIGADO </w:t>
      </w:r>
      <w:r>
        <w:rPr>
          <w:rFonts w:ascii="Palatino Linotype" w:eastAsia="Palatino Linotype" w:hAnsi="Palatino Linotype" w:cs="Palatino Linotype"/>
        </w:rPr>
        <w:t xml:space="preserve">únicamente </w:t>
      </w:r>
      <w:r>
        <w:rPr>
          <w:rFonts w:ascii="Palatino Linotype" w:eastAsia="Palatino Linotype" w:hAnsi="Palatino Linotype" w:cs="Palatino Linotype"/>
        </w:rPr>
        <w:lastRenderedPageBreak/>
        <w:t xml:space="preserve">proporcionó el tipo de equipos luminarios y su capacidad; no obstante, no se tiene la certeza si se trata del tipo de equipo y su capacidad, instalados en las avenidas principales del municipio o equipos instalados que poseen equipo de medición. </w:t>
      </w:r>
    </w:p>
    <w:p w14:paraId="6A7EC5D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Pr>
          <w:rFonts w:ascii="Palatino Linotype" w:eastAsia="Palatino Linotype" w:hAnsi="Palatino Linotype" w:cs="Palatino Linotype"/>
          <w:b/>
        </w:rPr>
        <w:t>tramitar ante las Áreas poseedoras de la información lo que se solicita</w:t>
      </w:r>
      <w:r>
        <w:rPr>
          <w:rFonts w:ascii="Palatino Linotype" w:eastAsia="Palatino Linotype" w:hAnsi="Palatino Linotype" w:cs="Palatino Linotype"/>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1C78EB41" w14:textId="77777777" w:rsidR="00996EF6" w:rsidRDefault="00B4486C">
      <w:pPr>
        <w:tabs>
          <w:tab w:val="left" w:pos="709"/>
        </w:tabs>
        <w:spacing w:before="240" w:after="240" w:line="276" w:lineRule="auto"/>
        <w:ind w:left="851" w:right="76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Ley de Transparencia y Acceso a la Información Pública del Estado de México y Municipios</w:t>
      </w:r>
    </w:p>
    <w:p w14:paraId="65E5D2C9"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50. Los sujetos obligados contarán con un área responsable para la atención de las solicitudes de información, a la que se le denominará Unidad de Transparencia. </w:t>
      </w:r>
    </w:p>
    <w:p w14:paraId="3CD44F5F"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51. Los sujetos obligados designaran a un responsable para atender la Unidad de Transparencia, quien fungirá como enlace entre éstos y los solicitantes. </w:t>
      </w:r>
      <w:r>
        <w:rPr>
          <w:rFonts w:ascii="Palatino Linotype" w:eastAsia="Palatino Linotype" w:hAnsi="Palatino Linotype" w:cs="Palatino Linotype"/>
          <w:b/>
          <w:i/>
          <w:sz w:val="22"/>
          <w:szCs w:val="22"/>
          <w:u w:val="single"/>
        </w:rPr>
        <w:t>Dicha Unidad será la encargada de tramitar internamente la solicitud de información</w:t>
      </w:r>
      <w:r>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7F5CDFF"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EC8B59"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53. Las Unidades de Transparencia tendrán las siguientes funciones:</w:t>
      </w:r>
    </w:p>
    <w:p w14:paraId="6CAABBC2"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F1E701"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Recibir, tramitar y dar respuesta a las solicitudes de acceso a la información; </w:t>
      </w:r>
    </w:p>
    <w:p w14:paraId="1737F000"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7FEF35C"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14:paraId="6ACAF593"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Entregar, en su caso, a los particulares la información solicitada; </w:t>
      </w:r>
    </w:p>
    <w:p w14:paraId="073BEA7D" w14:textId="77777777" w:rsidR="00996EF6" w:rsidRDefault="00B4486C">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14:paraId="209F680C"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debe señalar que aunque la solicitud de información y la respuesta estén dirigidas y atendidas por un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cierto es que también tienen diversas Unidades Administrativas y cada área cuenta con un </w:t>
      </w:r>
      <w:r>
        <w:rPr>
          <w:rFonts w:ascii="Palatino Linotype" w:eastAsia="Palatino Linotype" w:hAnsi="Palatino Linotype" w:cs="Palatino Linotype"/>
          <w:b/>
        </w:rPr>
        <w:t>Servidor Público Habilitado</w:t>
      </w:r>
      <w:r>
        <w:rPr>
          <w:rFonts w:ascii="Palatino Linotype" w:eastAsia="Palatino Linotype" w:hAnsi="Palatino Linotype" w:cs="Palatino Linotype"/>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E675566"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7D43F701"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367D01C"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XXXIX. Servidor público habilitado: </w:t>
      </w:r>
      <w:r>
        <w:rPr>
          <w:rFonts w:ascii="Palatino Linotype" w:eastAsia="Palatino Linotype" w:hAnsi="Palatino Linotype" w:cs="Palatino Linotype"/>
          <w:i/>
          <w:sz w:val="22"/>
          <w:szCs w:val="22"/>
        </w:rPr>
        <w:t xml:space="preserve">Persona encargada dentro de las diversas unidades administrativas o áreas del sujeto obligado, de apoyar, gestionar y entregar la información o datos personales que se ubiquen en la misma, a sus respectivas </w:t>
      </w:r>
      <w:r>
        <w:rPr>
          <w:rFonts w:ascii="Palatino Linotype" w:eastAsia="Palatino Linotype" w:hAnsi="Palatino Linotype" w:cs="Palatino Linotype"/>
          <w:i/>
          <w:sz w:val="22"/>
          <w:szCs w:val="22"/>
        </w:rPr>
        <w:lastRenderedPageBreak/>
        <w:t>unidades de transparencia; respecto de las solicitudes presentadas y aportar en primera instancia el fundamento y motivación de la clasificación de la información;</w:t>
      </w:r>
    </w:p>
    <w:p w14:paraId="30A787A2"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0B13F1"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58.</w:t>
      </w:r>
      <w:r>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14:paraId="1208BFF9"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w:t>
      </w:r>
      <w:r>
        <w:rPr>
          <w:rFonts w:ascii="Palatino Linotype" w:eastAsia="Palatino Linotype" w:hAnsi="Palatino Linotype" w:cs="Palatino Linotype"/>
          <w:i/>
          <w:sz w:val="22"/>
          <w:szCs w:val="22"/>
        </w:rPr>
        <w:t xml:space="preserve"> tendrán las funciones siguientes:</w:t>
      </w:r>
    </w:p>
    <w:p w14:paraId="74B96881"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w:t>
      </w:r>
    </w:p>
    <w:p w14:paraId="07EB0DC9"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i/>
          <w:sz w:val="22"/>
          <w:szCs w:val="22"/>
        </w:rPr>
        <w:t>;</w:t>
      </w:r>
    </w:p>
    <w:p w14:paraId="5F7C814E"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14:paraId="46796A66"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3AF39576"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2DB99181"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430FE033" w14:textId="77777777" w:rsidR="00996EF6" w:rsidRDefault="00B4486C">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Dar cuenta a la Unidad de Transparencia del vencimiento de los plazos de reserva.</w:t>
      </w:r>
    </w:p>
    <w:p w14:paraId="5318D24D"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no se cumplió con lo que para tal efecto, dispone el artículo 162 de la Ley de Transparencia y Acceso a la Información Pública del Estado de México y Municipios, que índica:</w:t>
      </w:r>
    </w:p>
    <w:p w14:paraId="7A48C2A3"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u w:val="single"/>
        </w:rPr>
        <w:t xml:space="preserve">Las unidades de transparencia deberán garantizar que las solicitudes se turnen a todas las Áreas competentes que cuenten con la información o deban tenerla </w:t>
      </w:r>
      <w:r>
        <w:rPr>
          <w:rFonts w:ascii="Palatino Linotype" w:eastAsia="Palatino Linotype" w:hAnsi="Palatino Linotype" w:cs="Palatino Linotype"/>
          <w:i/>
          <w:sz w:val="22"/>
          <w:szCs w:val="22"/>
          <w:u w:val="single"/>
        </w:rPr>
        <w:lastRenderedPageBreak/>
        <w:t>de acuerdo a sus facultades, competencias y funciones, con el objeto de que realicen una búsqueda exhaustiva y razonable de la información solicitada.</w:t>
      </w:r>
      <w:r>
        <w:rPr>
          <w:rFonts w:ascii="Palatino Linotype" w:eastAsia="Palatino Linotype" w:hAnsi="Palatino Linotype" w:cs="Palatino Linotype"/>
          <w:i/>
          <w:sz w:val="22"/>
          <w:szCs w:val="22"/>
        </w:rPr>
        <w:t>”</w:t>
      </w:r>
    </w:p>
    <w:p w14:paraId="545FF24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7FDE92CA"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w:t>
      </w:r>
      <w:r>
        <w:rPr>
          <w:rFonts w:ascii="Palatino Linotype" w:eastAsia="Palatino Linotype" w:hAnsi="Palatino Linotype" w:cs="Palatino Linotype"/>
          <w:u w:val="single"/>
        </w:rPr>
        <w:t xml:space="preserve">no basta con que el </w:t>
      </w:r>
      <w:r>
        <w:rPr>
          <w:rFonts w:ascii="Palatino Linotype" w:eastAsia="Palatino Linotype" w:hAnsi="Palatino Linotype" w:cs="Palatino Linotype"/>
          <w:b/>
          <w:u w:val="single"/>
        </w:rPr>
        <w:t>SUJETO OBLIGADO</w:t>
      </w:r>
      <w:r>
        <w:rPr>
          <w:rFonts w:ascii="Palatino Linotype" w:eastAsia="Palatino Linotype" w:hAnsi="Palatino Linotype" w:cs="Palatino Linotype"/>
          <w:u w:val="single"/>
        </w:rPr>
        <w:t xml:space="preserve"> únicamente remita la respuesta formulada por cada servidor público habilitado,</w:t>
      </w:r>
      <w:r>
        <w:rPr>
          <w:rFonts w:ascii="Palatino Linotype" w:eastAsia="Palatino Linotype" w:hAnsi="Palatino Linotype" w:cs="Palatino Linotype"/>
        </w:rPr>
        <w:t xml:space="preserve"> por el contrario, deberá recabar la información, difundirla y actualizarla para poder entregar una sola respuesta de manera íntegra conforme a la normatividad aplicable en materia de transparencia,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el presente asunto es el Ayuntamiento de Tepetlaoxtoc en su conjunto, incluyendo </w:t>
      </w:r>
      <w:r>
        <w:rPr>
          <w:rFonts w:ascii="Palatino Linotype" w:eastAsia="Palatino Linotype" w:hAnsi="Palatino Linotype" w:cs="Palatino Linotype"/>
          <w:b/>
          <w:u w:val="single"/>
        </w:rPr>
        <w:t>todas y cada una de las áreas que lo conforman</w:t>
      </w:r>
      <w:r>
        <w:rPr>
          <w:rFonts w:ascii="Palatino Linotype" w:eastAsia="Palatino Linotype" w:hAnsi="Palatino Linotype" w:cs="Palatino Linotype"/>
        </w:rPr>
        <w:t xml:space="preserve"> y por supuesto en donde pudiera obrar la información que se solicita.</w:t>
      </w:r>
    </w:p>
    <w:p w14:paraId="18B23909"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hecha la búsqueda exhaustiva y razonable de la información en todas y cada una de las áreas que pudieran poseer la información, deberá informar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el resultado de la misma, junto con las constancias que acrediten la búsqueda precisada.</w:t>
      </w:r>
    </w:p>
    <w:p w14:paraId="0842C63F" w14:textId="77777777" w:rsidR="00996EF6" w:rsidRDefault="00B4486C">
      <w:pPr>
        <w:tabs>
          <w:tab w:val="left" w:pos="7938"/>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derivado de la solicitud de información (en la que se resuelve), se aprecia en el sistema SAIMEX, que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tramitó ante las instancias del Municipio, que pudieran tener lo solicitado (derivado de sus funciones) lo requerido por el particular, sino que de </w:t>
      </w:r>
      <w:r>
        <w:rPr>
          <w:rFonts w:ascii="Palatino Linotype" w:eastAsia="Palatino Linotype" w:hAnsi="Palatino Linotype" w:cs="Palatino Linotype"/>
          <w:i/>
        </w:rPr>
        <w:t>motu proprio (por propia iniciativa)</w:t>
      </w:r>
      <w:r>
        <w:rPr>
          <w:rFonts w:ascii="Palatino Linotype" w:eastAsia="Palatino Linotype" w:hAnsi="Palatino Linotype" w:cs="Palatino Linotype"/>
        </w:rPr>
        <w:t xml:space="preserve"> respondió, sin que </w:t>
      </w:r>
      <w:r>
        <w:rPr>
          <w:rFonts w:ascii="Palatino Linotype" w:eastAsia="Palatino Linotype" w:hAnsi="Palatino Linotype" w:cs="Palatino Linotype"/>
        </w:rPr>
        <w:lastRenderedPageBreak/>
        <w:t xml:space="preserve">exista certeza de que las áreas que pudieran tener dicha información dieran cuenta de la atención a la solicitud antes citada, en virtud de ello, se advierte el hecho de que no se generó algún requerimiento o tramite interno por parte de la Titular de la Unidad de Transparencia que se haya dirigido a alguna otra dependencia del </w:t>
      </w:r>
      <w:r>
        <w:rPr>
          <w:rFonts w:ascii="Palatino Linotype" w:eastAsia="Palatino Linotype" w:hAnsi="Palatino Linotype" w:cs="Palatino Linotype"/>
          <w:b/>
        </w:rPr>
        <w:t>SUJETO OBLIGADO</w:t>
      </w:r>
      <w:r>
        <w:rPr>
          <w:rFonts w:ascii="Palatino Linotype" w:eastAsia="Palatino Linotype" w:hAnsi="Palatino Linotype" w:cs="Palatino Linotype"/>
        </w:rPr>
        <w:t>, ya que no se aprecia alguna comunicación interna en el sistema que haya quedado registrada.</w:t>
      </w:r>
    </w:p>
    <w:p w14:paraId="04BC064E" w14:textId="77777777" w:rsidR="00996EF6" w:rsidRDefault="00B4486C">
      <w:pPr>
        <w:tabs>
          <w:tab w:val="left" w:pos="7938"/>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3C4A8047" w14:textId="77777777" w:rsidR="00996EF6" w:rsidRDefault="00B4486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sz w:val="22"/>
          <w:szCs w:val="22"/>
        </w:rPr>
        <w:t>E</w:t>
      </w:r>
      <w:r>
        <w:rPr>
          <w:rFonts w:ascii="Palatino Linotype" w:eastAsia="Palatino Linotype" w:hAnsi="Palatino Linotype" w:cs="Palatino Linotype"/>
        </w:rPr>
        <w:t xml:space="preserve">s así como podemos concluir que las solicitudes de información, deben ser remitidas a las áreas competentes de contar con la información y derivado a que no giro los requerimientos a las diferentes áreas con la que cuenta el Sujeto Obligado, es necesario se realice el procedimiento correspondiente a fin de localizar los documentos requeridos en la solicitud de información de méritoEn mérito de lo anterior, debemos recordar que </w:t>
      </w:r>
      <w:r>
        <w:rPr>
          <w:rFonts w:ascii="Palatino Linotype" w:eastAsia="Palatino Linotype" w:hAnsi="Palatino Linotype" w:cs="Palatino Linotype"/>
          <w:color w:val="000000"/>
        </w:rPr>
        <w:t xml:space="preserve">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 xml:space="preserve">expedientes, reportes, estudios, </w:t>
      </w:r>
      <w:r>
        <w:rPr>
          <w:rFonts w:ascii="Palatino Linotype" w:eastAsia="Palatino Linotype" w:hAnsi="Palatino Linotype" w:cs="Palatino Linotype"/>
          <w:b/>
        </w:rPr>
        <w:t>actas,</w:t>
      </w:r>
      <w:r>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lastRenderedPageBreak/>
        <w:t xml:space="preserve">conformidad con el artículo 3, fracción XI de la Ley de la materia, el cual dispone lo siguiente: </w:t>
      </w:r>
    </w:p>
    <w:p w14:paraId="11280880" w14:textId="77777777" w:rsidR="00996EF6" w:rsidRDefault="00B4486C">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47DACEC5" w14:textId="77777777" w:rsidR="00996EF6" w:rsidRDefault="00B4486C">
      <w:pPr>
        <w:spacing w:before="240" w:after="240" w:line="276" w:lineRule="auto"/>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03B4537" w14:textId="77777777" w:rsidR="00996EF6" w:rsidRDefault="00B4486C">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resoluciones,</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DB2D2A" w14:textId="77777777" w:rsidR="00996EF6" w:rsidRDefault="00B4486C">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2F608A76" w14:textId="77777777" w:rsidR="00996EF6" w:rsidRDefault="00B4486C">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25ACA16B"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AB94376" w14:textId="77777777" w:rsidR="00996EF6" w:rsidRDefault="00B4486C">
      <w:pPr>
        <w:spacing w:before="240" w:after="240" w:line="276" w:lineRule="auto"/>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05DEB8B" w14:textId="77777777" w:rsidR="00996EF6" w:rsidRDefault="00B4486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0E221FFF" w14:textId="77777777" w:rsidR="00996EF6" w:rsidRDefault="00B4486C">
      <w:pPr>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E322DB6" w14:textId="77777777" w:rsidR="00996EF6" w:rsidRDefault="00B4486C">
      <w:pPr>
        <w:spacing w:before="240" w:after="240" w:line="276" w:lineRule="auto"/>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14:paraId="7610822B" w14:textId="77777777" w:rsidR="00996EF6" w:rsidRDefault="00B4486C">
      <w:pPr>
        <w:spacing w:before="240" w:after="240" w:line="276" w:lineRule="auto"/>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2) Que se trate de información registrada en cualquier soporte documental, que en ejercicio de las atribuciones conferidas, sea administrada por los Sujetos Obligados, y</w:t>
      </w:r>
    </w:p>
    <w:p w14:paraId="725EB0C4" w14:textId="77777777" w:rsidR="00996EF6" w:rsidRDefault="00B4486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3) 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i/>
          <w:sz w:val="22"/>
          <w:szCs w:val="22"/>
        </w:rPr>
        <w:t>.” (Sic)</w:t>
      </w:r>
    </w:p>
    <w:p w14:paraId="35B046DD" w14:textId="77777777" w:rsidR="00996EF6" w:rsidRDefault="00B4486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69B6945"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es importante señalar que, de conformidad con el artículo 18 de la Ley de Transparencia y Acceso a la Información Pública del Estado de México y Municipios, </w:t>
      </w:r>
      <w:r>
        <w:rPr>
          <w:rFonts w:ascii="Palatino Linotype" w:eastAsia="Palatino Linotype" w:hAnsi="Palatino Linotype" w:cs="Palatino Linotype"/>
          <w:b/>
          <w:i/>
          <w:u w:val="single"/>
        </w:rPr>
        <w:t>los Sujetos Obligados deben documentar todos sus actos que realicen derivado del ejercicio de sus atribuciones</w:t>
      </w:r>
      <w:r>
        <w:rPr>
          <w:rFonts w:ascii="Palatino Linotype" w:eastAsia="Palatino Linotype" w:hAnsi="Palatino Linotype" w:cs="Palatino Linotype"/>
        </w:rPr>
        <w:t>, como se aprecia de la lectura del precepto legal en comento:</w:t>
      </w:r>
    </w:p>
    <w:p w14:paraId="532265DD" w14:textId="77777777" w:rsidR="00996EF6" w:rsidRDefault="00B4486C">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 </w:t>
      </w:r>
      <w:r>
        <w:rPr>
          <w:rFonts w:ascii="Palatino Linotype" w:eastAsia="Palatino Linotype" w:hAnsi="Palatino Linotype" w:cs="Palatino Linotype"/>
          <w:i/>
          <w:sz w:val="22"/>
          <w:szCs w:val="22"/>
        </w:rPr>
        <w:t xml:space="preserve">Los </w:t>
      </w:r>
      <w:r>
        <w:rPr>
          <w:rFonts w:ascii="Palatino Linotype" w:eastAsia="Palatino Linotype" w:hAnsi="Palatino Linotype" w:cs="Palatino Linotype"/>
          <w:b/>
          <w:i/>
          <w:sz w:val="22"/>
          <w:szCs w:val="22"/>
        </w:rPr>
        <w:t>sujetos obligados deberán documentar todo acto que derive del ejercicio de sus facultades, competencias o funciones, considerando desde su origen la eventual publicidad y reutilización de la información que generen</w:t>
      </w:r>
      <w:r>
        <w:rPr>
          <w:rFonts w:ascii="Palatino Linotype" w:eastAsia="Palatino Linotype" w:hAnsi="Palatino Linotype" w:cs="Palatino Linotype"/>
          <w:i/>
          <w:sz w:val="22"/>
          <w:szCs w:val="22"/>
        </w:rPr>
        <w:t>.” (Sic)</w:t>
      </w:r>
    </w:p>
    <w:p w14:paraId="69AABB68" w14:textId="77777777" w:rsidR="00996EF6" w:rsidRDefault="00B4486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forma, se cita el contenido del artículo 160 de la Ley General de Transparencia y Acceso a la Información Pública que a la letra dispone:</w:t>
      </w:r>
    </w:p>
    <w:p w14:paraId="55E462BE" w14:textId="77777777" w:rsidR="00996EF6" w:rsidRDefault="00B4486C">
      <w:pPr>
        <w:spacing w:before="240" w:after="240" w:line="276" w:lineRule="auto"/>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p w14:paraId="35ACE452"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los preceptos legales citados con antelación, los artículos 12 y 24 de la Ley de Transparencia y Acceso a la Información Pública del Estado de México y Municipios prevén lo siguiente: </w:t>
      </w:r>
    </w:p>
    <w:p w14:paraId="44BFFAB3" w14:textId="77777777" w:rsidR="00996EF6" w:rsidRDefault="00B4486C">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14:paraId="140187DC" w14:textId="77777777" w:rsidR="00996EF6" w:rsidRDefault="00B4486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19C5CCCE" w14:textId="77777777" w:rsidR="00996EF6" w:rsidRDefault="00B4486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24. Para el cumplimiento de los objetivos de esta Ley, los sujetos obligados deberán cumplir con las siguientes obligaciones, según corresponda, de acuerdo a su naturaleza: </w:t>
      </w:r>
    </w:p>
    <w:p w14:paraId="544EB20F" w14:textId="77777777" w:rsidR="00996EF6" w:rsidRDefault="00B4486C">
      <w:pPr>
        <w:numPr>
          <w:ilvl w:val="0"/>
          <w:numId w:val="11"/>
        </w:numPr>
        <w:pBdr>
          <w:top w:val="nil"/>
          <w:left w:val="nil"/>
          <w:bottom w:val="nil"/>
          <w:right w:val="nil"/>
          <w:between w:val="nil"/>
        </w:pBdr>
        <w:spacing w:before="240" w:after="240" w:line="276" w:lineRule="auto"/>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Constituir el Comité de Transparencia, las unidades de transparencia y vigilar su correcto funcionamiento de acuerdo a su normatividad interna; </w:t>
      </w:r>
    </w:p>
    <w:p w14:paraId="6A11BE44"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Designar en las unidades de transparencia a los titulares que dependan directamente del titular del sujeto obligado y que preferentemente cuenten con experiencia en la materia; </w:t>
      </w:r>
    </w:p>
    <w:p w14:paraId="45BD2838"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04BCCD4E"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IV. Constituir y mantener actualizados sus sistemas de archivos y gestión documental, conforme a la normatividad aplicable; </w:t>
      </w:r>
    </w:p>
    <w:p w14:paraId="5A1CDE75"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Promover la generación, documentación y publicación de la información en formatos abiertos y accesibles; </w:t>
      </w:r>
    </w:p>
    <w:p w14:paraId="208F2664"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Proteger y resguardar la información clasificada como reservada o confidencial; VII. Reportar al Instituto sobre las acciones de implementación de la normatividad en la materia, en los términos que estos determinen; </w:t>
      </w:r>
    </w:p>
    <w:p w14:paraId="2EC095C8"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Atender de manera oportuna, los requerimientos, observaciones, recomendaciones y criterios que en materia de transparencia y acceso a la información realice el Instituto; </w:t>
      </w:r>
    </w:p>
    <w:p w14:paraId="2D3EF020"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Fomentar el uso de tecnologías de la información para garantizar la transparencia, el derecho de acceso a la información y la accesibilidad a éstos; </w:t>
      </w:r>
    </w:p>
    <w:p w14:paraId="628EC6A0"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Cumplir cabalmente con las resoluciones emitidas por el Instituto; </w:t>
      </w:r>
    </w:p>
    <w:p w14:paraId="1A66E183"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Dar acceso a la información pública que le sea requerida, en los términos de la Ley General, esta Ley y demás disposiciones jurídicas aplicables; </w:t>
      </w:r>
    </w:p>
    <w:p w14:paraId="77E61BF4"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Publicar y mantener actualizada la información relativa a las obligaciones generales de transparencia previstas en la presente Ley o determinadas así por el Instituto, y en general aquella que sea de interés público; </w:t>
      </w:r>
    </w:p>
    <w:p w14:paraId="51CB56C7"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XIII.Difundir proactivamente información de interés público; </w:t>
      </w:r>
    </w:p>
    <w:p w14:paraId="00CCE2F1"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Asegurar la protección de los datos personales en su posesión, en términos de la Ley de Protección de Datos Personales del Estado de México; </w:t>
      </w:r>
    </w:p>
    <w:p w14:paraId="4F2AF870"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Informar anualmente por escrito al Instituto sobre las actividades realizadas, en cumplimiento de las obligaciones que se deriven de la presente Ley; </w:t>
      </w:r>
    </w:p>
    <w:p w14:paraId="3E89C611"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Procurar condiciones de accesibilidad para que personas con discapacidad ejerzan los derechos regulados en esta Ley; </w:t>
      </w:r>
    </w:p>
    <w:p w14:paraId="46805643"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XVII. Crear y hacer uso de sistemas de tecnología sistematizados y avanzados, y adoptar las nuevas herramientas para que los ciudadanos consulten información de manera directa, sencilla y rápida; </w:t>
      </w:r>
    </w:p>
    <w:p w14:paraId="447A2B3F"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1DD9E0BD"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XIX. Transparentar sus acciones, así como garantizar y respetar el derecho a la información pública;</w:t>
      </w:r>
    </w:p>
    <w:p w14:paraId="4A8F65C3"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 Tomar las medidas apropiadas para proporcionar información a personas con discapacidad en formatos y tecnologías accesibles de forma oportuna y sin un costo adicional; </w:t>
      </w:r>
    </w:p>
    <w:p w14:paraId="7A3FBF08"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 Procurar la generación de estadística de su información en formato de datos abiertos en la medida de lo posible; </w:t>
      </w:r>
    </w:p>
    <w:p w14:paraId="7A9083E6"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XXII.Documentar todo acto que derive del ejercicio de sus facultades, competencias o funciones y abstenerse de destruirlos u ocultarlos, dentro de los que destacan los procesos deliberativos y de decisión definitiva; </w:t>
      </w:r>
    </w:p>
    <w:p w14:paraId="15210146"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XXIII. Procurar la digitalización de toda la información pública en su poder; XXIV.Orientar y asesorar al solicitante para corregir cualquier deficiencia sustancial de las solicitudes; y </w:t>
      </w:r>
    </w:p>
    <w:p w14:paraId="2E3A9181"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XXV. Las demás que se establezcan en la presente Ley y normatividad aplicable en la materia.</w:t>
      </w:r>
    </w:p>
    <w:p w14:paraId="17ECC8C0"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la administración, gestión y custodia de los archivos de información pública, los sujetos obligados, los servidores públicos habilitados y los servidores públicos en general, se ajustarán a lo establecido por la normatividad aplicable. </w:t>
      </w:r>
    </w:p>
    <w:p w14:paraId="71DE1AC7" w14:textId="77777777" w:rsidR="00996EF6" w:rsidRDefault="00B4486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solo proporcionarán la información pública que generen, administren o posean en el ejercicio de sus atribuciones.”</w:t>
      </w:r>
    </w:p>
    <w:p w14:paraId="70B64ADD"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a efecto de garantizar el efectivo ejercicio del derecho de acceso a la información pública que asiste al particular, resulta conveniente entrar al estudio de las siguientes consideraciones de hecho y derecho: </w:t>
      </w:r>
    </w:p>
    <w:p w14:paraId="1C62E2D2"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se estima conveniente analizar el marco normativo que otorga competencia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atender los requerimientos de información, partiendo de lo estatuido en la Constitución Política de los Estados Unidos Mexicanos que establece en el artículo 115 fracciones I, párrafo primero, II párrafo primero y III inciso b), lo siguiente:</w:t>
      </w:r>
    </w:p>
    <w:p w14:paraId="18A4405F"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115.</w:t>
      </w:r>
      <w:r>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0464B2F" w14:textId="77777777" w:rsidR="00996EF6" w:rsidRDefault="00B4486C">
      <w:pPr>
        <w:spacing w:before="240" w:after="24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3BF3FA3" w14:textId="77777777" w:rsidR="00996EF6" w:rsidRDefault="00B4486C">
      <w:pPr>
        <w:spacing w:before="240" w:after="24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F929E7" w14:textId="77777777" w:rsidR="00996EF6" w:rsidRDefault="00B4486C">
      <w:pPr>
        <w:spacing w:before="240" w:after="24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municipios estarán investidos de personalidad jurídica y manejarán su patrimonio conforme a la ley</w:t>
      </w:r>
    </w:p>
    <w:p w14:paraId="73C96D03" w14:textId="77777777" w:rsidR="00996EF6" w:rsidRDefault="00B4486C">
      <w:pPr>
        <w:spacing w:before="240" w:after="24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11681416" w14:textId="77777777" w:rsidR="00996EF6" w:rsidRDefault="00B4486C">
      <w:pPr>
        <w:spacing w:before="240" w:after="24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Los Municipios tendrán a su cargo las funciones y servicios públicos siguientes:</w:t>
      </w:r>
    </w:p>
    <w:p w14:paraId="60D75D8B" w14:textId="77777777" w:rsidR="00996EF6" w:rsidRDefault="00B4486C">
      <w:pPr>
        <w:spacing w:before="240" w:after="240" w:line="276" w:lineRule="auto"/>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12C7743" w14:textId="77777777" w:rsidR="00996EF6" w:rsidRDefault="00B4486C">
      <w:pPr>
        <w:spacing w:before="240" w:after="240" w:line="276" w:lineRule="auto"/>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Alumbrado público..</w:t>
      </w:r>
      <w:r>
        <w:rPr>
          <w:rFonts w:ascii="Palatino Linotype" w:eastAsia="Palatino Linotype" w:hAnsi="Palatino Linotype" w:cs="Palatino Linotype"/>
          <w:i/>
          <w:sz w:val="22"/>
          <w:szCs w:val="22"/>
        </w:rPr>
        <w:t>.”</w:t>
      </w:r>
    </w:p>
    <w:p w14:paraId="61E8100B"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del texto transcrito se advierte que los Municipios son la base de la división territorial de los Estados, gobernados por un Ayuntamiento de elección popular, investidos de personalidad jurídica y patrimonio propio, que tienen a su cargo el alumbrado público.</w:t>
      </w:r>
    </w:p>
    <w:p w14:paraId="1EBC5382"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la </w:t>
      </w:r>
      <w:r>
        <w:rPr>
          <w:rFonts w:ascii="Palatino Linotype" w:eastAsia="Palatino Linotype" w:hAnsi="Palatino Linotype" w:cs="Palatino Linotype"/>
          <w:i/>
        </w:rPr>
        <w:t>Constitución Política del Estado Libre y Soberano de México</w:t>
      </w:r>
      <w:r>
        <w:rPr>
          <w:rFonts w:ascii="Palatino Linotype" w:eastAsia="Palatino Linotype" w:hAnsi="Palatino Linotype" w:cs="Palatino Linotype"/>
        </w:rPr>
        <w:t xml:space="preserve">,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w:t>
      </w:r>
      <w:r>
        <w:rPr>
          <w:rFonts w:ascii="Palatino Linotype" w:eastAsia="Palatino Linotype" w:hAnsi="Palatino Linotype" w:cs="Palatino Linotype"/>
          <w:i/>
        </w:rPr>
        <w:t>Ley Orgánica Municipal del Estado de México</w:t>
      </w:r>
      <w:r>
        <w:rPr>
          <w:rFonts w:ascii="Palatino Linotype" w:eastAsia="Palatino Linotype" w:hAnsi="Palatino Linotype" w:cs="Palatino Linotype"/>
        </w:rPr>
        <w:t>, que acoge lo establecido por las Constituciones en comento, al incluir al municipio libre como la base de la división territorial y de la organización política del Estado, que tendrá a su cargo la prestación, explotación, administración y conservación del servicio público denominado alumbrado público.</w:t>
      </w:r>
    </w:p>
    <w:p w14:paraId="39DC7014" w14:textId="77777777" w:rsidR="00996EF6" w:rsidRDefault="00B4486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 saber, es función del Ayuntamiento prestar el servicio público consistente en la iluminación de las vías públicas, parques públicos, y demás espacios de libre circulación que no se encuentran a cargo de ninguna persona natural o jurídica de derecho privado o público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y para tales efectos, en términos del párrafo tercero del artículo 126 de la Constitución Local, podrán previo acuerdo entre los Ayuntamiento, coordinarse y asociarse para su eficaz prestación, o bien, para concesionar el servicio público de conformidad con las disposiciones jurídicas aplicables.</w:t>
      </w:r>
    </w:p>
    <w:p w14:paraId="58C47E8A" w14:textId="77777777" w:rsidR="00996EF6" w:rsidRDefault="00B4486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la fracción VII del artículo 31 de la </w:t>
      </w:r>
      <w:r>
        <w:rPr>
          <w:rFonts w:ascii="Palatino Linotype" w:eastAsia="Palatino Linotype" w:hAnsi="Palatino Linotype" w:cs="Palatino Linotype"/>
          <w:i/>
        </w:rPr>
        <w:t>Ley Orgánica Municipal del Estado de México</w:t>
      </w:r>
      <w:r>
        <w:rPr>
          <w:rFonts w:ascii="Palatino Linotype" w:eastAsia="Palatino Linotype" w:hAnsi="Palatino Linotype" w:cs="Palatino Linotype"/>
        </w:rPr>
        <w:t>, establece además de las atribuciones marcadas con anterioridad 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53754B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los artículos 78, fracción III y 80 del Bando Municipal de Tepetlaoxtoc vigente en 2021, señala que el Ayuntamiento atenderá la prestación de los servicios públicos municipales: </w:t>
      </w:r>
    </w:p>
    <w:p w14:paraId="36B9CF7E" w14:textId="77777777" w:rsidR="00996EF6" w:rsidRDefault="00B4486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78.- El Ayuntamiento atenderá la prestación de los servicios públicos municipales siguientes:</w:t>
      </w:r>
    </w:p>
    <w:p w14:paraId="1159D48A" w14:textId="77777777" w:rsidR="00996EF6" w:rsidRDefault="00B4486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E3B7BB6" w14:textId="77777777" w:rsidR="00996EF6" w:rsidRDefault="00B4486C">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Alumbrado público.</w:t>
      </w:r>
    </w:p>
    <w:p w14:paraId="0B05DD32" w14:textId="77777777" w:rsidR="00996EF6" w:rsidRDefault="00B4486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03861A" w14:textId="77777777" w:rsidR="00996EF6" w:rsidRDefault="00B4486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80.- El Ayuntamiento tendrá a su cargo la administración y conservación del alumbrado público. </w:t>
      </w:r>
    </w:p>
    <w:p w14:paraId="513C8376"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Una vez establecida la competencia del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resulta oportuno tener en cuenta las cuestiones de fondo del presente medio de impugnación, por ello a </w:t>
      </w:r>
      <w:r>
        <w:rPr>
          <w:rFonts w:ascii="Palatino Linotype" w:eastAsia="Palatino Linotype" w:hAnsi="Palatino Linotype" w:cs="Palatino Linotype"/>
        </w:rPr>
        <w:lastRenderedPageBreak/>
        <w:t>efectos de evitar complejidades innecesarias, atendiendo los principios de simplicidad y rapidez reconocidos en el ejercicio del derecho de acceso a la información, es que el asunto materia de la presente resolución, se analizará conforme a los requerimientos que encuentran relacionan entre sí, bajo los siguientes grupos:</w:t>
      </w:r>
    </w:p>
    <w:p w14:paraId="198C34FD"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lo anterior, por cuanto hace al primer punto del documento adjunto a la solicitud de información </w:t>
      </w:r>
      <w:r>
        <w:rPr>
          <w:rFonts w:ascii="Palatino Linotype" w:eastAsia="Palatino Linotype" w:hAnsi="Palatino Linotype" w:cs="Palatino Linotype"/>
          <w:b/>
          <w:color w:val="000000"/>
        </w:rPr>
        <w:t>00084/TEPETLAO/IP/2021</w:t>
      </w:r>
      <w:r>
        <w:rPr>
          <w:rFonts w:ascii="Palatino Linotype" w:eastAsia="Palatino Linotype" w:hAnsi="Palatino Linotype" w:cs="Palatino Linotype"/>
          <w:color w:val="000000"/>
        </w:rPr>
        <w:t>, se advierte que el entonces solicitante requirió lo siguiente:</w:t>
      </w:r>
    </w:p>
    <w:p w14:paraId="32D98FB3" w14:textId="77777777" w:rsidR="00996EF6" w:rsidRDefault="00B4486C">
      <w:pPr>
        <w:numPr>
          <w:ilvl w:val="1"/>
          <w:numId w:val="12"/>
        </w:numPr>
        <w:pBdr>
          <w:top w:val="nil"/>
          <w:left w:val="nil"/>
          <w:bottom w:val="nil"/>
          <w:right w:val="nil"/>
          <w:between w:val="nil"/>
        </w:pBdr>
        <w:tabs>
          <w:tab w:val="left" w:pos="426"/>
        </w:tabs>
        <w:spacing w:before="240" w:after="240"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Monto que se factura mensualmente en alumbrado público;</w:t>
      </w:r>
    </w:p>
    <w:p w14:paraId="5F6A8BEF" w14:textId="77777777" w:rsidR="00996EF6" w:rsidRDefault="00B4486C">
      <w:pPr>
        <w:numPr>
          <w:ilvl w:val="1"/>
          <w:numId w:val="12"/>
        </w:numPr>
        <w:pBdr>
          <w:top w:val="nil"/>
          <w:left w:val="nil"/>
          <w:bottom w:val="nil"/>
          <w:right w:val="nil"/>
          <w:between w:val="nil"/>
        </w:pBdr>
        <w:tabs>
          <w:tab w:val="left" w:pos="426"/>
        </w:tabs>
        <w:spacing w:before="240" w:after="240"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Monto que se recauda por derechos de alumbrado público;</w:t>
      </w:r>
    </w:p>
    <w:p w14:paraId="15873BB9" w14:textId="77777777" w:rsidR="00996EF6" w:rsidRDefault="00B4486C">
      <w:pPr>
        <w:numPr>
          <w:ilvl w:val="1"/>
          <w:numId w:val="12"/>
        </w:numPr>
        <w:pBdr>
          <w:top w:val="nil"/>
          <w:left w:val="nil"/>
          <w:bottom w:val="nil"/>
          <w:right w:val="nil"/>
          <w:between w:val="nil"/>
        </w:pBdr>
        <w:tabs>
          <w:tab w:val="left" w:pos="426"/>
        </w:tabs>
        <w:spacing w:before="240" w:after="240"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Adeudo que se genera;</w:t>
      </w:r>
    </w:p>
    <w:p w14:paraId="000AF144" w14:textId="77777777" w:rsidR="00996EF6" w:rsidRDefault="00B4486C">
      <w:pPr>
        <w:numPr>
          <w:ilvl w:val="1"/>
          <w:numId w:val="12"/>
        </w:numPr>
        <w:pBdr>
          <w:top w:val="nil"/>
          <w:left w:val="nil"/>
          <w:bottom w:val="nil"/>
          <w:right w:val="nil"/>
          <w:between w:val="nil"/>
        </w:pBdr>
        <w:tabs>
          <w:tab w:val="left" w:pos="426"/>
        </w:tabs>
        <w:spacing w:before="240" w:after="240"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Señalar si ya se pagó o no la diferencia entre la facturación y DAP; y</w:t>
      </w:r>
    </w:p>
    <w:p w14:paraId="3ED67500" w14:textId="77777777" w:rsidR="00996EF6" w:rsidRDefault="00B4486C">
      <w:pPr>
        <w:numPr>
          <w:ilvl w:val="1"/>
          <w:numId w:val="12"/>
        </w:numPr>
        <w:pBdr>
          <w:top w:val="nil"/>
          <w:left w:val="nil"/>
          <w:bottom w:val="nil"/>
          <w:right w:val="nil"/>
          <w:between w:val="nil"/>
        </w:pBdr>
        <w:tabs>
          <w:tab w:val="left" w:pos="426"/>
        </w:tabs>
        <w:spacing w:before="240" w:after="240"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Señalar si existe un saldo a favor del municipio.</w:t>
      </w:r>
    </w:p>
    <w:p w14:paraId="44535CCA"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se omite mencionar que el particular solicitó la información, textualmente, mes por mes, por el periodo comprendido del uno (01) de enero de dos mil veinte al treinta y uno (31) de octubre de dos mil veintiuno. </w:t>
      </w:r>
    </w:p>
    <w:p w14:paraId="4D1B860D" w14:textId="77777777" w:rsidR="00996EF6" w:rsidRDefault="00B4486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Debe traerse a colación </w:t>
      </w:r>
      <w:r>
        <w:rPr>
          <w:rFonts w:ascii="Palatino Linotype" w:eastAsia="Palatino Linotype" w:hAnsi="Palatino Linotype" w:cs="Palatino Linotype"/>
        </w:rPr>
        <w:t xml:space="preserve">lo dispuesto en la Constitución Política del Estado Libre y Soberano de México en su artículo 129, en el que se determina que los recursos económicos del Estado, de los Municipios, así como de los Organismos Autónomos, se rigen bajo los principios de eficiencia, eficacia y honradez en el ejercicio de la función pública, para cumplir los objetivos y programas a los que estén destinados. </w:t>
      </w:r>
    </w:p>
    <w:p w14:paraId="33F2844E" w14:textId="77777777" w:rsidR="00996EF6" w:rsidRDefault="00B4486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los artículos 31 fracciones XVIII y XIX y 95 fracciones I y IV de la Ley Orgánica Municipal del Estado de México, que disponen como atribuciones de los ayuntamientos, lo siguiente:</w:t>
      </w:r>
    </w:p>
    <w:p w14:paraId="79CA672B"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Son atribuciones de los ayuntamientos:</w:t>
      </w:r>
    </w:p>
    <w:p w14:paraId="64E4DDB8" w14:textId="77777777" w:rsidR="00996EF6" w:rsidRDefault="00B4486C">
      <w:pPr>
        <w:tabs>
          <w:tab w:val="left" w:pos="6600"/>
        </w:tabs>
        <w:spacing w:after="120" w:line="276" w:lineRule="auto"/>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b/>
          <w:i/>
          <w:sz w:val="22"/>
          <w:szCs w:val="22"/>
        </w:rPr>
        <w:tab/>
      </w:r>
    </w:p>
    <w:p w14:paraId="3B1ADAD9"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ab/>
        <w:t>Administrar su hacienda en términos de ley, y controlar a través del presidente y síndico la aplicación del presupuesto de egresos del municipio;</w:t>
      </w:r>
    </w:p>
    <w:p w14:paraId="104A8C1B"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16ED900C"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XIX.</w:t>
      </w:r>
      <w:r>
        <w:rPr>
          <w:rFonts w:ascii="Palatino Linotype" w:eastAsia="Palatino Linotype" w:hAnsi="Palatino Linotype" w:cs="Palatino Linotype"/>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32BBE497"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6D3D5297"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64964D9C"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ayuntamientos podrán promover el financiamiento de proyectos productivos de las mujeres emprendedoras.</w:t>
      </w:r>
    </w:p>
    <w:p w14:paraId="752C4318" w14:textId="77777777" w:rsidR="00996EF6" w:rsidRDefault="00B4486C">
      <w:pPr>
        <w:spacing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95</w:t>
      </w:r>
      <w:r>
        <w:rPr>
          <w:rFonts w:ascii="Palatino Linotype" w:eastAsia="Palatino Linotype" w:hAnsi="Palatino Linotype" w:cs="Palatino Linotype"/>
          <w:i/>
          <w:sz w:val="22"/>
          <w:szCs w:val="22"/>
        </w:rPr>
        <w:t xml:space="preserve">.-Son atribuciones del tesorero municipal: </w:t>
      </w:r>
    </w:p>
    <w:p w14:paraId="3E16DF5D" w14:textId="77777777" w:rsidR="00996EF6" w:rsidRDefault="00B4486C">
      <w:pPr>
        <w:spacing w:after="12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Administrar la hacienda pública municipal, de conformidad con las disposiciones legales aplicables;</w:t>
      </w:r>
    </w:p>
    <w:p w14:paraId="0E83BF24" w14:textId="77777777" w:rsidR="00996EF6" w:rsidRDefault="00B4486C">
      <w:pPr>
        <w:spacing w:after="120"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F487F13" w14:textId="77777777" w:rsidR="00996EF6" w:rsidRDefault="00B4486C">
      <w:pPr>
        <w:spacing w:after="12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Llevar los registros contables, financieros y administrativos de los ingresos, egresos, e inventarios;..”</w:t>
      </w:r>
    </w:p>
    <w:p w14:paraId="4B3FE22E" w14:textId="77777777" w:rsidR="00996EF6" w:rsidRDefault="00B4486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atribución del Tesorero Municipal, el llevar los registros contables, financieros y administrativos de los ingresos, egresos e inventarios. </w:t>
      </w:r>
    </w:p>
    <w:p w14:paraId="6CD4D64D"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toda vez que la información solicitada se relaciona con la información contable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conviene referir que el Código Financiero del Estado de México, en su artículo 344, establece que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w:t>
      </w:r>
      <w:r>
        <w:rPr>
          <w:rFonts w:ascii="Palatino Linotype" w:eastAsia="Palatino Linotype" w:hAnsi="Palatino Linotype" w:cs="Palatino Linotype"/>
          <w:b/>
          <w:color w:val="000000"/>
        </w:rPr>
        <w:t>en el caso de los Municipios, se hará por la Tesorería</w:t>
      </w:r>
      <w:r>
        <w:rPr>
          <w:rFonts w:ascii="Palatino Linotype" w:eastAsia="Palatino Linotype" w:hAnsi="Palatino Linotype" w:cs="Palatino Linotype"/>
          <w:color w:val="000000"/>
        </w:rPr>
        <w:t>.</w:t>
      </w:r>
    </w:p>
    <w:p w14:paraId="3C2E2EC6"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es que </w:t>
      </w:r>
      <w:r>
        <w:rPr>
          <w:rFonts w:ascii="Palatino Linotype" w:eastAsia="Palatino Linotype" w:hAnsi="Palatino Linotype" w:cs="Palatino Linotype"/>
          <w:b/>
          <w:color w:val="000000"/>
        </w:rPr>
        <w:t>todo registro contable y presupuestal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deberá estar soportado con los documentos comprobatorios originales o en medios electrónicos</w:t>
      </w:r>
      <w:r>
        <w:rPr>
          <w:rFonts w:ascii="Palatino Linotype" w:eastAsia="Palatino Linotype" w:hAnsi="Palatino Linotype" w:cs="Palatino Linotype"/>
          <w:color w:val="000000"/>
        </w:rPr>
        <w:t xml:space="preserve">, los que deberán permanecer en custodia y conservación de los Entes Públicos a través de las unidades administrativas que ejercieron el gasto y a </w:t>
      </w:r>
      <w:r>
        <w:rPr>
          <w:rFonts w:ascii="Palatino Linotype" w:eastAsia="Palatino Linotype" w:hAnsi="Palatino Linotype" w:cs="Palatino Linotype"/>
          <w:color w:val="000000"/>
        </w:rPr>
        <w:lastRenderedPageBreak/>
        <w:t xml:space="preserve">disposición de los Órganos de Fiscalización locales y federales, según corresponda, así como de los órganos internos de control; nuevamente, en el caso de los Municipios, dicha obligación corresponderá a la </w:t>
      </w:r>
      <w:r>
        <w:rPr>
          <w:rFonts w:ascii="Palatino Linotype" w:eastAsia="Palatino Linotype" w:hAnsi="Palatino Linotype" w:cs="Palatino Linotype"/>
          <w:b/>
          <w:color w:val="000000"/>
        </w:rPr>
        <w:t>Tesorería</w:t>
      </w:r>
      <w:r>
        <w:rPr>
          <w:rFonts w:ascii="Palatino Linotype" w:eastAsia="Palatino Linotype" w:hAnsi="Palatino Linotype" w:cs="Palatino Linotype"/>
          <w:b/>
          <w:color w:val="000000"/>
          <w:vertAlign w:val="superscript"/>
        </w:rPr>
        <w:footnoteReference w:id="2"/>
      </w:r>
      <w:r>
        <w:rPr>
          <w:rFonts w:ascii="Palatino Linotype" w:eastAsia="Palatino Linotype" w:hAnsi="Palatino Linotype" w:cs="Palatino Linotype"/>
          <w:color w:val="000000"/>
        </w:rPr>
        <w:t>.</w:t>
      </w:r>
    </w:p>
    <w:p w14:paraId="52C543DC"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es ocioso mencionar que el “</w:t>
      </w:r>
      <w:r>
        <w:rPr>
          <w:rFonts w:ascii="Palatino Linotype" w:eastAsia="Palatino Linotype" w:hAnsi="Palatino Linotype" w:cs="Palatino Linotype"/>
          <w:i/>
          <w:color w:val="000000"/>
        </w:rPr>
        <w:t>Glosario de Términos Administrativos”, emitido por el Instituto Nacional de Administración Pública, A.C.</w:t>
      </w:r>
      <w:r>
        <w:rPr>
          <w:rFonts w:ascii="Palatino Linotype" w:eastAsia="Palatino Linotype" w:hAnsi="Palatino Linotype" w:cs="Palatino Linotype"/>
          <w:color w:val="000000"/>
        </w:rPr>
        <w:t>” y el “</w:t>
      </w:r>
      <w:r>
        <w:rPr>
          <w:rFonts w:ascii="Palatino Linotype" w:eastAsia="Palatino Linotype" w:hAnsi="Palatino Linotype" w:cs="Palatino Linotype"/>
          <w:i/>
          <w:color w:val="000000"/>
        </w:rPr>
        <w:t>Glosario de Términos para el Proceso de Planeación, Programación, Presupuestación y Evaluación en la Administración Pública</w:t>
      </w:r>
      <w:r>
        <w:rPr>
          <w:rFonts w:ascii="Palatino Linotype" w:eastAsia="Palatino Linotype" w:hAnsi="Palatino Linotype" w:cs="Palatino Linotype"/>
          <w:color w:val="000000"/>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74C93845" w14:textId="77777777" w:rsidR="00996EF6" w:rsidRDefault="00B4486C">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Registro Contable:</w:t>
      </w:r>
      <w:r>
        <w:rPr>
          <w:rFonts w:ascii="Palatino Linotype" w:eastAsia="Palatino Linotype" w:hAnsi="Palatino Linotype" w:cs="Palatino Linotype"/>
          <w:color w:val="000000"/>
          <w:sz w:val="22"/>
          <w:szCs w:val="22"/>
        </w:rPr>
        <w:t xml:space="preserve"> Asiento que se realiza en los libros de contabilidad de las actividades relacionadas con el ingreso y egresos de un ente económico.</w:t>
      </w:r>
    </w:p>
    <w:p w14:paraId="668097BD" w14:textId="77777777" w:rsidR="00996EF6" w:rsidRDefault="00B4486C">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Registro Presupuestario:</w:t>
      </w:r>
      <w:r>
        <w:rPr>
          <w:rFonts w:ascii="Palatino Linotype" w:eastAsia="Palatino Linotype" w:hAnsi="Palatino Linotype" w:cs="Palatino Linotype"/>
          <w:color w:val="000000"/>
          <w:sz w:val="22"/>
          <w:szCs w:val="22"/>
        </w:rPr>
        <w:t xml:space="preserve"> Asiento contable de las erogaciones realizadas por las dependencias y entidades con relación a la asignación, modificación y ejercicio de recursos presupuestarios.</w:t>
      </w:r>
    </w:p>
    <w:p w14:paraId="6E4A246B"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entonces, podemos concluir que los registros contables y presupuestarios son un medio de control financiero, cuyos movimientos deberán estar sustentados con los documentos comprobatorios que reflejen el flujo económico llevado a cabo en cada movimiento de los registros, siendo éstos, de manera enunciativa mas no limitativa, los comprobantes fiscales generados por el cobro y pago de productos y servicios.</w:t>
      </w:r>
    </w:p>
    <w:p w14:paraId="2D641941"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las cosas, este Organismo Garante considera que los documentos que pudieran informar respecto del monto facturado mensualmente por alumbrado público, así como el monto de recaudación por DAP, así como si existen adeudos y diferencias de facturación y DAP, de manera enunciativa más no limitativa pudiera ser el recibo de pago emitido por la Comisión Federal de Electricidad, tal y como se desprende de la siguiente imagen:</w:t>
      </w:r>
    </w:p>
    <w:p w14:paraId="74299A2B" w14:textId="77777777" w:rsidR="00996EF6" w:rsidRDefault="00996EF6">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7B0C4F5D" w14:textId="77777777" w:rsidR="00996EF6" w:rsidRDefault="00B4486C">
      <w:pPr>
        <w:pBdr>
          <w:top w:val="nil"/>
          <w:left w:val="nil"/>
          <w:bottom w:val="nil"/>
          <w:right w:val="nil"/>
          <w:between w:val="nil"/>
        </w:pBdr>
        <w:tabs>
          <w:tab w:val="left" w:pos="426"/>
        </w:tabs>
        <w:spacing w:before="240" w:after="240" w:line="360" w:lineRule="auto"/>
        <w:ind w:right="51"/>
        <w:jc w:val="center"/>
        <w:rPr>
          <w:rFonts w:ascii="Palatino Linotype" w:eastAsia="Palatino Linotype" w:hAnsi="Palatino Linotype" w:cs="Palatino Linotype"/>
          <w:color w:val="000000"/>
        </w:rPr>
      </w:pPr>
      <w:r>
        <w:rPr>
          <w:color w:val="000000"/>
        </w:rPr>
        <w:object w:dxaOrig="7668" w:dyaOrig="6204" w14:anchorId="268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pt;height:310.2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5" DrawAspect="Content" ObjectID="_1710691607" r:id="rId18"/>
        </w:object>
      </w:r>
    </w:p>
    <w:p w14:paraId="224DAAC8"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imagen anterior, se aprecia que, en primer lugar, el recibo establece la temporalidad por la que se aplica el cobro del servicio; posteriormente, en el cuadro </w:t>
      </w:r>
      <w:r>
        <w:rPr>
          <w:rFonts w:ascii="Palatino Linotype" w:eastAsia="Palatino Linotype" w:hAnsi="Palatino Linotype" w:cs="Palatino Linotype"/>
          <w:color w:val="000000"/>
        </w:rPr>
        <w:lastRenderedPageBreak/>
        <w:t xml:space="preserve">que se denomina </w:t>
      </w:r>
      <w:r>
        <w:rPr>
          <w:rFonts w:ascii="Palatino Linotype" w:eastAsia="Palatino Linotype" w:hAnsi="Palatino Linotype" w:cs="Palatino Linotype"/>
          <w:i/>
          <w:color w:val="000000"/>
        </w:rPr>
        <w:t>Desglose del importe a pagar</w:t>
      </w:r>
      <w:r>
        <w:rPr>
          <w:rFonts w:ascii="Palatino Linotype" w:eastAsia="Palatino Linotype" w:hAnsi="Palatino Linotype" w:cs="Palatino Linotype"/>
          <w:color w:val="000000"/>
        </w:rPr>
        <w:t xml:space="preserve">, se muestran los conceptos de </w:t>
      </w:r>
      <w:r>
        <w:rPr>
          <w:rFonts w:ascii="Palatino Linotype" w:eastAsia="Palatino Linotype" w:hAnsi="Palatino Linotype" w:cs="Palatino Linotype"/>
          <w:b/>
          <w:color w:val="000000"/>
        </w:rPr>
        <w:t>derecho de alumbrado público, cargos o créditos, así como adeudos y pagos anteriores</w:t>
      </w:r>
      <w:r>
        <w:rPr>
          <w:rFonts w:ascii="Palatino Linotype" w:eastAsia="Palatino Linotype" w:hAnsi="Palatino Linotype" w:cs="Palatino Linotype"/>
          <w:color w:val="000000"/>
        </w:rPr>
        <w:t>.</w:t>
      </w:r>
    </w:p>
    <w:p w14:paraId="189D8836"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Consecuencia de lo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entrega de las facturas por concepto de consumo de energía eléctrica en el alumbrado público municipal, generadas por el periodo comprendido del uno (01) de enero de dos mil veinte al treinta y uno (31) de octubre de dos mil veintiuno, de ser procedente en versión pública.</w:t>
      </w:r>
    </w:p>
    <w:p w14:paraId="6E7F3304" w14:textId="77777777" w:rsidR="00996EF6" w:rsidRDefault="00996EF6">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20D51186" w14:textId="77777777" w:rsidR="00996EF6" w:rsidRDefault="00B4486C">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2. Del censo y sus resultados, correspondiente al punto II de la solicitud. </w:t>
      </w:r>
    </w:p>
    <w:p w14:paraId="290DF8E7"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el estudio de este punto, conviene iniciar precisando lo que el particular requiere requirió el </w:t>
      </w:r>
      <w:r>
        <w:rPr>
          <w:rFonts w:ascii="Palatino Linotype" w:eastAsia="Palatino Linotype" w:hAnsi="Palatino Linotype" w:cs="Palatino Linotype"/>
          <w:b/>
          <w:u w:val="single"/>
        </w:rPr>
        <w:t>censo de alumbrado público firmado por la Comisión Federal de Electricidad en 2020, o es en su caso el más reciente</w:t>
      </w:r>
      <w:r>
        <w:rPr>
          <w:rFonts w:ascii="Palatino Linotype" w:eastAsia="Palatino Linotype" w:hAnsi="Palatino Linotype" w:cs="Palatino Linotype"/>
        </w:rPr>
        <w:t xml:space="preserve"> en el que se desglose la siguiente información: </w:t>
      </w:r>
    </w:p>
    <w:p w14:paraId="18128ABD" w14:textId="77777777" w:rsidR="00996EF6" w:rsidRDefault="00B4486C">
      <w:pPr>
        <w:widowControl w:val="0"/>
        <w:numPr>
          <w:ilvl w:val="1"/>
          <w:numId w:val="11"/>
        </w:numPr>
        <w:pBdr>
          <w:top w:val="nil"/>
          <w:left w:val="nil"/>
          <w:bottom w:val="nil"/>
          <w:right w:val="nil"/>
          <w:between w:val="nil"/>
        </w:pBdr>
        <w:tabs>
          <w:tab w:val="left" w:pos="567"/>
        </w:tabs>
        <w:spacing w:before="240" w:after="240" w:line="360" w:lineRule="auto"/>
        <w:ind w:left="567" w:right="115"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Cantidad de luminarias y balastros, el tipo de equipos, la capacidad (</w:t>
      </w:r>
      <w:r>
        <w:rPr>
          <w:rFonts w:ascii="Palatino Linotype" w:eastAsia="Palatino Linotype" w:hAnsi="Palatino Linotype" w:cs="Palatino Linotype"/>
          <w:b/>
          <w:color w:val="000000"/>
        </w:rPr>
        <w:t>potencia</w:t>
      </w:r>
      <w:r>
        <w:rPr>
          <w:rFonts w:ascii="Palatino Linotype" w:eastAsia="Palatino Linotype" w:hAnsi="Palatino Linotype" w:cs="Palatino Linotype"/>
          <w:color w:val="000000"/>
        </w:rPr>
        <w:t>), la ubicación (</w:t>
      </w:r>
      <w:r>
        <w:rPr>
          <w:rFonts w:ascii="Palatino Linotype" w:eastAsia="Palatino Linotype" w:hAnsi="Palatino Linotype" w:cs="Palatino Linotype"/>
          <w:b/>
          <w:color w:val="000000"/>
        </w:rPr>
        <w:t>calle y/o colonia y/o delegación</w:t>
      </w:r>
      <w:r>
        <w:rPr>
          <w:rFonts w:ascii="Palatino Linotype" w:eastAsia="Palatino Linotype" w:hAnsi="Palatino Linotype" w:cs="Palatino Linotype"/>
          <w:color w:val="000000"/>
        </w:rPr>
        <w:t>), y el tipo de poste en el que están montadas las luminarias (</w:t>
      </w:r>
      <w:r>
        <w:rPr>
          <w:rFonts w:ascii="Palatino Linotype" w:eastAsia="Palatino Linotype" w:hAnsi="Palatino Linotype" w:cs="Palatino Linotype"/>
          <w:b/>
          <w:color w:val="000000"/>
        </w:rPr>
        <w:t>lámina, concreto, madera etcétera</w:t>
      </w:r>
      <w:r>
        <w:rPr>
          <w:rFonts w:ascii="Palatino Linotype" w:eastAsia="Palatino Linotype" w:hAnsi="Palatino Linotype" w:cs="Palatino Linotype"/>
          <w:color w:val="000000"/>
        </w:rPr>
        <w:t>).</w:t>
      </w:r>
    </w:p>
    <w:p w14:paraId="1A613FD1" w14:textId="77777777" w:rsidR="00996EF6" w:rsidRDefault="00B4486C">
      <w:pPr>
        <w:widowControl w:val="0"/>
        <w:numPr>
          <w:ilvl w:val="1"/>
          <w:numId w:val="11"/>
        </w:numPr>
        <w:pBdr>
          <w:top w:val="nil"/>
          <w:left w:val="nil"/>
          <w:bottom w:val="nil"/>
          <w:right w:val="nil"/>
          <w:between w:val="nil"/>
        </w:pBdr>
        <w:tabs>
          <w:tab w:val="left" w:pos="567"/>
        </w:tabs>
        <w:spacing w:before="240" w:after="240" w:line="360" w:lineRule="auto"/>
        <w:ind w:left="567" w:right="115"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Registro Permanente de Usuario (RPU o RPUs) asignado (s) al servicio de alumbrado público municipal tanto del servicio estimado como del servicio medido.</w:t>
      </w:r>
    </w:p>
    <w:p w14:paraId="1FD9EF86" w14:textId="77777777" w:rsidR="00996EF6" w:rsidRDefault="00B4486C">
      <w:pPr>
        <w:widowControl w:val="0"/>
        <w:numPr>
          <w:ilvl w:val="1"/>
          <w:numId w:val="11"/>
        </w:numPr>
        <w:pBdr>
          <w:top w:val="nil"/>
          <w:left w:val="nil"/>
          <w:bottom w:val="nil"/>
          <w:right w:val="nil"/>
          <w:between w:val="nil"/>
        </w:pBdr>
        <w:tabs>
          <w:tab w:val="left" w:pos="567"/>
        </w:tabs>
        <w:spacing w:before="240" w:after="240" w:line="360" w:lineRule="auto"/>
        <w:ind w:left="567" w:right="115"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Cantidad desglosada de luminarias y balastros instalados, el tipo de equipos y su capacidad (potencia) instalados en las avenidas principales del </w:t>
      </w:r>
      <w:r>
        <w:rPr>
          <w:rFonts w:ascii="Palatino Linotype" w:eastAsia="Palatino Linotype" w:hAnsi="Palatino Linotype" w:cs="Palatino Linotype"/>
          <w:color w:val="000000"/>
        </w:rPr>
        <w:lastRenderedPageBreak/>
        <w:t>municipio.</w:t>
      </w:r>
    </w:p>
    <w:p w14:paraId="06C69CCF" w14:textId="77777777" w:rsidR="00996EF6" w:rsidRDefault="00B4486C">
      <w:pPr>
        <w:widowControl w:val="0"/>
        <w:numPr>
          <w:ilvl w:val="1"/>
          <w:numId w:val="11"/>
        </w:numPr>
        <w:pBdr>
          <w:top w:val="nil"/>
          <w:left w:val="nil"/>
          <w:bottom w:val="nil"/>
          <w:right w:val="nil"/>
          <w:between w:val="nil"/>
        </w:pBdr>
        <w:tabs>
          <w:tab w:val="left" w:pos="567"/>
        </w:tabs>
        <w:spacing w:before="240" w:after="240" w:line="360" w:lineRule="auto"/>
        <w:ind w:left="567" w:right="115"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Cantidad de luminarias y balastros instalados, el tipo de equipos y su capacidad (potencia) instalados que </w:t>
      </w:r>
      <w:r>
        <w:rPr>
          <w:rFonts w:ascii="Palatino Linotype" w:eastAsia="Palatino Linotype" w:hAnsi="Palatino Linotype" w:cs="Palatino Linotype"/>
          <w:b/>
          <w:color w:val="000000"/>
        </w:rPr>
        <w:t>poseen equipo de medición</w:t>
      </w:r>
      <w:r>
        <w:rPr>
          <w:rFonts w:ascii="Palatino Linotype" w:eastAsia="Palatino Linotype" w:hAnsi="Palatino Linotype" w:cs="Palatino Linotype"/>
          <w:color w:val="000000"/>
        </w:rPr>
        <w:t>.</w:t>
      </w:r>
    </w:p>
    <w:p w14:paraId="0C7A5C5D" w14:textId="77777777" w:rsidR="00996EF6" w:rsidRDefault="00B4486C">
      <w:pPr>
        <w:spacing w:before="240" w:after="240"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Se insiste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únicamente proporcionó el tipo de equipos luminarios y su capacidad; no obstante, no se tiene la certeza si se trata del tipo de equipo y su capacidad, instalados en las avenidas principales del municipio o equipos instalados que poseen equipo de medición. </w:t>
      </w:r>
    </w:p>
    <w:p w14:paraId="4D3600E0" w14:textId="77777777" w:rsidR="00996EF6" w:rsidRDefault="00B4486C">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Bajo este tenor y visto desde la perspectiva planteada por el particular en su solicitud de acceso a la información, se tiene la necesidad de recurrir al contenido del Diccionario de la Real Academia Española, para establecer nuestro estudio a partir de la definición de la palabra “censo”, que es conceptualizada como </w:t>
      </w:r>
      <w:r>
        <w:rPr>
          <w:rFonts w:ascii="Palatino Linotype" w:eastAsia="Palatino Linotype" w:hAnsi="Palatino Linotype" w:cs="Palatino Linotype"/>
          <w:i/>
        </w:rPr>
        <w:t>el padrón o lista de la población o riqueza de una nación o pueblo.</w:t>
      </w:r>
    </w:p>
    <w:p w14:paraId="2BCC67D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dichos argumentos, este 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efectuar cálculos o investigaciones para presentarla conforme al interés de los particulares.</w:t>
      </w:r>
    </w:p>
    <w:p w14:paraId="5BB89478" w14:textId="77777777" w:rsidR="00996EF6" w:rsidRDefault="00B4486C">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lastRenderedPageBreak/>
        <w:t xml:space="preserve">En este sentido, es de señalar que un censo es un proceso por medio del cual se realiza el conteo y diagnóstico de un tema en específico; en ese orden de ideas, este Instituto localizó el documento denominado Procedimiento del Control de Servicios de Alumbrado Público (consultado el quince de marzo de dos mil veintidós, en la página electrónica https://www.gob.mx/cms/uploads/attachment/file/127275/Proc_Control_Servicios_Alumbrado_P_blico_2011.pdf,) realizado por la Subdirección de Distribución de la Comisión Federal de Electricidad, que establece que los censos de alumbrado público deberán realizarse </w:t>
      </w:r>
      <w:r>
        <w:rPr>
          <w:rFonts w:ascii="Palatino Linotype" w:eastAsia="Palatino Linotype" w:hAnsi="Palatino Linotype" w:cs="Palatino Linotype"/>
          <w:b/>
          <w:u w:val="single"/>
        </w:rPr>
        <w:t>conjuntamente con los funcionarios autorizados por la autoridad municipal.</w:t>
      </w:r>
    </w:p>
    <w:p w14:paraId="5324B8FA"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w:t>
      </w:r>
    </w:p>
    <w:p w14:paraId="42D9328D" w14:textId="77777777" w:rsidR="00996EF6" w:rsidRDefault="00B4486C">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Ciudades con más de 100,000 usuarios.</w:t>
      </w:r>
    </w:p>
    <w:p w14:paraId="21751BFF" w14:textId="77777777" w:rsidR="00996EF6" w:rsidRDefault="00B4486C">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resto de las ciudades, cuando menos una vez al año.</w:t>
      </w:r>
    </w:p>
    <w:p w14:paraId="24BFD822" w14:textId="77777777" w:rsidR="00996EF6" w:rsidRDefault="00B4486C">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Censos entregados a las administraciones estatales o municipales salientes: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6ED369AA"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dicho censo se conformará por los siguientes Anexos:</w:t>
      </w:r>
    </w:p>
    <w:p w14:paraId="3F898C61"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 Convenio;</w:t>
      </w:r>
    </w:p>
    <w:p w14:paraId="1ADB3530"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Desglose del censo;</w:t>
      </w:r>
    </w:p>
    <w:p w14:paraId="66944502"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3. Resumen del censo;</w:t>
      </w:r>
    </w:p>
    <w:p w14:paraId="61283E02"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4. Minuta;</w:t>
      </w:r>
    </w:p>
    <w:p w14:paraId="5FDFBC39"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Reporte de alta, bajas o modificaciones;</w:t>
      </w:r>
    </w:p>
    <w:p w14:paraId="2544CD52"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 Reporte de correcciones de lámparas 24 horas, y</w:t>
      </w:r>
    </w:p>
    <w:p w14:paraId="5B858ADE"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7. Formato de verificación de ahorros de lámparas de alumbrado público con atenuador.</w:t>
      </w:r>
    </w:p>
    <w:p w14:paraId="2D2D5CD0"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Manual de Procedimiento Para la Integración de Consumos de los Servicios de Alumbrado Público, Semáforos y otras Cargas Directas, prevé sobre los censos, lo siguiente: </w:t>
      </w:r>
    </w:p>
    <w:p w14:paraId="404E5C32"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“CENSOS </w:t>
      </w:r>
    </w:p>
    <w:p w14:paraId="1933D2B1" w14:textId="77777777" w:rsidR="00996EF6" w:rsidRDefault="00B4486C">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Gerencias Divisionales de Distribución analizarán y determinarán con base en los recursos económicos y humanos disponibles en las Superintendencias de Zonas de Distribución, si los trabajos de los censos de alumbrado público, semáforos y otras cargas directas se realizarán con personal de CFE Distribución y/o se contratará a un tercero especialista. </w:t>
      </w:r>
    </w:p>
    <w:p w14:paraId="742692AF" w14:textId="77777777" w:rsidR="00996EF6" w:rsidRDefault="00B4486C">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deberá enviar al suministrador que administre el contrato en cuestión, el Programa anual de censos de alumbrado público y semáforos (Formato 1) con 2 meses de anticipación del inicio de los trabajos. Por su parte el suministrador tendrá hasta 10 días naturales antes del inicio de los trabajos del censo, para </w:t>
      </w:r>
      <w:r>
        <w:rPr>
          <w:rFonts w:ascii="Palatino Linotype" w:eastAsia="Palatino Linotype" w:hAnsi="Palatino Linotype" w:cs="Palatino Linotype"/>
          <w:b/>
          <w:i/>
          <w:sz w:val="22"/>
          <w:szCs w:val="22"/>
        </w:rPr>
        <w:lastRenderedPageBreak/>
        <w:t xml:space="preserve">notificar de manera oficial el nombre y cargo de los representantes de los municipios o delegaciones que participarán en el desarrollo de dicho censo, así como para confirmar o solicitar cambios en las fechas de inicio. </w:t>
      </w:r>
    </w:p>
    <w:p w14:paraId="06D6413C"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suministrador deberá informar la modificación de los plazos en el programa a petición de las administraciones estatales o municipales que se encuentren en el último año de gestión</w:t>
      </w:r>
      <w:r>
        <w:rPr>
          <w:rFonts w:ascii="Palatino Linotype" w:eastAsia="Palatino Linotype" w:hAnsi="Palatino Linotype" w:cs="Palatino Linotype"/>
          <w:i/>
          <w:sz w:val="22"/>
          <w:szCs w:val="22"/>
        </w:rPr>
        <w:t xml:space="preserve">, o por condiciones extraordinarias que justifiquen el cambio, a fin de evitar retrasos en la conciliación de las cargas a integrar que resulten de la actualización de los censos. </w:t>
      </w:r>
    </w:p>
    <w:p w14:paraId="64913F6F" w14:textId="77777777" w:rsidR="00996EF6" w:rsidRDefault="00B4486C">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no recibir respuesta por escrito del suministrador con el nombre y cargo de los representantes designados en el plazo fijado y la confirmación o solicitud de cambio en las fechas de inicio, se realizará la ejecución del censo de alumbrado público y semáforos conforme al programa original y se notificará por escrito al suministrador el inicio y el resultado del censo al concluirlo, para que posteriormente el suministrador notifique al municipio, delegación o al particular el resultado del mismo. Estos deberán aceptar el censo obtenido y en consecuencia el ajuste resultante, de conformidad con lo establecido en el contrato firmado entre el usuario y el suministrador para la operación del alumbrado público y semáforos. </w:t>
      </w:r>
    </w:p>
    <w:p w14:paraId="333B7EB6" w14:textId="77777777" w:rsidR="00996EF6" w:rsidRDefault="00B4486C">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llevará cabo la ejecución de los censos de alumbrado público, semáforos y otras cargas directas de la siguiente manera: </w:t>
      </w:r>
    </w:p>
    <w:p w14:paraId="0C78C97D"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Se coordinará con el representante del sistema de alumbrado público o el particular, para llevar a cabo el levantamiento en campo de manera conjunta con personal de ambas partes. </w:t>
      </w:r>
    </w:p>
    <w:p w14:paraId="10D66AD3"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Se identificarán en un plano las luminarias y equipos que integran cada servicio, ya sean medidos o directos. </w:t>
      </w:r>
    </w:p>
    <w:p w14:paraId="0CCCCCCA"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Se sectorizará el área geográfica para identificar los servicios correspondientes. </w:t>
      </w:r>
    </w:p>
    <w:p w14:paraId="27D91456"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Se elaborarán los censos de alumbrado público, semáforos y otras cargas directas, relativos a cada servicio por sector y se continuará de la misma manera con los sectores restantes hasta cubrir la totalidad del área geográfica, incluyendo las poblaciones rurales y comunidades, si así fuera el caso. </w:t>
      </w:r>
    </w:p>
    <w:p w14:paraId="4DEDEE80"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 El </w:t>
      </w:r>
      <w:r>
        <w:rPr>
          <w:rFonts w:ascii="Palatino Linotype" w:eastAsia="Palatino Linotype" w:hAnsi="Palatino Linotype" w:cs="Palatino Linotype"/>
          <w:b/>
          <w:i/>
          <w:sz w:val="22"/>
          <w:szCs w:val="22"/>
          <w:u w:val="single"/>
        </w:rPr>
        <w:t>levantamiento físico para ubicar las luminarias y otras cargas directas deberá contar con las georeferencias correspondientes</w:t>
      </w:r>
      <w:r>
        <w:rPr>
          <w:rFonts w:ascii="Palatino Linotype" w:eastAsia="Palatino Linotype" w:hAnsi="Palatino Linotype" w:cs="Palatino Linotype"/>
          <w:i/>
          <w:sz w:val="22"/>
          <w:szCs w:val="22"/>
        </w:rPr>
        <w:t xml:space="preserve">. </w:t>
      </w:r>
    </w:p>
    <w:p w14:paraId="3BE37460"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Una vez concluido el censo de todos los sectores, se iniciará el proceso de preparación del nuevo censo con el primer sector, de tal manera que el programa de censos de alumbrado público, semáforos y otras cargas directas sea lo más continuo posible. </w:t>
      </w:r>
    </w:p>
    <w:p w14:paraId="1FF4527B" w14:textId="77777777" w:rsidR="00996EF6" w:rsidRDefault="00B4486C">
      <w:pPr>
        <w:spacing w:before="240" w:after="240"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g) Se deberá realizar un censo de alumbrado púbico, semáforos y otras cargas directas al menos una vez al año. </w:t>
      </w:r>
    </w:p>
    <w:p w14:paraId="7B0CF6B9"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Una vez ejecutado el censo y acordado el resultado con el representante del sistema de alumbrado público o el particular, se entregará por escrito al suministrador el resultado obtenido del mismo incluyendo cargos o créditos que procedan, en un máximo de 10 días naturales después de terminado el censo de cada sector, municipio o delegación.</w:t>
      </w:r>
      <w:r>
        <w:rPr>
          <w:rFonts w:ascii="Palatino Linotype" w:eastAsia="Palatino Linotype" w:hAnsi="Palatino Linotype" w:cs="Palatino Linotype"/>
          <w:i/>
          <w:sz w:val="22"/>
          <w:szCs w:val="22"/>
        </w:rPr>
        <w:t xml:space="preserve">” </w:t>
      </w:r>
    </w:p>
    <w:p w14:paraId="3B620055" w14:textId="77777777" w:rsidR="00996EF6" w:rsidRDefault="00B4486C">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(Énfasis añadido)</w:t>
      </w:r>
    </w:p>
    <w:p w14:paraId="39B390B9"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lo anteriormente citado que se colige que se genera un programa anual de censos, el cual se enviará al suministrador del servicio, en dicho programa se asentará la fecha del último censo, proceso, la programación para efectuar el próximo censo, recuperación y observaciones, sirve de ilustración la siguiente captura de pantalla: </w:t>
      </w:r>
    </w:p>
    <w:p w14:paraId="38C3ECDD" w14:textId="77777777" w:rsidR="00996EF6" w:rsidRDefault="00B4486C">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noProof/>
          <w:sz w:val="28"/>
          <w:szCs w:val="28"/>
          <w:lang w:val="es-MX"/>
        </w:rPr>
        <w:lastRenderedPageBreak/>
        <w:drawing>
          <wp:inline distT="0" distB="0" distL="0" distR="0" wp14:anchorId="0B7C6789" wp14:editId="3E9CA559">
            <wp:extent cx="4279375" cy="3792587"/>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279375" cy="3792587"/>
                    </a:xfrm>
                    <a:prstGeom prst="rect">
                      <a:avLst/>
                    </a:prstGeom>
                    <a:ln/>
                  </pic:spPr>
                </pic:pic>
              </a:graphicData>
            </a:graphic>
          </wp:inline>
        </w:drawing>
      </w:r>
    </w:p>
    <w:p w14:paraId="4F62A417" w14:textId="77777777" w:rsidR="00996EF6" w:rsidRDefault="00B4486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programa se someterá a consideración del suministrador, dos meses antes del inicio de los trabajos para efecto de que pueda notificar de manera oficial, el nombre y cargo de los representantes de los municipios o delegaciones que participarán en el desarrollo de dicho censo, así como para confirmar o solicitar cambios en las fechas de inicio; debe precisarse que en los casos en los que las administraciones municipales o estatales se encuentren en su último año de gestión, a petición de las mismas, los suministradores podrán modificar las fechas de los censos establecidos en el programa, finalmente el Manual en referencia establece que se deberá realizar un censo de alumbrado público, semáforos y otras cargas directas, al menos una vez al año. </w:t>
      </w:r>
    </w:p>
    <w:p w14:paraId="163DDCFA" w14:textId="77777777" w:rsidR="00996EF6" w:rsidRDefault="00B4486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Una vez practicado el censo y acordado el resultado con el representante del sistema de alumbrado público o el particular, se entregará por escrito al suministrador el resultado obtenido del mismo incluyendo </w:t>
      </w:r>
      <w:r>
        <w:rPr>
          <w:rFonts w:ascii="Palatino Linotype" w:eastAsia="Palatino Linotype" w:hAnsi="Palatino Linotype" w:cs="Palatino Linotype"/>
          <w:b/>
          <w:color w:val="000000"/>
          <w:u w:val="single"/>
        </w:rPr>
        <w:t>cargos o créditos que procedan</w:t>
      </w:r>
      <w:r>
        <w:rPr>
          <w:rFonts w:ascii="Palatino Linotype" w:eastAsia="Palatino Linotype" w:hAnsi="Palatino Linotype" w:cs="Palatino Linotype"/>
          <w:color w:val="000000"/>
        </w:rPr>
        <w:t xml:space="preserve">, en un máximo de 10 días naturales después de terminado el censo de cada sector, municipio o delegación, para mayor referencia, se inserta el siguiente cuadro del multicitado Manual: </w:t>
      </w:r>
    </w:p>
    <w:p w14:paraId="5E531565" w14:textId="77777777" w:rsidR="00996EF6" w:rsidRDefault="00B4486C">
      <w:pPr>
        <w:spacing w:before="240" w:after="240" w:line="360" w:lineRule="auto"/>
        <w:jc w:val="both"/>
        <w:rPr>
          <w:rFonts w:ascii="Palatino Linotype" w:eastAsia="Palatino Linotype" w:hAnsi="Palatino Linotype" w:cs="Palatino Linotype"/>
          <w:color w:val="000000"/>
        </w:rPr>
      </w:pPr>
      <w:r>
        <w:rPr>
          <w:noProof/>
          <w:lang w:val="es-MX"/>
        </w:rPr>
        <w:drawing>
          <wp:inline distT="0" distB="0" distL="0" distR="0" wp14:anchorId="1A80121D" wp14:editId="3E43A0A7">
            <wp:extent cx="5021358" cy="3289586"/>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021358" cy="3289586"/>
                    </a:xfrm>
                    <a:prstGeom prst="rect">
                      <a:avLst/>
                    </a:prstGeom>
                    <a:ln/>
                  </pic:spPr>
                </pic:pic>
              </a:graphicData>
            </a:graphic>
          </wp:inline>
        </w:drawing>
      </w:r>
    </w:p>
    <w:p w14:paraId="3468B4D6" w14:textId="77777777" w:rsidR="00996EF6" w:rsidRDefault="00B4486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suerte que una vez concluido el censo de alumbrado público y semáforos, se generan tres soportes documentales: desglose de resumen de alumbrado público y semáforos, resumen del censo y la minuta de trabajo, los cuales son de conocimiento de los usuarios finales, en este caso el Ayuntamiento de Tepetlaoxtoc, documentos que de manera enunciativa mas no limitativa pueden atender los requerimientos formulados por el particular en este rubro. </w:t>
      </w:r>
    </w:p>
    <w:p w14:paraId="2FEE33DC"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 se omite mencionar que, dentro del punto 02 del requerimiento de información, específicamente en el inciso </w:t>
      </w:r>
      <w:r>
        <w:rPr>
          <w:rFonts w:ascii="Palatino Linotype" w:eastAsia="Palatino Linotype" w:hAnsi="Palatino Linotype" w:cs="Palatino Linotype"/>
          <w:i/>
          <w:color w:val="000000"/>
        </w:rPr>
        <w:t>b)</w:t>
      </w:r>
      <w:r>
        <w:rPr>
          <w:rFonts w:ascii="Palatino Linotype" w:eastAsia="Palatino Linotype" w:hAnsi="Palatino Linotype" w:cs="Palatino Linotype"/>
          <w:color w:val="000000"/>
        </w:rPr>
        <w:t xml:space="preserve">, el particular también </w:t>
      </w:r>
      <w:r>
        <w:rPr>
          <w:rFonts w:ascii="Palatino Linotype" w:eastAsia="Palatino Linotype" w:hAnsi="Palatino Linotype" w:cs="Palatino Linotype"/>
          <w:b/>
          <w:color w:val="000000"/>
          <w:u w:val="single"/>
        </w:rPr>
        <w:t>requirió conocer el Registro Permanente de Usuario</w:t>
      </w:r>
      <w:r>
        <w:rPr>
          <w:rFonts w:ascii="Palatino Linotype" w:eastAsia="Palatino Linotype" w:hAnsi="Palatino Linotype" w:cs="Palatino Linotype"/>
          <w:color w:val="000000"/>
        </w:rPr>
        <w:t xml:space="preserve"> asignado al servicio de alumbrado público municipal; el cual también es un dato identificable dentro del recibo de energía eléctrica previamente analizado. </w:t>
      </w:r>
    </w:p>
    <w:p w14:paraId="604848A6"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es así toda vez que,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14:paraId="5017FE51" w14:textId="77777777" w:rsidR="00996EF6" w:rsidRDefault="00B4486C">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376F066" wp14:editId="44F148B4">
            <wp:extent cx="4467225" cy="2676525"/>
            <wp:effectExtent l="0" t="0" r="0" b="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467225" cy="2676525"/>
                    </a:xfrm>
                    <a:prstGeom prst="rect">
                      <a:avLst/>
                    </a:prstGeom>
                    <a:ln/>
                  </pic:spPr>
                </pic:pic>
              </a:graphicData>
            </a:graphic>
          </wp:inline>
        </w:drawing>
      </w:r>
    </w:p>
    <w:p w14:paraId="4384467D"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Registro Móvil de Usuario, o bien, según fue señalado por el particular en su solicitud de acceso a la información como Registro Permanente de Usuario (RPU o RPUs), se localiza en el “aviso de recibo”, como se observa en la siguiente captura de pantalla:</w:t>
      </w:r>
    </w:p>
    <w:p w14:paraId="4490F3D0"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77EFE73" wp14:editId="5DF4728B">
            <wp:extent cx="5359254" cy="2484000"/>
            <wp:effectExtent l="0" t="0" r="0" b="0"/>
            <wp:docPr id="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359254" cy="2484000"/>
                    </a:xfrm>
                    <a:prstGeom prst="rect">
                      <a:avLst/>
                    </a:prstGeom>
                    <a:ln/>
                  </pic:spPr>
                </pic:pic>
              </a:graphicData>
            </a:graphic>
          </wp:inline>
        </w:drawing>
      </w:r>
    </w:p>
    <w:p w14:paraId="07E65A91" w14:textId="77777777" w:rsidR="00996EF6" w:rsidRDefault="00996EF6">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2B2D24A6"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por cuanto hace a la cantidad desglosada de luminarias, el tipo de equipos y la capacidad de los mismos, así como el tipo de poste en que están montadas, el </w:t>
      </w:r>
      <w:r>
        <w:rPr>
          <w:rFonts w:ascii="Palatino Linotype" w:eastAsia="Palatino Linotype" w:hAnsi="Palatino Linotype" w:cs="Palatino Linotype"/>
          <w:b/>
        </w:rPr>
        <w:t xml:space="preserve">SUJETO OBLIADO </w:t>
      </w:r>
      <w:r>
        <w:rPr>
          <w:rFonts w:ascii="Palatino Linotype" w:eastAsia="Palatino Linotype" w:hAnsi="Palatino Linotype" w:cs="Palatino Linotype"/>
        </w:rPr>
        <w:t xml:space="preserve">únicamente se pronunció sobre el tipo de equipos luminarios, no obstante no refirió la cantidad de luminarias, balastros, capacidad; del mismo modo, no se precia el tipo de poste de luz en el que las luminarias están montadas. </w:t>
      </w:r>
    </w:p>
    <w:p w14:paraId="7DE3C214"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conviene referir que los artículos 246, fracción XXVI y 250 fracción VI del Bando Municipal de Tepetlaoxtoc de 2021 establecen: </w:t>
      </w:r>
    </w:p>
    <w:p w14:paraId="259967F0" w14:textId="77777777" w:rsidR="00996EF6" w:rsidRDefault="00B4486C">
      <w:pPr>
        <w:spacing w:before="240" w:after="24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“ARTÍCULO246</w:t>
      </w:r>
      <w:r>
        <w:rPr>
          <w:rFonts w:ascii="Palatino Linotype" w:eastAsia="Palatino Linotype" w:hAnsi="Palatino Linotype" w:cs="Palatino Linotype"/>
          <w:i/>
          <w:sz w:val="22"/>
          <w:szCs w:val="22"/>
        </w:rPr>
        <w:t>.ElH.Ayuntamiento tiene en materia de desarrollo urbano, las atribuciones siguientes:</w:t>
      </w:r>
    </w:p>
    <w:p w14:paraId="0935209B" w14:textId="77777777" w:rsidR="00996EF6" w:rsidRDefault="00B4486C">
      <w:pPr>
        <w:spacing w:before="240" w:after="24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 </w:t>
      </w:r>
      <w:r>
        <w:rPr>
          <w:rFonts w:ascii="Palatino Linotype" w:eastAsia="Palatino Linotype" w:hAnsi="Palatino Linotype" w:cs="Palatino Linotype"/>
          <w:b/>
          <w:i/>
          <w:sz w:val="22"/>
          <w:szCs w:val="22"/>
          <w:u w:val="single"/>
        </w:rPr>
        <w:t>Coordinar la administración y funcionamiento de los servicios públicos municipales con los planes y programas de desarrollo urbano</w:t>
      </w:r>
      <w:r>
        <w:rPr>
          <w:rFonts w:ascii="Palatino Linotype" w:eastAsia="Palatino Linotype" w:hAnsi="Palatino Linotype" w:cs="Palatino Linotype"/>
          <w:i/>
          <w:sz w:val="22"/>
          <w:szCs w:val="22"/>
        </w:rPr>
        <w:t>, así como supervisar que toda construcción con fines habitacionales, industriales, comerciales y de servicios, se ajuste a la normatividad del uso del suelo, construcción y alineamiento, conforme a lo establecido en el Plan de Desarrollo Urbano de Tepetlaoxtoc y demás ordenamientos aplicables.</w:t>
      </w:r>
    </w:p>
    <w:p w14:paraId="5630998C" w14:textId="77777777" w:rsidR="00996EF6" w:rsidRDefault="00B4486C">
      <w:pPr>
        <w:spacing w:before="240" w:after="24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250</w:t>
      </w:r>
      <w:r>
        <w:rPr>
          <w:rFonts w:ascii="Palatino Linotype" w:eastAsia="Palatino Linotype" w:hAnsi="Palatino Linotype" w:cs="Palatino Linotype"/>
          <w:i/>
          <w:sz w:val="22"/>
          <w:szCs w:val="22"/>
        </w:rPr>
        <w:t xml:space="preserve">. Es facultad del H. Ayuntamiento </w:t>
      </w:r>
      <w:r>
        <w:rPr>
          <w:rFonts w:ascii="Palatino Linotype" w:eastAsia="Palatino Linotype" w:hAnsi="Palatino Linotype" w:cs="Palatino Linotype"/>
          <w:b/>
          <w:i/>
          <w:sz w:val="22"/>
          <w:szCs w:val="22"/>
          <w:u w:val="single"/>
        </w:rPr>
        <w:t>coordinar, supervisar y, en su caso, ejecutar la obra pública realizada en el Municipio</w:t>
      </w:r>
      <w:r>
        <w:rPr>
          <w:rFonts w:ascii="Palatino Linotype" w:eastAsia="Palatino Linotype" w:hAnsi="Palatino Linotype" w:cs="Palatino Linotype"/>
          <w:i/>
          <w:sz w:val="22"/>
          <w:szCs w:val="22"/>
        </w:rPr>
        <w:t xml:space="preserve">, así como la urbanización en general. En materia de obra pública, el Ayuntamiento tiene las siguientes atribuciones:” </w:t>
      </w:r>
    </w:p>
    <w:p w14:paraId="217F7564" w14:textId="77777777" w:rsidR="00996EF6" w:rsidRDefault="00B4486C">
      <w:pPr>
        <w:spacing w:before="240" w:after="24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1C73587" w14:textId="77777777" w:rsidR="00996EF6" w:rsidRDefault="00B4486C">
      <w:pPr>
        <w:spacing w:before="240" w:after="240" w:line="360" w:lineRule="auto"/>
        <w:ind w:left="851" w:right="616"/>
        <w:jc w:val="both"/>
      </w:pPr>
      <w:r>
        <w:rPr>
          <w:rFonts w:ascii="Palatino Linotype" w:eastAsia="Palatino Linotype" w:hAnsi="Palatino Linotype" w:cs="Palatino Linotype"/>
          <w:i/>
          <w:sz w:val="22"/>
          <w:szCs w:val="22"/>
        </w:rPr>
        <w:t xml:space="preserve">VI. Impulsar, mediante el sistema de cooperación, la </w:t>
      </w:r>
      <w:r>
        <w:rPr>
          <w:rFonts w:ascii="Palatino Linotype" w:eastAsia="Palatino Linotype" w:hAnsi="Palatino Linotype" w:cs="Palatino Linotype"/>
          <w:b/>
          <w:i/>
          <w:sz w:val="22"/>
          <w:szCs w:val="22"/>
          <w:u w:val="single"/>
        </w:rPr>
        <w:t>construcción y mejoramiento de la infraestructura y equipamiento urbano</w:t>
      </w:r>
      <w:r>
        <w:rPr>
          <w:rFonts w:ascii="Palatino Linotype" w:eastAsia="Palatino Linotype" w:hAnsi="Palatino Linotype" w:cs="Palatino Linotype"/>
          <w:i/>
          <w:sz w:val="22"/>
          <w:szCs w:val="22"/>
        </w:rPr>
        <w:t>, a través de la aportación o donación de obras y equipo al H. Ayuntamiento</w:t>
      </w:r>
      <w:r>
        <w:t>.</w:t>
      </w:r>
    </w:p>
    <w:p w14:paraId="425D385C" w14:textId="77777777" w:rsidR="00996EF6" w:rsidRDefault="00B4486C">
      <w:pPr>
        <w:spacing w:before="240" w:after="24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D4803BB"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entendido, de los preceptos normativos citados y derivado del pronunciamiento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advierte que se trata de información que genera, administra y posee en el ejercicio de sus funciones de derecho público. </w:t>
      </w:r>
    </w:p>
    <w:p w14:paraId="1EC3DC66"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tal como se ha señalado, </w:t>
      </w:r>
      <w:r>
        <w:rPr>
          <w:rFonts w:ascii="Palatino Linotype" w:eastAsia="Palatino Linotype" w:hAnsi="Palatino Linotype" w:cs="Palatino Linotype"/>
          <w:b/>
          <w:color w:val="000000"/>
        </w:rPr>
        <w:t xml:space="preserve">el derecho de acceso a la información se basa en permitir que la ciudadanía conozca de primera mano toda aquella </w:t>
      </w:r>
      <w:r>
        <w:rPr>
          <w:rFonts w:ascii="Palatino Linotype" w:eastAsia="Palatino Linotype" w:hAnsi="Palatino Linotype" w:cs="Palatino Linotype"/>
          <w:b/>
          <w:color w:val="000000"/>
        </w:rPr>
        <w:lastRenderedPageBreak/>
        <w:t>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Pr>
          <w:rFonts w:ascii="Palatino Linotype" w:eastAsia="Palatino Linotype" w:hAnsi="Palatino Linotype" w:cs="Palatino Linotype"/>
          <w:b/>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5AEB091F" w14:textId="77777777" w:rsidR="00996EF6" w:rsidRDefault="00B4486C">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Razón de lo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previa búsqueda exhaustiva y razonable, de ser procedente en versión pública, el o los documentos donde conste el censo de alumbrado público firmado por la Comisión Federal de Electricidad de 2020 o en su caso el más reciente en el que se observe el desglose siguiente: </w:t>
      </w:r>
    </w:p>
    <w:p w14:paraId="05C9E2D3"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Cantidad de luminarias y balastros, el tipo de equipos, la capacidad (potencia), la ubicación (calle y/o colonia y/o delegación), y el tipo de poste en el que están montadas las luminarias (lámina, concreto, madera etcétera);</w:t>
      </w:r>
    </w:p>
    <w:p w14:paraId="2D0F7618"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Registro Permanente de Usuario (RPU o RPUs) asignado (s) al servicio de alumbrado público municipal tanto del servicio estimado como del servicio medido;</w:t>
      </w:r>
    </w:p>
    <w:p w14:paraId="45324E76"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cantidad desglosada de luminarias y balastros instalados, el tipo de equipos y su capacidad (potencia) instalados en las avenidas principales del municipio;</w:t>
      </w:r>
    </w:p>
    <w:p w14:paraId="35F8D33E"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cantidad desglosada de luminarias y balastros instalados, el tipo de equipos y su capacidad (potencia) instalados en las avenidas principales del municipio;</w:t>
      </w:r>
    </w:p>
    <w:p w14:paraId="25CCCB37"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cantidad de luminarias y balastros instalados, el tipo de equipos y su capacidad (potencia) instalados que poseen equipo de medición.</w:t>
      </w:r>
    </w:p>
    <w:p w14:paraId="3C9CC0B7"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649A0E1C"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51C3C04"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73711E3"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06B6004B"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0F35F406"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23DF3531"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5085651"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E44022"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2E7D48F8"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652C3C"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F5EC0FB"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11E2618"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A81014" w14:textId="77777777" w:rsidR="00996EF6" w:rsidRDefault="00B4486C">
      <w:pPr>
        <w:tabs>
          <w:tab w:val="left" w:pos="1276"/>
        </w:tabs>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67DB34B"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F5430E3"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BE48334"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14:paraId="688A3CC7"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4A84CC"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7D54C2B" w14:textId="77777777" w:rsidR="00996EF6" w:rsidRDefault="00B4486C">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CD7E118" w14:textId="77777777" w:rsidR="00996EF6" w:rsidRDefault="00B4486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0E31688" w14:textId="77777777" w:rsidR="00996EF6" w:rsidRDefault="00B4486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32E43DD1"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79244FAB" w14:textId="77777777" w:rsidR="00996EF6" w:rsidRDefault="00B4486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1113DAC"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0D77AE5A" w14:textId="77777777" w:rsidR="00996EF6" w:rsidRDefault="00B4486C">
      <w:pPr>
        <w:spacing w:before="240" w:after="240" w:line="276"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43687562"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196C08E8" w14:textId="77777777" w:rsidR="00996EF6" w:rsidRDefault="00B4486C">
      <w:pPr>
        <w:spacing w:before="240" w:after="240" w:line="276"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609E7569"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3A0B21C6" w14:textId="77777777" w:rsidR="00996EF6" w:rsidRDefault="00B4486C">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581B809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22134FD" w14:textId="77777777" w:rsidR="00996EF6" w:rsidRDefault="00B4486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3EFAABB9"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319A9B92"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34EEED5"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62D1D19"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1BC21902"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00461BCD"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1CA5322F"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82FD16"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433E5D9"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0579CA"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B1E30EB"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60478EFF"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3445AE7E"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7043FA27"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AE096F6" w14:textId="77777777" w:rsidR="00996EF6" w:rsidRDefault="00B4486C">
      <w:pPr>
        <w:tabs>
          <w:tab w:val="left" w:pos="8222"/>
        </w:tabs>
        <w:spacing w:before="240" w:after="240" w:line="276" w:lineRule="auto"/>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50C51AF"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4A652DC"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C582CF"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3382493"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BE01263"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E2E4AE3"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00FBC807"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3554D6"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7047A99"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1E01141" w14:textId="77777777" w:rsidR="00996EF6" w:rsidRDefault="00B4486C">
      <w:pPr>
        <w:tabs>
          <w:tab w:val="left" w:pos="8222"/>
        </w:tabs>
        <w:spacing w:before="240" w:after="240" w:line="276" w:lineRule="auto"/>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6C02C400"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93"/>
        <w:gridCol w:w="3421"/>
        <w:gridCol w:w="968"/>
        <w:gridCol w:w="3446"/>
      </w:tblGrid>
      <w:tr w:rsidR="00996EF6" w14:paraId="6387D0A6" w14:textId="77777777" w:rsidTr="00996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1262897" w14:textId="77777777" w:rsidR="00996EF6" w:rsidRDefault="00B4486C">
            <w:pPr>
              <w:spacing w:before="240" w:after="240" w:line="276"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6FEFF49B" w14:textId="77777777" w:rsidR="00996EF6" w:rsidRDefault="00B4486C">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996EF6" w14:paraId="617F5142"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C5C5156" w14:textId="77777777" w:rsidR="00996EF6" w:rsidRDefault="00B4486C">
            <w:pPr>
              <w:spacing w:before="240" w:after="240" w:line="276"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2CA932B3" w14:textId="77777777" w:rsidR="00996EF6" w:rsidRDefault="00B4486C">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720ACA93" w14:textId="77777777" w:rsidR="00996EF6" w:rsidRDefault="00B4486C">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230A6988" w14:textId="77777777" w:rsidR="00996EF6" w:rsidRDefault="00B4486C">
            <w:pPr>
              <w:spacing w:before="240" w:after="24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996EF6" w14:paraId="4FE3E735" w14:textId="77777777" w:rsidTr="00996EF6">
        <w:tc>
          <w:tcPr>
            <w:cnfStyle w:val="001000000000" w:firstRow="0" w:lastRow="0" w:firstColumn="1" w:lastColumn="0" w:oddVBand="0" w:evenVBand="0" w:oddHBand="0" w:evenHBand="0" w:firstRowFirstColumn="0" w:firstRowLastColumn="0" w:lastRowFirstColumn="0" w:lastRowLastColumn="0"/>
            <w:tcW w:w="8828" w:type="dxa"/>
            <w:gridSpan w:val="4"/>
          </w:tcPr>
          <w:p w14:paraId="6C5D3C6C" w14:textId="77777777" w:rsidR="00996EF6" w:rsidRDefault="00B4486C">
            <w:pPr>
              <w:spacing w:before="240" w:after="240" w:line="276"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Sello oficial o logotipo del sujeto obligado</w:t>
            </w:r>
          </w:p>
        </w:tc>
      </w:tr>
      <w:tr w:rsidR="00996EF6" w14:paraId="40F84279"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529AC59"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5AC5D934"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32A77EE"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3F47CFB6"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96EF6" w14:paraId="3FD12E68" w14:textId="77777777" w:rsidTr="00996EF6">
        <w:tc>
          <w:tcPr>
            <w:cnfStyle w:val="001000000000" w:firstRow="0" w:lastRow="0" w:firstColumn="1" w:lastColumn="0" w:oddVBand="0" w:evenVBand="0" w:oddHBand="0" w:evenHBand="0" w:firstRowFirstColumn="0" w:firstRowLastColumn="0" w:lastRowFirstColumn="0" w:lastRowLastColumn="0"/>
            <w:tcW w:w="993" w:type="dxa"/>
          </w:tcPr>
          <w:p w14:paraId="0F1AEF21"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1754904B"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223055C7"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357868A"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996EF6" w14:paraId="6D9362F9"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6EE1031"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05EFFB6D"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28D2CFB"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5D0395B7"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996EF6" w14:paraId="3343AB59" w14:textId="77777777" w:rsidTr="00996EF6">
        <w:tc>
          <w:tcPr>
            <w:cnfStyle w:val="001000000000" w:firstRow="0" w:lastRow="0" w:firstColumn="1" w:lastColumn="0" w:oddVBand="0" w:evenVBand="0" w:oddHBand="0" w:evenHBand="0" w:firstRowFirstColumn="0" w:firstRowLastColumn="0" w:lastRowFirstColumn="0" w:lastRowLastColumn="0"/>
            <w:tcW w:w="993" w:type="dxa"/>
          </w:tcPr>
          <w:p w14:paraId="4A48CDF6"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66123899"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64122470"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270CDB3E"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96EF6" w14:paraId="4E39571D"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11364B"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1D5CC798"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B61DEB9"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4AA2424"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96EF6" w14:paraId="3E6AEF53" w14:textId="77777777" w:rsidTr="00996EF6">
        <w:tc>
          <w:tcPr>
            <w:cnfStyle w:val="001000000000" w:firstRow="0" w:lastRow="0" w:firstColumn="1" w:lastColumn="0" w:oddVBand="0" w:evenVBand="0" w:oddHBand="0" w:evenHBand="0" w:firstRowFirstColumn="0" w:firstRowLastColumn="0" w:lastRowFirstColumn="0" w:lastRowLastColumn="0"/>
            <w:tcW w:w="993" w:type="dxa"/>
          </w:tcPr>
          <w:p w14:paraId="08CFCBCE"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26CA5044"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A75FD8C"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5B8CAA37"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96EF6" w14:paraId="27A1B671"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6C19D9"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79285360"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B1376E6"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54C5141E"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996EF6" w14:paraId="4700F92F" w14:textId="77777777" w:rsidTr="00996EF6">
        <w:tc>
          <w:tcPr>
            <w:cnfStyle w:val="001000000000" w:firstRow="0" w:lastRow="0" w:firstColumn="1" w:lastColumn="0" w:oddVBand="0" w:evenVBand="0" w:oddHBand="0" w:evenHBand="0" w:firstRowFirstColumn="0" w:firstRowLastColumn="0" w:lastRowFirstColumn="0" w:lastRowLastColumn="0"/>
            <w:tcW w:w="993" w:type="dxa"/>
          </w:tcPr>
          <w:p w14:paraId="01E0C3FA"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26CB06C5"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55CF68D7"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0F5F692"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96EF6" w14:paraId="509AABE1"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B64581E"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23953AC9"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2EFCFA3A"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3A18484E"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996EF6" w14:paraId="5D740086" w14:textId="77777777" w:rsidTr="00996EF6">
        <w:tc>
          <w:tcPr>
            <w:cnfStyle w:val="001000000000" w:firstRow="0" w:lastRow="0" w:firstColumn="1" w:lastColumn="0" w:oddVBand="0" w:evenVBand="0" w:oddHBand="0" w:evenHBand="0" w:firstRowFirstColumn="0" w:firstRowLastColumn="0" w:lastRowFirstColumn="0" w:lastRowLastColumn="0"/>
            <w:tcW w:w="993" w:type="dxa"/>
          </w:tcPr>
          <w:p w14:paraId="58C0C4E2" w14:textId="77777777" w:rsidR="00996EF6" w:rsidRDefault="00B4486C">
            <w:pPr>
              <w:spacing w:before="240" w:after="240" w:line="276"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764DEC63"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26728D73"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3A93572"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996EF6" w14:paraId="5C15E1C7" w14:textId="77777777" w:rsidTr="0099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44F1AA" w14:textId="77777777" w:rsidR="00996EF6" w:rsidRDefault="00996EF6">
            <w:pPr>
              <w:spacing w:before="240" w:after="240" w:line="276" w:lineRule="auto"/>
              <w:jc w:val="both"/>
              <w:rPr>
                <w:rFonts w:ascii="Palatino Linotype" w:eastAsia="Palatino Linotype" w:hAnsi="Palatino Linotype" w:cs="Palatino Linotype"/>
                <w:sz w:val="12"/>
                <w:szCs w:val="12"/>
              </w:rPr>
            </w:pPr>
          </w:p>
        </w:tc>
        <w:tc>
          <w:tcPr>
            <w:tcW w:w="3421" w:type="dxa"/>
          </w:tcPr>
          <w:p w14:paraId="5DF7F08E" w14:textId="77777777" w:rsidR="00996EF6" w:rsidRDefault="00996EF6">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0BD463B6"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6E01F4B6" w14:textId="77777777" w:rsidR="00996EF6" w:rsidRDefault="00B4486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996EF6" w14:paraId="148D26F5" w14:textId="77777777" w:rsidTr="00996EF6">
        <w:tc>
          <w:tcPr>
            <w:cnfStyle w:val="001000000000" w:firstRow="0" w:lastRow="0" w:firstColumn="1" w:lastColumn="0" w:oddVBand="0" w:evenVBand="0" w:oddHBand="0" w:evenHBand="0" w:firstRowFirstColumn="0" w:firstRowLastColumn="0" w:lastRowFirstColumn="0" w:lastRowLastColumn="0"/>
            <w:tcW w:w="993" w:type="dxa"/>
          </w:tcPr>
          <w:p w14:paraId="4E836C47" w14:textId="77777777" w:rsidR="00996EF6" w:rsidRDefault="00996EF6">
            <w:pPr>
              <w:spacing w:before="240" w:after="240" w:line="276" w:lineRule="auto"/>
              <w:jc w:val="both"/>
              <w:rPr>
                <w:rFonts w:ascii="Palatino Linotype" w:eastAsia="Palatino Linotype" w:hAnsi="Palatino Linotype" w:cs="Palatino Linotype"/>
                <w:sz w:val="12"/>
                <w:szCs w:val="12"/>
              </w:rPr>
            </w:pPr>
          </w:p>
        </w:tc>
        <w:tc>
          <w:tcPr>
            <w:tcW w:w="3421" w:type="dxa"/>
          </w:tcPr>
          <w:p w14:paraId="22DDC998" w14:textId="77777777" w:rsidR="00996EF6" w:rsidRDefault="00996EF6">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18B91FA"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526C01C8" w14:textId="77777777" w:rsidR="00996EF6" w:rsidRDefault="00B4486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061C3B8E" w14:textId="77777777" w:rsidR="00996EF6" w:rsidRDefault="00996EF6">
      <w:pPr>
        <w:tabs>
          <w:tab w:val="left" w:pos="7938"/>
        </w:tabs>
        <w:spacing w:before="240" w:after="240" w:line="360" w:lineRule="auto"/>
        <w:jc w:val="both"/>
        <w:rPr>
          <w:rFonts w:ascii="Palatino Linotype" w:eastAsia="Palatino Linotype" w:hAnsi="Palatino Linotype" w:cs="Palatino Linotype"/>
        </w:rPr>
      </w:pPr>
    </w:p>
    <w:p w14:paraId="0425730F" w14:textId="77777777" w:rsidR="00996EF6" w:rsidRDefault="00B4486C">
      <w:pPr>
        <w:tabs>
          <w:tab w:val="left" w:pos="7938"/>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2BBBA9F8"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05959/INFOEM/IP/RR/2021</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00084/TEPETLAO/IP/2021</w:t>
      </w:r>
      <w:r>
        <w:rPr>
          <w:rFonts w:ascii="Palatino Linotype" w:eastAsia="Palatino Linotype" w:hAnsi="Palatino Linotype" w:cs="Palatino Linotype"/>
        </w:rPr>
        <w:t>.</w:t>
      </w:r>
    </w:p>
    <w:p w14:paraId="59744651" w14:textId="77777777" w:rsidR="00996EF6" w:rsidRDefault="00B4486C">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14:paraId="5CBA663E" w14:textId="77777777" w:rsidR="00996EF6" w:rsidRDefault="00B4486C">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75F14A09" w14:textId="77777777" w:rsidR="00996EF6" w:rsidRDefault="00B4486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05959/INFOEM/IP/RR/2021,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44B24297"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haga entrega vía Sistema de Acceso a la Información Mexiquense (SAIMEX), previa búsqueda exhaustiva y razonable, de ser el caso, en versión pública, los documentos en que conste la siguiente información:</w:t>
      </w:r>
    </w:p>
    <w:p w14:paraId="05B1767F" w14:textId="77777777" w:rsidR="00996EF6" w:rsidRDefault="00B4486C">
      <w:pPr>
        <w:spacing w:before="240" w:after="240" w:line="360" w:lineRule="auto"/>
        <w:ind w:right="49" w:firstLine="709"/>
        <w:jc w:val="both"/>
        <w:rPr>
          <w:rFonts w:ascii="Palatino Linotype" w:eastAsia="Palatino Linotype" w:hAnsi="Palatino Linotype" w:cs="Palatino Linotype"/>
          <w:i/>
        </w:rPr>
      </w:pPr>
      <w:bookmarkStart w:id="5" w:name="_heading=h.3znysh7" w:colFirst="0" w:colLast="0"/>
      <w:bookmarkEnd w:id="5"/>
      <w:r>
        <w:rPr>
          <w:rFonts w:ascii="Palatino Linotype" w:eastAsia="Palatino Linotype" w:hAnsi="Palatino Linotype" w:cs="Palatino Linotype"/>
          <w:b/>
        </w:rPr>
        <w:t>Del 01 de enero de 2021 al 31 de octubre de 2021</w:t>
      </w:r>
      <w:r>
        <w:rPr>
          <w:rFonts w:ascii="Palatino Linotype" w:eastAsia="Palatino Linotype" w:hAnsi="Palatino Linotype" w:cs="Palatino Linotype"/>
        </w:rPr>
        <w:t xml:space="preserve">: </w:t>
      </w:r>
    </w:p>
    <w:p w14:paraId="041B9F3C" w14:textId="77777777" w:rsidR="00996EF6" w:rsidRDefault="00B4486C">
      <w:pPr>
        <w:numPr>
          <w:ilvl w:val="3"/>
          <w:numId w:val="7"/>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Cantidad mensual facturada por alumbrado público; </w:t>
      </w:r>
    </w:p>
    <w:p w14:paraId="32B88402" w14:textId="77777777" w:rsidR="00996EF6" w:rsidRDefault="00B4486C">
      <w:pPr>
        <w:numPr>
          <w:ilvl w:val="3"/>
          <w:numId w:val="7"/>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Cantidad recaudada por derechos de alumbrado público; </w:t>
      </w:r>
    </w:p>
    <w:p w14:paraId="6BAD17F1" w14:textId="77777777" w:rsidR="00996EF6" w:rsidRDefault="00B4486C">
      <w:pPr>
        <w:numPr>
          <w:ilvl w:val="3"/>
          <w:numId w:val="7"/>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Adeudo que se genera y el pago de la diferencia entre facturación y DAP y en su caso el saldo a favor del Municipio; </w:t>
      </w:r>
    </w:p>
    <w:p w14:paraId="6A7C62DF" w14:textId="77777777" w:rsidR="00996EF6" w:rsidRDefault="00B4486C">
      <w:pPr>
        <w:numPr>
          <w:ilvl w:val="3"/>
          <w:numId w:val="7"/>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Avisos mensuales emitidos por la Comisión Federal de Electricidad. </w:t>
      </w:r>
    </w:p>
    <w:p w14:paraId="40E9FBA0" w14:textId="77777777" w:rsidR="00996EF6" w:rsidRDefault="00B4486C">
      <w:pPr>
        <w:numPr>
          <w:ilvl w:val="3"/>
          <w:numId w:val="7"/>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 Registro Permanente de Usuario (RPU o RPUs) asignado (s) al servicio de alumbrado público municipal tanto del servicio estimado como del servicio medido;</w:t>
      </w:r>
    </w:p>
    <w:p w14:paraId="6B66F134" w14:textId="77777777" w:rsidR="00996EF6" w:rsidRDefault="00B4486C">
      <w:pPr>
        <w:spacing w:before="240" w:after="240" w:line="360" w:lineRule="auto"/>
        <w:ind w:left="709"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Censo de alumbrado público firmado por la Comisión Federal de Electricidad de 2020 o en su caso el más reciente en el que se observe el desglose siguiente:</w:t>
      </w:r>
      <w:r>
        <w:rPr>
          <w:rFonts w:ascii="Palatino Linotype" w:eastAsia="Palatino Linotype" w:hAnsi="Palatino Linotype" w:cs="Palatino Linotype"/>
        </w:rPr>
        <w:t xml:space="preserve"> </w:t>
      </w:r>
    </w:p>
    <w:p w14:paraId="67404E0D"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Cantidad de luminarias y balastros, el tipo de equipos, la capacidad (potencia), la ubicación (calle y/o colonia y/o delegación), y el tipo de poste en el que están montadas las luminarias (lámina, concreto, madera etcétera);</w:t>
      </w:r>
    </w:p>
    <w:p w14:paraId="28FF33CC"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cantidad desglosada de luminarias y balastros instalados, el tipo de equipos y su capacidad (potencia) instalados en las avenidas principales del municipio;</w:t>
      </w:r>
    </w:p>
    <w:p w14:paraId="6172E23D"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cantidad desglosada de luminarias y balastros instalados, el tipo de equipos y su capacidad (potencia) instalados en las avenidas principales del municipio;</w:t>
      </w:r>
    </w:p>
    <w:p w14:paraId="0F5E22CB" w14:textId="77777777" w:rsidR="00996EF6" w:rsidRDefault="00B4486C">
      <w:pPr>
        <w:numPr>
          <w:ilvl w:val="0"/>
          <w:numId w:val="4"/>
        </w:numPr>
        <w:pBdr>
          <w:top w:val="nil"/>
          <w:left w:val="nil"/>
          <w:bottom w:val="nil"/>
          <w:right w:val="nil"/>
          <w:between w:val="nil"/>
        </w:pBdr>
        <w:spacing w:before="240" w:after="240" w:line="360" w:lineRule="auto"/>
        <w:ind w:left="1134" w:right="49"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cantidad de luminarias y balastros instalados, el tipo de equipos y su capacidad (potencia) instalados que poseen equipo de medición.</w:t>
      </w:r>
    </w:p>
    <w:p w14:paraId="2969770D" w14:textId="77777777" w:rsidR="00996EF6" w:rsidRDefault="00B4486C">
      <w:pPr>
        <w:spacing w:before="240" w:after="240" w:line="276" w:lineRule="auto"/>
        <w:ind w:left="709" w:right="49"/>
        <w:jc w:val="both"/>
        <w:rPr>
          <w:rFonts w:ascii="Palatino Linotype" w:eastAsia="Palatino Linotype" w:hAnsi="Palatino Linotype" w:cs="Palatino Linotype"/>
          <w:i/>
        </w:rPr>
      </w:pPr>
      <w:r>
        <w:rPr>
          <w:rFonts w:ascii="Palatino Linotype" w:eastAsia="Palatino Linotype" w:hAnsi="Palatino Linotype" w:cs="Palatino Linotype"/>
          <w:i/>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E08F521" w14:textId="77777777" w:rsidR="00996EF6" w:rsidRDefault="00B4486C">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al Responsable de la Unidad de Transparencia del Sujeto Obligado la presente resolución, para que conforme a los </w:t>
      </w:r>
      <w:r>
        <w:rPr>
          <w:rFonts w:ascii="Palatino Linotype" w:eastAsia="Palatino Linotype" w:hAnsi="Palatino Linotype" w:cs="Palatino Linotype"/>
        </w:rPr>
        <w:lastRenderedPageBreak/>
        <w:t>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48B0D0CC" w14:textId="77777777" w:rsidR="00996EF6" w:rsidRDefault="00B448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2470BD5" w14:textId="77777777" w:rsidR="00996EF6" w:rsidRDefault="00B4486C">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A9DCF88" w14:textId="377CCDB3" w:rsidR="00996EF6" w:rsidRDefault="00B4486C">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D6C73">
        <w:rPr>
          <w:rFonts w:ascii="Palatino Linotype" w:eastAsia="Palatino Linotype" w:hAnsi="Palatino Linotype" w:cs="Palatino Linotype"/>
        </w:rPr>
        <w:t xml:space="preserve"> </w:t>
      </w:r>
      <w:r w:rsidR="00CD6C73" w:rsidRPr="00CD6C73">
        <w:rPr>
          <w:rFonts w:ascii="Palatino Linotype" w:eastAsia="Palatino Linotype" w:hAnsi="Palatino Linotype" w:cs="Palatino Linotype"/>
        </w:rPr>
        <w:t xml:space="preserve">(AUSENCIA JUSTIFICADA) </w:t>
      </w:r>
      <w:r>
        <w:rPr>
          <w:rFonts w:ascii="Palatino Linotype" w:eastAsia="Palatino Linotype" w:hAnsi="Palatino Linotype" w:cs="Palatino Linotype"/>
        </w:rPr>
        <w:t>Y GUAD</w:t>
      </w:r>
      <w:r w:rsidR="003A22AC">
        <w:rPr>
          <w:rFonts w:ascii="Palatino Linotype" w:eastAsia="Palatino Linotype" w:hAnsi="Palatino Linotype" w:cs="Palatino Linotype"/>
        </w:rPr>
        <w:t>ALUPE RAMÍREZ PEÑA; EN LA DÉCIMA</w:t>
      </w:r>
      <w:r>
        <w:rPr>
          <w:rFonts w:ascii="Palatino Linotype" w:eastAsia="Palatino Linotype" w:hAnsi="Palatino Linotype" w:cs="Palatino Linotype"/>
        </w:rPr>
        <w:t xml:space="preserve"> PRIMERA SESIÓN ORDINARIA CELEBRADA EL VEINTICUATRO DE MARZO DE DOS </w:t>
      </w:r>
      <w:r>
        <w:rPr>
          <w:rFonts w:ascii="Palatino Linotype" w:eastAsia="Palatino Linotype" w:hAnsi="Palatino Linotype" w:cs="Palatino Linotype"/>
        </w:rPr>
        <w:lastRenderedPageBreak/>
        <w:t>MIL VEINTIDÓS, ANTE EL SECRETARIO TÉCNICO DEL PLENO, ALEXIS TAPIA RAMÍREZ.</w:t>
      </w:r>
    </w:p>
    <w:p w14:paraId="532F767D" w14:textId="00286D59" w:rsidR="00996EF6" w:rsidRDefault="00CD6C73">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0288" behindDoc="0" locked="0" layoutInCell="1" allowOverlap="1" wp14:anchorId="29F79253" wp14:editId="31F7D886">
                <wp:simplePos x="0" y="0"/>
                <wp:positionH relativeFrom="column">
                  <wp:posOffset>48020</wp:posOffset>
                </wp:positionH>
                <wp:positionV relativeFrom="paragraph">
                  <wp:posOffset>386953</wp:posOffset>
                </wp:positionV>
                <wp:extent cx="5569527" cy="6662057"/>
                <wp:effectExtent l="38100" t="19050" r="69850" b="81915"/>
                <wp:wrapNone/>
                <wp:docPr id="1" name="Conector recto 1"/>
                <wp:cNvGraphicFramePr/>
                <a:graphic xmlns:a="http://schemas.openxmlformats.org/drawingml/2006/main">
                  <a:graphicData uri="http://schemas.microsoft.com/office/word/2010/wordprocessingShape">
                    <wps:wsp>
                      <wps:cNvCnPr/>
                      <wps:spPr>
                        <a:xfrm>
                          <a:off x="0" y="0"/>
                          <a:ext cx="5569527" cy="66620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E0D88C"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pt,30.45pt" to="442.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" strokecolor="#4f81bd [3204]" strokeweight="2pt">
                <v:shadow on="t" color="black" opacity="24903f" origin=",.5" offset="0,.55556mm"/>
              </v:line>
            </w:pict>
          </mc:Fallback>
        </mc:AlternateContent>
      </w:r>
    </w:p>
    <w:p w14:paraId="5EE16A55"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08B91F51"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40F31123"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47E533B9"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3EFE090A"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32AD8D64"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4715F71D"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30B5FFCF"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51236DBB"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57358E5A"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3CA2F05B"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51EBAED8"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599F81DD"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5745DC9E"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2E2D715E"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2062E011" w14:textId="77777777" w:rsidR="00996EF6" w:rsidRDefault="00996EF6">
      <w:pPr>
        <w:spacing w:before="240" w:after="240" w:line="360" w:lineRule="auto"/>
        <w:jc w:val="both"/>
        <w:rPr>
          <w:rFonts w:ascii="Palatino Linotype" w:eastAsia="Palatino Linotype" w:hAnsi="Palatino Linotype" w:cs="Palatino Linotype"/>
          <w:sz w:val="20"/>
          <w:szCs w:val="20"/>
        </w:rPr>
      </w:pPr>
    </w:p>
    <w:p w14:paraId="0C3AB981" w14:textId="77777777" w:rsidR="00996EF6" w:rsidRDefault="00996EF6">
      <w:pPr>
        <w:spacing w:before="240" w:after="240" w:line="360" w:lineRule="auto"/>
        <w:jc w:val="both"/>
        <w:rPr>
          <w:rFonts w:ascii="Palatino Linotype" w:eastAsia="Palatino Linotype" w:hAnsi="Palatino Linotype" w:cs="Palatino Linotype"/>
          <w:sz w:val="20"/>
          <w:szCs w:val="20"/>
        </w:rPr>
      </w:pPr>
    </w:p>
    <w:sectPr w:rsidR="00996EF6">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63B53" w14:textId="77777777" w:rsidR="00203205" w:rsidRDefault="00203205">
      <w:r>
        <w:separator/>
      </w:r>
    </w:p>
  </w:endnote>
  <w:endnote w:type="continuationSeparator" w:id="0">
    <w:p w14:paraId="25F2C351" w14:textId="77777777" w:rsidR="00203205" w:rsidRDefault="0020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AF54D" w14:textId="77777777" w:rsidR="00996EF6" w:rsidRDefault="00B448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218D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218D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58613C20" w14:textId="77777777" w:rsidR="00996EF6" w:rsidRDefault="00996EF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0A83A" w14:textId="77777777" w:rsidR="00996EF6" w:rsidRDefault="00B448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218D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218D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8227970" w14:textId="77777777" w:rsidR="00996EF6" w:rsidRDefault="00996EF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6FDF2" w14:textId="77777777" w:rsidR="00203205" w:rsidRDefault="00203205">
      <w:r>
        <w:separator/>
      </w:r>
    </w:p>
  </w:footnote>
  <w:footnote w:type="continuationSeparator" w:id="0">
    <w:p w14:paraId="704BF0E6" w14:textId="77777777" w:rsidR="00203205" w:rsidRDefault="00203205">
      <w:r>
        <w:continuationSeparator/>
      </w:r>
    </w:p>
  </w:footnote>
  <w:footnote w:id="1">
    <w:p w14:paraId="44CA77AA" w14:textId="77777777" w:rsidR="00996EF6" w:rsidRDefault="00B4486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highlight w:val="white"/>
            <w:u w:val="single"/>
          </w:rPr>
          <w:t>Programa de modernización  del Alumbrado Público, periodo 2011 - 2017.</w:t>
        </w:r>
      </w:hyperlink>
    </w:p>
  </w:footnote>
  <w:footnote w:id="2">
    <w:p w14:paraId="265D8DB3" w14:textId="77777777" w:rsidR="00996EF6" w:rsidRDefault="00B4486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344, Código Financiero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63018" w14:textId="77777777" w:rsidR="00996EF6" w:rsidRDefault="00B4486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2509D36" wp14:editId="09ABF477">
          <wp:simplePos x="0" y="0"/>
          <wp:positionH relativeFrom="column">
            <wp:posOffset>-1080133</wp:posOffset>
          </wp:positionH>
          <wp:positionV relativeFrom="paragraph">
            <wp:posOffset>-396400</wp:posOffset>
          </wp:positionV>
          <wp:extent cx="7809865" cy="10165715"/>
          <wp:effectExtent l="0" t="0" r="0" b="0"/>
          <wp:wrapNone/>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996EF6" w14:paraId="05AC3411" w14:textId="77777777">
      <w:tc>
        <w:tcPr>
          <w:tcW w:w="2489" w:type="dxa"/>
          <w:shd w:val="clear" w:color="auto" w:fill="auto"/>
        </w:tcPr>
        <w:p w14:paraId="2FE008FF" w14:textId="77777777" w:rsidR="00996EF6" w:rsidRDefault="00B4486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40C5F747" w14:textId="77777777" w:rsidR="00996EF6" w:rsidRDefault="00B4486C">
          <w:pPr>
            <w:ind w:right="175"/>
            <w:jc w:val="both"/>
            <w:rPr>
              <w:rFonts w:ascii="Palatino Linotype" w:eastAsia="Palatino Linotype" w:hAnsi="Palatino Linotype" w:cs="Palatino Linotype"/>
              <w:b/>
            </w:rPr>
          </w:pPr>
          <w:r>
            <w:rPr>
              <w:rFonts w:ascii="Palatino Linotype" w:eastAsia="Palatino Linotype" w:hAnsi="Palatino Linotype" w:cs="Palatino Linotype"/>
              <w:b/>
            </w:rPr>
            <w:t>05959/INFOEM/IP/RR/2021</w:t>
          </w:r>
        </w:p>
      </w:tc>
    </w:tr>
    <w:tr w:rsidR="00996EF6" w14:paraId="7B1FCA64" w14:textId="77777777">
      <w:trPr>
        <w:trHeight w:val="228"/>
      </w:trPr>
      <w:tc>
        <w:tcPr>
          <w:tcW w:w="2489" w:type="dxa"/>
          <w:shd w:val="clear" w:color="auto" w:fill="auto"/>
          <w:vAlign w:val="center"/>
        </w:tcPr>
        <w:p w14:paraId="3A56186A" w14:textId="77777777" w:rsidR="00996EF6" w:rsidRDefault="00B4486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3F362BE" w14:textId="77777777" w:rsidR="00996EF6" w:rsidRDefault="00B4486C">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Tepetlaoxtoc</w:t>
          </w:r>
        </w:p>
      </w:tc>
    </w:tr>
    <w:tr w:rsidR="00996EF6" w14:paraId="57E62662" w14:textId="77777777">
      <w:tc>
        <w:tcPr>
          <w:tcW w:w="2489" w:type="dxa"/>
          <w:shd w:val="clear" w:color="auto" w:fill="auto"/>
          <w:vAlign w:val="center"/>
        </w:tcPr>
        <w:p w14:paraId="0DA46773" w14:textId="77777777" w:rsidR="00996EF6" w:rsidRDefault="00B4486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72169D6" w14:textId="77777777" w:rsidR="00996EF6" w:rsidRDefault="00B4486C">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35B7051" w14:textId="77777777" w:rsidR="00996EF6" w:rsidRDefault="00B4486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FA98F" w14:textId="77777777" w:rsidR="00996EF6" w:rsidRDefault="00B448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4CE3686" wp14:editId="160E7C7D">
          <wp:simplePos x="0" y="0"/>
          <wp:positionH relativeFrom="column">
            <wp:posOffset>-693419</wp:posOffset>
          </wp:positionH>
          <wp:positionV relativeFrom="paragraph">
            <wp:posOffset>-716279</wp:posOffset>
          </wp:positionV>
          <wp:extent cx="7809865" cy="1016571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095" w:type="dxa"/>
      <w:tblInd w:w="3261" w:type="dxa"/>
      <w:tblLayout w:type="fixed"/>
      <w:tblLook w:val="0400" w:firstRow="0" w:lastRow="0" w:firstColumn="0" w:lastColumn="0" w:noHBand="0" w:noVBand="1"/>
    </w:tblPr>
    <w:tblGrid>
      <w:gridCol w:w="2551"/>
      <w:gridCol w:w="3544"/>
    </w:tblGrid>
    <w:tr w:rsidR="00996EF6" w14:paraId="7A072AE8" w14:textId="77777777">
      <w:tc>
        <w:tcPr>
          <w:tcW w:w="2551" w:type="dxa"/>
          <w:shd w:val="clear" w:color="auto" w:fill="auto"/>
          <w:vAlign w:val="center"/>
        </w:tcPr>
        <w:p w14:paraId="7F68958F" w14:textId="77777777" w:rsidR="00996EF6" w:rsidRDefault="00B4486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6A3E7B25" w14:textId="77777777" w:rsidR="00996EF6" w:rsidRDefault="00B4486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05959/INFOEM/IP/RR/2021</w:t>
          </w:r>
        </w:p>
      </w:tc>
    </w:tr>
    <w:tr w:rsidR="00996EF6" w14:paraId="3B877E3E" w14:textId="77777777">
      <w:trPr>
        <w:trHeight w:val="130"/>
      </w:trPr>
      <w:tc>
        <w:tcPr>
          <w:tcW w:w="2551" w:type="dxa"/>
          <w:shd w:val="clear" w:color="auto" w:fill="auto"/>
          <w:vAlign w:val="center"/>
        </w:tcPr>
        <w:p w14:paraId="0005F8C7" w14:textId="77777777" w:rsidR="00996EF6" w:rsidRDefault="00B4486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00258C64" w14:textId="3DE9ED32" w:rsidR="00996EF6" w:rsidRDefault="00C218D6" w:rsidP="00C218D6">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w:t>
          </w:r>
          <w:r w:rsidR="00B4486C">
            <w:rPr>
              <w:rFonts w:ascii="Palatino Linotype" w:eastAsia="Palatino Linotype" w:hAnsi="Palatino Linotype" w:cs="Palatino Linotype"/>
              <w:b/>
            </w:rPr>
            <w:t xml:space="preserve"> </w:t>
          </w:r>
          <w:r>
            <w:rPr>
              <w:rFonts w:ascii="Palatino Linotype" w:eastAsia="Palatino Linotype" w:hAnsi="Palatino Linotype" w:cs="Palatino Linotype"/>
              <w:b/>
            </w:rPr>
            <w:t>xxxxxxx</w:t>
          </w:r>
          <w:r w:rsidR="00B4486C">
            <w:rPr>
              <w:rFonts w:ascii="Palatino Linotype" w:eastAsia="Palatino Linotype" w:hAnsi="Palatino Linotype" w:cs="Palatino Linotype"/>
              <w:b/>
            </w:rPr>
            <w:t xml:space="preserve"> </w:t>
          </w:r>
          <w:r>
            <w:rPr>
              <w:rFonts w:ascii="Palatino Linotype" w:eastAsia="Palatino Linotype" w:hAnsi="Palatino Linotype" w:cs="Palatino Linotype"/>
              <w:b/>
            </w:rPr>
            <w:t>xxxxxxx</w:t>
          </w:r>
        </w:p>
      </w:tc>
    </w:tr>
    <w:tr w:rsidR="00996EF6" w14:paraId="74142171" w14:textId="77777777">
      <w:trPr>
        <w:trHeight w:val="228"/>
      </w:trPr>
      <w:tc>
        <w:tcPr>
          <w:tcW w:w="2551" w:type="dxa"/>
          <w:shd w:val="clear" w:color="auto" w:fill="auto"/>
          <w:vAlign w:val="center"/>
        </w:tcPr>
        <w:p w14:paraId="5802F492" w14:textId="77777777" w:rsidR="00996EF6" w:rsidRDefault="00B4486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046D66F9" w14:textId="77777777" w:rsidR="00996EF6" w:rsidRDefault="00B4486C">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Tepetlaoxtoc</w:t>
          </w:r>
        </w:p>
      </w:tc>
    </w:tr>
    <w:tr w:rsidR="00996EF6" w14:paraId="6F49071C" w14:textId="77777777">
      <w:tc>
        <w:tcPr>
          <w:tcW w:w="2551" w:type="dxa"/>
          <w:shd w:val="clear" w:color="auto" w:fill="auto"/>
          <w:vAlign w:val="center"/>
        </w:tcPr>
        <w:p w14:paraId="4353D4BA" w14:textId="77777777" w:rsidR="00996EF6" w:rsidRDefault="00B4486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0214B3F9" w14:textId="77777777" w:rsidR="00996EF6" w:rsidRDefault="00B4486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FA2AB18" w14:textId="77777777" w:rsidR="00996EF6" w:rsidRDefault="00996EF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35D33"/>
    <w:multiLevelType w:val="multilevel"/>
    <w:tmpl w:val="83D4BF32"/>
    <w:lvl w:ilvl="0">
      <w:start w:val="3"/>
      <w:numFmt w:val="lowerLetter"/>
      <w:lvlText w:val="%1."/>
      <w:lvlJc w:val="left"/>
      <w:pPr>
        <w:ind w:left="1542" w:hanging="336"/>
      </w:pPr>
      <w:rPr>
        <w:rFonts w:ascii="Arial" w:eastAsia="Arial" w:hAnsi="Arial" w:cs="Arial"/>
        <w:sz w:val="24"/>
        <w:szCs w:val="24"/>
      </w:rPr>
    </w:lvl>
    <w:lvl w:ilvl="1">
      <w:numFmt w:val="bullet"/>
      <w:lvlText w:val="•"/>
      <w:lvlJc w:val="left"/>
      <w:pPr>
        <w:ind w:left="2292" w:hanging="336"/>
      </w:pPr>
    </w:lvl>
    <w:lvl w:ilvl="2">
      <w:numFmt w:val="bullet"/>
      <w:lvlText w:val="•"/>
      <w:lvlJc w:val="left"/>
      <w:pPr>
        <w:ind w:left="3044" w:hanging="336"/>
      </w:pPr>
    </w:lvl>
    <w:lvl w:ilvl="3">
      <w:numFmt w:val="bullet"/>
      <w:lvlText w:val="•"/>
      <w:lvlJc w:val="left"/>
      <w:pPr>
        <w:ind w:left="3796" w:hanging="336"/>
      </w:pPr>
    </w:lvl>
    <w:lvl w:ilvl="4">
      <w:numFmt w:val="bullet"/>
      <w:lvlText w:val="•"/>
      <w:lvlJc w:val="left"/>
      <w:pPr>
        <w:ind w:left="4548" w:hanging="336"/>
      </w:pPr>
    </w:lvl>
    <w:lvl w:ilvl="5">
      <w:numFmt w:val="bullet"/>
      <w:lvlText w:val="•"/>
      <w:lvlJc w:val="left"/>
      <w:pPr>
        <w:ind w:left="5300" w:hanging="336"/>
      </w:pPr>
    </w:lvl>
    <w:lvl w:ilvl="6">
      <w:numFmt w:val="bullet"/>
      <w:lvlText w:val="•"/>
      <w:lvlJc w:val="left"/>
      <w:pPr>
        <w:ind w:left="6052" w:hanging="336"/>
      </w:pPr>
    </w:lvl>
    <w:lvl w:ilvl="7">
      <w:numFmt w:val="bullet"/>
      <w:lvlText w:val="•"/>
      <w:lvlJc w:val="left"/>
      <w:pPr>
        <w:ind w:left="6804" w:hanging="336"/>
      </w:pPr>
    </w:lvl>
    <w:lvl w:ilvl="8">
      <w:numFmt w:val="bullet"/>
      <w:lvlText w:val="•"/>
      <w:lvlJc w:val="left"/>
      <w:pPr>
        <w:ind w:left="7556" w:hanging="336"/>
      </w:pPr>
    </w:lvl>
  </w:abstractNum>
  <w:abstractNum w:abstractNumId="1" w15:restartNumberingAfterBreak="0">
    <w:nsid w:val="15867345"/>
    <w:multiLevelType w:val="multilevel"/>
    <w:tmpl w:val="F3629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52B39"/>
    <w:multiLevelType w:val="multilevel"/>
    <w:tmpl w:val="C7FCC81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Roman"/>
      <w:lvlText w:val="%4."/>
      <w:lvlJc w:val="left"/>
      <w:pPr>
        <w:ind w:left="2880" w:hanging="360"/>
      </w:pPr>
      <w:rPr>
        <w:rFonts w:ascii="Palatino Linotype" w:eastAsia="Palatino Linotype" w:hAnsi="Palatino Linotype" w:cs="Palatino Linotype"/>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153F38"/>
    <w:multiLevelType w:val="multilevel"/>
    <w:tmpl w:val="0DBAF6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E3217A"/>
    <w:multiLevelType w:val="multilevel"/>
    <w:tmpl w:val="1994C15A"/>
    <w:lvl w:ilvl="0">
      <w:start w:val="3"/>
      <w:numFmt w:val="lowerLetter"/>
      <w:lvlText w:val="%1."/>
      <w:lvlJc w:val="left"/>
      <w:pPr>
        <w:ind w:left="1542" w:hanging="336"/>
      </w:pPr>
      <w:rPr>
        <w:rFonts w:ascii="Palatino Linotype" w:eastAsia="Palatino Linotype" w:hAnsi="Palatino Linotype" w:cs="Palatino Linotype"/>
        <w:sz w:val="24"/>
        <w:szCs w:val="24"/>
      </w:rPr>
    </w:lvl>
    <w:lvl w:ilvl="1">
      <w:numFmt w:val="bullet"/>
      <w:lvlText w:val="•"/>
      <w:lvlJc w:val="left"/>
      <w:pPr>
        <w:ind w:left="2292" w:hanging="336"/>
      </w:pPr>
    </w:lvl>
    <w:lvl w:ilvl="2">
      <w:numFmt w:val="bullet"/>
      <w:lvlText w:val="•"/>
      <w:lvlJc w:val="left"/>
      <w:pPr>
        <w:ind w:left="3044" w:hanging="336"/>
      </w:pPr>
    </w:lvl>
    <w:lvl w:ilvl="3">
      <w:numFmt w:val="bullet"/>
      <w:lvlText w:val="•"/>
      <w:lvlJc w:val="left"/>
      <w:pPr>
        <w:ind w:left="3796" w:hanging="336"/>
      </w:pPr>
    </w:lvl>
    <w:lvl w:ilvl="4">
      <w:numFmt w:val="bullet"/>
      <w:lvlText w:val="•"/>
      <w:lvlJc w:val="left"/>
      <w:pPr>
        <w:ind w:left="4548" w:hanging="336"/>
      </w:pPr>
    </w:lvl>
    <w:lvl w:ilvl="5">
      <w:numFmt w:val="bullet"/>
      <w:lvlText w:val="•"/>
      <w:lvlJc w:val="left"/>
      <w:pPr>
        <w:ind w:left="5300" w:hanging="336"/>
      </w:pPr>
    </w:lvl>
    <w:lvl w:ilvl="6">
      <w:numFmt w:val="bullet"/>
      <w:lvlText w:val="•"/>
      <w:lvlJc w:val="left"/>
      <w:pPr>
        <w:ind w:left="6052" w:hanging="336"/>
      </w:pPr>
    </w:lvl>
    <w:lvl w:ilvl="7">
      <w:numFmt w:val="bullet"/>
      <w:lvlText w:val="•"/>
      <w:lvlJc w:val="left"/>
      <w:pPr>
        <w:ind w:left="6804" w:hanging="336"/>
      </w:pPr>
    </w:lvl>
    <w:lvl w:ilvl="8">
      <w:numFmt w:val="bullet"/>
      <w:lvlText w:val="•"/>
      <w:lvlJc w:val="left"/>
      <w:pPr>
        <w:ind w:left="7556" w:hanging="336"/>
      </w:pPr>
    </w:lvl>
  </w:abstractNum>
  <w:abstractNum w:abstractNumId="5" w15:restartNumberingAfterBreak="0">
    <w:nsid w:val="32371709"/>
    <w:multiLevelType w:val="multilevel"/>
    <w:tmpl w:val="C828617E"/>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0D479C"/>
    <w:multiLevelType w:val="multilevel"/>
    <w:tmpl w:val="FF4A7D72"/>
    <w:lvl w:ilvl="0">
      <w:start w:val="1"/>
      <w:numFmt w:val="upperRoman"/>
      <w:lvlText w:val="%1."/>
      <w:lvlJc w:val="left"/>
      <w:pPr>
        <w:ind w:left="1102" w:hanging="720"/>
      </w:pPr>
    </w:lvl>
    <w:lvl w:ilvl="1">
      <w:start w:val="1"/>
      <w:numFmt w:val="lowerLetter"/>
      <w:lvlText w:val="%2."/>
      <w:lvlJc w:val="left"/>
      <w:pPr>
        <w:ind w:left="1462" w:hanging="360"/>
      </w:pPr>
    </w:lvl>
    <w:lvl w:ilvl="2">
      <w:start w:val="1"/>
      <w:numFmt w:val="lowerRoman"/>
      <w:lvlText w:val="%3."/>
      <w:lvlJc w:val="right"/>
      <w:pPr>
        <w:ind w:left="2182" w:hanging="180"/>
      </w:pPr>
    </w:lvl>
    <w:lvl w:ilvl="3">
      <w:start w:val="1"/>
      <w:numFmt w:val="decimal"/>
      <w:lvlText w:val="%4."/>
      <w:lvlJc w:val="left"/>
      <w:pPr>
        <w:ind w:left="2902" w:hanging="360"/>
      </w:pPr>
    </w:lvl>
    <w:lvl w:ilvl="4">
      <w:start w:val="1"/>
      <w:numFmt w:val="lowerLetter"/>
      <w:lvlText w:val="%5."/>
      <w:lvlJc w:val="left"/>
      <w:pPr>
        <w:ind w:left="3622" w:hanging="360"/>
      </w:pPr>
    </w:lvl>
    <w:lvl w:ilvl="5">
      <w:start w:val="1"/>
      <w:numFmt w:val="lowerRoman"/>
      <w:lvlText w:val="%6."/>
      <w:lvlJc w:val="right"/>
      <w:pPr>
        <w:ind w:left="4342" w:hanging="180"/>
      </w:pPr>
    </w:lvl>
    <w:lvl w:ilvl="6">
      <w:start w:val="1"/>
      <w:numFmt w:val="decimal"/>
      <w:lvlText w:val="%7."/>
      <w:lvlJc w:val="left"/>
      <w:pPr>
        <w:ind w:left="5062" w:hanging="360"/>
      </w:pPr>
    </w:lvl>
    <w:lvl w:ilvl="7">
      <w:start w:val="1"/>
      <w:numFmt w:val="lowerLetter"/>
      <w:lvlText w:val="%8."/>
      <w:lvlJc w:val="left"/>
      <w:pPr>
        <w:ind w:left="5782" w:hanging="360"/>
      </w:pPr>
    </w:lvl>
    <w:lvl w:ilvl="8">
      <w:start w:val="1"/>
      <w:numFmt w:val="lowerRoman"/>
      <w:lvlText w:val="%9."/>
      <w:lvlJc w:val="right"/>
      <w:pPr>
        <w:ind w:left="6502" w:hanging="180"/>
      </w:pPr>
    </w:lvl>
  </w:abstractNum>
  <w:abstractNum w:abstractNumId="7" w15:restartNumberingAfterBreak="0">
    <w:nsid w:val="41E11B5F"/>
    <w:multiLevelType w:val="multilevel"/>
    <w:tmpl w:val="6DD4DCC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decimal"/>
      <w:lvlText w:val="%2."/>
      <w:lvlJc w:val="right"/>
      <w:pPr>
        <w:ind w:left="1440" w:hanging="360"/>
      </w:pPr>
      <w:rPr>
        <w:rFonts w:ascii="Palatino Linotype" w:eastAsia="Palatino Linotype" w:hAnsi="Palatino Linotype" w:cs="Palatino Linotype"/>
        <w:b/>
      </w:rPr>
    </w:lvl>
    <w:lvl w:ilvl="2">
      <w:start w:val="1"/>
      <w:numFmt w:val="lowerRoman"/>
      <w:lvlText w:val="%3."/>
      <w:lvlJc w:val="right"/>
      <w:pPr>
        <w:ind w:left="2340" w:hanging="360"/>
      </w:pPr>
      <w:rPr>
        <w:b/>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690040"/>
    <w:multiLevelType w:val="multilevel"/>
    <w:tmpl w:val="7284A820"/>
    <w:lvl w:ilvl="0">
      <w:start w:val="1"/>
      <w:numFmt w:val="decimal"/>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9" w15:restartNumberingAfterBreak="0">
    <w:nsid w:val="44B63310"/>
    <w:multiLevelType w:val="multilevel"/>
    <w:tmpl w:val="5A64458E"/>
    <w:lvl w:ilvl="0">
      <w:start w:val="1"/>
      <w:numFmt w:val="decimal"/>
      <w:lvlText w:val="%1."/>
      <w:lvlJc w:val="left"/>
      <w:pPr>
        <w:ind w:left="822" w:hanging="347"/>
      </w:pPr>
      <w:rPr>
        <w:rFonts w:ascii="Arial" w:eastAsia="Arial" w:hAnsi="Arial" w:cs="Arial"/>
        <w:sz w:val="24"/>
        <w:szCs w:val="24"/>
      </w:rPr>
    </w:lvl>
    <w:lvl w:ilvl="1">
      <w:start w:val="1"/>
      <w:numFmt w:val="lowerLetter"/>
      <w:lvlText w:val="%2."/>
      <w:lvlJc w:val="left"/>
      <w:pPr>
        <w:ind w:left="1542" w:hanging="336"/>
      </w:pPr>
      <w:rPr>
        <w:rFonts w:ascii="Arial" w:eastAsia="Arial" w:hAnsi="Arial" w:cs="Arial"/>
        <w:sz w:val="24"/>
        <w:szCs w:val="24"/>
      </w:rPr>
    </w:lvl>
    <w:lvl w:ilvl="2">
      <w:numFmt w:val="bullet"/>
      <w:lvlText w:val="•"/>
      <w:lvlJc w:val="left"/>
      <w:pPr>
        <w:ind w:left="2375" w:hanging="336"/>
      </w:pPr>
    </w:lvl>
    <w:lvl w:ilvl="3">
      <w:numFmt w:val="bullet"/>
      <w:lvlText w:val="•"/>
      <w:lvlJc w:val="left"/>
      <w:pPr>
        <w:ind w:left="3211" w:hanging="336"/>
      </w:pPr>
    </w:lvl>
    <w:lvl w:ilvl="4">
      <w:numFmt w:val="bullet"/>
      <w:lvlText w:val="•"/>
      <w:lvlJc w:val="left"/>
      <w:pPr>
        <w:ind w:left="4046" w:hanging="336"/>
      </w:pPr>
    </w:lvl>
    <w:lvl w:ilvl="5">
      <w:numFmt w:val="bullet"/>
      <w:lvlText w:val="•"/>
      <w:lvlJc w:val="left"/>
      <w:pPr>
        <w:ind w:left="4882" w:hanging="336"/>
      </w:pPr>
    </w:lvl>
    <w:lvl w:ilvl="6">
      <w:numFmt w:val="bullet"/>
      <w:lvlText w:val="•"/>
      <w:lvlJc w:val="left"/>
      <w:pPr>
        <w:ind w:left="5717" w:hanging="336"/>
      </w:pPr>
    </w:lvl>
    <w:lvl w:ilvl="7">
      <w:numFmt w:val="bullet"/>
      <w:lvlText w:val="•"/>
      <w:lvlJc w:val="left"/>
      <w:pPr>
        <w:ind w:left="6553" w:hanging="336"/>
      </w:pPr>
    </w:lvl>
    <w:lvl w:ilvl="8">
      <w:numFmt w:val="bullet"/>
      <w:lvlText w:val="•"/>
      <w:lvlJc w:val="left"/>
      <w:pPr>
        <w:ind w:left="7388" w:hanging="336"/>
      </w:pPr>
    </w:lvl>
  </w:abstractNum>
  <w:abstractNum w:abstractNumId="10" w15:restartNumberingAfterBreak="0">
    <w:nsid w:val="5E006CF5"/>
    <w:multiLevelType w:val="multilevel"/>
    <w:tmpl w:val="719C0D6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71576A53"/>
    <w:multiLevelType w:val="multilevel"/>
    <w:tmpl w:val="732859D4"/>
    <w:lvl w:ilvl="0">
      <w:start w:val="1"/>
      <w:numFmt w:val="decimal"/>
      <w:lvlText w:val="%1."/>
      <w:lvlJc w:val="left"/>
      <w:pPr>
        <w:ind w:left="720" w:hanging="360"/>
      </w:pPr>
    </w:lvl>
    <w:lvl w:ilvl="1">
      <w:start w:val="1"/>
      <w:numFmt w:val="lowerLetter"/>
      <w:lvlText w:val="%2."/>
      <w:lvlJc w:val="left"/>
      <w:pPr>
        <w:ind w:left="1440" w:hanging="360"/>
      </w:pPr>
      <w:rPr>
        <w:rFonts w:ascii="Palatino Linotype" w:eastAsia="Palatino Linotype" w:hAnsi="Palatino Linotype" w:cs="Palatino Linotype"/>
      </w:rPr>
    </w:lvl>
    <w:lvl w:ilvl="2">
      <w:start w:val="1"/>
      <w:numFmt w:val="upperRoman"/>
      <w:lvlText w:val="%3."/>
      <w:lvlJc w:val="left"/>
      <w:pPr>
        <w:ind w:left="2700" w:hanging="720"/>
      </w:pPr>
    </w:lvl>
    <w:lvl w:ilvl="3">
      <w:start w:val="1"/>
      <w:numFmt w:val="lowerLetter"/>
      <w:lvlText w:val="%4)"/>
      <w:lvlJc w:val="left"/>
      <w:pPr>
        <w:ind w:left="2880" w:hanging="360"/>
      </w:pPr>
      <w:rPr>
        <w:i w:val="0"/>
      </w:rPr>
    </w:lvl>
    <w:lvl w:ilvl="4">
      <w:start w:val="1"/>
      <w:numFmt w:val="upp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9"/>
  </w:num>
  <w:num w:numId="4">
    <w:abstractNumId w:val="10"/>
  </w:num>
  <w:num w:numId="5">
    <w:abstractNumId w:val="0"/>
  </w:num>
  <w:num w:numId="6">
    <w:abstractNumId w:val="6"/>
  </w:num>
  <w:num w:numId="7">
    <w:abstractNumId w:val="11"/>
  </w:num>
  <w:num w:numId="8">
    <w:abstractNumId w:val="8"/>
  </w:num>
  <w:num w:numId="9">
    <w:abstractNumId w:val="4"/>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EF6"/>
    <w:rsid w:val="0001567A"/>
    <w:rsid w:val="00022468"/>
    <w:rsid w:val="000B75C0"/>
    <w:rsid w:val="00203205"/>
    <w:rsid w:val="003A22AC"/>
    <w:rsid w:val="00543AA2"/>
    <w:rsid w:val="005D52A7"/>
    <w:rsid w:val="00996EF6"/>
    <w:rsid w:val="009E2B35"/>
    <w:rsid w:val="00B4486C"/>
    <w:rsid w:val="00C218D6"/>
    <w:rsid w:val="00CD5C7D"/>
    <w:rsid w:val="00CD6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07FB"/>
  <w15:docId w15:val="{86F2926C-071B-4ED1-B707-7E499A1E4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
    <w:name w:val="4"/>
    <w:basedOn w:val="TableNormal0"/>
    <w:rPr>
      <w:sz w:val="22"/>
      <w:szCs w:val="22"/>
    </w:rPr>
    <w:tblPr>
      <w:tblStyleRowBandSize w:val="1"/>
      <w:tblStyleColBandSize w:val="1"/>
      <w:tblCellMar>
        <w:left w:w="108" w:type="dxa"/>
        <w:right w:w="108" w:type="dxa"/>
      </w:tblCellMar>
    </w:tblPr>
  </w:style>
  <w:style w:type="table" w:customStyle="1" w:styleId="3">
    <w:name w:val="3"/>
    <w:basedOn w:val="TableNormal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a">
    <w:basedOn w:val="TableNormal0"/>
    <w:rPr>
      <w:sz w:val="22"/>
      <w:szCs w:val="22"/>
    </w:rPr>
    <w:tblPr>
      <w:tblStyleRowBandSize w:val="1"/>
      <w:tblStyleColBandSize w:val="1"/>
      <w:tblCellMar>
        <w:left w:w="115" w:type="dxa"/>
        <w:right w:w="115" w:type="dxa"/>
      </w:tblCellMar>
    </w:tblPr>
  </w:style>
  <w:style w:type="table" w:customStyle="1" w:styleId="a0">
    <w:basedOn w:val="TableNormal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rPr>
      <w:sz w:val="22"/>
      <w:szCs w:val="22"/>
    </w:rPr>
    <w:tblPr>
      <w:tblStyleRowBandSize w:val="1"/>
      <w:tblStyleColBandSize w:val="1"/>
      <w:tblCellMar>
        <w:left w:w="115" w:type="dxa"/>
        <w:right w:w="115" w:type="dxa"/>
      </w:tblCellMar>
    </w:tblPr>
  </w:style>
  <w:style w:type="table" w:customStyle="1" w:styleId="a3">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f.mx/nota_detallep?codigo=5611102&amp;fecha=09/02/2021"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conuee.gob.mx/transparencia/boletines/SemanaAmericConuee/Alumbrado%20Americ_Conuee_01062020.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1.png"/><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obrapublica.edomex.gob.mx/sites/infraestructura.edomex.gob.mx/files/files/Administracion_y_Construccion/pdf/DGE/A-Publ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rPqi9lru4Ht5wkd1ZAfIWhmLJg==">AMUW2mWQMYdsLPIz2C4mRiZ9oP0Y6p0tFQSzh6UAB6RpLE1fwZjKN5jEwyR3xomVA1WSPy5/rumpyHk9DPrVljSOaB83QQgT5j0aIqSKvG85FNGiiv692WKf3E3NUOB3F5lcAwKzqTbAycOhfkkG5S/ZWhNTHNl43Xj5hhmvaLw75TZ+DaCkoo58oaEGNi/4vfPAyBITW4bD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12106</Words>
  <Characters>66589</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cp:lastPrinted>2022-03-28T08:28:00Z</cp:lastPrinted>
  <dcterms:created xsi:type="dcterms:W3CDTF">2022-04-05T18:43:00Z</dcterms:created>
  <dcterms:modified xsi:type="dcterms:W3CDTF">2022-04-06T00:20:00Z</dcterms:modified>
</cp:coreProperties>
</file>