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doce de octubre del dos mil veintidós.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Visto</w:t>
      </w:r>
      <w:r w:rsidRPr="00004115">
        <w:rPr>
          <w:rFonts w:ascii="Palatino Linotype" w:eastAsia="Palatino Linotype" w:hAnsi="Palatino Linotype" w:cs="Palatino Linotype"/>
        </w:rPr>
        <w:t xml:space="preserve"> el expediente relativo al recurso de revisión </w:t>
      </w:r>
      <w:r w:rsidRPr="00004115">
        <w:rPr>
          <w:rFonts w:ascii="Palatino Linotype" w:eastAsia="Palatino Linotype" w:hAnsi="Palatino Linotype" w:cs="Palatino Linotype"/>
          <w:b/>
        </w:rPr>
        <w:t>08764/INFOEM/IP/RR/2022</w:t>
      </w:r>
      <w:r w:rsidRPr="00004115">
        <w:rPr>
          <w:rFonts w:ascii="Palatino Linotype" w:eastAsia="Palatino Linotype" w:hAnsi="Palatino Linotype" w:cs="Palatino Linotype"/>
        </w:rPr>
        <w:t xml:space="preserve">, interpuesto por </w:t>
      </w:r>
      <w:r w:rsidR="00462EF7">
        <w:rPr>
          <w:rFonts w:ascii="Palatino Linotype" w:eastAsia="Palatino Linotype" w:hAnsi="Palatino Linotype" w:cs="Palatino Linotype"/>
          <w:b/>
        </w:rPr>
        <w:t>XXXXXXXX XXXXXXXXX XXXXXXX</w:t>
      </w:r>
      <w:r w:rsidRPr="00004115">
        <w:rPr>
          <w:rFonts w:ascii="Palatino Linotype" w:eastAsia="Palatino Linotype" w:hAnsi="Palatino Linotype" w:cs="Palatino Linotype"/>
          <w:b/>
        </w:rPr>
        <w:t>,</w:t>
      </w:r>
      <w:r w:rsidRPr="00004115">
        <w:rPr>
          <w:rFonts w:ascii="Palatino Linotype" w:eastAsia="Palatino Linotype" w:hAnsi="Palatino Linotype" w:cs="Palatino Linotype"/>
        </w:rPr>
        <w:t xml:space="preserve"> al cual en lo sucesivo se le denominara </w:t>
      </w:r>
      <w:r w:rsidRPr="00004115">
        <w:rPr>
          <w:rFonts w:ascii="Palatino Linotype" w:eastAsia="Palatino Linotype" w:hAnsi="Palatino Linotype" w:cs="Palatino Linotype"/>
          <w:b/>
        </w:rPr>
        <w:t>la RECURRENTE</w:t>
      </w:r>
      <w:r w:rsidRPr="00004115">
        <w:rPr>
          <w:rFonts w:ascii="Palatino Linotype" w:eastAsia="Palatino Linotype" w:hAnsi="Palatino Linotype" w:cs="Palatino Linotype"/>
        </w:rPr>
        <w:t xml:space="preserve">, en contra de la respuesta a su solicitud de información con número de folio </w:t>
      </w:r>
      <w:r w:rsidRPr="00004115">
        <w:rPr>
          <w:rFonts w:ascii="Palatino Linotype" w:eastAsia="Palatino Linotype" w:hAnsi="Palatino Linotype" w:cs="Palatino Linotype"/>
          <w:b/>
        </w:rPr>
        <w:t>00278/CHALCO/IP/2022</w:t>
      </w:r>
      <w:r w:rsidRPr="00004115">
        <w:rPr>
          <w:rFonts w:ascii="Palatino Linotype" w:eastAsia="Palatino Linotype" w:hAnsi="Palatino Linotype" w:cs="Palatino Linotype"/>
        </w:rPr>
        <w:t xml:space="preserve">, por parte del </w:t>
      </w:r>
      <w:r w:rsidRPr="00004115">
        <w:rPr>
          <w:rFonts w:ascii="Palatino Linotype" w:eastAsia="Palatino Linotype" w:hAnsi="Palatino Linotype" w:cs="Palatino Linotype"/>
          <w:b/>
        </w:rPr>
        <w:t>Ayuntamiento de Chalco</w:t>
      </w:r>
      <w:r w:rsidRPr="00004115">
        <w:rPr>
          <w:rFonts w:ascii="Palatino Linotype" w:eastAsia="Palatino Linotype" w:hAnsi="Palatino Linotype" w:cs="Palatino Linotype"/>
        </w:rPr>
        <w:t xml:space="preserve"> en lo sucesivo el </w:t>
      </w:r>
      <w:r w:rsidRPr="00004115">
        <w:rPr>
          <w:rFonts w:ascii="Palatino Linotype" w:eastAsia="Palatino Linotype" w:hAnsi="Palatino Linotype" w:cs="Palatino Linotype"/>
          <w:b/>
        </w:rPr>
        <w:t xml:space="preserve">SUJETO OBLIGADO; </w:t>
      </w:r>
      <w:r w:rsidRPr="00004115">
        <w:rPr>
          <w:rFonts w:ascii="Palatino Linotype" w:eastAsia="Palatino Linotype" w:hAnsi="Palatino Linotype" w:cs="Palatino Linotype"/>
        </w:rPr>
        <w:t>se procede a dictar la presente resolución, con base en los siguientes:</w:t>
      </w:r>
    </w:p>
    <w:p w:rsidR="003D5D4B" w:rsidRPr="00004115" w:rsidRDefault="00423B7A">
      <w:pPr>
        <w:numPr>
          <w:ilvl w:val="0"/>
          <w:numId w:val="6"/>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sz w:val="22"/>
          <w:szCs w:val="22"/>
        </w:rPr>
      </w:pPr>
      <w:r w:rsidRPr="00004115">
        <w:rPr>
          <w:rFonts w:ascii="Palatino Linotype" w:eastAsia="Palatino Linotype" w:hAnsi="Palatino Linotype" w:cs="Palatino Linotype"/>
          <w:b/>
          <w:sz w:val="22"/>
          <w:szCs w:val="22"/>
        </w:rPr>
        <w:t>A N T E C E D E N T E S:</w:t>
      </w:r>
    </w:p>
    <w:p w:rsidR="003D5D4B" w:rsidRPr="00004115" w:rsidRDefault="00423B7A">
      <w:pPr>
        <w:spacing w:before="240" w:after="240" w:line="360" w:lineRule="auto"/>
        <w:jc w:val="both"/>
        <w:rPr>
          <w:rFonts w:ascii="Palatino Linotype" w:eastAsia="Palatino Linotype" w:hAnsi="Palatino Linotype" w:cs="Palatino Linotype"/>
          <w:b/>
        </w:rPr>
      </w:pPr>
      <w:r w:rsidRPr="00004115">
        <w:rPr>
          <w:rFonts w:ascii="Palatino Linotype" w:eastAsia="Palatino Linotype" w:hAnsi="Palatino Linotype" w:cs="Palatino Linotype"/>
          <w:b/>
        </w:rPr>
        <w:t xml:space="preserve">1. Solicitud de acceso a la información. </w:t>
      </w:r>
      <w:r w:rsidRPr="00004115">
        <w:rPr>
          <w:rFonts w:ascii="Palatino Linotype" w:eastAsia="Palatino Linotype" w:hAnsi="Palatino Linotype" w:cs="Palatino Linotype"/>
        </w:rPr>
        <w:t xml:space="preserve">Con fecha veintisiete de marzo del dos mil veintidós, la parte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presentó, a través del Sistema de Acceso a la Información Mexiquense, en lo subsecuente el </w:t>
      </w:r>
      <w:r w:rsidRPr="00004115">
        <w:rPr>
          <w:rFonts w:ascii="Palatino Linotype" w:eastAsia="Palatino Linotype" w:hAnsi="Palatino Linotype" w:cs="Palatino Linotype"/>
          <w:b/>
        </w:rPr>
        <w:t>SAIMEX</w:t>
      </w:r>
      <w:r w:rsidRPr="00004115">
        <w:rPr>
          <w:rFonts w:ascii="Palatino Linotype" w:eastAsia="Palatino Linotype" w:hAnsi="Palatino Linotype" w:cs="Palatino Linotype"/>
        </w:rPr>
        <w:t xml:space="preserve">, ante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la solicitud de acceso a la información pública, a la que se le asignó el número</w:t>
      </w:r>
      <w:r w:rsidRPr="00004115">
        <w:rPr>
          <w:rFonts w:ascii="Verdana" w:eastAsia="Verdana" w:hAnsi="Verdana" w:cs="Verdana"/>
          <w:b/>
        </w:rPr>
        <w:t> </w:t>
      </w:r>
      <w:r w:rsidRPr="00004115">
        <w:rPr>
          <w:rFonts w:ascii="Palatino Linotype" w:eastAsia="Palatino Linotype" w:hAnsi="Palatino Linotype" w:cs="Palatino Linotype"/>
          <w:b/>
        </w:rPr>
        <w:t xml:space="preserve">00278/CHALCO/IP/2022, </w:t>
      </w:r>
      <w:r w:rsidRPr="00004115">
        <w:rPr>
          <w:rFonts w:ascii="Palatino Linotype" w:eastAsia="Palatino Linotype" w:hAnsi="Palatino Linotype" w:cs="Palatino Linotype"/>
        </w:rPr>
        <w:t>mediante la cual solicitó acceder a la información siguiente:</w:t>
      </w:r>
    </w:p>
    <w:p w:rsidR="003D5D4B" w:rsidRPr="00004115" w:rsidRDefault="00423B7A">
      <w:pPr>
        <w:spacing w:before="240" w:after="240"/>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“Solicito respuesta a lo siguiente. 1. ¿Cuenta con un programa de simulacros y cuando se han realizado desde enero 2022? 2. ¿Se cuenta con reglamentos de: bando de policía y gobierno, tránsito, policía, mercados, panteones, catastro, obras públicas, limpia, rastro, parques y jardines, agua, adquisiciones, protección civil, participación ciudadana, desarrollo urbano, anticorrupción, patrimonio y administración? 3. ¿Se revisan de manera periódica los reglamentos del municipio? ¿Hay alguna comisión edilicia integrada para tal efecto? Quienes la integran</w:t>
      </w:r>
      <w:proofErr w:type="gramStart"/>
      <w:r w:rsidRPr="00004115">
        <w:rPr>
          <w:rFonts w:ascii="Palatino Linotype" w:eastAsia="Palatino Linotype" w:hAnsi="Palatino Linotype" w:cs="Palatino Linotype"/>
          <w:i/>
          <w:sz w:val="22"/>
          <w:szCs w:val="22"/>
        </w:rPr>
        <w:t>?</w:t>
      </w:r>
      <w:proofErr w:type="gramEnd"/>
      <w:r w:rsidRPr="00004115">
        <w:rPr>
          <w:rFonts w:ascii="Palatino Linotype" w:eastAsia="Palatino Linotype" w:hAnsi="Palatino Linotype" w:cs="Palatino Linotype"/>
          <w:i/>
          <w:sz w:val="22"/>
          <w:szCs w:val="22"/>
        </w:rPr>
        <w:t xml:space="preserve"> Favor de anexar fechas de sus reuniones y actas de estas. 4. ¿Cuántos </w:t>
      </w:r>
      <w:r w:rsidRPr="00004115">
        <w:rPr>
          <w:rFonts w:ascii="Palatino Linotype" w:eastAsia="Palatino Linotype" w:hAnsi="Palatino Linotype" w:cs="Palatino Linotype"/>
          <w:i/>
          <w:sz w:val="22"/>
          <w:szCs w:val="22"/>
        </w:rPr>
        <w:lastRenderedPageBreak/>
        <w:t>reglamentos municipales se encuentran vigentes aprobados en administraciones anteriores y cuales se han aprobado en la presente? En el caso de que se hayan derogado algunos ¿Cuáles son? Favor de incluir sólo el nombre del reglamento aprobado o derogado y fecha en la que el cabildo lo votó. 5. ¿Cuál es el grado de formalización de los procesos internos? 6. ¿Se cuenta con una oficina o asesor jurídico municipal? 7. ¿Facilita el municipio el acceso a las instancias de procuración de justicia federal y estatal? 8. ¿Existe un juzgado administrativo municipal o equivalente y cuál es? 9. ¿Se cuenta con un sistema de quejas y sanciones en contra de servidores públicos municipales? 10. ¿Existe un órgano de acceso a la información pública municipal? 11. ¿Cuenta con módulo y portal web para hacer pública la información? 12. ¿Publica la información de acuerdo a la legislación en la materia? Gracias, bonito día.” (Sic)</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Modalidad elegida para la entrega de la información: </w:t>
      </w:r>
      <w:r w:rsidRPr="00004115">
        <w:rPr>
          <w:rFonts w:ascii="Palatino Linotype" w:eastAsia="Palatino Linotype" w:hAnsi="Palatino Linotype" w:cs="Palatino Linotype"/>
        </w:rPr>
        <w:t>a través de SAIMEX.</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2. Respuesta. </w:t>
      </w:r>
      <w:r w:rsidRPr="00004115">
        <w:rPr>
          <w:rFonts w:ascii="Palatino Linotype" w:eastAsia="Palatino Linotype" w:hAnsi="Palatino Linotype" w:cs="Palatino Linotype"/>
        </w:rPr>
        <w:t xml:space="preserve">Con fecha tres de mayo del dos mil veintidós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envió su respuesta a la solicitud de acceso a la información a través del SAIMEX, la cual versa como sigue:</w:t>
      </w:r>
    </w:p>
    <w:p w:rsidR="003D5D4B" w:rsidRPr="00004115" w:rsidRDefault="00423B7A">
      <w:pPr>
        <w:spacing w:before="240" w:after="240"/>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3D5D4B" w:rsidRPr="00004115" w:rsidRDefault="00423B7A">
      <w:pPr>
        <w:spacing w:before="240" w:after="240"/>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En respuesta a la solicitud recibida, nos permitimos hacer de su conocimiento que con fundamento en el artículo 53, Fracciones: II, V y VI de la Ley de Transparencia y Acceso a la Información Pública del Estado de México y Municipios, le contestamos que: En respuesta a la solicitud recibida, nos permitimos hacer de su conocimiento que con fundamento en el artículo 53, Fracciones: II, V y VI de la Ley de Transparencia y Acceso a la Información Pública del Estado de México y Municipios, le contestamos que: Con fundamento en lo dispuesto en los artículos 6º apartado A de la Constitución Política de los Estados Unidos Mexicanos; 5º párrafos trece, catorce y quince fracciones I a VII de la Constitución Política del Estado Libre y Soberano de México, 1, 2, 12, 53 fracciones II, V y VI, y 163 de la Ley de Transparencia y Acceso a la Información Pública del Estado de México y Municipios, se le hace de su conocimiento y notificación de la respuesta emitida por los servidores públicos habilitados el Titular de la Coordinación Municipal de Protección Civil y Dirección Jurídica en </w:t>
      </w:r>
      <w:r w:rsidRPr="00004115">
        <w:rPr>
          <w:rFonts w:ascii="Palatino Linotype" w:eastAsia="Palatino Linotype" w:hAnsi="Palatino Linotype" w:cs="Palatino Linotype"/>
          <w:i/>
          <w:sz w:val="22"/>
          <w:szCs w:val="22"/>
        </w:rPr>
        <w:lastRenderedPageBreak/>
        <w:t xml:space="preserve">los siguientes </w:t>
      </w:r>
      <w:proofErr w:type="spellStart"/>
      <w:r w:rsidRPr="00004115">
        <w:rPr>
          <w:rFonts w:ascii="Palatino Linotype" w:eastAsia="Palatino Linotype" w:hAnsi="Palatino Linotype" w:cs="Palatino Linotype"/>
          <w:i/>
          <w:sz w:val="22"/>
          <w:szCs w:val="22"/>
        </w:rPr>
        <w:t>términos:Por</w:t>
      </w:r>
      <w:proofErr w:type="spellEnd"/>
      <w:r w:rsidRPr="00004115">
        <w:rPr>
          <w:rFonts w:ascii="Palatino Linotype" w:eastAsia="Palatino Linotype" w:hAnsi="Palatino Linotype" w:cs="Palatino Linotype"/>
          <w:i/>
          <w:sz w:val="22"/>
          <w:szCs w:val="22"/>
        </w:rPr>
        <w:t xml:space="preserve"> medio del presente reciba un cordial saludo, al tiempo remito contestación de la solicitud de información número 00278/CHALCO/IP/2022, mediante archivo que se adjunta a la </w:t>
      </w:r>
      <w:proofErr w:type="spellStart"/>
      <w:r w:rsidRPr="00004115">
        <w:rPr>
          <w:rFonts w:ascii="Palatino Linotype" w:eastAsia="Palatino Linotype" w:hAnsi="Palatino Linotype" w:cs="Palatino Linotype"/>
          <w:i/>
          <w:sz w:val="22"/>
          <w:szCs w:val="22"/>
        </w:rPr>
        <w:t>presente.Considerando</w:t>
      </w:r>
      <w:proofErr w:type="spellEnd"/>
      <w:r w:rsidRPr="00004115">
        <w:rPr>
          <w:rFonts w:ascii="Palatino Linotype" w:eastAsia="Palatino Linotype" w:hAnsi="Palatino Linotype" w:cs="Palatino Linotype"/>
          <w:i/>
          <w:sz w:val="22"/>
          <w:szCs w:val="22"/>
        </w:rPr>
        <w:t xml:space="preserve"> que requirió la respuesta a su solicitud de información pública mediante el Sistema de Acceso a la Información Mexiquense (SAIMEX); se le notifica por dicha vía la respuesta anterior. Así mismo le informo que en términos de los artículos 176, 177, 178 y 179 de la Ley de Transparencia y Acceso a la Información Pública del Estado de México y Municipios, tiene el derecho de interponer el Recurso de Revisión en un plazo de 15 días hábiles siguientes a partir de la presente fecha, en caso de considerar que la respuesta es desfavorable a su solicitud.</w:t>
      </w:r>
    </w:p>
    <w:p w:rsidR="003D5D4B" w:rsidRPr="00004115" w:rsidRDefault="00423B7A">
      <w:pPr>
        <w:spacing w:before="240" w:after="240"/>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ATENTAMENTE</w:t>
      </w:r>
    </w:p>
    <w:p w:rsidR="003D5D4B" w:rsidRPr="00004115" w:rsidRDefault="00423B7A">
      <w:pPr>
        <w:spacing w:before="240" w:after="240"/>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C. P. JESÚS CLISERIO HERNÁNDEZ MORENO” (Sic)</w:t>
      </w:r>
    </w:p>
    <w:p w:rsidR="003D5D4B" w:rsidRPr="00004115" w:rsidRDefault="003D5D4B">
      <w:pPr>
        <w:ind w:left="851" w:right="902"/>
        <w:jc w:val="both"/>
        <w:rPr>
          <w:rFonts w:ascii="Palatino Linotype" w:eastAsia="Palatino Linotype" w:hAnsi="Palatino Linotype" w:cs="Palatino Linotype"/>
          <w:i/>
          <w:sz w:val="22"/>
          <w:szCs w:val="22"/>
        </w:rPr>
      </w:pPr>
    </w:p>
    <w:p w:rsidR="003D5D4B" w:rsidRPr="00004115" w:rsidRDefault="00423B7A">
      <w:pPr>
        <w:spacing w:before="240"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adjuntó a su respuesta los archivos electrónicos siguientes: </w:t>
      </w:r>
    </w:p>
    <w:p w:rsidR="003D5D4B" w:rsidRPr="00004115" w:rsidRDefault="00423B7A">
      <w:pPr>
        <w:spacing w:before="240"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rPr>
        <w:t>“</w:t>
      </w:r>
      <w:hyperlink r:id="rId8">
        <w:r w:rsidRPr="00004115">
          <w:rPr>
            <w:rFonts w:ascii="Palatino Linotype" w:eastAsia="Palatino Linotype" w:hAnsi="Palatino Linotype" w:cs="Palatino Linotype"/>
          </w:rPr>
          <w:t>00278-CHALCO-IP-2022 PCIVIL.pdf</w:t>
        </w:r>
      </w:hyperlink>
      <w:r w:rsidRPr="00004115">
        <w:rPr>
          <w:rFonts w:ascii="Palatino Linotype" w:eastAsia="Palatino Linotype" w:hAnsi="Palatino Linotype" w:cs="Palatino Linotype"/>
        </w:rPr>
        <w:t>”, el cual contiene la respuesta del Coordinador Municipal de Protección Civil del Ayuntamiento de Chalco, a través del cual informó respecto de cada uno de los requerimientos lo siguiente:</w:t>
      </w:r>
    </w:p>
    <w:p w:rsidR="003D5D4B" w:rsidRPr="00004115" w:rsidRDefault="00423B7A">
      <w:pPr>
        <w:spacing w:before="240" w:line="360" w:lineRule="auto"/>
        <w:ind w:right="49"/>
        <w:jc w:val="both"/>
        <w:rPr>
          <w:rFonts w:ascii="Palatino Linotype" w:eastAsia="Palatino Linotype" w:hAnsi="Palatino Linotype" w:cs="Palatino Linotype"/>
        </w:rPr>
      </w:pPr>
      <w:r w:rsidRPr="00004115">
        <w:rPr>
          <w:noProof/>
          <w:lang w:val="es-MX" w:eastAsia="es-MX"/>
        </w:rPr>
        <mc:AlternateContent>
          <mc:Choice Requires="wpg">
            <w:drawing>
              <wp:anchor distT="0" distB="0" distL="114300" distR="114300" simplePos="0" relativeHeight="251658240" behindDoc="0" locked="0" layoutInCell="1" hidden="0" allowOverlap="1">
                <wp:simplePos x="0" y="0"/>
                <wp:positionH relativeFrom="column">
                  <wp:posOffset>76201</wp:posOffset>
                </wp:positionH>
                <wp:positionV relativeFrom="paragraph">
                  <wp:posOffset>38100</wp:posOffset>
                </wp:positionV>
                <wp:extent cx="5489575" cy="2270125"/>
                <wp:effectExtent l="0" t="0" r="0" b="0"/>
                <wp:wrapNone/>
                <wp:docPr id="79" name="Conector recto de flecha 79"/>
                <wp:cNvGraphicFramePr/>
                <a:graphic xmlns:a="http://schemas.openxmlformats.org/drawingml/2006/main">
                  <a:graphicData uri="http://schemas.microsoft.com/office/word/2010/wordprocessingShape">
                    <wps:wsp>
                      <wps:cNvCnPr/>
                      <wps:spPr>
                        <a:xfrm>
                          <a:off x="2605975" y="2649700"/>
                          <a:ext cx="5480050" cy="226060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76201</wp:posOffset>
                </wp:positionH>
                <wp:positionV relativeFrom="paragraph">
                  <wp:posOffset>38100</wp:posOffset>
                </wp:positionV>
                <wp:extent cx="5489575" cy="2270125"/>
                <wp:effectExtent b="0" l="0" r="0" t="0"/>
                <wp:wrapNone/>
                <wp:docPr id="79" name="image10.png"/>
                <a:graphic>
                  <a:graphicData uri="http://schemas.openxmlformats.org/drawingml/2006/picture">
                    <pic:pic>
                      <pic:nvPicPr>
                        <pic:cNvPr id="0" name="image10.png"/>
                        <pic:cNvPicPr preferRelativeResize="0"/>
                      </pic:nvPicPr>
                      <pic:blipFill>
                        <a:blip r:embed="rId9"/>
                        <a:srcRect/>
                        <a:stretch>
                          <a:fillRect/>
                        </a:stretch>
                      </pic:blipFill>
                      <pic:spPr>
                        <a:xfrm>
                          <a:off x="0" y="0"/>
                          <a:ext cx="5489575" cy="2270125"/>
                        </a:xfrm>
                        <a:prstGeom prst="rect"/>
                        <a:ln/>
                      </pic:spPr>
                    </pic:pic>
                  </a:graphicData>
                </a:graphic>
              </wp:anchor>
            </w:drawing>
          </mc:Fallback>
        </mc:AlternateContent>
      </w:r>
    </w:p>
    <w:p w:rsidR="003D5D4B" w:rsidRPr="00004115" w:rsidRDefault="003D5D4B">
      <w:pPr>
        <w:spacing w:before="240" w:line="360" w:lineRule="auto"/>
        <w:ind w:right="49"/>
        <w:jc w:val="both"/>
        <w:rPr>
          <w:rFonts w:ascii="Palatino Linotype" w:eastAsia="Palatino Linotype" w:hAnsi="Palatino Linotype" w:cs="Palatino Linotype"/>
        </w:rPr>
      </w:pPr>
    </w:p>
    <w:p w:rsidR="003D5D4B" w:rsidRPr="00004115" w:rsidRDefault="003D5D4B">
      <w:pPr>
        <w:spacing w:before="240" w:line="360" w:lineRule="auto"/>
        <w:ind w:right="49"/>
        <w:jc w:val="both"/>
        <w:rPr>
          <w:rFonts w:ascii="Palatino Linotype" w:eastAsia="Palatino Linotype" w:hAnsi="Palatino Linotype" w:cs="Palatino Linotype"/>
        </w:rPr>
      </w:pPr>
    </w:p>
    <w:p w:rsidR="003D5D4B" w:rsidRPr="00004115" w:rsidRDefault="003D5D4B">
      <w:pPr>
        <w:spacing w:before="240" w:line="360" w:lineRule="auto"/>
        <w:ind w:right="49"/>
        <w:jc w:val="both"/>
        <w:rPr>
          <w:rFonts w:ascii="Palatino Linotype" w:eastAsia="Palatino Linotype" w:hAnsi="Palatino Linotype" w:cs="Palatino Linotype"/>
        </w:rPr>
      </w:pPr>
    </w:p>
    <w:p w:rsidR="003D5D4B" w:rsidRPr="00004115" w:rsidRDefault="003D5D4B">
      <w:pPr>
        <w:spacing w:before="240" w:line="360" w:lineRule="auto"/>
        <w:ind w:right="49"/>
        <w:jc w:val="both"/>
        <w:rPr>
          <w:rFonts w:ascii="Palatino Linotype" w:eastAsia="Palatino Linotype" w:hAnsi="Palatino Linotype" w:cs="Palatino Linotype"/>
        </w:rPr>
      </w:pPr>
    </w:p>
    <w:p w:rsidR="003D5D4B" w:rsidRPr="00004115" w:rsidRDefault="00423B7A">
      <w:pPr>
        <w:spacing w:before="240" w:line="360" w:lineRule="auto"/>
        <w:ind w:right="49"/>
        <w:jc w:val="both"/>
        <w:rPr>
          <w:rFonts w:ascii="Palatino Linotype" w:eastAsia="Palatino Linotype" w:hAnsi="Palatino Linotype" w:cs="Palatino Linotype"/>
        </w:rPr>
      </w:pPr>
      <w:r w:rsidRPr="00004115">
        <w:rPr>
          <w:noProof/>
          <w:lang w:val="es-MX" w:eastAsia="es-MX"/>
        </w:rPr>
        <w:lastRenderedPageBreak/>
        <w:drawing>
          <wp:inline distT="0" distB="0" distL="0" distR="0">
            <wp:extent cx="5416550" cy="7188200"/>
            <wp:effectExtent l="0" t="0" r="0" b="0"/>
            <wp:docPr id="8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l="40507" t="16898" r="28150" b="9675"/>
                    <a:stretch>
                      <a:fillRect/>
                    </a:stretch>
                  </pic:blipFill>
                  <pic:spPr>
                    <a:xfrm>
                      <a:off x="0" y="0"/>
                      <a:ext cx="5416550" cy="7188200"/>
                    </a:xfrm>
                    <a:prstGeom prst="rect">
                      <a:avLst/>
                    </a:prstGeom>
                    <a:ln/>
                  </pic:spPr>
                </pic:pic>
              </a:graphicData>
            </a:graphic>
          </wp:inline>
        </w:drawing>
      </w:r>
      <w:r w:rsidRPr="00004115">
        <w:rPr>
          <w:rFonts w:ascii="Palatino Linotype" w:eastAsia="Palatino Linotype" w:hAnsi="Palatino Linotype" w:cs="Palatino Linotype"/>
        </w:rPr>
        <w:br/>
      </w:r>
      <w:r w:rsidRPr="00004115">
        <w:rPr>
          <w:noProof/>
          <w:lang w:val="es-MX" w:eastAsia="es-MX"/>
        </w:rPr>
        <w:lastRenderedPageBreak/>
        <w:drawing>
          <wp:inline distT="0" distB="0" distL="0" distR="0">
            <wp:extent cx="5295900" cy="7042150"/>
            <wp:effectExtent l="0" t="0" r="0" b="0"/>
            <wp:docPr id="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l="40846" t="17299" r="27246" b="11889"/>
                    <a:stretch>
                      <a:fillRect/>
                    </a:stretch>
                  </pic:blipFill>
                  <pic:spPr>
                    <a:xfrm>
                      <a:off x="0" y="0"/>
                      <a:ext cx="5295900" cy="7042150"/>
                    </a:xfrm>
                    <a:prstGeom prst="rect">
                      <a:avLst/>
                    </a:prstGeom>
                    <a:ln/>
                  </pic:spPr>
                </pic:pic>
              </a:graphicData>
            </a:graphic>
          </wp:inline>
        </w:drawing>
      </w:r>
    </w:p>
    <w:p w:rsidR="003D5D4B" w:rsidRPr="00004115" w:rsidRDefault="00423B7A">
      <w:pPr>
        <w:spacing w:before="240"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w:t>
      </w:r>
      <w:hyperlink r:id="rId12">
        <w:r w:rsidRPr="00004115">
          <w:rPr>
            <w:rFonts w:ascii="Palatino Linotype" w:eastAsia="Palatino Linotype" w:hAnsi="Palatino Linotype" w:cs="Palatino Linotype"/>
          </w:rPr>
          <w:t>00278-CHALCO-IP-2022DIRJUR.pdf</w:t>
        </w:r>
      </w:hyperlink>
      <w:r w:rsidRPr="00004115">
        <w:rPr>
          <w:rFonts w:ascii="Palatino Linotype" w:eastAsia="Palatino Linotype" w:hAnsi="Palatino Linotype" w:cs="Palatino Linotype"/>
        </w:rPr>
        <w:t>”, el cual contiene la respuesta de la Dirección Jurídica del Ayuntamiento de Chalco, a través del cual informó sobre cada uno de los requerimientos lo siguiente:</w:t>
      </w:r>
    </w:p>
    <w:p w:rsidR="003D5D4B" w:rsidRPr="00004115" w:rsidRDefault="00423B7A">
      <w:pPr>
        <w:spacing w:before="240" w:line="360" w:lineRule="auto"/>
        <w:ind w:right="49"/>
        <w:jc w:val="both"/>
        <w:rPr>
          <w:rFonts w:ascii="Palatino Linotype" w:eastAsia="Palatino Linotype" w:hAnsi="Palatino Linotype" w:cs="Palatino Linotype"/>
        </w:rPr>
      </w:pPr>
      <w:r w:rsidRPr="00004115">
        <w:rPr>
          <w:noProof/>
          <w:lang w:val="es-MX" w:eastAsia="es-MX"/>
        </w:rPr>
        <w:drawing>
          <wp:inline distT="0" distB="0" distL="0" distR="0">
            <wp:extent cx="5441950" cy="5886450"/>
            <wp:effectExtent l="0" t="0" r="0" b="0"/>
            <wp:docPr id="8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l="44467" t="14685" r="30413" b="14101"/>
                    <a:stretch>
                      <a:fillRect/>
                    </a:stretch>
                  </pic:blipFill>
                  <pic:spPr>
                    <a:xfrm>
                      <a:off x="0" y="0"/>
                      <a:ext cx="5441950" cy="5886450"/>
                    </a:xfrm>
                    <a:prstGeom prst="rect">
                      <a:avLst/>
                    </a:prstGeom>
                    <a:ln/>
                  </pic:spPr>
                </pic:pic>
              </a:graphicData>
            </a:graphic>
          </wp:inline>
        </w:drawing>
      </w:r>
    </w:p>
    <w:p w:rsidR="003D5D4B" w:rsidRPr="00004115" w:rsidRDefault="00423B7A">
      <w:pPr>
        <w:spacing w:before="240" w:line="360" w:lineRule="auto"/>
        <w:ind w:right="49"/>
        <w:jc w:val="both"/>
        <w:rPr>
          <w:rFonts w:ascii="Palatino Linotype" w:eastAsia="Palatino Linotype" w:hAnsi="Palatino Linotype" w:cs="Palatino Linotype"/>
        </w:rPr>
      </w:pPr>
      <w:r w:rsidRPr="00004115">
        <w:rPr>
          <w:noProof/>
          <w:lang w:val="es-MX" w:eastAsia="es-MX"/>
        </w:rPr>
        <w:lastRenderedPageBreak/>
        <w:drawing>
          <wp:inline distT="0" distB="0" distL="0" distR="0">
            <wp:extent cx="5556250" cy="6934200"/>
            <wp:effectExtent l="0" t="0" r="0" b="0"/>
            <wp:docPr id="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l="45033" t="16094" r="31318" b="18326"/>
                    <a:stretch>
                      <a:fillRect/>
                    </a:stretch>
                  </pic:blipFill>
                  <pic:spPr>
                    <a:xfrm>
                      <a:off x="0" y="0"/>
                      <a:ext cx="5556250" cy="6934200"/>
                    </a:xfrm>
                    <a:prstGeom prst="rect">
                      <a:avLst/>
                    </a:prstGeom>
                    <a:ln/>
                  </pic:spPr>
                </pic:pic>
              </a:graphicData>
            </a:graphic>
          </wp:inline>
        </w:drawing>
      </w:r>
    </w:p>
    <w:p w:rsidR="003D5D4B" w:rsidRPr="00004115" w:rsidRDefault="00423B7A">
      <w:pPr>
        <w:spacing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3. Interposición del recurso de revisión. </w:t>
      </w:r>
      <w:r w:rsidRPr="00004115">
        <w:rPr>
          <w:rFonts w:ascii="Palatino Linotype" w:eastAsia="Palatino Linotype" w:hAnsi="Palatino Linotype" w:cs="Palatino Linotype"/>
        </w:rPr>
        <w:t xml:space="preserve">Inconforme con la respuesta del </w:t>
      </w:r>
      <w:r w:rsidRPr="00004115">
        <w:rPr>
          <w:rFonts w:ascii="Palatino Linotype" w:eastAsia="Palatino Linotype" w:hAnsi="Palatino Linotype" w:cs="Palatino Linotype"/>
          <w:b/>
        </w:rPr>
        <w:t>SUJETO OBLIGADO la ahora RECURRENTE</w:t>
      </w:r>
      <w:r w:rsidRPr="00004115">
        <w:rPr>
          <w:rFonts w:ascii="Palatino Linotype" w:eastAsia="Palatino Linotype" w:hAnsi="Palatino Linotype" w:cs="Palatino Linotype"/>
        </w:rPr>
        <w:t xml:space="preserve"> interpuso recurso de revisión a través del </w:t>
      </w:r>
      <w:r w:rsidRPr="00004115">
        <w:rPr>
          <w:rFonts w:ascii="Palatino Linotype" w:eastAsia="Palatino Linotype" w:hAnsi="Palatino Linotype" w:cs="Palatino Linotype"/>
        </w:rPr>
        <w:lastRenderedPageBreak/>
        <w:t>SAIMEX en fecha seis de mayo de dos mil veintidós, a través del cual expresó lo siguiente:</w:t>
      </w:r>
    </w:p>
    <w:p w:rsidR="003D5D4B" w:rsidRPr="00004115" w:rsidRDefault="003D5D4B">
      <w:pPr>
        <w:spacing w:line="360" w:lineRule="auto"/>
        <w:ind w:right="49"/>
        <w:jc w:val="both"/>
        <w:rPr>
          <w:rFonts w:ascii="Palatino Linotype" w:eastAsia="Palatino Linotype" w:hAnsi="Palatino Linotype" w:cs="Palatino Linotype"/>
        </w:rPr>
      </w:pPr>
    </w:p>
    <w:p w:rsidR="003D5D4B" w:rsidRPr="00004115" w:rsidRDefault="00423B7A">
      <w:pPr>
        <w:spacing w:line="360" w:lineRule="auto"/>
        <w:rPr>
          <w:rFonts w:ascii="Palatino Linotype" w:eastAsia="Palatino Linotype" w:hAnsi="Palatino Linotype" w:cs="Palatino Linotype"/>
          <w:b/>
        </w:rPr>
      </w:pPr>
      <w:r w:rsidRPr="00004115">
        <w:rPr>
          <w:rFonts w:ascii="Palatino Linotype" w:eastAsia="Palatino Linotype" w:hAnsi="Palatino Linotype" w:cs="Palatino Linotype"/>
          <w:b/>
        </w:rPr>
        <w:t>a) Acto impugnado.</w:t>
      </w:r>
    </w:p>
    <w:p w:rsidR="003D5D4B" w:rsidRPr="00004115" w:rsidRDefault="00423B7A">
      <w:pPr>
        <w:spacing w:after="240"/>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“El día 26 de marzo de 2022, se llevó a cabo una solicitud de acceso a la información pública en el cual se realizó una serie de preguntas al ayuntamiento de Chalco, el sujeto obligado en cuestión, estas preguntas son de carácter público y recibir respuesta a estas preguntas es un derecho. En virtud de considerar que el sujeto obligado incurrió en la falta de dar respuesta incompleta a la solicitud de transparencia, de lo que le fue solicitado. Además de contestar fuera de la fecha límite establecida por la ley.”(Sic)</w:t>
      </w:r>
    </w:p>
    <w:p w:rsidR="003D5D4B" w:rsidRPr="00004115" w:rsidRDefault="00423B7A">
      <w:pPr>
        <w:spacing w:line="360" w:lineRule="auto"/>
        <w:jc w:val="both"/>
        <w:rPr>
          <w:rFonts w:ascii="Palatino Linotype" w:eastAsia="Palatino Linotype" w:hAnsi="Palatino Linotype" w:cs="Palatino Linotype"/>
          <w:b/>
        </w:rPr>
      </w:pPr>
      <w:r w:rsidRPr="00004115">
        <w:rPr>
          <w:rFonts w:ascii="Palatino Linotype" w:eastAsia="Palatino Linotype" w:hAnsi="Palatino Linotype" w:cs="Palatino Linotype"/>
          <w:b/>
        </w:rPr>
        <w:t>b) Motivos de inconformidad.</w:t>
      </w:r>
    </w:p>
    <w:p w:rsidR="003D5D4B" w:rsidRPr="00004115" w:rsidRDefault="00423B7A">
      <w:pPr>
        <w:spacing w:after="240"/>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“Se le realizaron once preguntas al Ayuntamiento de Chalco, de las cuales tres respondieron de forma incompleta y en una me proporcionaron un link en el cual se encontraba demasiada información y es imposible encontrar la respuesta de mi pregunta ahí. Las preguntas por las que aplico el recurso de revisión son: “Se revisan de manera periódica los reglamentos del municipio</w:t>
      </w:r>
      <w:proofErr w:type="gramStart"/>
      <w:r w:rsidRPr="00004115">
        <w:rPr>
          <w:rFonts w:ascii="Palatino Linotype" w:eastAsia="Palatino Linotype" w:hAnsi="Palatino Linotype" w:cs="Palatino Linotype"/>
          <w:i/>
          <w:sz w:val="22"/>
          <w:szCs w:val="22"/>
        </w:rPr>
        <w:t>?</w:t>
      </w:r>
      <w:proofErr w:type="gramEnd"/>
      <w:r w:rsidRPr="00004115">
        <w:rPr>
          <w:rFonts w:ascii="Palatino Linotype" w:eastAsia="Palatino Linotype" w:hAnsi="Palatino Linotype" w:cs="Palatino Linotype"/>
          <w:i/>
          <w:sz w:val="22"/>
          <w:szCs w:val="22"/>
        </w:rPr>
        <w:t xml:space="preserve"> ¿Hay alguna comisión edilicia integrada para tal efecto? ¿Quiénes la integran? Favor de anexar fechas de sus reuniones y actas de estas.” A la cual respondieron con 2 links, https://gobiernodechalco.gob.mx/transparencia/pae y https://www.ipomex.org.mx/ipo3/lgt/indice/CHALCO.web, que al abrirlos se encuentra demasiada información, conforme al artículo 94 de la Ley de Transparencia y Acceso a la Información Pública del Estado de México y Municipios, en su fracción II inciso b, dice que es información pública. “¿Cuántos reglamentos municipales se encuentran vigentes aprobados en administraciones anteriores y cuales se han aprobado en la presente? En el caso de que se hayan derogado algunos ¿Cuáles son? Favor de incluir sólo el nombre del reglamento aprobado o derogado y fecha en la que el cabildo lo votó.” A la que respondieron con la liga: https://gobiernodechalco.gob.mx# el cual al abrirlo en la parte de reglamentación nos muestra la lista de los reglamentos de los años 2019, 2020, 2021 y 2022, no obstante no me contestaron la pregunta como tal, pues en la página no se establece porque administración fue autorizado el reglamento, ni proporcionaron de la lista de los reglamentos aprobados o derogados con la fecha en la que el Cabildo lo votó. Según el artículo 92 de la Ley de Transparencia y Acceso a la Información Pública del Estado de México y Municipios, en su primera fracción, nos habla de que están obligados a entregar las leyes, códigos, </w:t>
      </w:r>
      <w:r w:rsidRPr="00004115">
        <w:rPr>
          <w:rFonts w:ascii="Palatino Linotype" w:eastAsia="Palatino Linotype" w:hAnsi="Palatino Linotype" w:cs="Palatino Linotype"/>
          <w:i/>
          <w:sz w:val="22"/>
          <w:szCs w:val="22"/>
        </w:rPr>
        <w:lastRenderedPageBreak/>
        <w:t xml:space="preserve">reglamentos, del municipio. Además según el artículo 94 de la misma ley, en su fracción II, incisos a y b, nos mencionan las gacetas municipales, que comprenden lo aprobado y las actas de sesiones del Cabildo. Y por último, respecto a la pregunta “¿Cuál es el grado de formalización de los procesos internos?” https://www.ipomex.org.mx/ipo3/lgt/indice/CHALCO.web Me proporcionaron este link, no obstante al abrirlo, el link contiene demasiada información, mucha de la cual no tiene nada que ver con mi pegunta. Cabe mencionar que la información que corresponde a las respuestas debe ser </w:t>
      </w:r>
      <w:proofErr w:type="gramStart"/>
      <w:r w:rsidRPr="00004115">
        <w:rPr>
          <w:rFonts w:ascii="Palatino Linotype" w:eastAsia="Palatino Linotype" w:hAnsi="Palatino Linotype" w:cs="Palatino Linotype"/>
          <w:i/>
          <w:sz w:val="22"/>
          <w:szCs w:val="22"/>
        </w:rPr>
        <w:t>entregado</w:t>
      </w:r>
      <w:proofErr w:type="gramEnd"/>
      <w:r w:rsidRPr="00004115">
        <w:rPr>
          <w:rFonts w:ascii="Palatino Linotype" w:eastAsia="Palatino Linotype" w:hAnsi="Palatino Linotype" w:cs="Palatino Linotype"/>
          <w:i/>
          <w:sz w:val="22"/>
          <w:szCs w:val="22"/>
        </w:rPr>
        <w:t xml:space="preserve"> de una manera legible y entendible para todos, como lo indica la ley. Por otro lado en el artículo 94, fracción I de la Ley de Transparencia y Acceso a la Información Pública del Estado de México y Municipios, nos mencionan lo que es información pública respecto a los municipios y su desarrollo. Por otro lado, quiero agradecer al Ayuntamiento de Chalco por la respuesta que dieron a las demás preguntas.” (Sic)</w:t>
      </w:r>
    </w:p>
    <w:p w:rsidR="003D5D4B" w:rsidRPr="00004115" w:rsidRDefault="00423B7A">
      <w:pPr>
        <w:spacing w:before="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adjuntó al acuse de su recurso de revisión los siguientes archivos electrónicos: </w:t>
      </w:r>
      <w:hyperlink r:id="rId15">
        <w:r w:rsidRPr="00004115">
          <w:rPr>
            <w:rFonts w:ascii="Palatino Linotype" w:eastAsia="Palatino Linotype" w:hAnsi="Palatino Linotype" w:cs="Palatino Linotype"/>
          </w:rPr>
          <w:t>00278-CHALCO-IP-2022DIRJUR.pdf</w:t>
        </w:r>
      </w:hyperlink>
      <w:r w:rsidRPr="00004115">
        <w:rPr>
          <w:rFonts w:ascii="Palatino Linotype" w:eastAsia="Palatino Linotype" w:hAnsi="Palatino Linotype" w:cs="Palatino Linotype"/>
        </w:rPr>
        <w:t xml:space="preserve">, </w:t>
      </w:r>
      <w:hyperlink r:id="rId16">
        <w:r w:rsidRPr="00004115">
          <w:rPr>
            <w:rFonts w:ascii="Palatino Linotype" w:eastAsia="Palatino Linotype" w:hAnsi="Palatino Linotype" w:cs="Palatino Linotype"/>
          </w:rPr>
          <w:t>Recurso 00278.pdf</w:t>
        </w:r>
      </w:hyperlink>
      <w:r w:rsidRPr="00004115">
        <w:rPr>
          <w:rFonts w:ascii="Palatino Linotype" w:eastAsia="Palatino Linotype" w:hAnsi="Palatino Linotype" w:cs="Palatino Linotype"/>
        </w:rPr>
        <w:t xml:space="preserve"> y </w:t>
      </w:r>
      <w:hyperlink r:id="rId17">
        <w:r w:rsidRPr="00004115">
          <w:rPr>
            <w:rFonts w:ascii="Palatino Linotype" w:eastAsia="Palatino Linotype" w:hAnsi="Palatino Linotype" w:cs="Palatino Linotype"/>
          </w:rPr>
          <w:t>00278-CHALCO-IP-2022 PCIVIL.pdf</w:t>
        </w:r>
      </w:hyperlink>
      <w:r w:rsidRPr="00004115">
        <w:rPr>
          <w:rFonts w:ascii="Palatino Linotype" w:eastAsia="Palatino Linotype" w:hAnsi="Palatino Linotype" w:cs="Palatino Linotype"/>
        </w:rPr>
        <w:t xml:space="preserve">, los cuales el primer y tercer archivo corresponden a los archivos por medio del cual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dio respuesta y el segundo archivo corresponden a los agravios 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w:t>
      </w:r>
    </w:p>
    <w:p w:rsidR="003D5D4B" w:rsidRPr="00004115" w:rsidRDefault="00423B7A">
      <w:pPr>
        <w:spacing w:before="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 </w:t>
      </w:r>
      <w:r w:rsidRPr="00004115">
        <w:rPr>
          <w:rFonts w:ascii="Palatino Linotype" w:eastAsia="Palatino Linotype" w:hAnsi="Palatino Linotype" w:cs="Palatino Linotype"/>
          <w:b/>
        </w:rPr>
        <w:t xml:space="preserve">4. Turno. </w:t>
      </w:r>
      <w:r w:rsidRPr="00004115">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el recurso de revisión número </w:t>
      </w:r>
      <w:r w:rsidRPr="00004115">
        <w:rPr>
          <w:rFonts w:ascii="Palatino Linotype" w:eastAsia="Palatino Linotype" w:hAnsi="Palatino Linotype" w:cs="Palatino Linotype"/>
          <w:b/>
        </w:rPr>
        <w:t xml:space="preserve">08764/INFOEM/IP/RR/2022, </w:t>
      </w:r>
      <w:r w:rsidRPr="00004115">
        <w:rPr>
          <w:rFonts w:ascii="Palatino Linotype" w:eastAsia="Palatino Linotype" w:hAnsi="Palatino Linotype" w:cs="Palatino Linotype"/>
        </w:rPr>
        <w:t xml:space="preserve">se turnó por el sistema electrónico del Instituto de Transparencia, Acceso a la Información Pública y Protección de Datos Personales del Estado de México y Municipios, a la Comisionada </w:t>
      </w:r>
      <w:r w:rsidRPr="00004115">
        <w:rPr>
          <w:rFonts w:ascii="Palatino Linotype" w:eastAsia="Palatino Linotype" w:hAnsi="Palatino Linotype" w:cs="Palatino Linotype"/>
          <w:b/>
        </w:rPr>
        <w:t>Guadalupe Ramírez Peña</w:t>
      </w:r>
      <w:r w:rsidRPr="00004115">
        <w:rPr>
          <w:rFonts w:ascii="Palatino Linotype" w:eastAsia="Palatino Linotype" w:hAnsi="Palatino Linotype" w:cs="Palatino Linotype"/>
        </w:rPr>
        <w:t>, para su análisis, estudio, elaboración del proyecto y presentación ante el Pleno de este Instituto.</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5. Admisión del recurso de revisión: </w:t>
      </w:r>
      <w:r w:rsidRPr="00004115">
        <w:rPr>
          <w:rFonts w:ascii="Palatino Linotype" w:eastAsia="Palatino Linotype" w:hAnsi="Palatino Linotype" w:cs="Palatino Linotype"/>
        </w:rPr>
        <w:t xml:space="preserve">En fecha veintiséis de mayo de dos mil veintidós, la Comisionada ponente, admitió a trámite el recurso de revisión que </w:t>
      </w:r>
      <w:r w:rsidRPr="00004115">
        <w:rPr>
          <w:rFonts w:ascii="Palatino Linotype" w:eastAsia="Palatino Linotype" w:hAnsi="Palatino Linotype" w:cs="Palatino Linotype"/>
        </w:rPr>
        <w:lastRenderedPageBreak/>
        <w:t xml:space="preserve">ahora se resuelve, dando un plazo máximo de siete días hábiles para que las partes manifestaran lo que a su derecho resultara conveniente, ofrecieran pruebas, formularan alegatos y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presentara su informe justificado. </w:t>
      </w:r>
    </w:p>
    <w:p w:rsidR="003D5D4B" w:rsidRPr="00004115" w:rsidRDefault="00423B7A">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rPr>
      </w:pPr>
      <w:bookmarkStart w:id="0" w:name="_heading=h.gjdgxs" w:colFirst="0" w:colLast="0"/>
      <w:bookmarkEnd w:id="0"/>
      <w:r w:rsidRPr="00004115">
        <w:rPr>
          <w:rFonts w:ascii="Palatino Linotype" w:eastAsia="Palatino Linotype" w:hAnsi="Palatino Linotype" w:cs="Palatino Linotype"/>
          <w:b/>
        </w:rPr>
        <w:t>6. Manifestaciones</w:t>
      </w:r>
      <w:r w:rsidRPr="00004115">
        <w:rPr>
          <w:rFonts w:ascii="Palatino Linotype" w:eastAsia="Palatino Linotype" w:hAnsi="Palatino Linotype" w:cs="Palatino Linotype"/>
        </w:rPr>
        <w:t>: De las constancias que integran el expediente en que se actúa se advierte que la RECURRENTE, fue omisa en presentar sus alegatos o manifestación alguna.</w:t>
      </w: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Por su parte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en fecha treinta y uno de mayo del año dos mil veintidós, remitió el archivo electrónico siguiente: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w:t>
      </w:r>
      <w:hyperlink r:id="rId18">
        <w:r w:rsidRPr="00004115">
          <w:rPr>
            <w:rFonts w:ascii="Palatino Linotype" w:eastAsia="Palatino Linotype" w:hAnsi="Palatino Linotype" w:cs="Palatino Linotype"/>
          </w:rPr>
          <w:t>00278-CHALCO-IP-2022 ADMI.pdf</w:t>
        </w:r>
      </w:hyperlink>
      <w:r w:rsidRPr="00004115">
        <w:rPr>
          <w:rFonts w:ascii="Palatino Linotype" w:eastAsia="Palatino Linotype" w:hAnsi="Palatino Linotype" w:cs="Palatino Linotype"/>
        </w:rPr>
        <w:t xml:space="preserve">”, el cual contiene la respuesta de la Dirección de Administración, a los puntos 1 y 2 descritos en la solicitud de acceso a la información pública, en el sentido que en el archivo de esa dependencia administrativa  no se tiene información alguna relativa a su solicitud. </w:t>
      </w:r>
    </w:p>
    <w:p w:rsidR="003D5D4B" w:rsidRPr="00004115" w:rsidRDefault="003D5D4B">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b/>
        </w:rPr>
      </w:pPr>
    </w:p>
    <w:p w:rsidR="003D5D4B" w:rsidRPr="00004115" w:rsidRDefault="00423B7A">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El cual, se determinó poner a la vista 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en fecha veintiuno de septiembre del año en curso, en términos de la fracción III del artículo 185 de la Ley de Transparencia y Acceso a la Información Pública del Estado de México y Municipios; para que en el término de tres días manifestara lo que a su derecho convenga; sin que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hiciera manifestación alguna</w:t>
      </w:r>
    </w:p>
    <w:p w:rsidR="003D5D4B" w:rsidRPr="00004115" w:rsidRDefault="003D5D4B">
      <w:pPr>
        <w:widowControl w:val="0"/>
        <w:spacing w:after="240" w:line="360" w:lineRule="auto"/>
        <w:jc w:val="both"/>
        <w:rPr>
          <w:rFonts w:ascii="Palatino Linotype" w:eastAsia="Palatino Linotype" w:hAnsi="Palatino Linotype" w:cs="Palatino Linotype"/>
          <w:b/>
        </w:rPr>
      </w:pPr>
    </w:p>
    <w:p w:rsidR="003D5D4B" w:rsidRPr="00004115" w:rsidRDefault="00423B7A">
      <w:pPr>
        <w:widowControl w:val="0"/>
        <w:spacing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7.- Ampliación del plazo.</w:t>
      </w:r>
      <w:r w:rsidRPr="00004115">
        <w:rPr>
          <w:rFonts w:ascii="Palatino Linotype" w:eastAsia="Palatino Linotype" w:hAnsi="Palatino Linotype" w:cs="Palatino Linotype"/>
        </w:rPr>
        <w:t xml:space="preserve"> En fecha veintiuno de septiembre del año dos mil veintidós, con fundamento en el artículo 181, párrafo tercero de la Ley de Transparencia y Acceso a la Información Pública del Estado de México y Municipios, </w:t>
      </w:r>
      <w:r w:rsidRPr="00004115">
        <w:rPr>
          <w:rFonts w:ascii="Palatino Linotype" w:eastAsia="Palatino Linotype" w:hAnsi="Palatino Linotype" w:cs="Palatino Linotype"/>
        </w:rPr>
        <w:lastRenderedPageBreak/>
        <w:t>se acordó la ampliación del plazo para su resolución.</w:t>
      </w: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w:t>
      </w:r>
      <w:r w:rsidRPr="00004115">
        <w:rPr>
          <w:rFonts w:ascii="Palatino Linotype" w:eastAsia="Palatino Linotype" w:hAnsi="Palatino Linotype" w:cs="Palatino Linotype"/>
        </w:rPr>
        <w:lastRenderedPageBreak/>
        <w:t xml:space="preserve">órganos jurisdiccionales o cuasi jurisdiccionales, tanto por la complejidad de los hechos, como por el número de casos que conocen.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strike/>
        </w:rPr>
      </w:pPr>
      <w:r w:rsidRPr="00004115">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numPr>
          <w:ilvl w:val="0"/>
          <w:numId w:val="3"/>
        </w:num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rsidR="003D5D4B" w:rsidRPr="00004115" w:rsidRDefault="003D5D4B">
      <w:pPr>
        <w:spacing w:line="360" w:lineRule="auto"/>
        <w:ind w:left="927"/>
        <w:jc w:val="both"/>
        <w:rPr>
          <w:rFonts w:ascii="Palatino Linotype" w:eastAsia="Palatino Linotype" w:hAnsi="Palatino Linotype" w:cs="Palatino Linotype"/>
        </w:rPr>
      </w:pPr>
    </w:p>
    <w:p w:rsidR="003D5D4B" w:rsidRPr="00004115" w:rsidRDefault="00423B7A">
      <w:pPr>
        <w:numPr>
          <w:ilvl w:val="0"/>
          <w:numId w:val="3"/>
        </w:num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Actividad Procesal del interesado. Acciones u omisiones del interesado.</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numPr>
          <w:ilvl w:val="0"/>
          <w:numId w:val="3"/>
        </w:num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Conducta de la Autoridad: Las Acciones u omisiones realizadas en el procedimiento. Así como si la autoridad actuó con la debida diligencia.</w:t>
      </w:r>
    </w:p>
    <w:p w:rsidR="003D5D4B" w:rsidRPr="00004115" w:rsidRDefault="003D5D4B">
      <w:pPr>
        <w:spacing w:line="360" w:lineRule="auto"/>
        <w:ind w:left="708"/>
        <w:rPr>
          <w:rFonts w:ascii="Palatino Linotype" w:eastAsia="Palatino Linotype" w:hAnsi="Palatino Linotype" w:cs="Palatino Linotype"/>
        </w:rPr>
      </w:pPr>
    </w:p>
    <w:p w:rsidR="003D5D4B" w:rsidRPr="00004115" w:rsidRDefault="00423B7A">
      <w:pPr>
        <w:spacing w:line="360" w:lineRule="auto"/>
        <w:ind w:left="567"/>
        <w:jc w:val="both"/>
        <w:rPr>
          <w:rFonts w:ascii="Palatino Linotype" w:eastAsia="Palatino Linotype" w:hAnsi="Palatino Linotype" w:cs="Palatino Linotype"/>
        </w:rPr>
      </w:pPr>
      <w:r w:rsidRPr="00004115">
        <w:rPr>
          <w:rFonts w:ascii="Palatino Linotype" w:eastAsia="Palatino Linotype" w:hAnsi="Palatino Linotype" w:cs="Palatino Linotype"/>
        </w:rPr>
        <w:t>d) La afectación generada en la situación jurídica de la persona involucrada en el proceso: Violación a sus derechos humanos.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w:t>
      </w:r>
      <w:r w:rsidRPr="00004115">
        <w:rPr>
          <w:rFonts w:ascii="Palatino Linotype" w:eastAsia="Palatino Linotype" w:hAnsi="Palatino Linotype" w:cs="Palatino Linotype"/>
        </w:rPr>
        <w:lastRenderedPageBreak/>
        <w:t>relación con la actuación del funcionario, como ha acontecido en el caso que nos ocupa.</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b/>
        </w:rPr>
      </w:pPr>
      <w:r w:rsidRPr="00004115">
        <w:rPr>
          <w:rFonts w:ascii="Palatino Linotype" w:eastAsia="Palatino Linotype" w:hAnsi="Palatino Linotype" w:cs="Palatino Linotype"/>
        </w:rPr>
        <w:t>Argumento que encuentra sustento en la jurisprudencia P</w:t>
      </w:r>
      <w:proofErr w:type="gramStart"/>
      <w:r w:rsidRPr="00004115">
        <w:rPr>
          <w:rFonts w:ascii="Palatino Linotype" w:eastAsia="Palatino Linotype" w:hAnsi="Palatino Linotype" w:cs="Palatino Linotype"/>
        </w:rPr>
        <w:t>./</w:t>
      </w:r>
      <w:proofErr w:type="gramEnd"/>
      <w:r w:rsidRPr="00004115">
        <w:rPr>
          <w:rFonts w:ascii="Palatino Linotype" w:eastAsia="Palatino Linotype" w:hAnsi="Palatino Linotype" w:cs="Palatino Linotype"/>
        </w:rPr>
        <w:t xml:space="preserve">J. 32/92 emitida por el Pleno de la Suprema Corte de Justicia de la Nación de rubro </w:t>
      </w:r>
      <w:r w:rsidRPr="00004115">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004115">
        <w:rPr>
          <w:rFonts w:ascii="Palatino Linotype" w:eastAsia="Palatino Linotype" w:hAnsi="Palatino Linotype" w:cs="Palatino Linotype"/>
        </w:rPr>
        <w:t>, visible en la Gaceta del Seminario Judicial de la Federación con el registro digital 205635.</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Al respecto, también son de considerar los criterios sostenidos por el Cuarto Tribunal Colegiado en Materia Administrativa del Primer Circuito, cuyos rubros y datos de identificación son los siguientes: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 </w:t>
      </w:r>
      <w:r w:rsidRPr="00004115">
        <w:rPr>
          <w:rFonts w:ascii="Palatino Linotype" w:eastAsia="Palatino Linotype" w:hAnsi="Palatino Linotype" w:cs="Palatino Linotype"/>
          <w:i/>
        </w:rPr>
        <w:t>“PLAZO RAZONABLE PARA RESOLVER. DIMENSIÓN Y EFECTOS DE ESTE CONCEPTO CUANDO SE ADUCE EXCESIVA CARGA DE TRABAJO.”</w:t>
      </w:r>
      <w:r w:rsidRPr="00004115">
        <w:rPr>
          <w:rFonts w:ascii="Palatino Linotype" w:eastAsia="Palatino Linotype" w:hAnsi="Palatino Linotype" w:cs="Palatino Linotype"/>
        </w:rPr>
        <w:t xml:space="preserve"> consultable en el Seminario Judicial de la Federación y su gaceta, con el registro digital 2002351.</w:t>
      </w:r>
    </w:p>
    <w:p w:rsidR="003D5D4B" w:rsidRPr="00004115" w:rsidRDefault="003D5D4B">
      <w:pPr>
        <w:spacing w:line="360" w:lineRule="auto"/>
        <w:jc w:val="both"/>
        <w:rPr>
          <w:rFonts w:ascii="Palatino Linotype" w:eastAsia="Palatino Linotype" w:hAnsi="Palatino Linotype" w:cs="Palatino Linotype"/>
          <w:b/>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i/>
        </w:rPr>
        <w:t>“PLAZO RAZONABLE PARA RESOLVER. CONCEPTO Y ELEMENTOS QUE LO INTEGRAN A LA LUZ DEL DERECHO INTERNACIONAL DE LOS DERECHOS HUMANOS.”</w:t>
      </w:r>
      <w:r w:rsidRPr="00004115">
        <w:rPr>
          <w:rFonts w:ascii="Palatino Linotype" w:eastAsia="Palatino Linotype" w:hAnsi="Palatino Linotype" w:cs="Palatino Linotype"/>
        </w:rPr>
        <w:t>, visible en el Seminario Judicial de la Federación y su gaceta, con el registro digital 2002350.</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Por ello, este organismo garante comprometido con la tutela de los derechos humanos confiados, señala que este exceso de plazo legal para resolver el presente asunto, resulta de carácter excepcional.</w:t>
      </w:r>
    </w:p>
    <w:p w:rsidR="003D5D4B" w:rsidRPr="00004115" w:rsidRDefault="003D5D4B">
      <w:pPr>
        <w:spacing w:line="360" w:lineRule="auto"/>
        <w:jc w:val="both"/>
        <w:rPr>
          <w:rFonts w:ascii="Palatino Linotype" w:eastAsia="Palatino Linotype" w:hAnsi="Palatino Linotype" w:cs="Palatino Linotype"/>
          <w:b/>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8.-</w:t>
      </w:r>
      <w:r w:rsidRPr="00004115">
        <w:rPr>
          <w:rFonts w:ascii="Palatino Linotype" w:eastAsia="Palatino Linotype" w:hAnsi="Palatino Linotype" w:cs="Palatino Linotype"/>
        </w:rPr>
        <w:t xml:space="preserve"> </w:t>
      </w:r>
      <w:r w:rsidRPr="00004115">
        <w:rPr>
          <w:rFonts w:ascii="Palatino Linotype" w:eastAsia="Palatino Linotype" w:hAnsi="Palatino Linotype" w:cs="Palatino Linotype"/>
          <w:b/>
        </w:rPr>
        <w:t xml:space="preserve">Cierre de instrucción. </w:t>
      </w:r>
      <w:r w:rsidRPr="00004115">
        <w:rPr>
          <w:rFonts w:ascii="Palatino Linotype" w:eastAsia="Palatino Linotype" w:hAnsi="Palatino Linotype" w:cs="Palatino Linotype"/>
        </w:rPr>
        <w:t>El seis de octubre de dos mil veintidós la Comisionada ponente determinó el cierre de instrucción en términos de la fracción VI del artículo 185 de la Ley de Transparencia y Acceso a la Información Pública del Estado de México y Municipios.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 xml:space="preserve">En razón de que fue debidamente sustanciado el expediente electrónico y no existe diligencia pendiente de desahogo, se emite la Resolución que conforme a Derecho proceda, de acuerdo con los siguientes: </w:t>
      </w:r>
    </w:p>
    <w:p w:rsidR="003D5D4B" w:rsidRPr="00004115" w:rsidRDefault="00423B7A">
      <w:pPr>
        <w:numPr>
          <w:ilvl w:val="0"/>
          <w:numId w:val="6"/>
        </w:numPr>
        <w:pBdr>
          <w:top w:val="nil"/>
          <w:left w:val="nil"/>
          <w:bottom w:val="nil"/>
          <w:right w:val="nil"/>
          <w:between w:val="nil"/>
        </w:pBdr>
        <w:spacing w:before="240" w:after="240" w:line="360" w:lineRule="auto"/>
        <w:ind w:left="720"/>
        <w:jc w:val="center"/>
        <w:rPr>
          <w:rFonts w:ascii="Palatino Linotype" w:eastAsia="Palatino Linotype" w:hAnsi="Palatino Linotype" w:cs="Palatino Linotype"/>
          <w:b/>
          <w:sz w:val="22"/>
          <w:szCs w:val="22"/>
        </w:rPr>
      </w:pPr>
      <w:bookmarkStart w:id="1" w:name="_heading=h.30j0zll" w:colFirst="0" w:colLast="0"/>
      <w:bookmarkEnd w:id="1"/>
      <w:r w:rsidRPr="00004115">
        <w:rPr>
          <w:rFonts w:ascii="Palatino Linotype" w:eastAsia="Palatino Linotype" w:hAnsi="Palatino Linotype" w:cs="Palatino Linotype"/>
          <w:b/>
          <w:sz w:val="22"/>
          <w:szCs w:val="22"/>
        </w:rPr>
        <w:t>C O N S I D E R A N D O:</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Primero. Competencia. </w:t>
      </w:r>
      <w:r w:rsidRPr="00004115">
        <w:rPr>
          <w:rFonts w:ascii="Palatino Linotype" w:eastAsia="Palatino Linotype" w:hAnsi="Palatino Linotype" w:cs="Palatino Linotype"/>
        </w:rPr>
        <w:t>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Segundo. Oportunidad y </w:t>
      </w:r>
      <w:proofErr w:type="spellStart"/>
      <w:r w:rsidRPr="00004115">
        <w:rPr>
          <w:rFonts w:ascii="Palatino Linotype" w:eastAsia="Palatino Linotype" w:hAnsi="Palatino Linotype" w:cs="Palatino Linotype"/>
          <w:b/>
        </w:rPr>
        <w:t>Procedibilidad</w:t>
      </w:r>
      <w:proofErr w:type="spellEnd"/>
      <w:r w:rsidRPr="00004115">
        <w:rPr>
          <w:rFonts w:ascii="Palatino Linotype" w:eastAsia="Palatino Linotype" w:hAnsi="Palatino Linotype" w:cs="Palatino Linotype"/>
          <w:b/>
        </w:rPr>
        <w:t xml:space="preserve"> del Recurso de Revisión</w:t>
      </w:r>
      <w:r w:rsidRPr="00004115">
        <w:rPr>
          <w:rFonts w:ascii="Palatino Linotype" w:eastAsia="Palatino Linotype" w:hAnsi="Palatino Linotype" w:cs="Palatino Linotype"/>
        </w:rPr>
        <w:t xml:space="preserve">. De conformidad con los requisitos de Oportunidad y </w:t>
      </w:r>
      <w:proofErr w:type="spellStart"/>
      <w:r w:rsidRPr="00004115">
        <w:rPr>
          <w:rFonts w:ascii="Palatino Linotype" w:eastAsia="Palatino Linotype" w:hAnsi="Palatino Linotype" w:cs="Palatino Linotype"/>
        </w:rPr>
        <w:t>Procedibilidad</w:t>
      </w:r>
      <w:proofErr w:type="spellEnd"/>
      <w:r w:rsidRPr="00004115">
        <w:rPr>
          <w:rFonts w:ascii="Palatino Linotype" w:eastAsia="Palatino Linotype" w:hAnsi="Palatino Linotype" w:cs="Palatino Linotype"/>
        </w:rPr>
        <w:t xml:space="preserve"> que deben reunir el recurso de revisión interpuesto, previstos en los artículos 178 y 180 de la Ley de Transparencia y Acceso a la Información Pública del Estado de México y Municipios; en la especie se advierte que el presente medio de impugnación fue interpuesto dentro del plazo de quince días previsto en el primer artículo de referencia; toda vez que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emitió su respuesta a la solicitud planteada por el solicitante en fecha tres de mayo del año dos mil veintidós y la parte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w:t>
      </w:r>
      <w:r w:rsidRPr="00004115">
        <w:rPr>
          <w:rFonts w:ascii="Palatino Linotype" w:eastAsia="Palatino Linotype" w:hAnsi="Palatino Linotype" w:cs="Palatino Linotype"/>
        </w:rPr>
        <w:lastRenderedPageBreak/>
        <w:t>presentó su recurso de revisión el veintitrés de mayo del mismo año, esto es al décimo tercer día hábil siguiente de aquel en que tuvo conocimiento de la respuesta; evidenciándose que la interposición del recurso se encuentra dentro de los márgenes temporales previstos en el citado precepto legal.</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Al mismo tiempo, tras la revisión del formato de interposición del recurso, se concluye en la acreditación plena de todos y cada uno de los elementos formales exigidos por el artículo 180 de la Ley de Transparencia y Acceso a la Información Pública del Estado de México y Municipios, toda vez que fue ingresado a través del SAIMEX.</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Asimismo, resulta procedente la interposición del recurso de revisión al rubro anotado, toda vez que se actualiza las hipótesis previstas en el artículo 179, fracción V de la ley de la materia, que a la letra dice:</w:t>
      </w:r>
    </w:p>
    <w:p w:rsidR="003D5D4B" w:rsidRPr="00004115" w:rsidRDefault="00423B7A">
      <w:pPr>
        <w:ind w:left="1276" w:right="1752"/>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 xml:space="preserve">Artículo 179. </w:t>
      </w:r>
      <w:r w:rsidRPr="00004115">
        <w:rPr>
          <w:rFonts w:ascii="Palatino Linotype" w:eastAsia="Palatino Linotype" w:hAnsi="Palatino Linotype" w:cs="Palatino Linotype"/>
          <w:i/>
          <w:sz w:val="22"/>
          <w:szCs w:val="22"/>
        </w:rPr>
        <w:t xml:space="preserve">El recurso de revisión es un medio de protección que la Ley otorga a los particulares, para hacer valer su derecho de acceso a la información pública, y procederá en contra de las siguientes </w:t>
      </w:r>
      <w:r w:rsidRPr="00004115">
        <w:rPr>
          <w:rFonts w:ascii="Palatino Linotype" w:eastAsia="Palatino Linotype" w:hAnsi="Palatino Linotype" w:cs="Palatino Linotype"/>
          <w:i/>
        </w:rPr>
        <w:t>causas</w:t>
      </w:r>
      <w:r w:rsidRPr="00004115">
        <w:rPr>
          <w:rFonts w:ascii="Palatino Linotype" w:eastAsia="Palatino Linotype" w:hAnsi="Palatino Linotype" w:cs="Palatino Linotype"/>
          <w:i/>
          <w:sz w:val="22"/>
          <w:szCs w:val="22"/>
        </w:rPr>
        <w:t>:</w:t>
      </w:r>
    </w:p>
    <w:p w:rsidR="003D5D4B" w:rsidRPr="00004115" w:rsidRDefault="00423B7A">
      <w:pPr>
        <w:ind w:left="1276" w:right="1752"/>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p>
    <w:p w:rsidR="003D5D4B" w:rsidRPr="00004115" w:rsidRDefault="00423B7A">
      <w:pPr>
        <w:ind w:left="1276" w:right="1752"/>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V. La entrega de información incompleta…” (Sic)</w:t>
      </w:r>
    </w:p>
    <w:p w:rsidR="003D5D4B" w:rsidRPr="00004115" w:rsidRDefault="003D5D4B">
      <w:pPr>
        <w:pBdr>
          <w:top w:val="nil"/>
          <w:left w:val="nil"/>
          <w:bottom w:val="nil"/>
          <w:right w:val="nil"/>
          <w:between w:val="nil"/>
        </w:pBdr>
        <w:spacing w:line="360" w:lineRule="auto"/>
        <w:ind w:right="-150"/>
        <w:jc w:val="both"/>
        <w:rPr>
          <w:rFonts w:ascii="Palatino Linotype" w:eastAsia="Palatino Linotype" w:hAnsi="Palatino Linotype" w:cs="Palatino Linotype"/>
        </w:rPr>
      </w:pPr>
    </w:p>
    <w:p w:rsidR="003D5D4B" w:rsidRPr="00004115" w:rsidRDefault="00423B7A">
      <w:pPr>
        <w:spacing w:before="280" w:after="28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Tercero. Materia de Revisión</w:t>
      </w:r>
      <w:r w:rsidRPr="00004115">
        <w:rPr>
          <w:rFonts w:ascii="Palatino Linotype" w:eastAsia="Palatino Linotype" w:hAnsi="Palatino Linotype" w:cs="Palatino Linotype"/>
        </w:rPr>
        <w:t xml:space="preserve">: De las constancias que integran el expediente electrónico se advierte que el tema sobre el que este Instituto se pronunciará será: </w:t>
      </w:r>
      <w:r w:rsidRPr="00004115">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sidRPr="00004115">
        <w:rPr>
          <w:rFonts w:ascii="Palatino Linotype" w:eastAsia="Palatino Linotype" w:hAnsi="Palatino Linotype" w:cs="Palatino Linotype"/>
        </w:rPr>
        <w:t xml:space="preserve">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o en su defecto, en caso de ser procedente, ordenar la entrega de información.</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lastRenderedPageBreak/>
        <w:t xml:space="preserve">Cuarto. Estudio de fondo del asunto. </w:t>
      </w:r>
      <w:r w:rsidRPr="00004115">
        <w:rPr>
          <w:rFonts w:ascii="Palatino Linotype" w:eastAsia="Palatino Linotype" w:hAnsi="Palatino Linotype" w:cs="Palatino Linotype"/>
        </w:rPr>
        <w:t xml:space="preserve">Es conveniente analizar si la respuesta del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rsidR="003D5D4B" w:rsidRPr="00004115" w:rsidRDefault="00423B7A">
      <w:pPr>
        <w:spacing w:before="240"/>
        <w:ind w:left="709" w:right="76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Artículo 4</w:t>
      </w:r>
      <w:r w:rsidRPr="00004115">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3D5D4B" w:rsidRPr="00004115" w:rsidRDefault="00423B7A">
      <w:pPr>
        <w:ind w:left="709" w:right="76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004115">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3D5D4B" w:rsidRPr="00004115" w:rsidRDefault="00423B7A">
      <w:pPr>
        <w:ind w:left="709" w:right="76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sidRPr="00004115">
        <w:rPr>
          <w:rFonts w:ascii="Palatino Linotype" w:eastAsia="Palatino Linotype" w:hAnsi="Palatino Linotype" w:cs="Palatino Linotype"/>
          <w:i/>
          <w:sz w:val="22"/>
          <w:szCs w:val="22"/>
        </w:rPr>
        <w:t>.”(Sic)</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w:t>
      </w:r>
      <w:r w:rsidRPr="00004115">
        <w:rPr>
          <w:rFonts w:ascii="Palatino Linotype" w:eastAsia="Palatino Linotype" w:hAnsi="Palatino Linotype" w:cs="Palatino Linotype"/>
        </w:rPr>
        <w:lastRenderedPageBreak/>
        <w:t>al interés del solicitante; como así lo establece el artículo 12 de la Ley de Transparencia y Acceso a la Información Pública del Estado de México y Municipios, que a la letra dice: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ind w:left="567" w:right="758"/>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12.-</w:t>
      </w:r>
      <w:r w:rsidRPr="00004115">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3D5D4B" w:rsidRPr="00004115" w:rsidRDefault="003D5D4B">
      <w:pPr>
        <w:ind w:left="567" w:right="758"/>
        <w:jc w:val="both"/>
        <w:rPr>
          <w:rFonts w:ascii="Palatino Linotype" w:eastAsia="Palatino Linotype" w:hAnsi="Palatino Linotype" w:cs="Palatino Linotype"/>
          <w:i/>
          <w:sz w:val="22"/>
          <w:szCs w:val="22"/>
        </w:rPr>
      </w:pPr>
    </w:p>
    <w:p w:rsidR="003D5D4B" w:rsidRPr="00004115" w:rsidRDefault="00423B7A">
      <w:pPr>
        <w:ind w:left="567" w:right="758"/>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rsidR="003D5D4B" w:rsidRPr="00004115" w:rsidRDefault="003D5D4B">
      <w:pPr>
        <w:spacing w:line="360" w:lineRule="auto"/>
        <w:ind w:right="-93"/>
        <w:jc w:val="both"/>
        <w:rPr>
          <w:rFonts w:ascii="Palatino Linotype" w:eastAsia="Palatino Linotype" w:hAnsi="Palatino Linotype" w:cs="Palatino Linotype"/>
        </w:rPr>
      </w:pPr>
    </w:p>
    <w:p w:rsidR="003D5D4B" w:rsidRPr="00004115" w:rsidRDefault="00423B7A">
      <w:pPr>
        <w:spacing w:line="360" w:lineRule="auto"/>
        <w:ind w:right="-93"/>
        <w:jc w:val="both"/>
        <w:rPr>
          <w:rFonts w:ascii="Palatino Linotype" w:eastAsia="Palatino Linotype" w:hAnsi="Palatino Linotype" w:cs="Palatino Linotype"/>
        </w:rPr>
      </w:pPr>
      <w:r w:rsidRPr="00004115">
        <w:rPr>
          <w:rFonts w:ascii="Palatino Linotype" w:eastAsia="Palatino Linotype" w:hAnsi="Palatino Linotype" w:cs="Palatino Linotype"/>
        </w:rPr>
        <w:t>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sólo se concretarán a proporcionar la información solicitada que tengan en su poder en el estado que se encuentran, sin necesidad de concretarse al interés o términos específicos del solicitante.</w:t>
      </w:r>
    </w:p>
    <w:p w:rsidR="003D5D4B" w:rsidRPr="00004115" w:rsidRDefault="003D5D4B">
      <w:pPr>
        <w:spacing w:line="360" w:lineRule="auto"/>
        <w:ind w:right="-93"/>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b/>
        </w:rPr>
      </w:pPr>
      <w:r w:rsidRPr="00004115">
        <w:rPr>
          <w:rFonts w:ascii="Palatino Linotype" w:eastAsia="Palatino Linotype" w:hAnsi="Palatino Linotype" w:cs="Palatino Linotype"/>
        </w:rPr>
        <w:t>Sirve de apoyo a lo anterior, el criterio 03-17, expuesto por el Instituto Nacional de Transparencia, Acceso a la Información y Protección de Datos Personales, que dice:</w:t>
      </w:r>
      <w:r w:rsidRPr="00004115">
        <w:rPr>
          <w:rFonts w:ascii="Palatino Linotype" w:eastAsia="Palatino Linotype" w:hAnsi="Palatino Linotype" w:cs="Palatino Linotype"/>
          <w:b/>
        </w:rPr>
        <w:t xml:space="preserve"> </w:t>
      </w:r>
    </w:p>
    <w:p w:rsidR="003D5D4B" w:rsidRPr="00004115" w:rsidRDefault="003D5D4B">
      <w:pPr>
        <w:ind w:left="851" w:right="850"/>
        <w:jc w:val="both"/>
        <w:rPr>
          <w:rFonts w:ascii="Palatino Linotype" w:eastAsia="Palatino Linotype" w:hAnsi="Palatino Linotype" w:cs="Palatino Linotype"/>
        </w:rPr>
      </w:pPr>
    </w:p>
    <w:p w:rsidR="003D5D4B" w:rsidRPr="00004115" w:rsidRDefault="00423B7A">
      <w:pPr>
        <w:ind w:left="851" w:right="90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No existe obligación de elaborar documentos ad hoc para atender las solicitudes de acceso a la información.</w:t>
      </w:r>
      <w:r w:rsidRPr="00004115">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w:t>
      </w:r>
      <w:r w:rsidRPr="00004115">
        <w:rPr>
          <w:rFonts w:ascii="Palatino Linotype" w:eastAsia="Palatino Linotype" w:hAnsi="Palatino Linotype" w:cs="Palatino Linotype"/>
          <w:i/>
          <w:sz w:val="22"/>
          <w:szCs w:val="22"/>
        </w:rPr>
        <w:lastRenderedPageBreak/>
        <w:t>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3D5D4B" w:rsidRPr="00004115" w:rsidRDefault="00423B7A">
      <w:pPr>
        <w:ind w:left="851" w:right="90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Resoluciones: </w:t>
      </w:r>
    </w:p>
    <w:p w:rsidR="003D5D4B" w:rsidRPr="00004115" w:rsidRDefault="00423B7A">
      <w:pPr>
        <w:ind w:left="851" w:right="901"/>
        <w:jc w:val="both"/>
        <w:rPr>
          <w:rFonts w:ascii="Palatino Linotype" w:eastAsia="Palatino Linotype" w:hAnsi="Palatino Linotype" w:cs="Palatino Linotype"/>
          <w:i/>
          <w:sz w:val="22"/>
          <w:szCs w:val="22"/>
        </w:rPr>
      </w:pPr>
      <w:r w:rsidRPr="00004115">
        <w:rPr>
          <w:rFonts w:ascii="Noto Sans Symbols" w:eastAsia="Noto Sans Symbols" w:hAnsi="Noto Sans Symbols" w:cs="Noto Sans Symbols"/>
          <w:i/>
          <w:sz w:val="22"/>
          <w:szCs w:val="22"/>
        </w:rPr>
        <w:t>∙</w:t>
      </w:r>
      <w:r w:rsidRPr="00004115">
        <w:rPr>
          <w:rFonts w:ascii="Palatino Linotype" w:eastAsia="Palatino Linotype" w:hAnsi="Palatino Linotype" w:cs="Palatino Linotype"/>
          <w:i/>
          <w:sz w:val="22"/>
          <w:szCs w:val="22"/>
        </w:rPr>
        <w:t xml:space="preserve"> RRA 0050/16. Instituto Nacional para la Evaluación de la Educación. 13 julio de 2016. Por unanimidad. Comisionado Ponente: Francisco Javier Acuña Llamas.</w:t>
      </w:r>
    </w:p>
    <w:p w:rsidR="003D5D4B" w:rsidRPr="00004115" w:rsidRDefault="00423B7A">
      <w:pPr>
        <w:ind w:left="851" w:right="901"/>
        <w:jc w:val="both"/>
        <w:rPr>
          <w:rFonts w:ascii="Palatino Linotype" w:eastAsia="Palatino Linotype" w:hAnsi="Palatino Linotype" w:cs="Palatino Linotype"/>
          <w:i/>
          <w:sz w:val="22"/>
          <w:szCs w:val="22"/>
        </w:rPr>
      </w:pPr>
      <w:r w:rsidRPr="00004115">
        <w:rPr>
          <w:rFonts w:ascii="Noto Sans Symbols" w:eastAsia="Noto Sans Symbols" w:hAnsi="Noto Sans Symbols" w:cs="Noto Sans Symbols"/>
          <w:i/>
          <w:sz w:val="22"/>
          <w:szCs w:val="22"/>
        </w:rPr>
        <w:t>∙</w:t>
      </w:r>
      <w:r w:rsidRPr="00004115">
        <w:rPr>
          <w:rFonts w:ascii="Palatino Linotype" w:eastAsia="Palatino Linotype" w:hAnsi="Palatino Linotype" w:cs="Palatino Linotype"/>
          <w:i/>
          <w:sz w:val="22"/>
          <w:szCs w:val="22"/>
        </w:rPr>
        <w:t xml:space="preserve"> RRA 0310/16. Instituto Nacional de Transparencia, Acceso a la Información y Protección de Datos Personales. 10 de agosto de 2016. Por unanimidad. Comisionada Ponente. Areli Cano Guadiana. </w:t>
      </w:r>
    </w:p>
    <w:p w:rsidR="003D5D4B" w:rsidRPr="00004115" w:rsidRDefault="00423B7A">
      <w:pPr>
        <w:ind w:left="851" w:right="901"/>
        <w:jc w:val="both"/>
        <w:rPr>
          <w:rFonts w:ascii="Palatino Linotype" w:eastAsia="Palatino Linotype" w:hAnsi="Palatino Linotype" w:cs="Palatino Linotype"/>
          <w:i/>
          <w:sz w:val="22"/>
          <w:szCs w:val="22"/>
        </w:rPr>
      </w:pPr>
      <w:r w:rsidRPr="00004115">
        <w:rPr>
          <w:rFonts w:ascii="Noto Sans Symbols" w:eastAsia="Noto Sans Symbols" w:hAnsi="Noto Sans Symbols" w:cs="Noto Sans Symbols"/>
          <w:i/>
          <w:sz w:val="22"/>
          <w:szCs w:val="22"/>
        </w:rPr>
        <w:t>∙</w:t>
      </w:r>
      <w:r w:rsidRPr="00004115">
        <w:rPr>
          <w:rFonts w:ascii="Palatino Linotype" w:eastAsia="Palatino Linotype" w:hAnsi="Palatino Linotype" w:cs="Palatino Linotype"/>
          <w:i/>
          <w:sz w:val="22"/>
          <w:szCs w:val="22"/>
        </w:rPr>
        <w:t xml:space="preserve"> RRA 1889/16. Secretaría de Hacienda y Crédito Público. 05 de octubre de 2016. Por unanimidad. Comisionada Ponente. Ximena Puente de la Mora.”(Sic)</w:t>
      </w:r>
    </w:p>
    <w:p w:rsidR="003D5D4B" w:rsidRPr="00004115" w:rsidRDefault="003D5D4B">
      <w:pPr>
        <w:spacing w:line="360" w:lineRule="auto"/>
        <w:ind w:right="-93"/>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3D5D4B" w:rsidRPr="00004115" w:rsidRDefault="003D5D4B">
      <w:pPr>
        <w:spacing w:line="360" w:lineRule="auto"/>
        <w:ind w:right="49"/>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3D5D4B" w:rsidRPr="00004115" w:rsidRDefault="003D5D4B">
      <w:pPr>
        <w:ind w:left="851" w:right="899"/>
        <w:jc w:val="both"/>
        <w:rPr>
          <w:rFonts w:ascii="Palatino Linotype" w:eastAsia="Palatino Linotype" w:hAnsi="Palatino Linotype" w:cs="Palatino Linotype"/>
          <w:i/>
          <w:sz w:val="22"/>
          <w:szCs w:val="22"/>
        </w:rPr>
      </w:pP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 xml:space="preserve">Artículo 3. </w:t>
      </w:r>
      <w:r w:rsidRPr="00004115">
        <w:rPr>
          <w:rFonts w:ascii="Palatino Linotype" w:eastAsia="Palatino Linotype" w:hAnsi="Palatino Linotype" w:cs="Palatino Linotype"/>
          <w:i/>
          <w:sz w:val="22"/>
          <w:szCs w:val="22"/>
        </w:rPr>
        <w:t>Para los efectos de la presente Ley se entenderá por:</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XI. Documento:</w:t>
      </w:r>
      <w:r w:rsidRPr="00004115">
        <w:rPr>
          <w:rFonts w:ascii="Palatino Linotype" w:eastAsia="Palatino Linotype" w:hAnsi="Palatino Linotype" w:cs="Palatino Linotype"/>
          <w:i/>
          <w:sz w:val="22"/>
          <w:szCs w:val="22"/>
        </w:rPr>
        <w:t xml:space="preserve"> Los expedientes, reportes, estudios, actas</w:t>
      </w:r>
      <w:r w:rsidRPr="00004115">
        <w:rPr>
          <w:rFonts w:ascii="Palatino Linotype" w:eastAsia="Palatino Linotype" w:hAnsi="Palatino Linotype" w:cs="Palatino Linotype"/>
          <w:b/>
          <w:i/>
          <w:sz w:val="22"/>
          <w:szCs w:val="22"/>
        </w:rPr>
        <w:t>,</w:t>
      </w:r>
      <w:r w:rsidRPr="00004115">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3D5D4B" w:rsidRPr="00004115" w:rsidRDefault="003D5D4B">
      <w:pPr>
        <w:ind w:left="851" w:right="899"/>
        <w:jc w:val="both"/>
        <w:rPr>
          <w:rFonts w:ascii="Palatino Linotype" w:eastAsia="Palatino Linotype" w:hAnsi="Palatino Linotype" w:cs="Palatino Linotype"/>
          <w:sz w:val="22"/>
          <w:szCs w:val="22"/>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3D5D4B" w:rsidRPr="00004115" w:rsidRDefault="003D5D4B">
      <w:pPr>
        <w:ind w:left="851" w:right="899"/>
        <w:jc w:val="both"/>
        <w:rPr>
          <w:rFonts w:ascii="Palatino Linotype" w:eastAsia="Palatino Linotype" w:hAnsi="Palatino Linotype" w:cs="Palatino Linotype"/>
        </w:rPr>
      </w:pPr>
    </w:p>
    <w:p w:rsidR="003D5D4B" w:rsidRPr="00004115" w:rsidRDefault="00423B7A">
      <w:pPr>
        <w:ind w:left="851" w:right="899"/>
        <w:jc w:val="both"/>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sz w:val="22"/>
          <w:szCs w:val="22"/>
        </w:rPr>
        <w:t>“</w:t>
      </w:r>
      <w:r w:rsidRPr="00004115">
        <w:rPr>
          <w:rFonts w:ascii="Palatino Linotype" w:eastAsia="Palatino Linotype" w:hAnsi="Palatino Linotype" w:cs="Palatino Linotype"/>
          <w:b/>
          <w:i/>
          <w:sz w:val="22"/>
          <w:szCs w:val="22"/>
        </w:rPr>
        <w:t>CRITERIO 0002-11</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INFORMACIÓN PÚBLICA, CONCEPTO DE, EN MATERIA DE TRANSPARENCIA. INTERPRETACIÓN SISTEMÁTICA DE LOS </w:t>
      </w:r>
      <w:r w:rsidRPr="00004115">
        <w:rPr>
          <w:rFonts w:ascii="Palatino Linotype" w:eastAsia="Palatino Linotype" w:hAnsi="Palatino Linotype" w:cs="Palatino Linotype"/>
          <w:b/>
          <w:i/>
          <w:sz w:val="22"/>
          <w:szCs w:val="22"/>
        </w:rPr>
        <w:lastRenderedPageBreak/>
        <w:t>ARTÍCULOS 2°, FRACCIÓN V, XV, Y XVI, 3°, 4°, 11 Y 41.</w:t>
      </w:r>
      <w:r w:rsidRPr="00004115">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En consecuencia el acceso a la información se refiere a que se cumplan cualquiera de los siguientes tres supuestos:</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3D5D4B" w:rsidRPr="00004115" w:rsidRDefault="00423B7A">
      <w:pPr>
        <w:ind w:left="851" w:right="899"/>
        <w:jc w:val="both"/>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3D5D4B" w:rsidRPr="00004115" w:rsidRDefault="00423B7A">
      <w:pPr>
        <w:ind w:left="851" w:right="899"/>
        <w:jc w:val="both"/>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 (Sic)</w:t>
      </w:r>
    </w:p>
    <w:p w:rsidR="003D5D4B" w:rsidRPr="00004115" w:rsidRDefault="003D5D4B">
      <w:pPr>
        <w:ind w:right="899"/>
        <w:jc w:val="both"/>
        <w:rPr>
          <w:rFonts w:ascii="Palatino Linotype" w:eastAsia="Palatino Linotype" w:hAnsi="Palatino Linotype" w:cs="Palatino Linotype"/>
          <w:b/>
          <w:i/>
          <w:sz w:val="22"/>
          <w:szCs w:val="22"/>
        </w:rPr>
      </w:pP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Ahora bien, del análisis de la solicitud de información motivo del recurso de revisión que ahora se resuelve, se advierte que el particular requirió al </w:t>
      </w:r>
      <w:r w:rsidRPr="00004115">
        <w:rPr>
          <w:rFonts w:ascii="Palatino Linotype" w:eastAsia="Palatino Linotype" w:hAnsi="Palatino Linotype" w:cs="Palatino Linotype"/>
          <w:b/>
        </w:rPr>
        <w:t>Ayuntamiento de Chalco,</w:t>
      </w:r>
      <w:r w:rsidRPr="00004115">
        <w:rPr>
          <w:rFonts w:ascii="Palatino Linotype" w:eastAsia="Palatino Linotype" w:hAnsi="Palatino Linotype" w:cs="Palatino Linotype"/>
        </w:rPr>
        <w:t xml:space="preserve"> lo siguiente:</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1. ¿Cuenta con un programa de simulacros y cuando se han realizado desde enero 2022?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2. ¿Se cuenta con reglamentos de: bando de policía y gobierno, tránsito, policía, mercados, panteones, catastro, obras públicas, limpia, rastro, parques y jardines, agua, adquisiciones, protección civil, participación ciudadana, desarrollo urbano, anticorrupción, patrimonio y administración?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3. ¿Se revisan de manera periódica los reglamentos del municipio? ¿Hay alguna comisión edilicia integrada para tal efecto? Quienes la integran</w:t>
      </w:r>
      <w:proofErr w:type="gramStart"/>
      <w:r w:rsidRPr="00004115">
        <w:rPr>
          <w:rFonts w:ascii="Palatino Linotype" w:eastAsia="Palatino Linotype" w:hAnsi="Palatino Linotype" w:cs="Palatino Linotype"/>
          <w:b/>
        </w:rPr>
        <w:t>?</w:t>
      </w:r>
      <w:proofErr w:type="gramEnd"/>
      <w:r w:rsidRPr="00004115">
        <w:rPr>
          <w:rFonts w:ascii="Palatino Linotype" w:eastAsia="Palatino Linotype" w:hAnsi="Palatino Linotype" w:cs="Palatino Linotype"/>
          <w:b/>
        </w:rPr>
        <w:t xml:space="preserve"> Favor de anexar fechas de sus reuniones y actas de estas</w:t>
      </w:r>
      <w:r w:rsidRPr="00004115">
        <w:rPr>
          <w:rFonts w:ascii="Palatino Linotype" w:eastAsia="Palatino Linotype" w:hAnsi="Palatino Linotype" w:cs="Palatino Linotype"/>
        </w:rPr>
        <w:t xml:space="preserve">.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lastRenderedPageBreak/>
        <w:t>4. ¿Cuántos reglamentos municipales se encuentran vigentes aprobados en administraciones anteriores y cuales se han aprobado en la presente? En el caso de que se hayan derogado algunos ¿Cuáles son? Favor de incluir sólo el nombre del reglamento aprobado o derogado y fecha en la que el cabildo lo votó</w:t>
      </w:r>
      <w:r w:rsidRPr="00004115">
        <w:rPr>
          <w:rFonts w:ascii="Palatino Linotype" w:eastAsia="Palatino Linotype" w:hAnsi="Palatino Linotype" w:cs="Palatino Linotype"/>
        </w:rPr>
        <w:t xml:space="preserve">. </w:t>
      </w:r>
    </w:p>
    <w:p w:rsidR="003D5D4B" w:rsidRPr="00004115" w:rsidRDefault="00423B7A">
      <w:pPr>
        <w:spacing w:before="240" w:after="240" w:line="360" w:lineRule="auto"/>
        <w:jc w:val="both"/>
        <w:rPr>
          <w:rFonts w:ascii="Palatino Linotype" w:eastAsia="Palatino Linotype" w:hAnsi="Palatino Linotype" w:cs="Palatino Linotype"/>
          <w:b/>
        </w:rPr>
      </w:pPr>
      <w:r w:rsidRPr="00004115">
        <w:rPr>
          <w:rFonts w:ascii="Palatino Linotype" w:eastAsia="Palatino Linotype" w:hAnsi="Palatino Linotype" w:cs="Palatino Linotype"/>
          <w:b/>
        </w:rPr>
        <w:t xml:space="preserve">5. ¿Cuál es el grado de formalización de los procesos internos?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6. ¿Se cuenta con una oficina o asesor jurídico municipal?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7. ¿Facilita el municipio el acceso a las instancias de procuración de justicia federal y estatal?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8. ¿Existe un juzgado administrativo municipal o equivalente y cuál es?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9. ¿Se cuenta con un sistema de quejas y sanciones en contra de servidores públicos municipales?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10. ¿Existe un órgano de acceso a la información pública municipal?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11. ¿Cuenta con módulo y portal web para hacer pública la información? </w:t>
      </w:r>
    </w:p>
    <w:p w:rsidR="003D5D4B" w:rsidRPr="00004115" w:rsidRDefault="00423B7A">
      <w:pPr>
        <w:spacing w:before="240" w:after="240" w:line="360" w:lineRule="auto"/>
        <w:jc w:val="both"/>
        <w:rPr>
          <w:rFonts w:ascii="Verdana" w:eastAsia="Verdana" w:hAnsi="Verdana" w:cs="Verdana"/>
          <w:sz w:val="14"/>
          <w:szCs w:val="14"/>
        </w:rPr>
      </w:pPr>
      <w:r w:rsidRPr="00004115">
        <w:rPr>
          <w:rFonts w:ascii="Palatino Linotype" w:eastAsia="Palatino Linotype" w:hAnsi="Palatino Linotype" w:cs="Palatino Linotype"/>
        </w:rPr>
        <w:t xml:space="preserve">12. ¿Publica la información de acuerdo a la legislación en la materia? </w:t>
      </w:r>
    </w:p>
    <w:p w:rsidR="003D5D4B" w:rsidRPr="00004115" w:rsidRDefault="00423B7A">
      <w:pPr>
        <w:spacing w:before="240" w:after="240" w:line="360" w:lineRule="auto"/>
        <w:jc w:val="both"/>
        <w:rPr>
          <w:rFonts w:ascii="Palatino Linotype" w:eastAsia="Palatino Linotype" w:hAnsi="Palatino Linotype" w:cs="Palatino Linotype"/>
          <w:i/>
        </w:rPr>
      </w:pPr>
      <w:r w:rsidRPr="00004115">
        <w:rPr>
          <w:rFonts w:ascii="Palatino Linotype" w:eastAsia="Palatino Linotype" w:hAnsi="Palatino Linotype" w:cs="Palatino Linotype"/>
        </w:rPr>
        <w:t xml:space="preserve">Por su parte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emitió su respuesta a través de la Coordinación Municipal de Protección Civil y Dirección Jurídica, contestando a cada uno de los once cuestionamientos.</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 xml:space="preserve">Inconforme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con la respuesta, interpuso el Recurso de Revisión en contra de las respuestas otorgadas a los cuestionamientos 3, 4 y 5, considerando que fue incompleta la información proporcionada. </w:t>
      </w:r>
    </w:p>
    <w:p w:rsidR="003D5D4B" w:rsidRPr="00004115" w:rsidRDefault="00423B7A">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Una vez notificado el recurso de revisión al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este en el apartado del SAIMEX, remitió la respuesta de la Dirección de Administración del Ayuntamiento de Chalco, a los puntos 1 y 2 descritos en la solicitud de acceso a la información pública, en el sentido que en el archivo de esa dependencia administrativa  no se tiene información alguna relativa a su solicitud. </w:t>
      </w:r>
    </w:p>
    <w:p w:rsidR="003D5D4B" w:rsidRPr="00004115" w:rsidRDefault="003D5D4B">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En ese sentido se procede hacer un cuadro comparativo con la solicitud de información, la respuesta e informe justificado, para determinar si colma o no el derecho de acceso a la información 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w:t>
      </w:r>
    </w:p>
    <w:p w:rsidR="003D5D4B" w:rsidRPr="00004115" w:rsidRDefault="003D5D4B">
      <w:pPr>
        <w:spacing w:line="360" w:lineRule="auto"/>
        <w:jc w:val="both"/>
        <w:rPr>
          <w:rFonts w:ascii="Palatino Linotype" w:eastAsia="Palatino Linotype" w:hAnsi="Palatino Linotype" w:cs="Palatino Linotype"/>
        </w:rPr>
      </w:pPr>
    </w:p>
    <w:tbl>
      <w:tblPr>
        <w:tblStyle w:val="af"/>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7"/>
        <w:gridCol w:w="4585"/>
        <w:gridCol w:w="1403"/>
        <w:gridCol w:w="1413"/>
      </w:tblGrid>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Solicitud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Respuesta </w:t>
            </w: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Informe justificado </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Colma </w:t>
            </w: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1. ¿Cuenta con un programa de simulacros y cuando se han realizado desde enero 2022?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se cuenta con programas de simulacros, el cual se lleva a cabo dentro de los términos de la Coordinación Nacional  de Protección Civil, mismo que se realiza de manera semestral.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esta información podrá ser solventada por la Dirección de Protección Civil Municipal, toda vez que es la encargada de llevar los programas y atención a la materia de fondo de este punto.</w:t>
            </w: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Directora de Administración señaló que dentro de sus archivos no se tiene información alguna relativa a la solicitud.</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2. ¿Se cuenta con reglamentos de: bando de policía y gobierno, tránsito, policía, mercados, panteones, catastro, obras </w:t>
            </w:r>
            <w:r w:rsidRPr="00004115">
              <w:rPr>
                <w:rFonts w:ascii="Palatino Linotype" w:eastAsia="Palatino Linotype" w:hAnsi="Palatino Linotype" w:cs="Palatino Linotype"/>
                <w:sz w:val="16"/>
                <w:szCs w:val="16"/>
              </w:rPr>
              <w:lastRenderedPageBreak/>
              <w:t xml:space="preserve">públicas, limpia, rastro, parques y jardines, agua, adquisiciones, protección civil, participación ciudadana, desarrollo urbano, anticorrupción, patrimonio y administración? </w:t>
            </w: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 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se cuenta con reglamentos de las dependencias administrativas del Municipio de Chalco, mismos que pueden ser consultados en la página del gobierno Municipal de Chalco “</w:t>
            </w:r>
            <w:hyperlink r:id="rId19" w:anchor="%20e">
              <w:r w:rsidRPr="00004115">
                <w:rPr>
                  <w:sz w:val="16"/>
                  <w:szCs w:val="16"/>
                  <w:u w:val="single"/>
                </w:rPr>
                <w:t>https://gobiernodechalco.gob.mx# e</w:t>
              </w:r>
            </w:hyperlink>
            <w:r w:rsidRPr="00004115">
              <w:rPr>
                <w:sz w:val="16"/>
                <w:szCs w:val="16"/>
              </w:rPr>
              <w:t>”</w:t>
            </w:r>
            <w:r w:rsidRPr="00004115">
              <w:rPr>
                <w:rFonts w:ascii="Palatino Linotype" w:eastAsia="Palatino Linotype" w:hAnsi="Palatino Linotype" w:cs="Palatino Linotype"/>
                <w:sz w:val="16"/>
                <w:szCs w:val="16"/>
              </w:rPr>
              <w:t xml:space="preserve">, en la sesión de reglamentación.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Informó que puede verificarse en la página oficial del gobierno de Chalco, en el apartado de reglamentación y en el submenú de Gacetas Municipales, así como en los accesos para las publicaciones de los años 2019, 2020, 2021 y 2022, pueden consultarse e incluso descargarse los ejemplares de cada gaceta, bandos, reglamentos vigentes de diversas áreas, dependencias y organismos que conformar el Gobierno Municipal. </w:t>
            </w: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Directora General de Administración, señaló que dentro de sus archivos no se tiene información </w:t>
            </w:r>
            <w:r w:rsidRPr="00004115">
              <w:rPr>
                <w:rFonts w:ascii="Palatino Linotype" w:eastAsia="Palatino Linotype" w:hAnsi="Palatino Linotype" w:cs="Palatino Linotype"/>
                <w:sz w:val="16"/>
                <w:szCs w:val="16"/>
              </w:rPr>
              <w:lastRenderedPageBreak/>
              <w:t>alguna relativa a la solicitud.</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3. ¿Se revisan de manera periódica los reglamentos del municipio? ¿Hay alguna comisión edilicia integrada para tal efecto? Quienes la integran</w:t>
            </w:r>
            <w:proofErr w:type="gramStart"/>
            <w:r w:rsidRPr="00004115">
              <w:rPr>
                <w:rFonts w:ascii="Palatino Linotype" w:eastAsia="Palatino Linotype" w:hAnsi="Palatino Linotype" w:cs="Palatino Linotype"/>
                <w:sz w:val="16"/>
                <w:szCs w:val="16"/>
              </w:rPr>
              <w:t>?</w:t>
            </w:r>
            <w:proofErr w:type="gramEnd"/>
            <w:r w:rsidRPr="00004115">
              <w:rPr>
                <w:rFonts w:ascii="Palatino Linotype" w:eastAsia="Palatino Linotype" w:hAnsi="Palatino Linotype" w:cs="Palatino Linotype"/>
                <w:sz w:val="16"/>
                <w:szCs w:val="16"/>
              </w:rPr>
              <w:t xml:space="preserve"> Favor de anexar fechas de sus reuniones y actas de estas.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se revisan los reglamentos de manera periódica y dicha información puede ser consultada en los siguientes links:</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https://gobiernodechalco.gob.mx/transparencia/pae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https://www.ipomex.org.mx/ipo3/lgt/indice/CHALCO.web</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Informó la información podrá ser solventada por la Secretaría del Ayuntamiento, encarga de llevar el historio y resguardo del archivo municipal en materia de Comisiones Edilicias, actas o constancias se sesiones de cabildo.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 se pronunció</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Parcialmente los enlaces incumplen con lo señalado por el artículo 161 de la Ley de la Materia y la respuesta incumple con lo señalado por el artículo 162 de la Ley de la Materia.</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(NO SE TURNÓ AL HABILITADO COMPETENTE) </w:t>
            </w: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4. ¿Cuántos reglamentos municipales se encuentran vigentes aprobados en administraciones anteriores y cuales se han aprobado en la presente? En el caso de que se hayan derogado algunos ¿Cuáles son? Favor de incluir sólo el nombre del reglamento aprobado o derogado y fecha en la que el cabildo lo votó. </w:t>
            </w: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los reglamentos de cada una de las áreas del gobierno municipal pueden ser consultados en el siguiente link en la sección de reglamentación:</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w:t>
            </w:r>
            <w:r w:rsidRPr="00004115">
              <w:rPr>
                <w:sz w:val="16"/>
                <w:szCs w:val="16"/>
              </w:rPr>
              <w:t>https://gobiernodechalco.gob.mx/#”</w:t>
            </w:r>
            <w:r w:rsidRPr="00004115">
              <w:rPr>
                <w:rFonts w:ascii="Palatino Linotype" w:eastAsia="Palatino Linotype" w:hAnsi="Palatino Linotype" w:cs="Palatino Linotype"/>
                <w:sz w:val="16"/>
                <w:szCs w:val="16"/>
              </w:rPr>
              <w:t>,</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Informó la información podrá ser solventada por la Secretaría del Ayuntamiento, encarga de llevar el historio y resguardo del archivo municipal en materia de Comisiones Edilicias, actas o constancias se sesiones de cabildo.  </w:t>
            </w: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 se pronunció</w:t>
            </w:r>
          </w:p>
        </w:tc>
        <w:tc>
          <w:tcPr>
            <w:tcW w:w="1413" w:type="dxa"/>
          </w:tcPr>
          <w:p w:rsidR="003D5D4B" w:rsidRPr="00004115" w:rsidRDefault="00423B7A">
            <w:pPr>
              <w:jc w:val="center"/>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w:t>
            </w: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El enlace incumple con lo señalado por el artículo 161 de la Ley de la Materia.</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 SE TURNÓ AL HABILITADO COMPETENTE)</w:t>
            </w: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5. ¿Cuál es el grado de formalización de los procesos internos?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la información puede ser consultada en los portales de acceso a la información:</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https://www.ipomex.org.mx/ipo3/lgt/indice/CHALCO.web</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Se considera que la pregunta no es clara, además que no indica a qué tipo de proceso interno se refiere. </w:t>
            </w: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 se pronunció</w:t>
            </w:r>
          </w:p>
        </w:tc>
        <w:tc>
          <w:tcPr>
            <w:tcW w:w="1413" w:type="dxa"/>
          </w:tcPr>
          <w:p w:rsidR="003D5D4B" w:rsidRPr="00004115" w:rsidRDefault="00423B7A">
            <w:pPr>
              <w:jc w:val="center"/>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No </w:t>
            </w: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El enlace incumple con lo señalado por el artículo 161 de la Ley de la Materia.</w:t>
            </w: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6. ¿Se cuenta con una oficina o asesor jurídico municipal?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Informó que se cuenta con el área jurídica municipal proporcionando el domicilio de dicha área.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Informó que existen diversas oficinas, personal profesional en la rama jurídica que pueden brindar asesoría jurídica que es gratuita al público, siendo de primer orden la dirección jurídica, Coordinación Municipal de la Mujer, Defensoría Municipal de los Derechos Humanos,  DIF, Procuraduría de la defensa del Menor y Familia, Coordinación de oficialías Calificadoras e incluso los oficiales de Policía de la Dirección de Seguridad Pública. </w:t>
            </w: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pBdr>
                <w:top w:val="nil"/>
                <w:left w:val="nil"/>
                <w:bottom w:val="nil"/>
                <w:right w:val="nil"/>
                <w:between w:val="nil"/>
              </w:pBd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No se pronunció </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7. ¿Facilita el municipio el acceso a las instancias de procuración de justicia federal y estatal? </w:t>
            </w: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cada área de acuerdo a sus atribuciones (plasmadas en el Bando Municipal 2022), tienen vinculación con instituciones Gubernamentales del orden Estatal y Federal.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pPr>
          </w:p>
          <w:p w:rsidR="003D5D4B" w:rsidRPr="00004115" w:rsidRDefault="00423B7A">
            <w:pPr>
              <w:jc w:val="both"/>
              <w:rPr>
                <w:rFonts w:ascii="Palatino Linotype" w:eastAsia="Palatino Linotype" w:hAnsi="Palatino Linotype" w:cs="Palatino Linotype"/>
                <w:sz w:val="16"/>
                <w:szCs w:val="16"/>
              </w:rPr>
            </w:pPr>
            <w:r w:rsidRPr="00004115">
              <w:rPr>
                <w:noProof/>
                <w:lang w:val="es-MX" w:eastAsia="es-MX"/>
              </w:rPr>
              <w:drawing>
                <wp:inline distT="0" distB="0" distL="0" distR="0">
                  <wp:extent cx="2544382" cy="1141199"/>
                  <wp:effectExtent l="0" t="0" r="0" b="0"/>
                  <wp:docPr id="8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l="37245" t="26147" r="22442" b="37724"/>
                          <a:stretch>
                            <a:fillRect/>
                          </a:stretch>
                        </pic:blipFill>
                        <pic:spPr>
                          <a:xfrm>
                            <a:off x="0" y="0"/>
                            <a:ext cx="2544382" cy="1141199"/>
                          </a:xfrm>
                          <a:prstGeom prst="rect">
                            <a:avLst/>
                          </a:prstGeom>
                          <a:ln/>
                        </pic:spPr>
                      </pic:pic>
                    </a:graphicData>
                  </a:graphic>
                </wp:inline>
              </w:drawing>
            </w: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pBdr>
                <w:top w:val="nil"/>
                <w:left w:val="nil"/>
                <w:bottom w:val="nil"/>
                <w:right w:val="nil"/>
                <w:between w:val="nil"/>
              </w:pBd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 se pronunció</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8. ¿Existe un juzgado administrativo municipal o </w:t>
            </w:r>
            <w:r w:rsidRPr="00004115">
              <w:rPr>
                <w:rFonts w:ascii="Palatino Linotype" w:eastAsia="Palatino Linotype" w:hAnsi="Palatino Linotype" w:cs="Palatino Linotype"/>
                <w:sz w:val="16"/>
                <w:szCs w:val="16"/>
              </w:rPr>
              <w:lastRenderedPageBreak/>
              <w:t xml:space="preserve">equivalente y cuál es?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se cuenta con el área de Contraloría Municipal.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pPr>
          </w:p>
          <w:p w:rsidR="003D5D4B" w:rsidRPr="00004115" w:rsidRDefault="00423B7A">
            <w:pPr>
              <w:jc w:val="both"/>
              <w:rPr>
                <w:rFonts w:ascii="Palatino Linotype" w:eastAsia="Palatino Linotype" w:hAnsi="Palatino Linotype" w:cs="Palatino Linotype"/>
                <w:sz w:val="16"/>
                <w:szCs w:val="16"/>
              </w:rPr>
            </w:pPr>
            <w:r w:rsidRPr="00004115">
              <w:rPr>
                <w:noProof/>
                <w:lang w:val="es-MX" w:eastAsia="es-MX"/>
              </w:rPr>
              <w:drawing>
                <wp:inline distT="0" distB="0" distL="0" distR="0">
                  <wp:extent cx="2747819" cy="1733570"/>
                  <wp:effectExtent l="0" t="0" r="0" b="0"/>
                  <wp:docPr id="9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l="37372" t="34423" r="21998" b="10825"/>
                          <a:stretch>
                            <a:fillRect/>
                          </a:stretch>
                        </pic:blipFill>
                        <pic:spPr>
                          <a:xfrm>
                            <a:off x="0" y="0"/>
                            <a:ext cx="2747819" cy="1733570"/>
                          </a:xfrm>
                          <a:prstGeom prst="rect">
                            <a:avLst/>
                          </a:prstGeom>
                          <a:ln/>
                        </pic:spPr>
                      </pic:pic>
                    </a:graphicData>
                  </a:graphic>
                </wp:inline>
              </w:drawing>
            </w:r>
          </w:p>
        </w:tc>
        <w:tc>
          <w:tcPr>
            <w:tcW w:w="1403" w:type="dxa"/>
          </w:tcPr>
          <w:p w:rsidR="003D5D4B" w:rsidRPr="00004115" w:rsidRDefault="00423B7A">
            <w:pPr>
              <w:pBdr>
                <w:top w:val="nil"/>
                <w:left w:val="nil"/>
                <w:bottom w:val="nil"/>
                <w:right w:val="nil"/>
                <w:between w:val="nil"/>
              </w:pBd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No se pronunció </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 xml:space="preserve">9. ¿Se cuenta con un sistema de quejas y sanciones en contra de servidores públicos municipales? </w:t>
            </w: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puede ser consultado en el Bando Municipal 2022, mismo que puede ser descargado en la página del gobierno municipal: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w:t>
            </w:r>
            <w:r w:rsidRPr="00004115">
              <w:rPr>
                <w:sz w:val="16"/>
                <w:szCs w:val="16"/>
              </w:rPr>
              <w:t>https://gobiernodechalco.gob.mx/#”</w:t>
            </w:r>
            <w:r w:rsidRPr="00004115">
              <w:rPr>
                <w:rFonts w:ascii="Palatino Linotype" w:eastAsia="Palatino Linotype" w:hAnsi="Palatino Linotype" w:cs="Palatino Linotype"/>
                <w:sz w:val="16"/>
                <w:szCs w:val="16"/>
              </w:rPr>
              <w:t>,</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pPr>
          </w:p>
          <w:p w:rsidR="003D5D4B" w:rsidRPr="00004115" w:rsidRDefault="00423B7A">
            <w:pPr>
              <w:jc w:val="both"/>
              <w:rPr>
                <w:rFonts w:ascii="Palatino Linotype" w:eastAsia="Palatino Linotype" w:hAnsi="Palatino Linotype" w:cs="Palatino Linotype"/>
                <w:sz w:val="16"/>
                <w:szCs w:val="16"/>
              </w:rPr>
            </w:pPr>
            <w:r w:rsidRPr="00004115">
              <w:rPr>
                <w:noProof/>
                <w:lang w:val="es-MX" w:eastAsia="es-MX"/>
              </w:rPr>
              <w:drawing>
                <wp:inline distT="0" distB="0" distL="0" distR="0">
                  <wp:extent cx="2633164" cy="1194363"/>
                  <wp:effectExtent l="0" t="0" r="0" b="0"/>
                  <wp:docPr id="9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l="37356" t="52292" r="22113" b="25872"/>
                          <a:stretch>
                            <a:fillRect/>
                          </a:stretch>
                        </pic:blipFill>
                        <pic:spPr>
                          <a:xfrm>
                            <a:off x="0" y="0"/>
                            <a:ext cx="2633164" cy="1194363"/>
                          </a:xfrm>
                          <a:prstGeom prst="rect">
                            <a:avLst/>
                          </a:prstGeom>
                          <a:ln/>
                        </pic:spPr>
                      </pic:pic>
                    </a:graphicData>
                  </a:graphic>
                </wp:inline>
              </w:drawing>
            </w: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pBdr>
                <w:top w:val="nil"/>
                <w:left w:val="nil"/>
                <w:bottom w:val="nil"/>
                <w:right w:val="nil"/>
                <w:between w:val="nil"/>
              </w:pBd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No se pronunció </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10. ¿Existe un órgano de acceso a la información pública municipal?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el Gobierno Municipal cuenta con la Unidad de Transparencia y Acceso a la información.</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noProof/>
                <w:lang w:val="es-MX" w:eastAsia="es-MX"/>
              </w:rPr>
              <w:drawing>
                <wp:inline distT="0" distB="0" distL="0" distR="0">
                  <wp:extent cx="2757387" cy="620711"/>
                  <wp:effectExtent l="0" t="0" r="0" b="0"/>
                  <wp:docPr id="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l="37570" t="73361" r="21904" b="12330"/>
                          <a:stretch>
                            <a:fillRect/>
                          </a:stretch>
                        </pic:blipFill>
                        <pic:spPr>
                          <a:xfrm>
                            <a:off x="0" y="0"/>
                            <a:ext cx="2757387" cy="620711"/>
                          </a:xfrm>
                          <a:prstGeom prst="rect">
                            <a:avLst/>
                          </a:prstGeom>
                          <a:ln/>
                        </pic:spPr>
                      </pic:pic>
                    </a:graphicData>
                  </a:graphic>
                </wp:inline>
              </w:drawing>
            </w:r>
          </w:p>
        </w:tc>
        <w:tc>
          <w:tcPr>
            <w:tcW w:w="1403" w:type="dxa"/>
          </w:tcPr>
          <w:p w:rsidR="003D5D4B" w:rsidRPr="00004115" w:rsidRDefault="00423B7A">
            <w:pPr>
              <w:pBdr>
                <w:top w:val="nil"/>
                <w:left w:val="nil"/>
                <w:bottom w:val="nil"/>
                <w:right w:val="nil"/>
                <w:between w:val="nil"/>
              </w:pBd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 se pronunció.</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11. ¿Cuenta con módulo y portal web para hacer pública la información? </w:t>
            </w:r>
          </w:p>
          <w:p w:rsidR="003D5D4B" w:rsidRPr="00004115" w:rsidRDefault="003D5D4B">
            <w:pPr>
              <w:jc w:val="both"/>
              <w:rPr>
                <w:rFonts w:ascii="Palatino Linotype" w:eastAsia="Palatino Linotype" w:hAnsi="Palatino Linotype" w:cs="Palatino Linotype"/>
                <w:sz w:val="16"/>
                <w:szCs w:val="16"/>
              </w:rPr>
            </w:pP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toda la información generada por las áreas del Gobierno Municipal puede ser consultada en el portal del IPOMEX:</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https://www.ipomex.org.mx/ipo3/lgt/indice/CHALCO.web</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noProof/>
                <w:lang w:val="es-MX" w:eastAsia="es-MX"/>
              </w:rPr>
              <w:drawing>
                <wp:inline distT="0" distB="0" distL="0" distR="0">
                  <wp:extent cx="2757387" cy="620711"/>
                  <wp:effectExtent l="0" t="0" r="0" b="0"/>
                  <wp:docPr id="9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l="37570" t="73361" r="21904" b="12330"/>
                          <a:stretch>
                            <a:fillRect/>
                          </a:stretch>
                        </pic:blipFill>
                        <pic:spPr>
                          <a:xfrm>
                            <a:off x="0" y="0"/>
                            <a:ext cx="2757387" cy="620711"/>
                          </a:xfrm>
                          <a:prstGeom prst="rect">
                            <a:avLst/>
                          </a:prstGeom>
                          <a:ln/>
                        </pic:spPr>
                      </pic:pic>
                    </a:graphicData>
                  </a:graphic>
                </wp:inline>
              </w:drawing>
            </w:r>
          </w:p>
          <w:p w:rsidR="003D5D4B" w:rsidRPr="00004115" w:rsidRDefault="003D5D4B">
            <w:pPr>
              <w:jc w:val="both"/>
              <w:rPr>
                <w:rFonts w:ascii="Palatino Linotype" w:eastAsia="Palatino Linotype" w:hAnsi="Palatino Linotype" w:cs="Palatino Linotype"/>
                <w:sz w:val="16"/>
                <w:szCs w:val="16"/>
              </w:rPr>
            </w:pP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No se pronunció</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r w:rsidR="00004115" w:rsidRPr="00004115">
        <w:trPr>
          <w:jc w:val="center"/>
        </w:trPr>
        <w:tc>
          <w:tcPr>
            <w:tcW w:w="1427"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lastRenderedPageBreak/>
              <w:t>12. ¿Publica la información de acuerdo a la legislación en la materia?</w:t>
            </w:r>
          </w:p>
        </w:tc>
        <w:tc>
          <w:tcPr>
            <w:tcW w:w="4585"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Coordinación Municipal de Protección Civil:</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Informó que sí, toda la información generada de las áreas centralizadas y descentralizadas del Gobierno Municipal, se publica trimestralmente en el portal del IPOMEX:</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https://www.ipomex.org.mx/ipo3/lgt/indice/CHALCO.web</w:t>
            </w:r>
          </w:p>
          <w:p w:rsidR="003D5D4B" w:rsidRPr="00004115" w:rsidRDefault="003D5D4B">
            <w:pPr>
              <w:jc w:val="both"/>
              <w:rPr>
                <w:rFonts w:ascii="Palatino Linotype" w:eastAsia="Palatino Linotype" w:hAnsi="Palatino Linotype" w:cs="Palatino Linotype"/>
                <w:sz w:val="16"/>
                <w:szCs w:val="16"/>
              </w:rPr>
            </w:pPr>
          </w:p>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Dirección Jurídica: </w:t>
            </w:r>
          </w:p>
          <w:p w:rsidR="003D5D4B" w:rsidRPr="00004115" w:rsidRDefault="00423B7A">
            <w:pPr>
              <w:spacing w:before="240" w:line="360" w:lineRule="auto"/>
              <w:ind w:right="49"/>
              <w:jc w:val="center"/>
              <w:rPr>
                <w:rFonts w:ascii="Palatino Linotype" w:eastAsia="Palatino Linotype" w:hAnsi="Palatino Linotype" w:cs="Palatino Linotype"/>
                <w:sz w:val="16"/>
                <w:szCs w:val="16"/>
              </w:rPr>
            </w:pPr>
            <w:r w:rsidRPr="00004115">
              <w:rPr>
                <w:noProof/>
                <w:lang w:val="es-MX" w:eastAsia="es-MX"/>
              </w:rPr>
              <w:drawing>
                <wp:inline distT="0" distB="0" distL="0" distR="0">
                  <wp:extent cx="2757387" cy="620711"/>
                  <wp:effectExtent l="0" t="0" r="0" b="0"/>
                  <wp:docPr id="9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l="37570" t="73361" r="21904" b="12330"/>
                          <a:stretch>
                            <a:fillRect/>
                          </a:stretch>
                        </pic:blipFill>
                        <pic:spPr>
                          <a:xfrm>
                            <a:off x="0" y="0"/>
                            <a:ext cx="2757387" cy="620711"/>
                          </a:xfrm>
                          <a:prstGeom prst="rect">
                            <a:avLst/>
                          </a:prstGeom>
                          <a:ln/>
                        </pic:spPr>
                      </pic:pic>
                    </a:graphicData>
                  </a:graphic>
                </wp:inline>
              </w:drawing>
            </w:r>
          </w:p>
        </w:tc>
        <w:tc>
          <w:tcPr>
            <w:tcW w:w="140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No se pronunció</w:t>
            </w:r>
          </w:p>
        </w:tc>
        <w:tc>
          <w:tcPr>
            <w:tcW w:w="1413" w:type="dxa"/>
          </w:tcPr>
          <w:p w:rsidR="003D5D4B" w:rsidRPr="00004115" w:rsidRDefault="00423B7A">
            <w:pPr>
              <w:jc w:val="both"/>
              <w:rPr>
                <w:rFonts w:ascii="Palatino Linotype" w:eastAsia="Palatino Linotype" w:hAnsi="Palatino Linotype" w:cs="Palatino Linotype"/>
                <w:sz w:val="16"/>
                <w:szCs w:val="16"/>
              </w:rPr>
            </w:pPr>
            <w:r w:rsidRPr="00004115">
              <w:rPr>
                <w:rFonts w:ascii="Palatino Linotype" w:eastAsia="Palatino Linotype" w:hAnsi="Palatino Linotype" w:cs="Palatino Linotype"/>
                <w:sz w:val="16"/>
                <w:szCs w:val="16"/>
              </w:rPr>
              <w:t xml:space="preserve">Son actos consentidos no se inconformó la </w:t>
            </w:r>
            <w:r w:rsidRPr="00004115">
              <w:rPr>
                <w:rFonts w:ascii="Palatino Linotype" w:eastAsia="Palatino Linotype" w:hAnsi="Palatino Linotype" w:cs="Palatino Linotype"/>
                <w:b/>
                <w:sz w:val="16"/>
                <w:szCs w:val="16"/>
              </w:rPr>
              <w:t>RECURRENTE</w:t>
            </w:r>
          </w:p>
          <w:p w:rsidR="003D5D4B" w:rsidRPr="00004115" w:rsidRDefault="003D5D4B">
            <w:pPr>
              <w:jc w:val="both"/>
              <w:rPr>
                <w:rFonts w:ascii="Palatino Linotype" w:eastAsia="Palatino Linotype" w:hAnsi="Palatino Linotype" w:cs="Palatino Linotype"/>
                <w:sz w:val="16"/>
                <w:szCs w:val="16"/>
              </w:rPr>
            </w:pPr>
          </w:p>
        </w:tc>
      </w:tr>
    </w:tbl>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Con base al cuadro comparativo anterior y analizados los motivos de inconformidad de la RECURRENTE, se advierte que está conforme con la respuesta otorgada a los puntos “1”, “2”, “6”, “7”, “8”, “9”, “10”, “11” y “12”, en razón que sólo se queja de los puntos “3”, “4” y “5”; por consiguiente, cuando el solicitante no expresa razón o motivo de inconformidad en contra de todos los rubros de la respuesta que pudieran ser un agravio a su derecho, los mismos deben estimarse atendidos. Sirve de apoyo a lo anterior, por analogía, la Tesis Jurisprudencial Número 3ª./J.7/91, publicada en el Semanario Judicial de la Federación y su Gaceta bajo el número de registro 174,177, que establece lo siguiente: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ind w:left="567" w:right="567"/>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sz w:val="22"/>
          <w:szCs w:val="22"/>
        </w:rPr>
        <w:t>“</w:t>
      </w:r>
      <w:r w:rsidRPr="00004115">
        <w:rPr>
          <w:rFonts w:ascii="Palatino Linotype" w:eastAsia="Palatino Linotype" w:hAnsi="Palatino Linotype" w:cs="Palatino Linotype"/>
          <w:b/>
          <w:i/>
          <w:sz w:val="22"/>
          <w:szCs w:val="22"/>
        </w:rPr>
        <w:t>REVISIÓN EN AMPARO. LOS RESOLUTIVOS NO COMBATIDOS DEBEN DECLARARSE FIRMES</w:t>
      </w:r>
      <w:r w:rsidRPr="00004115">
        <w:rPr>
          <w:rFonts w:ascii="Palatino Linotype" w:eastAsia="Palatino Linotype" w:hAnsi="Palatino Linotype" w:cs="Palatino Linotype"/>
          <w:i/>
          <w:sz w:val="22"/>
          <w:szCs w:val="22"/>
        </w:rPr>
        <w:t xml:space="preserve">. Cuando algún resolutivo de la sentencia impugnada afecta </w:t>
      </w:r>
      <w:r w:rsidRPr="00004115">
        <w:rPr>
          <w:rFonts w:ascii="Palatino Linotype" w:eastAsia="Palatino Linotype" w:hAnsi="Palatino Linotype" w:cs="Palatino Linotype"/>
          <w:i/>
          <w:sz w:val="22"/>
          <w:szCs w:val="22"/>
        </w:rPr>
        <w:lastRenderedPageBreak/>
        <w:t>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correspondiente.”(Sic)</w:t>
      </w:r>
    </w:p>
    <w:p w:rsidR="003D5D4B" w:rsidRPr="00004115" w:rsidRDefault="003D5D4B">
      <w:pPr>
        <w:spacing w:after="240" w:line="360" w:lineRule="auto"/>
        <w:jc w:val="both"/>
        <w:rPr>
          <w:rFonts w:ascii="Palatino Linotype" w:eastAsia="Palatino Linotype" w:hAnsi="Palatino Linotype" w:cs="Palatino Linotype"/>
        </w:rPr>
      </w:pP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Esto es, la parte de la solicitud sobre la que no se expresó inconformidad, debe declararse consentida por la hoy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ya que no pueden producirse efectos jurídicos tendentes a revocar, confirmar o modificar la parte de la respuesta con relación a la parte de la solicitud que no fue motivo de inconformidad ya que se infiere un consentimiento 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ante la falta de impugnación eficaz.</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Sirve de sustento a lo anterior, por analogía, la tesis jurisprudencial número VI.3o.C. J/60, publicada en el Semanario Judicial de la Federación y su Gaceta bajo el número de registro 176,608 que a la letra dice:</w:t>
      </w:r>
    </w:p>
    <w:p w:rsidR="003D5D4B" w:rsidRPr="00004115" w:rsidRDefault="00423B7A">
      <w:pPr>
        <w:spacing w:before="240" w:after="240" w:line="276" w:lineRule="auto"/>
        <w:ind w:left="567" w:right="567"/>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ACTOS CONSENTIDOS. SON LOS QUE NO SE IMPUGNAN MEDIANTE EL RECURSO IDÓNEO</w:t>
      </w:r>
      <w:r w:rsidRPr="00004115">
        <w:rPr>
          <w:rFonts w:ascii="Palatino Linotype" w:eastAsia="Palatino Linotype" w:hAnsi="Palatino Linotype" w:cs="Palatino Linotype"/>
          <w:i/>
          <w:sz w:val="22"/>
          <w:szCs w:val="22"/>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eficaz.”(Sic)</w:t>
      </w: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Precisado lo anterior se procede al análisis del punto “3”, descrito en el cuadro comparativo, relativo </w:t>
      </w:r>
      <w:proofErr w:type="gramStart"/>
      <w:r w:rsidRPr="00004115">
        <w:rPr>
          <w:rFonts w:ascii="Palatino Linotype" w:eastAsia="Palatino Linotype" w:hAnsi="Palatino Linotype" w:cs="Palatino Linotype"/>
        </w:rPr>
        <w:t>a</w:t>
      </w:r>
      <w:proofErr w:type="gramEnd"/>
      <w:r w:rsidRPr="00004115">
        <w:rPr>
          <w:rFonts w:ascii="Palatino Linotype" w:eastAsia="Palatino Linotype" w:hAnsi="Palatino Linotype" w:cs="Palatino Linotype"/>
        </w:rPr>
        <w:t>:</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b/>
          <w:u w:val="single"/>
        </w:rPr>
      </w:pPr>
      <w:r w:rsidRPr="00004115">
        <w:rPr>
          <w:rFonts w:ascii="Palatino Linotype" w:eastAsia="Palatino Linotype" w:hAnsi="Palatino Linotype" w:cs="Palatino Linotype"/>
          <w:b/>
          <w:u w:val="single"/>
        </w:rPr>
        <w:lastRenderedPageBreak/>
        <w:t>3. ¿Se revisan de manera periódica los reglamentos del municipio? ¿Hay alguna comisión edilicia integrada para tal efecto? Quienes la integran</w:t>
      </w:r>
      <w:proofErr w:type="gramStart"/>
      <w:r w:rsidRPr="00004115">
        <w:rPr>
          <w:rFonts w:ascii="Palatino Linotype" w:eastAsia="Palatino Linotype" w:hAnsi="Palatino Linotype" w:cs="Palatino Linotype"/>
          <w:b/>
          <w:u w:val="single"/>
        </w:rPr>
        <w:t>?</w:t>
      </w:r>
      <w:proofErr w:type="gramEnd"/>
      <w:r w:rsidRPr="00004115">
        <w:rPr>
          <w:rFonts w:ascii="Palatino Linotype" w:eastAsia="Palatino Linotype" w:hAnsi="Palatino Linotype" w:cs="Palatino Linotype"/>
          <w:b/>
          <w:u w:val="single"/>
        </w:rPr>
        <w:t xml:space="preserve"> Favor de anexar fechas de sus reuniones y actas de estas.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tabs>
          <w:tab w:val="left" w:pos="7088"/>
        </w:tabs>
        <w:spacing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Antes que nada, debe precisarse que la particular omitió mencionar el periodo temporal de la información solicitada, por lo que este Instituto con fundamento en lo dispuesto por el artículo 13 y 181, párrafo cuarto de la Ley de Transparencia y Acceso a la Información Pública de la entidad, procede a suplir la deficiencia señalada, para determinar el periodo temporal de la información solicitada, por lo que considerando la fecha de ingreso de la solicitud y de los respondido por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se determina como periodo temporal de la información del veintisiete de marzo de dos mil veintiuno al veintisiete de marzo de dos mil veintidós, discernimiento que encuentra apoyo en el Criterio 9/13 sustentado por el entonces denominado IFAI, actualmente INAI, que dispone: </w:t>
      </w:r>
    </w:p>
    <w:p w:rsidR="003D5D4B" w:rsidRPr="00004115" w:rsidRDefault="003D5D4B">
      <w:pPr>
        <w:tabs>
          <w:tab w:val="left" w:pos="7088"/>
        </w:tabs>
        <w:ind w:left="851" w:right="900"/>
        <w:jc w:val="both"/>
        <w:rPr>
          <w:rFonts w:ascii="Palatino Linotype" w:eastAsia="Palatino Linotype" w:hAnsi="Palatino Linotype" w:cs="Palatino Linotype"/>
          <w:b/>
          <w:i/>
        </w:rPr>
      </w:pPr>
    </w:p>
    <w:p w:rsidR="003D5D4B" w:rsidRPr="00004115" w:rsidRDefault="00423B7A">
      <w:pPr>
        <w:tabs>
          <w:tab w:val="left" w:pos="7088"/>
        </w:tabs>
        <w:ind w:left="851" w:right="900"/>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Criterio 9/13</w:t>
      </w:r>
    </w:p>
    <w:p w:rsidR="003D5D4B" w:rsidRPr="00004115" w:rsidRDefault="003D5D4B">
      <w:pPr>
        <w:tabs>
          <w:tab w:val="left" w:pos="7088"/>
        </w:tabs>
        <w:ind w:left="851" w:right="900"/>
        <w:jc w:val="both"/>
        <w:rPr>
          <w:rFonts w:ascii="Palatino Linotype" w:eastAsia="Palatino Linotype" w:hAnsi="Palatino Linotype" w:cs="Palatino Linotype"/>
          <w:i/>
          <w:sz w:val="22"/>
          <w:szCs w:val="22"/>
        </w:rPr>
      </w:pPr>
    </w:p>
    <w:p w:rsidR="003D5D4B" w:rsidRPr="00004115" w:rsidRDefault="00423B7A">
      <w:pPr>
        <w:tabs>
          <w:tab w:val="left" w:pos="7088"/>
        </w:tabs>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Periodo de búsqueda de la información, cuando no se precisa en la solicitud de información. </w:t>
      </w:r>
      <w:r w:rsidRPr="00004115">
        <w:rPr>
          <w:rFonts w:ascii="Palatino Linotype" w:eastAsia="Palatino Linotype" w:hAnsi="Palatino Linotype" w:cs="Palatino Linotype"/>
          <w:i/>
          <w:sz w:val="22"/>
          <w:szCs w:val="22"/>
        </w:rPr>
        <w:t xml:space="preserve">El artículo 40, fracción II de la Ley Federal de Transparencia y Acceso a la Información Pública Gubernamental, señala que los particulares deberán describir en su solicitud de información, de forma clara y precisa, los documentos requeridos. En ese sentido, en el supuesto de que el particular no haya señalado el periodo sobre el que requiere la información, deberá interpretarse que su requerimiento se refiere al del año inmediato anterior contado a partir de la fecha en que se presentó la solicitud. Lo anterior permite que los sujetos obligados cuenten con mayores elementos para precisar y localizar la información solicitada. </w:t>
      </w:r>
    </w:p>
    <w:p w:rsidR="003D5D4B" w:rsidRPr="00004115" w:rsidRDefault="00423B7A">
      <w:pPr>
        <w:tabs>
          <w:tab w:val="left" w:pos="7088"/>
        </w:tabs>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Resoluciones </w:t>
      </w:r>
    </w:p>
    <w:p w:rsidR="003D5D4B" w:rsidRPr="00004115" w:rsidRDefault="00423B7A">
      <w:pPr>
        <w:tabs>
          <w:tab w:val="left" w:pos="7088"/>
        </w:tabs>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RDA 1683/12. </w:t>
      </w:r>
      <w:r w:rsidRPr="00004115">
        <w:rPr>
          <w:rFonts w:ascii="Palatino Linotype" w:eastAsia="Palatino Linotype" w:hAnsi="Palatino Linotype" w:cs="Palatino Linotype"/>
          <w:i/>
          <w:sz w:val="22"/>
          <w:szCs w:val="22"/>
        </w:rPr>
        <w:t>Interpuesto en contra del Servicio de Administración Tributaria. Comisionado Ponente Ángel Trinidad Zaldívar.</w:t>
      </w:r>
    </w:p>
    <w:p w:rsidR="003D5D4B" w:rsidRPr="00004115" w:rsidRDefault="00423B7A">
      <w:pPr>
        <w:tabs>
          <w:tab w:val="left" w:pos="7088"/>
        </w:tabs>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lastRenderedPageBreak/>
        <w:t xml:space="preserve">RDA 1518/12. </w:t>
      </w:r>
      <w:r w:rsidRPr="00004115">
        <w:rPr>
          <w:rFonts w:ascii="Palatino Linotype" w:eastAsia="Palatino Linotype" w:hAnsi="Palatino Linotype" w:cs="Palatino Linotype"/>
          <w:i/>
          <w:sz w:val="22"/>
          <w:szCs w:val="22"/>
        </w:rPr>
        <w:t>Interpuesto en contra de la Secretaría de Salud. Comisionado Ponente Ángel Trinidad Zaldívar.</w:t>
      </w:r>
    </w:p>
    <w:p w:rsidR="003D5D4B" w:rsidRPr="00004115" w:rsidRDefault="00423B7A">
      <w:pPr>
        <w:tabs>
          <w:tab w:val="left" w:pos="7088"/>
        </w:tabs>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RDA 1439/12. </w:t>
      </w:r>
      <w:r w:rsidRPr="00004115">
        <w:rPr>
          <w:rFonts w:ascii="Palatino Linotype" w:eastAsia="Palatino Linotype" w:hAnsi="Palatino Linotype" w:cs="Palatino Linotype"/>
          <w:i/>
          <w:sz w:val="22"/>
          <w:szCs w:val="22"/>
        </w:rPr>
        <w:t xml:space="preserve">Interpuesto en contra de la Secretaría de Educación Pública. Comisionada Ponente Sigrid </w:t>
      </w:r>
      <w:proofErr w:type="spellStart"/>
      <w:r w:rsidRPr="00004115">
        <w:rPr>
          <w:rFonts w:ascii="Palatino Linotype" w:eastAsia="Palatino Linotype" w:hAnsi="Palatino Linotype" w:cs="Palatino Linotype"/>
          <w:i/>
          <w:sz w:val="22"/>
          <w:szCs w:val="22"/>
        </w:rPr>
        <w:t>Arzt</w:t>
      </w:r>
      <w:proofErr w:type="spellEnd"/>
      <w:r w:rsidRPr="00004115">
        <w:rPr>
          <w:rFonts w:ascii="Palatino Linotype" w:eastAsia="Palatino Linotype" w:hAnsi="Palatino Linotype" w:cs="Palatino Linotype"/>
          <w:i/>
          <w:sz w:val="22"/>
          <w:szCs w:val="22"/>
        </w:rPr>
        <w:t xml:space="preserve"> Colunga.</w:t>
      </w:r>
    </w:p>
    <w:p w:rsidR="003D5D4B" w:rsidRPr="00004115" w:rsidRDefault="00423B7A">
      <w:pPr>
        <w:tabs>
          <w:tab w:val="left" w:pos="7088"/>
        </w:tabs>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RDA 1308/12. </w:t>
      </w:r>
      <w:r w:rsidRPr="00004115">
        <w:rPr>
          <w:rFonts w:ascii="Palatino Linotype" w:eastAsia="Palatino Linotype" w:hAnsi="Palatino Linotype" w:cs="Palatino Linotype"/>
          <w:i/>
          <w:sz w:val="22"/>
          <w:szCs w:val="22"/>
        </w:rPr>
        <w:t>Interpuesto en contra de la Secretaría de la Defensa Nacional. Comisionado Ponente Ángel Trinidad Zaldívar.</w:t>
      </w:r>
    </w:p>
    <w:p w:rsidR="003D5D4B" w:rsidRPr="00004115" w:rsidRDefault="00423B7A">
      <w:pPr>
        <w:tabs>
          <w:tab w:val="left" w:pos="7088"/>
        </w:tabs>
        <w:ind w:left="851"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2109/11. Interpuesto en contra del Instituto Mexicano del Seguro Social. Comisionada Ponente Jacqueline </w:t>
      </w:r>
      <w:proofErr w:type="spellStart"/>
      <w:r w:rsidRPr="00004115">
        <w:rPr>
          <w:rFonts w:ascii="Palatino Linotype" w:eastAsia="Palatino Linotype" w:hAnsi="Palatino Linotype" w:cs="Palatino Linotype"/>
          <w:i/>
          <w:sz w:val="22"/>
          <w:szCs w:val="22"/>
        </w:rPr>
        <w:t>Peschard</w:t>
      </w:r>
      <w:proofErr w:type="spellEnd"/>
      <w:r w:rsidRPr="00004115">
        <w:rPr>
          <w:rFonts w:ascii="Palatino Linotype" w:eastAsia="Palatino Linotype" w:hAnsi="Palatino Linotype" w:cs="Palatino Linotype"/>
          <w:i/>
          <w:sz w:val="22"/>
          <w:szCs w:val="22"/>
        </w:rPr>
        <w:t xml:space="preserve"> Mariscal” (Sic)</w:t>
      </w:r>
    </w:p>
    <w:p w:rsidR="003D5D4B" w:rsidRPr="00004115" w:rsidRDefault="003D5D4B">
      <w:pPr>
        <w:spacing w:line="360" w:lineRule="auto"/>
        <w:ind w:right="49"/>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En respuesta, la Coordinación Municipal de Protección Civil del Ayuntamiento de Chalco, informó que sí se revisan los reglamentos de manera periódica y dicha información puede ser consultada en los siguientes links: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https://gobiernodechalco.gob.mx/transparencia/pae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https://www.ipomex.org.mx/ipo3/lgt/indice/CHALCO.web</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Por su parte la Dirección Jurídica del Ayuntamiento de Chalco, informó que la información podrá ser solventada por la Secretaría del Ayuntamiento, encarga de llevar el historio y resguardo del archivo municipal en materia de Comisiones Edilicias, actas o constancias se sesiones de cabildo.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Sin embargo, al darle clic a dichos enlaces electrónicos nos arroja la siguiente información:</w:t>
      </w:r>
    </w:p>
    <w:p w:rsidR="003D5D4B" w:rsidRPr="00004115" w:rsidRDefault="00423B7A">
      <w:pPr>
        <w:spacing w:line="360" w:lineRule="auto"/>
        <w:jc w:val="both"/>
        <w:rPr>
          <w:rFonts w:ascii="Palatino Linotype" w:eastAsia="Palatino Linotype" w:hAnsi="Palatino Linotype" w:cs="Palatino Linotype"/>
        </w:rPr>
      </w:pPr>
      <w:r w:rsidRPr="00004115">
        <w:rPr>
          <w:noProof/>
          <w:lang w:val="es-MX" w:eastAsia="es-MX"/>
        </w:rPr>
        <mc:AlternateContent>
          <mc:Choice Requires="wpg">
            <w:drawing>
              <wp:anchor distT="0" distB="0" distL="114300" distR="114300" simplePos="0" relativeHeight="251659264" behindDoc="0" locked="0" layoutInCell="1" hidden="0" allowOverlap="1">
                <wp:simplePos x="0" y="0"/>
                <wp:positionH relativeFrom="column">
                  <wp:posOffset>1</wp:posOffset>
                </wp:positionH>
                <wp:positionV relativeFrom="paragraph">
                  <wp:posOffset>38100</wp:posOffset>
                </wp:positionV>
                <wp:extent cx="5459796" cy="1036139"/>
                <wp:effectExtent l="0" t="0" r="0" b="0"/>
                <wp:wrapNone/>
                <wp:docPr id="82" name="Conector recto de flecha 82"/>
                <wp:cNvGraphicFramePr/>
                <a:graphic xmlns:a="http://schemas.openxmlformats.org/drawingml/2006/main">
                  <a:graphicData uri="http://schemas.microsoft.com/office/word/2010/wordprocessingShape">
                    <wps:wsp>
                      <wps:cNvCnPr/>
                      <wps:spPr>
                        <a:xfrm>
                          <a:off x="2620865" y="3266693"/>
                          <a:ext cx="5450271" cy="1026614"/>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5459796" cy="1036139"/>
                <wp:effectExtent b="0" l="0" r="0" t="0"/>
                <wp:wrapNone/>
                <wp:docPr id="82" name="image16.png"/>
                <a:graphic>
                  <a:graphicData uri="http://schemas.openxmlformats.org/drawingml/2006/picture">
                    <pic:pic>
                      <pic:nvPicPr>
                        <pic:cNvPr id="0" name="image16.png"/>
                        <pic:cNvPicPr preferRelativeResize="0"/>
                      </pic:nvPicPr>
                      <pic:blipFill>
                        <a:blip r:embed="rId23"/>
                        <a:srcRect/>
                        <a:stretch>
                          <a:fillRect/>
                        </a:stretch>
                      </pic:blipFill>
                      <pic:spPr>
                        <a:xfrm>
                          <a:off x="0" y="0"/>
                          <a:ext cx="5459796" cy="1036139"/>
                        </a:xfrm>
                        <a:prstGeom prst="rect"/>
                        <a:ln/>
                      </pic:spPr>
                    </pic:pic>
                  </a:graphicData>
                </a:graphic>
              </wp:anchor>
            </w:drawing>
          </mc:Fallback>
        </mc:AlternateContent>
      </w:r>
    </w:p>
    <w:p w:rsidR="003D5D4B" w:rsidRPr="00004115" w:rsidRDefault="003D5D4B">
      <w:pPr>
        <w:spacing w:line="360" w:lineRule="auto"/>
        <w:ind w:right="49"/>
        <w:jc w:val="both"/>
        <w:rPr>
          <w:rFonts w:ascii="Palatino Linotype" w:eastAsia="Palatino Linotype" w:hAnsi="Palatino Linotype" w:cs="Palatino Linotype"/>
        </w:rPr>
      </w:pPr>
    </w:p>
    <w:p w:rsidR="003D5D4B" w:rsidRPr="00004115" w:rsidRDefault="003D5D4B">
      <w:pPr>
        <w:spacing w:line="360" w:lineRule="auto"/>
        <w:ind w:right="49"/>
        <w:jc w:val="both"/>
      </w:pPr>
    </w:p>
    <w:p w:rsidR="003D5D4B" w:rsidRPr="00004115" w:rsidRDefault="00423B7A">
      <w:pPr>
        <w:spacing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 </w:t>
      </w:r>
    </w:p>
    <w:p w:rsidR="003D5D4B" w:rsidRPr="00004115" w:rsidRDefault="00423B7A">
      <w:pPr>
        <w:spacing w:line="360" w:lineRule="auto"/>
        <w:ind w:right="49"/>
        <w:jc w:val="both"/>
      </w:pPr>
      <w:r w:rsidRPr="00004115">
        <w:rPr>
          <w:noProof/>
          <w:lang w:val="es-MX" w:eastAsia="es-MX"/>
        </w:rPr>
        <w:lastRenderedPageBreak/>
        <w:drawing>
          <wp:inline distT="0" distB="0" distL="0" distR="0">
            <wp:extent cx="5345196" cy="3684897"/>
            <wp:effectExtent l="0" t="0" r="0" b="0"/>
            <wp:docPr id="9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l="19152" t="7900" r="19586" b="4795"/>
                    <a:stretch>
                      <a:fillRect/>
                    </a:stretch>
                  </pic:blipFill>
                  <pic:spPr>
                    <a:xfrm>
                      <a:off x="0" y="0"/>
                      <a:ext cx="5345196" cy="3684897"/>
                    </a:xfrm>
                    <a:prstGeom prst="rect">
                      <a:avLst/>
                    </a:prstGeom>
                    <a:ln/>
                  </pic:spPr>
                </pic:pic>
              </a:graphicData>
            </a:graphic>
          </wp:inline>
        </w:drawing>
      </w:r>
    </w:p>
    <w:p w:rsidR="003D5D4B" w:rsidRPr="00004115" w:rsidRDefault="003D5D4B">
      <w:pPr>
        <w:spacing w:line="360" w:lineRule="auto"/>
        <w:ind w:right="49"/>
        <w:jc w:val="both"/>
      </w:pPr>
    </w:p>
    <w:p w:rsidR="003D5D4B" w:rsidRPr="00004115" w:rsidRDefault="00423B7A">
      <w:pPr>
        <w:spacing w:line="360" w:lineRule="auto"/>
        <w:ind w:right="49"/>
        <w:jc w:val="both"/>
      </w:pPr>
      <w:r w:rsidRPr="00004115">
        <w:rPr>
          <w:noProof/>
          <w:lang w:val="es-MX" w:eastAsia="es-MX"/>
        </w:rPr>
        <w:drawing>
          <wp:inline distT="0" distB="0" distL="0" distR="0">
            <wp:extent cx="5516090" cy="3231128"/>
            <wp:effectExtent l="0" t="0" r="0" b="0"/>
            <wp:docPr id="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l="28149" t="6583" r="28573" b="4403"/>
                    <a:stretch>
                      <a:fillRect/>
                    </a:stretch>
                  </pic:blipFill>
                  <pic:spPr>
                    <a:xfrm>
                      <a:off x="0" y="0"/>
                      <a:ext cx="5516090" cy="3231128"/>
                    </a:xfrm>
                    <a:prstGeom prst="rect">
                      <a:avLst/>
                    </a:prstGeom>
                    <a:ln/>
                  </pic:spPr>
                </pic:pic>
              </a:graphicData>
            </a:graphic>
          </wp:inline>
        </w:drawing>
      </w:r>
    </w:p>
    <w:p w:rsidR="003D5D4B" w:rsidRPr="00004115" w:rsidRDefault="00423B7A">
      <w:pPr>
        <w:spacing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 xml:space="preserve">En donde se observa que dichos enlaces correspondes al Programa Anual de Evaluación y a la página oficial de la Información Pública de Oficio Mexiquense del Ayuntamiento de Chalco, sin que se observe la información relacionada con la Comisión Edilicia encargada de la Revisión de los Reglamentos del Municipio de Chalco, los que la integran y las actas de las reuniones de dicha Comisión, al advertirse un cumulo de información lo que implica que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haga una búsqueda dentro de toda la información que yace en dichas ligas electrónicas; por consiguiente, no se colmó la pretensión de la parte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y además no se le detalló el procedimiento específico de acceso a los datos solicitados.</w:t>
      </w:r>
    </w:p>
    <w:p w:rsidR="003D5D4B" w:rsidRPr="00004115" w:rsidRDefault="00423B7A">
      <w:pPr>
        <w:pBdr>
          <w:top w:val="nil"/>
          <w:left w:val="nil"/>
          <w:bottom w:val="nil"/>
          <w:right w:val="nil"/>
          <w:between w:val="nil"/>
        </w:pBd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Lo anterior es así en virtud de lo establecido por los artículos 11 y 161 de la Ley de Transparencia y Acceso a la Información Pública del Estado de México y Municipios, en lo que se señalan las características que debe tener toda información entregada por los sujetos obligados desde el momento de su generación, publicación y entrega, así como la forma en que se deberá consultar la información, señalando una fuente precisa y concreta, a saber:</w:t>
      </w:r>
    </w:p>
    <w:p w:rsidR="003D5D4B" w:rsidRPr="00004115" w:rsidRDefault="003D5D4B">
      <w:pPr>
        <w:pBdr>
          <w:top w:val="nil"/>
          <w:left w:val="nil"/>
          <w:bottom w:val="nil"/>
          <w:right w:val="nil"/>
          <w:between w:val="nil"/>
        </w:pBdr>
        <w:spacing w:line="360" w:lineRule="auto"/>
        <w:jc w:val="both"/>
        <w:rPr>
          <w:rFonts w:ascii="Palatino Linotype" w:eastAsia="Palatino Linotype" w:hAnsi="Palatino Linotype" w:cs="Palatino Linotype"/>
        </w:rPr>
      </w:pPr>
    </w:p>
    <w:p w:rsidR="003D5D4B" w:rsidRPr="00004115" w:rsidRDefault="00423B7A">
      <w:pPr>
        <w:pBdr>
          <w:top w:val="nil"/>
          <w:left w:val="nil"/>
          <w:bottom w:val="nil"/>
          <w:right w:val="nil"/>
          <w:between w:val="nil"/>
        </w:pBdr>
        <w:ind w:left="567" w:right="567"/>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11.</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u w:val="single"/>
        </w:rPr>
        <w:t>En la generación, publicación y entrega de información se deberá garantizar que ésta sea accesible, actualizada, completa, congruente, confiable, verificable, veraz, integral, oportuna y expedita</w:t>
      </w:r>
      <w:r w:rsidRPr="00004115">
        <w:rPr>
          <w:rFonts w:ascii="Palatino Linotype" w:eastAsia="Palatino Linotype" w:hAnsi="Palatino Linotype" w:cs="Palatino Linotype"/>
          <w:i/>
          <w:sz w:val="22"/>
          <w:szCs w:val="22"/>
        </w:rPr>
        <w:t>, sujeta a un claro régimen de excepciones que deberá estar definido y ser además legítima y estrictamente necesaria en una sociedad democrática, por lo que atenderá las necesidades del derecho de acceso a la información de toda persona.</w:t>
      </w:r>
    </w:p>
    <w:p w:rsidR="003D5D4B" w:rsidRPr="00004115" w:rsidRDefault="00423B7A">
      <w:pPr>
        <w:pBdr>
          <w:top w:val="nil"/>
          <w:left w:val="nil"/>
          <w:bottom w:val="nil"/>
          <w:right w:val="nil"/>
          <w:between w:val="nil"/>
        </w:pBdr>
        <w:ind w:left="567" w:right="567"/>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p>
    <w:p w:rsidR="003D5D4B" w:rsidRPr="00004115" w:rsidRDefault="003D5D4B">
      <w:pPr>
        <w:pBdr>
          <w:top w:val="nil"/>
          <w:left w:val="nil"/>
          <w:bottom w:val="nil"/>
          <w:right w:val="nil"/>
          <w:between w:val="nil"/>
        </w:pBdr>
        <w:ind w:left="567" w:right="567"/>
        <w:jc w:val="both"/>
        <w:rPr>
          <w:rFonts w:ascii="Palatino Linotype" w:eastAsia="Palatino Linotype" w:hAnsi="Palatino Linotype" w:cs="Palatino Linotype"/>
          <w:i/>
          <w:sz w:val="22"/>
          <w:szCs w:val="22"/>
        </w:rPr>
      </w:pPr>
    </w:p>
    <w:p w:rsidR="003D5D4B" w:rsidRPr="00004115" w:rsidRDefault="00423B7A">
      <w:pPr>
        <w:pBdr>
          <w:top w:val="nil"/>
          <w:left w:val="nil"/>
          <w:bottom w:val="nil"/>
          <w:right w:val="nil"/>
          <w:between w:val="nil"/>
        </w:pBdr>
        <w:ind w:left="567" w:right="567"/>
        <w:jc w:val="both"/>
        <w:rPr>
          <w:rFonts w:ascii="Palatino Linotype" w:eastAsia="Palatino Linotype" w:hAnsi="Palatino Linotype" w:cs="Palatino Linotype"/>
          <w:sz w:val="22"/>
          <w:szCs w:val="22"/>
        </w:rPr>
      </w:pPr>
      <w:r w:rsidRPr="00004115">
        <w:rPr>
          <w:rFonts w:ascii="Palatino Linotype" w:eastAsia="Palatino Linotype" w:hAnsi="Palatino Linotype" w:cs="Palatino Linotype"/>
          <w:b/>
          <w:i/>
          <w:sz w:val="22"/>
          <w:szCs w:val="22"/>
        </w:rPr>
        <w:t>Artículo 161.</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u w:val="single"/>
        </w:rPr>
        <w:t>Cuando la información requerida por el solicitante ya esté disponible al público</w:t>
      </w:r>
      <w:r w:rsidRPr="00004115">
        <w:rPr>
          <w:rFonts w:ascii="Palatino Linotype" w:eastAsia="Palatino Linotype" w:hAnsi="Palatino Linotype" w:cs="Palatino Linotype"/>
          <w:i/>
          <w:sz w:val="22"/>
          <w:szCs w:val="22"/>
        </w:rPr>
        <w:t xml:space="preserve"> en medios impresos, tales como libros, compendios, trípticos, registros públicos, </w:t>
      </w:r>
      <w:r w:rsidRPr="00004115">
        <w:rPr>
          <w:rFonts w:ascii="Palatino Linotype" w:eastAsia="Palatino Linotype" w:hAnsi="Palatino Linotype" w:cs="Palatino Linotype"/>
          <w:b/>
          <w:i/>
          <w:sz w:val="22"/>
          <w:szCs w:val="22"/>
          <w:u w:val="single"/>
        </w:rPr>
        <w:t xml:space="preserve">en formatos electrónicos disponibles en Internet o en cualquier otro medio, se le hará saber por el medio requerido por el solicitante la fuente, el lugar y la forma en que puede consultar, reproducir o adquirir dicha </w:t>
      </w:r>
      <w:r w:rsidRPr="00004115">
        <w:rPr>
          <w:rFonts w:ascii="Palatino Linotype" w:eastAsia="Palatino Linotype" w:hAnsi="Palatino Linotype" w:cs="Palatino Linotype"/>
          <w:b/>
          <w:i/>
          <w:sz w:val="22"/>
          <w:szCs w:val="22"/>
          <w:u w:val="single"/>
        </w:rPr>
        <w:lastRenderedPageBreak/>
        <w:t>información en un plazo no mayor a cinco días hábiles. La fuente deberá ser precisa y concreta y no debe implicar que el solicitante realice una búsqueda en toda la información que se encuentre disponible.” (Sic)</w:t>
      </w:r>
    </w:p>
    <w:p w:rsidR="003D5D4B" w:rsidRPr="00004115" w:rsidRDefault="003D5D4B">
      <w:pPr>
        <w:pBdr>
          <w:top w:val="nil"/>
          <w:left w:val="nil"/>
          <w:bottom w:val="nil"/>
          <w:right w:val="nil"/>
          <w:between w:val="nil"/>
        </w:pBdr>
        <w:spacing w:line="360" w:lineRule="auto"/>
        <w:jc w:val="both"/>
        <w:rPr>
          <w:rFonts w:ascii="Palatino Linotype" w:eastAsia="Palatino Linotype" w:hAnsi="Palatino Linotype" w:cs="Palatino Linotype"/>
        </w:rPr>
      </w:pPr>
    </w:p>
    <w:p w:rsidR="003D5D4B" w:rsidRPr="00004115" w:rsidRDefault="00423B7A">
      <w:pPr>
        <w:pBdr>
          <w:top w:val="nil"/>
          <w:left w:val="nil"/>
          <w:bottom w:val="nil"/>
          <w:right w:val="nil"/>
          <w:between w:val="nil"/>
        </w:pBd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De los artículos transcritos se establecen las características que debe tener la información desde el momento de su generación, publicación y entrega; de igual manera se contempla el procedimiento a seguir por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para informar 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rsidR="003D5D4B" w:rsidRPr="00004115" w:rsidRDefault="003D5D4B">
      <w:pPr>
        <w:pBdr>
          <w:top w:val="nil"/>
          <w:left w:val="nil"/>
          <w:bottom w:val="nil"/>
          <w:right w:val="nil"/>
          <w:between w:val="nil"/>
        </w:pBdr>
        <w:spacing w:line="360" w:lineRule="auto"/>
        <w:jc w:val="both"/>
        <w:rPr>
          <w:rFonts w:ascii="Palatino Linotype" w:eastAsia="Palatino Linotype" w:hAnsi="Palatino Linotype" w:cs="Palatino Linotype"/>
        </w:rPr>
      </w:pPr>
    </w:p>
    <w:p w:rsidR="003D5D4B" w:rsidRPr="00004115" w:rsidRDefault="00423B7A">
      <w:pPr>
        <w:numPr>
          <w:ilvl w:val="0"/>
          <w:numId w:val="1"/>
        </w:numPr>
        <w:pBdr>
          <w:top w:val="nil"/>
          <w:left w:val="nil"/>
          <w:bottom w:val="nil"/>
          <w:right w:val="nil"/>
          <w:between w:val="nil"/>
        </w:pBdr>
        <w:ind w:left="1134" w:hanging="567"/>
        <w:jc w:val="both"/>
        <w:rPr>
          <w:rFonts w:ascii="Palatino Linotype" w:eastAsia="Palatino Linotype" w:hAnsi="Palatino Linotype" w:cs="Palatino Linotype"/>
        </w:rPr>
      </w:pPr>
      <w:r w:rsidRPr="00004115">
        <w:rPr>
          <w:rFonts w:ascii="Palatino Linotype" w:eastAsia="Palatino Linotype" w:hAnsi="Palatino Linotype" w:cs="Palatino Linotype"/>
        </w:rPr>
        <w:t>La fuente</w:t>
      </w:r>
    </w:p>
    <w:p w:rsidR="003D5D4B" w:rsidRPr="00004115" w:rsidRDefault="00423B7A">
      <w:pPr>
        <w:numPr>
          <w:ilvl w:val="0"/>
          <w:numId w:val="1"/>
        </w:numPr>
        <w:pBdr>
          <w:top w:val="nil"/>
          <w:left w:val="nil"/>
          <w:bottom w:val="nil"/>
          <w:right w:val="nil"/>
          <w:between w:val="nil"/>
        </w:pBdr>
        <w:ind w:left="1134" w:hanging="567"/>
        <w:jc w:val="both"/>
        <w:rPr>
          <w:rFonts w:ascii="Palatino Linotype" w:eastAsia="Palatino Linotype" w:hAnsi="Palatino Linotype" w:cs="Palatino Linotype"/>
        </w:rPr>
      </w:pPr>
      <w:r w:rsidRPr="00004115">
        <w:rPr>
          <w:rFonts w:ascii="Palatino Linotype" w:eastAsia="Palatino Linotype" w:hAnsi="Palatino Linotype" w:cs="Palatino Linotype"/>
        </w:rPr>
        <w:t>El lugar y</w:t>
      </w:r>
    </w:p>
    <w:p w:rsidR="003D5D4B" w:rsidRPr="00004115" w:rsidRDefault="00423B7A">
      <w:pPr>
        <w:numPr>
          <w:ilvl w:val="0"/>
          <w:numId w:val="1"/>
        </w:numPr>
        <w:pBdr>
          <w:top w:val="nil"/>
          <w:left w:val="nil"/>
          <w:bottom w:val="nil"/>
          <w:right w:val="nil"/>
          <w:between w:val="nil"/>
        </w:pBdr>
        <w:ind w:left="1134" w:hanging="567"/>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La forma </w:t>
      </w:r>
    </w:p>
    <w:p w:rsidR="003D5D4B" w:rsidRPr="00004115" w:rsidRDefault="003D5D4B">
      <w:pPr>
        <w:pBdr>
          <w:top w:val="nil"/>
          <w:left w:val="nil"/>
          <w:bottom w:val="nil"/>
          <w:right w:val="nil"/>
          <w:between w:val="nil"/>
        </w:pBdr>
        <w:spacing w:line="360" w:lineRule="auto"/>
        <w:jc w:val="both"/>
        <w:rPr>
          <w:rFonts w:ascii="Palatino Linotype" w:eastAsia="Palatino Linotype" w:hAnsi="Palatino Linotype" w:cs="Palatino Linotype"/>
        </w:rPr>
      </w:pPr>
    </w:p>
    <w:p w:rsidR="003D5D4B" w:rsidRPr="00004115" w:rsidRDefault="00423B7A">
      <w:pPr>
        <w:pBdr>
          <w:top w:val="nil"/>
          <w:left w:val="nil"/>
          <w:bottom w:val="nil"/>
          <w:right w:val="nil"/>
          <w:between w:val="nil"/>
        </w:pBd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Asimismo, se establece que la fuente de la información deberá ser:</w:t>
      </w:r>
    </w:p>
    <w:p w:rsidR="003D5D4B" w:rsidRPr="00004115" w:rsidRDefault="003D5D4B">
      <w:pPr>
        <w:pBdr>
          <w:top w:val="nil"/>
          <w:left w:val="nil"/>
          <w:bottom w:val="nil"/>
          <w:right w:val="nil"/>
          <w:between w:val="nil"/>
        </w:pBdr>
        <w:spacing w:line="360" w:lineRule="auto"/>
        <w:jc w:val="both"/>
        <w:rPr>
          <w:rFonts w:ascii="Palatino Linotype" w:eastAsia="Palatino Linotype" w:hAnsi="Palatino Linotype" w:cs="Palatino Linotype"/>
        </w:rPr>
      </w:pPr>
    </w:p>
    <w:p w:rsidR="003D5D4B" w:rsidRPr="00004115" w:rsidRDefault="00423B7A">
      <w:pPr>
        <w:numPr>
          <w:ilvl w:val="0"/>
          <w:numId w:val="2"/>
        </w:numPr>
        <w:pBdr>
          <w:top w:val="nil"/>
          <w:left w:val="nil"/>
          <w:bottom w:val="nil"/>
          <w:right w:val="nil"/>
          <w:between w:val="nil"/>
        </w:pBdr>
        <w:ind w:left="1134" w:hanging="556"/>
        <w:jc w:val="both"/>
        <w:rPr>
          <w:rFonts w:ascii="Palatino Linotype" w:eastAsia="Palatino Linotype" w:hAnsi="Palatino Linotype" w:cs="Palatino Linotype"/>
        </w:rPr>
      </w:pPr>
      <w:r w:rsidRPr="00004115">
        <w:rPr>
          <w:rFonts w:ascii="Palatino Linotype" w:eastAsia="Palatino Linotype" w:hAnsi="Palatino Linotype" w:cs="Palatino Linotype"/>
        </w:rPr>
        <w:t>Precisa</w:t>
      </w:r>
    </w:p>
    <w:p w:rsidR="003D5D4B" w:rsidRPr="00004115" w:rsidRDefault="00423B7A">
      <w:pPr>
        <w:numPr>
          <w:ilvl w:val="0"/>
          <w:numId w:val="2"/>
        </w:numPr>
        <w:pBdr>
          <w:top w:val="nil"/>
          <w:left w:val="nil"/>
          <w:bottom w:val="nil"/>
          <w:right w:val="nil"/>
          <w:between w:val="nil"/>
        </w:pBdr>
        <w:ind w:left="1134" w:hanging="556"/>
        <w:jc w:val="both"/>
        <w:rPr>
          <w:rFonts w:ascii="Palatino Linotype" w:eastAsia="Palatino Linotype" w:hAnsi="Palatino Linotype" w:cs="Palatino Linotype"/>
        </w:rPr>
      </w:pPr>
      <w:r w:rsidRPr="00004115">
        <w:rPr>
          <w:rFonts w:ascii="Palatino Linotype" w:eastAsia="Palatino Linotype" w:hAnsi="Palatino Linotype" w:cs="Palatino Linotype"/>
        </w:rPr>
        <w:t>Concreta</w:t>
      </w:r>
    </w:p>
    <w:p w:rsidR="003D5D4B" w:rsidRPr="00004115" w:rsidRDefault="00423B7A">
      <w:pPr>
        <w:numPr>
          <w:ilvl w:val="0"/>
          <w:numId w:val="2"/>
        </w:numPr>
        <w:pBdr>
          <w:top w:val="nil"/>
          <w:left w:val="nil"/>
          <w:bottom w:val="nil"/>
          <w:right w:val="nil"/>
          <w:between w:val="nil"/>
        </w:pBdr>
        <w:ind w:left="1134" w:hanging="556"/>
        <w:jc w:val="both"/>
        <w:rPr>
          <w:rFonts w:ascii="Palatino Linotype" w:eastAsia="Palatino Linotype" w:hAnsi="Palatino Linotype" w:cs="Palatino Linotype"/>
        </w:rPr>
      </w:pPr>
      <w:r w:rsidRPr="00004115">
        <w:rPr>
          <w:rFonts w:ascii="Palatino Linotype" w:eastAsia="Palatino Linotype" w:hAnsi="Palatino Linotype" w:cs="Palatino Linotype"/>
          <w:b/>
        </w:rPr>
        <w:t>Y no debe implicar que el solicitante realice una búsqueda en toda la información que se encuentre disponible</w:t>
      </w:r>
      <w:r w:rsidRPr="00004115">
        <w:rPr>
          <w:rFonts w:ascii="Palatino Linotype" w:eastAsia="Palatino Linotype" w:hAnsi="Palatino Linotype" w:cs="Palatino Linotype"/>
        </w:rPr>
        <w:t>.</w:t>
      </w:r>
    </w:p>
    <w:p w:rsidR="003D5D4B" w:rsidRPr="00004115" w:rsidRDefault="003D5D4B">
      <w:pPr>
        <w:pBdr>
          <w:top w:val="nil"/>
          <w:left w:val="nil"/>
          <w:bottom w:val="nil"/>
          <w:right w:val="nil"/>
          <w:between w:val="nil"/>
        </w:pBdr>
        <w:spacing w:line="360" w:lineRule="auto"/>
        <w:jc w:val="both"/>
        <w:rPr>
          <w:rFonts w:ascii="Palatino Linotype" w:eastAsia="Palatino Linotype" w:hAnsi="Palatino Linotype" w:cs="Palatino Linotype"/>
        </w:rPr>
      </w:pPr>
    </w:p>
    <w:p w:rsidR="003D5D4B" w:rsidRPr="00004115" w:rsidRDefault="00423B7A">
      <w:pPr>
        <w:pBdr>
          <w:top w:val="nil"/>
          <w:left w:val="nil"/>
          <w:bottom w:val="nil"/>
          <w:right w:val="nil"/>
          <w:between w:val="nil"/>
        </w:pBd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Imperativos legales que establecen el procedimiento que debe seguir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para que pueda tomarse como válida su orientación sobre la forma en que puede consultar la información requerida, y que, en el caso en concreto, no acontece; ello porque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se limitó a indicar las direcciones electrónicas de su página oficial del IPOMEX y POA, sin que señalara puntualmente </w:t>
      </w:r>
      <w:r w:rsidRPr="00004115">
        <w:rPr>
          <w:rFonts w:ascii="Palatino Linotype" w:eastAsia="Palatino Linotype" w:hAnsi="Palatino Linotype" w:cs="Palatino Linotype"/>
        </w:rPr>
        <w:lastRenderedPageBreak/>
        <w:t>el procedimiento que el particular debe seguir para acceder a la información requerida, lo que implica que las fuentes no son precisas y no son concretas, sino por el contrario están resultan abstractas y generan incertidumbre entre el cúmulo de información que se observa en las páginas; y por último, sus fuentes implican que el solicitante realice una búsqueda en toda la información que se encuentra disponible, lo que a todas luces transgrede el numeral citado.</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Aunado a lo anterior, también se advierte que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incumplió con lo señalado por el artículo 162 de la Ley de la Materia, que señala:</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“Artículo 162.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 (Sic)</w:t>
      </w:r>
    </w:p>
    <w:p w:rsidR="003D5D4B" w:rsidRPr="00004115" w:rsidRDefault="003D5D4B">
      <w:pPr>
        <w:spacing w:line="360" w:lineRule="auto"/>
        <w:ind w:right="51"/>
        <w:jc w:val="both"/>
        <w:rPr>
          <w:rFonts w:ascii="Palatino Linotype" w:eastAsia="Palatino Linotype" w:hAnsi="Palatino Linotype" w:cs="Palatino Linotype"/>
        </w:rPr>
      </w:pPr>
    </w:p>
    <w:p w:rsidR="003D5D4B" w:rsidRPr="00004115" w:rsidRDefault="00423B7A">
      <w:pPr>
        <w:spacing w:line="360" w:lineRule="auto"/>
        <w:ind w:right="51"/>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Ya que únicamente el área que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que se pronunció fue la Coordinación Municipal de Protección Civil y la Dirección Jurídica quien señaló que el área competente es la Secretaría del Ayuntamiento.</w:t>
      </w:r>
    </w:p>
    <w:p w:rsidR="003D5D4B" w:rsidRPr="00004115" w:rsidRDefault="003D5D4B">
      <w:pPr>
        <w:spacing w:line="360" w:lineRule="auto"/>
        <w:ind w:right="51"/>
        <w:jc w:val="both"/>
        <w:rPr>
          <w:rFonts w:ascii="Palatino Linotype" w:eastAsia="Palatino Linotype" w:hAnsi="Palatino Linotype" w:cs="Palatino Linotype"/>
        </w:rPr>
      </w:pPr>
    </w:p>
    <w:p w:rsidR="003D5D4B" w:rsidRPr="00004115" w:rsidRDefault="00423B7A">
      <w:pPr>
        <w:spacing w:line="360" w:lineRule="auto"/>
        <w:ind w:right="51"/>
        <w:jc w:val="both"/>
        <w:rPr>
          <w:rFonts w:ascii="Palatino Linotype" w:eastAsia="Palatino Linotype" w:hAnsi="Palatino Linotype" w:cs="Palatino Linotype"/>
        </w:rPr>
      </w:pPr>
      <w:r w:rsidRPr="00004115">
        <w:rPr>
          <w:rFonts w:ascii="Palatino Linotype" w:eastAsia="Palatino Linotype" w:hAnsi="Palatino Linotype" w:cs="Palatino Linotype"/>
        </w:rPr>
        <w:t>En atención a ello se procedió a revisar las funciones o atribuciones de  la Secretaría del Ayuntamiento, establecidas en el artículo 91 fracciones I, III, IV, VIII y IX de la Ley Orgánica Municipal del Estado de México, de la Comisiones lo señalado en el artículo 59 Bando Municipal del Ayuntamiento de Chalco para el año 2022, lo que se robustece con lo señalado por el artículo 67 de la Ley Orgánica Municipal del Estado de México y sobre la revisión de la reglamentación municipal el artículo 23 fracción  XVIII punto 7, que señalan:</w:t>
      </w:r>
    </w:p>
    <w:p w:rsidR="003D5D4B" w:rsidRPr="00004115" w:rsidRDefault="003D5D4B">
      <w:pPr>
        <w:spacing w:line="360" w:lineRule="auto"/>
        <w:ind w:right="51"/>
        <w:jc w:val="both"/>
        <w:rPr>
          <w:rFonts w:ascii="Palatino Linotype" w:eastAsia="Palatino Linotype" w:hAnsi="Palatino Linotype" w:cs="Palatino Linotype"/>
        </w:rPr>
      </w:pP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“Artículo 91</w:t>
      </w:r>
      <w:r w:rsidRPr="00004115">
        <w:rPr>
          <w:rFonts w:ascii="Palatino Linotype" w:eastAsia="Palatino Linotype" w:hAnsi="Palatino Linotype" w:cs="Palatino Linotype"/>
          <w:b/>
          <w:i/>
          <w:sz w:val="22"/>
          <w:szCs w:val="22"/>
        </w:rPr>
        <w:t>.- La Secretaría del Ayuntamiento estará a cargo de un Secretario</w:t>
      </w:r>
      <w:r w:rsidRPr="00004115">
        <w:rPr>
          <w:rFonts w:ascii="Palatino Linotype" w:eastAsia="Palatino Linotype" w:hAnsi="Palatino Linotype" w:cs="Palatino Linotype"/>
          <w:i/>
          <w:sz w:val="22"/>
          <w:szCs w:val="22"/>
        </w:rPr>
        <w:t>, el que, sin ser miembro del mismo, deberá ser nombrado por el propio Ayuntamiento a propuesta del Presidente Municipal como lo marca el artículo 31 de la presente ley. Sus faltas temporales serán cubiertas por quien designe el Ayuntamiento y sus atribuciones son las siguientes:</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I. Asistir a las sesiones del ayuntamiento y levantar las actas correspondientes;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III. Dar cuenta en la primera sesión de cada mes, del número y contenido de los expedientes pasados a comisión, con mención de los que hayan sido resueltos y de los pendientes;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IV. Llevar y conservar los libros de actas de cabildo, obteniendo las firmas de los asistentes a las sesiones</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VIII. Publicar los reglamentos, circulares y demás disposiciones municipales de observancia general;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IX. Compilar leyes, decretos, reglamentos, periódicos oficiales del estado, circulares y órdenes relativas a los distintos sectores de la administración pública municipal…” (Sic)</w:t>
      </w:r>
    </w:p>
    <w:p w:rsidR="003D5D4B" w:rsidRPr="00004115" w:rsidRDefault="003D5D4B">
      <w:pPr>
        <w:ind w:left="851" w:right="899"/>
        <w:jc w:val="both"/>
        <w:rPr>
          <w:rFonts w:ascii="Palatino Linotype" w:eastAsia="Palatino Linotype" w:hAnsi="Palatino Linotype" w:cs="Palatino Linotype"/>
          <w:i/>
          <w:sz w:val="22"/>
          <w:szCs w:val="22"/>
        </w:rPr>
      </w:pP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59.-</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u w:val="single"/>
        </w:rPr>
        <w:t>Las Comisiones serán determinadas por el Ayuntamiento de acuerdo a las necesidades del Municipio,</w:t>
      </w:r>
      <w:r w:rsidRPr="00004115">
        <w:rPr>
          <w:rFonts w:ascii="Palatino Linotype" w:eastAsia="Palatino Linotype" w:hAnsi="Palatino Linotype" w:cs="Palatino Linotype"/>
          <w:i/>
          <w:sz w:val="22"/>
          <w:szCs w:val="22"/>
        </w:rPr>
        <w:t xml:space="preserve"> y sus </w:t>
      </w:r>
      <w:r w:rsidRPr="00004115">
        <w:rPr>
          <w:rFonts w:ascii="Palatino Linotype" w:eastAsia="Palatino Linotype" w:hAnsi="Palatino Linotype" w:cs="Palatino Linotype"/>
          <w:b/>
          <w:i/>
          <w:sz w:val="22"/>
          <w:szCs w:val="22"/>
          <w:u w:val="single"/>
        </w:rPr>
        <w:t>integrantes serán nombrados por dicho Órgano Colegiado</w:t>
      </w:r>
      <w:r w:rsidRPr="00004115">
        <w:rPr>
          <w:rFonts w:ascii="Palatino Linotype" w:eastAsia="Palatino Linotype" w:hAnsi="Palatino Linotype" w:cs="Palatino Linotype"/>
          <w:i/>
          <w:sz w:val="22"/>
          <w:szCs w:val="22"/>
        </w:rPr>
        <w:t xml:space="preserve">, con igualdad de género y en términos de lo establecido por el artículo 66 de la Ley Orgánica Municipal del Estado de México, de entre sus miembros, a propuesta del Ejecutivo Municipal. </w:t>
      </w:r>
      <w:r w:rsidRPr="00004115">
        <w:rPr>
          <w:rFonts w:ascii="Palatino Linotype" w:eastAsia="Palatino Linotype" w:hAnsi="Palatino Linotype" w:cs="Palatino Linotype"/>
          <w:b/>
          <w:i/>
          <w:sz w:val="22"/>
          <w:szCs w:val="22"/>
        </w:rPr>
        <w:t>Las Comisiones serán responsables de estudiar, examinar y proponer al Ayuntamiento los acuerdos, acciones o normas, tendientes a mejorar la Administración Pública Municipal, así como de su vigilancia e informar al propio Gobierno de Chalco sobre los asuntos a su cargo y el cumplimiento de las disposiciones y acuerdos que se dicten en Cabildo</w:t>
      </w:r>
      <w:r w:rsidRPr="00004115">
        <w:rPr>
          <w:rFonts w:ascii="Palatino Linotype" w:eastAsia="Palatino Linotype" w:hAnsi="Palatino Linotype" w:cs="Palatino Linotype"/>
          <w:i/>
          <w:sz w:val="22"/>
          <w:szCs w:val="22"/>
        </w:rPr>
        <w:t>.</w:t>
      </w:r>
    </w:p>
    <w:p w:rsidR="003D5D4B" w:rsidRPr="00004115" w:rsidRDefault="003D5D4B">
      <w:pPr>
        <w:ind w:left="851" w:right="899"/>
        <w:jc w:val="both"/>
        <w:rPr>
          <w:rFonts w:ascii="Palatino Linotype" w:eastAsia="Palatino Linotype" w:hAnsi="Palatino Linotype" w:cs="Palatino Linotype"/>
          <w:i/>
          <w:sz w:val="22"/>
          <w:szCs w:val="22"/>
        </w:rPr>
      </w:pP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67.- Las comisiones, para el cumplimiento de sus fines y previa autorización del ayuntamiento</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u w:val="single"/>
        </w:rPr>
        <w:t>podrán celebrar reuniones públicas</w:t>
      </w:r>
      <w:r w:rsidRPr="00004115">
        <w:rPr>
          <w:rFonts w:ascii="Palatino Linotype" w:eastAsia="Palatino Linotype" w:hAnsi="Palatino Linotype" w:cs="Palatino Linotype"/>
          <w:i/>
          <w:sz w:val="22"/>
          <w:szCs w:val="22"/>
        </w:rPr>
        <w:t xml:space="preserve"> en las localidades del municipio, para recabar la opinión de sus habitantes. Asimismo, en aquellos casos en que sea necesario, podrán solicitar asesoría externa especializada.</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ARTÍCULO 23.- Son fines del Gobierno de Chalco los siguientes:</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lastRenderedPageBreak/>
        <w:t>…</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7. Revisar y actualizar la reglamentación municipal de acuerdo con las necesidades de la realidad social, económica y política del Municipio y en función de los derechos humanos de todos sus habitantes</w:t>
      </w:r>
      <w:r w:rsidRPr="00004115">
        <w:rPr>
          <w:rFonts w:ascii="Palatino Linotype" w:eastAsia="Palatino Linotype" w:hAnsi="Palatino Linotype" w:cs="Palatino Linotype"/>
          <w:i/>
          <w:sz w:val="22"/>
          <w:szCs w:val="22"/>
        </w:rPr>
        <w:t>…” (Sic)</w:t>
      </w:r>
    </w:p>
    <w:p w:rsidR="003D5D4B" w:rsidRPr="00004115" w:rsidRDefault="003D5D4B">
      <w:pPr>
        <w:ind w:left="851" w:right="899"/>
        <w:jc w:val="both"/>
        <w:rPr>
          <w:rFonts w:ascii="Palatino Linotype" w:eastAsia="Palatino Linotype" w:hAnsi="Palatino Linotype" w:cs="Palatino Linotype"/>
          <w:i/>
          <w:sz w:val="22"/>
          <w:szCs w:val="22"/>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En consecuencia, el Ayuntamiento de Chalco deberá hacer de nuevo una búsqueda exhaustiva y razonable de la información solicitada por el particular.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No pasa desapercibió, que para el caso de que no exista una Comisión Edilicia de manera específica que se encargue de la revisión de la reglamentación municipal bastara que así se lo haga saber al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de manera fundada y motivada.</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Precisado lo anterior, es pertinente aclarar que respecto del requerimiento relacionado con que si se revisan de manera periódica los reglamentos del municipio, el área del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que se pronunció en sentido positivo fue la Coordinación Municipal de Protección Civil, quien en términos de lo señalado por el artículo 84 del Bando Municipal del Ayuntamiento de Chalco para el año 2022, tiene las siguientes atribuciones: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ARTÍCULO 84.- La Coordinación Municipal de Protección Civil, con base a las disposiciones legales, federales, estatales y municipales en la materia, tendrá las siguientes atribuciones: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I. Vigilar que los comercios abiertos al público en general, industrias y prestadores de servicios, cumplan con la reglamentación de Protección Civil;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II. Vigilar el cumplimiento de las disposiciones administrativas en seguridad, por parte de los distribuidores y comercializadores de gas natural, gas L.P. y demás productos químicos inflamables o de naturaleza peligrosa;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III. El personal adscrito a la Coordinación Municipal se mantendrá en constante capacitación;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IV. Desarrollar programas de formación, capacitación, adiestramiento y actualización de servidores públicos municipales;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lastRenderedPageBreak/>
        <w:t xml:space="preserve">V. Implementar programas de capacitación en materia de protección civil para los sectores público y social del Municipio;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VI. Elaborar y actualizar el Atlas de Riesgos Municipal;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VII. Aplicar las disposiciones relativas a la regulación de Protección Civil en el territorio municipal,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VIII. Vigilar que los comercios en general o industrias, así como prestadores de servicios, cuenten con equipo de seguridad, señalado en el reglamento respectivo tales como: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a) Un extintor de CO2, polvo químico seco, o agua, con capacidad de 4.5 kilogramos por cada 30 metros cuadrados;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b) Un botiquín de primeros auxilios, con el contenido mínimo de material para la atención de los primeros auxilios en los centros de trabajo, de manera oportuna y eficaz, establecido en la NOM-020-STPS-1994, y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c) Señalamientos informativos, de emergencia precaución restricción obligación y avisos de protección civil establecidos en la NOM-003- SEGOB-2011.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IX. Otorgar Dictamen de Viabilidad, a los establecimientos con giro de guarderías y/o estancias infantiles, así como a los establecimientos comerciales de manufactura, prestación de servicios y atención al público, siempre y cuando cumplan con los requisitos establecidos en los ordenamientos correspondientes; X. Para el caso de los establecimientos que se encuentran en el Catálogo de Giros del Sistema de Apertura Rápida de Empresas del Municipio de Chalco, podrán llenar la solicitud de dictamen de viabilidad, lo cual será proporcionado, verificado y autorizado por esta Coordinación Municipal de Protección Civil;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XI. Supervisar y vigilar la quema de pirotecnia en fiestas religiosas, eventos cívicos o cualquier otro en el que se lleve a cabo dicha actividad, previa presentación de los permisos federales o estatales, así como la tramitación correspondiente;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XII. Proponer al Ayuntamiento, los inmuebles que deban ser utilizados como albergues o refugios en caso de siniestro o desastres;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XIII. Otorgar el dictamen de viabilidad a empresas, industrias, escuelas, lugares de diversión, etcétera, previo cumplimiento de la normativa estatal o federal;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XIV. Difundir información respecto de las enfermedades transmisibles de los perros y gatos a los seres humanos, con la finalidad de proteger la salud de la población en general, principalmente de niñas, niños y mujeres, a través del Centro de Atención Canino y Felino;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XV. Organizar, promover y difundir campañas de vacunación, desparasitación, esterilización, promoción de la salud y cultura de la tenencia responsable de mascotas entre la comunidad;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lastRenderedPageBreak/>
        <w:t xml:space="preserve">XVI. Realizar monitoreo de animales domésticos que tengan conatos de agresión hacia la población, así como aquellos que repercutan a la Salud Pública para contener transmisiones de enfermedades </w:t>
      </w:r>
      <w:proofErr w:type="spellStart"/>
      <w:r w:rsidRPr="00004115">
        <w:rPr>
          <w:rFonts w:ascii="Palatino Linotype" w:eastAsia="Palatino Linotype" w:hAnsi="Palatino Linotype" w:cs="Palatino Linotype"/>
          <w:i/>
          <w:sz w:val="22"/>
          <w:szCs w:val="22"/>
        </w:rPr>
        <w:t>zoonóticas</w:t>
      </w:r>
      <w:proofErr w:type="spellEnd"/>
      <w:r w:rsidRPr="00004115">
        <w:rPr>
          <w:rFonts w:ascii="Palatino Linotype" w:eastAsia="Palatino Linotype" w:hAnsi="Palatino Linotype" w:cs="Palatino Linotype"/>
          <w:i/>
          <w:sz w:val="22"/>
          <w:szCs w:val="22"/>
        </w:rPr>
        <w:t xml:space="preserve">;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XVII. Difundir la información respecto al maltrato animal, coadyuvando con las autoridades estatales y municipales, a la solución de quejas presentadas ante la Subprocuraduría de Protección a la Fauna del Estado de México;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XVIII. Llevar a cabo la verificación del lugar, antes de la quema de fuegos pirotécnicos en festividades cívicas o religiosas;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XIX. Asegurar y remitir mercancía de juguetería pirotécnica que este a la venta en la vía pública, establecimientos y domicilios particulares a la Fiscalía General de la Republica;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XX. Asegurar y remitir a distribuidores de gas natural, gas L.P. o cualquier producto químico inflamable que realicen actividades de distribución indebidas y demás acciones que pongan en riesgo la seguridad y protección civil de la ciudadanía;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XXI. Llevar a cabo las valoraciones de riesgo de inmuebles públicos o privados, del sector educativo, comercial, industrial, así como flora y fauna y las diferentes zonas susceptibles de riesgo,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XXII. Las prácticas de exhibición, </w:t>
      </w:r>
      <w:proofErr w:type="spellStart"/>
      <w:r w:rsidRPr="00004115">
        <w:rPr>
          <w:rFonts w:ascii="Palatino Linotype" w:eastAsia="Palatino Linotype" w:hAnsi="Palatino Linotype" w:cs="Palatino Linotype"/>
          <w:i/>
          <w:sz w:val="22"/>
          <w:szCs w:val="22"/>
        </w:rPr>
        <w:t>comercialescomercialización</w:t>
      </w:r>
      <w:proofErr w:type="spellEnd"/>
      <w:r w:rsidRPr="00004115">
        <w:rPr>
          <w:rFonts w:ascii="Palatino Linotype" w:eastAsia="Palatino Linotype" w:hAnsi="Palatino Linotype" w:cs="Palatino Linotype"/>
          <w:i/>
          <w:sz w:val="22"/>
          <w:szCs w:val="22"/>
        </w:rPr>
        <w:t xml:space="preserve"> de animales de compañía o de servicio, y prestación servicios para su cuidado y adiestramiento serán reguladas en el ámbito de las competencias conferidas a la Unidad de Bienestar Animal que administrará la Dirección de Ecología del Gobierno de Chalco.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XXIII. Queda prohibida la venta de animales de compañía (perros, gatos, aves, cuyos, entre otros) y jaulas de encierro de aves en la vía pública o tianguis en todo el municipio.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La Unidad de Bienestar Animal de Chalco en coordinación con las autoridades federales y estatales, la PROFEPA y la PROPAEM procederán a requisar los animales vivos de compañía, exóticos o domésticos que se pretenda vender en la vía pública, mercados y bazares ambulantes, y se aplicarán las sanciones correspondientes a quienes infrinjan esta disposición;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XXIV. Emitir el dictamen de Protección Civil de bajo riesgo;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XXV. Emitir el dictamen de viabilidad para la integración del Dictamen de Giro, en términos de lo establecido por la Ley de Competitividad y Ordenamiento Comercial del Estado de México y demás leyes aplicables; y </w:t>
      </w: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XXVI. Las demás que le confieran los ordenamientos legales aplicables, así como las que el propio Ayuntamiento considere necesarias, para salvaguardar la integridad de los habitantes del Municipio.” (Sic)</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 xml:space="preserve">De las cuales no se advierte que dicha Coordinación tenga la atribución de revisar la reglamentación del municipio, de ahí que, dicho pronunciamiento no colma dicho requerimiento; sin embargo, de la entrega de la información que se ordena en el presente punto, así como de uno de los fines del Gobierno de Chalco que se refirió en párrafos anteriores, referente al artículo 23 del Bando Municipal de Chalco, el particular podrá advertir que sí se lleva </w:t>
      </w:r>
      <w:proofErr w:type="spellStart"/>
      <w:r w:rsidRPr="00004115">
        <w:rPr>
          <w:rFonts w:ascii="Palatino Linotype" w:eastAsia="Palatino Linotype" w:hAnsi="Palatino Linotype" w:cs="Palatino Linotype"/>
        </w:rPr>
        <w:t>acabo</w:t>
      </w:r>
      <w:proofErr w:type="spellEnd"/>
      <w:r w:rsidRPr="00004115">
        <w:rPr>
          <w:rFonts w:ascii="Palatino Linotype" w:eastAsia="Palatino Linotype" w:hAnsi="Palatino Linotype" w:cs="Palatino Linotype"/>
        </w:rPr>
        <w:t xml:space="preserve"> la revisión de la reglamentación municipal del Ayuntamiento de Chalco.</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Precisado lo anterior se procede al análisis del requerimiento marcado con el número 4, relativo </w:t>
      </w:r>
      <w:proofErr w:type="gramStart"/>
      <w:r w:rsidRPr="00004115">
        <w:rPr>
          <w:rFonts w:ascii="Palatino Linotype" w:eastAsia="Palatino Linotype" w:hAnsi="Palatino Linotype" w:cs="Palatino Linotype"/>
        </w:rPr>
        <w:t>a</w:t>
      </w:r>
      <w:proofErr w:type="gramEnd"/>
      <w:r w:rsidRPr="00004115">
        <w:rPr>
          <w:rFonts w:ascii="Palatino Linotype" w:eastAsia="Palatino Linotype" w:hAnsi="Palatino Linotype" w:cs="Palatino Linotype"/>
        </w:rPr>
        <w:t>:</w:t>
      </w:r>
    </w:p>
    <w:p w:rsidR="003D5D4B" w:rsidRPr="00004115" w:rsidRDefault="003D5D4B">
      <w:pPr>
        <w:spacing w:line="360" w:lineRule="auto"/>
        <w:jc w:val="both"/>
        <w:rPr>
          <w:rFonts w:ascii="Palatino Linotype" w:eastAsia="Palatino Linotype" w:hAnsi="Palatino Linotype" w:cs="Palatino Linotype"/>
          <w:b/>
          <w:u w:val="single"/>
        </w:rPr>
      </w:pPr>
    </w:p>
    <w:p w:rsidR="003D5D4B" w:rsidRPr="00004115" w:rsidRDefault="00423B7A">
      <w:pPr>
        <w:spacing w:line="360" w:lineRule="auto"/>
        <w:jc w:val="both"/>
        <w:rPr>
          <w:rFonts w:ascii="Palatino Linotype" w:eastAsia="Palatino Linotype" w:hAnsi="Palatino Linotype" w:cs="Palatino Linotype"/>
          <w:b/>
          <w:u w:val="single"/>
        </w:rPr>
      </w:pPr>
      <w:r w:rsidRPr="00004115">
        <w:rPr>
          <w:rFonts w:ascii="Palatino Linotype" w:eastAsia="Palatino Linotype" w:hAnsi="Palatino Linotype" w:cs="Palatino Linotype"/>
          <w:b/>
          <w:u w:val="single"/>
        </w:rPr>
        <w:t xml:space="preserve">4. ¿Cuántos reglamentos municipales se encuentran vigentes aprobados en administraciones anteriores y cuales se han aprobado en la presente? En el caso de que se hayan derogado algunos ¿Cuáles son? Favor de incluir sólo el nombre del reglamento aprobado o derogado y fecha en la que el cabildo lo votó.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En respuesta la Coordinación Municipal de Protección Civil, Informó que los reglamentos de cada una de las áreas del gobierno municipal pueden ser consultados en el siguiente link en la sección de reglamentación:</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62EF7">
      <w:pPr>
        <w:spacing w:line="360" w:lineRule="auto"/>
        <w:jc w:val="both"/>
        <w:rPr>
          <w:rFonts w:ascii="Palatino Linotype" w:eastAsia="Palatino Linotype" w:hAnsi="Palatino Linotype" w:cs="Palatino Linotype"/>
        </w:rPr>
      </w:pPr>
      <w:hyperlink r:id="rId26">
        <w:r w:rsidR="00423B7A" w:rsidRPr="00004115">
          <w:rPr>
            <w:rFonts w:ascii="Palatino Linotype" w:eastAsia="Palatino Linotype" w:hAnsi="Palatino Linotype" w:cs="Palatino Linotype"/>
            <w:u w:val="single"/>
          </w:rPr>
          <w:t>https://gobiernodechalco.gob.mx/#</w:t>
        </w:r>
      </w:hyperlink>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Sin embargo, al darle clic a dicho enlace electrónico nos arroja la siguiente información: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noProof/>
          <w:lang w:val="es-MX" w:eastAsia="es-MX"/>
        </w:rPr>
        <w:drawing>
          <wp:inline distT="0" distB="0" distL="0" distR="0">
            <wp:extent cx="5432945" cy="2606429"/>
            <wp:effectExtent l="0" t="0" r="0" b="0"/>
            <wp:docPr id="9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l="17355" t="5455" r="18630" b="49951"/>
                    <a:stretch>
                      <a:fillRect/>
                    </a:stretch>
                  </pic:blipFill>
                  <pic:spPr>
                    <a:xfrm>
                      <a:off x="0" y="0"/>
                      <a:ext cx="5432945" cy="2606429"/>
                    </a:xfrm>
                    <a:prstGeom prst="rect">
                      <a:avLst/>
                    </a:prstGeom>
                    <a:ln/>
                  </pic:spPr>
                </pic:pic>
              </a:graphicData>
            </a:graphic>
          </wp:inline>
        </w:drawing>
      </w:r>
      <w:r w:rsidRPr="00004115">
        <w:rPr>
          <w:noProof/>
          <w:lang w:val="es-MX" w:eastAsia="es-MX"/>
        </w:rPr>
        <mc:AlternateContent>
          <mc:Choice Requires="wpg">
            <w:drawing>
              <wp:anchor distT="0" distB="0" distL="114300" distR="114300" simplePos="0" relativeHeight="251660288" behindDoc="0" locked="0" layoutInCell="1" hidden="0" allowOverlap="1">
                <wp:simplePos x="0" y="0"/>
                <wp:positionH relativeFrom="column">
                  <wp:posOffset>4013200</wp:posOffset>
                </wp:positionH>
                <wp:positionV relativeFrom="paragraph">
                  <wp:posOffset>774700</wp:posOffset>
                </wp:positionV>
                <wp:extent cx="541152" cy="416461"/>
                <wp:effectExtent l="0" t="0" r="0" b="0"/>
                <wp:wrapNone/>
                <wp:docPr id="80" name="Flecha izquierda 80"/>
                <wp:cNvGraphicFramePr/>
                <a:graphic xmlns:a="http://schemas.openxmlformats.org/drawingml/2006/main">
                  <a:graphicData uri="http://schemas.microsoft.com/office/word/2010/wordprocessingShape">
                    <wps:wsp>
                      <wps:cNvSpPr/>
                      <wps:spPr>
                        <a:xfrm>
                          <a:off x="5081774" y="3578120"/>
                          <a:ext cx="528452" cy="403761"/>
                        </a:xfrm>
                        <a:prstGeom prst="lef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rsidR="003D5D4B" w:rsidRDefault="003D5D4B">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4013200</wp:posOffset>
                </wp:positionH>
                <wp:positionV relativeFrom="paragraph">
                  <wp:posOffset>774700</wp:posOffset>
                </wp:positionV>
                <wp:extent cx="541152" cy="416461"/>
                <wp:effectExtent b="0" l="0" r="0" t="0"/>
                <wp:wrapNone/>
                <wp:docPr id="80" name="image11.png"/>
                <a:graphic>
                  <a:graphicData uri="http://schemas.openxmlformats.org/drawingml/2006/picture">
                    <pic:pic>
                      <pic:nvPicPr>
                        <pic:cNvPr id="0" name="image11.png"/>
                        <pic:cNvPicPr preferRelativeResize="0"/>
                      </pic:nvPicPr>
                      <pic:blipFill>
                        <a:blip r:embed="rId28"/>
                        <a:srcRect/>
                        <a:stretch>
                          <a:fillRect/>
                        </a:stretch>
                      </pic:blipFill>
                      <pic:spPr>
                        <a:xfrm>
                          <a:off x="0" y="0"/>
                          <a:ext cx="541152" cy="416461"/>
                        </a:xfrm>
                        <a:prstGeom prst="rect"/>
                        <a:ln/>
                      </pic:spPr>
                    </pic:pic>
                  </a:graphicData>
                </a:graphic>
              </wp:anchor>
            </w:drawing>
          </mc:Fallback>
        </mc:AlternateConten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Lo que incumple de igual forma con lo señalado por el artículo 161 de la Ley de la Materia, ya que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sólo se concretó a señalar que se tenía que acceder al apartado de reglamentación, sin precisar si la información se encuentra en el vínculo de gacetas municipales o avisos de privacidad.</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Por su parte la Dirección Jurídica, indicó que la información podrá ser solventada por la Secretaría del Ayuntamiento, encarga de llevar el historio y resguardo del archivo municipal en materia de Comisiones Edilicias, actas o constancias se sesiones de cabildo.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No obstante, el área del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que no se pronunció fue la Secretaría del Ayuntamiento quien tiene la atribución de Publicar los reglamentos y la compilación de los mismos, y llevar el control de las sesiones de cabildo, en términos de lo señalado por el 91 fracciones, IV, VIII y IX de la Ley Orgánica Municipal del </w:t>
      </w:r>
      <w:r w:rsidRPr="00004115">
        <w:rPr>
          <w:rFonts w:ascii="Palatino Linotype" w:eastAsia="Palatino Linotype" w:hAnsi="Palatino Linotype" w:cs="Palatino Linotype"/>
        </w:rPr>
        <w:lastRenderedPageBreak/>
        <w:t xml:space="preserve">Estado de México, previamente citado; por consiguiente, deberá estarse a lo determinado en el punto anterior.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No omite comentar, que sí el SUJETO OBLIGADO no genera la documentación que conste el número de los reglamentos municipales, no es procedente su entrega la información solicitada, esté, únicamente se encuentra constreñido a entregar la información que obre en sus archivos sin procesarla, resumirla, efectuar cálculos o practicar investigaciones, así como lo establece el artículo 12, de la Ley de Transparencia y Acceso a la Información Pública del Estado de México y Municipios, el cual se transcribe a continuación:</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ind w:left="567" w:right="76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“Artículo 12. Quienes generen, recopilen, administren, manejen, procesen, archiven o conserven información pública serán responsables de la misma en los términos de las disposiciones jurídicas aplicables. </w:t>
      </w:r>
    </w:p>
    <w:p w:rsidR="003D5D4B" w:rsidRPr="00004115" w:rsidRDefault="00423B7A">
      <w:pPr>
        <w:ind w:left="567" w:right="76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Los sujetos obligados sólo proporcionarán la información pública que se les requiera y que obre en sus archivos y en el estado en que ésta se encuentre. </w:t>
      </w:r>
    </w:p>
    <w:p w:rsidR="003D5D4B" w:rsidRPr="00004115" w:rsidRDefault="00423B7A">
      <w:pPr>
        <w:ind w:left="567" w:right="76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En estricto sentido, el derecho de acceso a la información pública se satisface en aquellos casos en que se entregue el soporte documental en que conste la información pública, toda vez que, los Sujetos Obligados no tienen el deber de generar, poseer o administrar la información pública con el grado de detalle solicitado; esto es, que no tienen el deber de generar un documento ad hoc, para satisfacer el derecho de acceso a la información pública, como lo establece el artículo </w:t>
      </w:r>
      <w:r w:rsidRPr="00004115">
        <w:rPr>
          <w:rFonts w:ascii="Palatino Linotype" w:eastAsia="Palatino Linotype" w:hAnsi="Palatino Linotype" w:cs="Palatino Linotype"/>
        </w:rPr>
        <w:lastRenderedPageBreak/>
        <w:t xml:space="preserve">12 de la Ley de Transparencia y Acceso a la Información Pública del Estado de México y Municipios.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Como apoyo a lo anterior, es aplicable el Criterio 03-17, emitido por el Instituto Nacional de Transparencia, Acceso a la Información y Protección de Datos Personales, que dice: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ind w:left="567" w:right="76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“No existe obligación de elaborar documentos ad hoc para atender las solicitudes de acceso a la información.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información.”(Sic)</w:t>
      </w:r>
    </w:p>
    <w:p w:rsidR="003D5D4B" w:rsidRPr="00004115" w:rsidRDefault="003D5D4B">
      <w:pPr>
        <w:ind w:left="567" w:right="760"/>
        <w:jc w:val="both"/>
        <w:rPr>
          <w:rFonts w:ascii="Palatino Linotype" w:eastAsia="Palatino Linotype" w:hAnsi="Palatino Linotype" w:cs="Palatino Linotype"/>
          <w:i/>
          <w:sz w:val="22"/>
          <w:szCs w:val="22"/>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Por consiguiente, este Organismo Garante realizo un análisis, de los motivos para que el ente recurrido formara parte del Padrón de Sujetos Obligados del Instituto de Transparencia, Acceso a la Información Pública y Protección de Datos Personales del Estado de México y Municipios.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Por lo tanto, de acuerdo a las disposiciones legales antes descritas, aun cuando no haya generado información relativa a lo solicitado, se encuentra obligado a informarlo de manera trimestral; así como; conservarlo en los sitios de internet; conservando lo de dos ejercicios inmediatamente anteriores, cumplimiento al artículo 92, fracción I, de la Ley de Transparencia y Acceso a la Información Pública </w:t>
      </w:r>
      <w:r w:rsidRPr="00004115">
        <w:rPr>
          <w:rFonts w:ascii="Palatino Linotype" w:eastAsia="Palatino Linotype" w:hAnsi="Palatino Linotype" w:cs="Palatino Linotype"/>
        </w:rPr>
        <w:lastRenderedPageBreak/>
        <w:t xml:space="preserve">del Estado de México y Municipios y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en tal sentido, se entiende que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genera, posee o administración dicha información; por lo que, deberá hacer entrega previa búsqueda exhaustiva y razonable, los documentos donde conste, de la Administración Municipal 2019-2021, el o los documentos donde conste el nombre y fecha de aprobación del cabildo de los reglamentos municipales aprobados, el o los documentos donde conste el nombre y fecha de aprobación del cabildo de los reglamentos municipales derogados, para la Administración Pública Municipal 2022-2024, del periodo comprendido del 01 de enero al 27 de marzo de 2022, la cantidad, nombre y fecha de aprobación del cabildo de los reglamentos municipales aprobados, la cantidad, nombre y fecha de aprobación del cabildo de los reglamentos municipales derogados.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Finalmente, sobre el punto 5 relacionado con:</w:t>
      </w:r>
    </w:p>
    <w:p w:rsidR="003D5D4B" w:rsidRPr="00004115" w:rsidRDefault="003D5D4B">
      <w:pPr>
        <w:spacing w:line="360" w:lineRule="auto"/>
        <w:jc w:val="both"/>
        <w:rPr>
          <w:rFonts w:ascii="Palatino Linotype" w:eastAsia="Palatino Linotype" w:hAnsi="Palatino Linotype" w:cs="Palatino Linotype"/>
          <w:b/>
        </w:rPr>
      </w:pPr>
    </w:p>
    <w:p w:rsidR="003D5D4B" w:rsidRPr="00004115" w:rsidRDefault="00423B7A">
      <w:pPr>
        <w:spacing w:line="360" w:lineRule="auto"/>
        <w:ind w:right="49"/>
        <w:jc w:val="both"/>
        <w:rPr>
          <w:rFonts w:ascii="Palatino Linotype" w:eastAsia="Palatino Linotype" w:hAnsi="Palatino Linotype" w:cs="Palatino Linotype"/>
          <w:b/>
        </w:rPr>
      </w:pPr>
      <w:r w:rsidRPr="00004115">
        <w:rPr>
          <w:rFonts w:ascii="Palatino Linotype" w:eastAsia="Palatino Linotype" w:hAnsi="Palatino Linotype" w:cs="Palatino Linotype"/>
          <w:b/>
        </w:rPr>
        <w:t> 5. ¿Cuál es el grado de formalización de los procesos internos?</w:t>
      </w:r>
    </w:p>
    <w:p w:rsidR="003D5D4B" w:rsidRPr="00004115" w:rsidRDefault="003D5D4B">
      <w:pPr>
        <w:spacing w:line="360" w:lineRule="auto"/>
        <w:ind w:right="49"/>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En la respuesta,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informó que la información puede ser consultada en los portales de acceso a la información, en la siguiente liga:</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62EF7">
      <w:pPr>
        <w:spacing w:line="360" w:lineRule="auto"/>
        <w:jc w:val="both"/>
        <w:rPr>
          <w:rFonts w:ascii="Palatino Linotype" w:eastAsia="Palatino Linotype" w:hAnsi="Palatino Linotype" w:cs="Palatino Linotype"/>
        </w:rPr>
      </w:pPr>
      <w:hyperlink r:id="rId29">
        <w:r w:rsidR="00423B7A" w:rsidRPr="00004115">
          <w:rPr>
            <w:rFonts w:ascii="Palatino Linotype" w:eastAsia="Palatino Linotype" w:hAnsi="Palatino Linotype" w:cs="Palatino Linotype"/>
            <w:u w:val="single"/>
          </w:rPr>
          <w:t>https://www.ipomex.org.mx/ipo3/lgt/indice/CHALCO.web</w:t>
        </w:r>
      </w:hyperlink>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Sin embargo, al darle clic a dicho enlace electrónico nos arroja la siguiente información: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noProof/>
          <w:lang w:val="es-MX" w:eastAsia="es-MX"/>
        </w:rPr>
        <w:drawing>
          <wp:inline distT="0" distB="0" distL="0" distR="0">
            <wp:extent cx="5444580" cy="4058595"/>
            <wp:effectExtent l="0" t="0" r="0" b="0"/>
            <wp:docPr id="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l="27933" t="6958" r="28054" b="4799"/>
                    <a:stretch>
                      <a:fillRect/>
                    </a:stretch>
                  </pic:blipFill>
                  <pic:spPr>
                    <a:xfrm>
                      <a:off x="0" y="0"/>
                      <a:ext cx="5444580" cy="4058595"/>
                    </a:xfrm>
                    <a:prstGeom prst="rect">
                      <a:avLst/>
                    </a:prstGeom>
                    <a:ln/>
                  </pic:spPr>
                </pic:pic>
              </a:graphicData>
            </a:graphic>
          </wp:inline>
        </w:drawing>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Lo que incumple de la misma manera con lo señalado por el artículo 161 de la Ley de la Materia, ya que en dicha liga electrónica se observa la página oficial de la Información Pública de Oficio Mexiquense del Ayuntamiento de Chalco, sin que se observe la información relacionada con el grado de formalización de los procesos internos, al advertirse un cumulo de información lo que implica que la </w:t>
      </w:r>
      <w:r w:rsidRPr="00004115">
        <w:rPr>
          <w:rFonts w:ascii="Palatino Linotype" w:eastAsia="Palatino Linotype" w:hAnsi="Palatino Linotype" w:cs="Palatino Linotype"/>
          <w:b/>
        </w:rPr>
        <w:lastRenderedPageBreak/>
        <w:t>RECURRENTE</w:t>
      </w:r>
      <w:r w:rsidRPr="00004115">
        <w:rPr>
          <w:rFonts w:ascii="Palatino Linotype" w:eastAsia="Palatino Linotype" w:hAnsi="Palatino Linotype" w:cs="Palatino Linotype"/>
        </w:rPr>
        <w:t xml:space="preserve"> haga una búsqueda dentro de toda la información que yace en dicha liga electrónica; por consiguiente, no se colmó la pretensión de la parte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y además no se le detalló el procedimiento específico de acceso a los datos solicitados.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Por su parte la Dirección Jurídica señaló que la solicitud no es clara, por ello, es menester mencionar que el artículo 159 de la Ley de Transparencia y Acceso a la Información Pública del Estado de México y Municipios, concede a los Sujetos Obligados la posibilidad de requerir a los solicitantes, la aclaración de su solicitud cuando se estime que los elementos vertidos no son suficientes para efectuar la búsqueda exhaustiva al interior de sus archivos. </w:t>
      </w:r>
    </w:p>
    <w:p w:rsidR="003D5D4B" w:rsidRPr="00004115" w:rsidRDefault="003D5D4B">
      <w:pPr>
        <w:tabs>
          <w:tab w:val="left" w:pos="709"/>
        </w:tabs>
        <w:spacing w:line="360" w:lineRule="auto"/>
        <w:jc w:val="both"/>
        <w:rPr>
          <w:rFonts w:ascii="Palatino Linotype" w:eastAsia="Palatino Linotype" w:hAnsi="Palatino Linotype" w:cs="Palatino Linotype"/>
        </w:rPr>
      </w:pPr>
    </w:p>
    <w:p w:rsidR="003D5D4B" w:rsidRPr="00004115" w:rsidRDefault="00423B7A">
      <w:pPr>
        <w:tabs>
          <w:tab w:val="left" w:pos="709"/>
        </w:tabs>
        <w:ind w:left="567" w:right="900"/>
        <w:jc w:val="both"/>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i/>
          <w:sz w:val="22"/>
          <w:szCs w:val="22"/>
        </w:rPr>
        <w:t xml:space="preserve">“Artículo 159. Cuando los detalles proporcionados para localizar los documentos resulten insuficientes, incompletos o sean erróneos, </w:t>
      </w:r>
      <w:r w:rsidRPr="00004115">
        <w:rPr>
          <w:rFonts w:ascii="Palatino Linotype" w:eastAsia="Palatino Linotype" w:hAnsi="Palatino Linotype" w:cs="Palatino Linotype"/>
          <w:b/>
          <w:i/>
          <w:sz w:val="22"/>
          <w:szCs w:val="22"/>
        </w:rPr>
        <w:t xml:space="preserve">la Unidad de Transparencia podrá requerir al solicitante, por una sola vez y dentro de un plazo que no podrá exceder de cinco días hábiles contados a partir de la presentación de la solicitud, para que, en un término de hasta diez días hábiles, indique otros elementos que complementen, corrijan o amplíen los datos proporcionados o bien, precise uno o varios requerimientos de información. </w:t>
      </w:r>
    </w:p>
    <w:p w:rsidR="003D5D4B" w:rsidRPr="00004115" w:rsidRDefault="00423B7A">
      <w:pPr>
        <w:tabs>
          <w:tab w:val="left" w:pos="709"/>
        </w:tabs>
        <w:ind w:left="567"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En este requerimiento interrumpirá el plazo de respuesta establecido en el artículo 163 de la presente Ley, por lo que comenzará a computarse nuevamente al día siguiente del desahogo por parte del particular. En este caso, el sujeto obligado atenderá la solicitud en los términos en que fue desahogado el requerimiento de información adicional. </w:t>
      </w:r>
    </w:p>
    <w:p w:rsidR="003D5D4B" w:rsidRPr="00004115" w:rsidRDefault="00423B7A">
      <w:pPr>
        <w:tabs>
          <w:tab w:val="left" w:pos="709"/>
        </w:tabs>
        <w:ind w:left="567" w:right="90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La solicitud se tendrá por no presentada cuando los solicitantes no atiendan el requerimiento de información adicional, salvo que en la solicitud inicial se aprecien elementos que permitan identificar la información requerida, quedando a salvo los derechos del particular para volver a presentar su solicitud.</w:t>
      </w:r>
      <w:r w:rsidRPr="00004115">
        <w:rPr>
          <w:rFonts w:ascii="Palatino Linotype" w:eastAsia="Palatino Linotype" w:hAnsi="Palatino Linotype" w:cs="Palatino Linotype"/>
          <w:i/>
          <w:sz w:val="22"/>
          <w:szCs w:val="22"/>
        </w:rPr>
        <w:t>”(Sic)</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 xml:space="preserve">Para robustecer el análisis del asunto, en un ejercicio de interpretación explicativa de la norma jurídica se colige lo siguiente: </w:t>
      </w:r>
    </w:p>
    <w:p w:rsidR="003D5D4B" w:rsidRPr="00004115" w:rsidRDefault="00423B7A">
      <w:pPr>
        <w:numPr>
          <w:ilvl w:val="0"/>
          <w:numId w:val="5"/>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Al Sujeto Obligado le asiste el derecho para efectuar el requerimiento al solicitante para que complete, corrija o amplíe los datos de la solicitud planteada. </w:t>
      </w:r>
    </w:p>
    <w:p w:rsidR="003D5D4B" w:rsidRPr="00004115" w:rsidRDefault="00423B7A">
      <w:pPr>
        <w:numPr>
          <w:ilvl w:val="0"/>
          <w:numId w:val="5"/>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El requerimiento se notificará al particular en un plazo que no excederá de cinco días hábiles contados a partir de la presentación de la solicitud. </w:t>
      </w:r>
    </w:p>
    <w:p w:rsidR="003D5D4B" w:rsidRPr="00004115" w:rsidRDefault="00423B7A">
      <w:pPr>
        <w:numPr>
          <w:ilvl w:val="0"/>
          <w:numId w:val="5"/>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El plazo para desahogar el requerimiento es de diez días hábiles. </w:t>
      </w:r>
    </w:p>
    <w:p w:rsidR="003D5D4B" w:rsidRPr="00004115" w:rsidRDefault="00423B7A">
      <w:pPr>
        <w:numPr>
          <w:ilvl w:val="0"/>
          <w:numId w:val="5"/>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Transcurrido el plazo de diez días hábiles antes citado, sin que se dé cumplimiento al requerimiento, se tendrá por no presentada la solicitud. </w:t>
      </w:r>
    </w:p>
    <w:p w:rsidR="003D5D4B" w:rsidRPr="00004115" w:rsidRDefault="00423B7A">
      <w:pPr>
        <w:numPr>
          <w:ilvl w:val="0"/>
          <w:numId w:val="5"/>
        </w:numPr>
        <w:pBdr>
          <w:top w:val="nil"/>
          <w:left w:val="nil"/>
          <w:bottom w:val="nil"/>
          <w:right w:val="nil"/>
          <w:between w:val="nil"/>
        </w:pBdr>
        <w:spacing w:before="240" w:after="240" w:line="360" w:lineRule="auto"/>
        <w:ind w:right="900"/>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Una vez que se considere no presentada la solicitud, quedan a salvo los derechos del particular para presentar una nueva solicitud de información. </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Trasladando esta premisa al presente asunto que nos ocupa, se tiene que dichas circunstancias no acontecieron ya que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no realizó dicha prevención, y que toda vez en atención a dicho requerimiento, resultaba necesario aportar mayores elementos para realizar una búsqueda en los archivos del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w:t>
      </w: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Por consiguiente, deberá estarse a lo determinado en el punto 4, máxime que la solicitud no se turnó a todas las áreas que pudieren tener la información, incumpliendo también con lo señalado por el artículo 162 de la Ley de la Materia, ya que la única área del Ayuntamiento de Chalco que se pronunció fue la Coordinación Municipal de Protección Civil, no así de manera enunciativa más ni limitada la Dirección de Innovación Gubernamental, que en términos del artículo 55 del Bando Municipal del Ayuntamiento de Chalco para el año 2022, tiene la siguiente atribución:</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“ARTÍCULO 55.- Para el óptimo desempeño de las funciones de la Administración Pública Municipal, el Gobierno de Chalco cuenta con la Dirección de Innovación Gubernamental, </w:t>
      </w:r>
      <w:r w:rsidRPr="00004115">
        <w:rPr>
          <w:rFonts w:ascii="Palatino Linotype" w:eastAsia="Palatino Linotype" w:hAnsi="Palatino Linotype" w:cs="Palatino Linotype"/>
          <w:b/>
          <w:i/>
          <w:sz w:val="22"/>
          <w:szCs w:val="22"/>
        </w:rPr>
        <w:t>encargada de llevar a cabo los procesos de planeación, programación, seguimiento y evaluación de las dependencias administrativas</w:t>
      </w:r>
      <w:r w:rsidRPr="00004115">
        <w:rPr>
          <w:rFonts w:ascii="Palatino Linotype" w:eastAsia="Palatino Linotype" w:hAnsi="Palatino Linotype" w:cs="Palatino Linotype"/>
          <w:i/>
          <w:sz w:val="22"/>
          <w:szCs w:val="22"/>
        </w:rPr>
        <w:t>; de acuerdo con lo establecido en el marco del Sistema de Evaluación de la Gestión Municipal (SEGEMUN) y en alineación a los Objetivos para el Desarrollo Sostenible.</w:t>
      </w:r>
    </w:p>
    <w:p w:rsidR="003D5D4B" w:rsidRPr="00004115" w:rsidRDefault="003D5D4B">
      <w:pPr>
        <w:ind w:left="851" w:right="899"/>
        <w:jc w:val="both"/>
        <w:rPr>
          <w:rFonts w:ascii="Palatino Linotype" w:eastAsia="Palatino Linotype" w:hAnsi="Palatino Linotype" w:cs="Palatino Linotype"/>
          <w:i/>
          <w:sz w:val="22"/>
          <w:szCs w:val="22"/>
        </w:rPr>
      </w:pPr>
    </w:p>
    <w:p w:rsidR="003D5D4B" w:rsidRPr="00004115" w:rsidRDefault="00423B7A">
      <w:pPr>
        <w:ind w:left="851" w:right="89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Así también, es competente para actualizar e instrumentar el Plan de Desarrollo Municipal y promover la participación de los diferentes sectores a través del Comité de Planeación para el Desarrollo Municipal, en el marco del Sistema de Planeación Democrática para el Desarrollo del Estado de México y Municipios” (Sic)</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En consecuencia, el Ayuntamiento de Chalco deberá hacer de nuevo una búsqueda exhaustiva y razonable de la información solicitada por el particular.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Razones por las cuales lo procedente es ordenar el documento en donde conste lo siguiente: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 xml:space="preserve">*La comisión edilicia encargada de la revisión de la reglamentación municipal, su integración y las actas de sus sesiones del veintisiete de marzo del año dos mil veintiuno la veintisiete de marzo del año dos mil veintidós. </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*Los reglamentos municipales vigentes en la administración actual 2022-2024, del periodo comprendido del primero de enero al veintisiete de marzo del año dos mil veintidós, en el que se incluya la fecha de la sesión de cabildo en el que se aprobó.</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*Los reglamentos municipales aprobados por la administración anterior 2019-2021, en el que se incluya la fecha de la sesión de cabildo en el que se aprobó.</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*Los reglamentos municipales derogados por la administración anterior 2019-2021, en el que se incluya la fecha de la sesión de cabildo en el que se aprobó.</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*Los reglamentos municipales derogados por la administración actual 2022-2024, del periodo comprendido del primero de enero al veintisiete de marzo del año dos mil veintidós, en el que se incluya la fecha de la sesión de cabildo en el que se aprobó.</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*El grado de formalización de los procesos internos, vigente al veintisiete de marzo del año dos mil veintidós.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Y de ser procedente en versión pública conforme a lo señalado por el Considerando quinto del presente fallo.</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lastRenderedPageBreak/>
        <w:t xml:space="preserve">Quinto. Versión Pública. </w:t>
      </w:r>
      <w:r w:rsidRPr="00004115">
        <w:rPr>
          <w:rFonts w:ascii="Palatino Linotype" w:eastAsia="Palatino Linotype" w:hAnsi="Palatino Linotype" w:cs="Palatino Linotype"/>
        </w:rPr>
        <w:t xml:space="preserve">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los documentos que vaya entregar para dar cumplimiento a esta resolución, a fin de satisfacer el derecho de acceso a la información pública 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sin menoscabar el derecho a la protección de los datos personales de terceros.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after="240" w:line="360" w:lineRule="auto"/>
        <w:ind w:right="50"/>
        <w:jc w:val="both"/>
        <w:rPr>
          <w:rFonts w:ascii="Palatino Linotype" w:eastAsia="Palatino Linotype" w:hAnsi="Palatino Linotype" w:cs="Palatino Linotype"/>
        </w:rPr>
      </w:pPr>
      <w:r w:rsidRPr="00004115">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rsidR="003D5D4B" w:rsidRPr="00004115" w:rsidRDefault="00423B7A">
      <w:pPr>
        <w:ind w:left="993" w:right="1041"/>
        <w:jc w:val="both"/>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i/>
          <w:sz w:val="22"/>
          <w:szCs w:val="22"/>
        </w:rPr>
        <w:t xml:space="preserve"> “Artículo 3. Para los efectos de la presente Ley se entenderá por:</w:t>
      </w: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IX. Datos personales:</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rPr>
        <w:t>La información concerniente a una persona, identificada o identificable</w:t>
      </w:r>
      <w:r w:rsidRPr="00004115">
        <w:rPr>
          <w:rFonts w:ascii="Palatino Linotype" w:eastAsia="Palatino Linotype" w:hAnsi="Palatino Linotype" w:cs="Palatino Linotype"/>
          <w:i/>
          <w:sz w:val="22"/>
          <w:szCs w:val="22"/>
        </w:rPr>
        <w:t xml:space="preserve"> según lo dispuesto por la Ley de Protección de Datos Personales del Estado de México;</w:t>
      </w: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XX. Información clasificada:</w:t>
      </w:r>
      <w:r w:rsidRPr="00004115">
        <w:rPr>
          <w:rFonts w:ascii="Palatino Linotype" w:eastAsia="Palatino Linotype" w:hAnsi="Palatino Linotype" w:cs="Palatino Linotype"/>
          <w:i/>
          <w:sz w:val="22"/>
          <w:szCs w:val="22"/>
        </w:rPr>
        <w:t xml:space="preserve"> Aquella considerada por la presente Ley como reservada o confidencial;</w:t>
      </w: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XXXII. Protección de Datos Personales:</w:t>
      </w:r>
      <w:r w:rsidRPr="00004115">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XLV. Versión pública</w:t>
      </w:r>
      <w:r w:rsidRPr="00004115">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rsidR="003D5D4B" w:rsidRPr="00004115" w:rsidRDefault="003D5D4B">
      <w:pPr>
        <w:ind w:left="993" w:right="1041"/>
        <w:jc w:val="both"/>
        <w:rPr>
          <w:rFonts w:ascii="Palatino Linotype" w:eastAsia="Palatino Linotype" w:hAnsi="Palatino Linotype" w:cs="Palatino Linotype"/>
          <w:i/>
          <w:sz w:val="22"/>
          <w:szCs w:val="22"/>
        </w:rPr>
      </w:pP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6.</w:t>
      </w:r>
      <w:r w:rsidRPr="00004115">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w:t>
      </w:r>
      <w:r w:rsidRPr="00004115">
        <w:rPr>
          <w:rFonts w:ascii="Palatino Linotype" w:eastAsia="Palatino Linotype" w:hAnsi="Palatino Linotype" w:cs="Palatino Linotype"/>
          <w:i/>
          <w:sz w:val="22"/>
          <w:szCs w:val="22"/>
        </w:rPr>
        <w:lastRenderedPageBreak/>
        <w:t>procedimientos, medidas de seguridad en el tratamiento y demás disposiciones en materia de datos personales, se deberá estar a lo dispuesto en las leyes de la materia.”</w:t>
      </w:r>
    </w:p>
    <w:p w:rsidR="003D5D4B" w:rsidRPr="00004115" w:rsidRDefault="003D5D4B">
      <w:pPr>
        <w:ind w:left="993" w:right="1041"/>
        <w:jc w:val="both"/>
        <w:rPr>
          <w:rFonts w:ascii="Palatino Linotype" w:eastAsia="Palatino Linotype" w:hAnsi="Palatino Linotype" w:cs="Palatino Linotype"/>
          <w:i/>
          <w:sz w:val="22"/>
          <w:szCs w:val="22"/>
        </w:rPr>
      </w:pPr>
    </w:p>
    <w:p w:rsidR="003D5D4B" w:rsidRPr="00004115" w:rsidRDefault="00423B7A">
      <w:pPr>
        <w:ind w:left="993" w:right="1041"/>
        <w:jc w:val="both"/>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i/>
          <w:sz w:val="22"/>
          <w:szCs w:val="22"/>
        </w:rPr>
        <w:t>“Artículo 137.</w:t>
      </w:r>
      <w:r w:rsidRPr="00004115">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3D5D4B" w:rsidRPr="00004115" w:rsidRDefault="003D5D4B">
      <w:pPr>
        <w:ind w:left="993" w:right="1041"/>
        <w:jc w:val="both"/>
        <w:rPr>
          <w:rFonts w:ascii="Palatino Linotype" w:eastAsia="Palatino Linotype" w:hAnsi="Palatino Linotype" w:cs="Palatino Linotype"/>
          <w:b/>
          <w:i/>
          <w:sz w:val="22"/>
          <w:szCs w:val="22"/>
        </w:rPr>
      </w:pP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143</w:t>
      </w:r>
      <w:r w:rsidRPr="00004115">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I.</w:t>
      </w:r>
      <w:r w:rsidRPr="00004115">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rsidR="003D5D4B" w:rsidRPr="00004115" w:rsidRDefault="00423B7A">
      <w:pPr>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rsidR="003D5D4B" w:rsidRPr="00004115" w:rsidRDefault="003D5D4B">
      <w:pPr>
        <w:ind w:left="993" w:right="1041"/>
        <w:jc w:val="both"/>
        <w:rPr>
          <w:rFonts w:ascii="Palatino Linotype" w:eastAsia="Palatino Linotype" w:hAnsi="Palatino Linotype" w:cs="Palatino Linotype"/>
          <w:i/>
          <w:sz w:val="22"/>
          <w:szCs w:val="22"/>
        </w:rPr>
      </w:pPr>
    </w:p>
    <w:p w:rsidR="003D5D4B" w:rsidRPr="00004115" w:rsidRDefault="00423B7A">
      <w:pPr>
        <w:spacing w:line="360" w:lineRule="auto"/>
        <w:ind w:right="51"/>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encuentren contenidos en los documentos a entregar por parte del Sujeto Obligado para satisfacer el derecho de acceso a la información pública 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w:t>
      </w:r>
      <w:r w:rsidRPr="00004115">
        <w:rPr>
          <w:rFonts w:ascii="Palatino Linotype" w:eastAsia="Palatino Linotype" w:hAnsi="Palatino Linotype" w:cs="Palatino Linotype"/>
        </w:rPr>
        <w:lastRenderedPageBreak/>
        <w:t>artículo 4 de la Ley de Protección de Datos Personales en Posesión de Sujetos Obligados del Estado de México.</w:t>
      </w:r>
    </w:p>
    <w:p w:rsidR="003D5D4B" w:rsidRPr="00004115" w:rsidRDefault="003D5D4B">
      <w:pPr>
        <w:spacing w:line="360" w:lineRule="auto"/>
        <w:ind w:right="51"/>
        <w:jc w:val="both"/>
        <w:rPr>
          <w:rFonts w:ascii="Palatino Linotype" w:eastAsia="Palatino Linotype" w:hAnsi="Palatino Linotype" w:cs="Palatino Linotype"/>
        </w:rPr>
      </w:pPr>
    </w:p>
    <w:p w:rsidR="003D5D4B" w:rsidRPr="00004115" w:rsidRDefault="00423B7A">
      <w:pPr>
        <w:spacing w:line="360" w:lineRule="auto"/>
        <w:ind w:right="50"/>
        <w:jc w:val="both"/>
        <w:rPr>
          <w:rFonts w:ascii="Palatino Linotype" w:eastAsia="Palatino Linotype" w:hAnsi="Palatino Linotype" w:cs="Palatino Linotype"/>
        </w:rPr>
      </w:pPr>
      <w:r w:rsidRPr="00004115">
        <w:rPr>
          <w:rFonts w:ascii="Palatino Linotype" w:eastAsia="Palatino Linotype" w:hAnsi="Palatino Linotype" w:cs="Palatino Linotype"/>
        </w:rPr>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rsidR="003D5D4B" w:rsidRPr="00004115" w:rsidRDefault="003D5D4B">
      <w:pPr>
        <w:spacing w:line="360" w:lineRule="auto"/>
        <w:ind w:right="51"/>
        <w:jc w:val="both"/>
        <w:rPr>
          <w:rFonts w:ascii="Palatino Linotype" w:eastAsia="Palatino Linotype" w:hAnsi="Palatino Linotype" w:cs="Palatino Linotype"/>
        </w:rPr>
      </w:pPr>
    </w:p>
    <w:p w:rsidR="003D5D4B" w:rsidRPr="00004115" w:rsidRDefault="00423B7A">
      <w:pPr>
        <w:spacing w:line="360" w:lineRule="auto"/>
        <w:ind w:right="51"/>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Por ende, la clasificación de la información no opera con la simple supresión de datos que se haga en los documentos de que se trate o con la simple decisión que tome el Servidor Público Habilitado o el Responsable de la Unidad de Transparencia del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sino que ello deberá realizarse en términos de lo que disponen los artículos 49 fracción VIII, 53, fracción X y 59, fracción V, de la Ley en consulta, cuyo sentido literal es el siguiente:</w:t>
      </w:r>
    </w:p>
    <w:p w:rsidR="003D5D4B" w:rsidRPr="00004115" w:rsidRDefault="003D5D4B">
      <w:pPr>
        <w:spacing w:line="360" w:lineRule="auto"/>
        <w:ind w:right="51"/>
        <w:jc w:val="both"/>
        <w:rPr>
          <w:rFonts w:ascii="Palatino Linotype" w:eastAsia="Palatino Linotype" w:hAnsi="Palatino Linotype" w:cs="Palatino Linotype"/>
        </w:rPr>
      </w:pPr>
    </w:p>
    <w:p w:rsidR="003D5D4B" w:rsidRPr="00004115" w:rsidRDefault="00423B7A">
      <w:pPr>
        <w:ind w:left="992" w:right="1043"/>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49.</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rPr>
        <w:t>Los Comités de Transparencia</w:t>
      </w:r>
      <w:r w:rsidRPr="00004115">
        <w:rPr>
          <w:rFonts w:ascii="Palatino Linotype" w:eastAsia="Palatino Linotype" w:hAnsi="Palatino Linotype" w:cs="Palatino Linotype"/>
          <w:i/>
          <w:sz w:val="22"/>
          <w:szCs w:val="22"/>
        </w:rPr>
        <w:t xml:space="preserve"> tendrán las siguientes atribuciones:</w:t>
      </w:r>
    </w:p>
    <w:p w:rsidR="003D5D4B" w:rsidRPr="00004115" w:rsidRDefault="00423B7A">
      <w:pPr>
        <w:ind w:left="992" w:right="1043"/>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VIII. Aprobar, modificar o revocar la clasificación de la información</w:t>
      </w:r>
      <w:r w:rsidRPr="00004115">
        <w:rPr>
          <w:rFonts w:ascii="Palatino Linotype" w:eastAsia="Palatino Linotype" w:hAnsi="Palatino Linotype" w:cs="Palatino Linotype"/>
          <w:i/>
          <w:sz w:val="22"/>
          <w:szCs w:val="22"/>
        </w:rPr>
        <w:t>…”</w:t>
      </w:r>
    </w:p>
    <w:p w:rsidR="003D5D4B" w:rsidRPr="00004115" w:rsidRDefault="00423B7A">
      <w:pPr>
        <w:ind w:left="992" w:right="1043"/>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Artículo 53.</w:t>
      </w:r>
      <w:r w:rsidRPr="00004115">
        <w:rPr>
          <w:rFonts w:ascii="Palatino Linotype" w:eastAsia="Palatino Linotype" w:hAnsi="Palatino Linotype" w:cs="Palatino Linotype"/>
          <w:i/>
          <w:sz w:val="22"/>
          <w:szCs w:val="22"/>
        </w:rPr>
        <w:t xml:space="preserve"> Las </w:t>
      </w:r>
      <w:r w:rsidRPr="00004115">
        <w:rPr>
          <w:rFonts w:ascii="Palatino Linotype" w:eastAsia="Palatino Linotype" w:hAnsi="Palatino Linotype" w:cs="Palatino Linotype"/>
          <w:b/>
          <w:i/>
          <w:sz w:val="22"/>
          <w:szCs w:val="22"/>
        </w:rPr>
        <w:t>Unidades de Transparencia</w:t>
      </w:r>
      <w:r w:rsidRPr="00004115">
        <w:rPr>
          <w:rFonts w:ascii="Palatino Linotype" w:eastAsia="Palatino Linotype" w:hAnsi="Palatino Linotype" w:cs="Palatino Linotype"/>
          <w:i/>
          <w:sz w:val="22"/>
          <w:szCs w:val="22"/>
        </w:rPr>
        <w:t xml:space="preserve"> tendrán las siguientes </w:t>
      </w:r>
      <w:r w:rsidRPr="00004115">
        <w:rPr>
          <w:rFonts w:ascii="Palatino Linotype" w:eastAsia="Palatino Linotype" w:hAnsi="Palatino Linotype" w:cs="Palatino Linotype"/>
          <w:b/>
          <w:i/>
          <w:sz w:val="22"/>
          <w:szCs w:val="22"/>
        </w:rPr>
        <w:t>funciones</w:t>
      </w:r>
      <w:r w:rsidRPr="00004115">
        <w:rPr>
          <w:rFonts w:ascii="Palatino Linotype" w:eastAsia="Palatino Linotype" w:hAnsi="Palatino Linotype" w:cs="Palatino Linotype"/>
          <w:i/>
          <w:sz w:val="22"/>
          <w:szCs w:val="22"/>
        </w:rPr>
        <w:t>:</w:t>
      </w:r>
    </w:p>
    <w:p w:rsidR="003D5D4B" w:rsidRPr="00004115" w:rsidRDefault="00423B7A">
      <w:pPr>
        <w:ind w:left="992" w:right="1043"/>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X. Presentar ante el Comité, el proyecto de clasificación de información</w:t>
      </w:r>
      <w:r w:rsidRPr="00004115">
        <w:rPr>
          <w:rFonts w:ascii="Palatino Linotype" w:eastAsia="Palatino Linotype" w:hAnsi="Palatino Linotype" w:cs="Palatino Linotype"/>
          <w:i/>
          <w:sz w:val="22"/>
          <w:szCs w:val="22"/>
        </w:rPr>
        <w:t xml:space="preserve">…” </w:t>
      </w:r>
    </w:p>
    <w:p w:rsidR="003D5D4B" w:rsidRPr="00004115" w:rsidRDefault="00423B7A">
      <w:pPr>
        <w:ind w:left="992" w:right="1043"/>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“Artículo 59.</w:t>
      </w:r>
      <w:r w:rsidRPr="00004115">
        <w:rPr>
          <w:rFonts w:ascii="Palatino Linotype" w:eastAsia="Palatino Linotype" w:hAnsi="Palatino Linotype" w:cs="Palatino Linotype"/>
          <w:i/>
          <w:sz w:val="22"/>
          <w:szCs w:val="22"/>
        </w:rPr>
        <w:t xml:space="preserve"> Los </w:t>
      </w:r>
      <w:r w:rsidRPr="00004115">
        <w:rPr>
          <w:rFonts w:ascii="Palatino Linotype" w:eastAsia="Palatino Linotype" w:hAnsi="Palatino Linotype" w:cs="Palatino Linotype"/>
          <w:b/>
          <w:i/>
          <w:sz w:val="22"/>
          <w:szCs w:val="22"/>
        </w:rPr>
        <w:t>servidores públicos habilitados</w:t>
      </w:r>
      <w:r w:rsidRPr="00004115">
        <w:rPr>
          <w:rFonts w:ascii="Palatino Linotype" w:eastAsia="Palatino Linotype" w:hAnsi="Palatino Linotype" w:cs="Palatino Linotype"/>
          <w:i/>
          <w:sz w:val="22"/>
          <w:szCs w:val="22"/>
        </w:rPr>
        <w:t xml:space="preserve"> tendrán las </w:t>
      </w:r>
      <w:r w:rsidRPr="00004115">
        <w:rPr>
          <w:rFonts w:ascii="Palatino Linotype" w:eastAsia="Palatino Linotype" w:hAnsi="Palatino Linotype" w:cs="Palatino Linotype"/>
          <w:b/>
          <w:i/>
          <w:sz w:val="22"/>
          <w:szCs w:val="22"/>
        </w:rPr>
        <w:t>funciones</w:t>
      </w:r>
      <w:r w:rsidRPr="00004115">
        <w:rPr>
          <w:rFonts w:ascii="Palatino Linotype" w:eastAsia="Palatino Linotype" w:hAnsi="Palatino Linotype" w:cs="Palatino Linotype"/>
          <w:i/>
          <w:sz w:val="22"/>
          <w:szCs w:val="22"/>
        </w:rPr>
        <w:t xml:space="preserve"> siguientes:</w:t>
      </w:r>
    </w:p>
    <w:p w:rsidR="003D5D4B" w:rsidRPr="00004115" w:rsidRDefault="00423B7A">
      <w:pPr>
        <w:ind w:left="992" w:right="1043"/>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004115">
        <w:rPr>
          <w:rFonts w:ascii="Palatino Linotype" w:eastAsia="Palatino Linotype" w:hAnsi="Palatino Linotype" w:cs="Palatino Linotype"/>
          <w:i/>
          <w:sz w:val="22"/>
          <w:szCs w:val="22"/>
        </w:rPr>
        <w:t>, la cual tendrá los fundamentos y argumentos en que se basa dicha propuesta…” (Sic)</w:t>
      </w:r>
    </w:p>
    <w:p w:rsidR="003D5D4B" w:rsidRPr="00004115" w:rsidRDefault="003D5D4B">
      <w:pPr>
        <w:ind w:left="992" w:right="1043"/>
        <w:jc w:val="both"/>
        <w:rPr>
          <w:rFonts w:ascii="Palatino Linotype" w:eastAsia="Palatino Linotype" w:hAnsi="Palatino Linotype" w:cs="Palatino Linotype"/>
          <w:i/>
          <w:sz w:val="22"/>
          <w:szCs w:val="22"/>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after="240"/>
        <w:ind w:left="993" w:right="1041"/>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Artículo 149.</w:t>
      </w:r>
      <w:r w:rsidRPr="00004115">
        <w:rPr>
          <w:rFonts w:ascii="Palatino Linotype" w:eastAsia="Palatino Linotype" w:hAnsi="Palatino Linotype" w:cs="Palatino Linotype"/>
          <w:i/>
          <w:sz w:val="22"/>
          <w:szCs w:val="22"/>
        </w:rPr>
        <w:t xml:space="preserve"> El </w:t>
      </w:r>
      <w:r w:rsidRPr="00004115">
        <w:rPr>
          <w:rFonts w:ascii="Palatino Linotype" w:eastAsia="Palatino Linotype" w:hAnsi="Palatino Linotype" w:cs="Palatino Linotype"/>
          <w:b/>
          <w:i/>
          <w:sz w:val="22"/>
          <w:szCs w:val="22"/>
        </w:rPr>
        <w:t>acuerdo que clasifique la información como confidencial</w:t>
      </w:r>
      <w:r w:rsidRPr="00004115">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Ley.”(Sic)</w:t>
      </w:r>
    </w:p>
    <w:p w:rsidR="003D5D4B" w:rsidRPr="00004115" w:rsidRDefault="003D5D4B">
      <w:pPr>
        <w:spacing w:before="240" w:line="360" w:lineRule="auto"/>
        <w:ind w:right="51"/>
        <w:jc w:val="both"/>
        <w:rPr>
          <w:rFonts w:ascii="Palatino Linotype" w:eastAsia="Palatino Linotype" w:hAnsi="Palatino Linotype" w:cs="Palatino Linotype"/>
          <w:i/>
          <w:sz w:val="22"/>
          <w:szCs w:val="22"/>
        </w:rPr>
      </w:pPr>
    </w:p>
    <w:p w:rsidR="003D5D4B" w:rsidRPr="00004115" w:rsidRDefault="00423B7A">
      <w:pPr>
        <w:spacing w:line="360" w:lineRule="auto"/>
        <w:ind w:right="51"/>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Es decir,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w:t>
      </w:r>
      <w:r w:rsidRPr="00004115">
        <w:rPr>
          <w:rFonts w:ascii="Palatino Linotype" w:eastAsia="Palatino Linotype" w:hAnsi="Palatino Linotype" w:cs="Palatino Linotype"/>
        </w:rPr>
        <w:lastRenderedPageBreak/>
        <w:t>versión pública de la documentación entregada se estaría violentando el derecho de acceso a la información de la parte solicitante.</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 xml:space="preserve">Al respecto, se destaca que la versión pública que elabore el Sujeto Obligado debe cumplir con las formalidades exigidas en la Ley;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004115">
        <w:rPr>
          <w:rFonts w:ascii="Palatino Linotype" w:eastAsia="Palatino Linotype" w:hAnsi="Palatino Linotype" w:cs="Palatino Linotype"/>
          <w:b/>
        </w:rPr>
        <w:t>LINEAMIENTOS GENERALES EN MATERIA DE CLASIFICACIÓN Y DESCLASIFICACIÓN DE LA INFORMACIÓN, ASÍ COMO PARA LA ELABORACIÓN DE VERSIONES PÚBLICAS</w:t>
      </w:r>
      <w:r w:rsidRPr="00004115">
        <w:rPr>
          <w:rFonts w:ascii="Palatino Linotype" w:eastAsia="Palatino Linotype" w:hAnsi="Palatino Linotype" w:cs="Palatino Linotype"/>
        </w:rPr>
        <w:t>, publicados en el Diario Oficial de la Federación en fecha quince de abril del año dos mil dieciséis, mediante Acuerdo del Consejo Nacional del Sistema Nacional de Transparencia, Acceso a la Información Pública y Protección de Datos Personales, que literalmente expresan:</w:t>
      </w:r>
    </w:p>
    <w:p w:rsidR="003D5D4B" w:rsidRPr="00004115" w:rsidRDefault="003D5D4B">
      <w:pPr>
        <w:ind w:left="709" w:right="709"/>
        <w:jc w:val="both"/>
        <w:rPr>
          <w:rFonts w:ascii="Palatino Linotype" w:eastAsia="Palatino Linotype" w:hAnsi="Palatino Linotype" w:cs="Palatino Linotype"/>
          <w:b/>
          <w:i/>
          <w:sz w:val="22"/>
          <w:szCs w:val="22"/>
        </w:rPr>
      </w:pPr>
    </w:p>
    <w:p w:rsidR="003D5D4B" w:rsidRPr="00004115" w:rsidRDefault="00423B7A">
      <w:pPr>
        <w:ind w:left="709" w:right="709"/>
        <w:jc w:val="both"/>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r w:rsidRPr="00004115">
        <w:rPr>
          <w:rFonts w:ascii="Palatino Linotype" w:eastAsia="Palatino Linotype" w:hAnsi="Palatino Linotype" w:cs="Palatino Linotype"/>
          <w:b/>
          <w:i/>
          <w:sz w:val="22"/>
          <w:szCs w:val="22"/>
        </w:rPr>
        <w:t>Segundo.-</w:t>
      </w:r>
      <w:r w:rsidRPr="00004115">
        <w:rPr>
          <w:rFonts w:ascii="Palatino Linotype" w:eastAsia="Palatino Linotype" w:hAnsi="Palatino Linotype" w:cs="Palatino Linotype"/>
          <w:i/>
          <w:sz w:val="22"/>
          <w:szCs w:val="22"/>
        </w:rPr>
        <w:t xml:space="preserve"> Para efectos de los presentes Lineamientos Generales, se entenderá por:</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XVIII.</w:t>
      </w:r>
      <w:r w:rsidRPr="00004115">
        <w:rPr>
          <w:rFonts w:ascii="Palatino Linotype" w:eastAsia="Palatino Linotype" w:hAnsi="Palatino Linotype" w:cs="Palatino Linotype"/>
          <w:i/>
          <w:sz w:val="22"/>
          <w:szCs w:val="22"/>
        </w:rPr>
        <w:t xml:space="preserve"> </w:t>
      </w:r>
      <w:r w:rsidRPr="00004115">
        <w:rPr>
          <w:rFonts w:ascii="Palatino Linotype" w:eastAsia="Palatino Linotype" w:hAnsi="Palatino Linotype" w:cs="Palatino Linotype"/>
          <w:b/>
          <w:i/>
          <w:sz w:val="22"/>
          <w:szCs w:val="22"/>
        </w:rPr>
        <w:t>Versión pública:</w:t>
      </w:r>
      <w:r w:rsidRPr="00004115">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004115">
        <w:rPr>
          <w:rFonts w:ascii="Palatino Linotype" w:eastAsia="Palatino Linotype" w:hAnsi="Palatino Linotype" w:cs="Palatino Linotype"/>
          <w:b/>
          <w:i/>
          <w:sz w:val="22"/>
          <w:szCs w:val="22"/>
          <w:u w:val="single"/>
        </w:rPr>
        <w:t>fundando y motivando la</w:t>
      </w:r>
      <w:r w:rsidRPr="00004115">
        <w:rPr>
          <w:rFonts w:ascii="Palatino Linotype" w:eastAsia="Palatino Linotype" w:hAnsi="Palatino Linotype" w:cs="Palatino Linotype"/>
          <w:i/>
          <w:sz w:val="22"/>
          <w:szCs w:val="22"/>
        </w:rPr>
        <w:t xml:space="preserve"> reserva o </w:t>
      </w:r>
      <w:r w:rsidRPr="00004115">
        <w:rPr>
          <w:rFonts w:ascii="Palatino Linotype" w:eastAsia="Palatino Linotype" w:hAnsi="Palatino Linotype" w:cs="Palatino Linotype"/>
          <w:b/>
          <w:i/>
          <w:sz w:val="22"/>
          <w:szCs w:val="22"/>
          <w:u w:val="single"/>
        </w:rPr>
        <w:t>confidencialidad</w:t>
      </w:r>
      <w:r w:rsidRPr="00004115">
        <w:rPr>
          <w:rFonts w:ascii="Palatino Linotype" w:eastAsia="Palatino Linotype" w:hAnsi="Palatino Linotype" w:cs="Palatino Linotype"/>
          <w:i/>
          <w:sz w:val="22"/>
          <w:szCs w:val="22"/>
        </w:rPr>
        <w:t>, a través de la resolución que para tal efecto emita el Comité de Transparencia.</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Cuarto.</w:t>
      </w:r>
      <w:r w:rsidRPr="00004115">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w:t>
      </w:r>
      <w:r w:rsidRPr="00004115">
        <w:rPr>
          <w:rFonts w:ascii="Palatino Linotype" w:eastAsia="Palatino Linotype" w:hAnsi="Palatino Linotype" w:cs="Palatino Linotype"/>
          <w:i/>
          <w:sz w:val="22"/>
          <w:szCs w:val="22"/>
        </w:rPr>
        <w:lastRenderedPageBreak/>
        <w:t>materia en el ámbito de sus respectivas competencias, en tanto estas últimas no contravengan lo dispuesto en la Ley General.</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Quinto.</w:t>
      </w:r>
      <w:r w:rsidRPr="00004115">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Sexto.</w:t>
      </w:r>
      <w:r w:rsidRPr="00004115">
        <w:rPr>
          <w:rFonts w:ascii="Palatino Linotype" w:eastAsia="Palatino Linotype" w:hAnsi="Palatino Linotype" w:cs="Palatino Linotype"/>
          <w:i/>
          <w:sz w:val="22"/>
          <w:szCs w:val="22"/>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La clasificación de información se realizará conforme a un análisis caso por caso, mediante la aplicación de la prueba de daño y de interés público.</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Séptimo.</w:t>
      </w:r>
      <w:r w:rsidRPr="00004115">
        <w:rPr>
          <w:rFonts w:ascii="Palatino Linotype" w:eastAsia="Palatino Linotype" w:hAnsi="Palatino Linotype" w:cs="Palatino Linotype"/>
          <w:i/>
          <w:sz w:val="22"/>
          <w:szCs w:val="22"/>
        </w:rPr>
        <w:t xml:space="preserve"> La clasificación de la información se llevará a cabo en el momento en que:</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I.</w:t>
      </w:r>
      <w:r w:rsidRPr="00004115">
        <w:rPr>
          <w:rFonts w:ascii="Palatino Linotype" w:eastAsia="Palatino Linotype" w:hAnsi="Palatino Linotype" w:cs="Palatino Linotype"/>
          <w:i/>
          <w:sz w:val="22"/>
          <w:szCs w:val="22"/>
        </w:rPr>
        <w:t xml:space="preserve"> Se reciba una solicitud de acceso a la información;</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II.</w:t>
      </w:r>
      <w:r w:rsidRPr="00004115">
        <w:rPr>
          <w:rFonts w:ascii="Palatino Linotype" w:eastAsia="Palatino Linotype" w:hAnsi="Palatino Linotype" w:cs="Palatino Linotype"/>
          <w:i/>
          <w:sz w:val="22"/>
          <w:szCs w:val="22"/>
        </w:rPr>
        <w:t xml:space="preserve"> Se determine mediante resolución de autoridad competente, o</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III.</w:t>
      </w:r>
      <w:r w:rsidRPr="00004115">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Octavo.</w:t>
      </w:r>
      <w:r w:rsidRPr="00004115">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lastRenderedPageBreak/>
        <w:t>Noveno.</w:t>
      </w:r>
      <w:r w:rsidRPr="00004115">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Décimo.</w:t>
      </w:r>
      <w:r w:rsidRPr="00004115">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Décimo primero.</w:t>
      </w:r>
      <w:r w:rsidRPr="00004115">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p>
    <w:p w:rsidR="003D5D4B" w:rsidRPr="00004115" w:rsidRDefault="00423B7A">
      <w:pPr>
        <w:ind w:left="709" w:right="709"/>
        <w:jc w:val="center"/>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i/>
          <w:sz w:val="22"/>
          <w:szCs w:val="22"/>
        </w:rPr>
        <w:t>CAPÍTULO VIII</w:t>
      </w:r>
    </w:p>
    <w:p w:rsidR="003D5D4B" w:rsidRPr="00004115" w:rsidRDefault="00423B7A">
      <w:pPr>
        <w:ind w:left="709" w:right="709"/>
        <w:jc w:val="center"/>
        <w:rPr>
          <w:rFonts w:ascii="Palatino Linotype" w:eastAsia="Palatino Linotype" w:hAnsi="Palatino Linotype" w:cs="Palatino Linotype"/>
          <w:b/>
          <w:i/>
          <w:sz w:val="22"/>
          <w:szCs w:val="22"/>
        </w:rPr>
      </w:pPr>
      <w:r w:rsidRPr="00004115">
        <w:rPr>
          <w:rFonts w:ascii="Palatino Linotype" w:eastAsia="Palatino Linotype" w:hAnsi="Palatino Linotype" w:cs="Palatino Linotype"/>
          <w:b/>
          <w:i/>
          <w:sz w:val="22"/>
          <w:szCs w:val="22"/>
        </w:rPr>
        <w:t>DE LA LEYENDA DE CLASIFICACIÓN</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Quincuagésimo. </w:t>
      </w:r>
      <w:r w:rsidRPr="00004115">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sidRPr="00004115">
        <w:rPr>
          <w:rFonts w:ascii="Palatino Linotype" w:eastAsia="Palatino Linotype" w:hAnsi="Palatino Linotype" w:cs="Palatino Linotype"/>
          <w:i/>
          <w:sz w:val="22"/>
          <w:szCs w:val="22"/>
        </w:rPr>
        <w:t xml:space="preserve"> para señalar la clasificación de documentos o expedientes, sin perjuicio de que establezcan los propios.</w:t>
      </w:r>
    </w:p>
    <w:p w:rsidR="003D5D4B" w:rsidRPr="00004115" w:rsidRDefault="00423B7A">
      <w:pPr>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w:t>
      </w:r>
    </w:p>
    <w:p w:rsidR="003D5D4B" w:rsidRPr="00004115" w:rsidRDefault="00423B7A">
      <w:pPr>
        <w:spacing w:after="160"/>
        <w:ind w:left="709" w:right="709"/>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b/>
          <w:i/>
          <w:sz w:val="22"/>
          <w:szCs w:val="22"/>
        </w:rPr>
        <w:t xml:space="preserve">Quincuagésimo tercero. </w:t>
      </w:r>
      <w:r w:rsidRPr="00004115">
        <w:rPr>
          <w:rFonts w:ascii="Palatino Linotype" w:eastAsia="Palatino Linotype" w:hAnsi="Palatino Linotype" w:cs="Palatino Linotype"/>
          <w:b/>
          <w:i/>
          <w:sz w:val="22"/>
          <w:szCs w:val="22"/>
          <w:u w:val="single"/>
        </w:rPr>
        <w:t>El formato para señalar la clasificación parcial de un documento</w:t>
      </w:r>
      <w:r w:rsidRPr="00004115">
        <w:rPr>
          <w:rFonts w:ascii="Palatino Linotype" w:eastAsia="Palatino Linotype" w:hAnsi="Palatino Linotype" w:cs="Palatino Linotype"/>
          <w:i/>
          <w:sz w:val="22"/>
          <w:szCs w:val="22"/>
        </w:rPr>
        <w:t>, es el siguiente:</w:t>
      </w:r>
    </w:p>
    <w:tbl>
      <w:tblPr>
        <w:tblStyle w:val="af0"/>
        <w:tblW w:w="76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9"/>
        <w:gridCol w:w="1990"/>
        <w:gridCol w:w="4531"/>
      </w:tblGrid>
      <w:tr w:rsidR="00004115" w:rsidRPr="00004115">
        <w:trPr>
          <w:jc w:val="center"/>
        </w:trPr>
        <w:tc>
          <w:tcPr>
            <w:tcW w:w="1159" w:type="dxa"/>
            <w:tcBorders>
              <w:top w:val="nil"/>
              <w:left w:val="nil"/>
              <w:bottom w:val="single" w:sz="4" w:space="0" w:color="000000"/>
              <w:right w:val="single" w:sz="4" w:space="0" w:color="000000"/>
            </w:tcBorders>
          </w:tcPr>
          <w:p w:rsidR="003D5D4B" w:rsidRPr="00004115" w:rsidRDefault="003D5D4B">
            <w:pPr>
              <w:jc w:val="both"/>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b/>
                <w:i/>
              </w:rPr>
            </w:pPr>
            <w:r w:rsidRPr="00004115">
              <w:rPr>
                <w:rFonts w:ascii="Palatino Linotype" w:eastAsia="Palatino Linotype" w:hAnsi="Palatino Linotype" w:cs="Palatino Linotype"/>
                <w:b/>
                <w:i/>
              </w:rPr>
              <w:t>Concepto</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b/>
                <w:i/>
              </w:rPr>
            </w:pPr>
            <w:r w:rsidRPr="00004115">
              <w:rPr>
                <w:rFonts w:ascii="Palatino Linotype" w:eastAsia="Palatino Linotype" w:hAnsi="Palatino Linotype" w:cs="Palatino Linotype"/>
                <w:b/>
                <w:i/>
              </w:rPr>
              <w:t>Dónde:</w:t>
            </w:r>
          </w:p>
        </w:tc>
      </w:tr>
      <w:tr w:rsidR="00004115" w:rsidRPr="00004115">
        <w:trPr>
          <w:jc w:val="center"/>
        </w:trPr>
        <w:tc>
          <w:tcPr>
            <w:tcW w:w="1159" w:type="dxa"/>
            <w:vMerge w:val="restart"/>
            <w:tcBorders>
              <w:top w:val="single" w:sz="4" w:space="0" w:color="000000"/>
              <w:left w:val="single" w:sz="4" w:space="0" w:color="000000"/>
              <w:bottom w:val="single" w:sz="4" w:space="0" w:color="000000"/>
              <w:right w:val="single" w:sz="4" w:space="0" w:color="000000"/>
            </w:tcBorders>
            <w:vAlign w:val="center"/>
          </w:tcPr>
          <w:p w:rsidR="003D5D4B" w:rsidRPr="00004115" w:rsidRDefault="00423B7A">
            <w:pPr>
              <w:jc w:val="center"/>
              <w:rPr>
                <w:rFonts w:ascii="Palatino Linotype" w:eastAsia="Palatino Linotype" w:hAnsi="Palatino Linotype" w:cs="Palatino Linotype"/>
                <w:b/>
                <w:i/>
              </w:rPr>
            </w:pPr>
            <w:r w:rsidRPr="00004115">
              <w:rPr>
                <w:rFonts w:ascii="Palatino Linotype" w:eastAsia="Palatino Linotype" w:hAnsi="Palatino Linotype" w:cs="Palatino Linotype"/>
                <w:b/>
                <w:i/>
              </w:rPr>
              <w:t>Sello oficial o logotipo del sujeto obligado</w:t>
            </w: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Fecha de clasificación</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Se anotará la fecha en la que el Comité de Transparencia confirmó la clasificación del documento, en su caso.</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Área</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Se señalará el nombre del área del cual es titular quien clasifica.</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Información reservada</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 xml:space="preserve">Se indicarán, en su caso, las partes o páginas del documento que se clasifican como reservadas. Si el documento fuera reservado en su totalidad, se </w:t>
            </w:r>
            <w:proofErr w:type="gramStart"/>
            <w:r w:rsidRPr="00004115">
              <w:rPr>
                <w:rFonts w:ascii="Palatino Linotype" w:eastAsia="Palatino Linotype" w:hAnsi="Palatino Linotype" w:cs="Palatino Linotype"/>
                <w:i/>
              </w:rPr>
              <w:t>anotarán</w:t>
            </w:r>
            <w:proofErr w:type="gramEnd"/>
            <w:r w:rsidRPr="00004115">
              <w:rPr>
                <w:rFonts w:ascii="Palatino Linotype" w:eastAsia="Palatino Linotype" w:hAnsi="Palatino Linotype" w:cs="Palatino Linotype"/>
                <w:i/>
              </w:rPr>
              <w:t xml:space="preserve"> todas las páginas </w:t>
            </w:r>
            <w:r w:rsidRPr="00004115">
              <w:rPr>
                <w:rFonts w:ascii="Palatino Linotype" w:eastAsia="Palatino Linotype" w:hAnsi="Palatino Linotype" w:cs="Palatino Linotype"/>
                <w:i/>
              </w:rPr>
              <w:lastRenderedPageBreak/>
              <w:t>que lo conforman. Si el documento no contiene información reservada, se tachará este apartado.</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Periodo de reserva</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Se anotará el número de años o meses por los que se mantendrá el documento o las partes del mismo como reservado.</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Se señalará el nombre del ordenamiento, el o los artículos, fracción(es), párrafo(s) con base en los cuales se sustente la reserva.</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Ampliación del periodo de reserva</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Confidencial</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Se señalará el nombre del ordenamiento, el o los artículos, fracción(es), párrafo(s) con base en los cuales se sustente la confidencialidad.</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Rúbrica del titular del área</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Rúbrica autógrafa de quien clasifica.</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Fecha de desclasificación</w:t>
            </w:r>
          </w:p>
        </w:tc>
        <w:tc>
          <w:tcPr>
            <w:tcW w:w="4531"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both"/>
              <w:rPr>
                <w:rFonts w:ascii="Palatino Linotype" w:eastAsia="Palatino Linotype" w:hAnsi="Palatino Linotype" w:cs="Palatino Linotype"/>
                <w:i/>
              </w:rPr>
            </w:pPr>
            <w:r w:rsidRPr="00004115">
              <w:rPr>
                <w:rFonts w:ascii="Palatino Linotype" w:eastAsia="Palatino Linotype" w:hAnsi="Palatino Linotype" w:cs="Palatino Linotype"/>
                <w:i/>
              </w:rPr>
              <w:t>Se anotará la fecha en que se desclasifica el documento.</w:t>
            </w:r>
          </w:p>
        </w:tc>
      </w:tr>
      <w:tr w:rsidR="00004115" w:rsidRPr="0000411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3D5D4B" w:rsidRPr="00004115" w:rsidRDefault="003D5D4B">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3D5D4B" w:rsidRPr="00004115" w:rsidRDefault="00423B7A">
            <w:pPr>
              <w:jc w:val="center"/>
              <w:rPr>
                <w:rFonts w:ascii="Palatino Linotype" w:eastAsia="Palatino Linotype" w:hAnsi="Palatino Linotype" w:cs="Palatino Linotype"/>
                <w:i/>
              </w:rPr>
            </w:pPr>
            <w:r w:rsidRPr="00004115">
              <w:rPr>
                <w:rFonts w:ascii="Palatino Linotype" w:eastAsia="Palatino Linotype" w:hAnsi="Palatino Linotype" w:cs="Palatino Linotype"/>
                <w:i/>
              </w:rPr>
              <w:t>Rúbrica y cargo del servidor público</w:t>
            </w:r>
          </w:p>
        </w:tc>
        <w:tc>
          <w:tcPr>
            <w:tcW w:w="4531" w:type="dxa"/>
            <w:tcBorders>
              <w:top w:val="single" w:sz="4" w:space="0" w:color="000000"/>
              <w:left w:val="single" w:sz="4" w:space="0" w:color="000000"/>
              <w:bottom w:val="single" w:sz="4" w:space="0" w:color="000000"/>
              <w:right w:val="single" w:sz="4" w:space="0" w:color="000000"/>
            </w:tcBorders>
            <w:vAlign w:val="center"/>
          </w:tcPr>
          <w:p w:rsidR="003D5D4B" w:rsidRPr="00004115" w:rsidRDefault="00423B7A">
            <w:pPr>
              <w:rPr>
                <w:rFonts w:ascii="Palatino Linotype" w:eastAsia="Palatino Linotype" w:hAnsi="Palatino Linotype" w:cs="Palatino Linotype"/>
                <w:i/>
              </w:rPr>
            </w:pPr>
            <w:r w:rsidRPr="00004115">
              <w:rPr>
                <w:rFonts w:ascii="Palatino Linotype" w:eastAsia="Palatino Linotype" w:hAnsi="Palatino Linotype" w:cs="Palatino Linotype"/>
                <w:i/>
              </w:rPr>
              <w:t>Rúbrica autógrafa de quien desclasifica.</w:t>
            </w:r>
          </w:p>
        </w:tc>
      </w:tr>
    </w:tbl>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hd w:val="clear" w:color="auto" w:fill="FFFFFF"/>
        <w:spacing w:line="360" w:lineRule="auto"/>
        <w:ind w:right="51"/>
        <w:jc w:val="both"/>
        <w:rPr>
          <w:rFonts w:ascii="Palatino Linotype" w:eastAsia="Palatino Linotype" w:hAnsi="Palatino Linotype" w:cs="Palatino Linotype"/>
        </w:rPr>
      </w:pPr>
      <w:r w:rsidRPr="00004115">
        <w:rPr>
          <w:rFonts w:ascii="Palatino Linotype" w:eastAsia="Palatino Linotype" w:hAnsi="Palatino Linotype" w:cs="Palatino Linotype"/>
        </w:rPr>
        <w:lastRenderedPageBreak/>
        <w:t xml:space="preserve">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w:t>
      </w:r>
    </w:p>
    <w:p w:rsidR="003D5D4B" w:rsidRPr="00004115" w:rsidRDefault="003D5D4B">
      <w:pPr>
        <w:shd w:val="clear" w:color="auto" w:fill="FFFFFF"/>
        <w:spacing w:line="360" w:lineRule="auto"/>
        <w:ind w:right="51"/>
        <w:jc w:val="both"/>
        <w:rPr>
          <w:rFonts w:ascii="Palatino Linotype" w:eastAsia="Palatino Linotype" w:hAnsi="Palatino Linotype" w:cs="Palatino Linotype"/>
        </w:rPr>
      </w:pPr>
    </w:p>
    <w:p w:rsidR="003D5D4B" w:rsidRPr="00004115" w:rsidRDefault="00423B7A">
      <w:pPr>
        <w:spacing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spacing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rsidR="003D5D4B" w:rsidRPr="00004115" w:rsidRDefault="00423B7A">
      <w:pPr>
        <w:numPr>
          <w:ilvl w:val="0"/>
          <w:numId w:val="6"/>
        </w:numPr>
        <w:pBdr>
          <w:top w:val="nil"/>
          <w:left w:val="nil"/>
          <w:bottom w:val="nil"/>
          <w:right w:val="nil"/>
          <w:between w:val="nil"/>
        </w:pBdr>
        <w:spacing w:before="240" w:after="240" w:line="360" w:lineRule="auto"/>
        <w:jc w:val="center"/>
        <w:rPr>
          <w:rFonts w:ascii="Palatino Linotype" w:eastAsia="Palatino Linotype" w:hAnsi="Palatino Linotype" w:cs="Palatino Linotype"/>
          <w:b/>
          <w:sz w:val="22"/>
          <w:szCs w:val="22"/>
        </w:rPr>
      </w:pPr>
      <w:r w:rsidRPr="00004115">
        <w:rPr>
          <w:rFonts w:ascii="Palatino Linotype" w:eastAsia="Palatino Linotype" w:hAnsi="Palatino Linotype" w:cs="Palatino Linotype"/>
          <w:b/>
          <w:sz w:val="22"/>
          <w:szCs w:val="22"/>
        </w:rPr>
        <w:lastRenderedPageBreak/>
        <w:t>R E S U E L V E:</w:t>
      </w:r>
    </w:p>
    <w:p w:rsidR="003D5D4B" w:rsidRPr="00004115" w:rsidRDefault="00423B7A">
      <w:pPr>
        <w:spacing w:before="240"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Primero. </w:t>
      </w:r>
      <w:r w:rsidRPr="00004115">
        <w:rPr>
          <w:rFonts w:ascii="Palatino Linotype" w:eastAsia="Palatino Linotype" w:hAnsi="Palatino Linotype" w:cs="Palatino Linotype"/>
        </w:rPr>
        <w:t xml:space="preserve">Resultan fundados los motivos de inconformidad hechos valer por la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en el Recurso de Revisión </w:t>
      </w:r>
      <w:r w:rsidRPr="00004115">
        <w:rPr>
          <w:rFonts w:ascii="Palatino Linotype" w:eastAsia="Palatino Linotype" w:hAnsi="Palatino Linotype" w:cs="Palatino Linotype"/>
          <w:b/>
        </w:rPr>
        <w:t xml:space="preserve">08764/INFOEM/IP/RR/2022, </w:t>
      </w:r>
      <w:r w:rsidRPr="00004115">
        <w:rPr>
          <w:rFonts w:ascii="Palatino Linotype" w:eastAsia="Palatino Linotype" w:hAnsi="Palatino Linotype" w:cs="Palatino Linotype"/>
        </w:rPr>
        <w:t xml:space="preserve">por lo que, en términos del considerando </w:t>
      </w:r>
      <w:r w:rsidRPr="00004115">
        <w:rPr>
          <w:rFonts w:ascii="Palatino Linotype" w:eastAsia="Palatino Linotype" w:hAnsi="Palatino Linotype" w:cs="Palatino Linotype"/>
          <w:b/>
        </w:rPr>
        <w:t xml:space="preserve">Cuarto </w:t>
      </w:r>
      <w:r w:rsidRPr="00004115">
        <w:rPr>
          <w:rFonts w:ascii="Palatino Linotype" w:eastAsia="Palatino Linotype" w:hAnsi="Palatino Linotype" w:cs="Palatino Linotype"/>
        </w:rPr>
        <w:t xml:space="preserve">de esta resolución, se </w:t>
      </w:r>
      <w:r w:rsidRPr="00004115">
        <w:rPr>
          <w:rFonts w:ascii="Palatino Linotype" w:eastAsia="Palatino Linotype" w:hAnsi="Palatino Linotype" w:cs="Palatino Linotype"/>
          <w:b/>
        </w:rPr>
        <w:t xml:space="preserve">MODIFICA </w:t>
      </w:r>
      <w:r w:rsidRPr="00004115">
        <w:rPr>
          <w:rFonts w:ascii="Palatino Linotype" w:eastAsia="Palatino Linotype" w:hAnsi="Palatino Linotype" w:cs="Palatino Linotype"/>
        </w:rPr>
        <w:t xml:space="preserve">la respuesta emitida por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w:t>
      </w:r>
    </w:p>
    <w:p w:rsidR="003D5D4B" w:rsidRPr="00004115" w:rsidRDefault="00423B7A">
      <w:pPr>
        <w:spacing w:before="240" w:after="240" w:line="360" w:lineRule="auto"/>
        <w:ind w:right="49"/>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Segundo. </w:t>
      </w:r>
      <w:r w:rsidRPr="00004115">
        <w:rPr>
          <w:rFonts w:ascii="Palatino Linotype" w:eastAsia="Palatino Linotype" w:hAnsi="Palatino Linotype" w:cs="Palatino Linotype"/>
        </w:rPr>
        <w:t>Se</w:t>
      </w:r>
      <w:r w:rsidRPr="00004115">
        <w:rPr>
          <w:rFonts w:ascii="Palatino Linotype" w:eastAsia="Palatino Linotype" w:hAnsi="Palatino Linotype" w:cs="Palatino Linotype"/>
          <w:b/>
        </w:rPr>
        <w:t xml:space="preserve"> ORDENA </w:t>
      </w:r>
      <w:r w:rsidRPr="00004115">
        <w:rPr>
          <w:rFonts w:ascii="Palatino Linotype" w:eastAsia="Palatino Linotype" w:hAnsi="Palatino Linotype" w:cs="Palatino Linotype"/>
        </w:rPr>
        <w:t xml:space="preserve">al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a que,</w:t>
      </w:r>
      <w:r w:rsidRPr="00004115">
        <w:rPr>
          <w:rFonts w:ascii="Palatino Linotype" w:eastAsia="Palatino Linotype" w:hAnsi="Palatino Linotype" w:cs="Palatino Linotype"/>
          <w:b/>
        </w:rPr>
        <w:t xml:space="preserve"> </w:t>
      </w:r>
      <w:r w:rsidRPr="00004115">
        <w:rPr>
          <w:rFonts w:ascii="Palatino Linotype" w:eastAsia="Palatino Linotype" w:hAnsi="Palatino Linotype" w:cs="Palatino Linotype"/>
        </w:rPr>
        <w:t>en términos del Considerando Cuarto y Quinto, haga entrega vía SAIMEX, en versión pública de ser procedente, del documento o documentos en donde conste lo siguiente:</w:t>
      </w:r>
    </w:p>
    <w:p w:rsidR="003D5D4B" w:rsidRPr="00004115" w:rsidRDefault="00423B7A">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004115">
        <w:rPr>
          <w:rFonts w:ascii="Palatino Linotype" w:eastAsia="Palatino Linotype" w:hAnsi="Palatino Linotype" w:cs="Palatino Linotype"/>
          <w:sz w:val="22"/>
          <w:szCs w:val="22"/>
        </w:rPr>
        <w:t xml:space="preserve">De la comisión edilicia encargada de la revisión de la reglamentación municipal, su integración y las actas de sus sesiones del veintisiete de marzo del año dos mil veintiuno la veintisiete de marzo del año dos mil veintidós. </w:t>
      </w:r>
    </w:p>
    <w:p w:rsidR="003D5D4B" w:rsidRPr="00004115" w:rsidRDefault="00423B7A">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004115">
        <w:rPr>
          <w:rFonts w:ascii="Palatino Linotype" w:eastAsia="Palatino Linotype" w:hAnsi="Palatino Linotype" w:cs="Palatino Linotype"/>
          <w:sz w:val="22"/>
          <w:szCs w:val="22"/>
        </w:rPr>
        <w:t>Los reglamentos municipales vigentes en la administración actual 2022-2024, del periodo comprendido del primero de enero al veintisiete de marzo del año dos mil veintidós, en el que se incluya la fecha de la sesión de cabildo en el que se aprobó.</w:t>
      </w:r>
    </w:p>
    <w:p w:rsidR="003D5D4B" w:rsidRPr="00004115" w:rsidRDefault="00423B7A">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004115">
        <w:rPr>
          <w:rFonts w:ascii="Palatino Linotype" w:eastAsia="Palatino Linotype" w:hAnsi="Palatino Linotype" w:cs="Palatino Linotype"/>
          <w:sz w:val="22"/>
          <w:szCs w:val="22"/>
        </w:rPr>
        <w:t>Los reglamentos municipales derogados por la administración actual 2022-2024, del periodo comprendido del primero de enero al veintisiete de marzo del año dos mil veintidós, en el que se incluya la fecha de la sesión de cabildo en el que se aprobó.</w:t>
      </w:r>
    </w:p>
    <w:p w:rsidR="003D5D4B" w:rsidRPr="00004115" w:rsidRDefault="00423B7A">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004115">
        <w:rPr>
          <w:rFonts w:ascii="Palatino Linotype" w:eastAsia="Palatino Linotype" w:hAnsi="Palatino Linotype" w:cs="Palatino Linotype"/>
          <w:sz w:val="22"/>
          <w:szCs w:val="22"/>
        </w:rPr>
        <w:t>Los reglamentos municipales aprobados por la administración anterior 2019-2021, en el que se incluya la fecha de la sesión de cabildo en el que se aprobó.</w:t>
      </w:r>
    </w:p>
    <w:p w:rsidR="003D5D4B" w:rsidRPr="00004115" w:rsidRDefault="00423B7A">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004115">
        <w:rPr>
          <w:rFonts w:ascii="Palatino Linotype" w:eastAsia="Palatino Linotype" w:hAnsi="Palatino Linotype" w:cs="Palatino Linotype"/>
          <w:sz w:val="22"/>
          <w:szCs w:val="22"/>
        </w:rPr>
        <w:t>Los reglamentos municipales derogados por la administración anterior 2019-2021, en el que se incluya la fecha de la sesión de cabildo en el que se aprobó.</w:t>
      </w:r>
    </w:p>
    <w:p w:rsidR="003D5D4B" w:rsidRPr="00004115" w:rsidRDefault="00423B7A">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004115">
        <w:rPr>
          <w:rFonts w:ascii="Palatino Linotype" w:eastAsia="Palatino Linotype" w:hAnsi="Palatino Linotype" w:cs="Palatino Linotype"/>
          <w:sz w:val="22"/>
          <w:szCs w:val="22"/>
        </w:rPr>
        <w:t>El grado de formalización de los procesos internos, vigente al veintisiete de marzo del año dos mil veintidós.</w:t>
      </w:r>
    </w:p>
    <w:p w:rsidR="003D5D4B" w:rsidRPr="00004115" w:rsidRDefault="003D5D4B">
      <w:pPr>
        <w:spacing w:line="360" w:lineRule="auto"/>
        <w:jc w:val="both"/>
        <w:rPr>
          <w:rFonts w:ascii="Palatino Linotype" w:eastAsia="Palatino Linotype" w:hAnsi="Palatino Linotype" w:cs="Palatino Linotype"/>
        </w:rPr>
      </w:pPr>
    </w:p>
    <w:p w:rsidR="003D5D4B" w:rsidRPr="00004115" w:rsidRDefault="00423B7A">
      <w:pPr>
        <w:pBdr>
          <w:top w:val="nil"/>
          <w:left w:val="nil"/>
          <w:bottom w:val="nil"/>
          <w:right w:val="nil"/>
          <w:between w:val="nil"/>
        </w:pBdr>
        <w:ind w:left="720" w:right="4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lastRenderedPageBreak/>
        <w:t>De ser procedente, para la entrega en versión pública, deberá emitir el Acuerdo del Comité de Transparencia en términos de la Ley de Transparencia y Acceso a la Información Pública del Estado de México y Municipios, en el que funde y motive las razones sobre los datos que se supriman o eliminen de los documentos que se ordenan, los que se deberán poner a disposición de la parte Recurrente.</w:t>
      </w:r>
    </w:p>
    <w:p w:rsidR="003D5D4B" w:rsidRPr="00004115" w:rsidRDefault="003D5D4B">
      <w:pPr>
        <w:pBdr>
          <w:top w:val="nil"/>
          <w:left w:val="nil"/>
          <w:bottom w:val="nil"/>
          <w:right w:val="nil"/>
          <w:between w:val="nil"/>
        </w:pBdr>
        <w:spacing w:after="40"/>
        <w:ind w:left="720" w:right="40"/>
        <w:jc w:val="both"/>
        <w:rPr>
          <w:rFonts w:ascii="Palatino Linotype" w:eastAsia="Palatino Linotype" w:hAnsi="Palatino Linotype" w:cs="Palatino Linotype"/>
          <w:i/>
          <w:sz w:val="22"/>
          <w:szCs w:val="22"/>
        </w:rPr>
      </w:pPr>
    </w:p>
    <w:p w:rsidR="003D5D4B" w:rsidRPr="00004115" w:rsidRDefault="00423B7A">
      <w:pPr>
        <w:spacing w:before="40" w:after="280" w:line="276" w:lineRule="auto"/>
        <w:ind w:left="709" w:right="62"/>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Respecto de lo que se ordena en el inciso “a”, para el caso de que no exista una comisión edilicia encargada de la revisión de la reglamentación municipal, bastará con que así lo haga del conocimiento de la parte </w:t>
      </w:r>
      <w:r w:rsidRPr="00004115">
        <w:rPr>
          <w:rFonts w:ascii="Palatino Linotype" w:eastAsia="Palatino Linotype" w:hAnsi="Palatino Linotype" w:cs="Palatino Linotype"/>
          <w:b/>
          <w:i/>
          <w:sz w:val="22"/>
          <w:szCs w:val="22"/>
        </w:rPr>
        <w:t>Recurrente de manera fundada y motivada en términos del segundo párrafo del artículo 19 de la Ley en la materia</w:t>
      </w:r>
      <w:r w:rsidRPr="00004115">
        <w:rPr>
          <w:rFonts w:ascii="Palatino Linotype" w:eastAsia="Palatino Linotype" w:hAnsi="Palatino Linotype" w:cs="Palatino Linotype"/>
          <w:i/>
          <w:sz w:val="22"/>
          <w:szCs w:val="22"/>
        </w:rPr>
        <w:t>, para tener por colmado el requerimiento de información.</w:t>
      </w:r>
    </w:p>
    <w:p w:rsidR="003D5D4B" w:rsidRPr="00004115" w:rsidRDefault="00423B7A">
      <w:pPr>
        <w:spacing w:before="280" w:after="280" w:line="276" w:lineRule="auto"/>
        <w:ind w:left="700" w:right="40"/>
        <w:jc w:val="both"/>
        <w:rPr>
          <w:rFonts w:ascii="Palatino Linotype" w:eastAsia="Palatino Linotype" w:hAnsi="Palatino Linotype" w:cs="Palatino Linotype"/>
          <w:i/>
          <w:sz w:val="22"/>
          <w:szCs w:val="22"/>
        </w:rPr>
      </w:pPr>
      <w:r w:rsidRPr="00004115">
        <w:rPr>
          <w:rFonts w:ascii="Palatino Linotype" w:eastAsia="Palatino Linotype" w:hAnsi="Palatino Linotype" w:cs="Palatino Linotype"/>
          <w:i/>
          <w:sz w:val="22"/>
          <w:szCs w:val="22"/>
        </w:rPr>
        <w:t xml:space="preserve">Respecto de lo que se ordena en el inciso “c”, para el caso de no existir Reglamentos derogados de la Administración Pública Municipal vigente, bastará con que así lo haga del conocimiento de la parte </w:t>
      </w:r>
      <w:r w:rsidRPr="00004115">
        <w:rPr>
          <w:rFonts w:ascii="Palatino Linotype" w:eastAsia="Palatino Linotype" w:hAnsi="Palatino Linotype" w:cs="Palatino Linotype"/>
          <w:b/>
          <w:i/>
          <w:sz w:val="22"/>
          <w:szCs w:val="22"/>
        </w:rPr>
        <w:t>Recurrente de manera fundada y motivada en términos del segundo párrafo del artículo 19 de la Ley en la materia</w:t>
      </w:r>
      <w:r w:rsidRPr="00004115">
        <w:rPr>
          <w:rFonts w:ascii="Palatino Linotype" w:eastAsia="Palatino Linotype" w:hAnsi="Palatino Linotype" w:cs="Palatino Linotype"/>
          <w:i/>
          <w:sz w:val="22"/>
          <w:szCs w:val="22"/>
        </w:rPr>
        <w:t>, para tener por colmado el requerimiento de información.</w:t>
      </w:r>
    </w:p>
    <w:p w:rsidR="003D5D4B" w:rsidRPr="00004115" w:rsidRDefault="00423B7A">
      <w:pPr>
        <w:spacing w:before="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Tercero. Notifíquese vía SAIMEX,</w:t>
      </w:r>
      <w:r w:rsidRPr="00004115">
        <w:rPr>
          <w:rFonts w:ascii="Palatino Linotype" w:eastAsia="Palatino Linotype" w:hAnsi="Palatino Linotype" w:cs="Palatino Linotype"/>
          <w:b/>
          <w:i/>
        </w:rPr>
        <w:t xml:space="preserve"> </w:t>
      </w:r>
      <w:r w:rsidRPr="00004115">
        <w:rPr>
          <w:rFonts w:ascii="Palatino Linotype" w:eastAsia="Palatino Linotype" w:hAnsi="Palatino Linotype" w:cs="Palatino Linotype"/>
        </w:rPr>
        <w:t xml:space="preserve">al Responsable de la Unidad de Transparencia del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la presente resolución, para que conforme al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w:t>
      </w:r>
    </w:p>
    <w:p w:rsidR="003D5D4B" w:rsidRPr="00004115" w:rsidRDefault="003D5D4B">
      <w:pPr>
        <w:spacing w:line="360" w:lineRule="auto"/>
        <w:jc w:val="both"/>
        <w:rPr>
          <w:rFonts w:ascii="Palatino Linotype" w:eastAsia="Palatino Linotype" w:hAnsi="Palatino Linotype" w:cs="Palatino Linotype"/>
          <w:b/>
        </w:rPr>
      </w:pPr>
    </w:p>
    <w:p w:rsidR="003D5D4B" w:rsidRPr="00004115" w:rsidRDefault="00423B7A">
      <w:pPr>
        <w:spacing w:after="240" w:line="360" w:lineRule="auto"/>
        <w:jc w:val="both"/>
        <w:rPr>
          <w:rFonts w:ascii="Palatino Linotype" w:eastAsia="Palatino Linotype" w:hAnsi="Palatino Linotype" w:cs="Palatino Linotype"/>
        </w:rPr>
      </w:pPr>
      <w:r w:rsidRPr="00004115">
        <w:rPr>
          <w:rFonts w:ascii="Palatino Linotype" w:eastAsia="Palatino Linotype" w:hAnsi="Palatino Linotype" w:cs="Palatino Linotype"/>
          <w:b/>
        </w:rPr>
        <w:t xml:space="preserve">Cuarto. </w:t>
      </w:r>
      <w:r w:rsidRPr="00004115">
        <w:rPr>
          <w:rFonts w:ascii="Palatino Linotype" w:eastAsia="Palatino Linotype" w:hAnsi="Palatino Linotype" w:cs="Palatino Linotype"/>
        </w:rPr>
        <w:t xml:space="preserve">Notifíquese, vía </w:t>
      </w:r>
      <w:r w:rsidRPr="00004115">
        <w:rPr>
          <w:rFonts w:ascii="Palatino Linotype" w:eastAsia="Palatino Linotype" w:hAnsi="Palatino Linotype" w:cs="Palatino Linotype"/>
          <w:b/>
        </w:rPr>
        <w:t>SAIMEX</w:t>
      </w:r>
      <w:r w:rsidRPr="00004115">
        <w:rPr>
          <w:rFonts w:ascii="Palatino Linotype" w:eastAsia="Palatino Linotype" w:hAnsi="Palatino Linotype" w:cs="Palatino Linotype"/>
        </w:rPr>
        <w:t xml:space="preserve">, a la parte </w:t>
      </w:r>
      <w:r w:rsidRPr="00004115">
        <w:rPr>
          <w:rFonts w:ascii="Palatino Linotype" w:eastAsia="Palatino Linotype" w:hAnsi="Palatino Linotype" w:cs="Palatino Linotype"/>
          <w:b/>
        </w:rPr>
        <w:t>RECURRENTE</w:t>
      </w:r>
      <w:r w:rsidRPr="00004115">
        <w:rPr>
          <w:rFonts w:ascii="Palatino Linotype" w:eastAsia="Palatino Linotype" w:hAnsi="Palatino Linotype" w:cs="Palatino Linotype"/>
        </w:rPr>
        <w:t xml:space="preserve"> 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rsidR="003D5D4B" w:rsidRPr="00004115" w:rsidRDefault="00423B7A">
      <w:pPr>
        <w:spacing w:before="240" w:after="240" w:line="360" w:lineRule="auto"/>
        <w:jc w:val="both"/>
        <w:rPr>
          <w:rFonts w:ascii="Palatino Linotype" w:eastAsia="Palatino Linotype" w:hAnsi="Palatino Linotype" w:cs="Palatino Linotype"/>
          <w:b/>
        </w:rPr>
      </w:pPr>
      <w:r w:rsidRPr="00004115">
        <w:rPr>
          <w:rFonts w:ascii="Palatino Linotype" w:eastAsia="Palatino Linotype" w:hAnsi="Palatino Linotype" w:cs="Palatino Linotype"/>
          <w:b/>
        </w:rPr>
        <w:lastRenderedPageBreak/>
        <w:t>Quinto.</w:t>
      </w:r>
      <w:r w:rsidRPr="00004115">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Pr="00004115">
        <w:rPr>
          <w:rFonts w:ascii="Palatino Linotype" w:eastAsia="Palatino Linotype" w:hAnsi="Palatino Linotype" w:cs="Palatino Linotype"/>
          <w:b/>
        </w:rPr>
        <w:t>SUJETO OBLIGADO</w:t>
      </w:r>
      <w:r w:rsidRPr="00004115">
        <w:rPr>
          <w:rFonts w:ascii="Palatino Linotype" w:eastAsia="Palatino Linotype" w:hAnsi="Palatino Linotype" w:cs="Palatino Linotype"/>
        </w:rPr>
        <w:t xml:space="preserve"> de manera fundada y motivada, podrá solicitar una ampliación de plazo para el cumplimiento de la presente resolución.</w:t>
      </w:r>
    </w:p>
    <w:p w:rsidR="003D5D4B" w:rsidRPr="00004115" w:rsidRDefault="00423B7A">
      <w:pPr>
        <w:spacing w:before="240" w:after="240" w:line="360" w:lineRule="auto"/>
        <w:jc w:val="both"/>
        <w:rPr>
          <w:rFonts w:ascii="Palatino Linotype" w:eastAsia="Palatino Linotype" w:hAnsi="Palatino Linotype" w:cs="Palatino Linotype"/>
        </w:rPr>
      </w:pPr>
      <w:bookmarkStart w:id="2" w:name="_heading=h.1fob9te" w:colFirst="0" w:colLast="0"/>
      <w:bookmarkEnd w:id="2"/>
      <w:r w:rsidRPr="00004115">
        <w:rPr>
          <w:rFonts w:ascii="Palatino Linotype" w:eastAsia="Palatino Linotype" w:hAnsi="Palatino Linotype" w:cs="Palatino Linotype"/>
        </w:rPr>
        <w:t xml:space="preserve">ASÍ LO RESUELVE, POR UNANIMIDAD DE VOTOS, EL PLENO DEL INSTITUTO DE TRANSPARENCIA, ACCESO A </w:t>
      </w:r>
      <w:bookmarkStart w:id="3" w:name="_GoBack"/>
      <w:bookmarkEnd w:id="3"/>
      <w:r w:rsidRPr="00004115">
        <w:rPr>
          <w:rFonts w:ascii="Palatino Linotype" w:eastAsia="Palatino Linotype" w:hAnsi="Palatino Linotype" w:cs="Palatino Linotype"/>
        </w:rPr>
        <w:t xml:space="preserve">LA INFORMACIÓN PÚBLICA Y PROTECCIÓN DE DATOS PERSONALES DEL ESTADO DE MÉXICO Y MUNICIPIOS, CONFORMADO POR LOS COMISIONADOS JOSÉ MARTÍNEZ VILCHIS, MARÍA DEL ROSARIO MEJÍA AYALA, SHARON CRISTINA MORALES MARTÍNEZ, LUIS GUSTAVO PARRA NORIEGA Y GUADALUPE RAMÍREZ PEÑA; EN LA TRIGÉSIMA SÉPTIMA SESIÓN ORDINARIA CELEBRADA EL DOCE DE OCTUBRE DEL DOS MIL VEINTIDÓS, ANTE EL SECRETARIO TÉCNICO DEL PLENO ALEXIS TAPIA RAMÍREZ.              </w:t>
      </w:r>
      <w:r w:rsidRPr="00004115">
        <w:rPr>
          <w:noProof/>
          <w:lang w:val="es-MX" w:eastAsia="es-MX"/>
        </w:rPr>
        <mc:AlternateContent>
          <mc:Choice Requires="wpg">
            <w:drawing>
              <wp:anchor distT="0" distB="0" distL="114300" distR="114300" simplePos="0" relativeHeight="251661312" behindDoc="0" locked="0" layoutInCell="1" hidden="0" allowOverlap="1">
                <wp:simplePos x="0" y="0"/>
                <wp:positionH relativeFrom="column">
                  <wp:posOffset>101601</wp:posOffset>
                </wp:positionH>
                <wp:positionV relativeFrom="paragraph">
                  <wp:posOffset>2781300</wp:posOffset>
                </wp:positionV>
                <wp:extent cx="5507190" cy="4830544"/>
                <wp:effectExtent l="0" t="0" r="0" b="0"/>
                <wp:wrapNone/>
                <wp:docPr id="81" name="Conector recto de flecha 81"/>
                <wp:cNvGraphicFramePr/>
                <a:graphic xmlns:a="http://schemas.openxmlformats.org/drawingml/2006/main">
                  <a:graphicData uri="http://schemas.microsoft.com/office/word/2010/wordprocessingShape">
                    <wps:wsp>
                      <wps:cNvCnPr/>
                      <wps:spPr>
                        <a:xfrm>
                          <a:off x="2597168" y="1369491"/>
                          <a:ext cx="5497665" cy="4821019"/>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2781300</wp:posOffset>
                </wp:positionV>
                <wp:extent cx="5507190" cy="4830544"/>
                <wp:effectExtent b="0" l="0" r="0" t="0"/>
                <wp:wrapNone/>
                <wp:docPr id="81" name="image13.png"/>
                <a:graphic>
                  <a:graphicData uri="http://schemas.openxmlformats.org/drawingml/2006/picture">
                    <pic:pic>
                      <pic:nvPicPr>
                        <pic:cNvPr id="0" name="image13.png"/>
                        <pic:cNvPicPr preferRelativeResize="0"/>
                      </pic:nvPicPr>
                      <pic:blipFill>
                        <a:blip r:embed="rId31"/>
                        <a:srcRect/>
                        <a:stretch>
                          <a:fillRect/>
                        </a:stretch>
                      </pic:blipFill>
                      <pic:spPr>
                        <a:xfrm>
                          <a:off x="0" y="0"/>
                          <a:ext cx="5507190" cy="4830544"/>
                        </a:xfrm>
                        <a:prstGeom prst="rect"/>
                        <a:ln/>
                      </pic:spPr>
                    </pic:pic>
                  </a:graphicData>
                </a:graphic>
              </wp:anchor>
            </w:drawing>
          </mc:Fallback>
        </mc:AlternateContent>
      </w:r>
    </w:p>
    <w:p w:rsidR="003D5D4B" w:rsidRPr="00004115" w:rsidRDefault="00423B7A">
      <w:pPr>
        <w:spacing w:before="240" w:after="240" w:line="360" w:lineRule="auto"/>
        <w:jc w:val="both"/>
        <w:rPr>
          <w:rFonts w:ascii="Palatino Linotype" w:eastAsia="Palatino Linotype" w:hAnsi="Palatino Linotype" w:cs="Palatino Linotype"/>
        </w:rPr>
        <w:sectPr w:rsidR="003D5D4B" w:rsidRPr="00004115">
          <w:headerReference w:type="default" r:id="rId32"/>
          <w:footerReference w:type="default" r:id="rId33"/>
          <w:headerReference w:type="first" r:id="rId34"/>
          <w:footerReference w:type="first" r:id="rId35"/>
          <w:pgSz w:w="12240" w:h="15840"/>
          <w:pgMar w:top="2041" w:right="1701" w:bottom="1701" w:left="1701" w:header="709" w:footer="709" w:gutter="0"/>
          <w:pgNumType w:start="1"/>
          <w:cols w:space="720"/>
          <w:titlePg/>
        </w:sectPr>
      </w:pPr>
      <w:r w:rsidRPr="00004115">
        <w:rPr>
          <w:rFonts w:ascii="Palatino Linotype" w:eastAsia="Palatino Linotype" w:hAnsi="Palatino Linotype" w:cs="Palatino Linotype"/>
        </w:rPr>
        <w:t xml:space="preserve">                </w:t>
      </w:r>
    </w:p>
    <w:p w:rsidR="003D5D4B" w:rsidRPr="00004115" w:rsidRDefault="003D5D4B">
      <w:pPr>
        <w:spacing w:before="240" w:after="240" w:line="360" w:lineRule="auto"/>
        <w:jc w:val="both"/>
        <w:rPr>
          <w:rFonts w:ascii="Palatino Linotype" w:eastAsia="Palatino Linotype" w:hAnsi="Palatino Linotype" w:cs="Palatino Linotype"/>
        </w:rPr>
      </w:pPr>
    </w:p>
    <w:sectPr w:rsidR="003D5D4B" w:rsidRPr="00004115">
      <w:headerReference w:type="first" r:id="rId36"/>
      <w:pgSz w:w="12240" w:h="15840"/>
      <w:pgMar w:top="2041" w:right="1701" w:bottom="1701"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1B4E" w:rsidRDefault="00CC1B4E">
      <w:r>
        <w:separator/>
      </w:r>
    </w:p>
  </w:endnote>
  <w:endnote w:type="continuationSeparator" w:id="0">
    <w:p w:rsidR="00CC1B4E" w:rsidRDefault="00CC1B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D4B" w:rsidRDefault="00423B7A">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462EF7">
      <w:rPr>
        <w:rFonts w:ascii="Arial" w:eastAsia="Arial" w:hAnsi="Arial" w:cs="Arial"/>
        <w:b/>
        <w:noProof/>
        <w:color w:val="000000"/>
        <w:sz w:val="20"/>
        <w:szCs w:val="20"/>
      </w:rPr>
      <w:t>21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462EF7">
      <w:rPr>
        <w:rFonts w:ascii="Arial" w:eastAsia="Arial" w:hAnsi="Arial" w:cs="Arial"/>
        <w:b/>
        <w:noProof/>
        <w:color w:val="000000"/>
        <w:sz w:val="20"/>
        <w:szCs w:val="20"/>
      </w:rPr>
      <w:t>61</w:t>
    </w:r>
    <w:r>
      <w:rPr>
        <w:rFonts w:ascii="Arial" w:eastAsia="Arial" w:hAnsi="Arial" w:cs="Arial"/>
        <w:b/>
        <w:color w:val="000000"/>
        <w:sz w:val="20"/>
        <w:szCs w:val="20"/>
      </w:rPr>
      <w:fldChar w:fldCharType="end"/>
    </w:r>
  </w:p>
  <w:p w:rsidR="003D5D4B" w:rsidRDefault="003D5D4B">
    <w:pPr>
      <w:pBdr>
        <w:top w:val="nil"/>
        <w:left w:val="nil"/>
        <w:bottom w:val="nil"/>
        <w:right w:val="nil"/>
        <w:between w:val="nil"/>
      </w:pBdr>
      <w:tabs>
        <w:tab w:val="center" w:pos="4252"/>
        <w:tab w:val="right" w:pos="8504"/>
      </w:tabs>
      <w:rPr>
        <w:color w:val="000000"/>
      </w:rPr>
    </w:pPr>
  </w:p>
  <w:p w:rsidR="003D5D4B" w:rsidRDefault="003D5D4B">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D4B" w:rsidRDefault="00423B7A">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462EF7">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462EF7">
      <w:rPr>
        <w:rFonts w:ascii="Arial" w:eastAsia="Arial" w:hAnsi="Arial" w:cs="Arial"/>
        <w:b/>
        <w:noProof/>
        <w:color w:val="000000"/>
        <w:sz w:val="20"/>
        <w:szCs w:val="20"/>
      </w:rPr>
      <w:t>61</w:t>
    </w:r>
    <w:r>
      <w:rPr>
        <w:rFonts w:ascii="Arial" w:eastAsia="Arial" w:hAnsi="Arial" w:cs="Arial"/>
        <w:b/>
        <w:color w:val="000000"/>
        <w:sz w:val="20"/>
        <w:szCs w:val="20"/>
      </w:rPr>
      <w:fldChar w:fldCharType="end"/>
    </w:r>
  </w:p>
  <w:p w:rsidR="003D5D4B" w:rsidRDefault="003D5D4B">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1B4E" w:rsidRDefault="00CC1B4E">
      <w:r>
        <w:separator/>
      </w:r>
    </w:p>
  </w:footnote>
  <w:footnote w:type="continuationSeparator" w:id="0">
    <w:p w:rsidR="00CC1B4E" w:rsidRDefault="00CC1B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D4B" w:rsidRDefault="003D5D4B">
    <w:pPr>
      <w:widowControl w:val="0"/>
      <w:pBdr>
        <w:top w:val="nil"/>
        <w:left w:val="nil"/>
        <w:bottom w:val="nil"/>
        <w:right w:val="nil"/>
        <w:between w:val="nil"/>
      </w:pBdr>
      <w:spacing w:line="276" w:lineRule="auto"/>
      <w:rPr>
        <w:rFonts w:ascii="Calibri" w:eastAsia="Calibri" w:hAnsi="Calibri" w:cs="Calibri"/>
        <w:color w:val="000000"/>
      </w:rPr>
    </w:pPr>
  </w:p>
  <w:tbl>
    <w:tblPr>
      <w:tblStyle w:val="af2"/>
      <w:tblW w:w="5528" w:type="dxa"/>
      <w:tblInd w:w="3261" w:type="dxa"/>
      <w:tblLayout w:type="fixed"/>
      <w:tblLook w:val="0400" w:firstRow="0" w:lastRow="0" w:firstColumn="0" w:lastColumn="0" w:noHBand="0" w:noVBand="1"/>
    </w:tblPr>
    <w:tblGrid>
      <w:gridCol w:w="2551"/>
      <w:gridCol w:w="2977"/>
    </w:tblGrid>
    <w:tr w:rsidR="003D5D4B">
      <w:tc>
        <w:tcPr>
          <w:tcW w:w="2551" w:type="dxa"/>
          <w:vAlign w:val="center"/>
        </w:tcPr>
        <w:p w:rsidR="003D5D4B" w:rsidRDefault="00423B7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rsidR="003D5D4B" w:rsidRDefault="00423B7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08764/INFOEM/IP/RR/2022</w:t>
          </w:r>
        </w:p>
      </w:tc>
    </w:tr>
    <w:tr w:rsidR="003D5D4B">
      <w:trPr>
        <w:trHeight w:val="228"/>
      </w:trPr>
      <w:tc>
        <w:tcPr>
          <w:tcW w:w="2551" w:type="dxa"/>
          <w:vAlign w:val="center"/>
        </w:tcPr>
        <w:p w:rsidR="003D5D4B" w:rsidRDefault="00423B7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rsidR="003D5D4B" w:rsidRDefault="00423B7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Chalco.</w:t>
          </w:r>
        </w:p>
      </w:tc>
    </w:tr>
    <w:tr w:rsidR="003D5D4B">
      <w:tc>
        <w:tcPr>
          <w:tcW w:w="2551" w:type="dxa"/>
          <w:vAlign w:val="center"/>
        </w:tcPr>
        <w:p w:rsidR="003D5D4B" w:rsidRDefault="00423B7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rsidR="003D5D4B" w:rsidRDefault="00423B7A">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3D5D4B" w:rsidRDefault="00423B7A">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val="es-MX" w:eastAsia="es-MX"/>
      </w:rPr>
      <w:drawing>
        <wp:anchor distT="0" distB="0" distL="0" distR="0" simplePos="0" relativeHeight="251658240" behindDoc="1" locked="0" layoutInCell="1" hidden="0" allowOverlap="1">
          <wp:simplePos x="0" y="0"/>
          <wp:positionH relativeFrom="column">
            <wp:posOffset>-695767</wp:posOffset>
          </wp:positionH>
          <wp:positionV relativeFrom="paragraph">
            <wp:posOffset>-1200942</wp:posOffset>
          </wp:positionV>
          <wp:extent cx="7809876" cy="10165823"/>
          <wp:effectExtent l="0" t="0" r="0" b="0"/>
          <wp:wrapNone/>
          <wp:docPr id="8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D4B" w:rsidRDefault="00423B7A">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val="es-MX" w:eastAsia="es-MX"/>
      </w:rPr>
      <w:drawing>
        <wp:anchor distT="0" distB="0" distL="0" distR="0" simplePos="0" relativeHeight="251659264" behindDoc="1" locked="0" layoutInCell="1" hidden="0" allowOverlap="1">
          <wp:simplePos x="0" y="0"/>
          <wp:positionH relativeFrom="column">
            <wp:posOffset>-846157</wp:posOffset>
          </wp:positionH>
          <wp:positionV relativeFrom="paragraph">
            <wp:posOffset>-171228</wp:posOffset>
          </wp:positionV>
          <wp:extent cx="7809876" cy="10165823"/>
          <wp:effectExtent l="0" t="0" r="0" b="0"/>
          <wp:wrapNone/>
          <wp:docPr id="8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f1"/>
      <w:tblW w:w="5670" w:type="dxa"/>
      <w:tblInd w:w="3119" w:type="dxa"/>
      <w:tblLayout w:type="fixed"/>
      <w:tblLook w:val="0400" w:firstRow="0" w:lastRow="0" w:firstColumn="0" w:lastColumn="0" w:noHBand="0" w:noVBand="1"/>
    </w:tblPr>
    <w:tblGrid>
      <w:gridCol w:w="2551"/>
      <w:gridCol w:w="3119"/>
    </w:tblGrid>
    <w:tr w:rsidR="003D5D4B">
      <w:tc>
        <w:tcPr>
          <w:tcW w:w="2551" w:type="dxa"/>
          <w:vAlign w:val="center"/>
        </w:tcPr>
        <w:p w:rsidR="003D5D4B" w:rsidRDefault="00423B7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rsidR="003D5D4B" w:rsidRDefault="00423B7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08764/INFOEM/IP/RR/2022. </w:t>
          </w:r>
        </w:p>
      </w:tc>
    </w:tr>
    <w:tr w:rsidR="003D5D4B">
      <w:tc>
        <w:tcPr>
          <w:tcW w:w="2551" w:type="dxa"/>
          <w:vAlign w:val="center"/>
        </w:tcPr>
        <w:p w:rsidR="003D5D4B" w:rsidRDefault="00423B7A">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rsidR="003D5D4B" w:rsidRDefault="00462EF7" w:rsidP="00462EF7">
          <w:pPr>
            <w:ind w:right="27"/>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XXXXXXXX XXXXXXXXX XXXXXXX</w:t>
          </w:r>
        </w:p>
      </w:tc>
    </w:tr>
    <w:tr w:rsidR="003D5D4B">
      <w:trPr>
        <w:trHeight w:val="228"/>
      </w:trPr>
      <w:tc>
        <w:tcPr>
          <w:tcW w:w="2551" w:type="dxa"/>
          <w:vAlign w:val="center"/>
        </w:tcPr>
        <w:p w:rsidR="003D5D4B" w:rsidRDefault="00423B7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rsidR="003D5D4B" w:rsidRDefault="00423B7A">
          <w:pPr>
            <w:ind w:right="27"/>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Chalco.</w:t>
          </w:r>
        </w:p>
      </w:tc>
    </w:tr>
    <w:tr w:rsidR="003D5D4B">
      <w:tc>
        <w:tcPr>
          <w:tcW w:w="2551" w:type="dxa"/>
          <w:vAlign w:val="center"/>
        </w:tcPr>
        <w:p w:rsidR="003D5D4B" w:rsidRDefault="00423B7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rsidR="003D5D4B" w:rsidRDefault="00423B7A">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3D5D4B" w:rsidRDefault="003D5D4B">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D4B" w:rsidRDefault="003D5D4B">
    <w:pPr>
      <w:pBdr>
        <w:top w:val="nil"/>
        <w:left w:val="nil"/>
        <w:bottom w:val="nil"/>
        <w:right w:val="nil"/>
        <w:between w:val="nil"/>
      </w:pBdr>
      <w:tabs>
        <w:tab w:val="center" w:pos="4252"/>
        <w:tab w:val="right" w:pos="8504"/>
      </w:tabs>
      <w:jc w:val="both"/>
      <w:rPr>
        <w:rFonts w:ascii="Calibri" w:eastAsia="Calibri" w:hAnsi="Calibri" w:cs="Calibri"/>
        <w:color w:val="000000"/>
      </w:rPr>
    </w:pPr>
  </w:p>
  <w:p w:rsidR="003D5D4B" w:rsidRDefault="003D5D4B">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A32227"/>
    <w:multiLevelType w:val="multilevel"/>
    <w:tmpl w:val="F7423F1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1B0B1A3F"/>
    <w:multiLevelType w:val="multilevel"/>
    <w:tmpl w:val="50A656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2C527452"/>
    <w:multiLevelType w:val="multilevel"/>
    <w:tmpl w:val="5AD41120"/>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nsid w:val="38B4186E"/>
    <w:multiLevelType w:val="multilevel"/>
    <w:tmpl w:val="BBD8BDC6"/>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6DF51654"/>
    <w:multiLevelType w:val="multilevel"/>
    <w:tmpl w:val="B08EB6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70E85593"/>
    <w:multiLevelType w:val="multilevel"/>
    <w:tmpl w:val="59E2AE26"/>
    <w:lvl w:ilvl="0">
      <w:start w:val="1"/>
      <w:numFmt w:val="lowerLetter"/>
      <w:lvlText w:val="%1)"/>
      <w:lvlJc w:val="left"/>
      <w:pPr>
        <w:ind w:left="1974" w:hanging="84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num w:numId="1">
    <w:abstractNumId w:val="1"/>
  </w:num>
  <w:num w:numId="2">
    <w:abstractNumId w:val="5"/>
  </w:num>
  <w:num w:numId="3">
    <w:abstractNumId w:val="2"/>
  </w:num>
  <w:num w:numId="4">
    <w:abstractNumId w:val="3"/>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5D4B"/>
    <w:rsid w:val="00004115"/>
    <w:rsid w:val="003D5D4B"/>
    <w:rsid w:val="00423B7A"/>
    <w:rsid w:val="00462EF7"/>
    <w:rsid w:val="00812462"/>
    <w:rsid w:val="00BF64F8"/>
    <w:rsid w:val="00CC1B4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55ACD3-EAB9-4A8C-B970-AB7E064D7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C64"/>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link w:val="Ttulo3Car"/>
    <w:uiPriority w:val="9"/>
    <w:qFormat/>
    <w:rsid w:val="002D2EAC"/>
    <w:pPr>
      <w:spacing w:before="100" w:beforeAutospacing="1" w:after="100" w:afterAutospacing="1"/>
      <w:outlineLvl w:val="2"/>
    </w:pPr>
    <w:rPr>
      <w:b/>
      <w:bCs/>
      <w:sz w:val="27"/>
      <w:szCs w:val="27"/>
      <w:lang w:val="es-MX" w:eastAsia="es-MX"/>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C3C64"/>
    <w:rPr>
      <w:rFonts w:eastAsiaTheme="minorEastAsia"/>
      <w:sz w:val="24"/>
      <w:szCs w:val="24"/>
      <w:lang w:val="es-ES_tradnl" w:eastAsia="es-ES"/>
    </w:rPr>
  </w:style>
  <w:style w:type="paragraph" w:styleId="Piedepgina">
    <w:name w:val="footer"/>
    <w:basedOn w:val="Normal"/>
    <w:link w:val="Piedepgina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C3C64"/>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C3C6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C3C64"/>
    <w:pPr>
      <w:ind w:left="708"/>
    </w:pPr>
    <w:rPr>
      <w:sz w:val="22"/>
      <w:szCs w:val="22"/>
      <w:lang w:eastAsia="en-US"/>
    </w:rPr>
  </w:style>
  <w:style w:type="table" w:styleId="Tablaconcuadrcula">
    <w:name w:val="Table Grid"/>
    <w:basedOn w:val="Tablanormal"/>
    <w:uiPriority w:val="59"/>
    <w:rsid w:val="00AC3C64"/>
    <w:rPr>
      <w:rFonts w:eastAsiaTheme="minorEastAsia"/>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basedOn w:val="Fuentedeprrafopredeter"/>
    <w:rsid w:val="00AC3C64"/>
  </w:style>
  <w:style w:type="character" w:customStyle="1" w:styleId="apple-converted-space">
    <w:name w:val="apple-converted-space"/>
    <w:basedOn w:val="Fuentedeprrafopredeter"/>
    <w:rsid w:val="00AC3C64"/>
  </w:style>
  <w:style w:type="paragraph" w:customStyle="1" w:styleId="paragraph">
    <w:name w:val="paragraph"/>
    <w:basedOn w:val="Normal"/>
    <w:rsid w:val="00AC3C64"/>
    <w:pPr>
      <w:spacing w:before="100" w:beforeAutospacing="1" w:after="100" w:afterAutospacing="1"/>
    </w:pPr>
    <w:rPr>
      <w:lang w:val="es-MX" w:eastAsia="es-MX"/>
    </w:rPr>
  </w:style>
  <w:style w:type="character" w:customStyle="1" w:styleId="eop">
    <w:name w:val="eop"/>
    <w:basedOn w:val="Fuentedeprrafopredeter"/>
    <w:rsid w:val="00AC3C6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C3C64"/>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AC3C64"/>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AC3C64"/>
    <w:rPr>
      <w:vertAlign w:val="superscript"/>
    </w:rPr>
  </w:style>
  <w:style w:type="character" w:styleId="Hipervnculo">
    <w:name w:val="Hyperlink"/>
    <w:basedOn w:val="Fuentedeprrafopredeter"/>
    <w:uiPriority w:val="99"/>
    <w:unhideWhenUsed/>
    <w:rsid w:val="00AC3C64"/>
    <w:rPr>
      <w:color w:val="0563C1" w:themeColor="hyperlink"/>
      <w:u w:val="single"/>
    </w:rPr>
  </w:style>
  <w:style w:type="paragraph" w:styleId="NormalWeb">
    <w:name w:val="Normal (Web)"/>
    <w:basedOn w:val="Normal"/>
    <w:uiPriority w:val="99"/>
    <w:unhideWhenUsed/>
    <w:rsid w:val="00AC3C64"/>
    <w:pPr>
      <w:spacing w:before="100" w:beforeAutospacing="1" w:after="100" w:afterAutospacing="1"/>
    </w:pPr>
    <w:rPr>
      <w:lang w:val="es-MX" w:eastAsia="es-MX"/>
    </w:rPr>
  </w:style>
  <w:style w:type="character" w:customStyle="1" w:styleId="Ttulo3Car">
    <w:name w:val="Título 3 Car"/>
    <w:basedOn w:val="Fuentedeprrafopredeter"/>
    <w:link w:val="Ttulo3"/>
    <w:uiPriority w:val="9"/>
    <w:rsid w:val="002D2EAC"/>
    <w:rPr>
      <w:rFonts w:ascii="Times New Roman" w:eastAsia="Times New Roman" w:hAnsi="Times New Roman" w:cs="Times New Roman"/>
      <w:b/>
      <w:bCs/>
      <w:sz w:val="27"/>
      <w:szCs w:val="27"/>
      <w:lang w:eastAsia="es-MX"/>
    </w:rPr>
  </w:style>
  <w:style w:type="character" w:customStyle="1" w:styleId="titulorubro">
    <w:name w:val="titulorubro"/>
    <w:basedOn w:val="Fuentedeprrafopredeter"/>
    <w:rsid w:val="002D2EAC"/>
  </w:style>
  <w:style w:type="paragraph" w:styleId="Textoindependiente">
    <w:name w:val="Body Text"/>
    <w:basedOn w:val="Normal"/>
    <w:link w:val="TextoindependienteCar"/>
    <w:uiPriority w:val="1"/>
    <w:qFormat/>
    <w:rsid w:val="006F3C93"/>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1"/>
    <w:rsid w:val="006F3C93"/>
    <w:rPr>
      <w:rFonts w:ascii="Times New Roman" w:hAnsi="Times New Roman" w:cs="Times New Roman"/>
      <w:sz w:val="23"/>
      <w:szCs w:val="23"/>
    </w:rPr>
  </w:style>
  <w:style w:type="paragraph" w:styleId="Textodeglobo">
    <w:name w:val="Balloon Text"/>
    <w:basedOn w:val="Normal"/>
    <w:link w:val="TextodegloboCar"/>
    <w:uiPriority w:val="99"/>
    <w:semiHidden/>
    <w:unhideWhenUsed/>
    <w:rsid w:val="00A037B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7B6"/>
    <w:rPr>
      <w:rFonts w:ascii="Segoe UI" w:eastAsia="Times New Roman" w:hAnsi="Segoe UI" w:cs="Segoe UI"/>
      <w:sz w:val="18"/>
      <w:szCs w:val="18"/>
      <w:lang w:val="es-ES" w:eastAsia="es-ES"/>
    </w:rPr>
  </w:style>
  <w:style w:type="paragraph" w:customStyle="1" w:styleId="Pa1">
    <w:name w:val="Pa1"/>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2">
    <w:name w:val="Pa2"/>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3">
    <w:name w:val="Pa3"/>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styleId="Sinespaciado">
    <w:name w:val="No Spacing"/>
    <w:aliases w:val="Francesa,INAI"/>
    <w:link w:val="SinespaciadoCar"/>
    <w:uiPriority w:val="1"/>
    <w:qFormat/>
    <w:rsid w:val="00CE2CFE"/>
  </w:style>
  <w:style w:type="character" w:customStyle="1" w:styleId="SinespaciadoCar">
    <w:name w:val="Sin espaciado Car"/>
    <w:aliases w:val="Francesa Car,INAI Car"/>
    <w:link w:val="Sinespaciado"/>
    <w:uiPriority w:val="1"/>
    <w:locked/>
    <w:rsid w:val="00CE2CFE"/>
  </w:style>
  <w:style w:type="table" w:styleId="Tabladelista1clara-nfasis1">
    <w:name w:val="List Table 1 Light Accent 1"/>
    <w:basedOn w:val="Tablanormal"/>
    <w:uiPriority w:val="46"/>
    <w:rsid w:val="00D30935"/>
    <w:rPr>
      <w:rFonts w:eastAsiaTheme="minorEastAsia"/>
      <w:lang w:val="es-ES_tradnl" w:eastAsia="es-E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CellMar>
        <w:top w:w="0" w:type="dxa"/>
        <w:left w:w="108" w:type="dxa"/>
        <w:bottom w:w="0" w:type="dxa"/>
        <w:right w:w="108" w:type="dxa"/>
      </w:tblCellMar>
    </w:tblPr>
  </w:style>
  <w:style w:type="table" w:customStyle="1" w:styleId="a0">
    <w:basedOn w:val="TableNormal2"/>
    <w:tblPr>
      <w:tblStyleRowBandSize w:val="1"/>
      <w:tblStyleColBandSize w:val="1"/>
      <w:tblCellMar>
        <w:top w:w="0" w:type="dxa"/>
        <w:left w:w="115" w:type="dxa"/>
        <w:bottom w:w="0" w:type="dxa"/>
        <w:right w:w="115" w:type="dxa"/>
      </w:tblCellMar>
    </w:tblPr>
  </w:style>
  <w:style w:type="table" w:customStyle="1" w:styleId="a1">
    <w:basedOn w:val="TableNormal2"/>
    <w:tblPr>
      <w:tblStyleRowBandSize w:val="1"/>
      <w:tblStyleColBandSize w:val="1"/>
      <w:tblCellMar>
        <w:top w:w="0" w:type="dxa"/>
        <w:left w:w="115" w:type="dxa"/>
        <w:bottom w:w="0" w:type="dxa"/>
        <w:right w:w="115" w:type="dxa"/>
      </w:tblCellMar>
    </w:tblPr>
  </w:style>
  <w:style w:type="character" w:styleId="Hipervnculovisitado">
    <w:name w:val="FollowedHyperlink"/>
    <w:basedOn w:val="Fuentedeprrafopredeter"/>
    <w:uiPriority w:val="99"/>
    <w:semiHidden/>
    <w:unhideWhenUsed/>
    <w:rsid w:val="00B93218"/>
    <w:rPr>
      <w:color w:val="954F72" w:themeColor="followedHyperlink"/>
      <w:u w:val="single"/>
    </w:rPr>
  </w:style>
  <w:style w:type="table" w:customStyle="1" w:styleId="a2">
    <w:basedOn w:val="TableNormal2"/>
    <w:tblPr>
      <w:tblStyleRowBandSize w:val="1"/>
      <w:tblStyleColBandSize w:val="1"/>
      <w:tblCellMar>
        <w:top w:w="0" w:type="dxa"/>
        <w:left w:w="108" w:type="dxa"/>
        <w:bottom w:w="0" w:type="dxa"/>
        <w:right w:w="108" w:type="dxa"/>
      </w:tblCellMar>
    </w:tblPr>
  </w:style>
  <w:style w:type="table" w:customStyle="1" w:styleId="a3">
    <w:basedOn w:val="TableNormal2"/>
    <w:tblPr>
      <w:tblStyleRowBandSize w:val="1"/>
      <w:tblStyleColBandSize w:val="1"/>
      <w:tblCellMar>
        <w:top w:w="0" w:type="dxa"/>
        <w:left w:w="108" w:type="dxa"/>
        <w:bottom w:w="0" w:type="dxa"/>
        <w:right w:w="108" w:type="dxa"/>
      </w:tblCellMar>
    </w:tblPr>
  </w:style>
  <w:style w:type="table" w:customStyle="1" w:styleId="a4">
    <w:basedOn w:val="TableNormal2"/>
    <w:tblPr>
      <w:tblStyleRowBandSize w:val="1"/>
      <w:tblStyleColBandSize w:val="1"/>
      <w:tblCellMar>
        <w:top w:w="0" w:type="dxa"/>
        <w:left w:w="108" w:type="dxa"/>
        <w:bottom w:w="0" w:type="dxa"/>
        <w:right w:w="108" w:type="dxa"/>
      </w:tblCellMar>
    </w:tblPr>
  </w:style>
  <w:style w:type="table" w:customStyle="1" w:styleId="a5">
    <w:basedOn w:val="TableNormal2"/>
    <w:tblPr>
      <w:tblStyleRowBandSize w:val="1"/>
      <w:tblStyleColBandSize w:val="1"/>
      <w:tblCellMar>
        <w:top w:w="0" w:type="dxa"/>
        <w:left w:w="108" w:type="dxa"/>
        <w:bottom w:w="0" w:type="dxa"/>
        <w:right w:w="108" w:type="dxa"/>
      </w:tblCellMar>
    </w:tblPr>
  </w:style>
  <w:style w:type="table" w:customStyle="1" w:styleId="a6">
    <w:basedOn w:val="TableNormal2"/>
    <w:tblPr>
      <w:tblStyleRowBandSize w:val="1"/>
      <w:tblStyleColBandSize w:val="1"/>
      <w:tblCellMar>
        <w:top w:w="0" w:type="dxa"/>
        <w:left w:w="108" w:type="dxa"/>
        <w:bottom w:w="0" w:type="dxa"/>
        <w:right w:w="108" w:type="dxa"/>
      </w:tblCellMar>
    </w:tblPr>
  </w:style>
  <w:style w:type="table" w:customStyle="1" w:styleId="a7">
    <w:basedOn w:val="TableNormal2"/>
    <w:tblPr>
      <w:tblStyleRowBandSize w:val="1"/>
      <w:tblStyleColBandSize w:val="1"/>
      <w:tblCellMar>
        <w:top w:w="0" w:type="dxa"/>
        <w:left w:w="108" w:type="dxa"/>
        <w:bottom w:w="0" w:type="dxa"/>
        <w:right w:w="108" w:type="dxa"/>
      </w:tblCellMar>
    </w:tblPr>
  </w:style>
  <w:style w:type="table" w:customStyle="1" w:styleId="a8">
    <w:basedOn w:val="TableNormal2"/>
    <w:tblPr>
      <w:tblStyleRowBandSize w:val="1"/>
      <w:tblStyleColBandSize w:val="1"/>
      <w:tblCellMar>
        <w:top w:w="0" w:type="dxa"/>
        <w:left w:w="108" w:type="dxa"/>
        <w:bottom w:w="0" w:type="dxa"/>
        <w:right w:w="108" w:type="dxa"/>
      </w:tblCellMar>
    </w:tblPr>
  </w:style>
  <w:style w:type="table" w:customStyle="1" w:styleId="a9">
    <w:basedOn w:val="TableNormal2"/>
    <w:tblPr>
      <w:tblStyleRowBandSize w:val="1"/>
      <w:tblStyleColBandSize w:val="1"/>
      <w:tblCellMar>
        <w:top w:w="0" w:type="dxa"/>
        <w:left w:w="115" w:type="dxa"/>
        <w:bottom w:w="0" w:type="dxa"/>
        <w:right w:w="115" w:type="dxa"/>
      </w:tblCellMar>
    </w:tblPr>
  </w:style>
  <w:style w:type="table" w:customStyle="1" w:styleId="aa">
    <w:basedOn w:val="TableNormal2"/>
    <w:tblPr>
      <w:tblStyleRowBandSize w:val="1"/>
      <w:tblStyleColBandSize w:val="1"/>
      <w:tblCellMar>
        <w:top w:w="0" w:type="dxa"/>
        <w:left w:w="115" w:type="dxa"/>
        <w:bottom w:w="0" w:type="dxa"/>
        <w:right w:w="115" w:type="dxa"/>
      </w:tblCellMar>
    </w:tblPr>
  </w:style>
  <w:style w:type="table" w:customStyle="1" w:styleId="ab">
    <w:basedOn w:val="TableNormal2"/>
    <w:tblPr>
      <w:tblStyleRowBandSize w:val="1"/>
      <w:tblStyleColBandSize w:val="1"/>
      <w:tblCellMar>
        <w:top w:w="0" w:type="dxa"/>
        <w:left w:w="115" w:type="dxa"/>
        <w:bottom w:w="0" w:type="dxa"/>
        <w:right w:w="115" w:type="dxa"/>
      </w:tblCellMar>
    </w:tblPr>
  </w:style>
  <w:style w:type="table" w:customStyle="1" w:styleId="ac">
    <w:basedOn w:val="TableNormal1"/>
    <w:tblPr>
      <w:tblStyleRowBandSize w:val="1"/>
      <w:tblStyleColBandSize w:val="1"/>
      <w:tblCellMar>
        <w:top w:w="0" w:type="dxa"/>
        <w:left w:w="115" w:type="dxa"/>
        <w:bottom w:w="0" w:type="dxa"/>
        <w:right w:w="115" w:type="dxa"/>
      </w:tblCellMar>
    </w:tblPr>
  </w:style>
  <w:style w:type="table" w:customStyle="1" w:styleId="ad">
    <w:basedOn w:val="TableNormal1"/>
    <w:tblPr>
      <w:tblStyleRowBandSize w:val="1"/>
      <w:tblStyleColBandSize w:val="1"/>
      <w:tblCellMar>
        <w:top w:w="0" w:type="dxa"/>
        <w:left w:w="115" w:type="dxa"/>
        <w:bottom w:w="0" w:type="dxa"/>
        <w:right w:w="115" w:type="dxa"/>
      </w:tblCellMar>
    </w:tblPr>
  </w:style>
  <w:style w:type="table" w:customStyle="1" w:styleId="ae">
    <w:basedOn w:val="TableNormal1"/>
    <w:tblPr>
      <w:tblStyleRowBandSize w:val="1"/>
      <w:tblStyleColBandSize w:val="1"/>
      <w:tblCellMar>
        <w:top w:w="0" w:type="dxa"/>
        <w:left w:w="115" w:type="dxa"/>
        <w:bottom w:w="0" w:type="dxa"/>
        <w:right w:w="115" w:type="dxa"/>
      </w:tblCellMar>
    </w:tblPr>
  </w:style>
  <w:style w:type="character" w:styleId="Textoennegrita">
    <w:name w:val="Strong"/>
    <w:uiPriority w:val="22"/>
    <w:qFormat/>
    <w:rsid w:val="002B3D0A"/>
    <w:rPr>
      <w:b/>
      <w:bCs/>
    </w:rPr>
  </w:style>
  <w:style w:type="paragraph" w:customStyle="1" w:styleId="Texto">
    <w:name w:val="Texto"/>
    <w:basedOn w:val="Normal"/>
    <w:link w:val="TextoCar"/>
    <w:qFormat/>
    <w:rsid w:val="002B3D0A"/>
    <w:pPr>
      <w:spacing w:after="101" w:line="216" w:lineRule="exact"/>
      <w:ind w:firstLine="288"/>
      <w:jc w:val="both"/>
    </w:pPr>
    <w:rPr>
      <w:rFonts w:ascii="Arial" w:hAnsi="Arial" w:cs="Arial"/>
      <w:sz w:val="18"/>
      <w:szCs w:val="18"/>
      <w:lang w:val="es-MX"/>
    </w:rPr>
  </w:style>
  <w:style w:type="character" w:customStyle="1" w:styleId="apple-style-span">
    <w:name w:val="apple-style-span"/>
    <w:rsid w:val="002B3D0A"/>
  </w:style>
  <w:style w:type="character" w:customStyle="1" w:styleId="TextoCar">
    <w:name w:val="Texto Car"/>
    <w:link w:val="Texto"/>
    <w:locked/>
    <w:rsid w:val="002B3D0A"/>
    <w:rPr>
      <w:rFonts w:ascii="Arial" w:hAnsi="Arial" w:cs="Arial"/>
      <w:sz w:val="18"/>
      <w:szCs w:val="18"/>
      <w:lang w:val="es-MX" w:eastAsia="es-ES"/>
    </w:rPr>
  </w:style>
  <w:style w:type="table" w:customStyle="1" w:styleId="af">
    <w:basedOn w:val="TableNormal0"/>
    <w:tblPr>
      <w:tblStyleRowBandSize w:val="1"/>
      <w:tblStyleColBandSize w:val="1"/>
      <w:tblCellMar>
        <w:top w:w="0" w:type="dxa"/>
        <w:left w:w="108" w:type="dxa"/>
        <w:bottom w:w="0" w:type="dxa"/>
        <w:right w:w="108" w:type="dxa"/>
      </w:tblCellMar>
    </w:tblPr>
  </w:style>
  <w:style w:type="table" w:customStyle="1" w:styleId="af0">
    <w:basedOn w:val="TableNormal0"/>
    <w:tblPr>
      <w:tblStyleRowBandSize w:val="1"/>
      <w:tblStyleColBandSize w:val="1"/>
      <w:tblCellMar>
        <w:top w:w="0" w:type="dxa"/>
        <w:left w:w="115" w:type="dxa"/>
        <w:bottom w:w="0" w:type="dxa"/>
        <w:right w:w="115" w:type="dxa"/>
      </w:tblCellMar>
    </w:tblPr>
  </w:style>
  <w:style w:type="table" w:customStyle="1" w:styleId="af1">
    <w:basedOn w:val="TableNormal0"/>
    <w:tblPr>
      <w:tblStyleRowBandSize w:val="1"/>
      <w:tblStyleColBandSize w:val="1"/>
      <w:tblCellMar>
        <w:top w:w="0" w:type="dxa"/>
        <w:left w:w="115" w:type="dxa"/>
        <w:bottom w:w="0" w:type="dxa"/>
        <w:right w:w="115" w:type="dxa"/>
      </w:tblCellMar>
    </w:tblPr>
  </w:style>
  <w:style w:type="table" w:customStyle="1" w:styleId="af2">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saimex.org.mx/saimex/solicitud/downloadAttach/1458632.page" TargetMode="External"/><Relationship Id="rId26" Type="http://schemas.openxmlformats.org/officeDocument/2006/relationships/hyperlink" Target="https://gobiernodechalco.gob.mx/" TargetMode="External"/><Relationship Id="rId21" Type="http://schemas.openxmlformats.org/officeDocument/2006/relationships/image" Target="media/image6.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saimex.org.mx/saimex/solicitud/downloadAttach/1407734.page" TargetMode="External"/><Relationship Id="rId17" Type="http://schemas.openxmlformats.org/officeDocument/2006/relationships/hyperlink" Target="https://saimex.org.mx/saimex/solicitud/downloadAttach/1445947.page" TargetMode="External"/><Relationship Id="rId25" Type="http://schemas.openxmlformats.org/officeDocument/2006/relationships/image" Target="media/image9.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saimex.org.mx/saimex/solicitud/downloadAttach/1445946.page" TargetMode="External"/><Relationship Id="rId20" Type="http://schemas.openxmlformats.org/officeDocument/2006/relationships/image" Target="media/image5.png"/><Relationship Id="rId29" Type="http://schemas.openxmlformats.org/officeDocument/2006/relationships/hyperlink" Target="https://www.ipomex.org.mx/ipo3/lgt/indice/CHALCO.web"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saimex.org.mx/saimex/solicitud/downloadAttach/1445945.page" TargetMode="External"/><Relationship Id="rId23" Type="http://schemas.openxmlformats.org/officeDocument/2006/relationships/image" Target="media/image16.png"/><Relationship Id="rId28" Type="http://schemas.openxmlformats.org/officeDocument/2006/relationships/image" Target="media/image110.png"/><Relationship Id="rId36"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hyperlink" Target="https://gobiernodechalco.gob.mx" TargetMode="Externa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footer" Target="footer2.xml"/><Relationship Id="rId8" Type="http://schemas.openxmlformats.org/officeDocument/2006/relationships/hyperlink" Target="https://saimex.org.mx/saimex/solicitud/downloadAttach/1407671.page"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RDBdXRBCIIMVYKZjiuFHoHWSaIA==">AMUW2mVY9ZnJCu7t6CoNCkVlbo5xxkieo810bQjlJfp1j3uoa76T7+DQAwmwR9pIjCpUUCw8aGDkk+AxzpnvWEcUkClSzB5OBT/uLDtKLqSM/mBgLGex5i7yhj2r/OZoQfRnNLzOeOrxucpdEyM+E2p6Il+Aa6b37Q==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14608</Words>
  <Characters>80345</Characters>
  <Application>Microsoft Office Word</Application>
  <DocSecurity>0</DocSecurity>
  <Lines>669</Lines>
  <Paragraphs>189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94764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Maricela</cp:lastModifiedBy>
  <cp:revision>2</cp:revision>
  <cp:lastPrinted>2022-10-13T15:34:00Z</cp:lastPrinted>
  <dcterms:created xsi:type="dcterms:W3CDTF">2022-11-03T19:05:00Z</dcterms:created>
  <dcterms:modified xsi:type="dcterms:W3CDTF">2022-11-03T19:05:00Z</dcterms:modified>
</cp:coreProperties>
</file>