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0A1" w:rsidRDefault="008E0717">
      <w:pPr>
        <w:spacing w:before="240" w:after="24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diez de agosto de dos mil veintidós.</w:t>
      </w:r>
    </w:p>
    <w:p w:rsidR="00D020A1" w:rsidRDefault="008E0717">
      <w:pPr>
        <w:spacing w:after="80" w:line="360" w:lineRule="auto"/>
        <w:jc w:val="both"/>
        <w:rPr>
          <w:rFonts w:ascii="Palatino Linotype" w:eastAsia="Palatino Linotype" w:hAnsi="Palatino Linotype" w:cs="Palatino Linotype"/>
          <w:sz w:val="24"/>
          <w:szCs w:val="24"/>
        </w:rPr>
      </w:pPr>
      <w:bookmarkStart w:id="1" w:name="_heading=h.30j0zll" w:colFirst="0" w:colLast="0"/>
      <w:bookmarkEnd w:id="1"/>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05944/INFOEM/IP/RR/2022</w:t>
      </w:r>
      <w:r>
        <w:rPr>
          <w:rFonts w:ascii="Palatino Linotype" w:eastAsia="Palatino Linotype" w:hAnsi="Palatino Linotype" w:cs="Palatino Linotype"/>
          <w:sz w:val="24"/>
          <w:szCs w:val="24"/>
        </w:rPr>
        <w:t xml:space="preserve"> interpuestos por </w:t>
      </w:r>
      <w:r>
        <w:rPr>
          <w:rFonts w:ascii="Palatino Linotype" w:eastAsia="Palatino Linotype" w:hAnsi="Palatino Linotype" w:cs="Palatino Linotype"/>
          <w:b/>
          <w:sz w:val="24"/>
          <w:szCs w:val="24"/>
        </w:rPr>
        <w:t>un particular de manera anónima</w:t>
      </w:r>
      <w:r>
        <w:rPr>
          <w:rFonts w:ascii="Palatino Linotype" w:eastAsia="Palatino Linotype" w:hAnsi="Palatino Linotype" w:cs="Palatino Linotype"/>
          <w:sz w:val="24"/>
          <w:szCs w:val="24"/>
        </w:rPr>
        <w:t xml:space="preserve">, el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color w:val="000000"/>
          <w:sz w:val="24"/>
          <w:szCs w:val="24"/>
        </w:rPr>
        <w:t>00030/OASECATEPE/IP/2022</w:t>
      </w:r>
      <w:r>
        <w:rPr>
          <w:rFonts w:ascii="Palatino Linotype" w:eastAsia="Palatino Linotype" w:hAnsi="Palatino Linotype" w:cs="Palatino Linotype"/>
          <w:sz w:val="24"/>
          <w:szCs w:val="24"/>
        </w:rPr>
        <w:t xml:space="preserve">, por parte del Sistema de Agua Potable Alcantarillado y Saneamiento de Ecatepec de Morelos,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rsidR="00D020A1" w:rsidRDefault="008E0717">
      <w:pPr>
        <w:spacing w:before="80" w:after="240" w:line="360" w:lineRule="auto"/>
        <w:ind w:right="49"/>
        <w:jc w:val="center"/>
        <w:rPr>
          <w:rFonts w:ascii="Palatino Linotype" w:eastAsia="Palatino Linotype" w:hAnsi="Palatino Linotype" w:cs="Palatino Linotype"/>
          <w:sz w:val="24"/>
          <w:szCs w:val="24"/>
        </w:rPr>
      </w:pPr>
      <w:bookmarkStart w:id="2" w:name="_heading=h.1fob9te" w:colFirst="0" w:colLast="0"/>
      <w:bookmarkEnd w:id="2"/>
      <w:r>
        <w:rPr>
          <w:rFonts w:ascii="Palatino Linotype" w:eastAsia="Palatino Linotype" w:hAnsi="Palatino Linotype" w:cs="Palatino Linotype"/>
          <w:b/>
          <w:sz w:val="24"/>
          <w:szCs w:val="24"/>
        </w:rPr>
        <w:t>A N T E C E D E N T E S</w:t>
      </w:r>
    </w:p>
    <w:p w:rsidR="00D020A1" w:rsidRDefault="008E071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1. SOLICITUD. </w:t>
      </w:r>
      <w:r>
        <w:rPr>
          <w:rFonts w:ascii="Palatino Linotype" w:eastAsia="Palatino Linotype" w:hAnsi="Palatino Linotype" w:cs="Palatino Linotype"/>
          <w:sz w:val="24"/>
          <w:szCs w:val="24"/>
        </w:rPr>
        <w:t xml:space="preserve">Con fecha veintiocho de marzo de dos mil veintidós,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color w:val="000000"/>
          <w:sz w:val="24"/>
          <w:szCs w:val="24"/>
        </w:rPr>
        <w:t>00030/OASECATEPE/IP/2022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el cual solicitó información en el siguiente tenor:</w:t>
      </w:r>
    </w:p>
    <w:p w:rsidR="00D020A1" w:rsidRDefault="008E0717">
      <w:pPr>
        <w:spacing w:before="240" w:after="240" w:line="276" w:lineRule="auto"/>
        <w:ind w:left="851" w:right="900"/>
        <w:jc w:val="both"/>
        <w:rPr>
          <w:rFonts w:ascii="Palatino Linotype" w:eastAsia="Palatino Linotype" w:hAnsi="Palatino Linotype" w:cs="Palatino Linotype"/>
          <w:i/>
          <w:color w:val="000000"/>
        </w:rPr>
      </w:pPr>
      <w:bookmarkStart w:id="3" w:name="_heading=h.3znysh7" w:colFirst="0" w:colLast="0"/>
      <w:bookmarkEnd w:id="3"/>
      <w:r>
        <w:rPr>
          <w:rFonts w:ascii="Palatino Linotype" w:eastAsia="Palatino Linotype" w:hAnsi="Palatino Linotype" w:cs="Palatino Linotype"/>
          <w:i/>
          <w:color w:val="000000"/>
        </w:rPr>
        <w:t xml:space="preserve"> “Se adjunta una solicitud al municipio de Ecatepec más el anexo correspondiente. “(Sic)</w:t>
      </w:r>
    </w:p>
    <w:p w:rsidR="00D020A1" w:rsidRDefault="008E071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Adjuntando para tal efecto los siguientes archivos electrónicos: </w:t>
      </w:r>
    </w:p>
    <w:p w:rsidR="00D020A1" w:rsidRDefault="008E0717">
      <w:pPr>
        <w:spacing w:before="280" w:after="28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u w:val="single"/>
        </w:rPr>
        <w:lastRenderedPageBreak/>
        <w:t>“</w:t>
      </w:r>
      <w:hyperlink r:id="rId8">
        <w:r>
          <w:rPr>
            <w:rFonts w:ascii="Palatino Linotype" w:eastAsia="Palatino Linotype" w:hAnsi="Palatino Linotype" w:cs="Palatino Linotype"/>
            <w:b/>
            <w:i/>
            <w:color w:val="000000"/>
            <w:sz w:val="24"/>
            <w:szCs w:val="24"/>
            <w:u w:val="single"/>
          </w:rPr>
          <w:t>ANEXO.pdf</w:t>
        </w:r>
      </w:hyperlink>
      <w:r>
        <w:rPr>
          <w:rFonts w:ascii="Palatino Linotype" w:eastAsia="Palatino Linotype" w:hAnsi="Palatino Linotype" w:cs="Palatino Linotype"/>
          <w:b/>
          <w:i/>
          <w:color w:val="000000"/>
          <w:sz w:val="24"/>
          <w:szCs w:val="24"/>
          <w:u w:val="single"/>
        </w:rPr>
        <w:t xml:space="preserve">”: </w:t>
      </w:r>
      <w:r>
        <w:rPr>
          <w:rFonts w:ascii="Palatino Linotype" w:eastAsia="Palatino Linotype" w:hAnsi="Palatino Linotype" w:cs="Palatino Linotype"/>
          <w:color w:val="000000"/>
          <w:sz w:val="24"/>
          <w:szCs w:val="24"/>
        </w:rPr>
        <w:t>Oficio UT/ODAPAS/008/2021 de fecha diecisiete de enero de dos mil veintidós, signado por el Titular de la Unidad de Transparencia del ODAPAS de Chimalhuacán, mediante el cual otorga respuesta a una solicitud de información, en  donde también se observan las constancias que obran en el expediente electrónico, en conjunto con la Ley del Agua para el Estado de México y Municipios, se adjunta la primera página a manera de ejemplo:</w:t>
      </w:r>
    </w:p>
    <w:p w:rsidR="00D020A1" w:rsidRDefault="008E0717">
      <w:pPr>
        <w:spacing w:before="280" w:after="280" w:line="24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u w:val="single"/>
        </w:rPr>
        <w:t>“</w:t>
      </w:r>
      <w:hyperlink r:id="rId9">
        <w:r>
          <w:rPr>
            <w:rFonts w:ascii="Palatino Linotype" w:eastAsia="Palatino Linotype" w:hAnsi="Palatino Linotype" w:cs="Palatino Linotype"/>
            <w:b/>
            <w:i/>
            <w:color w:val="000000"/>
            <w:sz w:val="24"/>
            <w:szCs w:val="24"/>
            <w:u w:val="single"/>
          </w:rPr>
          <w:t>Solicitud_Ecatepec.pdf</w:t>
        </w:r>
      </w:hyperlink>
      <w:r>
        <w:rPr>
          <w:rFonts w:ascii="Palatino Linotype" w:eastAsia="Palatino Linotype" w:hAnsi="Palatino Linotype" w:cs="Palatino Linotype"/>
          <w:b/>
          <w:i/>
          <w:color w:val="000000"/>
          <w:sz w:val="24"/>
          <w:szCs w:val="24"/>
          <w:u w:val="single"/>
        </w:rPr>
        <w:t xml:space="preserve">”: </w:t>
      </w:r>
      <w:r>
        <w:rPr>
          <w:rFonts w:ascii="Palatino Linotype" w:eastAsia="Palatino Linotype" w:hAnsi="Palatino Linotype" w:cs="Palatino Linotype"/>
          <w:color w:val="000000"/>
          <w:sz w:val="24"/>
          <w:szCs w:val="24"/>
        </w:rPr>
        <w:t>El cual contiene en lo medular lo siguiente:</w:t>
      </w:r>
    </w:p>
    <w:p w:rsidR="00D020A1" w:rsidRDefault="008E0717">
      <w:pPr>
        <w:spacing w:before="280" w:after="28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1.- En un periodo comprendido entre el año 2017 al 22 de marzo de 2022, requiero el número total de conexiones de tomas nuevas para agua potable como usuarios, es decir, de todas aquellas conexiones de las cuales se hayan brindado el servicio con una MANIFESTACIÓN DE BUENA FE; </w:t>
      </w:r>
    </w:p>
    <w:p w:rsidR="00D020A1" w:rsidRDefault="008E0717">
      <w:pPr>
        <w:spacing w:before="280" w:after="28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2.- En un periodo comprendido entre el año 2017 al 22 de marzo de 2022, requiero el número total de conexiones de drenaje como usuarios, es decir, de todas aquellas conexiones de las cuales se hayan brindado el servicio con una MANIFESTACIÓN DE BUENA FE; </w:t>
      </w:r>
    </w:p>
    <w:p w:rsidR="00D020A1" w:rsidRDefault="008E0717">
      <w:pPr>
        <w:spacing w:before="280" w:after="28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3.- Respecto del numeral 1, del número total de conexiones de agua, requiero únicamente los números de expedientes, folios o similar, para su identificación; </w:t>
      </w:r>
    </w:p>
    <w:p w:rsidR="00D020A1" w:rsidRDefault="008E0717">
      <w:pPr>
        <w:spacing w:before="280" w:after="28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4.- Respecto del numeral 2, del número total de conexiones de drenaje, requiero únicamente los números de expedientes, folios o similar, para su identificación; </w:t>
      </w:r>
    </w:p>
    <w:p w:rsidR="00D020A1" w:rsidRDefault="008E0717">
      <w:pPr>
        <w:spacing w:before="280" w:after="28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5.- En el mismo periodo comprendido entre el año 2017 al 22 de marzo de 2022, de los últimos 20 expedientes referentes a conexiones de tomas nuevas para agua potable como usuarios, requiero la versión pública únicamente del documento que acredite el servicio brindado con la MANIFESTACIÓN DE BUENA FE y/o documento mediante el cual se acredite el servicio brindado como usuario; </w:t>
      </w:r>
    </w:p>
    <w:p w:rsidR="00D020A1" w:rsidRDefault="008E0717">
      <w:pPr>
        <w:spacing w:before="280" w:after="280" w:line="276" w:lineRule="auto"/>
        <w:ind w:left="851" w:right="616"/>
        <w:jc w:val="both"/>
        <w:rPr>
          <w:rFonts w:ascii="Palatino Linotype" w:eastAsia="Palatino Linotype" w:hAnsi="Palatino Linotype" w:cs="Palatino Linotype"/>
          <w:i/>
        </w:rPr>
      </w:pPr>
      <w:bookmarkStart w:id="4" w:name="_heading=h.2et92p0" w:colFirst="0" w:colLast="0"/>
      <w:bookmarkEnd w:id="4"/>
      <w:r>
        <w:rPr>
          <w:rFonts w:ascii="Palatino Linotype" w:eastAsia="Palatino Linotype" w:hAnsi="Palatino Linotype" w:cs="Palatino Linotype"/>
          <w:i/>
        </w:rPr>
        <w:lastRenderedPageBreak/>
        <w:t xml:space="preserve">6- En el mismo periodo comprendido entre el año 2017 al 22 de marzo de 2022, de los últimos 20 expedientes referentes a conexiones de drenaje como usuarios, requiero la versión pública únicamente del documento que acredite el servicio brindado con la MANIFESTACIÓN DE BUENA FE y/o documento mediante el cual se acredite el servicio brindado como usuario. </w:t>
      </w:r>
    </w:p>
    <w:p w:rsidR="00D020A1" w:rsidRDefault="008E0717">
      <w:pPr>
        <w:spacing w:before="280" w:after="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En caso de no contar con la información total o parcial, requiero me sea comprobada la búsqueda exhaustiva; si después de dicha búsqueda no se localiza la información, requiero el acta del comité de transparencia donde se declare la inexistencia de la información, fundando y motivando las razones por las cuales no cuenta con dicha información. No se omite señalar que, se anexa la respuesta emitida por el organismo de agua y saneamiento de Chimalhuacán para pronta referencia” (Sic)</w:t>
      </w:r>
    </w:p>
    <w:p w:rsidR="00D020A1" w:rsidRDefault="00D020A1">
      <w:pPr>
        <w:spacing w:after="0" w:line="276" w:lineRule="auto"/>
        <w:ind w:left="851" w:right="616"/>
        <w:jc w:val="both"/>
        <w:rPr>
          <w:rFonts w:ascii="Palatino Linotype" w:eastAsia="Palatino Linotype" w:hAnsi="Palatino Linotype" w:cs="Palatino Linotype"/>
          <w:i/>
        </w:rPr>
      </w:pPr>
    </w:p>
    <w:p w:rsidR="00D020A1" w:rsidRDefault="008E0717">
      <w:pPr>
        <w:spacing w:after="0" w:line="360" w:lineRule="auto"/>
        <w:ind w:right="-234"/>
        <w:jc w:val="both"/>
        <w:rPr>
          <w:rFonts w:ascii="Palatino Linotype" w:eastAsia="Palatino Linotype" w:hAnsi="Palatino Linotype" w:cs="Palatino Linotype"/>
          <w:sz w:val="24"/>
          <w:szCs w:val="24"/>
        </w:rPr>
      </w:pPr>
      <w:bookmarkStart w:id="5" w:name="_heading=h.tyjcwt" w:colFirst="0" w:colLast="0"/>
      <w:bookmarkEnd w:id="5"/>
      <w:r>
        <w:rPr>
          <w:rFonts w:ascii="Palatino Linotype" w:eastAsia="Palatino Linotype" w:hAnsi="Palatino Linotype" w:cs="Palatino Linotype"/>
          <w:b/>
          <w:sz w:val="24"/>
          <w:szCs w:val="24"/>
        </w:rPr>
        <w:t xml:space="preserve">2. RESPUESTA. </w:t>
      </w:r>
      <w:r>
        <w:rPr>
          <w:rFonts w:ascii="Palatino Linotype" w:eastAsia="Palatino Linotype" w:hAnsi="Palatino Linotype" w:cs="Palatino Linotype"/>
          <w:sz w:val="24"/>
          <w:szCs w:val="24"/>
        </w:rPr>
        <w:t xml:space="preserve">Con fecha catorce de abril del dos mil veintidós,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p>
    <w:p w:rsidR="00D020A1" w:rsidRDefault="00D020A1">
      <w:pPr>
        <w:spacing w:after="0" w:line="360" w:lineRule="auto"/>
        <w:ind w:right="-234"/>
        <w:jc w:val="both"/>
        <w:rPr>
          <w:rFonts w:ascii="Palatino Linotype" w:eastAsia="Palatino Linotype" w:hAnsi="Palatino Linotype" w:cs="Palatino Linotype"/>
          <w:sz w:val="24"/>
          <w:szCs w:val="24"/>
        </w:rPr>
      </w:pPr>
    </w:p>
    <w:p w:rsidR="00D020A1" w:rsidRDefault="008E0717">
      <w:pPr>
        <w:spacing w:after="120" w:line="360" w:lineRule="auto"/>
        <w:ind w:left="851" w:right="1041"/>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020A1" w:rsidRDefault="008E0717">
      <w:pPr>
        <w:spacing w:before="120" w:after="120" w:line="360" w:lineRule="auto"/>
        <w:ind w:left="851" w:right="1041"/>
        <w:jc w:val="both"/>
        <w:rPr>
          <w:rFonts w:ascii="Palatino Linotype" w:eastAsia="Palatino Linotype" w:hAnsi="Palatino Linotype" w:cs="Palatino Linotype"/>
          <w:i/>
        </w:rPr>
      </w:pPr>
      <w:r>
        <w:rPr>
          <w:rFonts w:ascii="Palatino Linotype" w:eastAsia="Palatino Linotype" w:hAnsi="Palatino Linotype" w:cs="Palatino Linotype"/>
          <w:i/>
        </w:rPr>
        <w:t xml:space="preserve">En cumplimiento de lo preceptuado por la norma fundamental 6° de la Constitución Política de los Estados Unidos Mexicanos, en vinculación directa con el dispositivo 53 fracción II y VI de la Ley de Transparencia y Acceso a la Información Pública del Estado de México y Municipios, artículos 32 y 33 fracción XXVI del Reglamento Interior Orgánico del Organismo Público Descentralizado para la Prestación de los Servicios de Agua Potable, </w:t>
      </w:r>
      <w:r>
        <w:rPr>
          <w:rFonts w:ascii="Palatino Linotype" w:eastAsia="Palatino Linotype" w:hAnsi="Palatino Linotype" w:cs="Palatino Linotype"/>
          <w:i/>
        </w:rPr>
        <w:lastRenderedPageBreak/>
        <w:t>Alcantarillado y Saneamiento de Ecatepec; y con el propósito de brindar seguimiento a la atención de la SOLICITUD DE ACCESO A LA INFORMACIÓN PÚBLICA, registrada con el número de control: 00030/OASECATEPE/IP/2022. En esa misma tesitura, y con fundamento en el artículo 12 de la Ley de Transparencia y Acceso a la Información Pública del Estado de México y Municipios; se proporciona la información solicitada, en el estado natural que guarda dentro de los archivos internos de este Sujeto Obligado, es decir, sin que ello implique el procesamiento de la misma, ósea adecuada al interés del particular, sin generarla, sin resumirla, ni efectuar cálculos o practicar investigaciones, sin emitir un documento ad hoc, para satisfacer a detalle lo solicitado. Para lo cual sírvase encontrar adjunto al presente en FORMATO PDF, la respuesta formal que recayó a su solicitud de información, lo anterior para los efectos legales a los que haya lugar. ATENTAMENTE. UNIDAD DE TRANSPARENCIA DEL O.P.D. S.A.P.A.S.E.</w:t>
      </w:r>
    </w:p>
    <w:p w:rsidR="00D020A1" w:rsidRDefault="008E0717">
      <w:pPr>
        <w:spacing w:before="120" w:after="120" w:line="360" w:lineRule="auto"/>
        <w:ind w:left="851" w:right="1041"/>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D020A1" w:rsidRDefault="008E0717">
      <w:pPr>
        <w:spacing w:before="120" w:after="0" w:line="360" w:lineRule="auto"/>
        <w:ind w:left="851" w:right="1041"/>
        <w:jc w:val="both"/>
        <w:rPr>
          <w:rFonts w:ascii="Palatino Linotype" w:eastAsia="Palatino Linotype" w:hAnsi="Palatino Linotype" w:cs="Palatino Linotype"/>
          <w:i/>
        </w:rPr>
      </w:pPr>
      <w:r>
        <w:rPr>
          <w:rFonts w:ascii="Palatino Linotype" w:eastAsia="Palatino Linotype" w:hAnsi="Palatino Linotype" w:cs="Palatino Linotype"/>
          <w:i/>
        </w:rPr>
        <w:t>C. MARIO LUNA ESCANAME” (Sic).</w:t>
      </w:r>
    </w:p>
    <w:p w:rsidR="00D020A1" w:rsidRDefault="00D020A1">
      <w:pPr>
        <w:spacing w:after="0" w:line="360" w:lineRule="auto"/>
        <w:ind w:left="851" w:right="1041"/>
        <w:jc w:val="both"/>
        <w:rPr>
          <w:rFonts w:ascii="Palatino Linotype" w:eastAsia="Palatino Linotype" w:hAnsi="Palatino Linotype" w:cs="Palatino Linotype"/>
          <w:i/>
        </w:rPr>
      </w:pPr>
    </w:p>
    <w:p w:rsidR="00D020A1" w:rsidRDefault="008E0717">
      <w:pPr>
        <w:spacing w:after="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Adjuntando para tal efecto el siguiente archivo electrónico denominado:</w:t>
      </w:r>
    </w:p>
    <w:p w:rsidR="00D020A1" w:rsidRDefault="00D020A1">
      <w:pPr>
        <w:spacing w:after="0" w:line="360" w:lineRule="auto"/>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i/>
          <w:sz w:val="24"/>
          <w:szCs w:val="24"/>
          <w:u w:val="single"/>
        </w:rPr>
        <w:t xml:space="preserve">“RESPUESTA INFO 030 2022.pdf” </w:t>
      </w:r>
      <w:r>
        <w:rPr>
          <w:rFonts w:ascii="Palatino Linotype" w:eastAsia="Palatino Linotype" w:hAnsi="Palatino Linotype" w:cs="Palatino Linotype"/>
          <w:sz w:val="24"/>
          <w:szCs w:val="24"/>
        </w:rPr>
        <w:t xml:space="preserve">Oficio DTCOM/169/2022 de fecha trece de abril de dos mil veintidós, signado por el C. Abelardo Octavio Castillo Pinedo, Director Técnico de Construcción, Operación y Mantenimiento en el que menciona que la </w:t>
      </w:r>
      <w:r>
        <w:rPr>
          <w:rFonts w:ascii="Palatino Linotype" w:eastAsia="Palatino Linotype" w:hAnsi="Palatino Linotype" w:cs="Palatino Linotype"/>
          <w:sz w:val="24"/>
          <w:szCs w:val="24"/>
        </w:rPr>
        <w:lastRenderedPageBreak/>
        <w:t>solicitud de información, representa un volumen considerable por lo que sobrepasa las capacidades técnicas, administrativas y humanas por lo que pone a disposición del solicitante en la modalidad de Consulta Directa, en el que indica día y hora para entregar la información, tal como se observa a continuación:</w:t>
      </w:r>
    </w:p>
    <w:p w:rsidR="00D020A1" w:rsidRDefault="008E0717">
      <w:pPr>
        <w:spacing w:after="0" w:line="360" w:lineRule="auto"/>
        <w:jc w:val="center"/>
        <w:rPr>
          <w:rFonts w:ascii="Palatino Linotype" w:eastAsia="Palatino Linotype" w:hAnsi="Palatino Linotype" w:cs="Palatino Linotype"/>
          <w:sz w:val="24"/>
          <w:szCs w:val="24"/>
        </w:rPr>
      </w:pPr>
      <w:r>
        <w:rPr>
          <w:noProof/>
        </w:rPr>
        <w:drawing>
          <wp:inline distT="0" distB="0" distL="0" distR="0">
            <wp:extent cx="3599671" cy="4701209"/>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4623" t="18105" r="34318" b="9777"/>
                    <a:stretch>
                      <a:fillRect/>
                    </a:stretch>
                  </pic:blipFill>
                  <pic:spPr>
                    <a:xfrm>
                      <a:off x="0" y="0"/>
                      <a:ext cx="3599671" cy="4701209"/>
                    </a:xfrm>
                    <a:prstGeom prst="rect">
                      <a:avLst/>
                    </a:prstGeom>
                    <a:ln/>
                  </pic:spPr>
                </pic:pic>
              </a:graphicData>
            </a:graphic>
          </wp:inline>
        </w:drawing>
      </w:r>
    </w:p>
    <w:p w:rsidR="00D020A1" w:rsidRDefault="008E0717">
      <w:pPr>
        <w:spacing w:after="0" w:line="360" w:lineRule="auto"/>
        <w:jc w:val="center"/>
        <w:rPr>
          <w:rFonts w:ascii="Palatino Linotype" w:eastAsia="Palatino Linotype" w:hAnsi="Palatino Linotype" w:cs="Palatino Linotype"/>
          <w:sz w:val="24"/>
          <w:szCs w:val="24"/>
        </w:rPr>
      </w:pPr>
      <w:r>
        <w:rPr>
          <w:noProof/>
        </w:rPr>
        <w:lastRenderedPageBreak/>
        <w:drawing>
          <wp:inline distT="0" distB="0" distL="0" distR="0">
            <wp:extent cx="2807984" cy="3754676"/>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35132" t="23536" r="35166" b="5854"/>
                    <a:stretch>
                      <a:fillRect/>
                    </a:stretch>
                  </pic:blipFill>
                  <pic:spPr>
                    <a:xfrm>
                      <a:off x="0" y="0"/>
                      <a:ext cx="2807984" cy="3754676"/>
                    </a:xfrm>
                    <a:prstGeom prst="rect">
                      <a:avLst/>
                    </a:prstGeom>
                    <a:ln/>
                  </pic:spPr>
                </pic:pic>
              </a:graphicData>
            </a:graphic>
          </wp:inline>
        </w:drawing>
      </w:r>
    </w:p>
    <w:p w:rsidR="00D020A1" w:rsidRDefault="008E0717">
      <w:pPr>
        <w:spacing w:after="0" w:line="360" w:lineRule="auto"/>
        <w:ind w:right="-234"/>
        <w:jc w:val="both"/>
        <w:rPr>
          <w:rFonts w:ascii="Palatino Linotype" w:eastAsia="Palatino Linotype" w:hAnsi="Palatino Linotype" w:cs="Palatino Linotype"/>
          <w:sz w:val="24"/>
          <w:szCs w:val="24"/>
        </w:rPr>
      </w:pPr>
      <w:bookmarkStart w:id="6" w:name="_heading=h.3dy6vkm" w:colFirst="0" w:colLast="0"/>
      <w:bookmarkEnd w:id="6"/>
      <w:r>
        <w:rPr>
          <w:rFonts w:ascii="Palatino Linotype" w:eastAsia="Palatino Linotype" w:hAnsi="Palatino Linotype" w:cs="Palatino Linotype"/>
          <w:b/>
          <w:sz w:val="24"/>
          <w:szCs w:val="24"/>
        </w:rPr>
        <w:t xml:space="preserve">3.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dieciocho de abril de dos mil veintidós,</w:t>
      </w:r>
      <w:r>
        <w:rPr>
          <w:rFonts w:ascii="Palatino Linotype" w:eastAsia="Palatino Linotype" w:hAnsi="Palatino Linotype" w:cs="Palatino Linotype"/>
          <w:b/>
          <w:sz w:val="24"/>
          <w:szCs w:val="24"/>
        </w:rPr>
        <w:t xml:space="preserve"> EL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05944/INFOEM/IP/RR/2022</w:t>
      </w:r>
      <w:r>
        <w:rPr>
          <w:rFonts w:ascii="Palatino Linotype" w:eastAsia="Palatino Linotype" w:hAnsi="Palatino Linotype" w:cs="Palatino Linotype"/>
          <w:sz w:val="24"/>
          <w:szCs w:val="24"/>
        </w:rPr>
        <w:t>, en el cual manifiesta, lo siguiente:</w:t>
      </w:r>
    </w:p>
    <w:p w:rsidR="00D020A1" w:rsidRDefault="00D020A1">
      <w:pPr>
        <w:spacing w:after="0" w:line="360" w:lineRule="auto"/>
        <w:ind w:right="-234"/>
        <w:jc w:val="both"/>
        <w:rPr>
          <w:rFonts w:ascii="Palatino Linotype" w:eastAsia="Palatino Linotype" w:hAnsi="Palatino Linotype" w:cs="Palatino Linotype"/>
          <w:sz w:val="24"/>
          <w:szCs w:val="24"/>
        </w:rPr>
      </w:pPr>
    </w:p>
    <w:p w:rsidR="00D020A1" w:rsidRDefault="008E0717">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rsidR="00D020A1" w:rsidRDefault="008E0717">
      <w:pPr>
        <w:spacing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Se impugna la respuesta entregada por el sujeto obligado responsable, toda vez que, no fundamento ni motivo concretamente la razón por la cual realizó un cambió de modalidad, esto, en concordancia con lo establecido en el último párrafo del artículo 164 de la Ley de Transparencia vigente para el Estado de México; por lo tanto la respuesta no corresponde con lo solicitado..</w:t>
      </w:r>
      <w:r>
        <w:rPr>
          <w:rFonts w:ascii="Palatino Linotype" w:eastAsia="Palatino Linotype" w:hAnsi="Palatino Linotype" w:cs="Palatino Linotype"/>
          <w:i/>
        </w:rPr>
        <w:t>” [sic]</w:t>
      </w:r>
    </w:p>
    <w:p w:rsidR="00D020A1" w:rsidRDefault="008E0717">
      <w:pPr>
        <w:numPr>
          <w:ilvl w:val="0"/>
          <w:numId w:val="4"/>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lastRenderedPageBreak/>
        <w:t>Razones o Motivos de Inconformidad</w:t>
      </w:r>
      <w:r>
        <w:rPr>
          <w:rFonts w:ascii="Palatino Linotype" w:eastAsia="Palatino Linotype" w:hAnsi="Palatino Linotype" w:cs="Palatino Linotype"/>
          <w:i/>
          <w:color w:val="000000"/>
          <w:sz w:val="24"/>
          <w:szCs w:val="24"/>
        </w:rPr>
        <w:t>:</w:t>
      </w:r>
    </w:p>
    <w:p w:rsidR="00D020A1" w:rsidRDefault="008E0717">
      <w:pPr>
        <w:spacing w:after="0" w:line="360"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color w:val="000000"/>
        </w:rPr>
        <w:t xml:space="preserve">El requerimiento de información esta perfectamente delimitando en cuanto a la temporalidad se refiere; además, la entrega de las versiones públicas no son una carga excesiva de trabajo ni de procesamiento ya que NO se esta requiriendo el expediente completo ni mucho menos es una cantidad que sobrepase sus capacidades. Asimismo, por la naturaleza de la información, si se puede entregar por la vía requerida, pues es ocioso cambiar la modalidad de entrega.” </w:t>
      </w:r>
      <w:r>
        <w:rPr>
          <w:rFonts w:ascii="Palatino Linotype" w:eastAsia="Palatino Linotype" w:hAnsi="Palatino Linotype" w:cs="Palatino Linotype"/>
          <w:i/>
        </w:rPr>
        <w:t>[sic]</w:t>
      </w:r>
    </w:p>
    <w:p w:rsidR="00D020A1" w:rsidRDefault="00D020A1">
      <w:pPr>
        <w:spacing w:after="0" w:line="360" w:lineRule="auto"/>
        <w:ind w:left="851"/>
        <w:jc w:val="both"/>
        <w:rPr>
          <w:rFonts w:ascii="Palatino Linotype" w:eastAsia="Palatino Linotype" w:hAnsi="Palatino Linotype" w:cs="Palatino Linotype"/>
          <w:i/>
        </w:rPr>
      </w:pPr>
    </w:p>
    <w:p w:rsidR="00D020A1" w:rsidRDefault="008E0717">
      <w:pPr>
        <w:spacing w:after="0" w:line="360" w:lineRule="auto"/>
        <w:jc w:val="both"/>
        <w:rPr>
          <w:rFonts w:ascii="Palatino Linotype" w:eastAsia="Palatino Linotype" w:hAnsi="Palatino Linotype" w:cs="Palatino Linotype"/>
          <w:sz w:val="24"/>
          <w:szCs w:val="24"/>
        </w:rPr>
      </w:pPr>
      <w:bookmarkStart w:id="7" w:name="_heading=h.1t3h5sf" w:colFirst="0" w:colLast="0"/>
      <w:bookmarkEnd w:id="7"/>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Pr>
          <w:rFonts w:ascii="Palatino Linotype" w:eastAsia="Palatino Linotype" w:hAnsi="Palatino Linotype" w:cs="Palatino Linotype"/>
          <w:b/>
          <w:sz w:val="24"/>
          <w:szCs w:val="24"/>
        </w:rPr>
        <w:t>05944/INFOEM/IP/RR/2022</w:t>
      </w:r>
      <w:r>
        <w:rPr>
          <w:rFonts w:ascii="Palatino Linotype" w:eastAsia="Palatino Linotype" w:hAnsi="Palatino Linotype" w:cs="Palatino Linotype"/>
          <w:sz w:val="24"/>
          <w:szCs w:val="24"/>
        </w:rPr>
        <w:t xml:space="preserve"> fue turnado a la Comisionada </w:t>
      </w:r>
      <w:r>
        <w:rPr>
          <w:rFonts w:ascii="Palatino Linotype" w:eastAsia="Palatino Linotype" w:hAnsi="Palatino Linotype" w:cs="Palatino Linotype"/>
          <w:b/>
          <w:sz w:val="24"/>
          <w:szCs w:val="24"/>
        </w:rPr>
        <w:t>Guadalupe Ramírez Peña</w:t>
      </w:r>
      <w:r>
        <w:rPr>
          <w:rFonts w:ascii="Palatino Linotype" w:eastAsia="Palatino Linotype" w:hAnsi="Palatino Linotype" w:cs="Palatino Linotype"/>
          <w:sz w:val="24"/>
          <w:szCs w:val="24"/>
        </w:rPr>
        <w:t>; a efecto de presentar al Pleno el proyecto de resolución correspondiente.</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b/>
          <w:sz w:val="24"/>
          <w:szCs w:val="24"/>
        </w:rPr>
      </w:pPr>
      <w:bookmarkStart w:id="8" w:name="_heading=h.4d34og8" w:colFirst="0" w:colLast="0"/>
      <w:bookmarkEnd w:id="8"/>
      <w:r>
        <w:rPr>
          <w:rFonts w:ascii="Palatino Linotype" w:eastAsia="Palatino Linotype" w:hAnsi="Palatino Linotype" w:cs="Palatino Linotype"/>
          <w:b/>
          <w:sz w:val="24"/>
          <w:szCs w:val="24"/>
        </w:rPr>
        <w:t xml:space="preserve">5. ADMISIÓN. </w:t>
      </w:r>
      <w:r>
        <w:rPr>
          <w:rFonts w:ascii="Palatino Linotype" w:eastAsia="Palatino Linotype" w:hAnsi="Palatino Linotype" w:cs="Palatino Linotype"/>
          <w:sz w:val="24"/>
          <w:szCs w:val="24"/>
        </w:rPr>
        <w:t xml:space="preserve">En fecha </w:t>
      </w:r>
      <w:r>
        <w:rPr>
          <w:rFonts w:ascii="Palatino Linotype" w:eastAsia="Palatino Linotype" w:hAnsi="Palatino Linotype" w:cs="Palatino Linotype"/>
          <w:b/>
          <w:sz w:val="24"/>
          <w:szCs w:val="24"/>
        </w:rPr>
        <w:t>veintiuno de abril dos mil veintidós</w:t>
      </w:r>
      <w:r>
        <w:rPr>
          <w:rFonts w:ascii="Palatino Linotype" w:eastAsia="Palatino Linotype" w:hAnsi="Palatino Linotype" w:cs="Palatino Linotype"/>
          <w:sz w:val="24"/>
          <w:szCs w:val="24"/>
        </w:rPr>
        <w:t>, en términos de lo dispuesto en el artículo 185 fracciones I, II y IV de la Ley de Transparencia y Acceso a la Información Pública del Estado de México y Municipios, se admitió a trámite el recurso de revisión al rubro indicado</w:t>
      </w:r>
      <w:r>
        <w:rPr>
          <w:rFonts w:ascii="Palatino Linotype" w:eastAsia="Palatino Linotype" w:hAnsi="Palatino Linotype" w:cs="Palatino Linotype"/>
          <w:b/>
          <w:sz w:val="24"/>
          <w:szCs w:val="24"/>
        </w:rPr>
        <w:t>.</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6. MANIFESTACIONES. </w:t>
      </w:r>
      <w:r>
        <w:rPr>
          <w:rFonts w:ascii="Palatino Linotype" w:eastAsia="Palatino Linotype" w:hAnsi="Palatino Linotype" w:cs="Palatino Linotype"/>
          <w:sz w:val="24"/>
          <w:szCs w:val="24"/>
        </w:rPr>
        <w:t xml:space="preserve">De las constancias que obran en el expediente electrónico del SAIMEX se desprende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rindió su informe justificado, del mismo modo el ahora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omitió realizar manifestaciones, como se observa a continuación:</w:t>
      </w:r>
    </w:p>
    <w:p w:rsidR="00D020A1" w:rsidRDefault="00D020A1">
      <w:pPr>
        <w:spacing w:after="0" w:line="360" w:lineRule="auto"/>
        <w:jc w:val="both"/>
      </w:pPr>
    </w:p>
    <w:p w:rsidR="00D020A1" w:rsidRDefault="008E0717">
      <w:pPr>
        <w:spacing w:after="0" w:line="360" w:lineRule="auto"/>
        <w:jc w:val="center"/>
        <w:rPr>
          <w:rFonts w:ascii="Palatino Linotype" w:eastAsia="Palatino Linotype" w:hAnsi="Palatino Linotype" w:cs="Palatino Linotype"/>
          <w:sz w:val="24"/>
          <w:szCs w:val="24"/>
        </w:rPr>
      </w:pPr>
      <w:r>
        <w:rPr>
          <w:noProof/>
        </w:rPr>
        <w:drawing>
          <wp:inline distT="0" distB="0" distL="0" distR="0">
            <wp:extent cx="4780082" cy="1357307"/>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29362" t="24743" r="29396" b="54435"/>
                    <a:stretch>
                      <a:fillRect/>
                    </a:stretch>
                  </pic:blipFill>
                  <pic:spPr>
                    <a:xfrm>
                      <a:off x="0" y="0"/>
                      <a:ext cx="4780082" cy="1357307"/>
                    </a:xfrm>
                    <a:prstGeom prst="rect">
                      <a:avLst/>
                    </a:prstGeom>
                    <a:ln/>
                  </pic:spPr>
                </pic:pic>
              </a:graphicData>
            </a:graphic>
          </wp:inline>
        </w:drawing>
      </w:r>
    </w:p>
    <w:p w:rsidR="00D020A1" w:rsidRDefault="00D020A1">
      <w:pPr>
        <w:spacing w:after="0" w:line="360" w:lineRule="auto"/>
        <w:jc w:val="both"/>
        <w:rPr>
          <w:rFonts w:ascii="Palatino Linotype" w:eastAsia="Palatino Linotype" w:hAnsi="Palatino Linotype" w:cs="Palatino Linotype"/>
          <w:b/>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7. AMPLIACIÓN DEL PLAZO PARA EMITIR RESOLUCIÓN</w:t>
      </w:r>
      <w:r>
        <w:rPr>
          <w:rFonts w:ascii="Palatino Linotype" w:eastAsia="Palatino Linotype" w:hAnsi="Palatino Linotype" w:cs="Palatino Linotype"/>
          <w:sz w:val="24"/>
          <w:szCs w:val="24"/>
        </w:rPr>
        <w:t>. En fecha trece de julio de dos mil veintidós, se amplió el término para resolver el recurso de revisión en términos del artículo 181 párrafo tercero de la Ley de Transparencia y Acceso a la Información Pública del Estado de México y Municipios.</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Pr>
          <w:rFonts w:ascii="Palatino Linotype" w:eastAsia="Palatino Linotype" w:hAnsi="Palatino Linotype" w:cs="Palatino Linotype"/>
          <w:sz w:val="24"/>
          <w:szCs w:val="24"/>
        </w:rPr>
        <w:lastRenderedPageBreak/>
        <w:t>razonabilidad de asuntos conforme a los parámetros establecidos por diversos órganos jurisdiccionales federales, aplicables también en procedimientos análogos, como el que nos ocupa.</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trike/>
          <w:color w:val="FF0000"/>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numPr>
          <w:ilvl w:val="0"/>
          <w:numId w:val="5"/>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D020A1" w:rsidRDefault="00D020A1">
      <w:pPr>
        <w:spacing w:after="0" w:line="360" w:lineRule="auto"/>
        <w:ind w:left="927"/>
        <w:jc w:val="both"/>
        <w:rPr>
          <w:rFonts w:ascii="Palatino Linotype" w:eastAsia="Palatino Linotype" w:hAnsi="Palatino Linotype" w:cs="Palatino Linotype"/>
          <w:sz w:val="24"/>
          <w:szCs w:val="24"/>
        </w:rPr>
      </w:pPr>
    </w:p>
    <w:p w:rsidR="00D020A1" w:rsidRDefault="008E0717">
      <w:pPr>
        <w:numPr>
          <w:ilvl w:val="0"/>
          <w:numId w:val="5"/>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Actividad Procesal del interesado. Acciones u omisiones del interesado.</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numPr>
          <w:ilvl w:val="0"/>
          <w:numId w:val="5"/>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D020A1" w:rsidRDefault="00D020A1">
      <w:pPr>
        <w:spacing w:after="0" w:line="360" w:lineRule="auto"/>
        <w:ind w:left="708"/>
        <w:rPr>
          <w:rFonts w:ascii="Palatino Linotype" w:eastAsia="Palatino Linotype" w:hAnsi="Palatino Linotype" w:cs="Palatino Linotype"/>
          <w:sz w:val="24"/>
          <w:szCs w:val="24"/>
        </w:rPr>
      </w:pPr>
    </w:p>
    <w:p w:rsidR="00D020A1" w:rsidRDefault="008E0717">
      <w:pPr>
        <w:spacing w:after="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rsidR="00D020A1" w:rsidRDefault="00D020A1">
      <w:pPr>
        <w:spacing w:after="0" w:line="360" w:lineRule="auto"/>
        <w:jc w:val="both"/>
        <w:rPr>
          <w:rFonts w:ascii="Palatino Linotype" w:eastAsia="Palatino Linotype" w:hAnsi="Palatino Linotype" w:cs="Palatino Linotype"/>
          <w:b/>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 xml:space="preserve">“PLAZO RAZONABLE PARA RESOLVER. CONCEPTO Y ELEMENTOS QUE LO INTEGRAN A LA LUZ DEL DERECHO INTERNACIONAL DE LOS DERECHOS </w:t>
      </w:r>
      <w:r>
        <w:rPr>
          <w:rFonts w:ascii="Palatino Linotype" w:eastAsia="Palatino Linotype" w:hAnsi="Palatino Linotype" w:cs="Palatino Linotype"/>
          <w:i/>
          <w:sz w:val="24"/>
          <w:szCs w:val="24"/>
        </w:rPr>
        <w:lastRenderedPageBreak/>
        <w:t>HUMANOS.”</w:t>
      </w:r>
      <w:r>
        <w:rPr>
          <w:rFonts w:ascii="Palatino Linotype" w:eastAsia="Palatino Linotype" w:hAnsi="Palatino Linotype" w:cs="Palatino Linotype"/>
          <w:sz w:val="24"/>
          <w:szCs w:val="24"/>
        </w:rPr>
        <w:t>, visible en el Seminario Judicial de la Federación y su gaceta, con el registro digital 2002350.</w:t>
      </w: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D020A1" w:rsidRDefault="00D020A1">
      <w:pPr>
        <w:spacing w:after="0" w:line="360" w:lineRule="auto"/>
        <w:jc w:val="both"/>
        <w:rPr>
          <w:rFonts w:ascii="Palatino Linotype" w:eastAsia="Palatino Linotype" w:hAnsi="Palatino Linotype" w:cs="Palatino Linotype"/>
          <w:b/>
          <w:sz w:val="24"/>
          <w:szCs w:val="24"/>
        </w:rPr>
      </w:pPr>
    </w:p>
    <w:p w:rsidR="00D020A1" w:rsidRDefault="008E0717">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9. CIERRE DE INSTRUCCIÓN. </w:t>
      </w:r>
      <w:r>
        <w:rPr>
          <w:rFonts w:ascii="Palatino Linotype" w:eastAsia="Palatino Linotype" w:hAnsi="Palatino Linotype" w:cs="Palatino Linotype"/>
          <w:color w:val="000000"/>
          <w:sz w:val="24"/>
          <w:szCs w:val="24"/>
        </w:rPr>
        <w:t xml:space="preserve">El trece de julio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center"/>
        <w:rPr>
          <w:rFonts w:ascii="Palatino Linotype" w:eastAsia="Palatino Linotype" w:hAnsi="Palatino Linotype" w:cs="Palatino Linotype"/>
          <w:b/>
          <w:sz w:val="24"/>
          <w:szCs w:val="24"/>
        </w:rPr>
      </w:pPr>
      <w:bookmarkStart w:id="9" w:name="_heading=h.2s8eyo1" w:colFirst="0" w:colLast="0"/>
      <w:bookmarkEnd w:id="9"/>
      <w:r>
        <w:rPr>
          <w:rFonts w:ascii="Palatino Linotype" w:eastAsia="Palatino Linotype" w:hAnsi="Palatino Linotype" w:cs="Palatino Linotype"/>
          <w:b/>
          <w:sz w:val="24"/>
          <w:szCs w:val="24"/>
        </w:rPr>
        <w:t>CONSIDERANDOS:</w:t>
      </w:r>
    </w:p>
    <w:p w:rsidR="00D020A1" w:rsidRDefault="00D020A1">
      <w:pPr>
        <w:spacing w:after="0" w:line="360" w:lineRule="auto"/>
        <w:jc w:val="center"/>
        <w:rPr>
          <w:rFonts w:ascii="Palatino Linotype" w:eastAsia="Palatino Linotype" w:hAnsi="Palatino Linotype" w:cs="Palatino Linotype"/>
          <w:b/>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COMPETENCIA.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es competente para conocer y resolver el presente recurso de revisión, </w:t>
      </w:r>
      <w:r>
        <w:rPr>
          <w:rFonts w:ascii="Palatino Linotype" w:eastAsia="Palatino Linotype" w:hAnsi="Palatino Linotype" w:cs="Palatino Linotype"/>
          <w:sz w:val="24"/>
          <w:szCs w:val="24"/>
        </w:rPr>
        <w:lastRenderedPageBreak/>
        <w:t>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PROCEDIBILIDAD DEL RECURSO DE REVISIÓN.  </w:t>
      </w:r>
      <w:r>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emitió la respuesta, toda vez que ésta fue pronunciada el día  catorce de abril de dos mil veintidós</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 xml:space="preserve">mientras que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interpuso el recurso de revisión en fecha dieciocho de abril de dos mil veintidós, es decir al siguiente día hábil, circunstancias que determina que se interpuso en tiempo. </w:t>
      </w:r>
    </w:p>
    <w:p w:rsidR="00D020A1" w:rsidRDefault="00D020A1">
      <w:pPr>
        <w:spacing w:after="0" w:line="360" w:lineRule="auto"/>
        <w:jc w:val="both"/>
        <w:rPr>
          <w:color w:val="000000"/>
        </w:rPr>
      </w:pPr>
    </w:p>
    <w:p w:rsidR="00D020A1" w:rsidRDefault="008E071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D020A1" w:rsidRDefault="008E0717">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seudónimo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rsidR="00D020A1" w:rsidRDefault="008E0717">
      <w:pPr>
        <w:spacing w:before="240"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sus razones o motivos de inconformidad, de acuerdo al artículo </w:t>
      </w:r>
      <w:r>
        <w:rPr>
          <w:rFonts w:ascii="Palatino Linotype" w:eastAsia="Palatino Linotype" w:hAnsi="Palatino Linotype" w:cs="Palatino Linotype"/>
          <w:sz w:val="24"/>
          <w:szCs w:val="24"/>
        </w:rPr>
        <w:lastRenderedPageBreak/>
        <w:t>179, fracción VIII de la Ley de Transparencia y Acceso a la Información Pública del Estado de México y Municipios; que a la letra dice:</w:t>
      </w:r>
    </w:p>
    <w:p w:rsidR="00D020A1" w:rsidRDefault="00D020A1">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rsidR="00D020A1" w:rsidRDefault="008E0717">
      <w:pPr>
        <w:pBdr>
          <w:top w:val="nil"/>
          <w:left w:val="nil"/>
          <w:bottom w:val="nil"/>
          <w:right w:val="nil"/>
          <w:between w:val="nil"/>
        </w:pBdr>
        <w:spacing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rsidR="00D020A1" w:rsidRDefault="008E071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p>
    <w:p w:rsidR="00D020A1" w:rsidRDefault="008E0717">
      <w:pPr>
        <w:pBdr>
          <w:top w:val="nil"/>
          <w:left w:val="nil"/>
          <w:bottom w:val="nil"/>
          <w:right w:val="nil"/>
          <w:between w:val="nil"/>
        </w:pBdr>
        <w:spacing w:before="240" w:after="0" w:line="360"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VIII. La notificación, entrega o puesta a disposición de información en una modalidad o formato distinto al solicitado;” (Sic)</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los expedientes electrónicos se advierte, que el tema sobre el que este Organismo Garante de Transparencia y Acceso a la Información se pronunciará será: verificar si las respuestas otorgadas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son adecuadas y suficientes para satisfacer el derecho de acceso a la información pública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oportuna.</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 xml:space="preserve">Es conveniente resaltar que la Ley de Transparencia de la Entidad, señala expresamente que toda la información generada, administrada o en posesión de los Sujetos Obligados, derivado del ejercicio de sus atribuciones debe ser accesible de manera permanente </w:t>
      </w:r>
      <w:r>
        <w:rPr>
          <w:rFonts w:ascii="Palatino Linotype" w:eastAsia="Palatino Linotype" w:hAnsi="Palatino Linotype" w:cs="Palatino Linotype"/>
          <w:sz w:val="24"/>
          <w:szCs w:val="24"/>
        </w:rPr>
        <w:lastRenderedPageBreak/>
        <w:t>a cualquier persona, ello en privilegio del principio de máxima publicidad, en razón de que tiene el carácter de ser pública, tal y como se lee a continuación:</w:t>
      </w:r>
    </w:p>
    <w:p w:rsidR="00D020A1" w:rsidRDefault="00D020A1">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rsidR="00D020A1" w:rsidRDefault="008E0717">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020A1" w:rsidRDefault="008E0717">
      <w:pPr>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020A1" w:rsidRDefault="00D020A1">
      <w:pPr>
        <w:ind w:left="851" w:right="900"/>
        <w:jc w:val="both"/>
        <w:rPr>
          <w:rFonts w:ascii="Palatino Linotype" w:eastAsia="Palatino Linotype" w:hAnsi="Palatino Linotype" w:cs="Palatino Linotype"/>
        </w:rPr>
      </w:pPr>
    </w:p>
    <w:p w:rsidR="00D020A1" w:rsidRDefault="008E0717">
      <w:pPr>
        <w:spacing w:before="16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D020A1" w:rsidRDefault="008E0717">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020A1" w:rsidRDefault="00D020A1">
      <w:pPr>
        <w:spacing w:after="0" w:line="276"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pública.</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Aunado a ello el artículo 24 de la Ley de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sz w:val="24"/>
          <w:szCs w:val="24"/>
        </w:rPr>
        <w:t>cualquier otro registro que documente el ejercicio de las facultades, funciones y competencias de los Sujetos Obligados</w:t>
      </w:r>
      <w:r>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Pr>
          <w:rFonts w:ascii="Palatino Linotype" w:eastAsia="Palatino Linotype" w:hAnsi="Palatino Linotype" w:cs="Palatino Linotype"/>
        </w:rPr>
        <w:t xml:space="preserve"> </w:t>
      </w:r>
    </w:p>
    <w:p w:rsidR="00D020A1" w:rsidRDefault="00D020A1">
      <w:pPr>
        <w:spacing w:after="0" w:line="360" w:lineRule="auto"/>
        <w:jc w:val="both"/>
        <w:rPr>
          <w:rFonts w:ascii="Palatino Linotype" w:eastAsia="Palatino Linotype" w:hAnsi="Palatino Linotype" w:cs="Palatino Linotype"/>
        </w:rPr>
      </w:pPr>
    </w:p>
    <w:p w:rsidR="00D020A1" w:rsidRDefault="008E0717">
      <w:pPr>
        <w:spacing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rsidR="00D020A1" w:rsidRDefault="008E0717">
      <w:pPr>
        <w:spacing w:line="276" w:lineRule="auto"/>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rsidR="00D020A1" w:rsidRDefault="008E0717">
      <w:pPr>
        <w:spacing w:after="0" w:line="276" w:lineRule="auto"/>
        <w:ind w:left="1134"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rPr>
        <w:t>…</w:t>
      </w:r>
      <w:r>
        <w:rPr>
          <w:rFonts w:ascii="Palatino Linotype" w:eastAsia="Palatino Linotype" w:hAnsi="Palatino Linotype" w:cs="Palatino Linotype"/>
          <w:i/>
        </w:rPr>
        <w:t>”</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Pr>
          <w:rFonts w:ascii="Palatino Linotype" w:eastAsia="Palatino Linotype" w:hAnsi="Palatino Linotype" w:cs="Palatino Linotype"/>
          <w:sz w:val="24"/>
          <w:szCs w:val="24"/>
        </w:rPr>
        <w:lastRenderedPageBreak/>
        <w:t>Oficial del Gobierno del Estado Libre y Soberano de México “Gaceta del Gobierno”, el diecinueve de octubre de dos mil once, cuyo rubro y texto refieren lo siguiente:</w:t>
      </w:r>
    </w:p>
    <w:p w:rsidR="00D020A1" w:rsidRDefault="00D020A1">
      <w:pPr>
        <w:spacing w:after="120"/>
        <w:ind w:left="851" w:right="902"/>
        <w:jc w:val="both"/>
        <w:rPr>
          <w:rFonts w:ascii="Palatino Linotype" w:eastAsia="Palatino Linotype" w:hAnsi="Palatino Linotype" w:cs="Palatino Linotype"/>
          <w:b/>
        </w:rPr>
      </w:pPr>
    </w:p>
    <w:p w:rsidR="00D020A1" w:rsidRDefault="008E0717">
      <w:pPr>
        <w:spacing w:before="120" w:after="120"/>
        <w:ind w:left="851"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rsidR="00D020A1" w:rsidRDefault="008E0717">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020A1" w:rsidRDefault="008E0717">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rsidR="00D020A1" w:rsidRDefault="008E0717">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rsidR="00D020A1" w:rsidRDefault="008E0717">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D020A1" w:rsidRDefault="008E0717">
      <w:pPr>
        <w:spacing w:before="120" w:after="0" w:line="36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rsidR="00D020A1" w:rsidRDefault="00D020A1">
      <w:pPr>
        <w:spacing w:after="0" w:line="360" w:lineRule="auto"/>
        <w:jc w:val="both"/>
        <w:rPr>
          <w:rFonts w:ascii="Palatino Linotype" w:eastAsia="Palatino Linotype" w:hAnsi="Palatino Linotype" w:cs="Palatino Linotype"/>
          <w:color w:val="FF0000"/>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sentido, en términos generales, para que sea posible el ejercicio del Derecho de Acceso a la Información Pública, los requerimientos deben consistir en información que se encuentre registrada en cualquier soporte documental; ya sea, </w:t>
      </w:r>
      <w:r>
        <w:rPr>
          <w:rFonts w:ascii="Palatino Linotype" w:eastAsia="Palatino Linotype" w:hAnsi="Palatino Linotype" w:cs="Palatino Linotype"/>
          <w:sz w:val="24"/>
          <w:szCs w:val="24"/>
        </w:rPr>
        <w:lastRenderedPageBreak/>
        <w:t xml:space="preserve">porque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la generó o porque como parte del ejercicio de sus funciones la recibió y por consiguiente, la administra y posee. </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pBdr>
          <w:top w:val="nil"/>
          <w:left w:val="nil"/>
          <w:bottom w:val="nil"/>
          <w:right w:val="nil"/>
          <w:between w:val="nil"/>
        </w:pBdr>
        <w:spacing w:after="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del análisis de las solicitudes de información, motivo de los recursos de revisión que ahora se resuelven se advierte que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requirió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le proporcione, información consistente en lo siguiente:</w:t>
      </w:r>
    </w:p>
    <w:p w:rsidR="00D020A1" w:rsidRDefault="008E0717">
      <w:pPr>
        <w:spacing w:before="4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1.- En un periodo comprendido entre el año 2017 al 22 de marzo de 2022, requiero el número total de conexiones de tomas nuevas para agua potable como usuarios, es decir, de todas aquellas conexiones de las cuales se hayan brindado el servicio con una MANIFESTACIÓN DE BUENA FE; </w:t>
      </w:r>
    </w:p>
    <w:p w:rsidR="00D020A1" w:rsidRDefault="008E0717">
      <w:pPr>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2.- En un periodo comprendido entre el año 2017 al 22 de marzo de 2022, requiero el número total de conexiones de drenaje como usuarios, es decir, de todas aquellas conexiones de las cuales se hayan brindado el servicio con una MANIFESTACIÓN DE BUENA FE; </w:t>
      </w:r>
    </w:p>
    <w:p w:rsidR="00D020A1" w:rsidRDefault="008E0717">
      <w:pPr>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3.- Respecto del numeral 1, del número total de conexiones de agua, requiero únicamente los números de expedientes, folios o similar, para su identificación; </w:t>
      </w:r>
    </w:p>
    <w:p w:rsidR="00D020A1" w:rsidRDefault="008E0717">
      <w:pPr>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4.- Respecto del numeral 2, del número total de conexiones de drenaje, requiero únicamente los números de expedientes, folios o similar, para su identificación; </w:t>
      </w:r>
    </w:p>
    <w:p w:rsidR="00D020A1" w:rsidRDefault="008E0717">
      <w:pPr>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5.- En el mismo periodo comprendido entre el año 2017 al 22 de marzo de 2022, de los últimos 20 expedientes referentes a conexiones de tomas nuevas para agua </w:t>
      </w:r>
      <w:r>
        <w:rPr>
          <w:rFonts w:ascii="Palatino Linotype" w:eastAsia="Palatino Linotype" w:hAnsi="Palatino Linotype" w:cs="Palatino Linotype"/>
          <w:sz w:val="24"/>
          <w:szCs w:val="24"/>
        </w:rPr>
        <w:lastRenderedPageBreak/>
        <w:t xml:space="preserve">potable como usuarios, requiero la versión pública únicamente del documento que acredite el servicio brindado con la MANIFESTACIÓN DE BUENA FE y/o documento mediante el cual se acredite el servicio brindado como usuario; </w:t>
      </w:r>
    </w:p>
    <w:p w:rsidR="00D020A1" w:rsidRDefault="008E0717">
      <w:pPr>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6- En el mismo periodo comprendido entre el año 2017 al 22 de marzo de 2022, de los últimos 20 expedientes referentes a conexiones de drenaje como usuarios, requiero la versión pública únicamente del documento que acredite el servicio brindado con la MANIFESTACIÓN DE BUENA FE y/o documento mediante el cual se acredite el servicio brindado como usuario. </w:t>
      </w: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caso de no contar con la información total o parcial, requiero me sea comprobada la búsqueda exhaustiva; si después de dicha búsqueda no se localiza la información, requiero el acta del comité de transparencia donde se declare la inexistencia de la información, fundando y motivando las razones por las cuales no cuenta con dicha información.</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la respuesta,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señala que derivado de no contar con las capacidades, técnicas, administrativas y humanas, pone a disposición en modalidad de consulta directa la información solicitada. </w:t>
      </w:r>
    </w:p>
    <w:p w:rsidR="00D020A1" w:rsidRDefault="00D020A1">
      <w:pPr>
        <w:spacing w:after="0" w:line="360" w:lineRule="auto"/>
        <w:jc w:val="both"/>
        <w:rPr>
          <w:rFonts w:ascii="Palatino Linotype" w:eastAsia="Palatino Linotype" w:hAnsi="Palatino Linotype" w:cs="Palatino Linotype"/>
          <w:color w:val="000000"/>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Conocidas las respuestas por el particular, al no estar conforme con los términos de la mismas, presentó el recurso de revisión que nos ocupa, mediante el cual señaló </w:t>
      </w:r>
      <w:r>
        <w:rPr>
          <w:rFonts w:ascii="Palatino Linotype" w:eastAsia="Palatino Linotype" w:hAnsi="Palatino Linotype" w:cs="Palatino Linotype"/>
          <w:sz w:val="24"/>
          <w:szCs w:val="24"/>
        </w:rPr>
        <w:lastRenderedPageBreak/>
        <w:t xml:space="preserve">como motivo de inconformidad, en lo medular por el cambio de modalidad a consulta directa. </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tabs>
          <w:tab w:val="left" w:pos="8647"/>
        </w:tabs>
        <w:spacing w:after="0" w:line="360" w:lineRule="auto"/>
        <w:ind w:right="141"/>
        <w:jc w:val="both"/>
        <w:rPr>
          <w:sz w:val="24"/>
          <w:szCs w:val="24"/>
        </w:rPr>
      </w:pPr>
      <w:r>
        <w:rPr>
          <w:rFonts w:ascii="Palatino Linotype" w:eastAsia="Palatino Linotype" w:hAnsi="Palatino Linotype" w:cs="Palatino Linotype"/>
          <w:sz w:val="24"/>
          <w:szCs w:val="24"/>
        </w:rPr>
        <w:t xml:space="preserve">Cabe resaltar que </w:t>
      </w:r>
      <w:r>
        <w:rPr>
          <w:rFonts w:ascii="Palatino Linotype" w:eastAsia="Palatino Linotype" w:hAnsi="Palatino Linotype" w:cs="Palatino Linotype"/>
          <w:color w:val="000000"/>
          <w:sz w:val="24"/>
          <w:szCs w:val="24"/>
        </w:rPr>
        <w:t xml:space="preserve">durante la etapa de manifestaciones 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fue omiso de rendir alegatos, por lo que respecta al</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b/>
          <w:sz w:val="24"/>
          <w:szCs w:val="24"/>
        </w:rPr>
        <w:t>SUJETO</w:t>
      </w:r>
      <w:r>
        <w:rPr>
          <w:rFonts w:ascii="Palatino Linotype" w:eastAsia="Palatino Linotype" w:hAnsi="Palatino Linotype" w:cs="Palatino Linotype"/>
          <w:b/>
          <w:color w:val="000000"/>
          <w:sz w:val="24"/>
          <w:szCs w:val="24"/>
        </w:rPr>
        <w:t xml:space="preserve"> OBLIGADO</w:t>
      </w:r>
      <w:r>
        <w:rPr>
          <w:rFonts w:ascii="Palatino Linotype" w:eastAsia="Palatino Linotype" w:hAnsi="Palatino Linotype" w:cs="Palatino Linotype"/>
          <w:color w:val="000000"/>
          <w:sz w:val="24"/>
          <w:szCs w:val="24"/>
        </w:rPr>
        <w:t xml:space="preserve"> también </w:t>
      </w:r>
      <w:r>
        <w:rPr>
          <w:rFonts w:ascii="Palatino Linotype" w:eastAsia="Palatino Linotype" w:hAnsi="Palatino Linotype" w:cs="Palatino Linotype"/>
          <w:sz w:val="24"/>
          <w:szCs w:val="24"/>
        </w:rPr>
        <w:t>resultó</w:t>
      </w:r>
      <w:r>
        <w:rPr>
          <w:rFonts w:ascii="Palatino Linotype" w:eastAsia="Palatino Linotype" w:hAnsi="Palatino Linotype" w:cs="Palatino Linotype"/>
          <w:color w:val="000000"/>
          <w:sz w:val="24"/>
          <w:szCs w:val="24"/>
        </w:rPr>
        <w:t xml:space="preserve"> omiso de remitir sus informes justificados conforme a derecho les corresponde. </w:t>
      </w:r>
      <w:r>
        <w:rPr>
          <w:sz w:val="24"/>
          <w:szCs w:val="24"/>
        </w:rPr>
        <w:t xml:space="preserve"> </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ind w:right="-28"/>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al </w:t>
      </w:r>
      <w:r>
        <w:rPr>
          <w:rFonts w:ascii="Palatino Linotype" w:eastAsia="Palatino Linotype" w:hAnsi="Palatino Linotype" w:cs="Palatino Linotype"/>
          <w:b/>
          <w:sz w:val="24"/>
          <w:szCs w:val="24"/>
          <w:u w:val="single"/>
        </w:rPr>
        <w:t>respecto al cambio de modalidad a consulta directa</w:t>
      </w:r>
      <w:r>
        <w:rPr>
          <w:rFonts w:ascii="Palatino Linotype" w:eastAsia="Palatino Linotype" w:hAnsi="Palatino Linotype" w:cs="Palatino Linotype"/>
          <w:sz w:val="24"/>
          <w:szCs w:val="24"/>
        </w:rPr>
        <w:t xml:space="preserve"> conviene mencionar que </w:t>
      </w:r>
      <w:r>
        <w:rPr>
          <w:rFonts w:ascii="Palatino Linotype" w:eastAsia="Palatino Linotype" w:hAnsi="Palatino Linotype" w:cs="Palatino Linotype"/>
          <w:color w:val="000000"/>
          <w:sz w:val="24"/>
          <w:szCs w:val="24"/>
        </w:rPr>
        <w:t>e</w:t>
      </w:r>
      <w:r>
        <w:rPr>
          <w:rFonts w:ascii="Palatino Linotype" w:eastAsia="Palatino Linotype" w:hAnsi="Palatino Linotype" w:cs="Palatino Linotype"/>
          <w:sz w:val="24"/>
          <w:szCs w:val="24"/>
        </w:rPr>
        <w:t xml:space="preserve">l artículo 155, fracción V, de la Ley de Transparencia y Acceso a la Información Pública del Estado de México y Municipios, precisa que para presentar una solicitud, el particular podrá señalar </w:t>
      </w:r>
      <w:r>
        <w:rPr>
          <w:rFonts w:ascii="Palatino Linotype" w:eastAsia="Palatino Linotype" w:hAnsi="Palatino Linotype" w:cs="Palatino Linotype"/>
          <w:b/>
          <w:sz w:val="24"/>
          <w:szCs w:val="24"/>
        </w:rPr>
        <w:t>la modalidad en la que prefiere se otorgue el acceso a la información</w:t>
      </w:r>
      <w:r>
        <w:rPr>
          <w:rFonts w:ascii="Palatino Linotype" w:eastAsia="Palatino Linotype" w:hAnsi="Palatino Linotype" w:cs="Palatino Linotype"/>
          <w:sz w:val="24"/>
          <w:szCs w:val="24"/>
        </w:rPr>
        <w:t>, la cual podrá ser verbal, siempre y cuando sea para fines de orientación, mediante consulta directa, mediante la expedición de copias simples o certificadas o la reproducción en cualquier otro medio, incluidos los electrónicos.</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El artículo 158, dispone que, de manera excepcional, cuando de manera fundada y motivada lo determine el Sujeto Obligado, </w:t>
      </w:r>
      <w:r>
        <w:rPr>
          <w:rFonts w:ascii="Palatino Linotype" w:eastAsia="Palatino Linotype" w:hAnsi="Palatino Linotype" w:cs="Palatino Linotype"/>
          <w:b/>
          <w:sz w:val="24"/>
          <w:szCs w:val="24"/>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00D020A1" w:rsidRDefault="00D020A1">
      <w:pPr>
        <w:spacing w:after="0" w:line="360" w:lineRule="auto"/>
        <w:jc w:val="both"/>
        <w:rPr>
          <w:rFonts w:ascii="Palatino Linotype" w:eastAsia="Palatino Linotype" w:hAnsi="Palatino Linotype" w:cs="Palatino Linotype"/>
          <w:b/>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ese orden de ideas, el artículo 164 de dicho ordenamiento jurídico, prevé que el acceso se dará en la modalidad de entrega y, en su caso, de envío elegidos por al solicitante. </w:t>
      </w:r>
      <w:r>
        <w:rPr>
          <w:rFonts w:ascii="Palatino Linotype" w:eastAsia="Palatino Linotype" w:hAnsi="Palatino Linotype" w:cs="Palatino Linotype"/>
          <w:b/>
          <w:sz w:val="24"/>
          <w:szCs w:val="24"/>
        </w:rPr>
        <w:t>Cuando la información no pueda entregarse o enviarse en la modalidad elegida, el sujeto obligado deberá ofrecer otra u otras modalidades de entrega.</w:t>
      </w:r>
      <w:r>
        <w:rPr>
          <w:rFonts w:ascii="Palatino Linotype" w:eastAsia="Palatino Linotype" w:hAnsi="Palatino Linotype" w:cs="Palatino Linotype"/>
          <w:sz w:val="24"/>
          <w:szCs w:val="24"/>
        </w:rPr>
        <w:t xml:space="preserve"> En cualquier caso, </w:t>
      </w:r>
      <w:r>
        <w:rPr>
          <w:rFonts w:ascii="Palatino Linotype" w:eastAsia="Palatino Linotype" w:hAnsi="Palatino Linotype" w:cs="Palatino Linotype"/>
          <w:b/>
          <w:sz w:val="24"/>
          <w:szCs w:val="24"/>
        </w:rPr>
        <w:t>se deberá fundar y motivar</w:t>
      </w:r>
      <w:r>
        <w:rPr>
          <w:rFonts w:ascii="Palatino Linotype" w:eastAsia="Palatino Linotype" w:hAnsi="Palatino Linotype" w:cs="Palatino Linotype"/>
          <w:sz w:val="24"/>
          <w:szCs w:val="24"/>
        </w:rPr>
        <w:t xml:space="preserve"> la necesidad de ofrecer otras modalidades.</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Pr>
          <w:rFonts w:ascii="Palatino Linotype" w:eastAsia="Palatino Linotype" w:hAnsi="Palatino Linotype" w:cs="Palatino Linotype"/>
          <w:b/>
          <w:sz w:val="24"/>
          <w:szCs w:val="24"/>
        </w:rPr>
        <w:t>en la medida de lo posible, en la forma solicitada por el interesado, salvo que exista un impedimento justificado para atenderla</w:t>
      </w:r>
      <w:r>
        <w:rPr>
          <w:rFonts w:ascii="Palatino Linotype" w:eastAsia="Palatino Linotype" w:hAnsi="Palatino Linotype" w:cs="Palatino Linotype"/>
          <w:sz w:val="24"/>
          <w:szCs w:val="24"/>
        </w:rPr>
        <w:t xml:space="preserve">, en cuyo caso, deberán exponerse las razones por las cuales no es posible utilizar el medio de reproducción solicitado; en este sentido, la entrega de la información en una modalidad distinta a la elegida por la particular </w:t>
      </w:r>
      <w:r>
        <w:rPr>
          <w:rFonts w:ascii="Palatino Linotype" w:eastAsia="Palatino Linotype" w:hAnsi="Palatino Linotype" w:cs="Palatino Linotype"/>
          <w:b/>
          <w:sz w:val="24"/>
          <w:szCs w:val="24"/>
        </w:rPr>
        <w:t>sólo procede, en caso de que se acredite la imposibilidad de atenderla.</w:t>
      </w:r>
      <w:r>
        <w:rPr>
          <w:rFonts w:ascii="Palatino Linotype" w:eastAsia="Palatino Linotype" w:hAnsi="Palatino Linotype" w:cs="Palatino Linotype"/>
          <w:sz w:val="24"/>
          <w:szCs w:val="24"/>
        </w:rPr>
        <w:t xml:space="preserve"> </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cuando se justifique el impedimento, </w:t>
      </w:r>
      <w:r>
        <w:rPr>
          <w:rFonts w:ascii="Palatino Linotype" w:eastAsia="Palatino Linotype" w:hAnsi="Palatino Linotype" w:cs="Palatino Linotype"/>
          <w:b/>
          <w:sz w:val="24"/>
          <w:szCs w:val="24"/>
        </w:rPr>
        <w:t>los Sujetos Obligados deberán ofrecer al particular otras modalidades de entrega que permita la información</w:t>
      </w:r>
      <w:r>
        <w:rPr>
          <w:rFonts w:ascii="Palatino Linotype" w:eastAsia="Palatino Linotype" w:hAnsi="Palatino Linotype" w:cs="Palatino Linotype"/>
          <w:sz w:val="24"/>
          <w:szCs w:val="24"/>
        </w:rPr>
        <w:t xml:space="preserve">, como consulta directa en las oficinas de la Unidad de Transparencia; lo anterior, es robustecido con el Criterio 08/17, emitido por el Pleno del Instituto Nacional de </w:t>
      </w:r>
      <w:r>
        <w:rPr>
          <w:rFonts w:ascii="Palatino Linotype" w:eastAsia="Palatino Linotype" w:hAnsi="Palatino Linotype" w:cs="Palatino Linotype"/>
          <w:sz w:val="24"/>
          <w:szCs w:val="24"/>
        </w:rPr>
        <w:lastRenderedPageBreak/>
        <w:t>Transparencia, Acceso a la Información y Protección de Datos Personales, el cual establece lo siguiente:</w:t>
      </w:r>
    </w:p>
    <w:p w:rsidR="00D020A1" w:rsidRDefault="00D020A1">
      <w:pPr>
        <w:spacing w:after="0" w:line="360" w:lineRule="auto"/>
        <w:jc w:val="both"/>
        <w:rPr>
          <w:rFonts w:ascii="Palatino Linotype" w:eastAsia="Palatino Linotype" w:hAnsi="Palatino Linotype" w:cs="Palatino Linotype"/>
        </w:rPr>
      </w:pPr>
    </w:p>
    <w:p w:rsidR="00D020A1" w:rsidRDefault="008E0717">
      <w:pPr>
        <w:spacing w:after="0" w:line="360" w:lineRule="auto"/>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“Modalidad de entrega. Procedencia de proporcionar la información solicitada en una diversa a la elegida por el solicitante.</w:t>
      </w:r>
      <w:r>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D020A1" w:rsidRDefault="00D020A1">
      <w:pPr>
        <w:spacing w:after="0" w:line="360" w:lineRule="auto"/>
        <w:jc w:val="both"/>
        <w:rPr>
          <w:rFonts w:ascii="Palatino Linotype" w:eastAsia="Palatino Linotype" w:hAnsi="Palatino Linotype" w:cs="Palatino Linotype"/>
        </w:rPr>
      </w:pPr>
    </w:p>
    <w:p w:rsidR="00D020A1" w:rsidRDefault="008E0717">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Pr>
          <w:rFonts w:ascii="Palatino Linotype" w:eastAsia="Palatino Linotype" w:hAnsi="Palatino Linotype" w:cs="Palatino Linotype"/>
          <w:b/>
          <w:sz w:val="24"/>
          <w:szCs w:val="24"/>
        </w:rPr>
        <w:t>información en todas las modalidades que lo permitan, procurando reducir los costos de entrega.</w:t>
      </w: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menester recordar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respuesta en un ejercicio de máxima publicidad pretendió la entrega de toda la información solicitada; así pues, planteó un cambio de modalidad al considerar que la información rebasa sus capacidades técnicas, administrativas y humanas.</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Ya que se debe recordar que este Organismo Garante solicitó a través de correo electrónico al Personal de la Dirección General de Informática, que señalará si el </w:t>
      </w:r>
      <w:r>
        <w:rPr>
          <w:rFonts w:ascii="Palatino Linotype" w:eastAsia="Palatino Linotype" w:hAnsi="Palatino Linotype" w:cs="Palatino Linotype"/>
          <w:b/>
          <w:sz w:val="24"/>
          <w:szCs w:val="24"/>
        </w:rPr>
        <w:lastRenderedPageBreak/>
        <w:t>SUJETO OBLIGADO</w:t>
      </w:r>
      <w:r>
        <w:rPr>
          <w:rFonts w:ascii="Palatino Linotype" w:eastAsia="Palatino Linotype" w:hAnsi="Palatino Linotype" w:cs="Palatino Linotype"/>
          <w:sz w:val="24"/>
          <w:szCs w:val="24"/>
        </w:rPr>
        <w:t xml:space="preserve"> inscribió en la bitácora alguna incidencia, en la cual se informará a este Instituto una imposibilidad para subir la información al Sistema de Acceso a la Información Mexiquense (SAIMEX), resultado de dicha consulta, la Dirección General de Informática del INFOEM, señaló mediante correo electrónico institucional, lo siguiente:</w:t>
      </w:r>
    </w:p>
    <w:p w:rsidR="00D020A1" w:rsidRDefault="008E0717">
      <w:pPr>
        <w:spacing w:after="0" w:line="360" w:lineRule="auto"/>
        <w:jc w:val="both"/>
        <w:rPr>
          <w:rFonts w:ascii="Palatino Linotype" w:eastAsia="Palatino Linotype" w:hAnsi="Palatino Linotype" w:cs="Palatino Linotype"/>
          <w:sz w:val="24"/>
          <w:szCs w:val="24"/>
        </w:rPr>
      </w:pPr>
      <w:r>
        <w:rPr>
          <w:noProof/>
        </w:rPr>
        <w:drawing>
          <wp:inline distT="0" distB="0" distL="0" distR="0">
            <wp:extent cx="5575292" cy="612342"/>
            <wp:effectExtent l="0" t="0" r="0" b="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16802" t="35819" r="1053" b="50211"/>
                    <a:stretch>
                      <a:fillRect/>
                    </a:stretch>
                  </pic:blipFill>
                  <pic:spPr>
                    <a:xfrm>
                      <a:off x="0" y="0"/>
                      <a:ext cx="5575292" cy="612342"/>
                    </a:xfrm>
                    <a:prstGeom prst="rect">
                      <a:avLst/>
                    </a:prstGeom>
                    <a:ln/>
                  </pic:spPr>
                </pic:pic>
              </a:graphicData>
            </a:graphic>
          </wp:inline>
        </w:drawing>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pues, este Instituto no tiene constancias de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informará de alguna incidencia para subir la información al Sistema de Acceso a la Información Mexiquense (SAIMEX).</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color w:val="FF0000"/>
          <w:sz w:val="24"/>
          <w:szCs w:val="24"/>
        </w:rPr>
      </w:pPr>
      <w:r>
        <w:rPr>
          <w:rFonts w:ascii="Palatino Linotype" w:eastAsia="Palatino Linotype" w:hAnsi="Palatino Linotype" w:cs="Palatino Linotype"/>
          <w:sz w:val="24"/>
          <w:szCs w:val="24"/>
        </w:rPr>
        <w:t>Aunado a lo anterior, la Dirección General de Informática señaló que el Sistema de Acceso a la Información Mexiquense (SAIMEX), cuenta con la capacidad de recibir archivos con un peso aproximado de hasta 500Mb, que corresponde a un aproximado de 8,000 hojas.</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sentido se tiene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aportó elementos suficientes para validar el cambio de modalidad solicitado.</w:t>
      </w:r>
    </w:p>
    <w:p w:rsidR="00D020A1" w:rsidRDefault="008E0717">
      <w:pPr>
        <w:widowControl w:val="0"/>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según Calero, Natalia (2016), en la “Ley General de Transparencia y Acceso a la Información Pública Comentada” (pág. 401), cuando los sujetos obligados ofrezcan como modalidad de entrega de la información, consulta directa, estos </w:t>
      </w:r>
      <w:r>
        <w:rPr>
          <w:rFonts w:ascii="Palatino Linotype" w:eastAsia="Palatino Linotype" w:hAnsi="Palatino Linotype" w:cs="Palatino Linotype"/>
          <w:sz w:val="24"/>
          <w:szCs w:val="24"/>
        </w:rPr>
        <w:lastRenderedPageBreak/>
        <w:t>deberán fundar y motivar las razones por las cuales no es posible otorgar el acceso a los documentos de otra forma; además que se deberá explicar de manera detallada lo siguiente:</w:t>
      </w:r>
    </w:p>
    <w:p w:rsidR="00D020A1" w:rsidRDefault="00D020A1">
      <w:pPr>
        <w:spacing w:after="0" w:line="360" w:lineRule="auto"/>
        <w:jc w:val="both"/>
        <w:rPr>
          <w:rFonts w:ascii="Palatino Linotype" w:eastAsia="Palatino Linotype" w:hAnsi="Palatino Linotype" w:cs="Palatino Linotype"/>
        </w:rPr>
      </w:pPr>
    </w:p>
    <w:p w:rsidR="00D020A1" w:rsidRDefault="008E0717">
      <w:pPr>
        <w:numPr>
          <w:ilvl w:val="0"/>
          <w:numId w:val="1"/>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Las razones por las cuales la información implicaba un análisis, estudio o procesamiento de datos;</w:t>
      </w:r>
    </w:p>
    <w:p w:rsidR="00D020A1" w:rsidRDefault="00D020A1">
      <w:pPr>
        <w:spacing w:after="0" w:line="360" w:lineRule="auto"/>
        <w:ind w:left="720"/>
        <w:jc w:val="both"/>
        <w:rPr>
          <w:rFonts w:ascii="Palatino Linotype" w:eastAsia="Palatino Linotype" w:hAnsi="Palatino Linotype" w:cs="Palatino Linotype"/>
          <w:sz w:val="24"/>
          <w:szCs w:val="24"/>
        </w:rPr>
      </w:pPr>
    </w:p>
    <w:p w:rsidR="00D020A1" w:rsidRDefault="008E0717">
      <w:pPr>
        <w:numPr>
          <w:ilvl w:val="0"/>
          <w:numId w:val="1"/>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qué motivo el tiempo, que se le otorga al Sujeto Obligado para dar respuesta, en la modalidad elegida a la solicitud de información, no le es suficiente, y</w:t>
      </w:r>
    </w:p>
    <w:p w:rsidR="00D020A1" w:rsidRDefault="00D020A1">
      <w:pPr>
        <w:spacing w:after="0" w:line="360" w:lineRule="auto"/>
        <w:ind w:left="720"/>
        <w:rPr>
          <w:rFonts w:ascii="Palatino Linotype" w:eastAsia="Palatino Linotype" w:hAnsi="Palatino Linotype" w:cs="Palatino Linotype"/>
          <w:sz w:val="24"/>
          <w:szCs w:val="24"/>
        </w:rPr>
      </w:pPr>
    </w:p>
    <w:p w:rsidR="00D020A1" w:rsidRDefault="008E0717">
      <w:pPr>
        <w:numPr>
          <w:ilvl w:val="0"/>
          <w:numId w:val="1"/>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La cantidad de recursos humanos y materiales con los que cuenta el Sujeto Obligado son insuficientes.</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el Director Técnico de Construcción Operación y Mantenimiento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preciso que ponía a disposición del ahora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la documentación peticionada en consulta directa, por no contar con las capacidades técnicas, administrativas y humanas para otorgar respuesta.</w:t>
      </w:r>
    </w:p>
    <w:p w:rsidR="00D020A1" w:rsidRDefault="008E0717">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p>
    <w:p w:rsidR="00D020A1" w:rsidRDefault="008E0717">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ese contexto, este Instituto considera que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no preciso la siguiente circunstancia:</w:t>
      </w:r>
    </w:p>
    <w:p w:rsidR="00D020A1" w:rsidRDefault="008E0717">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El número de hojas o peso aproximado de la información solicitada, del cual se pudiera conocer cuántos documentos había generado y recibido las áreas, o bien, cuando menos un aproximado.</w:t>
      </w:r>
    </w:p>
    <w:p w:rsidR="00D020A1" w:rsidRDefault="00D020A1">
      <w:pPr>
        <w:pBdr>
          <w:top w:val="nil"/>
          <w:left w:val="nil"/>
          <w:bottom w:val="nil"/>
          <w:right w:val="nil"/>
          <w:between w:val="nil"/>
        </w:pBdr>
        <w:spacing w:after="0" w:line="360" w:lineRule="auto"/>
        <w:ind w:left="780"/>
        <w:jc w:val="both"/>
        <w:rPr>
          <w:rFonts w:ascii="Palatino Linotype" w:eastAsia="Palatino Linotype" w:hAnsi="Palatino Linotype" w:cs="Palatino Linotype"/>
          <w:color w:val="000000"/>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tampoco acreditó que lo peticionado implicaba un análisis, procesamiento o estudio de documentos cuya reproducción sobrepasará las capacidades técnicas, administrativas y humanas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pues como se refirió, no se precisó el número de personas que se encontraban en las áreas, ni número de hojas aproximadas de lo solicitado, o bien, si lo peticionado, se encontraba en uno o varios expedientes; esto es, no proporcionó los elementos suficientes para acreditar el cambio de modalidad, pues la justificación se basó únicamente en que sobrepasaba las capacidades humanas y técnicas, sin acreditar su dicho.</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w:t>
      </w:r>
      <w:r>
        <w:rPr>
          <w:rFonts w:ascii="Palatino Linotype" w:eastAsia="Palatino Linotype" w:hAnsi="Palatino Linotype" w:cs="Palatino Linotype"/>
          <w:sz w:val="24"/>
          <w:szCs w:val="24"/>
        </w:rPr>
        <w:lastRenderedPageBreak/>
        <w:t xml:space="preserve">directa, sino que los sujetos obligados, deben de buscar la posibilidad de proporcionarla en las otras formas que establecen en la Ley, ya sean electrónicas o físicas. </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tabs>
          <w:tab w:val="left" w:pos="975"/>
        </w:tabs>
        <w:spacing w:after="0" w:line="360" w:lineRule="auto"/>
        <w:jc w:val="both"/>
        <w:rPr>
          <w:rFonts w:ascii="Palatino Linotype" w:eastAsia="Palatino Linotype" w:hAnsi="Palatino Linotype" w:cs="Palatino Linotype"/>
          <w:sz w:val="24"/>
          <w:szCs w:val="24"/>
        </w:rPr>
      </w:pPr>
      <w:bookmarkStart w:id="10" w:name="_heading=h.3rdcrjn" w:colFirst="0" w:colLast="0"/>
      <w:bookmarkEnd w:id="10"/>
      <w:r>
        <w:rPr>
          <w:rFonts w:ascii="Palatino Linotype" w:eastAsia="Palatino Linotype" w:hAnsi="Palatino Linotype" w:cs="Palatino Linotype"/>
          <w:sz w:val="24"/>
          <w:szCs w:val="24"/>
        </w:rPr>
        <w:t xml:space="preserve">Por lo anterior, se advierte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w:t>
      </w:r>
      <w:r>
        <w:rPr>
          <w:rFonts w:ascii="Palatino Linotype" w:eastAsia="Palatino Linotype" w:hAnsi="Palatino Linotype" w:cs="Palatino Linotype"/>
          <w:b/>
          <w:sz w:val="24"/>
          <w:szCs w:val="24"/>
        </w:rPr>
        <w:t>FUNDADOS</w:t>
      </w:r>
      <w:r>
        <w:rPr>
          <w:rFonts w:ascii="Palatino Linotype" w:eastAsia="Palatino Linotype" w:hAnsi="Palatino Linotype" w:cs="Palatino Linotype"/>
          <w:sz w:val="24"/>
          <w:szCs w:val="24"/>
        </w:rPr>
        <w:t>; situación que se robustece, con el hecho de que tampoco vio la posibilidad de poner a disposición la información, en el resto de modalidades establecidas en la Ley de la materia.</w:t>
      </w:r>
    </w:p>
    <w:p w:rsidR="00D020A1" w:rsidRDefault="00D020A1">
      <w:pPr>
        <w:tabs>
          <w:tab w:val="left" w:pos="975"/>
        </w:tabs>
        <w:spacing w:after="0" w:line="360" w:lineRule="auto"/>
        <w:jc w:val="both"/>
        <w:rPr>
          <w:rFonts w:ascii="Palatino Linotype" w:eastAsia="Palatino Linotype" w:hAnsi="Palatino Linotype" w:cs="Palatino Linotype"/>
          <w:sz w:val="24"/>
          <w:szCs w:val="24"/>
        </w:rPr>
      </w:pPr>
    </w:p>
    <w:p w:rsidR="00D020A1" w:rsidRDefault="008E0717">
      <w:pPr>
        <w:tabs>
          <w:tab w:val="left" w:pos="1140"/>
        </w:tabs>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este sentido este Instituto considera</w:t>
      </w:r>
      <w:r>
        <w:rPr>
          <w:rFonts w:ascii="Palatino Linotype" w:eastAsia="Palatino Linotype" w:hAnsi="Palatino Linotype" w:cs="Palatino Linotype"/>
          <w:color w:val="000000"/>
          <w:sz w:val="24"/>
          <w:szCs w:val="24"/>
        </w:rPr>
        <w:t xml:space="preserve"> oportuno referir </w:t>
      </w:r>
      <w:r>
        <w:rPr>
          <w:rFonts w:ascii="Palatino Linotype" w:eastAsia="Palatino Linotype" w:hAnsi="Palatino Linotype" w:cs="Palatino Linotype"/>
          <w:sz w:val="24"/>
          <w:szCs w:val="24"/>
        </w:rPr>
        <w:t xml:space="preserve">el siguiente manual de procedimientos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p>
    <w:p w:rsidR="00D020A1" w:rsidRDefault="008E0717">
      <w:pPr>
        <w:spacing w:before="240" w:after="240" w:line="360" w:lineRule="auto"/>
        <w:ind w:left="851" w:right="900"/>
        <w:jc w:val="both"/>
        <w:rPr>
          <w:rFonts w:ascii="Palatino Linotype" w:eastAsia="Palatino Linotype" w:hAnsi="Palatino Linotype" w:cs="Palatino Linotype"/>
          <w:b/>
          <w:i/>
        </w:rPr>
      </w:pPr>
      <w:r>
        <w:rPr>
          <w:rFonts w:ascii="Palatino Linotype" w:eastAsia="Palatino Linotype" w:hAnsi="Palatino Linotype" w:cs="Palatino Linotype"/>
          <w:b/>
          <w:i/>
        </w:rPr>
        <w:t>MANUAL INTEGRAL DE PROCEDIMIENTOS DEL O.P.D.S.A.P.A.S.E</w:t>
      </w:r>
    </w:p>
    <w:p w:rsidR="00D020A1" w:rsidRDefault="008E0717">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11.1 Usuario del S.A.P.A.S.E</w:t>
      </w:r>
    </w:p>
    <w:p w:rsidR="00D020A1" w:rsidRDefault="008E0717">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INICIO</w:t>
      </w:r>
    </w:p>
    <w:p w:rsidR="00D020A1" w:rsidRDefault="008E0717">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Solicita información para contratación de toma para suministro de agua potable y/o conexión de drenaje uso domestico.</w:t>
      </w:r>
    </w:p>
    <w:p w:rsidR="00D020A1" w:rsidRDefault="008E0717">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11.2 Auxiliar de oficina Le atiende y le pregunta si su alta es por lote baldío o por casa habitación.</w:t>
      </w:r>
    </w:p>
    <w:p w:rsidR="00D020A1" w:rsidRDefault="008E0717">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11.3 Usuario Da respuesta</w:t>
      </w:r>
    </w:p>
    <w:p w:rsidR="00D020A1" w:rsidRDefault="008E0717">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11.4 Auxiliar de oficina De acuerdo a la respuesta le informa lo siguiente:</w:t>
      </w:r>
    </w:p>
    <w:p w:rsidR="00D020A1" w:rsidRDefault="008E0717">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Si es alta por lote baldío le informa al usuario que para este tipo de altas es necesario realizar una inspección y procede a llenar el Reporte de Inspección y verificación, entregándole una copia y en un lapso de 7 días hábiles pase al área de atención a usuarios con cualquiera de la siguiente documentación en original y copia:</w:t>
      </w:r>
    </w:p>
    <w:p w:rsidR="00D020A1" w:rsidRDefault="008E0717">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escrituras del predio notariadas</w:t>
      </w:r>
    </w:p>
    <w:p w:rsidR="00D020A1" w:rsidRDefault="008E0717">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acta entrega recepción</w:t>
      </w:r>
    </w:p>
    <w:p w:rsidR="00D020A1" w:rsidRDefault="008E0717">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contrato de compraventa notarial</w:t>
      </w:r>
    </w:p>
    <w:p w:rsidR="00D020A1" w:rsidRDefault="008E0717">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así como el importe a pagar para informarle el resultado de la inspección y</w:t>
      </w:r>
    </w:p>
    <w:p w:rsidR="00D020A1" w:rsidRDefault="008E0717">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el caso de que la inspección resulte aceptada proceda a realizar su trámite.</w:t>
      </w:r>
    </w:p>
    <w:p w:rsidR="00D020A1" w:rsidRDefault="008E0717">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La copia es entregada al encargado de oficina.</w:t>
      </w:r>
    </w:p>
    <w:p w:rsidR="00D020A1" w:rsidRDefault="008E0717">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Si es alta por casa habitación se le informa el importe a pagar y se le solicita</w:t>
      </w:r>
    </w:p>
    <w:p w:rsidR="00D020A1" w:rsidRDefault="008E0717">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presente cualquiera de la siguiente documentación en original y copia:</w:t>
      </w:r>
    </w:p>
    <w:p w:rsidR="00D020A1" w:rsidRDefault="008E0717">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escrituras del predio notariado</w:t>
      </w:r>
    </w:p>
    <w:p w:rsidR="00D020A1" w:rsidRDefault="008E0717">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acta entrega recepción</w:t>
      </w:r>
    </w:p>
    <w:p w:rsidR="00D020A1" w:rsidRDefault="008E0717">
      <w:pPr>
        <w:spacing w:before="240"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contrato de compraventa notarial</w:t>
      </w:r>
    </w:p>
    <w:p w:rsidR="00D020A1" w:rsidRDefault="00D020A1">
      <w:pPr>
        <w:spacing w:after="0" w:line="360" w:lineRule="auto"/>
        <w:ind w:left="851" w:right="900"/>
        <w:jc w:val="both"/>
        <w:rPr>
          <w:rFonts w:ascii="Palatino Linotype" w:eastAsia="Palatino Linotype" w:hAnsi="Palatino Linotype" w:cs="Palatino Linotype"/>
          <w:b/>
          <w:i/>
        </w:rPr>
      </w:pPr>
    </w:p>
    <w:p w:rsidR="00D020A1" w:rsidRDefault="008E0717">
      <w:pPr>
        <w:tabs>
          <w:tab w:val="left" w:pos="5614"/>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expuesto con anterioridad, se desprende que en efecto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realiza conexiones al servicio de agua potable y drenaje, en lotes baldíos y en casa habitación, en el cual a efecto de realizar dicho trámite solicita diversos requisitos.</w:t>
      </w:r>
    </w:p>
    <w:p w:rsidR="00D020A1" w:rsidRDefault="00D020A1">
      <w:pPr>
        <w:tabs>
          <w:tab w:val="left" w:pos="5614"/>
        </w:tabs>
        <w:spacing w:after="0" w:line="360" w:lineRule="auto"/>
        <w:jc w:val="both"/>
        <w:rPr>
          <w:rFonts w:ascii="Palatino Linotype" w:eastAsia="Palatino Linotype" w:hAnsi="Palatino Linotype" w:cs="Palatino Linotype"/>
          <w:i/>
          <w:color w:val="000000"/>
        </w:rPr>
      </w:pPr>
    </w:p>
    <w:p w:rsidR="00D020A1" w:rsidRDefault="008E0717">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Asimismo, se considera oportuno referir la siguiente normatividad: </w:t>
      </w:r>
    </w:p>
    <w:p w:rsidR="00D020A1" w:rsidRDefault="00D020A1">
      <w:pPr>
        <w:tabs>
          <w:tab w:val="left" w:pos="5614"/>
        </w:tabs>
        <w:spacing w:after="0" w:line="360" w:lineRule="auto"/>
        <w:jc w:val="both"/>
        <w:rPr>
          <w:rFonts w:ascii="Palatino Linotype" w:eastAsia="Palatino Linotype" w:hAnsi="Palatino Linotype" w:cs="Palatino Linotype"/>
          <w:sz w:val="24"/>
          <w:szCs w:val="24"/>
        </w:rPr>
      </w:pPr>
    </w:p>
    <w:p w:rsidR="00D020A1" w:rsidRDefault="008E0717">
      <w:pPr>
        <w:spacing w:line="360" w:lineRule="auto"/>
        <w:ind w:left="851" w:right="900"/>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REGLAMENTO INTERNO DE LA ADMINISTRACIÓN PÚBLICA MUNICIPAL DE ECATEPEC DE MORELOS</w:t>
      </w:r>
    </w:p>
    <w:p w:rsidR="00D020A1" w:rsidRDefault="008E0717">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Artículo 61. El Organismo se encargará de otorgar la prestación del servicio público de agua potable, alcantarillado y saneamiento, dentro de la competencia territorial del Municipio de Ecatepec de Morelos, Estado de México.</w:t>
      </w:r>
      <w:r>
        <w:rPr>
          <w:rFonts w:ascii="Palatino Linotype" w:eastAsia="Palatino Linotype" w:hAnsi="Palatino Linotype" w:cs="Palatino Linotype"/>
          <w:i/>
        </w:rPr>
        <w:br/>
        <w:t>Artículo 63. Al Organismo Público Descentralizado para la prestación de los Servicios de Agua Potable, Alcantarillado y Saneamiento de Ecatepec de Morelos, le corresponden las siguientes atribuciones:</w:t>
      </w:r>
    </w:p>
    <w:p w:rsidR="00D020A1" w:rsidRDefault="008E0717">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 Prestar dentro del territorio Municipal y conforme a las leyes y disposiciones jurídicas aplicables, los servicios de suministro de agua potable, drenaje y tratamiento de aguas residuales;</w:t>
      </w:r>
    </w:p>
    <w:p w:rsidR="00D020A1" w:rsidRDefault="008E0717">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rsidR="00D020A1" w:rsidRDefault="008E0717">
      <w:pPr>
        <w:spacing w:after="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III. Planear y programar la prestación de los servicios de suministro de agua potable, drenaje, saneamiento y tratamiento de aguas residuales, en los términos de la Ley del Agua para el Estado de México y Municipios y de otros ordenamientos legales aplicables;</w:t>
      </w:r>
    </w:p>
    <w:p w:rsidR="00D020A1" w:rsidRDefault="00D020A1">
      <w:pPr>
        <w:spacing w:after="0" w:line="360" w:lineRule="auto"/>
        <w:ind w:left="851" w:right="900"/>
        <w:jc w:val="both"/>
        <w:rPr>
          <w:rFonts w:ascii="Palatino Linotype" w:eastAsia="Palatino Linotype" w:hAnsi="Palatino Linotype" w:cs="Palatino Linotype"/>
          <w:i/>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Precisado lo anterior,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tiene como atribución prestar los servicios de agua potable y drenaje, por lo que cuentan con la cantidad de conexiones de agua potable y drenaje, misma que es un dato estadístico, correspondiente al número total de conexiones de drenaje y de agua; y el número de expediente o folio; al respecto, se atrae al estudio el artículo 52 de la Ley de Agua para el Estado de México y Municipios, que a la letra menciona:</w:t>
      </w:r>
    </w:p>
    <w:p w:rsidR="00D020A1" w:rsidRDefault="008E0717">
      <w:pPr>
        <w:tabs>
          <w:tab w:val="left" w:pos="284"/>
        </w:tabs>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D020A1" w:rsidRDefault="008E0717">
      <w:pPr>
        <w:tabs>
          <w:tab w:val="left" w:pos="284"/>
        </w:tabs>
        <w:spacing w:after="0"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Artículo 52.-</w:t>
      </w:r>
      <w:r>
        <w:rPr>
          <w:rFonts w:ascii="Palatino Linotype" w:eastAsia="Palatino Linotype" w:hAnsi="Palatino Linotype" w:cs="Palatino Linotype"/>
          <w:i/>
        </w:rPr>
        <w:t xml:space="preserve"> Los prestadores de los servicios contarán, en cada caso, con manuales para la operación de los sistemas de suministro de agua potable, drenaje, alcantarillado, líneas moradas y plantas de tratamiento de aguas residuales debidamente actualizados. </w:t>
      </w:r>
      <w:r>
        <w:rPr>
          <w:rFonts w:ascii="Palatino Linotype" w:eastAsia="Palatino Linotype" w:hAnsi="Palatino Linotype" w:cs="Palatino Linotype"/>
          <w:b/>
          <w:i/>
        </w:rPr>
        <w:t>Asimismo, tendrán un catastro de redes y un inventario de la infraestructura hidráulica de los sistemas</w:t>
      </w:r>
      <w:r>
        <w:rPr>
          <w:rFonts w:ascii="Palatino Linotype" w:eastAsia="Palatino Linotype" w:hAnsi="Palatino Linotype" w:cs="Palatino Linotype"/>
          <w:i/>
        </w:rPr>
        <w:t>.</w:t>
      </w:r>
    </w:p>
    <w:p w:rsidR="00D020A1" w:rsidRDefault="008E0717">
      <w:pPr>
        <w:spacing w:after="0" w:line="360" w:lineRule="auto"/>
        <w:ind w:left="567" w:right="539"/>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rsidR="00D020A1" w:rsidRDefault="00D020A1">
      <w:pPr>
        <w:tabs>
          <w:tab w:val="left" w:pos="284"/>
        </w:tabs>
        <w:spacing w:after="0" w:line="360" w:lineRule="auto"/>
        <w:ind w:left="567"/>
        <w:jc w:val="both"/>
        <w:rPr>
          <w:rFonts w:ascii="Palatino Linotype" w:eastAsia="Palatino Linotype" w:hAnsi="Palatino Linotype" w:cs="Palatino Linotype"/>
          <w:i/>
        </w:rPr>
      </w:pPr>
    </w:p>
    <w:p w:rsidR="00D020A1" w:rsidRDefault="008E0717">
      <w:pPr>
        <w:tabs>
          <w:tab w:val="left" w:pos="284"/>
        </w:tabs>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Derivado de lo anterior, se advierte que a nivel Municipal se debe contar con información relacionada con el suministro de los servicios de agua y drenaje; por tanto, puede obrar en los archivos del Sujeto Obligado la información solicitada.</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Sirve de sustento, los criterios emitidos por el entonces Instituto Federal de Transparencia, Acceso a la Información Pública y Protección de Datos Personales ahora Instituto Nacional de Transparencia, Acceso a la Información Pública y Protección de Datos Personales:</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ind w:left="851" w:right="958"/>
        <w:jc w:val="both"/>
        <w:rPr>
          <w:rFonts w:ascii="Palatino Linotype" w:eastAsia="Palatino Linotype" w:hAnsi="Palatino Linotype" w:cs="Palatino Linotype"/>
          <w:i/>
        </w:rPr>
      </w:pPr>
      <w:r>
        <w:rPr>
          <w:rFonts w:ascii="Palatino Linotype" w:eastAsia="Palatino Linotype" w:hAnsi="Palatino Linotype" w:cs="Palatino Linotype"/>
          <w:b/>
          <w:i/>
        </w:rPr>
        <w:t xml:space="preserve">La información estadística es de naturaleza pública, independientemente de la materia con la que se encuentre vinculada. </w:t>
      </w:r>
      <w:r>
        <w:rPr>
          <w:rFonts w:ascii="Palatino Linotype" w:eastAsia="Palatino Linotype" w:hAnsi="Palatino Linotype" w:cs="Palatino Linotype"/>
          <w:i/>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 (Sic)</w:t>
      </w:r>
    </w:p>
    <w:p w:rsidR="00D020A1" w:rsidRDefault="00D020A1">
      <w:pPr>
        <w:spacing w:after="0" w:line="360" w:lineRule="auto"/>
        <w:ind w:left="851" w:right="958"/>
        <w:jc w:val="both"/>
        <w:rPr>
          <w:rFonts w:ascii="Palatino Linotype" w:eastAsia="Palatino Linotype" w:hAnsi="Palatino Linotype" w:cs="Palatino Linotype"/>
          <w:i/>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las consideraciones vertidas con anterioridad, es que se considera procedente ordenar la entrega del documento en donde consten el número total de conexiones </w:t>
      </w:r>
      <w:r>
        <w:rPr>
          <w:rFonts w:ascii="Palatino Linotype" w:eastAsia="Palatino Linotype" w:hAnsi="Palatino Linotype" w:cs="Palatino Linotype"/>
          <w:sz w:val="24"/>
          <w:szCs w:val="24"/>
        </w:rPr>
        <w:lastRenderedPageBreak/>
        <w:t>al servicio de agua potable y drenaje del primero de enero de dos mil diecisiete al veintidós de marzo de dos mil veintidós.</w:t>
      </w:r>
    </w:p>
    <w:p w:rsidR="00D020A1" w:rsidRDefault="00D020A1">
      <w:pPr>
        <w:spacing w:after="0" w:line="360" w:lineRule="auto"/>
        <w:jc w:val="both"/>
        <w:rPr>
          <w:rFonts w:ascii="Palatino Linotype" w:eastAsia="Palatino Linotype" w:hAnsi="Palatino Linotype" w:cs="Palatino Linotype"/>
          <w:i/>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Cabe mencionar que el particular solicitó de las conexiones al servicio de agua y drenaje antes ordenadas, el folio o similar, al respecto es de señalar que el derecho de acceso a la información pública se satisface en aquellos casos en que se entregue el soporte documental en que conste la información pública,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no tienen el deber de generar, poseer o administrar la información pública con el grado de detalle solicitado; esto es, que no tienen el deber de generar un documento ad hoc, para satisfacer el derecho de acceso a la información pública.</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Como apoyo a lo anterior, es aplicable el Criterio 03-17, emitido por el Instituto Nacional de Transparencia, Acceso a la Información y Protección de Datos Personales, que dice:</w:t>
      </w:r>
      <w:r>
        <w:rPr>
          <w:rFonts w:ascii="Palatino Linotype" w:eastAsia="Palatino Linotype" w:hAnsi="Palatino Linotype" w:cs="Palatino Linotype"/>
          <w:b/>
          <w:sz w:val="24"/>
          <w:szCs w:val="24"/>
        </w:rPr>
        <w:t xml:space="preserve"> </w:t>
      </w:r>
    </w:p>
    <w:p w:rsidR="00D020A1" w:rsidRDefault="008E0717">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020A1" w:rsidRDefault="008E0717">
      <w:pPr>
        <w:spacing w:line="276" w:lineRule="auto"/>
        <w:ind w:left="560" w:right="5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No existe obligación de elaborar documentos ad hoc para atender las solicitudes de acceso a la información.</w:t>
      </w:r>
      <w:r>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D020A1" w:rsidRDefault="008E0717">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D020A1" w:rsidRDefault="008E0717">
      <w:pPr>
        <w:spacing w:after="0" w:line="276" w:lineRule="auto"/>
        <w:ind w:left="560" w:right="56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Resoluciones: </w:t>
      </w:r>
    </w:p>
    <w:p w:rsidR="00D020A1" w:rsidRDefault="008E0717">
      <w:pPr>
        <w:spacing w:after="0" w:line="276" w:lineRule="auto"/>
        <w:ind w:left="560" w:right="560"/>
        <w:jc w:val="both"/>
        <w:rPr>
          <w:rFonts w:ascii="Palatino Linotype" w:eastAsia="Palatino Linotype" w:hAnsi="Palatino Linotype" w:cs="Palatino Linotype"/>
          <w:i/>
          <w:sz w:val="20"/>
          <w:szCs w:val="20"/>
        </w:rPr>
      </w:pPr>
      <w:r>
        <w:rPr>
          <w:rFonts w:ascii="Noto Sans Symbols" w:eastAsia="Noto Sans Symbols" w:hAnsi="Noto Sans Symbols" w:cs="Noto Sans Symbols"/>
          <w:i/>
          <w:sz w:val="20"/>
          <w:szCs w:val="20"/>
        </w:rPr>
        <w:t>∙</w:t>
      </w:r>
      <w:r>
        <w:rPr>
          <w:rFonts w:ascii="Palatino Linotype" w:eastAsia="Palatino Linotype" w:hAnsi="Palatino Linotype" w:cs="Palatino Linotype"/>
          <w:i/>
          <w:sz w:val="20"/>
          <w:szCs w:val="20"/>
        </w:rPr>
        <w:t xml:space="preserve"> RRA 0050/16. Instituto Nacional para la Evaluación de la Educación. 13 julio de 2016. Por unanimidad. Comisionado Ponente: Francisco Javier Acuña Llamas.</w:t>
      </w:r>
    </w:p>
    <w:p w:rsidR="00D020A1" w:rsidRDefault="008E0717">
      <w:pPr>
        <w:spacing w:after="0" w:line="276" w:lineRule="auto"/>
        <w:ind w:left="560" w:right="560"/>
        <w:jc w:val="both"/>
        <w:rPr>
          <w:rFonts w:ascii="Palatino Linotype" w:eastAsia="Palatino Linotype" w:hAnsi="Palatino Linotype" w:cs="Palatino Linotype"/>
          <w:i/>
          <w:sz w:val="20"/>
          <w:szCs w:val="20"/>
        </w:rPr>
      </w:pPr>
      <w:r>
        <w:rPr>
          <w:rFonts w:ascii="Noto Sans Symbols" w:eastAsia="Noto Sans Symbols" w:hAnsi="Noto Sans Symbols" w:cs="Noto Sans Symbols"/>
          <w:i/>
          <w:sz w:val="20"/>
          <w:szCs w:val="20"/>
        </w:rPr>
        <w:t>∙</w:t>
      </w:r>
      <w:r>
        <w:rPr>
          <w:rFonts w:ascii="Palatino Linotype" w:eastAsia="Palatino Linotype" w:hAnsi="Palatino Linotype" w:cs="Palatino Linotype"/>
          <w:i/>
          <w:sz w:val="20"/>
          <w:szCs w:val="20"/>
        </w:rPr>
        <w:t xml:space="preserve"> RRA 0310/16. Instituto Nacional de Transparencia, Acceso a la Información y Protección de Datos Personales. 10 de agosto de 2016. Por unanimidad. Comisionada Ponente. Areli Cano Guadiana. </w:t>
      </w:r>
    </w:p>
    <w:p w:rsidR="00D020A1" w:rsidRDefault="008E0717">
      <w:pPr>
        <w:spacing w:after="0" w:line="276" w:lineRule="auto"/>
        <w:ind w:left="560" w:right="560"/>
        <w:jc w:val="both"/>
        <w:rPr>
          <w:rFonts w:ascii="Palatino Linotype" w:eastAsia="Palatino Linotype" w:hAnsi="Palatino Linotype" w:cs="Palatino Linotype"/>
          <w:i/>
          <w:sz w:val="20"/>
          <w:szCs w:val="20"/>
        </w:rPr>
      </w:pPr>
      <w:r>
        <w:rPr>
          <w:rFonts w:ascii="Noto Sans Symbols" w:eastAsia="Noto Sans Symbols" w:hAnsi="Noto Sans Symbols" w:cs="Noto Sans Symbols"/>
          <w:i/>
          <w:sz w:val="20"/>
          <w:szCs w:val="20"/>
        </w:rPr>
        <w:t>∙</w:t>
      </w:r>
      <w:r>
        <w:rPr>
          <w:rFonts w:ascii="Palatino Linotype" w:eastAsia="Palatino Linotype" w:hAnsi="Palatino Linotype" w:cs="Palatino Linotype"/>
          <w:i/>
          <w:sz w:val="20"/>
          <w:szCs w:val="20"/>
        </w:rPr>
        <w:t xml:space="preserve"> RRA 1889/16. Secretaría de Hacienda y Crédito Público. 05 de octubre de 2016. Por unanimidad. Comisionada Ponente. Ximena Puente de la Mora.”</w:t>
      </w:r>
    </w:p>
    <w:p w:rsidR="00D020A1" w:rsidRDefault="00D020A1">
      <w:pPr>
        <w:spacing w:after="0" w:line="276" w:lineRule="auto"/>
        <w:ind w:left="560" w:right="560"/>
        <w:jc w:val="both"/>
        <w:rPr>
          <w:rFonts w:ascii="Palatino Linotype" w:eastAsia="Palatino Linotype" w:hAnsi="Palatino Linotype" w:cs="Palatino Linotype"/>
          <w:i/>
          <w:sz w:val="20"/>
          <w:szCs w:val="20"/>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No obstante, en caso de que cuente con un documento sistematizado con los datos requeridos por la particular, es procedente su entrega para dar por satisfecho el </w:t>
      </w: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derecho de acceso a la información ejercido por el ahora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w:t>
      </w:r>
    </w:p>
    <w:p w:rsidR="00D020A1" w:rsidRDefault="00D020A1">
      <w:pPr>
        <w:tabs>
          <w:tab w:val="left" w:pos="284"/>
        </w:tabs>
        <w:spacing w:after="0" w:line="360" w:lineRule="auto"/>
        <w:jc w:val="both"/>
        <w:rPr>
          <w:rFonts w:ascii="Palatino Linotype" w:eastAsia="Palatino Linotype" w:hAnsi="Palatino Linotype" w:cs="Palatino Linotype"/>
          <w:color w:val="FF0000"/>
          <w:sz w:val="24"/>
          <w:szCs w:val="24"/>
        </w:rPr>
      </w:pPr>
    </w:p>
    <w:p w:rsidR="00D020A1" w:rsidRDefault="008E0717">
      <w:pPr>
        <w:tabs>
          <w:tab w:val="left" w:pos="284"/>
        </w:tabs>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Respecto a los últimos veinte expedientes en los que se proporcionaron las conexiones de agua y drenaje a usuarios; al respecto, se atrae al estudio el artículo 76 de la Ley de Agua para el Estado de México y Municipios; en el que se señala lo siguiente:</w:t>
      </w:r>
    </w:p>
    <w:p w:rsidR="00D020A1" w:rsidRDefault="00D020A1">
      <w:pPr>
        <w:tabs>
          <w:tab w:val="left" w:pos="284"/>
        </w:tabs>
        <w:spacing w:after="0" w:line="360" w:lineRule="auto"/>
        <w:jc w:val="both"/>
        <w:rPr>
          <w:rFonts w:ascii="Palatino Linotype" w:eastAsia="Palatino Linotype" w:hAnsi="Palatino Linotype" w:cs="Palatino Linotype"/>
        </w:rPr>
      </w:pPr>
    </w:p>
    <w:p w:rsidR="00D020A1" w:rsidRDefault="008E0717">
      <w:pPr>
        <w:tabs>
          <w:tab w:val="left" w:pos="284"/>
        </w:tabs>
        <w:spacing w:after="0"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Artículo 76.</w:t>
      </w:r>
      <w:r>
        <w:rPr>
          <w:rFonts w:ascii="Palatino Linotype" w:eastAsia="Palatino Linotype" w:hAnsi="Palatino Linotype" w:cs="Palatino Linotype"/>
          <w:i/>
        </w:rPr>
        <w:t xml:space="preserve"> El municipio o, en su caso, el organismo operador determinará la factibilidad de otorgamiento del servicio de agua potable, drenaje, alcantarillado y tratamiento de aguas residuales a nuevos fraccionamientos, conjuntos habitacionales, comerciales, industriales, mixtos o de otro uso, así como en los casos de ampliación o modificación del uso o destino de inmuebles, previo la </w:t>
      </w:r>
      <w:r>
        <w:rPr>
          <w:rFonts w:ascii="Palatino Linotype" w:eastAsia="Palatino Linotype" w:hAnsi="Palatino Linotype" w:cs="Palatino Linotype"/>
          <w:b/>
          <w:i/>
        </w:rPr>
        <w:t>satisfacción de los requisitos que para ello señala el Reglamento de esta Ley, y</w:t>
      </w:r>
      <w:r>
        <w:rPr>
          <w:rFonts w:ascii="Palatino Linotype" w:eastAsia="Palatino Linotype" w:hAnsi="Palatino Linotype" w:cs="Palatino Linotype"/>
          <w:i/>
        </w:rPr>
        <w:t xml:space="preserve"> considerando la infraestructura hidráulica para su prestación y la disponibilidad del agua. La Comisión emitirá la </w:t>
      </w:r>
      <w:r>
        <w:rPr>
          <w:rFonts w:ascii="Palatino Linotype" w:eastAsia="Palatino Linotype" w:hAnsi="Palatino Linotype" w:cs="Palatino Linotype"/>
          <w:i/>
        </w:rPr>
        <w:lastRenderedPageBreak/>
        <w:t xml:space="preserve">evaluación técnica de impacto en materia de distribución de agua, así como la de agua, drenaje, alcantarillado y tratamiento de aguas residuales, que incluirá la determinación de si el predio tiene vocación inundable. </w:t>
      </w:r>
    </w:p>
    <w:p w:rsidR="00D020A1" w:rsidRDefault="00D020A1">
      <w:pPr>
        <w:tabs>
          <w:tab w:val="left" w:pos="284"/>
        </w:tabs>
        <w:spacing w:after="0" w:line="360" w:lineRule="auto"/>
        <w:ind w:left="567" w:right="539"/>
        <w:jc w:val="both"/>
        <w:rPr>
          <w:rFonts w:ascii="Palatino Linotype" w:eastAsia="Palatino Linotype" w:hAnsi="Palatino Linotype" w:cs="Palatino Linotype"/>
          <w:i/>
        </w:rPr>
      </w:pPr>
    </w:p>
    <w:p w:rsidR="00D020A1" w:rsidRDefault="008E0717">
      <w:pPr>
        <w:tabs>
          <w:tab w:val="left" w:pos="284"/>
        </w:tabs>
        <w:spacing w:after="0" w:line="360" w:lineRule="auto"/>
        <w:ind w:left="567" w:right="539"/>
        <w:jc w:val="both"/>
        <w:rPr>
          <w:rFonts w:ascii="Palatino Linotype" w:eastAsia="Palatino Linotype" w:hAnsi="Palatino Linotype" w:cs="Palatino Linotype"/>
          <w:b/>
          <w:i/>
        </w:rPr>
      </w:pPr>
      <w:r>
        <w:rPr>
          <w:rFonts w:ascii="Palatino Linotype" w:eastAsia="Palatino Linotype" w:hAnsi="Palatino Linotype" w:cs="Palatino Linotype"/>
          <w:i/>
        </w:rPr>
        <w:t xml:space="preserve">En el caso de otorgamiento de factibilidad, </w:t>
      </w:r>
      <w:r>
        <w:rPr>
          <w:rFonts w:ascii="Palatino Linotype" w:eastAsia="Palatino Linotype" w:hAnsi="Palatino Linotype" w:cs="Palatino Linotype"/>
          <w:b/>
          <w:i/>
        </w:rPr>
        <w:t>el municipio o, en su caso, el organismo operador determinará y, en su caso, aprobará, y supervisará, en los términos</w:t>
      </w:r>
      <w:r>
        <w:rPr>
          <w:rFonts w:ascii="Palatino Linotype" w:eastAsia="Palatino Linotype" w:hAnsi="Palatino Linotype" w:cs="Palatino Linotype"/>
          <w:i/>
        </w:rPr>
        <w:t xml:space="preserve"> del Reglamento, las obras necesarias para la prestación del servicio a cargo del desarrollador, mismas que se considerarán para </w:t>
      </w:r>
      <w:r>
        <w:rPr>
          <w:rFonts w:ascii="Palatino Linotype" w:eastAsia="Palatino Linotype" w:hAnsi="Palatino Linotype" w:cs="Palatino Linotype"/>
          <w:b/>
          <w:i/>
        </w:rPr>
        <w:t xml:space="preserve">el cálculo del cobro de conexión a la red de distribución correspondiente, o en su caso condicionar la factibilidad al desarrollo de la infraestructura. </w:t>
      </w:r>
    </w:p>
    <w:p w:rsidR="00D020A1" w:rsidRDefault="00D020A1">
      <w:pPr>
        <w:tabs>
          <w:tab w:val="left" w:pos="284"/>
        </w:tabs>
        <w:spacing w:after="0" w:line="360" w:lineRule="auto"/>
        <w:ind w:left="567" w:right="539"/>
        <w:jc w:val="both"/>
        <w:rPr>
          <w:rFonts w:ascii="Palatino Linotype" w:eastAsia="Palatino Linotype" w:hAnsi="Palatino Linotype" w:cs="Palatino Linotype"/>
          <w:i/>
        </w:rPr>
      </w:pPr>
    </w:p>
    <w:p w:rsidR="00D020A1" w:rsidRDefault="008E0717">
      <w:pPr>
        <w:tabs>
          <w:tab w:val="left" w:pos="284"/>
        </w:tabs>
        <w:spacing w:after="0"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Para el otorgamiento de la factibilidad, el municipio o, en su caso, el organismo operador, deberá verificar que el desarrollo habitacional, no se encuentre en</w:t>
      </w:r>
      <w:r>
        <w:rPr>
          <w:rFonts w:ascii="Palatino Linotype" w:eastAsia="Palatino Linotype" w:hAnsi="Palatino Linotype" w:cs="Palatino Linotype"/>
          <w:i/>
        </w:rPr>
        <w:t xml:space="preserve"> un predio cuya vocación natural sea inundable, en cuyo caso deberá negar la factibilidad o condicionarla a que se realicen las obras necesarias para evitar la inundación, conforme al procedimiento que determine la Comisión.</w:t>
      </w:r>
    </w:p>
    <w:p w:rsidR="00D020A1" w:rsidRDefault="008E0717">
      <w:pPr>
        <w:spacing w:after="0" w:line="360" w:lineRule="auto"/>
        <w:ind w:left="567" w:right="539"/>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rsidR="00D020A1" w:rsidRDefault="00D020A1">
      <w:pPr>
        <w:tabs>
          <w:tab w:val="left" w:pos="284"/>
        </w:tabs>
        <w:spacing w:after="0" w:line="360" w:lineRule="auto"/>
        <w:ind w:left="567"/>
        <w:jc w:val="both"/>
        <w:rPr>
          <w:rFonts w:ascii="Palatino Linotype" w:eastAsia="Palatino Linotype" w:hAnsi="Palatino Linotype" w:cs="Palatino Linotype"/>
          <w:i/>
          <w:sz w:val="24"/>
          <w:szCs w:val="24"/>
        </w:rPr>
      </w:pPr>
    </w:p>
    <w:p w:rsidR="00D020A1" w:rsidRDefault="008E0717">
      <w:pPr>
        <w:tabs>
          <w:tab w:val="left" w:pos="284"/>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los artículos se advierte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 competente para conocer de los expedientes que se generen con motivo de nuevas conexiones de agua y drenaje, razones por lo cual se ordena la entrega de los últimos veinte expedientes generados derivados de las conexiones al servicio de agua potable y drenaje generados a la fecha de la solicitud, por lo cual no se consideró  oportuno realizar un requerimiento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efecto  de determinar la cantidad de </w:t>
      </w:r>
      <w:r>
        <w:rPr>
          <w:rFonts w:ascii="Palatino Linotype" w:eastAsia="Palatino Linotype" w:hAnsi="Palatino Linotype" w:cs="Palatino Linotype"/>
          <w:sz w:val="24"/>
          <w:szCs w:val="24"/>
        </w:rPr>
        <w:lastRenderedPageBreak/>
        <w:t>hojas, así como los motivos  y circunstancias que motivaron el cambio de modalidad, ya que como se menciono con anterioridad y de acuerdo a la normatividad antes ferida en el presente estudio no se observa que sea superior a las capacidades técnicas que otorga el SAIMEX (Sistema de  Acceso a la Información Mexiquense).</w:t>
      </w:r>
    </w:p>
    <w:p w:rsidR="00D020A1" w:rsidRDefault="00D020A1">
      <w:pPr>
        <w:spacing w:after="80" w:line="360" w:lineRule="auto"/>
        <w:jc w:val="both"/>
        <w:rPr>
          <w:rFonts w:ascii="Palatino Linotype" w:eastAsia="Palatino Linotype" w:hAnsi="Palatino Linotype" w:cs="Palatino Linotype"/>
          <w:i/>
          <w:sz w:val="24"/>
          <w:szCs w:val="24"/>
        </w:rPr>
      </w:pPr>
    </w:p>
    <w:p w:rsidR="00D020A1" w:rsidRDefault="008E0717">
      <w:pPr>
        <w:spacing w:before="8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 VERSIÓN PÚBLICA.</w:t>
      </w:r>
      <w:r>
        <w:rPr>
          <w:rFonts w:ascii="Palatino Linotype" w:eastAsia="Palatino Linotype" w:hAnsi="Palatino Linotype" w:cs="Palatino Linotype"/>
          <w:sz w:val="32"/>
          <w:szCs w:val="32"/>
        </w:rPr>
        <w:t xml:space="preserve"> </w:t>
      </w:r>
      <w:r>
        <w:rPr>
          <w:rFonts w:ascii="Palatino Linotype" w:eastAsia="Palatino Linotype" w:hAnsi="Palatino Linotype" w:cs="Palatino Linotype"/>
          <w:sz w:val="24"/>
          <w:szCs w:val="24"/>
        </w:rPr>
        <w:t>Finalmente, debe señalarse que de ser el caso en que los documentos que vayan a ser entregados por el</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sujeto obligado, para dar cumplimiento a la presente resolución, contengan datos que deban ser clasificados,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D020A1" w:rsidRDefault="008E071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D020A1" w:rsidRDefault="008E0717">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Para los efectos de la presente Ley se entenderá por:</w:t>
      </w:r>
    </w:p>
    <w:p w:rsidR="00D020A1" w:rsidRDefault="008E0717">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D020A1" w:rsidRDefault="008E0717">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rsidR="00D020A1" w:rsidRDefault="008E0717">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XX. Información clasificada</w:t>
      </w:r>
      <w:r>
        <w:rPr>
          <w:rFonts w:ascii="Palatino Linotype" w:eastAsia="Palatino Linotype" w:hAnsi="Palatino Linotype" w:cs="Palatino Linotype"/>
          <w:i/>
        </w:rPr>
        <w:t>: Aquella considerada por la presente Ley como reservada o confidencial;</w:t>
      </w:r>
    </w:p>
    <w:p w:rsidR="00D020A1" w:rsidRDefault="008E0717">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XXI. Información confidencial: </w:t>
      </w:r>
      <w:r>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020A1" w:rsidRDefault="008E0717">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xml:space="preserve"> Documento en el que se elimine, suprime o borra la información clasificada como reservada o confidencial para permitir su acceso.</w:t>
      </w:r>
    </w:p>
    <w:p w:rsidR="00D020A1" w:rsidRDefault="008E0717">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D020A1" w:rsidRDefault="008E0717">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91.</w:t>
      </w:r>
      <w:r>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rsidR="00D020A1" w:rsidRDefault="008E0717">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132.</w:t>
      </w:r>
      <w:r>
        <w:rPr>
          <w:rFonts w:ascii="Palatino Linotype" w:eastAsia="Palatino Linotype" w:hAnsi="Palatino Linotype" w:cs="Palatino Linotype"/>
          <w:i/>
        </w:rPr>
        <w:t xml:space="preserve"> La clasificación de la información se llevará a cabo en el momento en que:</w:t>
      </w:r>
    </w:p>
    <w:p w:rsidR="00D020A1" w:rsidRDefault="008E0717">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Se reciba una solicitud de acceso a la información;</w:t>
      </w:r>
    </w:p>
    <w:p w:rsidR="00D020A1" w:rsidRDefault="008E0717">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 autoridad competente; o</w:t>
      </w:r>
    </w:p>
    <w:p w:rsidR="00D020A1" w:rsidRDefault="008E0717">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 generen versiones públicas para dar cumplimiento a las obligaciones de transparencia previstas en esta Ley.</w:t>
      </w:r>
    </w:p>
    <w:p w:rsidR="00D020A1" w:rsidRDefault="008E0717">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D020A1" w:rsidRDefault="008E0717">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rsidR="00D020A1" w:rsidRDefault="008E0717">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rsidR="00D020A1" w:rsidRDefault="008E0717">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D020A1" w:rsidRDefault="008E0717">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III.</w:t>
      </w:r>
      <w:r>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rsidR="00D020A1" w:rsidRDefault="008E0717">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rsidR="00D020A1" w:rsidRDefault="008E0717">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rsidR="00D020A1" w:rsidRDefault="00D020A1">
      <w:pPr>
        <w:spacing w:before="120" w:after="120"/>
        <w:ind w:left="851" w:right="902"/>
        <w:jc w:val="both"/>
        <w:rPr>
          <w:rFonts w:ascii="Palatino Linotype" w:eastAsia="Palatino Linotype" w:hAnsi="Palatino Linotype" w:cs="Palatino Linotype"/>
          <w:i/>
        </w:rPr>
      </w:pPr>
    </w:p>
    <w:p w:rsidR="00D020A1" w:rsidRDefault="008E0717">
      <w:pPr>
        <w:spacing w:before="12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D020A1" w:rsidRDefault="008E0717">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“Quincuagésimo sexto</w:t>
      </w:r>
      <w:r>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D020A1" w:rsidRDefault="008E0717">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Quincuagésimo séptimo</w:t>
      </w:r>
      <w:r>
        <w:rPr>
          <w:rFonts w:ascii="Palatino Linotype" w:eastAsia="Palatino Linotype" w:hAnsi="Palatino Linotype" w:cs="Palatino Linotype"/>
          <w:i/>
        </w:rPr>
        <w:t xml:space="preserve">. Se considera, en principio, como información pública y no podrá omitirse de las versiones públicas la siguiente: </w:t>
      </w:r>
    </w:p>
    <w:p w:rsidR="00D020A1" w:rsidRDefault="008E0717">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rsidR="00D020A1" w:rsidRDefault="008E0717">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rsidR="00D020A1" w:rsidRDefault="008E0717">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D020A1" w:rsidRDefault="008E0717">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D020A1" w:rsidRDefault="008E0717">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Quincuagésimo octavo</w:t>
      </w:r>
      <w:r>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rsidR="00D020A1" w:rsidRDefault="008E0717">
      <w:pPr>
        <w:spacing w:before="12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w:t>
      </w:r>
      <w:r>
        <w:rPr>
          <w:rFonts w:ascii="Palatino Linotype" w:eastAsia="Palatino Linotype" w:hAnsi="Palatino Linotype" w:cs="Palatino Linotype"/>
          <w:sz w:val="24"/>
          <w:szCs w:val="24"/>
        </w:rPr>
        <w:lastRenderedPageBreak/>
        <w:t>se testan o suprimen- deja al solicitante en estado de incertidumbre, al no conocer o comprender porque no aparecen en la documentación respectiva.</w:t>
      </w: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8E0717">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D020A1">
        <w:tc>
          <w:tcPr>
            <w:tcW w:w="4253" w:type="dxa"/>
            <w:gridSpan w:val="2"/>
            <w:tcBorders>
              <w:top w:val="nil"/>
              <w:left w:val="nil"/>
              <w:right w:val="nil"/>
            </w:tcBorders>
          </w:tcPr>
          <w:p w:rsidR="00D020A1" w:rsidRDefault="008E0717">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D020A1" w:rsidRDefault="008E0717">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D020A1">
        <w:tc>
          <w:tcPr>
            <w:tcW w:w="1134" w:type="dxa"/>
          </w:tcPr>
          <w:p w:rsidR="00D020A1" w:rsidRDefault="008E0717">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rsidR="00D020A1" w:rsidRDefault="008E0717">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rsidR="00D020A1" w:rsidRDefault="008E0717">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D020A1" w:rsidRDefault="008E0717">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D020A1">
        <w:tc>
          <w:tcPr>
            <w:tcW w:w="8828" w:type="dxa"/>
            <w:gridSpan w:val="4"/>
          </w:tcPr>
          <w:p w:rsidR="00D020A1" w:rsidRDefault="008E0717">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D020A1">
        <w:tc>
          <w:tcPr>
            <w:tcW w:w="1134" w:type="dxa"/>
          </w:tcPr>
          <w:p w:rsidR="00D020A1" w:rsidRDefault="008E071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rsidR="00D020A1" w:rsidRDefault="008E071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D020A1" w:rsidRDefault="008E071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D020A1" w:rsidRDefault="008E071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D020A1">
        <w:tc>
          <w:tcPr>
            <w:tcW w:w="1134" w:type="dxa"/>
          </w:tcPr>
          <w:p w:rsidR="00D020A1" w:rsidRDefault="008E071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rsidR="00D020A1" w:rsidRDefault="008E071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rsidR="00D020A1" w:rsidRDefault="008E071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D020A1" w:rsidRDefault="008E071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D020A1">
        <w:tc>
          <w:tcPr>
            <w:tcW w:w="1134" w:type="dxa"/>
          </w:tcPr>
          <w:p w:rsidR="00D020A1" w:rsidRDefault="008E071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rsidR="00D020A1" w:rsidRDefault="008E071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rsidR="00D020A1" w:rsidRDefault="008E071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D020A1" w:rsidRDefault="008E071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D020A1">
        <w:tc>
          <w:tcPr>
            <w:tcW w:w="1134" w:type="dxa"/>
          </w:tcPr>
          <w:p w:rsidR="00D020A1" w:rsidRDefault="008E071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rsidR="00D020A1" w:rsidRDefault="008E071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D020A1" w:rsidRDefault="008E071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D020A1" w:rsidRDefault="008E071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D020A1">
        <w:tc>
          <w:tcPr>
            <w:tcW w:w="1134" w:type="dxa"/>
          </w:tcPr>
          <w:p w:rsidR="00D020A1" w:rsidRDefault="008E071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rsidR="00D020A1" w:rsidRDefault="008E071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D020A1" w:rsidRDefault="008E071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D020A1" w:rsidRDefault="008E071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D020A1">
        <w:tc>
          <w:tcPr>
            <w:tcW w:w="1134" w:type="dxa"/>
          </w:tcPr>
          <w:p w:rsidR="00D020A1" w:rsidRDefault="008E071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rsidR="00D020A1" w:rsidRDefault="008E071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D020A1" w:rsidRDefault="008E071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D020A1" w:rsidRDefault="008E071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D020A1">
        <w:tc>
          <w:tcPr>
            <w:tcW w:w="1134" w:type="dxa"/>
          </w:tcPr>
          <w:p w:rsidR="00D020A1" w:rsidRDefault="008E071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rsidR="00D020A1" w:rsidRDefault="008E071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D020A1" w:rsidRDefault="008E071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D020A1" w:rsidRDefault="008E071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D020A1">
        <w:tc>
          <w:tcPr>
            <w:tcW w:w="1134" w:type="dxa"/>
          </w:tcPr>
          <w:p w:rsidR="00D020A1" w:rsidRDefault="008E071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rsidR="00D020A1" w:rsidRDefault="008E071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rsidR="00D020A1" w:rsidRDefault="008E071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D020A1" w:rsidRDefault="008E071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D020A1">
        <w:tc>
          <w:tcPr>
            <w:tcW w:w="1134" w:type="dxa"/>
          </w:tcPr>
          <w:p w:rsidR="00D020A1" w:rsidRDefault="008E071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lastRenderedPageBreak/>
              <w:t>Fecha de desclasificación</w:t>
            </w:r>
          </w:p>
        </w:tc>
        <w:tc>
          <w:tcPr>
            <w:tcW w:w="3119" w:type="dxa"/>
          </w:tcPr>
          <w:p w:rsidR="00D020A1" w:rsidRDefault="008E071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rsidR="00D020A1" w:rsidRDefault="008E071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D020A1" w:rsidRDefault="008E071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D020A1">
        <w:tc>
          <w:tcPr>
            <w:tcW w:w="1134" w:type="dxa"/>
          </w:tcPr>
          <w:p w:rsidR="00D020A1" w:rsidRDefault="008E071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rsidR="00D020A1" w:rsidRDefault="008E071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rsidR="00D020A1" w:rsidRDefault="008E071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D020A1" w:rsidRDefault="008E071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D020A1">
        <w:tc>
          <w:tcPr>
            <w:tcW w:w="1134" w:type="dxa"/>
          </w:tcPr>
          <w:p w:rsidR="00D020A1" w:rsidRDefault="00D020A1">
            <w:pPr>
              <w:jc w:val="both"/>
              <w:rPr>
                <w:rFonts w:ascii="Palatino Linotype" w:eastAsia="Palatino Linotype" w:hAnsi="Palatino Linotype" w:cs="Palatino Linotype"/>
                <w:b/>
                <w:sz w:val="12"/>
                <w:szCs w:val="12"/>
              </w:rPr>
            </w:pPr>
          </w:p>
        </w:tc>
        <w:tc>
          <w:tcPr>
            <w:tcW w:w="3119" w:type="dxa"/>
          </w:tcPr>
          <w:p w:rsidR="00D020A1" w:rsidRDefault="00D020A1">
            <w:pPr>
              <w:jc w:val="both"/>
              <w:rPr>
                <w:rFonts w:ascii="Palatino Linotype" w:eastAsia="Palatino Linotype" w:hAnsi="Palatino Linotype" w:cs="Palatino Linotype"/>
                <w:sz w:val="12"/>
                <w:szCs w:val="12"/>
              </w:rPr>
            </w:pPr>
          </w:p>
        </w:tc>
        <w:tc>
          <w:tcPr>
            <w:tcW w:w="1129" w:type="dxa"/>
          </w:tcPr>
          <w:p w:rsidR="00D020A1" w:rsidRDefault="008E071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D020A1" w:rsidRDefault="008E071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D020A1">
        <w:tc>
          <w:tcPr>
            <w:tcW w:w="1134" w:type="dxa"/>
          </w:tcPr>
          <w:p w:rsidR="00D020A1" w:rsidRDefault="00D020A1">
            <w:pPr>
              <w:jc w:val="both"/>
              <w:rPr>
                <w:rFonts w:ascii="Palatino Linotype" w:eastAsia="Palatino Linotype" w:hAnsi="Palatino Linotype" w:cs="Palatino Linotype"/>
                <w:b/>
                <w:sz w:val="12"/>
                <w:szCs w:val="12"/>
              </w:rPr>
            </w:pPr>
          </w:p>
        </w:tc>
        <w:tc>
          <w:tcPr>
            <w:tcW w:w="3119" w:type="dxa"/>
          </w:tcPr>
          <w:p w:rsidR="00D020A1" w:rsidRDefault="00D020A1">
            <w:pPr>
              <w:jc w:val="both"/>
              <w:rPr>
                <w:rFonts w:ascii="Palatino Linotype" w:eastAsia="Palatino Linotype" w:hAnsi="Palatino Linotype" w:cs="Palatino Linotype"/>
                <w:sz w:val="12"/>
                <w:szCs w:val="12"/>
              </w:rPr>
            </w:pPr>
          </w:p>
        </w:tc>
        <w:tc>
          <w:tcPr>
            <w:tcW w:w="1129" w:type="dxa"/>
          </w:tcPr>
          <w:p w:rsidR="00D020A1" w:rsidRDefault="008E071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D020A1" w:rsidRDefault="008E071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D020A1" w:rsidRDefault="00D020A1"/>
    <w:p w:rsidR="00D020A1" w:rsidRDefault="008E0717">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D020A1" w:rsidRDefault="008E0717">
      <w:pPr>
        <w:spacing w:after="0"/>
        <w:ind w:left="-142"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 E S U E L V E:</w:t>
      </w:r>
    </w:p>
    <w:p w:rsidR="00D020A1" w:rsidRDefault="00D020A1">
      <w:pPr>
        <w:spacing w:after="0"/>
        <w:ind w:left="-142" w:right="49"/>
        <w:jc w:val="center"/>
        <w:rPr>
          <w:rFonts w:ascii="Palatino Linotype" w:eastAsia="Palatino Linotype" w:hAnsi="Palatino Linotype" w:cs="Palatino Linotype"/>
          <w:b/>
          <w:sz w:val="24"/>
          <w:szCs w:val="24"/>
        </w:rPr>
      </w:pPr>
    </w:p>
    <w:p w:rsidR="00D020A1" w:rsidRDefault="008E0717">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w:t>
      </w:r>
      <w:r>
        <w:rPr>
          <w:rFonts w:ascii="Palatino Linotype" w:eastAsia="Palatino Linotype" w:hAnsi="Palatino Linotype" w:cs="Palatino Linotype"/>
          <w:sz w:val="24"/>
          <w:szCs w:val="24"/>
        </w:rPr>
        <w:t xml:space="preserve"> Resultan fundados los motivos de inconformidad hechos valer por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05944/INFOEM/IP/RR/2022</w:t>
      </w:r>
      <w:r>
        <w:rPr>
          <w:rFonts w:ascii="Palatino Linotype" w:eastAsia="Palatino Linotype" w:hAnsi="Palatino Linotype" w:cs="Palatino Linotype"/>
          <w:sz w:val="24"/>
          <w:szCs w:val="24"/>
        </w:rPr>
        <w:t>, en términos del considerando cuarto.</w:t>
      </w:r>
    </w:p>
    <w:p w:rsidR="00D020A1" w:rsidRDefault="00D020A1">
      <w:pPr>
        <w:spacing w:after="0" w:line="360" w:lineRule="auto"/>
        <w:ind w:right="51"/>
        <w:jc w:val="both"/>
        <w:rPr>
          <w:rFonts w:ascii="Palatino Linotype" w:eastAsia="Palatino Linotype" w:hAnsi="Palatino Linotype" w:cs="Palatino Linotype"/>
          <w:sz w:val="24"/>
          <w:szCs w:val="24"/>
        </w:rPr>
      </w:pPr>
    </w:p>
    <w:p w:rsidR="00D020A1" w:rsidRDefault="008E0717">
      <w:pPr>
        <w:spacing w:after="12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 xml:space="preserve">Se </w:t>
      </w:r>
      <w:r>
        <w:rPr>
          <w:rFonts w:ascii="Palatino Linotype" w:eastAsia="Palatino Linotype" w:hAnsi="Palatino Linotype" w:cs="Palatino Linotype"/>
          <w:b/>
          <w:sz w:val="24"/>
          <w:szCs w:val="24"/>
        </w:rPr>
        <w:t>REVOCA</w:t>
      </w:r>
      <w:r>
        <w:rPr>
          <w:rFonts w:ascii="Palatino Linotype" w:eastAsia="Palatino Linotype" w:hAnsi="Palatino Linotype" w:cs="Palatino Linotype"/>
          <w:sz w:val="24"/>
          <w:szCs w:val="24"/>
        </w:rPr>
        <w:t xml:space="preserve">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se ORDENA que en términos del Considerando Cuarto y Quinto de esta resolución haga entrega, vía SAIMEX, en versión pública de ser procedente, del documento donde conste o de cuenta de lo siguiente: </w:t>
      </w:r>
    </w:p>
    <w:p w:rsidR="00D020A1" w:rsidRDefault="008E0717">
      <w:pPr>
        <w:numPr>
          <w:ilvl w:val="0"/>
          <w:numId w:val="3"/>
        </w:numPr>
        <w:pBdr>
          <w:top w:val="nil"/>
          <w:left w:val="nil"/>
          <w:bottom w:val="nil"/>
          <w:right w:val="nil"/>
          <w:between w:val="nil"/>
        </w:pBdr>
        <w:spacing w:before="240"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Cantidad de conexiones otorgadas para brindar el servicio de agua potable y drenaje que se </w:t>
      </w:r>
      <w:r>
        <w:rPr>
          <w:rFonts w:ascii="Palatino Linotype" w:eastAsia="Palatino Linotype" w:hAnsi="Palatino Linotype" w:cs="Palatino Linotype"/>
          <w:i/>
          <w:color w:val="000000"/>
          <w:sz w:val="24"/>
          <w:szCs w:val="24"/>
        </w:rPr>
        <w:t xml:space="preserve">hayan brindado con una </w:t>
      </w:r>
      <w:r>
        <w:rPr>
          <w:rFonts w:ascii="Palatino Linotype" w:eastAsia="Palatino Linotype" w:hAnsi="Palatino Linotype" w:cs="Palatino Linotype"/>
          <w:color w:val="000000"/>
          <w:sz w:val="24"/>
          <w:szCs w:val="24"/>
        </w:rPr>
        <w:t>manifestación de buena fe del primero de enero de dos mil diecisiete al veintidós de marzo de dos mil veintidós, así como el documento con número de expediente, folio o similar asignado.</w:t>
      </w:r>
    </w:p>
    <w:p w:rsidR="00D020A1" w:rsidRDefault="00D020A1">
      <w:pPr>
        <w:pBdr>
          <w:top w:val="nil"/>
          <w:left w:val="nil"/>
          <w:bottom w:val="nil"/>
          <w:right w:val="nil"/>
          <w:between w:val="nil"/>
        </w:pBdr>
        <w:spacing w:after="0" w:line="360" w:lineRule="auto"/>
        <w:ind w:left="720" w:right="49"/>
        <w:jc w:val="both"/>
        <w:rPr>
          <w:rFonts w:ascii="Palatino Linotype" w:eastAsia="Palatino Linotype" w:hAnsi="Palatino Linotype" w:cs="Palatino Linotype"/>
          <w:color w:val="000000"/>
          <w:sz w:val="24"/>
          <w:szCs w:val="24"/>
        </w:rPr>
      </w:pPr>
    </w:p>
    <w:p w:rsidR="00D020A1" w:rsidRDefault="008E0717">
      <w:pPr>
        <w:numPr>
          <w:ilvl w:val="0"/>
          <w:numId w:val="3"/>
        </w:numPr>
        <w:pBdr>
          <w:top w:val="nil"/>
          <w:left w:val="nil"/>
          <w:bottom w:val="nil"/>
          <w:right w:val="nil"/>
          <w:between w:val="nil"/>
        </w:pBdr>
        <w:tabs>
          <w:tab w:val="left" w:pos="567"/>
          <w:tab w:val="left" w:pos="4667"/>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Del primer</w:t>
      </w:r>
      <w:r w:rsidR="00771E12">
        <w:rPr>
          <w:rFonts w:ascii="Palatino Linotype" w:eastAsia="Palatino Linotype" w:hAnsi="Palatino Linotype" w:cs="Palatino Linotype"/>
          <w:sz w:val="24"/>
          <w:szCs w:val="24"/>
        </w:rPr>
        <w:t>o de enero de dos mil diecisiete al veintidós</w:t>
      </w:r>
      <w:r>
        <w:rPr>
          <w:rFonts w:ascii="Palatino Linotype" w:eastAsia="Palatino Linotype" w:hAnsi="Palatino Linotype" w:cs="Palatino Linotype"/>
          <w:sz w:val="24"/>
          <w:szCs w:val="24"/>
        </w:rPr>
        <w:t xml:space="preserve"> de marzo de dos mil veintidós, de los últimos 20 expedientes el documento que acredite el servicio brindado con la manifestación de buena fe y/o documento mediante el cual se acredite el servicio brindado como usuarios referentes a conexiones de tomas nue</w:t>
      </w:r>
      <w:r w:rsidR="005534BA">
        <w:rPr>
          <w:rFonts w:ascii="Palatino Linotype" w:eastAsia="Palatino Linotype" w:hAnsi="Palatino Linotype" w:cs="Palatino Linotype"/>
          <w:sz w:val="24"/>
          <w:szCs w:val="24"/>
        </w:rPr>
        <w:t xml:space="preserve">vas para agua potable y drenaje. </w:t>
      </w:r>
    </w:p>
    <w:p w:rsidR="00D020A1" w:rsidRDefault="008E0717">
      <w:pPr>
        <w:spacing w:before="240" w:after="120" w:line="360" w:lineRule="auto"/>
        <w:ind w:right="49"/>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Para la entrega en versión pública, deberá emitir el Acuerdo del Comité de Transpa</w:t>
      </w:r>
      <w:bookmarkStart w:id="11" w:name="_GoBack"/>
      <w:bookmarkEnd w:id="11"/>
      <w:r>
        <w:rPr>
          <w:rFonts w:ascii="Palatino Linotype" w:eastAsia="Palatino Linotype" w:hAnsi="Palatino Linotype" w:cs="Palatino Linotype"/>
          <w:i/>
          <w:color w:val="000000"/>
          <w:sz w:val="20"/>
          <w:szCs w:val="20"/>
        </w:rPr>
        <w:t>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rsidR="00D020A1" w:rsidRDefault="00D020A1">
      <w:pPr>
        <w:spacing w:after="0" w:line="360" w:lineRule="auto"/>
        <w:ind w:right="49"/>
        <w:jc w:val="both"/>
        <w:rPr>
          <w:rFonts w:ascii="Palatino Linotype" w:eastAsia="Palatino Linotype" w:hAnsi="Palatino Linotype" w:cs="Palatino Linotype"/>
          <w:color w:val="000000"/>
          <w:sz w:val="24"/>
          <w:szCs w:val="24"/>
        </w:rPr>
      </w:pPr>
    </w:p>
    <w:p w:rsidR="00D020A1" w:rsidRDefault="008E071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w:t>
      </w:r>
      <w:r>
        <w:rPr>
          <w:rFonts w:ascii="Palatino Linotype" w:eastAsia="Palatino Linotype" w:hAnsi="Palatino Linotype" w:cs="Palatino Linotype"/>
          <w:sz w:val="24"/>
          <w:szCs w:val="24"/>
        </w:rPr>
        <w:t> </w:t>
      </w:r>
      <w:r>
        <w:rPr>
          <w:rFonts w:ascii="Palatino Linotype" w:eastAsia="Palatino Linotype" w:hAnsi="Palatino Linotype" w:cs="Palatino Linotype"/>
          <w:b/>
          <w:sz w:val="24"/>
          <w:szCs w:val="24"/>
        </w:rPr>
        <w:t xml:space="preserve">NOTIFÍQUESE vía SAIMEX </w:t>
      </w:r>
      <w:r>
        <w:rPr>
          <w:rFonts w:ascii="Palatino Linotype" w:eastAsia="Palatino Linotype" w:hAnsi="Palatino Linotype" w:cs="Palatino Linotype"/>
          <w:sz w:val="24"/>
          <w:szCs w:val="24"/>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020A1" w:rsidRDefault="00D020A1">
      <w:pPr>
        <w:spacing w:after="0" w:line="360" w:lineRule="auto"/>
        <w:ind w:right="49"/>
        <w:jc w:val="both"/>
        <w:rPr>
          <w:rFonts w:ascii="Palatino Linotype" w:eastAsia="Palatino Linotype" w:hAnsi="Palatino Linotype" w:cs="Palatino Linotype"/>
          <w:sz w:val="24"/>
          <w:szCs w:val="24"/>
        </w:rPr>
      </w:pPr>
    </w:p>
    <w:p w:rsidR="00D020A1" w:rsidRDefault="008E071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CUARTO.</w:t>
      </w:r>
      <w:r>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D020A1" w:rsidRDefault="00D020A1">
      <w:pPr>
        <w:spacing w:after="0" w:line="360" w:lineRule="auto"/>
        <w:ind w:right="49"/>
        <w:jc w:val="both"/>
        <w:rPr>
          <w:rFonts w:ascii="Palatino Linotype" w:eastAsia="Palatino Linotype" w:hAnsi="Palatino Linotype" w:cs="Palatino Linotype"/>
          <w:sz w:val="24"/>
          <w:szCs w:val="24"/>
        </w:rPr>
      </w:pPr>
    </w:p>
    <w:p w:rsidR="00D020A1" w:rsidRDefault="008E0717">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 NOTIFÍQUESE vía SAIMEX</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D020A1" w:rsidRDefault="008E0717">
      <w:pPr>
        <w:spacing w:before="120" w:after="12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DIEZ DE AGOSTO DE DOS MIL VEINTIDÓS, ANTE EL SECRETARIO TÉCNICO DEL PLENO ALEXIS TAPIA RAMÍREZ.</w:t>
      </w:r>
    </w:p>
    <w:p w:rsidR="00D020A1" w:rsidRDefault="00D020A1">
      <w:pPr>
        <w:spacing w:after="0" w:line="360" w:lineRule="auto"/>
        <w:jc w:val="both"/>
        <w:rPr>
          <w:rFonts w:ascii="Palatino Linotype" w:eastAsia="Palatino Linotype" w:hAnsi="Palatino Linotype" w:cs="Palatino Linotype"/>
          <w:i/>
        </w:rPr>
      </w:pPr>
    </w:p>
    <w:p w:rsidR="00D020A1" w:rsidRDefault="00D020A1">
      <w:pPr>
        <w:spacing w:line="360" w:lineRule="auto"/>
        <w:ind w:left="851" w:right="900"/>
        <w:jc w:val="both"/>
        <w:rPr>
          <w:rFonts w:ascii="Palatino Linotype" w:eastAsia="Palatino Linotype" w:hAnsi="Palatino Linotype" w:cs="Palatino Linotype"/>
          <w:i/>
        </w:rPr>
      </w:pPr>
    </w:p>
    <w:p w:rsidR="00D020A1" w:rsidRDefault="00D020A1">
      <w:pPr>
        <w:spacing w:line="360" w:lineRule="auto"/>
        <w:ind w:left="851" w:right="900"/>
        <w:jc w:val="both"/>
        <w:rPr>
          <w:rFonts w:ascii="Palatino Linotype" w:eastAsia="Palatino Linotype" w:hAnsi="Palatino Linotype" w:cs="Palatino Linotype"/>
          <w:i/>
        </w:rPr>
      </w:pP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D020A1">
      <w:pPr>
        <w:spacing w:after="0" w:line="360" w:lineRule="auto"/>
        <w:jc w:val="both"/>
        <w:rPr>
          <w:rFonts w:ascii="Palatino Linotype" w:eastAsia="Palatino Linotype" w:hAnsi="Palatino Linotype" w:cs="Palatino Linotype"/>
          <w:sz w:val="24"/>
          <w:szCs w:val="24"/>
        </w:rPr>
      </w:pPr>
    </w:p>
    <w:p w:rsidR="00D020A1" w:rsidRDefault="00D020A1">
      <w:pPr>
        <w:spacing w:after="0" w:line="360" w:lineRule="auto"/>
        <w:jc w:val="both"/>
        <w:rPr>
          <w:rFonts w:ascii="Palatino Linotype" w:eastAsia="Palatino Linotype" w:hAnsi="Palatino Linotype" w:cs="Palatino Linotype"/>
          <w:sz w:val="24"/>
          <w:szCs w:val="24"/>
        </w:rPr>
      </w:pPr>
    </w:p>
    <w:sectPr w:rsidR="00D020A1">
      <w:headerReference w:type="default" r:id="rId14"/>
      <w:footerReference w:type="default" r:id="rId1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D9F" w:rsidRDefault="00BA0D9F">
      <w:pPr>
        <w:spacing w:after="0" w:line="240" w:lineRule="auto"/>
      </w:pPr>
      <w:r>
        <w:separator/>
      </w:r>
    </w:p>
  </w:endnote>
  <w:endnote w:type="continuationSeparator" w:id="0">
    <w:p w:rsidR="00BA0D9F" w:rsidRDefault="00BA0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0A1" w:rsidRDefault="008E0717">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534BA">
      <w:rPr>
        <w:rFonts w:ascii="Arial" w:eastAsia="Arial" w:hAnsi="Arial" w:cs="Arial"/>
        <w:b/>
        <w:noProof/>
        <w:color w:val="000000"/>
        <w:sz w:val="20"/>
        <w:szCs w:val="20"/>
      </w:rPr>
      <w:t>43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534BA">
      <w:rPr>
        <w:rFonts w:ascii="Arial" w:eastAsia="Arial" w:hAnsi="Arial" w:cs="Arial"/>
        <w:b/>
        <w:noProof/>
        <w:color w:val="000000"/>
        <w:sz w:val="20"/>
        <w:szCs w:val="20"/>
      </w:rPr>
      <w:t>44</w:t>
    </w:r>
    <w:r>
      <w:rPr>
        <w:rFonts w:ascii="Arial" w:eastAsia="Arial" w:hAnsi="Arial" w:cs="Arial"/>
        <w:b/>
        <w:color w:val="000000"/>
        <w:sz w:val="20"/>
        <w:szCs w:val="20"/>
      </w:rPr>
      <w:fldChar w:fldCharType="end"/>
    </w:r>
  </w:p>
  <w:p w:rsidR="00D020A1" w:rsidRDefault="00D020A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D9F" w:rsidRDefault="00BA0D9F">
      <w:pPr>
        <w:spacing w:after="0" w:line="240" w:lineRule="auto"/>
      </w:pPr>
      <w:r>
        <w:separator/>
      </w:r>
    </w:p>
  </w:footnote>
  <w:footnote w:type="continuationSeparator" w:id="0">
    <w:p w:rsidR="00BA0D9F" w:rsidRDefault="00BA0D9F">
      <w:pPr>
        <w:spacing w:after="0" w:line="240" w:lineRule="auto"/>
      </w:pPr>
      <w:r>
        <w:continuationSeparator/>
      </w:r>
    </w:p>
  </w:footnote>
  <w:footnote w:id="1">
    <w:p w:rsidR="00D020A1" w:rsidRDefault="008E0717">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rsidR="00D020A1" w:rsidRDefault="008E0717">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D020A1" w:rsidRDefault="008E0717">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0A1" w:rsidRDefault="00D020A1">
    <w:pPr>
      <w:widowControl w:val="0"/>
      <w:pBdr>
        <w:top w:val="nil"/>
        <w:left w:val="nil"/>
        <w:bottom w:val="nil"/>
        <w:right w:val="nil"/>
        <w:between w:val="nil"/>
      </w:pBdr>
      <w:spacing w:after="0" w:line="276" w:lineRule="auto"/>
      <w:rPr>
        <w:rFonts w:ascii="Palatino Linotype" w:eastAsia="Palatino Linotype" w:hAnsi="Palatino Linotype" w:cs="Palatino Linotype"/>
        <w:i/>
        <w:sz w:val="16"/>
        <w:szCs w:val="16"/>
      </w:rPr>
    </w:pPr>
  </w:p>
  <w:tbl>
    <w:tblPr>
      <w:tblStyle w:val="a0"/>
      <w:tblW w:w="10539" w:type="dxa"/>
      <w:tblInd w:w="-1281" w:type="dxa"/>
      <w:tblLayout w:type="fixed"/>
      <w:tblLook w:val="0400" w:firstRow="0" w:lastRow="0" w:firstColumn="0" w:lastColumn="0" w:noHBand="0" w:noVBand="1"/>
    </w:tblPr>
    <w:tblGrid>
      <w:gridCol w:w="5493"/>
      <w:gridCol w:w="5046"/>
    </w:tblGrid>
    <w:tr w:rsidR="00D020A1">
      <w:trPr>
        <w:trHeight w:val="235"/>
      </w:trPr>
      <w:tc>
        <w:tcPr>
          <w:tcW w:w="5493" w:type="dxa"/>
        </w:tcPr>
        <w:p w:rsidR="00D020A1" w:rsidRDefault="008E071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5046" w:type="dxa"/>
        </w:tcPr>
        <w:p w:rsidR="00D020A1" w:rsidRDefault="008E0717">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05944/INFOEM/IP/RR/2022</w:t>
          </w:r>
        </w:p>
      </w:tc>
    </w:tr>
    <w:tr w:rsidR="00D020A1">
      <w:trPr>
        <w:trHeight w:val="202"/>
      </w:trPr>
      <w:tc>
        <w:tcPr>
          <w:tcW w:w="5493" w:type="dxa"/>
        </w:tcPr>
        <w:p w:rsidR="00D020A1" w:rsidRDefault="008E071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5046" w:type="dxa"/>
        </w:tcPr>
        <w:p w:rsidR="00D020A1" w:rsidRDefault="00D020A1">
          <w:pPr>
            <w:spacing w:after="120"/>
            <w:ind w:left="-486" w:right="214" w:firstLine="567"/>
            <w:jc w:val="right"/>
            <w:rPr>
              <w:rFonts w:ascii="Palatino Linotype" w:eastAsia="Palatino Linotype" w:hAnsi="Palatino Linotype" w:cs="Palatino Linotype"/>
              <w:sz w:val="24"/>
              <w:szCs w:val="24"/>
            </w:rPr>
          </w:pPr>
        </w:p>
      </w:tc>
    </w:tr>
    <w:tr w:rsidR="00D020A1">
      <w:trPr>
        <w:trHeight w:val="252"/>
      </w:trPr>
      <w:tc>
        <w:tcPr>
          <w:tcW w:w="5493" w:type="dxa"/>
        </w:tcPr>
        <w:p w:rsidR="00D020A1" w:rsidRDefault="008E071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5046" w:type="dxa"/>
        </w:tcPr>
        <w:p w:rsidR="00D020A1" w:rsidRDefault="008E071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Sistema de Agua Potable Alcantarillado y Saneamiento de Ecatepec de Morelos</w:t>
          </w:r>
        </w:p>
      </w:tc>
    </w:tr>
    <w:tr w:rsidR="00D020A1">
      <w:trPr>
        <w:trHeight w:val="356"/>
      </w:trPr>
      <w:tc>
        <w:tcPr>
          <w:tcW w:w="5493" w:type="dxa"/>
        </w:tcPr>
        <w:p w:rsidR="00D020A1" w:rsidRDefault="008E071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5046" w:type="dxa"/>
        </w:tcPr>
        <w:p w:rsidR="00D020A1" w:rsidRDefault="008E071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D020A1" w:rsidRDefault="008E071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-798194</wp:posOffset>
          </wp:positionH>
          <wp:positionV relativeFrom="paragraph">
            <wp:posOffset>-1681478</wp:posOffset>
          </wp:positionV>
          <wp:extent cx="7753350" cy="9942731"/>
          <wp:effectExtent l="0" t="0" r="0" b="0"/>
          <wp:wrapNone/>
          <wp:docPr id="2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p w:rsidR="00D020A1" w:rsidRDefault="00D020A1">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82E28"/>
    <w:multiLevelType w:val="multilevel"/>
    <w:tmpl w:val="BEF8C178"/>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0D400A31"/>
    <w:multiLevelType w:val="multilevel"/>
    <w:tmpl w:val="717E777C"/>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B045A07"/>
    <w:multiLevelType w:val="multilevel"/>
    <w:tmpl w:val="F100387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68D4712"/>
    <w:multiLevelType w:val="multilevel"/>
    <w:tmpl w:val="7C843A6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nsid w:val="52803EF1"/>
    <w:multiLevelType w:val="multilevel"/>
    <w:tmpl w:val="ADCAC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0A1"/>
    <w:rsid w:val="005534BA"/>
    <w:rsid w:val="00771E12"/>
    <w:rsid w:val="008E0717"/>
    <w:rsid w:val="00BA0D9F"/>
    <w:rsid w:val="00D020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8E876C-6C67-44B4-BB57-9C6ADBB30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FE7"/>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670FE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0FE7"/>
  </w:style>
  <w:style w:type="paragraph" w:styleId="Piedepgina">
    <w:name w:val="footer"/>
    <w:basedOn w:val="Normal"/>
    <w:link w:val="PiedepginaCar"/>
    <w:uiPriority w:val="99"/>
    <w:unhideWhenUsed/>
    <w:rsid w:val="00670F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0FE7"/>
  </w:style>
  <w:style w:type="character" w:styleId="Hipervnculo">
    <w:name w:val="Hyperlink"/>
    <w:basedOn w:val="Fuentedeprrafopredeter"/>
    <w:uiPriority w:val="99"/>
    <w:semiHidden/>
    <w:unhideWhenUsed/>
    <w:rsid w:val="004801DD"/>
    <w:rPr>
      <w:color w:val="0000FF"/>
      <w:u w:val="single"/>
    </w:rPr>
  </w:style>
  <w:style w:type="paragraph" w:styleId="Listaconvietas3">
    <w:name w:val="List Bullet 3"/>
    <w:basedOn w:val="Normal"/>
    <w:uiPriority w:val="99"/>
    <w:unhideWhenUsed/>
    <w:rsid w:val="00881C85"/>
    <w:pPr>
      <w:numPr>
        <w:numId w:val="5"/>
      </w:numPr>
      <w:spacing w:after="0" w:line="240" w:lineRule="auto"/>
      <w:contextualSpacing/>
    </w:pPr>
    <w:rPr>
      <w:rFonts w:ascii="Times New Roman" w:eastAsia="Times New Roman" w:hAnsi="Times New Roman" w:cs="Times New Roman"/>
      <w:sz w:val="24"/>
      <w:szCs w:val="24"/>
      <w:lang w:val="es-ES"/>
    </w:rPr>
  </w:style>
  <w:style w:type="paragraph" w:styleId="Prrafodelista">
    <w:name w:val="List Paragraph"/>
    <w:basedOn w:val="Normal"/>
    <w:uiPriority w:val="34"/>
    <w:qFormat/>
    <w:rsid w:val="002F5E0D"/>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81225.page"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aimex.org.mx/saimex/solicitud/downloadAttach/1381226.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R+w5NFhAMPzOak4nxkVz/e7W0Q==">AMUW2mUA+f7sGxarIh6foVS4AmXlbRIx8HPXysqmEywzzX6PH1XpVgzdfvOcqrfNL7jAyDlypr/+k3+POqKYQWbWIcVNu7C4oAJ+nN+LVp1yQjHdCuGFkNOmdJy0SaScGobIDkHCkGlNVYl+GHLr8Bww1pvqykey+YZeJczpZEid1ccYy1pQQG433FHvgYT5WvXChulWfnxbFRa5e7G0fbXwDWT5a3+te8f25o+GA7MOcEltKTjHbRJPVmSjn91FgNwgRPbbDWsSabkW8/JdfImgPVWvfvzuO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9195</Words>
  <Characters>50575</Characters>
  <Application>Microsoft Office Word</Application>
  <DocSecurity>0</DocSecurity>
  <Lines>421</Lines>
  <Paragraphs>119</Paragraphs>
  <ScaleCrop>false</ScaleCrop>
  <Company/>
  <LinksUpToDate>false</LinksUpToDate>
  <CharactersWithSpaces>59651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LAURA RENDON GARCIA</dc:creator>
  <cp:lastModifiedBy>USUARIO</cp:lastModifiedBy>
  <cp:revision>3</cp:revision>
  <dcterms:created xsi:type="dcterms:W3CDTF">2022-08-04T17:04:00Z</dcterms:created>
  <dcterms:modified xsi:type="dcterms:W3CDTF">2022-08-04T19:51:00Z</dcterms:modified>
</cp:coreProperties>
</file>