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6BDBB" w14:textId="77777777" w:rsidR="00E11AE7" w:rsidRDefault="00520C11">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once de mayo de dos mil veintidós.</w:t>
      </w:r>
    </w:p>
    <w:p w14:paraId="46C9B1C2" w14:textId="77777777" w:rsidR="00E11AE7" w:rsidRDefault="00520C1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01569/INFOEM/IP/RR/2022</w:t>
      </w:r>
      <w:r>
        <w:rPr>
          <w:rFonts w:ascii="Palatino Linotype" w:eastAsia="Palatino Linotype" w:hAnsi="Palatino Linotype" w:cs="Palatino Linotype"/>
          <w:sz w:val="24"/>
          <w:szCs w:val="24"/>
        </w:rPr>
        <w:t xml:space="preserve">, interpuesto por una persona de manera anónima,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color w:val="000000"/>
          <w:sz w:val="24"/>
          <w:szCs w:val="24"/>
        </w:rPr>
        <w:t>00055/CHIMALHU/IP/2022</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 parte del  Ayuntamiento de Chimalhuacán,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14:paraId="42B53F03" w14:textId="77777777" w:rsidR="00E11AE7" w:rsidRDefault="00520C11">
      <w:pPr>
        <w:spacing w:before="240" w:after="24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AN T E C E D E N T E S</w:t>
      </w:r>
    </w:p>
    <w:p w14:paraId="3E3F2045" w14:textId="65D40A86" w:rsidR="00E11AE7" w:rsidRDefault="00520C11">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 xml:space="preserve">Con fecha treinta y uno de enero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color w:val="FF0000"/>
        </w:rPr>
        <w:t> </w:t>
      </w:r>
      <w:r>
        <w:rPr>
          <w:rFonts w:ascii="Palatino Linotype" w:eastAsia="Palatino Linotype" w:hAnsi="Palatino Linotype" w:cs="Palatino Linotype"/>
          <w:b/>
          <w:color w:val="000000"/>
          <w:sz w:val="24"/>
          <w:szCs w:val="24"/>
        </w:rPr>
        <w:t>00055/CHIMALHU/IP/2022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información en el tenor siguiente:</w:t>
      </w:r>
    </w:p>
    <w:p w14:paraId="16C5CA2A" w14:textId="77777777" w:rsidR="00E11AE7" w:rsidRDefault="00520C11">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“Respetuosamente solicito en versión pública a través de esta plataforma el convenio celebrado en fecha 15 de agosto del año 2000. Para mejor referencia se anexa una captura de pantalla a efecto de ser un referente de lo solicitado. Sin otro particular, reciba un cordial saludo. “(Sic)</w:t>
      </w:r>
    </w:p>
    <w:p w14:paraId="3CE97198" w14:textId="77777777" w:rsidR="00E11AE7" w:rsidRDefault="00520C11">
      <w:pPr>
        <w:spacing w:before="120" w:after="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w:t>
      </w:r>
    </w:p>
    <w:p w14:paraId="62B7A0DE" w14:textId="77777777" w:rsidR="00E11AE7" w:rsidRDefault="00520C11">
      <w:pPr>
        <w:spacing w:before="240" w:after="24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Resulta preciso señalar que </w:t>
      </w:r>
      <w:r>
        <w:rPr>
          <w:rFonts w:ascii="Palatino Linotype" w:eastAsia="Palatino Linotype" w:hAnsi="Palatino Linotype" w:cs="Palatino Linotype"/>
          <w:b/>
          <w:color w:val="000000"/>
          <w:sz w:val="24"/>
          <w:szCs w:val="24"/>
        </w:rPr>
        <w:t>EL RECURRENTE</w:t>
      </w:r>
      <w:r>
        <w:rPr>
          <w:rFonts w:ascii="Palatino Linotype" w:eastAsia="Palatino Linotype" w:hAnsi="Palatino Linotype" w:cs="Palatino Linotype"/>
          <w:color w:val="000000"/>
          <w:sz w:val="24"/>
          <w:szCs w:val="24"/>
        </w:rPr>
        <w:t xml:space="preserve"> adjuntó los siguientes documentos electrónicos en los que precisa lo siguiente:</w:t>
      </w:r>
    </w:p>
    <w:p w14:paraId="39A35DE2" w14:textId="77777777" w:rsidR="00E11AE7" w:rsidRDefault="00520C11">
      <w:r>
        <w:rPr>
          <w:noProof/>
        </w:rPr>
        <w:drawing>
          <wp:inline distT="0" distB="0" distL="0" distR="0" wp14:anchorId="60E3F60F" wp14:editId="24639111">
            <wp:extent cx="5485528" cy="4721974"/>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15954" t="14484" r="37712" b="14604"/>
                    <a:stretch>
                      <a:fillRect/>
                    </a:stretch>
                  </pic:blipFill>
                  <pic:spPr>
                    <a:xfrm>
                      <a:off x="0" y="0"/>
                      <a:ext cx="5485528" cy="4721974"/>
                    </a:xfrm>
                    <a:prstGeom prst="rect">
                      <a:avLst/>
                    </a:prstGeom>
                    <a:ln/>
                  </pic:spPr>
                </pic:pic>
              </a:graphicData>
            </a:graphic>
          </wp:inline>
        </w:drawing>
      </w:r>
    </w:p>
    <w:p w14:paraId="4B557CE5" w14:textId="77777777" w:rsidR="00E11AE7" w:rsidRDefault="00520C11">
      <w:pPr>
        <w:spacing w:before="240" w:after="240" w:line="360" w:lineRule="auto"/>
        <w:jc w:val="both"/>
      </w:pPr>
      <w:r>
        <w:rPr>
          <w:rFonts w:ascii="Palatino Linotype" w:eastAsia="Palatino Linotype" w:hAnsi="Palatino Linotype" w:cs="Palatino Linotype"/>
          <w:b/>
          <w:sz w:val="24"/>
          <w:szCs w:val="24"/>
        </w:rPr>
        <w:t xml:space="preserve">2. RESPUESTA.  </w:t>
      </w:r>
      <w:r>
        <w:rPr>
          <w:rFonts w:ascii="Palatino Linotype" w:eastAsia="Palatino Linotype" w:hAnsi="Palatino Linotype" w:cs="Palatino Linotype"/>
          <w:sz w:val="24"/>
          <w:szCs w:val="24"/>
        </w:rPr>
        <w:t xml:space="preserve">Con fecha veintidós de febrero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14:paraId="29A53635" w14:textId="77777777" w:rsidR="00E11AE7" w:rsidRDefault="00520C11">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En respuesta a la solicitud recibida, nos permitimos hacer de su conocimiento que con fundamento en el artículo 53, Fracciones: II, V y VI de la Ley de </w:t>
      </w:r>
      <w:r>
        <w:rPr>
          <w:rFonts w:ascii="Palatino Linotype" w:eastAsia="Palatino Linotype" w:hAnsi="Palatino Linotype" w:cs="Palatino Linotype"/>
          <w:i/>
        </w:rPr>
        <w:lastRenderedPageBreak/>
        <w:t>Transparencia y Acceso a la Información Pública del Estado de México y Municipios, le contestamos que:</w:t>
      </w:r>
    </w:p>
    <w:p w14:paraId="421D6100" w14:textId="77777777" w:rsidR="00E11AE7" w:rsidRDefault="00520C11">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Buenas tardes estimado ciudadano, en respuesta a su solicitud 00055/CHIMALHU/IP/2022 se anexa información por parte del Secretario del Ayuntamiento. Reiteramos nuestro compromiso en garantizar el Derecho y Acceso a la Información. Atentamente. UNIDAD DE TRANSPARENCIA Y ACCESO A LA INFORMACIÓN PÚBLICA.</w:t>
      </w:r>
    </w:p>
    <w:p w14:paraId="7C1F1D5B" w14:textId="77777777" w:rsidR="00E11AE7" w:rsidRDefault="00520C11">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50B61C86" w14:textId="77777777" w:rsidR="00E11AE7" w:rsidRDefault="00520C11">
      <w:pPr>
        <w:ind w:left="851" w:right="900"/>
        <w:jc w:val="both"/>
      </w:pPr>
      <w:r>
        <w:rPr>
          <w:rFonts w:ascii="Palatino Linotype" w:eastAsia="Palatino Linotype" w:hAnsi="Palatino Linotype" w:cs="Palatino Linotype"/>
          <w:i/>
        </w:rPr>
        <w:t>C. DIANA KAREN GRACIA HERNANDEZ</w:t>
      </w:r>
    </w:p>
    <w:p w14:paraId="7571333E" w14:textId="77777777" w:rsidR="00E11AE7" w:rsidRDefault="00E11AE7"/>
    <w:p w14:paraId="12C7C750" w14:textId="77777777" w:rsidR="00E11AE7" w:rsidRDefault="00520C1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adjuntó a su respuesta los archivos electrónicos denominados:</w:t>
      </w:r>
    </w:p>
    <w:p w14:paraId="15361039" w14:textId="77777777" w:rsidR="00E11AE7" w:rsidRDefault="00520C11">
      <w:pPr>
        <w:spacing w:line="360" w:lineRule="auto"/>
        <w:jc w:val="both"/>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0055-2022 oficio.pdf</w:t>
      </w:r>
      <w:r>
        <w:rPr>
          <w:rFonts w:ascii="Palatino Linotype" w:eastAsia="Palatino Linotype" w:hAnsi="Palatino Linotype" w:cs="Palatino Linotype"/>
          <w:sz w:val="24"/>
          <w:szCs w:val="24"/>
        </w:rPr>
        <w:t xml:space="preserve">” el cual contiene el oficio SH/0106/2022 de fecha dieciocho de febrero signado por Lic. Silvestre López Cornejo, Secretario del Ayuntamiento, mediante el cual menciona que de acuerdo a la información solicitada por el particular adjunta la información en formato físico y digital. </w:t>
      </w:r>
    </w:p>
    <w:p w14:paraId="56190B1C" w14:textId="77777777" w:rsidR="00E11AE7" w:rsidRDefault="00520C1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color w:val="000000"/>
          <w:sz w:val="24"/>
          <w:szCs w:val="24"/>
          <w:u w:val="single"/>
        </w:rPr>
        <w:t>convenio 15-08-2000.pdf</w:t>
      </w:r>
      <w:r>
        <w:rPr>
          <w:rFonts w:ascii="Palatino Linotype" w:eastAsia="Palatino Linotype" w:hAnsi="Palatino Linotype" w:cs="Palatino Linotype"/>
          <w:sz w:val="24"/>
          <w:szCs w:val="24"/>
        </w:rPr>
        <w:t xml:space="preserve">” el cual contiene el acta de cabildo de fecha quince de febrero del año dos mil, se adjunta la primera página a efecto de ejemplificar el archivo descrito. </w:t>
      </w:r>
    </w:p>
    <w:p w14:paraId="19CC180D" w14:textId="77777777" w:rsidR="00E11AE7" w:rsidRDefault="00520C11">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1AC0F712" wp14:editId="77D3225C">
            <wp:extent cx="5593206" cy="4704030"/>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43619" t="21122" r="30922" b="10078"/>
                    <a:stretch>
                      <a:fillRect/>
                    </a:stretch>
                  </pic:blipFill>
                  <pic:spPr>
                    <a:xfrm>
                      <a:off x="0" y="0"/>
                      <a:ext cx="5593206" cy="4704030"/>
                    </a:xfrm>
                    <a:prstGeom prst="rect">
                      <a:avLst/>
                    </a:prstGeom>
                    <a:ln/>
                  </pic:spPr>
                </pic:pic>
              </a:graphicData>
            </a:graphic>
          </wp:inline>
        </w:drawing>
      </w:r>
    </w:p>
    <w:p w14:paraId="45C36D42" w14:textId="77777777" w:rsidR="00E11AE7" w:rsidRDefault="00520C11">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veintitrés de febrero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01569/INFOEM/IP/RR/2022</w:t>
      </w:r>
      <w:r>
        <w:rPr>
          <w:rFonts w:ascii="Palatino Linotype" w:eastAsia="Palatino Linotype" w:hAnsi="Palatino Linotype" w:cs="Palatino Linotype"/>
          <w:sz w:val="24"/>
          <w:szCs w:val="24"/>
        </w:rPr>
        <w:t>, en el cual manifiesta, lo siguiente:</w:t>
      </w:r>
    </w:p>
    <w:p w14:paraId="75436234" w14:textId="77777777" w:rsidR="00E11AE7" w:rsidRDefault="00520C11">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351B4DF1" w14:textId="77777777" w:rsidR="00E11AE7" w:rsidRDefault="00520C11">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La entrega de la información no corresponde con lo solicitado ya que adjunte una captura de pantalla del convenio requerido.</w:t>
      </w:r>
      <w:r>
        <w:rPr>
          <w:rFonts w:ascii="Palatino Linotype" w:eastAsia="Palatino Linotype" w:hAnsi="Palatino Linotype" w:cs="Palatino Linotype"/>
          <w:i/>
        </w:rPr>
        <w:t>” [sic]</w:t>
      </w:r>
    </w:p>
    <w:p w14:paraId="7389E380" w14:textId="77777777" w:rsidR="00E11AE7" w:rsidRDefault="00520C11">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lastRenderedPageBreak/>
        <w:t>Razones o Motivos de Inconformidad</w:t>
      </w:r>
      <w:r>
        <w:rPr>
          <w:rFonts w:ascii="Palatino Linotype" w:eastAsia="Palatino Linotype" w:hAnsi="Palatino Linotype" w:cs="Palatino Linotype"/>
          <w:i/>
          <w:color w:val="000000"/>
          <w:sz w:val="24"/>
          <w:szCs w:val="24"/>
        </w:rPr>
        <w:t>:</w:t>
      </w:r>
    </w:p>
    <w:p w14:paraId="0BE9943F" w14:textId="77777777" w:rsidR="00E11AE7" w:rsidRDefault="00520C11">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La entrega de la información no corresponde con lo solicitado ya que adjunte una captura de pantalla del convenio requerido</w:t>
      </w:r>
      <w:r>
        <w:rPr>
          <w:rFonts w:ascii="Palatino Linotype" w:eastAsia="Palatino Linotype" w:hAnsi="Palatino Linotype" w:cs="Palatino Linotype"/>
          <w:b/>
          <w:i/>
          <w:color w:val="000000"/>
          <w:u w:val="single"/>
        </w:rPr>
        <w:t>.</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p>
    <w:p w14:paraId="1AE8FA59" w14:textId="77777777" w:rsidR="00E11AE7" w:rsidRDefault="00E11AE7">
      <w:pPr>
        <w:spacing w:before="240" w:after="0" w:line="360" w:lineRule="auto"/>
        <w:jc w:val="both"/>
        <w:rPr>
          <w:rFonts w:ascii="Palatino Linotype" w:eastAsia="Palatino Linotype" w:hAnsi="Palatino Linotype" w:cs="Palatino Linotype"/>
          <w:b/>
          <w:sz w:val="24"/>
          <w:szCs w:val="24"/>
        </w:rPr>
      </w:pPr>
    </w:p>
    <w:p w14:paraId="76D8EA6A" w14:textId="77777777" w:rsidR="00E11AE7" w:rsidRDefault="00520C1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w:t>
      </w:r>
      <w:r>
        <w:rPr>
          <w:rFonts w:ascii="Palatino Linotype" w:eastAsia="Palatino Linotype" w:hAnsi="Palatino Linotype" w:cs="Palatino Linotype"/>
          <w:sz w:val="24"/>
          <w:szCs w:val="24"/>
          <w:highlight w:val="white"/>
        </w:rPr>
        <w:t>de la Ley Transparencia y Acceso a la Información Pública</w:t>
      </w:r>
      <w:r>
        <w:rPr>
          <w:rFonts w:ascii="Palatino Linotype" w:eastAsia="Palatino Linotype" w:hAnsi="Palatino Linotype" w:cs="Palatino Linotype"/>
          <w:sz w:val="24"/>
          <w:szCs w:val="24"/>
        </w:rPr>
        <w:t>, el recurso de revisión número</w:t>
      </w:r>
      <w:r>
        <w:rPr>
          <w:rFonts w:ascii="Palatino Linotype" w:eastAsia="Palatino Linotype" w:hAnsi="Palatino Linotype" w:cs="Palatino Linotype"/>
          <w:b/>
          <w:sz w:val="24"/>
          <w:szCs w:val="24"/>
        </w:rPr>
        <w:t xml:space="preserve"> 01569/INFOEM/IP/RR/2022 </w:t>
      </w:r>
      <w:r>
        <w:rPr>
          <w:rFonts w:ascii="Palatino Linotype" w:eastAsia="Palatino Linotype" w:hAnsi="Palatino Linotype" w:cs="Palatino Linotype"/>
          <w:sz w:val="24"/>
          <w:szCs w:val="24"/>
        </w:rPr>
        <w:t xml:space="preserve">fue turnado en fecha veintitrés de febrero de dos mil veintidós a la Comisionada Ponente </w:t>
      </w:r>
      <w:r>
        <w:rPr>
          <w:rFonts w:ascii="Palatino Linotype" w:eastAsia="Palatino Linotype" w:hAnsi="Palatino Linotype" w:cs="Palatino Linotype"/>
          <w:b/>
          <w:sz w:val="24"/>
          <w:szCs w:val="24"/>
        </w:rPr>
        <w:t>Guadalupe Ramírez Peña</w:t>
      </w:r>
      <w:r>
        <w:rPr>
          <w:rFonts w:ascii="Palatino Linotype" w:eastAsia="Palatino Linotype" w:hAnsi="Palatino Linotype" w:cs="Palatino Linotype"/>
          <w:sz w:val="24"/>
          <w:szCs w:val="24"/>
        </w:rPr>
        <w:t>; a efecto de presentar al Pleno el proyecto de resolución correspondiente.</w:t>
      </w:r>
    </w:p>
    <w:p w14:paraId="7AA5ECA6" w14:textId="77777777" w:rsidR="00E11AE7" w:rsidRDefault="00E11AE7">
      <w:pPr>
        <w:spacing w:after="0" w:line="360" w:lineRule="auto"/>
        <w:jc w:val="both"/>
        <w:rPr>
          <w:rFonts w:ascii="Palatino Linotype" w:eastAsia="Palatino Linotype" w:hAnsi="Palatino Linotype" w:cs="Palatino Linotype"/>
          <w:b/>
          <w:sz w:val="24"/>
          <w:szCs w:val="24"/>
        </w:rPr>
      </w:pPr>
    </w:p>
    <w:p w14:paraId="4A749E28" w14:textId="77777777" w:rsidR="00E11AE7" w:rsidRDefault="00520C1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ADMISIÓN. </w:t>
      </w:r>
      <w:r>
        <w:rPr>
          <w:rFonts w:ascii="Palatino Linotype" w:eastAsia="Palatino Linotype" w:hAnsi="Palatino Linotype" w:cs="Palatino Linotype"/>
          <w:sz w:val="24"/>
          <w:szCs w:val="24"/>
        </w:rPr>
        <w:t>En fecha primero de marzo del año dos mil veintidós, en términos de lo dispuesto en el artículo 185 fracciones I, II y IV de la Ley de Transparencia y Acceso a la Información Pública del Estado de México y Municipios, se admitió a trámite el recurso de revisión al rubro indicado.</w:t>
      </w:r>
    </w:p>
    <w:p w14:paraId="76E43620" w14:textId="77777777" w:rsidR="00E11AE7" w:rsidRDefault="00E11AE7">
      <w:pPr>
        <w:spacing w:after="0" w:line="360" w:lineRule="auto"/>
        <w:ind w:right="-234"/>
        <w:jc w:val="both"/>
        <w:rPr>
          <w:rFonts w:ascii="Palatino Linotype" w:eastAsia="Palatino Linotype" w:hAnsi="Palatino Linotype" w:cs="Palatino Linotype"/>
          <w:b/>
          <w:color w:val="202124"/>
          <w:sz w:val="24"/>
          <w:szCs w:val="24"/>
        </w:rPr>
      </w:pPr>
    </w:p>
    <w:p w14:paraId="2BFD6269" w14:textId="77777777" w:rsidR="00E11AE7" w:rsidRDefault="00520C11">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6.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 xml:space="preserve">De las constancias que obran en el expediente electrónico del SAIMEX se desprende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rindió su informe justificado, del mismo modo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omitió realizar manifestaciones, tal como se advierte a continuación:</w:t>
      </w:r>
    </w:p>
    <w:p w14:paraId="32B5287E" w14:textId="77777777" w:rsidR="00E11AE7" w:rsidRDefault="00520C11">
      <w:pPr>
        <w:spacing w:after="0" w:line="360" w:lineRule="auto"/>
        <w:ind w:right="-234"/>
        <w:jc w:val="both"/>
        <w:rPr>
          <w:rFonts w:ascii="Palatino Linotype" w:eastAsia="Palatino Linotype" w:hAnsi="Palatino Linotype" w:cs="Palatino Linotype"/>
          <w:sz w:val="24"/>
          <w:szCs w:val="24"/>
        </w:rPr>
      </w:pPr>
      <w:r>
        <w:rPr>
          <w:noProof/>
        </w:rPr>
        <w:drawing>
          <wp:inline distT="0" distB="0" distL="0" distR="0" wp14:anchorId="79DA25CB" wp14:editId="40E8DF0C">
            <wp:extent cx="5842025" cy="1359884"/>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5973" t="25486" r="51872" b="50546"/>
                    <a:stretch>
                      <a:fillRect/>
                    </a:stretch>
                  </pic:blipFill>
                  <pic:spPr>
                    <a:xfrm>
                      <a:off x="0" y="0"/>
                      <a:ext cx="5842025" cy="1359884"/>
                    </a:xfrm>
                    <a:prstGeom prst="rect">
                      <a:avLst/>
                    </a:prstGeom>
                    <a:ln/>
                  </pic:spPr>
                </pic:pic>
              </a:graphicData>
            </a:graphic>
          </wp:inline>
        </w:drawing>
      </w:r>
    </w:p>
    <w:p w14:paraId="6ADF3526" w14:textId="77777777" w:rsidR="00E11AE7" w:rsidRDefault="00520C11">
      <w:pPr>
        <w:spacing w:after="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lastRenderedPageBreak/>
        <w:t xml:space="preserve">8. CIERRE DE INSTRUCCIÓN. </w:t>
      </w:r>
      <w:r>
        <w:rPr>
          <w:rFonts w:ascii="Palatino Linotype" w:eastAsia="Palatino Linotype" w:hAnsi="Palatino Linotype" w:cs="Palatino Linotype"/>
          <w:color w:val="000000"/>
          <w:sz w:val="24"/>
          <w:szCs w:val="24"/>
        </w:rPr>
        <w:t xml:space="preserve">El veintiuno de abril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14:paraId="1006E8AC" w14:textId="77777777" w:rsidR="00E11AE7" w:rsidRDefault="00E11AE7">
      <w:pPr>
        <w:spacing w:after="0" w:line="360" w:lineRule="auto"/>
        <w:jc w:val="both"/>
        <w:rPr>
          <w:rFonts w:ascii="Palatino Linotype" w:eastAsia="Palatino Linotype" w:hAnsi="Palatino Linotype" w:cs="Palatino Linotype"/>
          <w:b/>
          <w:sz w:val="24"/>
          <w:szCs w:val="24"/>
        </w:rPr>
      </w:pPr>
    </w:p>
    <w:p w14:paraId="7418B751" w14:textId="77777777" w:rsidR="00E11AE7" w:rsidRDefault="00520C1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9. DE LA AMPLIACIÓN DE PLAZO.</w:t>
      </w:r>
      <w:r>
        <w:rPr>
          <w:rFonts w:ascii="Palatino Linotype" w:eastAsia="Palatino Linotype" w:hAnsi="Palatino Linotype" w:cs="Palatino Linotype"/>
          <w:color w:val="202124"/>
          <w:highlight w:val="white"/>
        </w:rPr>
        <w:t xml:space="preserve"> </w:t>
      </w:r>
      <w:r>
        <w:rPr>
          <w:rFonts w:ascii="Palatino Linotype" w:eastAsia="Palatino Linotype" w:hAnsi="Palatino Linotype" w:cs="Palatino Linotype"/>
          <w:color w:val="202124"/>
          <w:sz w:val="24"/>
          <w:szCs w:val="24"/>
          <w:highlight w:val="white"/>
        </w:rPr>
        <w:t xml:space="preserve">En fecha </w:t>
      </w:r>
      <w:r>
        <w:rPr>
          <w:rFonts w:ascii="Palatino Linotype" w:eastAsia="Palatino Linotype" w:hAnsi="Palatino Linotype" w:cs="Palatino Linotype"/>
          <w:color w:val="202124"/>
          <w:sz w:val="24"/>
          <w:szCs w:val="24"/>
        </w:rPr>
        <w:t>veinti</w:t>
      </w:r>
      <w:r>
        <w:rPr>
          <w:rFonts w:ascii="Palatino Linotype" w:eastAsia="Palatino Linotype" w:hAnsi="Palatino Linotype" w:cs="Palatino Linotype"/>
          <w:color w:val="000000"/>
          <w:sz w:val="24"/>
          <w:szCs w:val="24"/>
        </w:rPr>
        <w:t xml:space="preserve">ocho de abril </w:t>
      </w:r>
      <w:r>
        <w:rPr>
          <w:rFonts w:ascii="Palatino Linotype" w:eastAsia="Palatino Linotype" w:hAnsi="Palatino Linotype" w:cs="Palatino Linotype"/>
          <w:color w:val="202124"/>
          <w:sz w:val="24"/>
          <w:szCs w:val="24"/>
          <w:highlight w:val="white"/>
        </w:rPr>
        <w:t>del dos mil veintidós,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14:paraId="733D9E67" w14:textId="77777777" w:rsidR="00E11AE7" w:rsidRDefault="00520C11">
      <w:pPr>
        <w:spacing w:after="12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CONSIDERANDOS:</w:t>
      </w:r>
    </w:p>
    <w:p w14:paraId="1DF2B88D" w14:textId="77777777" w:rsidR="00E11AE7" w:rsidRDefault="00520C11">
      <w:pPr>
        <w:spacing w:before="240" w:after="12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w:t>
      </w:r>
      <w:r>
        <w:rPr>
          <w:rFonts w:ascii="Palatino Linotype" w:eastAsia="Palatino Linotype" w:hAnsi="Palatino Linotype" w:cs="Palatino Linotype"/>
          <w:sz w:val="24"/>
          <w:szCs w:val="24"/>
        </w:rPr>
        <w:lastRenderedPageBreak/>
        <w:t>Municipios; y 10, 7, 9 fracciones I y XXIV y 11, del Reglamento Interior del Instituto de Transparencia, Acceso a la Información Pública y Protección de Datos Personales del Estado de México y Municipios.</w:t>
      </w:r>
    </w:p>
    <w:p w14:paraId="039EB8B1" w14:textId="77777777" w:rsidR="00E11AE7" w:rsidRDefault="00520C11">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B200C01" w14:textId="77777777" w:rsidR="00E11AE7" w:rsidRDefault="00520C11">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ésta fue pronunciada el día veintidós de febrero de dos mil veintidós, mientras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el recurso de revisión en fecha veintitrés de febrero de dos mil veintidós, esto es al siguiente día hábil siguiente de aquel en que tuvo conocimiento de la respuesta</w:t>
      </w:r>
      <w:r>
        <w:rPr>
          <w:rFonts w:ascii="Palatino Linotype" w:eastAsia="Palatino Linotype" w:hAnsi="Palatino Linotype" w:cs="Palatino Linotype"/>
          <w:sz w:val="24"/>
          <w:szCs w:val="24"/>
          <w:highlight w:val="white"/>
        </w:rPr>
        <w:t>;</w:t>
      </w:r>
      <w:r>
        <w:rPr>
          <w:rFonts w:ascii="Palatino Linotype" w:eastAsia="Palatino Linotype" w:hAnsi="Palatino Linotype" w:cs="Palatino Linotype"/>
          <w:sz w:val="24"/>
          <w:szCs w:val="24"/>
        </w:rPr>
        <w:t xml:space="preserve"> evidenciándose que la interposición del recurso se encuentra dentro de los márgenes temporales previstos en el citado precepto legal.</w:t>
      </w:r>
    </w:p>
    <w:p w14:paraId="17797AED" w14:textId="77777777" w:rsidR="00E11AE7" w:rsidRDefault="00520C11">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ésta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así como, en la que se interpuso el recurso de revisión, éste se encuentra dentro de los márgenes temporales previstos en el citado precepto legal.</w:t>
      </w:r>
    </w:p>
    <w:p w14:paraId="2A6D939E" w14:textId="77777777" w:rsidR="00E11AE7" w:rsidRDefault="00520C1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Además, 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8C4CCBF" w14:textId="77777777" w:rsidR="00E11AE7" w:rsidRDefault="00520C11">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14:paraId="40EF85A4" w14:textId="77777777" w:rsidR="00E11AE7" w:rsidRDefault="00520C1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14:paraId="3FE6BEA4" w14:textId="77777777" w:rsidR="00E11AE7" w:rsidRDefault="00520C11">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fracción VI de la Ley de Transparencia y Acceso a la Información Pública del Estado de México y Municipios; que a la letra dice:</w:t>
      </w:r>
    </w:p>
    <w:p w14:paraId="122C8028" w14:textId="77777777" w:rsidR="00E11AE7" w:rsidRDefault="00E11AE7">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p>
    <w:p w14:paraId="503D4B8F" w14:textId="77777777" w:rsidR="00E11AE7" w:rsidRDefault="00520C1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5A887C4C" w14:textId="77777777" w:rsidR="00E11AE7" w:rsidRDefault="00520C1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1155729" w14:textId="77777777" w:rsidR="00E11AE7" w:rsidRDefault="00520C1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VI. La entrega de información que no corresponda con lo solicitado;” (Sic)</w:t>
      </w:r>
    </w:p>
    <w:p w14:paraId="6ABD9AC8" w14:textId="77777777" w:rsidR="00E11AE7" w:rsidRDefault="00520C11">
      <w:pPr>
        <w:spacing w:after="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14:paraId="06E7D129" w14:textId="77777777" w:rsidR="00E11AE7" w:rsidRDefault="00520C11">
      <w:pPr>
        <w:pBdr>
          <w:top w:val="nil"/>
          <w:left w:val="nil"/>
          <w:bottom w:val="nil"/>
          <w:right w:val="nil"/>
          <w:between w:val="nil"/>
        </w:pBdr>
        <w:spacing w:before="8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064FD7F5" w14:textId="77777777" w:rsidR="00E11AE7" w:rsidRDefault="00520C11">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01C7F1C" w14:textId="77777777" w:rsidR="00E11AE7" w:rsidRDefault="00520C11">
      <w:pPr>
        <w:ind w:left="851" w:right="900"/>
        <w:jc w:val="both"/>
        <w:rPr>
          <w:rFonts w:ascii="Palatino Linotype" w:eastAsia="Palatino Linotype" w:hAnsi="Palatino Linotype" w:cs="Palatino Linotype"/>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xml:space="preserve">, en los términos y </w:t>
      </w:r>
      <w:r>
        <w:rPr>
          <w:rFonts w:ascii="Palatino Linotype" w:eastAsia="Palatino Linotype" w:hAnsi="Palatino Linotype" w:cs="Palatino Linotype"/>
          <w:i/>
        </w:rPr>
        <w:lastRenderedPageBreak/>
        <w:t>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453C5A" w14:textId="77777777" w:rsidR="00E11AE7" w:rsidRDefault="00520C11">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B2900BF" w14:textId="77777777" w:rsidR="00E11AE7" w:rsidRDefault="00520C11">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F0E4DC5" w14:textId="77777777" w:rsidR="00E11AE7" w:rsidRDefault="00520C11">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2CA42C1" w14:textId="77777777" w:rsidR="00E11AE7" w:rsidRDefault="00520C1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14:paraId="146FA4D5" w14:textId="77777777" w:rsidR="00E11AE7" w:rsidRDefault="00520C1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A133422" w14:textId="77777777" w:rsidR="00E11AE7" w:rsidRDefault="00520C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14:paraId="6DC3AB08" w14:textId="77777777" w:rsidR="00E11AE7" w:rsidRDefault="00520C11">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068531F8" w14:textId="77777777" w:rsidR="00E11AE7" w:rsidRDefault="00520C11">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EDAA57A" w14:textId="77777777" w:rsidR="00E11AE7" w:rsidRDefault="00520C11">
      <w:pPr>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w:t>
      </w:r>
      <w:r>
        <w:rPr>
          <w:rFonts w:ascii="Palatino Linotype" w:eastAsia="Palatino Linotype" w:hAnsi="Palatino Linotype" w:cs="Palatino Linotype"/>
          <w:i/>
        </w:rPr>
        <w:lastRenderedPageBreak/>
        <w:t>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w:t>
      </w:r>
    </w:p>
    <w:p w14:paraId="650AFD81" w14:textId="77777777" w:rsidR="00E11AE7" w:rsidRDefault="00520C1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1AC22F0" w14:textId="77777777" w:rsidR="00E11AE7" w:rsidRDefault="00520C11">
      <w:pPr>
        <w:spacing w:before="120"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73C552A9" w14:textId="77777777" w:rsidR="00E11AE7" w:rsidRDefault="00520C1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0118CC" w14:textId="77777777" w:rsidR="00E11AE7" w:rsidRDefault="00520C1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6921509A" w14:textId="77777777" w:rsidR="00E11AE7" w:rsidRDefault="00520C11">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3E1E25F2" w14:textId="77777777" w:rsidR="00E11AE7" w:rsidRDefault="00520C1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25A29460" w14:textId="77777777" w:rsidR="00E11AE7" w:rsidRDefault="00520C1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6922EA15" w14:textId="77777777" w:rsidR="00E11AE7" w:rsidRDefault="00E11AE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FF0000"/>
          <w:sz w:val="24"/>
          <w:szCs w:val="24"/>
        </w:rPr>
      </w:pPr>
    </w:p>
    <w:p w14:paraId="7B7B2535" w14:textId="77777777" w:rsidR="00E11AE7" w:rsidRDefault="00520C11">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del análisis de la solicitud de información, motivo del recurso de revisión que ahora se resuelve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información consistente en lo siguiente:</w:t>
      </w:r>
    </w:p>
    <w:p w14:paraId="3E4F4C94" w14:textId="77777777" w:rsidR="00E11AE7" w:rsidRDefault="00520C11">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-Versión pública a través de esta plataforma </w:t>
      </w:r>
      <w:r>
        <w:rPr>
          <w:rFonts w:ascii="Palatino Linotype" w:eastAsia="Palatino Linotype" w:hAnsi="Palatino Linotype" w:cs="Palatino Linotype"/>
          <w:sz w:val="24"/>
          <w:szCs w:val="24"/>
        </w:rPr>
        <w:t>del</w:t>
      </w:r>
      <w:r>
        <w:rPr>
          <w:rFonts w:ascii="Palatino Linotype" w:eastAsia="Palatino Linotype" w:hAnsi="Palatino Linotype" w:cs="Palatino Linotype"/>
          <w:color w:val="000000"/>
          <w:sz w:val="24"/>
          <w:szCs w:val="24"/>
        </w:rPr>
        <w:t xml:space="preserve"> convenio celebrado en fecha 15 de agosto del año 2000, sirviendo de referencia la siguiente imagen: </w:t>
      </w:r>
    </w:p>
    <w:p w14:paraId="03399A05" w14:textId="77777777" w:rsidR="00E11AE7" w:rsidRDefault="00520C11">
      <w:pPr>
        <w:spacing w:after="0" w:line="360" w:lineRule="auto"/>
        <w:jc w:val="both"/>
        <w:rPr>
          <w:rFonts w:ascii="Palatino Linotype" w:eastAsia="Palatino Linotype" w:hAnsi="Palatino Linotype" w:cs="Palatino Linotype"/>
          <w:sz w:val="24"/>
          <w:szCs w:val="24"/>
        </w:rPr>
      </w:pPr>
      <w:r>
        <w:rPr>
          <w:noProof/>
        </w:rPr>
        <w:drawing>
          <wp:inline distT="0" distB="0" distL="0" distR="0" wp14:anchorId="40C1A467" wp14:editId="5FCCE379">
            <wp:extent cx="5461957" cy="4748641"/>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27155" t="14787" r="27359" b="14905"/>
                    <a:stretch>
                      <a:fillRect/>
                    </a:stretch>
                  </pic:blipFill>
                  <pic:spPr>
                    <a:xfrm>
                      <a:off x="0" y="0"/>
                      <a:ext cx="5461957" cy="4748641"/>
                    </a:xfrm>
                    <a:prstGeom prst="rect">
                      <a:avLst/>
                    </a:prstGeom>
                    <a:ln/>
                  </pic:spPr>
                </pic:pic>
              </a:graphicData>
            </a:graphic>
          </wp:inline>
        </w:drawing>
      </w:r>
    </w:p>
    <w:p w14:paraId="53D65389" w14:textId="77777777" w:rsidR="00E11AE7" w:rsidRDefault="00E11AE7">
      <w:pPr>
        <w:spacing w:after="0" w:line="360" w:lineRule="auto"/>
        <w:jc w:val="both"/>
        <w:rPr>
          <w:rFonts w:ascii="Palatino Linotype" w:eastAsia="Palatino Linotype" w:hAnsi="Palatino Linotype" w:cs="Palatino Linotype"/>
          <w:sz w:val="24"/>
          <w:szCs w:val="24"/>
        </w:rPr>
      </w:pPr>
    </w:p>
    <w:p w14:paraId="604F7E92" w14:textId="77777777" w:rsidR="00E11AE7" w:rsidRDefault="00520C1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lastRenderedPageBreak/>
        <w:t xml:space="preserve">En respuesta,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sz w:val="24"/>
          <w:szCs w:val="24"/>
        </w:rPr>
        <w:t>a través a través de la Secretaría del Ayuntamiento, se menciona que anexa mediante copias en físico y formato digital, sin embargo se observa que el documento al que hace referencia es el acta de cabildo del quince de abril del año dos mil veinte, como se observa a continuación:</w:t>
      </w:r>
    </w:p>
    <w:p w14:paraId="64B782AD" w14:textId="77777777" w:rsidR="00E11AE7" w:rsidRDefault="00520C11">
      <w:pPr>
        <w:spacing w:after="0" w:line="360" w:lineRule="auto"/>
        <w:jc w:val="both"/>
        <w:rPr>
          <w:rFonts w:ascii="Palatino Linotype" w:eastAsia="Palatino Linotype" w:hAnsi="Palatino Linotype" w:cs="Palatino Linotype"/>
          <w:sz w:val="24"/>
          <w:szCs w:val="24"/>
        </w:rPr>
      </w:pPr>
      <w:r>
        <w:rPr>
          <w:noProof/>
        </w:rPr>
        <w:drawing>
          <wp:inline distT="0" distB="0" distL="0" distR="0" wp14:anchorId="523F93EA" wp14:editId="6C1A549E">
            <wp:extent cx="5599451" cy="1607498"/>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38188" t="24442" r="26341" b="57453"/>
                    <a:stretch>
                      <a:fillRect/>
                    </a:stretch>
                  </pic:blipFill>
                  <pic:spPr>
                    <a:xfrm>
                      <a:off x="0" y="0"/>
                      <a:ext cx="5599451" cy="1607498"/>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492D1EB8" wp14:editId="63005348">
                <wp:simplePos x="0" y="0"/>
                <wp:positionH relativeFrom="column">
                  <wp:posOffset>101601</wp:posOffset>
                </wp:positionH>
                <wp:positionV relativeFrom="paragraph">
                  <wp:posOffset>635000</wp:posOffset>
                </wp:positionV>
                <wp:extent cx="5476875" cy="1362075"/>
                <wp:effectExtent l="0" t="0" r="0" b="0"/>
                <wp:wrapNone/>
                <wp:docPr id="30" name="Rectángulo 30"/>
                <wp:cNvGraphicFramePr/>
                <a:graphic xmlns:a="http://schemas.openxmlformats.org/drawingml/2006/main">
                  <a:graphicData uri="http://schemas.microsoft.com/office/word/2010/wordprocessingShape">
                    <wps:wsp>
                      <wps:cNvSpPr/>
                      <wps:spPr>
                        <a:xfrm>
                          <a:off x="2626613" y="3118013"/>
                          <a:ext cx="5438775" cy="1323975"/>
                        </a:xfrm>
                        <a:prstGeom prst="rect">
                          <a:avLst/>
                        </a:prstGeom>
                        <a:noFill/>
                        <a:ln w="38100" cap="flat" cmpd="sng">
                          <a:solidFill>
                            <a:srgbClr val="FF0000"/>
                          </a:solidFill>
                          <a:prstDash val="solid"/>
                          <a:miter lim="800000"/>
                          <a:headEnd type="none" w="sm" len="sm"/>
                          <a:tailEnd type="none" w="sm" len="sm"/>
                        </a:ln>
                      </wps:spPr>
                      <wps:txbx>
                        <w:txbxContent>
                          <w:p w14:paraId="0896D895" w14:textId="77777777" w:rsidR="00E11AE7" w:rsidRDefault="00E11A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2D1EB8" id="Rectángulo 30" o:spid="_x0000_s1026" style="position:absolute;left:0;text-align:left;margin-left:8pt;margin-top:50pt;width:431.25pt;height:107.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" filled="f" strokecolor="red" strokeweight="3pt">
                <v:stroke startarrowwidth="narrow" startarrowlength="short" endarrowwidth="narrow" endarrowlength="short"/>
                <v:textbox inset="2.53958mm,2.53958mm,2.53958mm,2.53958mm">
                  <w:txbxContent>
                    <w:p w14:paraId="0896D895" w14:textId="77777777" w:rsidR="00E11AE7" w:rsidRDefault="00E11AE7">
                      <w:pPr>
                        <w:spacing w:after="0" w:line="240" w:lineRule="auto"/>
                        <w:textDirection w:val="btLr"/>
                      </w:pPr>
                    </w:p>
                  </w:txbxContent>
                </v:textbox>
              </v:rect>
            </w:pict>
          </mc:Fallback>
        </mc:AlternateContent>
      </w:r>
    </w:p>
    <w:p w14:paraId="6F1D064E" w14:textId="77777777" w:rsidR="00E11AE7" w:rsidRDefault="00520C11">
      <w:pPr>
        <w:spacing w:after="0"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1E87D437" wp14:editId="5BE4FA66">
            <wp:extent cx="5581156" cy="5475599"/>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45405" t="14485" r="23794" b="4645"/>
                    <a:stretch>
                      <a:fillRect/>
                    </a:stretch>
                  </pic:blipFill>
                  <pic:spPr>
                    <a:xfrm>
                      <a:off x="0" y="0"/>
                      <a:ext cx="5581156" cy="5475599"/>
                    </a:xfrm>
                    <a:prstGeom prst="rect">
                      <a:avLst/>
                    </a:prstGeom>
                    <a:ln/>
                  </pic:spPr>
                </pic:pic>
              </a:graphicData>
            </a:graphic>
          </wp:inline>
        </w:drawing>
      </w:r>
    </w:p>
    <w:p w14:paraId="4787C7E9" w14:textId="77777777" w:rsidR="00E11AE7" w:rsidRDefault="00520C11">
      <w:pPr>
        <w:spacing w:line="360" w:lineRule="auto"/>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no corresponde a lo solicitado. </w:t>
      </w:r>
    </w:p>
    <w:p w14:paraId="3F0D0CF0" w14:textId="1EB987B7" w:rsidR="00E11AE7" w:rsidRDefault="00520C11">
      <w:pPr>
        <w:spacing w:line="360" w:lineRule="auto"/>
        <w:jc w:val="both"/>
        <w:rPr>
          <w:rFonts w:ascii="Palatino Linotype" w:eastAsia="Palatino Linotype" w:hAnsi="Palatino Linotype" w:cs="Palatino Linotype"/>
          <w:sz w:val="24"/>
          <w:szCs w:val="24"/>
        </w:rPr>
      </w:pPr>
      <w:bookmarkStart w:id="1" w:name="_heading=h.1vayzyw08ah9" w:colFirst="0" w:colLast="0"/>
      <w:bookmarkEnd w:id="1"/>
      <w:r>
        <w:rPr>
          <w:rFonts w:ascii="Palatino Linotype" w:eastAsia="Palatino Linotype" w:hAnsi="Palatino Linotype" w:cs="Palatino Linotype"/>
          <w:sz w:val="24"/>
          <w:szCs w:val="24"/>
        </w:rPr>
        <w:lastRenderedPageBreak/>
        <w:t>Admitido el presente recurso de revisión, en términos del artículo 185 fracción II</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sin </w:t>
      </w:r>
      <w:r w:rsidR="00CB69FA">
        <w:rPr>
          <w:rFonts w:ascii="Palatino Linotype" w:eastAsia="Palatino Linotype" w:hAnsi="Palatino Linotype" w:cs="Palatino Linotype"/>
          <w:sz w:val="24"/>
          <w:szCs w:val="24"/>
        </w:rPr>
        <w:t>embargo,</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resultó omiso de emitir su informe justificado y el recurrente de remitir sus manifestaciones.</w:t>
      </w:r>
    </w:p>
    <w:p w14:paraId="72B61E1D" w14:textId="77777777" w:rsidR="00E11AE7" w:rsidRDefault="00520C11">
      <w:pPr>
        <w:spacing w:before="240" w:after="240" w:line="360" w:lineRule="auto"/>
        <w:jc w:val="both"/>
        <w:rPr>
          <w:rFonts w:ascii="Palatino Linotype" w:eastAsia="Palatino Linotype" w:hAnsi="Palatino Linotype" w:cs="Palatino Linotype"/>
          <w:color w:val="202124"/>
          <w:sz w:val="24"/>
          <w:szCs w:val="24"/>
          <w:highlight w:val="white"/>
        </w:rPr>
      </w:pPr>
      <w:r>
        <w:rPr>
          <w:rFonts w:ascii="Palatino Linotype" w:eastAsia="Palatino Linotype" w:hAnsi="Palatino Linotype" w:cs="Palatino Linotype"/>
          <w:sz w:val="24"/>
          <w:szCs w:val="24"/>
        </w:rPr>
        <w:t xml:space="preserve">En este sentido este Organismo Garante estima que la información remitida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efecto no corresponde con lo solicitado toda vez que lo solicitado consiste en un convenio de naturaleza administrativa firmado por el entonces Presidente Municipal Benjamín González Ríos y la C. Teresa Valencia Castillo, signado en fecha 15 de agosto de 2000, mientras que lo remitido por el Sujeto Obligado consiste en</w:t>
      </w:r>
      <w:r>
        <w:rPr>
          <w:rFonts w:ascii="Palatino Linotype" w:eastAsia="Palatino Linotype" w:hAnsi="Palatino Linotype" w:cs="Palatino Linotype"/>
          <w:color w:val="202124"/>
          <w:sz w:val="24"/>
          <w:szCs w:val="24"/>
          <w:highlight w:val="white"/>
        </w:rPr>
        <w:t xml:space="preserve"> un acta de cabildo llevada a cabo en la misma fecha, tal como se puede apreciar en los antecedentes. </w:t>
      </w:r>
    </w:p>
    <w:p w14:paraId="4FAE30F3" w14:textId="77777777" w:rsidR="00E11AE7" w:rsidRDefault="00520C11">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Por lo anterior cobra sentido mencionar lo siguiente:</w:t>
      </w:r>
    </w:p>
    <w:p w14:paraId="6898C233" w14:textId="77777777" w:rsidR="00E11AE7" w:rsidRDefault="00520C11">
      <w:pPr>
        <w:spacing w:after="0" w:line="276" w:lineRule="auto"/>
        <w:ind w:left="851" w:right="851"/>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CÓDIGO CIVIL DEL ESTADO DE MÉXICO</w:t>
      </w:r>
    </w:p>
    <w:p w14:paraId="26CBE1E0" w14:textId="4E9838AB" w:rsidR="00E11AE7" w:rsidRPr="00CB69FA" w:rsidRDefault="00520C11" w:rsidP="00CB69FA">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Artículo 7.30.- Convenio es el acuerdo de dos o más personas para crear, transferir, modificar o extinguir obligaciones.</w:t>
      </w:r>
    </w:p>
    <w:p w14:paraId="4AEDEAA4" w14:textId="77777777" w:rsidR="00AA14DE" w:rsidRDefault="00AA14DE">
      <w:pPr>
        <w:spacing w:after="0" w:line="360" w:lineRule="auto"/>
        <w:jc w:val="both"/>
        <w:rPr>
          <w:rFonts w:ascii="Palatino Linotype" w:eastAsia="Palatino Linotype" w:hAnsi="Palatino Linotype" w:cs="Palatino Linotype"/>
          <w:sz w:val="24"/>
          <w:szCs w:val="24"/>
        </w:rPr>
      </w:pPr>
    </w:p>
    <w:p w14:paraId="20E36B5D" w14:textId="563A370D" w:rsidR="00EA0863" w:rsidRDefault="00520C11" w:rsidP="00EA086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 lo cual se señala que el convenio es un acuerdo de dos o más personas para crear, modificar o extinguir obligaciones</w:t>
      </w:r>
      <w:r w:rsidR="00EA0863">
        <w:rPr>
          <w:rFonts w:ascii="Palatino Linotype" w:eastAsia="Palatino Linotype" w:hAnsi="Palatino Linotype" w:cs="Palatino Linotype"/>
          <w:sz w:val="24"/>
          <w:szCs w:val="24"/>
        </w:rPr>
        <w:t>.</w:t>
      </w:r>
    </w:p>
    <w:p w14:paraId="125ECC5C" w14:textId="77777777" w:rsidR="00EA0863" w:rsidRPr="00EA0863" w:rsidRDefault="00EA0863" w:rsidP="00EA0863">
      <w:pPr>
        <w:spacing w:after="0" w:line="360" w:lineRule="auto"/>
        <w:jc w:val="both"/>
        <w:rPr>
          <w:rFonts w:ascii="Palatino Linotype" w:eastAsia="Palatino Linotype" w:hAnsi="Palatino Linotype" w:cs="Palatino Linotype"/>
          <w:i/>
        </w:rPr>
      </w:pPr>
    </w:p>
    <w:p w14:paraId="661169F2" w14:textId="631111C4" w:rsidR="00E11AE7" w:rsidRDefault="00520C11" w:rsidP="00EA086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Ahora bien, por cuanto hace al convenio señalado; se advierte que resulta información pública de conformidad con lo dispuesto en el artículo 92 fracción XXXII de la Ley de Transparencia y Acceso a la Información Pública del Estado de México y Municipios; que a la letra señala:</w:t>
      </w:r>
    </w:p>
    <w:p w14:paraId="451A5EED" w14:textId="77777777" w:rsidR="00E11AE7" w:rsidRDefault="00520C11">
      <w:pPr>
        <w:spacing w:line="276" w:lineRule="auto"/>
        <w:ind w:left="851" w:right="992"/>
        <w:jc w:val="center"/>
        <w:rPr>
          <w:rFonts w:ascii="Palatino Linotype" w:eastAsia="Palatino Linotype" w:hAnsi="Palatino Linotype" w:cs="Palatino Linotype"/>
          <w:i/>
        </w:rPr>
      </w:pPr>
      <w:r>
        <w:rPr>
          <w:rFonts w:ascii="Palatino Linotype" w:eastAsia="Palatino Linotype" w:hAnsi="Palatino Linotype" w:cs="Palatino Linotype"/>
          <w:i/>
        </w:rPr>
        <w:t>Capítulo II</w:t>
      </w:r>
    </w:p>
    <w:p w14:paraId="1FB88729" w14:textId="77777777" w:rsidR="00E11AE7" w:rsidRDefault="00520C11">
      <w:pPr>
        <w:spacing w:line="276" w:lineRule="auto"/>
        <w:ind w:left="851" w:right="992"/>
        <w:jc w:val="center"/>
        <w:rPr>
          <w:rFonts w:ascii="Palatino Linotype" w:eastAsia="Palatino Linotype" w:hAnsi="Palatino Linotype" w:cs="Palatino Linotype"/>
          <w:i/>
        </w:rPr>
      </w:pPr>
      <w:r>
        <w:rPr>
          <w:rFonts w:ascii="Palatino Linotype" w:eastAsia="Palatino Linotype" w:hAnsi="Palatino Linotype" w:cs="Palatino Linotype"/>
          <w:i/>
        </w:rPr>
        <w:t>De las Obligaciones de Transparencia Comunes</w:t>
      </w:r>
    </w:p>
    <w:p w14:paraId="0525FA4D" w14:textId="77777777" w:rsidR="00E11AE7" w:rsidRDefault="00520C11">
      <w:pPr>
        <w:spacing w:line="276" w:lineRule="auto"/>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D001D9D" w14:textId="77777777" w:rsidR="00E11AE7" w:rsidRDefault="00520C11">
      <w:pPr>
        <w:spacing w:line="276" w:lineRule="auto"/>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t xml:space="preserve">I al XXXI… </w:t>
      </w:r>
    </w:p>
    <w:p w14:paraId="287CC802" w14:textId="77777777" w:rsidR="00E11AE7" w:rsidRDefault="00520C11">
      <w:pPr>
        <w:spacing w:line="276" w:lineRule="auto"/>
        <w:ind w:left="851" w:right="992"/>
        <w:jc w:val="both"/>
        <w:rPr>
          <w:rFonts w:ascii="Palatino Linotype" w:eastAsia="Palatino Linotype" w:hAnsi="Palatino Linotype" w:cs="Palatino Linotype"/>
          <w:i/>
          <w:sz w:val="32"/>
          <w:szCs w:val="32"/>
        </w:rPr>
      </w:pPr>
      <w:r>
        <w:rPr>
          <w:rFonts w:ascii="Palatino Linotype" w:eastAsia="Palatino Linotype" w:hAnsi="Palatino Linotype" w:cs="Palatino Linotype"/>
          <w:i/>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XXXIII al LII. (Énfasis añadido)</w:t>
      </w:r>
    </w:p>
    <w:p w14:paraId="0CB0A2AE" w14:textId="77777777" w:rsidR="00EA0863" w:rsidRDefault="00EA0863" w:rsidP="00EA0863">
      <w:pPr>
        <w:spacing w:after="0" w:line="360" w:lineRule="auto"/>
        <w:jc w:val="both"/>
        <w:rPr>
          <w:rFonts w:ascii="Palatino Linotype" w:hAnsi="Palatino Linotype"/>
          <w:bCs/>
          <w:sz w:val="24"/>
          <w:szCs w:val="24"/>
        </w:rPr>
      </w:pPr>
    </w:p>
    <w:p w14:paraId="768005E2" w14:textId="10CB5489" w:rsidR="00EA0863" w:rsidRDefault="00531178" w:rsidP="00EA086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w:t>
      </w:r>
      <w:r w:rsidR="00EA0863">
        <w:rPr>
          <w:rFonts w:ascii="Palatino Linotype" w:eastAsia="Palatino Linotype" w:hAnsi="Palatino Linotype" w:cs="Palatino Linotype"/>
          <w:sz w:val="24"/>
          <w:szCs w:val="24"/>
        </w:rPr>
        <w:t xml:space="preserve"> resulta procedente precisar:</w:t>
      </w:r>
    </w:p>
    <w:p w14:paraId="1272D683" w14:textId="77777777" w:rsidR="00531178" w:rsidRDefault="00EA0863" w:rsidP="00531178">
      <w:pPr>
        <w:spacing w:after="0" w:line="276" w:lineRule="auto"/>
        <w:ind w:left="851" w:right="851"/>
        <w:jc w:val="both"/>
        <w:rPr>
          <w:rFonts w:ascii="Palatino Linotype" w:eastAsia="Palatino Linotype" w:hAnsi="Palatino Linotype" w:cs="Palatino Linotype"/>
          <w:b/>
          <w:i/>
          <w:u w:val="single"/>
        </w:rPr>
      </w:pPr>
      <w:r>
        <w:rPr>
          <w:rFonts w:ascii="Palatino Linotype" w:hAnsi="Palatino Linotype"/>
          <w:bCs/>
          <w:sz w:val="24"/>
          <w:szCs w:val="24"/>
        </w:rPr>
        <w:t xml:space="preserve"> </w:t>
      </w:r>
      <w:r w:rsidR="00531178">
        <w:rPr>
          <w:rFonts w:ascii="Palatino Linotype" w:eastAsia="Palatino Linotype" w:hAnsi="Palatino Linotype" w:cs="Palatino Linotype"/>
          <w:b/>
          <w:i/>
          <w:u w:val="single"/>
        </w:rPr>
        <w:t>LEY ORGÁNICA MUNICIPAL DEL ESTADO DE MÉXICO</w:t>
      </w:r>
    </w:p>
    <w:p w14:paraId="5A9C0DE5" w14:textId="77777777" w:rsidR="00531178" w:rsidRDefault="00531178" w:rsidP="00531178">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Artículo 50.- El presidente asumirá la representación jurídica del ayuntamiento y de las dependencias de la Administración Pública Municipal, en los litigios en que sean parte, así como la gestión de los negocios de la hacienda municipal; facultándolo para otorgar y revocar poderes generales y especiales a terceros o mediante oficio para la debida representación jurídica correspondiente pudiendo convenir en los mismos.</w:t>
      </w:r>
    </w:p>
    <w:p w14:paraId="5BC7BA40" w14:textId="77777777" w:rsidR="00531178" w:rsidRDefault="00531178" w:rsidP="00531178">
      <w:pPr>
        <w:spacing w:line="360" w:lineRule="auto"/>
        <w:jc w:val="both"/>
        <w:rPr>
          <w:rFonts w:ascii="Palatino Linotype" w:eastAsia="Palatino Linotype" w:hAnsi="Palatino Linotype" w:cs="Palatino Linotype"/>
          <w:sz w:val="24"/>
          <w:szCs w:val="24"/>
        </w:rPr>
      </w:pPr>
    </w:p>
    <w:p w14:paraId="5693DD5F" w14:textId="6376B341" w:rsidR="00531178" w:rsidRPr="00531178" w:rsidRDefault="00531178" w:rsidP="00531178">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Con lo que se entiende que el Presidente Municipal, tiene dentro de sus atribuciones asumir la representación jurídica del Ayuntamiento y de la administración pública municipal, convenir o contratar con terceros, a nombre del Ayuntamiento, la prestación de servicios públicos y la ejecución de obras.</w:t>
      </w:r>
    </w:p>
    <w:p w14:paraId="6F94B886" w14:textId="455B31D7" w:rsidR="00347764" w:rsidRPr="00EA0863" w:rsidRDefault="00531178" w:rsidP="00531178">
      <w:pPr>
        <w:tabs>
          <w:tab w:val="left" w:pos="1140"/>
        </w:tabs>
        <w:spacing w:line="360" w:lineRule="auto"/>
        <w:jc w:val="both"/>
        <w:rPr>
          <w:rFonts w:ascii="Palatino Linotype" w:eastAsia="Palatino Linotype" w:hAnsi="Palatino Linotype" w:cs="Palatino Linotype"/>
          <w:sz w:val="32"/>
          <w:szCs w:val="32"/>
        </w:rPr>
      </w:pPr>
      <w:r>
        <w:rPr>
          <w:rFonts w:ascii="Palatino Linotype" w:hAnsi="Palatino Linotype"/>
          <w:bCs/>
          <w:sz w:val="24"/>
          <w:szCs w:val="24"/>
        </w:rPr>
        <w:t>De igual forma</w:t>
      </w:r>
      <w:r w:rsidR="00347764" w:rsidRPr="00EA0863">
        <w:rPr>
          <w:rFonts w:ascii="Palatino Linotype" w:hAnsi="Palatino Linotype"/>
          <w:bCs/>
          <w:sz w:val="24"/>
          <w:szCs w:val="24"/>
        </w:rPr>
        <w:t xml:space="preserve">, resulta oportuno traer a muestra el </w:t>
      </w:r>
      <w:r w:rsidR="00347764" w:rsidRPr="00EA0863">
        <w:rPr>
          <w:rFonts w:ascii="Palatino Linotype" w:hAnsi="Palatino Linotype" w:cs="Arial"/>
          <w:sz w:val="24"/>
          <w:szCs w:val="24"/>
        </w:rPr>
        <w:t xml:space="preserve">organigrama del </w:t>
      </w:r>
      <w:r w:rsidR="00347764" w:rsidRPr="00EA0863">
        <w:rPr>
          <w:rFonts w:ascii="Palatino Linotype" w:hAnsi="Palatino Linotype" w:cs="Arial"/>
          <w:b/>
          <w:bCs/>
          <w:sz w:val="24"/>
          <w:szCs w:val="24"/>
        </w:rPr>
        <w:t xml:space="preserve">SUJETO OBLIGADO, </w:t>
      </w:r>
      <w:r w:rsidR="00347764" w:rsidRPr="00EA0863">
        <w:rPr>
          <w:rFonts w:ascii="Palatino Linotype" w:hAnsi="Palatino Linotype" w:cs="Arial"/>
          <w:sz w:val="24"/>
          <w:szCs w:val="24"/>
        </w:rPr>
        <w:t xml:space="preserve">susceptible de ser consultado en la siguiente dirección electrónica: </w:t>
      </w:r>
    </w:p>
    <w:p w14:paraId="4914B149" w14:textId="15459CD9" w:rsidR="00347764" w:rsidRPr="00531178" w:rsidRDefault="00ED1714">
      <w:pPr>
        <w:tabs>
          <w:tab w:val="left" w:pos="1140"/>
        </w:tabs>
        <w:spacing w:line="360" w:lineRule="auto"/>
        <w:jc w:val="both"/>
        <w:rPr>
          <w:rFonts w:ascii="Palatino Linotype" w:eastAsia="Palatino Linotype" w:hAnsi="Palatino Linotype" w:cs="Palatino Linotype"/>
          <w:b/>
          <w:bCs/>
          <w:i/>
          <w:iCs/>
          <w:color w:val="000000" w:themeColor="text1"/>
          <w:sz w:val="24"/>
          <w:szCs w:val="24"/>
        </w:rPr>
      </w:pPr>
      <w:hyperlink r:id="rId14" w:history="1">
        <w:r w:rsidR="00531178" w:rsidRPr="00531178">
          <w:rPr>
            <w:rStyle w:val="Hipervnculo"/>
            <w:rFonts w:ascii="Palatino Linotype" w:hAnsi="Palatino Linotype" w:cs="Arial"/>
            <w:b/>
            <w:bCs/>
            <w:i/>
            <w:iCs/>
            <w:sz w:val="24"/>
            <w:szCs w:val="24"/>
            <w:u w:val="none"/>
            <w:shd w:val="clear" w:color="auto" w:fill="FFFFFF"/>
          </w:rPr>
          <w:t>https://drive.google.com/file/d/1ln1K6D_NyBwvTkq5y7W2YBenRoALIZy/view?usp=sharing</w:t>
        </w:r>
      </w:hyperlink>
    </w:p>
    <w:p w14:paraId="31E9131F" w14:textId="4EFF0366" w:rsidR="00347764" w:rsidRDefault="00347764">
      <w:pPr>
        <w:tabs>
          <w:tab w:val="left" w:pos="1140"/>
        </w:tabs>
        <w:spacing w:line="360" w:lineRule="auto"/>
        <w:jc w:val="both"/>
        <w:rPr>
          <w:rFonts w:ascii="Palatino Linotype" w:eastAsia="Palatino Linotype" w:hAnsi="Palatino Linotype" w:cs="Palatino Linotype"/>
          <w:sz w:val="24"/>
          <w:szCs w:val="24"/>
        </w:rPr>
      </w:pPr>
    </w:p>
    <w:p w14:paraId="28323CE5" w14:textId="2A56D2B1" w:rsidR="00347764" w:rsidRDefault="00347764">
      <w:pPr>
        <w:tabs>
          <w:tab w:val="left" w:pos="1140"/>
        </w:tabs>
        <w:spacing w:line="360" w:lineRule="auto"/>
        <w:jc w:val="both"/>
        <w:rPr>
          <w:rFonts w:ascii="Palatino Linotype" w:eastAsia="Palatino Linotype" w:hAnsi="Palatino Linotype" w:cs="Palatino Linotype"/>
          <w:sz w:val="24"/>
          <w:szCs w:val="24"/>
        </w:rPr>
      </w:pPr>
    </w:p>
    <w:p w14:paraId="5FDD9E4D" w14:textId="4602CEA1" w:rsidR="00347764" w:rsidRDefault="00276D8C">
      <w:pPr>
        <w:tabs>
          <w:tab w:val="left" w:pos="1140"/>
        </w:tabs>
        <w:spacing w:line="360" w:lineRule="auto"/>
        <w:jc w:val="both"/>
        <w:rPr>
          <w:rFonts w:ascii="Palatino Linotype" w:eastAsia="Palatino Linotype" w:hAnsi="Palatino Linotype" w:cs="Palatino Linotype"/>
          <w:sz w:val="24"/>
          <w:szCs w:val="24"/>
        </w:rPr>
      </w:pPr>
      <w:r>
        <w:rPr>
          <w:noProof/>
        </w:rPr>
        <mc:AlternateContent>
          <mc:Choice Requires="wps">
            <w:drawing>
              <wp:anchor distT="0" distB="0" distL="114300" distR="114300" simplePos="0" relativeHeight="251659264" behindDoc="0" locked="0" layoutInCell="1" allowOverlap="1" wp14:anchorId="74BDD784" wp14:editId="5EAD8060">
                <wp:simplePos x="0" y="0"/>
                <wp:positionH relativeFrom="column">
                  <wp:posOffset>497456</wp:posOffset>
                </wp:positionH>
                <wp:positionV relativeFrom="paragraph">
                  <wp:posOffset>1221419</wp:posOffset>
                </wp:positionV>
                <wp:extent cx="844062" cy="160774"/>
                <wp:effectExtent l="19050" t="19050" r="13335" b="10795"/>
                <wp:wrapNone/>
                <wp:docPr id="4" name="Rectángulo 4"/>
                <wp:cNvGraphicFramePr/>
                <a:graphic xmlns:a="http://schemas.openxmlformats.org/drawingml/2006/main">
                  <a:graphicData uri="http://schemas.microsoft.com/office/word/2010/wordprocessingShape">
                    <wps:wsp>
                      <wps:cNvSpPr/>
                      <wps:spPr>
                        <a:xfrm>
                          <a:off x="0" y="0"/>
                          <a:ext cx="844062" cy="160774"/>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56B7B1" id="Rectángulo 4" o:spid="_x0000_s1026" style="position:absolute;margin-left:39.15pt;margin-top:96.15pt;width:66.45pt;height:1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" filled="f" strokecolor="red" strokeweight="3pt"/>
            </w:pict>
          </mc:Fallback>
        </mc:AlternateContent>
      </w:r>
      <w:r w:rsidR="00347764">
        <w:rPr>
          <w:noProof/>
        </w:rPr>
        <w:drawing>
          <wp:inline distT="0" distB="0" distL="0" distR="0" wp14:anchorId="45002E44" wp14:editId="6B337178">
            <wp:extent cx="5581015" cy="3322955"/>
            <wp:effectExtent l="0" t="0" r="635" b="0"/>
            <wp:docPr id="1" name="Imagen 1" descr="Pantalla de celular con mensaje public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ntalla de celular con mensaje publicado&#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015" cy="3322955"/>
                    </a:xfrm>
                    <a:prstGeom prst="rect">
                      <a:avLst/>
                    </a:prstGeom>
                    <a:noFill/>
                    <a:ln>
                      <a:noFill/>
                    </a:ln>
                  </pic:spPr>
                </pic:pic>
              </a:graphicData>
            </a:graphic>
          </wp:inline>
        </w:drawing>
      </w:r>
    </w:p>
    <w:p w14:paraId="29A6E7B0" w14:textId="48B0B326" w:rsidR="00276D8C" w:rsidRDefault="00276D8C" w:rsidP="00276D8C">
      <w:pPr>
        <w:tabs>
          <w:tab w:val="left" w:pos="1140"/>
        </w:tabs>
        <w:spacing w:line="360" w:lineRule="auto"/>
        <w:jc w:val="center"/>
        <w:rPr>
          <w:rFonts w:ascii="Palatino Linotype" w:eastAsia="Palatino Linotype" w:hAnsi="Palatino Linotype" w:cs="Palatino Linotype"/>
          <w:sz w:val="24"/>
          <w:szCs w:val="24"/>
        </w:rPr>
      </w:pPr>
      <w:r>
        <w:rPr>
          <w:noProof/>
        </w:rPr>
        <w:lastRenderedPageBreak/>
        <w:drawing>
          <wp:inline distT="0" distB="0" distL="0" distR="0" wp14:anchorId="49C2BE38" wp14:editId="7C61A2D5">
            <wp:extent cx="2813685" cy="2943860"/>
            <wp:effectExtent l="0" t="0" r="5715" b="8890"/>
            <wp:docPr id="3" name="Imagen 3"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Text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3685" cy="2943860"/>
                    </a:xfrm>
                    <a:prstGeom prst="rect">
                      <a:avLst/>
                    </a:prstGeom>
                    <a:noFill/>
                    <a:ln>
                      <a:noFill/>
                    </a:ln>
                  </pic:spPr>
                </pic:pic>
              </a:graphicData>
            </a:graphic>
          </wp:inline>
        </w:drawing>
      </w:r>
    </w:p>
    <w:p w14:paraId="11F6C83D" w14:textId="37DB1DFD" w:rsidR="00531178" w:rsidRPr="00531178" w:rsidRDefault="00276D8C" w:rsidP="00531178">
      <w:pPr>
        <w:spacing w:line="360" w:lineRule="auto"/>
        <w:jc w:val="both"/>
        <w:rPr>
          <w:rFonts w:ascii="Palatino Linotype" w:hAnsi="Palatino Linotype" w:cs="Arial"/>
          <w:sz w:val="24"/>
          <w:szCs w:val="24"/>
        </w:rPr>
      </w:pPr>
      <w:r w:rsidRPr="008E16DC">
        <w:rPr>
          <w:rFonts w:ascii="Palatino Linotype" w:hAnsi="Palatino Linotype" w:cs="Arial"/>
          <w:sz w:val="24"/>
          <w:szCs w:val="24"/>
        </w:rPr>
        <w:t xml:space="preserve">De lo expuesto con anterioridad, se desprende que </w:t>
      </w:r>
      <w:r w:rsidRPr="008E16DC">
        <w:rPr>
          <w:rFonts w:ascii="Palatino Linotype" w:hAnsi="Palatino Linotype" w:cs="Arial"/>
          <w:b/>
          <w:sz w:val="24"/>
          <w:szCs w:val="24"/>
        </w:rPr>
        <w:t xml:space="preserve">EL SUJETO OBLIGADO </w:t>
      </w:r>
      <w:r w:rsidRPr="008E16DC">
        <w:rPr>
          <w:rFonts w:ascii="Palatino Linotype" w:hAnsi="Palatino Linotype" w:cs="Arial"/>
          <w:sz w:val="24"/>
          <w:szCs w:val="24"/>
        </w:rPr>
        <w:t xml:space="preserve">se auxilia de </w:t>
      </w:r>
      <w:r>
        <w:rPr>
          <w:rFonts w:ascii="Palatino Linotype" w:hAnsi="Palatino Linotype" w:cs="Arial"/>
          <w:sz w:val="24"/>
          <w:szCs w:val="24"/>
        </w:rPr>
        <w:t>una</w:t>
      </w:r>
      <w:r w:rsidRPr="008E16DC">
        <w:rPr>
          <w:rFonts w:ascii="Palatino Linotype" w:hAnsi="Palatino Linotype" w:cs="Arial"/>
          <w:sz w:val="24"/>
          <w:szCs w:val="24"/>
        </w:rPr>
        <w:t xml:space="preserve"> D</w:t>
      </w:r>
      <w:r>
        <w:rPr>
          <w:rFonts w:ascii="Palatino Linotype" w:hAnsi="Palatino Linotype" w:cs="Arial"/>
          <w:sz w:val="24"/>
          <w:szCs w:val="24"/>
        </w:rPr>
        <w:t>irec</w:t>
      </w:r>
      <w:r w:rsidR="00531178">
        <w:rPr>
          <w:rFonts w:ascii="Palatino Linotype" w:hAnsi="Palatino Linotype" w:cs="Arial"/>
          <w:sz w:val="24"/>
          <w:szCs w:val="24"/>
        </w:rPr>
        <w:t xml:space="preserve">ciones, un </w:t>
      </w:r>
      <w:r>
        <w:rPr>
          <w:rFonts w:ascii="Palatino Linotype" w:hAnsi="Palatino Linotype" w:cs="Arial"/>
          <w:sz w:val="24"/>
          <w:szCs w:val="24"/>
        </w:rPr>
        <w:t>Órgano de Control Interno</w:t>
      </w:r>
      <w:r w:rsidRPr="008E16DC">
        <w:rPr>
          <w:rFonts w:ascii="Palatino Linotype" w:hAnsi="Palatino Linotype" w:cs="Arial"/>
          <w:sz w:val="24"/>
          <w:szCs w:val="24"/>
        </w:rPr>
        <w:t xml:space="preserve">, </w:t>
      </w:r>
      <w:r>
        <w:rPr>
          <w:rFonts w:ascii="Palatino Linotype" w:hAnsi="Palatino Linotype" w:cs="Arial"/>
          <w:sz w:val="24"/>
          <w:szCs w:val="24"/>
        </w:rPr>
        <w:t>Unidad</w:t>
      </w:r>
      <w:r w:rsidRPr="008E16DC">
        <w:rPr>
          <w:rFonts w:ascii="Palatino Linotype" w:hAnsi="Palatino Linotype" w:cs="Arial"/>
          <w:sz w:val="24"/>
          <w:szCs w:val="24"/>
        </w:rPr>
        <w:t xml:space="preserve">es, </w:t>
      </w:r>
      <w:r>
        <w:rPr>
          <w:rFonts w:ascii="Palatino Linotype" w:hAnsi="Palatino Linotype" w:cs="Arial"/>
          <w:sz w:val="24"/>
          <w:szCs w:val="24"/>
        </w:rPr>
        <w:t>Coordinacione</w:t>
      </w:r>
      <w:r w:rsidRPr="008E16DC">
        <w:rPr>
          <w:rFonts w:ascii="Palatino Linotype" w:hAnsi="Palatino Linotype" w:cs="Arial"/>
          <w:sz w:val="24"/>
          <w:szCs w:val="24"/>
        </w:rPr>
        <w:t>s y</w:t>
      </w:r>
      <w:r w:rsidRPr="000A1C51">
        <w:rPr>
          <w:rFonts w:ascii="Palatino Linotype" w:hAnsi="Palatino Linotype" w:cs="Arial"/>
          <w:sz w:val="24"/>
          <w:szCs w:val="24"/>
        </w:rPr>
        <w:t xml:space="preserve"> </w:t>
      </w:r>
      <w:r w:rsidRPr="008E16DC">
        <w:rPr>
          <w:rFonts w:ascii="Palatino Linotype" w:hAnsi="Palatino Linotype" w:cs="Arial"/>
          <w:sz w:val="24"/>
          <w:szCs w:val="24"/>
        </w:rPr>
        <w:t>Departamento</w:t>
      </w:r>
      <w:r w:rsidR="00531178">
        <w:rPr>
          <w:rFonts w:ascii="Palatino Linotype" w:hAnsi="Palatino Linotype" w:cs="Arial"/>
          <w:sz w:val="24"/>
          <w:szCs w:val="24"/>
        </w:rPr>
        <w:t>s</w:t>
      </w:r>
      <w:r w:rsidRPr="008E16DC">
        <w:rPr>
          <w:rFonts w:ascii="Palatino Linotype" w:hAnsi="Palatino Linotype" w:cs="Arial"/>
          <w:sz w:val="24"/>
          <w:szCs w:val="24"/>
        </w:rPr>
        <w:t xml:space="preserve"> para cumplir con sus fines y objetivos, resultando de nuestro más amplio interés </w:t>
      </w:r>
      <w:r>
        <w:rPr>
          <w:rFonts w:ascii="Palatino Linotype" w:hAnsi="Palatino Linotype" w:cs="Arial"/>
          <w:sz w:val="24"/>
          <w:szCs w:val="24"/>
        </w:rPr>
        <w:t xml:space="preserve">el Departamento de Archivo, </w:t>
      </w:r>
      <w:r w:rsidRPr="00BC168B">
        <w:rPr>
          <w:rFonts w:ascii="Palatino Linotype" w:hAnsi="Palatino Linotype" w:cs="Arial"/>
          <w:sz w:val="24"/>
          <w:szCs w:val="24"/>
        </w:rPr>
        <w:t xml:space="preserve">para lo cual, es necesario </w:t>
      </w:r>
      <w:r>
        <w:rPr>
          <w:rFonts w:ascii="Palatino Linotype" w:hAnsi="Palatino Linotype" w:cs="Arial"/>
          <w:sz w:val="24"/>
          <w:szCs w:val="24"/>
        </w:rPr>
        <w:t>precisar</w:t>
      </w:r>
      <w:r w:rsidRPr="00BC168B">
        <w:rPr>
          <w:rFonts w:ascii="Palatino Linotype" w:hAnsi="Palatino Linotype" w:cs="Arial"/>
          <w:sz w:val="24"/>
          <w:szCs w:val="24"/>
        </w:rPr>
        <w:t xml:space="preserve"> la siguiente </w:t>
      </w:r>
      <w:r>
        <w:rPr>
          <w:rFonts w:ascii="Palatino Linotype" w:hAnsi="Palatino Linotype" w:cs="Arial"/>
          <w:sz w:val="24"/>
          <w:szCs w:val="24"/>
        </w:rPr>
        <w:t>Reglamenta</w:t>
      </w:r>
      <w:r w:rsidRPr="00BC168B">
        <w:rPr>
          <w:rFonts w:ascii="Palatino Linotype" w:hAnsi="Palatino Linotype" w:cs="Arial"/>
          <w:sz w:val="24"/>
          <w:szCs w:val="24"/>
        </w:rPr>
        <w:t>ción:</w:t>
      </w:r>
    </w:p>
    <w:p w14:paraId="7062C34E" w14:textId="106EB945" w:rsidR="00A5375F" w:rsidRPr="00A5375F" w:rsidRDefault="00A5375F" w:rsidP="00A5375F">
      <w:pPr>
        <w:spacing w:after="0" w:line="276" w:lineRule="auto"/>
        <w:ind w:left="851" w:right="851"/>
        <w:jc w:val="both"/>
        <w:rPr>
          <w:rFonts w:ascii="Palatino Linotype" w:eastAsia="Palatino Linotype" w:hAnsi="Palatino Linotype" w:cs="Palatino Linotype"/>
          <w:i/>
        </w:rPr>
      </w:pPr>
      <w:r w:rsidRPr="00A5375F">
        <w:rPr>
          <w:rFonts w:ascii="Palatino Linotype" w:eastAsia="Palatino Linotype" w:hAnsi="Palatino Linotype" w:cs="Palatino Linotype"/>
          <w:i/>
        </w:rPr>
        <w:t>ARTÍCULO 23.- La Secretaría del Ayuntamiento, tendrá las siguientes atribuciones:</w:t>
      </w:r>
    </w:p>
    <w:p w14:paraId="17EB8DFC" w14:textId="77777777" w:rsidR="00A5375F" w:rsidRPr="00A5375F" w:rsidRDefault="00A5375F" w:rsidP="00A5375F">
      <w:pPr>
        <w:spacing w:after="0" w:line="276" w:lineRule="auto"/>
        <w:ind w:left="851" w:right="851"/>
        <w:jc w:val="both"/>
        <w:rPr>
          <w:rFonts w:ascii="Palatino Linotype" w:eastAsia="Palatino Linotype" w:hAnsi="Palatino Linotype" w:cs="Palatino Linotype"/>
          <w:i/>
        </w:rPr>
      </w:pPr>
      <w:r w:rsidRPr="00A5375F">
        <w:rPr>
          <w:rFonts w:ascii="Palatino Linotype" w:eastAsia="Palatino Linotype" w:hAnsi="Palatino Linotype" w:cs="Palatino Linotype"/>
          <w:i/>
        </w:rPr>
        <w:t>(…)</w:t>
      </w:r>
    </w:p>
    <w:p w14:paraId="42B2BFC2" w14:textId="77777777" w:rsidR="00A5375F" w:rsidRPr="00A5375F" w:rsidRDefault="00A5375F" w:rsidP="00A5375F">
      <w:pPr>
        <w:spacing w:after="0" w:line="276" w:lineRule="auto"/>
        <w:ind w:left="851" w:right="851"/>
        <w:jc w:val="both"/>
        <w:rPr>
          <w:rFonts w:ascii="Palatino Linotype" w:eastAsia="Palatino Linotype" w:hAnsi="Palatino Linotype" w:cs="Palatino Linotype"/>
          <w:i/>
        </w:rPr>
      </w:pPr>
      <w:r w:rsidRPr="00A5375F">
        <w:rPr>
          <w:rFonts w:ascii="Palatino Linotype" w:eastAsia="Palatino Linotype" w:hAnsi="Palatino Linotype" w:cs="Palatino Linotype"/>
          <w:i/>
        </w:rPr>
        <w:t xml:space="preserve">VI.- Por conducto del Departamento de Archivo, tener a su cargo el archivo y el sistema de información municipal, debidamente actualizado bajo los conceptos de: </w:t>
      </w:r>
    </w:p>
    <w:p w14:paraId="5E734CB1" w14:textId="77777777" w:rsidR="00A5375F" w:rsidRPr="00A5375F" w:rsidRDefault="00A5375F" w:rsidP="00A5375F">
      <w:pPr>
        <w:spacing w:after="0" w:line="276" w:lineRule="auto"/>
        <w:ind w:left="851" w:right="851"/>
        <w:jc w:val="both"/>
        <w:rPr>
          <w:rFonts w:ascii="Palatino Linotype" w:eastAsia="Palatino Linotype" w:hAnsi="Palatino Linotype" w:cs="Palatino Linotype"/>
          <w:i/>
        </w:rPr>
      </w:pPr>
      <w:r w:rsidRPr="00A5375F">
        <w:rPr>
          <w:rFonts w:ascii="Palatino Linotype" w:eastAsia="Palatino Linotype" w:hAnsi="Palatino Linotype" w:cs="Palatino Linotype"/>
          <w:i/>
        </w:rPr>
        <w:t xml:space="preserve">a).- Archivo Administrativo: integrado por el archivo de trámite que existe en cada dependencia de la Administración Pública Municipal y que se forma con aquellos expedientes de asuntos en revisión o que no han sido resueltos todavía. </w:t>
      </w:r>
    </w:p>
    <w:p w14:paraId="08520CA1" w14:textId="77777777" w:rsidR="00A5375F" w:rsidRPr="00A5375F" w:rsidRDefault="00A5375F" w:rsidP="00A5375F">
      <w:pPr>
        <w:spacing w:after="0" w:line="276" w:lineRule="auto"/>
        <w:ind w:left="851" w:right="851"/>
        <w:jc w:val="both"/>
        <w:rPr>
          <w:rFonts w:ascii="Palatino Linotype" w:eastAsia="Palatino Linotype" w:hAnsi="Palatino Linotype" w:cs="Palatino Linotype"/>
          <w:i/>
        </w:rPr>
      </w:pPr>
      <w:r w:rsidRPr="00A5375F">
        <w:rPr>
          <w:rFonts w:ascii="Palatino Linotype" w:eastAsia="Palatino Linotype" w:hAnsi="Palatino Linotype" w:cs="Palatino Linotype"/>
          <w:i/>
        </w:rPr>
        <w:t xml:space="preserve">b).- Archivo de Concentración: Comúnmente conocido como archivo intermedio y que es formado por los expedientes cuya consulta no es frecuente y que se </w:t>
      </w:r>
      <w:r w:rsidRPr="00A5375F">
        <w:rPr>
          <w:rFonts w:ascii="Palatino Linotype" w:eastAsia="Palatino Linotype" w:hAnsi="Palatino Linotype" w:cs="Palatino Linotype"/>
          <w:i/>
        </w:rPr>
        <w:lastRenderedPageBreak/>
        <w:t xml:space="preserve">juntan para su conservación y mantenimiento, mientras su período de vida activa vence. </w:t>
      </w:r>
    </w:p>
    <w:p w14:paraId="4EBB264C" w14:textId="77777777" w:rsidR="00A5375F" w:rsidRPr="00A5375F" w:rsidRDefault="00A5375F" w:rsidP="00A5375F">
      <w:pPr>
        <w:spacing w:after="0" w:line="276" w:lineRule="auto"/>
        <w:ind w:left="851" w:right="851"/>
        <w:jc w:val="both"/>
        <w:rPr>
          <w:rFonts w:ascii="Palatino Linotype" w:eastAsia="Palatino Linotype" w:hAnsi="Palatino Linotype" w:cs="Palatino Linotype"/>
          <w:i/>
        </w:rPr>
      </w:pPr>
      <w:r w:rsidRPr="00A5375F">
        <w:rPr>
          <w:rFonts w:ascii="Palatino Linotype" w:eastAsia="Palatino Linotype" w:hAnsi="Palatino Linotype" w:cs="Palatino Linotype"/>
          <w:i/>
        </w:rPr>
        <w:t xml:space="preserve">c).- Archivo Histórico: Integrado por los documentos cuya vigencia ha terminado, y que por su valor en cuanto a la información que contiene, son seleccionados para su conservación permanente. </w:t>
      </w:r>
    </w:p>
    <w:p w14:paraId="62962A81" w14:textId="7CB91915" w:rsidR="00A5375F" w:rsidRDefault="00A5375F" w:rsidP="00A5375F">
      <w:pPr>
        <w:spacing w:after="0" w:line="276" w:lineRule="auto"/>
        <w:ind w:left="851" w:right="851"/>
        <w:jc w:val="both"/>
        <w:rPr>
          <w:rFonts w:ascii="Palatino Linotype" w:hAnsi="Palatino Linotype"/>
          <w:i/>
          <w:iCs/>
        </w:rPr>
      </w:pPr>
      <w:r w:rsidRPr="00A5375F">
        <w:rPr>
          <w:rFonts w:ascii="Palatino Linotype" w:eastAsia="Palatino Linotype" w:hAnsi="Palatino Linotype" w:cs="Palatino Linotype"/>
          <w:i/>
        </w:rPr>
        <w:t>VII.- Por conducto del Jefe del Departamento de Archivo, registrar y controlar el archivo inventariable de la Administración Pública Municipal, a fin de mantenerlo actualizado permanentemente.</w:t>
      </w:r>
    </w:p>
    <w:p w14:paraId="5C1BE6F1" w14:textId="77777777" w:rsidR="00A5375F" w:rsidRDefault="00A5375F">
      <w:pPr>
        <w:tabs>
          <w:tab w:val="left" w:pos="1140"/>
        </w:tabs>
        <w:spacing w:line="360" w:lineRule="auto"/>
        <w:jc w:val="both"/>
        <w:rPr>
          <w:rFonts w:ascii="Palatino Linotype" w:hAnsi="Palatino Linotype"/>
          <w:i/>
          <w:iCs/>
        </w:rPr>
      </w:pPr>
    </w:p>
    <w:p w14:paraId="3A8B282D" w14:textId="35E98EE6" w:rsidR="00347764" w:rsidRDefault="008938AC">
      <w:pPr>
        <w:tabs>
          <w:tab w:val="left" w:pos="1140"/>
        </w:tabs>
        <w:spacing w:line="360" w:lineRule="auto"/>
        <w:jc w:val="both"/>
        <w:rPr>
          <w:rFonts w:ascii="Palatino Linotype" w:hAnsi="Palatino Linotype" w:cs="Arial"/>
          <w:color w:val="000000" w:themeColor="text1"/>
          <w:sz w:val="24"/>
          <w:szCs w:val="24"/>
          <w:shd w:val="clear" w:color="auto" w:fill="FFFFFF"/>
        </w:rPr>
      </w:pPr>
      <w:r w:rsidRPr="003A5DBC">
        <w:rPr>
          <w:rFonts w:ascii="Palatino Linotype" w:hAnsi="Palatino Linotype" w:cs="Arial"/>
          <w:color w:val="000000" w:themeColor="text1"/>
          <w:sz w:val="24"/>
          <w:szCs w:val="24"/>
          <w:shd w:val="clear" w:color="auto" w:fill="FFFFFF"/>
        </w:rPr>
        <w:t>De conformidad a los preceptos antes señalados</w:t>
      </w:r>
      <w:r>
        <w:rPr>
          <w:rFonts w:ascii="Palatino Linotype" w:hAnsi="Palatino Linotype" w:cs="Arial"/>
          <w:color w:val="000000" w:themeColor="text1"/>
          <w:sz w:val="24"/>
          <w:szCs w:val="24"/>
          <w:shd w:val="clear" w:color="auto" w:fill="FFFFFF"/>
        </w:rPr>
        <w:t xml:space="preserve"> el Departamento de Archivos, tiene a su cargo el archivo y el sistema de información municipal,</w:t>
      </w:r>
      <w:r w:rsidR="00D03D78">
        <w:rPr>
          <w:rFonts w:ascii="Palatino Linotype" w:hAnsi="Palatino Linotype" w:cs="Arial"/>
          <w:color w:val="000000" w:themeColor="text1"/>
          <w:sz w:val="24"/>
          <w:szCs w:val="24"/>
          <w:shd w:val="clear" w:color="auto" w:fill="FFFFFF"/>
        </w:rPr>
        <w:t xml:space="preserve"> registrando y controlando el archivo inventariable de la administración pública municipal</w:t>
      </w:r>
      <w:r>
        <w:rPr>
          <w:rFonts w:ascii="Palatino Linotype" w:hAnsi="Palatino Linotype" w:cs="Arial"/>
          <w:color w:val="000000" w:themeColor="text1"/>
          <w:sz w:val="24"/>
          <w:szCs w:val="24"/>
          <w:shd w:val="clear" w:color="auto" w:fill="FFFFFF"/>
        </w:rPr>
        <w:t xml:space="preserve"> debidamente actualizado, bajo los conceptos de archivo administrativo, de concentración e histórico</w:t>
      </w:r>
      <w:r w:rsidR="00D03D78">
        <w:rPr>
          <w:rFonts w:ascii="Palatino Linotype" w:hAnsi="Palatino Linotype" w:cs="Arial"/>
          <w:color w:val="000000" w:themeColor="text1"/>
          <w:sz w:val="24"/>
          <w:szCs w:val="24"/>
          <w:shd w:val="clear" w:color="auto" w:fill="FFFFFF"/>
        </w:rPr>
        <w:t>.</w:t>
      </w:r>
    </w:p>
    <w:p w14:paraId="02AAD129" w14:textId="7CEDE12F" w:rsidR="00EB7017" w:rsidRPr="00AE482A" w:rsidRDefault="00D03D78" w:rsidP="00EB7017">
      <w:pPr>
        <w:spacing w:after="0" w:line="360" w:lineRule="auto"/>
        <w:jc w:val="both"/>
        <w:rPr>
          <w:rFonts w:ascii="Palatino Linotype" w:eastAsia="Times New Roman" w:hAnsi="Palatino Linotype" w:cs="Times New Roman"/>
          <w:sz w:val="24"/>
          <w:szCs w:val="24"/>
          <w:lang w:eastAsia="es-ES"/>
        </w:rPr>
      </w:pPr>
      <w:r w:rsidRPr="000C7EBF">
        <w:rPr>
          <w:rFonts w:ascii="Palatino Linotype" w:hAnsi="Palatino Linotype" w:cs="Tahoma"/>
          <w:sz w:val="24"/>
        </w:rPr>
        <w:t xml:space="preserve">Atento a lo anterior, resulta claro que existe fuente obligacional que constriñe al </w:t>
      </w:r>
      <w:r w:rsidRPr="000C7EBF">
        <w:rPr>
          <w:rFonts w:ascii="Palatino Linotype" w:hAnsi="Palatino Linotype" w:cs="Tahoma"/>
          <w:b/>
          <w:sz w:val="24"/>
        </w:rPr>
        <w:t>SUJETO OBLIGADO</w:t>
      </w:r>
      <w:r w:rsidRPr="000C7EBF">
        <w:rPr>
          <w:rFonts w:ascii="Palatino Linotype" w:hAnsi="Palatino Linotype" w:cs="Tahoma"/>
          <w:sz w:val="24"/>
        </w:rPr>
        <w:t xml:space="preserve"> a generar</w:t>
      </w:r>
      <w:r>
        <w:rPr>
          <w:rFonts w:ascii="Palatino Linotype" w:hAnsi="Palatino Linotype" w:cs="Tahoma"/>
          <w:sz w:val="24"/>
        </w:rPr>
        <w:t xml:space="preserve"> administrar y poseer</w:t>
      </w:r>
      <w:r w:rsidRPr="000C7EBF">
        <w:rPr>
          <w:rFonts w:ascii="Palatino Linotype" w:hAnsi="Palatino Linotype" w:cs="Tahoma"/>
          <w:sz w:val="24"/>
        </w:rPr>
        <w:t xml:space="preserve"> la información interés del Particular, en consecuencia, la información solicitada; debe obrar en los archivos del </w:t>
      </w:r>
      <w:r w:rsidRPr="000C7EBF">
        <w:rPr>
          <w:rFonts w:ascii="Palatino Linotype" w:hAnsi="Palatino Linotype" w:cs="Tahoma"/>
          <w:b/>
          <w:sz w:val="24"/>
        </w:rPr>
        <w:t>SUJETO OBLIGADO</w:t>
      </w:r>
      <w:r>
        <w:rPr>
          <w:rFonts w:ascii="Palatino Linotype" w:hAnsi="Palatino Linotype" w:cs="Tahoma"/>
          <w:b/>
          <w:sz w:val="24"/>
        </w:rPr>
        <w:t xml:space="preserve">, </w:t>
      </w:r>
      <w:r w:rsidRPr="00495611">
        <w:rPr>
          <w:rFonts w:ascii="Palatino Linotype" w:hAnsi="Palatino Linotype" w:cs="Tahoma"/>
          <w:sz w:val="24"/>
        </w:rPr>
        <w:t>sin embargo solo</w:t>
      </w:r>
      <w:r w:rsidRPr="000C7EBF">
        <w:rPr>
          <w:rFonts w:ascii="Palatino Linotype" w:hAnsi="Palatino Linotype"/>
          <w:sz w:val="24"/>
        </w:rPr>
        <w:t xml:space="preserve"> proporcionará la información que obra en sus archivos, lo que a</w:t>
      </w:r>
      <w:r w:rsidRPr="000C7EBF">
        <w:rPr>
          <w:rFonts w:ascii="Palatino Linotype" w:hAnsi="Palatino Linotype"/>
          <w:i/>
          <w:sz w:val="24"/>
        </w:rPr>
        <w:t xml:space="preserve"> contrario sensu</w:t>
      </w:r>
      <w:r w:rsidRPr="000C7EBF">
        <w:rPr>
          <w:rFonts w:ascii="Palatino Linotype" w:hAnsi="Palatino Linotype"/>
          <w:sz w:val="24"/>
        </w:rPr>
        <w:t xml:space="preserve"> significa que no se está obligado a proporcionar lo que no obre en los mismos; </w:t>
      </w:r>
      <w:r w:rsidRPr="000C7EBF">
        <w:rPr>
          <w:rFonts w:ascii="Palatino Linotype" w:hAnsi="Palatino Linotype" w:cs="Arial"/>
          <w:sz w:val="24"/>
        </w:rPr>
        <w:t>ello con relación al artículo 143, de la Constitución Política del Estado Libre y Soberano de México, pues las autoridades sólo están facultadas para realizar lo que expresamente les faculta la Ley u ordenamientos jurídicos</w:t>
      </w:r>
      <w:r w:rsidR="00EB7017">
        <w:rPr>
          <w:rFonts w:ascii="Palatino Linotype" w:hAnsi="Palatino Linotype" w:cs="Arial"/>
          <w:sz w:val="24"/>
        </w:rPr>
        <w:t xml:space="preserve">, en caso de que la información ya no obre en sus archivos deberá emitir el acuerdo de inexistencia, en el que deberá de </w:t>
      </w:r>
      <w:r w:rsidR="00EB7017" w:rsidRPr="006E05F8">
        <w:rPr>
          <w:rFonts w:ascii="Palatino Linotype" w:eastAsia="Times New Roman" w:hAnsi="Palatino Linotype"/>
          <w:sz w:val="24"/>
          <w:szCs w:val="24"/>
          <w:lang w:eastAsia="es-ES"/>
        </w:rPr>
        <w:t>cumpli</w:t>
      </w:r>
      <w:r w:rsidR="00EB7017">
        <w:rPr>
          <w:rFonts w:ascii="Palatino Linotype" w:eastAsia="Times New Roman" w:hAnsi="Palatino Linotype"/>
          <w:sz w:val="24"/>
          <w:szCs w:val="24"/>
          <w:lang w:eastAsia="es-ES"/>
        </w:rPr>
        <w:t>r</w:t>
      </w:r>
      <w:r w:rsidR="00EB7017" w:rsidRPr="006E05F8">
        <w:rPr>
          <w:rFonts w:ascii="Palatino Linotype" w:eastAsia="Times New Roman" w:hAnsi="Palatino Linotype"/>
          <w:sz w:val="24"/>
          <w:szCs w:val="24"/>
          <w:lang w:eastAsia="es-ES"/>
        </w:rPr>
        <w:t xml:space="preserve"> cabalmente con las formalidades exigidas por el artículo 113 de la Ley General de Transparencia y Acceso a la Información</w:t>
      </w:r>
      <w:r w:rsidR="00EB7017">
        <w:rPr>
          <w:rFonts w:ascii="Palatino Linotype" w:eastAsia="Times New Roman" w:hAnsi="Palatino Linotype"/>
          <w:sz w:val="24"/>
          <w:szCs w:val="24"/>
          <w:lang w:eastAsia="es-ES"/>
        </w:rPr>
        <w:t xml:space="preserve"> </w:t>
      </w:r>
      <w:r w:rsidR="00EB7017" w:rsidRPr="006E05F8">
        <w:rPr>
          <w:rFonts w:ascii="Palatino Linotype" w:eastAsia="Times New Roman" w:hAnsi="Palatino Linotype"/>
          <w:sz w:val="24"/>
          <w:szCs w:val="24"/>
          <w:lang w:eastAsia="es-ES"/>
        </w:rPr>
        <w:t xml:space="preserve">Pública, numeral trigésimo fracción I de </w:t>
      </w:r>
      <w:r w:rsidR="00EB7017" w:rsidRPr="006E05F8">
        <w:rPr>
          <w:rFonts w:ascii="Palatino Linotype" w:eastAsia="Times New Roman" w:hAnsi="Palatino Linotype"/>
          <w:sz w:val="24"/>
          <w:szCs w:val="24"/>
          <w:lang w:eastAsia="es-ES"/>
        </w:rPr>
        <w:lastRenderedPageBreak/>
        <w:t>los Lineamientos Generales en Materia</w:t>
      </w:r>
      <w:r w:rsidR="00EB7017">
        <w:rPr>
          <w:rFonts w:ascii="Palatino Linotype" w:eastAsia="Times New Roman" w:hAnsi="Palatino Linotype"/>
          <w:sz w:val="24"/>
          <w:szCs w:val="24"/>
          <w:lang w:eastAsia="es-ES"/>
        </w:rPr>
        <w:t xml:space="preserve"> </w:t>
      </w:r>
      <w:r w:rsidR="00EB7017" w:rsidRPr="006E05F8">
        <w:rPr>
          <w:rFonts w:ascii="Palatino Linotype" w:eastAsia="Times New Roman" w:hAnsi="Palatino Linotype"/>
          <w:sz w:val="24"/>
          <w:szCs w:val="24"/>
          <w:lang w:eastAsia="es-ES"/>
        </w:rPr>
        <w:t>de Clasificación y Desclasificación de la Información</w:t>
      </w:r>
      <w:r w:rsidR="00EB7017">
        <w:rPr>
          <w:rFonts w:ascii="Palatino Linotype" w:eastAsia="Times New Roman" w:hAnsi="Palatino Linotype"/>
          <w:sz w:val="24"/>
          <w:szCs w:val="24"/>
          <w:lang w:eastAsia="es-ES"/>
        </w:rPr>
        <w:t xml:space="preserve"> así como por los</w:t>
      </w:r>
      <w:r w:rsidR="00EB7017" w:rsidRPr="006E05F8">
        <w:rPr>
          <w:rFonts w:ascii="Palatino Linotype" w:eastAsia="Times New Roman" w:hAnsi="Palatino Linotype"/>
          <w:sz w:val="24"/>
          <w:szCs w:val="24"/>
          <w:lang w:eastAsia="es-ES"/>
        </w:rPr>
        <w:t xml:space="preserve"> </w:t>
      </w:r>
      <w:r w:rsidR="00EB7017" w:rsidRPr="00AE482A">
        <w:rPr>
          <w:rFonts w:ascii="Palatino Linotype" w:eastAsia="Times New Roman" w:hAnsi="Palatino Linotype" w:cs="Times New Roman"/>
          <w:sz w:val="24"/>
          <w:szCs w:val="24"/>
          <w:lang w:eastAsia="es-ES"/>
        </w:rPr>
        <w:t>criterios orientadores aprobados por el Pleno de este Instituto, que establecen el criterio de inexistencia y en qué circunstancia debe emitirse la declaratoria de la misma:</w:t>
      </w:r>
    </w:p>
    <w:p w14:paraId="6E26BCE7" w14:textId="77777777" w:rsidR="00EB7017" w:rsidRPr="00AE482A" w:rsidRDefault="00EB7017" w:rsidP="00EB7017">
      <w:pPr>
        <w:spacing w:after="0" w:line="240" w:lineRule="auto"/>
        <w:ind w:left="567" w:right="567"/>
        <w:jc w:val="both"/>
        <w:rPr>
          <w:rFonts w:ascii="Palatino Linotype" w:eastAsia="Times New Roman" w:hAnsi="Palatino Linotype" w:cs="Times New Roman"/>
          <w:lang w:eastAsia="es-ES"/>
        </w:rPr>
      </w:pPr>
    </w:p>
    <w:p w14:paraId="5F29CDCC" w14:textId="77777777" w:rsidR="00EB7017" w:rsidRPr="00AE482A" w:rsidRDefault="00EB7017" w:rsidP="00EB7017">
      <w:pPr>
        <w:spacing w:after="0" w:line="240" w:lineRule="auto"/>
        <w:ind w:left="567" w:right="567"/>
        <w:jc w:val="center"/>
        <w:rPr>
          <w:rFonts w:ascii="Palatino Linotype" w:hAnsi="Palatino Linotype" w:cs="Arial"/>
          <w:b/>
          <w:i/>
          <w:color w:val="000000"/>
          <w:lang w:val="es-ES_tradnl" w:eastAsia="es-ES"/>
        </w:rPr>
      </w:pPr>
      <w:r w:rsidRPr="00AE482A">
        <w:rPr>
          <w:rFonts w:ascii="Palatino Linotype" w:hAnsi="Palatino Linotype" w:cs="Arial"/>
          <w:b/>
          <w:i/>
          <w:color w:val="000000"/>
          <w:lang w:val="es-ES_tradnl" w:eastAsia="es-ES"/>
        </w:rPr>
        <w:t>CRITERIO 0003-11</w:t>
      </w:r>
    </w:p>
    <w:p w14:paraId="61C900D2" w14:textId="77777777" w:rsidR="00EB7017" w:rsidRPr="00AE482A" w:rsidRDefault="00EB7017" w:rsidP="00EB7017">
      <w:pPr>
        <w:spacing w:after="0" w:line="240" w:lineRule="auto"/>
        <w:ind w:left="567" w:right="567"/>
        <w:jc w:val="both"/>
        <w:rPr>
          <w:rFonts w:ascii="Palatino Linotype" w:hAnsi="Palatino Linotype" w:cs="Arial"/>
          <w:b/>
          <w:i/>
          <w:color w:val="000000"/>
          <w:lang w:val="es-ES_tradnl" w:eastAsia="es-ES"/>
        </w:rPr>
      </w:pPr>
    </w:p>
    <w:p w14:paraId="77315FD6" w14:textId="77777777" w:rsidR="00EB7017" w:rsidRPr="00AE482A" w:rsidRDefault="00EB7017" w:rsidP="00EB7017">
      <w:pPr>
        <w:spacing w:after="0" w:line="240" w:lineRule="auto"/>
        <w:ind w:left="567" w:right="567"/>
        <w:jc w:val="both"/>
        <w:rPr>
          <w:rFonts w:ascii="Palatino Linotype" w:hAnsi="Palatino Linotype" w:cs="Arial"/>
          <w:i/>
          <w:color w:val="000000"/>
          <w:lang w:val="es-ES_tradnl" w:eastAsia="es-ES"/>
        </w:rPr>
      </w:pPr>
      <w:r w:rsidRPr="00AE482A">
        <w:rPr>
          <w:rFonts w:ascii="Palatino Linotype" w:hAnsi="Palatino Linotype" w:cs="Arial"/>
          <w:b/>
          <w:i/>
          <w:color w:val="000000"/>
          <w:lang w:val="es-ES_tradnl" w:eastAsia="es-ES"/>
        </w:rPr>
        <w:t>INEXISTENCIA, CONCEPTO DE, EN MATERIA DE TRANSPARENCIA</w:t>
      </w:r>
      <w:r w:rsidRPr="00AE482A">
        <w:rPr>
          <w:rFonts w:ascii="Palatino Linotype" w:hAnsi="Palatino Linotype" w:cs="Arial"/>
          <w:i/>
          <w:color w:val="000000"/>
          <w:lang w:val="es-ES_tradnl" w:eastAsia="es-E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3C3695FE" w14:textId="77777777" w:rsidR="00EB7017" w:rsidRPr="00AE482A" w:rsidRDefault="00EB7017" w:rsidP="00EB7017">
      <w:pPr>
        <w:spacing w:after="0" w:line="240" w:lineRule="auto"/>
        <w:ind w:left="567" w:right="567"/>
        <w:jc w:val="both"/>
        <w:rPr>
          <w:rFonts w:ascii="Palatino Linotype" w:hAnsi="Palatino Linotype" w:cs="Arial"/>
          <w:i/>
          <w:color w:val="000000"/>
          <w:lang w:val="es-ES_tradnl" w:eastAsia="es-ES"/>
        </w:rPr>
      </w:pPr>
    </w:p>
    <w:p w14:paraId="152517DA" w14:textId="77777777" w:rsidR="00EB7017" w:rsidRPr="00AE482A" w:rsidRDefault="00EB7017" w:rsidP="00EB7017">
      <w:pPr>
        <w:spacing w:after="0" w:line="240" w:lineRule="auto"/>
        <w:ind w:left="567" w:right="567"/>
        <w:jc w:val="both"/>
        <w:rPr>
          <w:rFonts w:ascii="Palatino Linotype" w:hAnsi="Palatino Linotype" w:cs="Arial"/>
          <w:i/>
          <w:color w:val="000000"/>
          <w:lang w:val="es-ES_tradnl" w:eastAsia="es-ES"/>
        </w:rPr>
      </w:pPr>
      <w:r w:rsidRPr="00AE482A">
        <w:rPr>
          <w:rFonts w:ascii="Palatino Linotype" w:hAnsi="Palatino Linotype" w:cs="Arial"/>
          <w:i/>
          <w:color w:val="000000"/>
          <w:lang w:val="es-ES_tradnl" w:eastAsia="es-ES"/>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4B10D339" w14:textId="77777777" w:rsidR="00EB7017" w:rsidRPr="00AE482A" w:rsidRDefault="00EB7017" w:rsidP="00EB7017">
      <w:pPr>
        <w:spacing w:after="0" w:line="240" w:lineRule="auto"/>
        <w:ind w:left="567" w:right="567"/>
        <w:jc w:val="both"/>
        <w:rPr>
          <w:rFonts w:ascii="Palatino Linotype" w:hAnsi="Palatino Linotype" w:cs="Arial"/>
          <w:i/>
          <w:color w:val="000000"/>
          <w:lang w:val="es-ES_tradnl" w:eastAsia="es-ES"/>
        </w:rPr>
      </w:pPr>
      <w:r w:rsidRPr="00AE482A">
        <w:rPr>
          <w:rFonts w:ascii="Palatino Linotype" w:hAnsi="Palatino Linotype" w:cs="Arial"/>
          <w:i/>
          <w:color w:val="000000"/>
          <w:lang w:val="es-ES_tradnl" w:eastAsia="es-ES"/>
        </w:rPr>
        <w:t>b) En los casos en que por las atribuciones conferidas al Sujeto Obligado éste debió generar, administrar o poseer la información, pero en incumplimiento a la normatividad respectiva no llevó a cabo ninguna de esas acciones.</w:t>
      </w:r>
    </w:p>
    <w:p w14:paraId="5F84010E" w14:textId="77777777" w:rsidR="00EB7017" w:rsidRPr="00AE482A" w:rsidRDefault="00EB7017" w:rsidP="00EB7017">
      <w:pPr>
        <w:spacing w:after="0" w:line="240" w:lineRule="auto"/>
        <w:ind w:left="567" w:right="567"/>
        <w:jc w:val="both"/>
        <w:rPr>
          <w:rFonts w:ascii="Palatino Linotype" w:hAnsi="Palatino Linotype" w:cs="Arial"/>
          <w:i/>
          <w:color w:val="000000"/>
          <w:lang w:val="es-ES_tradnl" w:eastAsia="es-ES"/>
        </w:rPr>
      </w:pPr>
    </w:p>
    <w:p w14:paraId="66295DA3" w14:textId="77777777" w:rsidR="00EB7017" w:rsidRPr="00AE482A" w:rsidRDefault="00EB7017" w:rsidP="00EB7017">
      <w:pPr>
        <w:spacing w:after="0" w:line="240" w:lineRule="auto"/>
        <w:ind w:left="567" w:right="567"/>
        <w:jc w:val="both"/>
        <w:rPr>
          <w:rFonts w:ascii="Palatino Linotype" w:hAnsi="Palatino Linotype" w:cs="Arial"/>
          <w:i/>
          <w:color w:val="000000"/>
          <w:lang w:val="es-ES_tradnl" w:eastAsia="es-ES"/>
        </w:rPr>
      </w:pPr>
      <w:r w:rsidRPr="00AE482A">
        <w:rPr>
          <w:rFonts w:ascii="Palatino Linotype" w:hAnsi="Palatino Linotype" w:cs="Arial"/>
          <w:i/>
          <w:color w:val="000000"/>
          <w:lang w:val="es-ES_tradnl" w:eastAsia="es-E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5BFA111A" w14:textId="77777777" w:rsidR="00EB7017" w:rsidRPr="00AE482A" w:rsidRDefault="00EB7017" w:rsidP="00EB7017">
      <w:pPr>
        <w:spacing w:after="0" w:line="240" w:lineRule="auto"/>
        <w:ind w:left="567" w:right="567"/>
        <w:jc w:val="both"/>
        <w:rPr>
          <w:rFonts w:ascii="Palatino Linotype" w:hAnsi="Palatino Linotype" w:cs="Arial"/>
          <w:i/>
          <w:color w:val="000000"/>
          <w:lang w:val="es-ES_tradnl" w:eastAsia="es-ES"/>
        </w:rPr>
      </w:pPr>
    </w:p>
    <w:p w14:paraId="236EF8F3" w14:textId="77777777" w:rsidR="00EB7017" w:rsidRPr="00AE482A" w:rsidRDefault="00EB7017" w:rsidP="00EB7017">
      <w:pPr>
        <w:spacing w:after="0" w:line="240" w:lineRule="auto"/>
        <w:ind w:left="567" w:right="567"/>
        <w:jc w:val="center"/>
        <w:rPr>
          <w:rFonts w:ascii="Palatino Linotype" w:hAnsi="Palatino Linotype" w:cs="Arial"/>
          <w:b/>
          <w:i/>
          <w:color w:val="000000"/>
          <w:lang w:val="es-ES_tradnl" w:eastAsia="es-ES"/>
        </w:rPr>
      </w:pPr>
      <w:r w:rsidRPr="00AE482A">
        <w:rPr>
          <w:rFonts w:ascii="Palatino Linotype" w:hAnsi="Palatino Linotype" w:cs="Arial"/>
          <w:b/>
          <w:i/>
          <w:color w:val="000000"/>
          <w:lang w:val="es-ES_tradnl" w:eastAsia="es-ES"/>
        </w:rPr>
        <w:t>CRITERIO 0004-11</w:t>
      </w:r>
    </w:p>
    <w:p w14:paraId="73514855" w14:textId="77777777" w:rsidR="00EB7017" w:rsidRPr="00AE482A" w:rsidRDefault="00EB7017" w:rsidP="00EB7017">
      <w:pPr>
        <w:spacing w:after="0" w:line="240" w:lineRule="auto"/>
        <w:ind w:left="567" w:right="567"/>
        <w:jc w:val="both"/>
        <w:rPr>
          <w:rFonts w:ascii="Palatino Linotype" w:hAnsi="Palatino Linotype" w:cs="Arial"/>
          <w:b/>
          <w:i/>
          <w:color w:val="000000"/>
          <w:lang w:val="es-ES_tradnl" w:eastAsia="es-ES"/>
        </w:rPr>
      </w:pPr>
    </w:p>
    <w:p w14:paraId="1050DEB7" w14:textId="77777777" w:rsidR="00EB7017" w:rsidRPr="00AE482A" w:rsidRDefault="00EB7017" w:rsidP="00EB7017">
      <w:pPr>
        <w:spacing w:after="0" w:line="240" w:lineRule="auto"/>
        <w:ind w:left="567" w:right="567"/>
        <w:jc w:val="both"/>
        <w:rPr>
          <w:rFonts w:ascii="Palatino Linotype" w:hAnsi="Palatino Linotype" w:cs="Arial"/>
          <w:i/>
          <w:color w:val="000000"/>
          <w:lang w:val="es-ES_tradnl" w:eastAsia="es-ES"/>
        </w:rPr>
      </w:pPr>
      <w:r w:rsidRPr="00AE482A">
        <w:rPr>
          <w:rFonts w:ascii="Palatino Linotype" w:hAnsi="Palatino Linotype" w:cs="Arial"/>
          <w:b/>
          <w:i/>
          <w:color w:val="000000"/>
          <w:lang w:val="es-ES_tradnl" w:eastAsia="es-ES"/>
        </w:rPr>
        <w:t>INEXISTENCIA. DECLARATORIA DE LA. ALCANCES Y PROCEDIMIENTOS</w:t>
      </w:r>
      <w:r w:rsidRPr="00AE482A">
        <w:rPr>
          <w:rFonts w:ascii="Palatino Linotype" w:hAnsi="Palatino Linotype" w:cs="Arial"/>
          <w:i/>
          <w:color w:val="000000"/>
          <w:lang w:val="es-ES_tradnl" w:eastAsia="es-ES"/>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w:t>
      </w:r>
      <w:r w:rsidRPr="00AE482A">
        <w:rPr>
          <w:rFonts w:ascii="Palatino Linotype" w:hAnsi="Palatino Linotype" w:cs="Arial"/>
          <w:i/>
          <w:color w:val="000000"/>
          <w:lang w:val="es-ES_tradnl" w:eastAsia="es-ES"/>
        </w:rPr>
        <w:lastRenderedPageBreak/>
        <w:t>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97CD372" w14:textId="77777777" w:rsidR="00EB7017" w:rsidRPr="00AE482A" w:rsidRDefault="00EB7017" w:rsidP="00EB7017">
      <w:pPr>
        <w:spacing w:after="0" w:line="240" w:lineRule="auto"/>
        <w:ind w:left="567" w:right="567"/>
        <w:jc w:val="both"/>
        <w:rPr>
          <w:rFonts w:ascii="Palatino Linotype" w:hAnsi="Palatino Linotype" w:cs="Arial"/>
          <w:i/>
          <w:color w:val="000000"/>
          <w:lang w:val="es-ES_tradnl" w:eastAsia="es-ES"/>
        </w:rPr>
      </w:pPr>
    </w:p>
    <w:p w14:paraId="14C88266" w14:textId="77777777" w:rsidR="00EB7017" w:rsidRPr="00AE482A" w:rsidRDefault="00EB7017" w:rsidP="00EB7017">
      <w:pPr>
        <w:spacing w:after="0" w:line="240" w:lineRule="auto"/>
        <w:ind w:left="567" w:right="567"/>
        <w:jc w:val="both"/>
        <w:rPr>
          <w:rFonts w:ascii="Palatino Linotype" w:hAnsi="Palatino Linotype" w:cs="Arial"/>
          <w:i/>
          <w:color w:val="000000"/>
          <w:lang w:val="es-ES_tradnl" w:eastAsia="es-ES"/>
        </w:rPr>
      </w:pPr>
      <w:r w:rsidRPr="00AE482A">
        <w:rPr>
          <w:rFonts w:ascii="Palatino Linotype" w:hAnsi="Palatino Linotype" w:cs="Arial"/>
          <w:i/>
          <w:color w:val="000000"/>
          <w:lang w:val="es-ES_tradnl" w:eastAsia="es-ES"/>
        </w:rPr>
        <w:t>Bajo el entendido de que dicha búsqueda exhaustiva permitirá dos determinaciones:</w:t>
      </w:r>
    </w:p>
    <w:p w14:paraId="6B3F4F8E" w14:textId="77777777" w:rsidR="00EB7017" w:rsidRPr="00AE482A" w:rsidRDefault="00EB7017" w:rsidP="00EB7017">
      <w:pPr>
        <w:spacing w:after="0" w:line="240" w:lineRule="auto"/>
        <w:ind w:left="567" w:right="567"/>
        <w:jc w:val="both"/>
        <w:rPr>
          <w:rFonts w:ascii="Palatino Linotype" w:hAnsi="Palatino Linotype" w:cs="Arial"/>
          <w:i/>
          <w:color w:val="000000"/>
          <w:lang w:val="es-ES_tradnl" w:eastAsia="es-ES"/>
        </w:rPr>
      </w:pPr>
    </w:p>
    <w:p w14:paraId="76DBE5E1" w14:textId="77777777" w:rsidR="00EB7017" w:rsidRPr="00AE482A" w:rsidRDefault="00EB7017" w:rsidP="00EB7017">
      <w:pPr>
        <w:spacing w:after="0" w:line="240" w:lineRule="auto"/>
        <w:ind w:left="567" w:right="567"/>
        <w:jc w:val="both"/>
        <w:rPr>
          <w:rFonts w:ascii="Palatino Linotype" w:hAnsi="Palatino Linotype" w:cs="Arial"/>
          <w:i/>
          <w:color w:val="000000"/>
          <w:lang w:val="es-ES_tradnl" w:eastAsia="es-ES"/>
        </w:rPr>
      </w:pPr>
      <w:r w:rsidRPr="00AE482A">
        <w:rPr>
          <w:rFonts w:ascii="Palatino Linotype" w:hAnsi="Palatino Linotype" w:cs="Arial"/>
          <w:i/>
          <w:color w:val="000000"/>
          <w:lang w:val="es-ES_tradnl" w:eastAsia="es-ES"/>
        </w:rPr>
        <w:t>1ª) Que se localice la documentación que contenga la información solicitada y de ser así la información pueda entregarse al solicitante en la forma en que se encuentra disponible, o</w:t>
      </w:r>
    </w:p>
    <w:p w14:paraId="6D0EED22" w14:textId="77777777" w:rsidR="00EB7017" w:rsidRPr="00AE482A" w:rsidRDefault="00EB7017" w:rsidP="00EB7017">
      <w:pPr>
        <w:spacing w:after="0" w:line="240" w:lineRule="auto"/>
        <w:ind w:left="567" w:right="567"/>
        <w:jc w:val="both"/>
        <w:rPr>
          <w:rFonts w:ascii="Palatino Linotype" w:hAnsi="Palatino Linotype" w:cs="Arial"/>
          <w:i/>
          <w:color w:val="000000"/>
          <w:lang w:val="es-ES_tradnl" w:eastAsia="es-ES"/>
        </w:rPr>
      </w:pPr>
      <w:r w:rsidRPr="00AE482A">
        <w:rPr>
          <w:rFonts w:ascii="Palatino Linotype" w:hAnsi="Palatino Linotype" w:cs="Arial"/>
          <w:i/>
          <w:color w:val="000000"/>
          <w:lang w:val="es-ES_tradnl" w:eastAsia="es-E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70AC300D" w14:textId="77777777" w:rsidR="00EB7017" w:rsidRPr="00AE482A" w:rsidRDefault="00EB7017" w:rsidP="00EB7017">
      <w:pPr>
        <w:spacing w:after="0" w:line="240" w:lineRule="auto"/>
        <w:ind w:left="567" w:right="567"/>
        <w:jc w:val="both"/>
        <w:rPr>
          <w:rFonts w:ascii="Palatino Linotype" w:hAnsi="Palatino Linotype" w:cs="Arial"/>
          <w:i/>
          <w:color w:val="000000"/>
          <w:lang w:val="es-ES_tradnl" w:eastAsia="es-ES"/>
        </w:rPr>
      </w:pPr>
    </w:p>
    <w:p w14:paraId="18BC68EC" w14:textId="77777777" w:rsidR="00EB7017" w:rsidRPr="00AE482A" w:rsidRDefault="00EB7017" w:rsidP="00EB7017">
      <w:pPr>
        <w:spacing w:after="0" w:line="240" w:lineRule="auto"/>
        <w:ind w:left="567" w:right="567"/>
        <w:jc w:val="both"/>
        <w:rPr>
          <w:rFonts w:ascii="Palatino Linotype" w:hAnsi="Palatino Linotype" w:cs="Arial"/>
          <w:i/>
          <w:color w:val="000000"/>
          <w:lang w:val="es-ES_tradnl" w:eastAsia="es-ES"/>
        </w:rPr>
      </w:pPr>
      <w:r w:rsidRPr="00AE482A">
        <w:rPr>
          <w:rFonts w:ascii="Palatino Linotype" w:hAnsi="Palatino Linotype" w:cs="Arial"/>
          <w:i/>
          <w:color w:val="000000"/>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0F11E580" w14:textId="77777777" w:rsidR="00EB7017" w:rsidRPr="00AE482A" w:rsidRDefault="00EB7017" w:rsidP="00EB7017">
      <w:pPr>
        <w:spacing w:after="0" w:line="360" w:lineRule="auto"/>
        <w:ind w:right="567"/>
        <w:jc w:val="both"/>
        <w:rPr>
          <w:rFonts w:ascii="Palatino Linotype" w:eastAsia="Times New Roman" w:hAnsi="Palatino Linotype" w:cs="Times New Roman"/>
          <w:lang w:eastAsia="es-ES"/>
        </w:rPr>
      </w:pPr>
    </w:p>
    <w:p w14:paraId="308CF3BA" w14:textId="281EE412" w:rsidR="00A16908" w:rsidRPr="00AE482A" w:rsidRDefault="00EB7017" w:rsidP="00A16908">
      <w:pPr>
        <w:spacing w:after="0" w:line="360" w:lineRule="auto"/>
        <w:jc w:val="both"/>
        <w:rPr>
          <w:rFonts w:ascii="Palatino Linotype" w:eastAsia="Times New Roman" w:hAnsi="Palatino Linotype" w:cs="Times New Roman"/>
          <w:sz w:val="24"/>
          <w:szCs w:val="24"/>
          <w:lang w:val="es-ES" w:eastAsia="es-ES"/>
        </w:rPr>
      </w:pPr>
      <w:r w:rsidRPr="00AE482A">
        <w:rPr>
          <w:rFonts w:ascii="Palatino Linotype" w:eastAsia="Times New Roman" w:hAnsi="Palatino Linotype" w:cs="Times New Roman"/>
          <w:sz w:val="24"/>
          <w:szCs w:val="24"/>
          <w:lang w:val="es-ES_tradnl" w:eastAsia="es-ES"/>
        </w:rPr>
        <w:t xml:space="preserve">En consecuencia, </w:t>
      </w:r>
      <w:r w:rsidRPr="00AE482A">
        <w:rPr>
          <w:rFonts w:ascii="Palatino Linotype" w:eastAsia="Times New Roman" w:hAnsi="Palatino Linotype" w:cs="Times New Roman"/>
          <w:sz w:val="24"/>
          <w:szCs w:val="24"/>
          <w:lang w:val="es-ES" w:eastAsia="es-ES"/>
        </w:rPr>
        <w:t xml:space="preserve">el Comité de </w:t>
      </w:r>
      <w:r w:rsidR="00A16908">
        <w:rPr>
          <w:rFonts w:ascii="Palatino Linotype" w:eastAsia="Times New Roman" w:hAnsi="Palatino Linotype" w:cs="Times New Roman"/>
          <w:sz w:val="24"/>
          <w:szCs w:val="24"/>
          <w:lang w:val="es-ES" w:eastAsia="es-ES"/>
        </w:rPr>
        <w:t>Transparencia</w:t>
      </w:r>
      <w:r w:rsidR="00A16908" w:rsidRPr="00A16908">
        <w:rPr>
          <w:rFonts w:ascii="Palatino Linotype" w:eastAsia="Times New Roman" w:hAnsi="Palatino Linotype" w:cs="Times New Roman"/>
          <w:sz w:val="24"/>
          <w:szCs w:val="24"/>
          <w:lang w:val="es-ES" w:eastAsia="es-ES"/>
        </w:rPr>
        <w:t xml:space="preserve"> </w:t>
      </w:r>
      <w:r w:rsidR="00A16908" w:rsidRPr="00AE482A">
        <w:rPr>
          <w:rFonts w:ascii="Palatino Linotype" w:eastAsia="Times New Roman" w:hAnsi="Palatino Linotype" w:cs="Times New Roman"/>
          <w:sz w:val="24"/>
          <w:szCs w:val="24"/>
          <w:lang w:val="es-ES" w:eastAsia="es-ES"/>
        </w:rPr>
        <w:t xml:space="preserve">deberá emitir el correspondiente Acuerdo de Inexistencia de la Información y notificarlo al </w:t>
      </w:r>
      <w:r w:rsidR="00A16908" w:rsidRPr="00AE482A">
        <w:rPr>
          <w:rFonts w:ascii="Palatino Linotype" w:eastAsia="Times New Roman" w:hAnsi="Palatino Linotype" w:cs="Times New Roman"/>
          <w:b/>
          <w:sz w:val="24"/>
          <w:szCs w:val="24"/>
          <w:lang w:val="es-ES" w:eastAsia="es-ES"/>
        </w:rPr>
        <w:t>RECURRENTE</w:t>
      </w:r>
      <w:r w:rsidR="00A16908" w:rsidRPr="00AE482A">
        <w:rPr>
          <w:rFonts w:ascii="Palatino Linotype" w:eastAsia="Times New Roman" w:hAnsi="Palatino Linotype" w:cs="Times New Roman"/>
          <w:sz w:val="24"/>
          <w:szCs w:val="24"/>
          <w:lang w:val="es-ES" w:eastAsia="es-ES"/>
        </w:rPr>
        <w:t xml:space="preserv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w:t>
      </w:r>
      <w:r w:rsidR="00A16908" w:rsidRPr="00AE482A">
        <w:rPr>
          <w:rFonts w:ascii="Palatino Linotype" w:eastAsia="Times New Roman" w:hAnsi="Palatino Linotype" w:cs="Times New Roman"/>
          <w:sz w:val="24"/>
          <w:szCs w:val="24"/>
          <w:lang w:val="es-ES" w:eastAsia="es-ES"/>
        </w:rPr>
        <w:lastRenderedPageBreak/>
        <w:t xml:space="preserve">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w:t>
      </w:r>
      <w:r w:rsidR="00A16908">
        <w:rPr>
          <w:rFonts w:ascii="Palatino Linotype" w:eastAsia="Times New Roman" w:hAnsi="Palatino Linotype" w:cs="Times New Roman"/>
          <w:sz w:val="24"/>
          <w:szCs w:val="24"/>
          <w:lang w:val="es-ES" w:eastAsia="es-ES"/>
        </w:rPr>
        <w:t xml:space="preserve">por lo </w:t>
      </w:r>
      <w:r w:rsidR="00A16908" w:rsidRPr="00AE482A">
        <w:rPr>
          <w:rFonts w:ascii="Palatino Linotype" w:eastAsia="Times New Roman" w:hAnsi="Palatino Linotype" w:cs="Times New Roman"/>
          <w:sz w:val="24"/>
          <w:szCs w:val="24"/>
          <w:lang w:val="es-ES" w:eastAsia="es-ES"/>
        </w:rPr>
        <w:t xml:space="preserve">que, de manera fundada y motivada, sustente las razones por las cuales no se tiene la información para hacer entrega de ella es una facultad que le corresponde al Comité de Transparencia del </w:t>
      </w:r>
      <w:r w:rsidR="00A16908" w:rsidRPr="00CD3BCE">
        <w:rPr>
          <w:rFonts w:ascii="Palatino Linotype" w:eastAsia="Times New Roman" w:hAnsi="Palatino Linotype" w:cs="Times New Roman"/>
          <w:b/>
          <w:sz w:val="24"/>
          <w:szCs w:val="24"/>
          <w:lang w:val="es-ES" w:eastAsia="es-ES"/>
        </w:rPr>
        <w:t>SUJETO OBLIGADO</w:t>
      </w:r>
      <w:r w:rsidR="00A16908" w:rsidRPr="00AE482A">
        <w:rPr>
          <w:rFonts w:ascii="Palatino Linotype" w:eastAsia="Times New Roman" w:hAnsi="Palatino Linotype" w:cs="Times New Roman"/>
          <w:sz w:val="24"/>
          <w:szCs w:val="24"/>
          <w:lang w:val="es-ES" w:eastAsia="es-ES"/>
        </w:rPr>
        <w:t xml:space="preserve"> correspondiente, de acuerdo a los artículos 47 y 49, fracciones II y XIII, de la Ley en estudio:</w:t>
      </w:r>
    </w:p>
    <w:p w14:paraId="2A6F0368" w14:textId="77777777" w:rsidR="00A16908" w:rsidRPr="00AE482A" w:rsidRDefault="00A16908" w:rsidP="00A16908">
      <w:pPr>
        <w:spacing w:after="0" w:line="360" w:lineRule="auto"/>
        <w:ind w:right="567"/>
        <w:jc w:val="both"/>
        <w:rPr>
          <w:rFonts w:ascii="Palatino Linotype" w:eastAsia="Times New Roman" w:hAnsi="Palatino Linotype" w:cs="Times New Roman"/>
          <w:sz w:val="24"/>
          <w:szCs w:val="24"/>
          <w:lang w:val="es-ES" w:eastAsia="es-ES"/>
        </w:rPr>
      </w:pPr>
    </w:p>
    <w:p w14:paraId="7FE288A4"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b/>
          <w:i/>
          <w:lang w:val="es-ES_tradnl" w:eastAsia="es-ES"/>
        </w:rPr>
        <w:t>Artículo 47.</w:t>
      </w:r>
      <w:r w:rsidRPr="00AE482A">
        <w:rPr>
          <w:rFonts w:ascii="Palatino Linotype" w:eastAsia="Times New Roman" w:hAnsi="Palatino Linotype" w:cs="Times New Roman"/>
          <w:i/>
          <w:lang w:val="es-ES_tradnl" w:eastAsia="es-ES"/>
        </w:rPr>
        <w:t xml:space="preserve"> El Comité de Transparencia será la autoridad máxima al interior del sujeto obligado en materia del derecho de acceso a la información.</w:t>
      </w:r>
    </w:p>
    <w:p w14:paraId="30A0EFF1"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p>
    <w:p w14:paraId="2921CDD7"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10E26A0E"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p>
    <w:p w14:paraId="590B505C"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El Comité se reunirá en sesión ordinaria o extraordinaria las veces que estime necesario. El tipo de sesión se precisará en la convocatoria emitida.</w:t>
      </w:r>
    </w:p>
    <w:p w14:paraId="2216B8E2"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p>
    <w:p w14:paraId="5CBF7950"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Los integrantes del Comité de Transparencia tendrán acceso a la información para determinar su clasificación, conforme a la normatividad aplicable previamente establecida por los sujetos obligados para el resguardo o salvaguarda de la información.</w:t>
      </w:r>
    </w:p>
    <w:p w14:paraId="389DC948"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p>
    <w:p w14:paraId="183F931E"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En las sesiones y trabajos del Comité, podrán participar como invitados permanentes, los representantes de las áreas que decida el Comité, y contará con derecho de voz, pero no voto.</w:t>
      </w:r>
    </w:p>
    <w:p w14:paraId="59FBB612"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p>
    <w:p w14:paraId="2884B804"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 xml:space="preserve">Los titulares de las unidades administrativas que propongan la reserva, confidencialidad o declaren la </w:t>
      </w:r>
      <w:r w:rsidRPr="006C0D63">
        <w:rPr>
          <w:rFonts w:ascii="Palatino Linotype" w:eastAsia="Times New Roman" w:hAnsi="Palatino Linotype" w:cs="Times New Roman"/>
          <w:i/>
          <w:u w:val="single"/>
          <w:lang w:val="es-ES_tradnl" w:eastAsia="es-ES"/>
        </w:rPr>
        <w:t>inexistencia</w:t>
      </w:r>
      <w:r w:rsidRPr="00AE482A">
        <w:rPr>
          <w:rFonts w:ascii="Palatino Linotype" w:eastAsia="Times New Roman" w:hAnsi="Palatino Linotype" w:cs="Times New Roman"/>
          <w:i/>
          <w:lang w:val="es-ES_tradnl" w:eastAsia="es-ES"/>
        </w:rPr>
        <w:t xml:space="preserve"> de información, acudirán a las sesiones de dicho Comité donde se discuta la propuesta correspondiente.”</w:t>
      </w:r>
    </w:p>
    <w:p w14:paraId="06944560"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p>
    <w:p w14:paraId="01363824"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w:t>
      </w:r>
      <w:r w:rsidRPr="00AE482A">
        <w:rPr>
          <w:rFonts w:ascii="Palatino Linotype" w:eastAsia="Times New Roman" w:hAnsi="Palatino Linotype" w:cs="Times New Roman"/>
          <w:b/>
          <w:i/>
          <w:lang w:val="es-ES_tradnl" w:eastAsia="es-ES"/>
        </w:rPr>
        <w:t>Artículo 49.</w:t>
      </w:r>
      <w:r w:rsidRPr="00AE482A">
        <w:rPr>
          <w:rFonts w:ascii="Palatino Linotype" w:eastAsia="Times New Roman" w:hAnsi="Palatino Linotype" w:cs="Times New Roman"/>
          <w:i/>
          <w:lang w:val="es-ES_tradnl" w:eastAsia="es-ES"/>
        </w:rPr>
        <w:t xml:space="preserve"> Los Comités de Transparencia tendrán las siguientes atribuciones:</w:t>
      </w:r>
    </w:p>
    <w:p w14:paraId="18145C67"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lastRenderedPageBreak/>
        <w:t>(…)</w:t>
      </w:r>
    </w:p>
    <w:p w14:paraId="60298C0C"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 xml:space="preserve">II. Confirmar, modificar o revocar las determinaciones que en materia de ampliación del plazo de respuesta, clasificación de la información y </w:t>
      </w:r>
      <w:r w:rsidRPr="006C0D63">
        <w:rPr>
          <w:rFonts w:ascii="Palatino Linotype" w:eastAsia="Times New Roman" w:hAnsi="Palatino Linotype" w:cs="Times New Roman"/>
          <w:i/>
          <w:u w:val="single"/>
          <w:lang w:val="es-ES_tradnl" w:eastAsia="es-ES"/>
        </w:rPr>
        <w:t xml:space="preserve">declaración de inexistencia </w:t>
      </w:r>
      <w:r w:rsidRPr="00AE482A">
        <w:rPr>
          <w:rFonts w:ascii="Palatino Linotype" w:eastAsia="Times New Roman" w:hAnsi="Palatino Linotype" w:cs="Times New Roman"/>
          <w:i/>
          <w:lang w:val="es-ES_tradnl" w:eastAsia="es-ES"/>
        </w:rPr>
        <w:t>o de incompetencia realicen los titulares de las áreas de los sujetos obligados;</w:t>
      </w:r>
    </w:p>
    <w:p w14:paraId="34EE8948"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w:t>
      </w:r>
    </w:p>
    <w:p w14:paraId="3E1553F1" w14:textId="77777777" w:rsidR="00A16908" w:rsidRPr="00AE482A" w:rsidRDefault="00A16908" w:rsidP="00A16908">
      <w:pPr>
        <w:spacing w:after="0" w:line="240" w:lineRule="auto"/>
        <w:ind w:left="567" w:right="567"/>
        <w:jc w:val="both"/>
        <w:rPr>
          <w:rFonts w:ascii="Palatino Linotype" w:eastAsia="Times New Roman" w:hAnsi="Palatino Linotype" w:cs="Times New Roman"/>
          <w:i/>
          <w:sz w:val="24"/>
          <w:szCs w:val="24"/>
          <w:lang w:val="es-ES_tradnl" w:eastAsia="es-ES"/>
        </w:rPr>
      </w:pPr>
      <w:r w:rsidRPr="00AE482A">
        <w:rPr>
          <w:rFonts w:ascii="Palatino Linotype" w:eastAsia="Times New Roman" w:hAnsi="Palatino Linotype" w:cs="Times New Roman"/>
          <w:i/>
          <w:lang w:val="es-ES_tradnl" w:eastAsia="es-ES"/>
        </w:rPr>
        <w:t>XIII. Dictaminar las declaratorias de inexistencia de la información que les remitan las unidades administrativas y resolver en consecuencia;</w:t>
      </w:r>
    </w:p>
    <w:p w14:paraId="534214A6" w14:textId="77777777" w:rsidR="00A16908" w:rsidRPr="00AE482A" w:rsidRDefault="00A16908" w:rsidP="00A16908">
      <w:pPr>
        <w:spacing w:after="0" w:line="360" w:lineRule="auto"/>
        <w:jc w:val="both"/>
        <w:rPr>
          <w:rFonts w:ascii="Palatino Linotype" w:eastAsia="Times New Roman" w:hAnsi="Palatino Linotype" w:cs="Times New Roman"/>
          <w:i/>
          <w:sz w:val="24"/>
          <w:szCs w:val="24"/>
          <w:lang w:val="es-ES_tradnl" w:eastAsia="es-ES"/>
        </w:rPr>
      </w:pPr>
    </w:p>
    <w:p w14:paraId="291F04D0" w14:textId="77777777" w:rsidR="00A16908" w:rsidRPr="00AE482A" w:rsidRDefault="00A16908" w:rsidP="00A16908">
      <w:pPr>
        <w:spacing w:after="0" w:line="360" w:lineRule="auto"/>
        <w:jc w:val="both"/>
        <w:rPr>
          <w:rFonts w:ascii="Palatino Linotype" w:eastAsia="Times New Roman" w:hAnsi="Palatino Linotype" w:cs="Times New Roman"/>
          <w:sz w:val="24"/>
          <w:szCs w:val="24"/>
          <w:lang w:val="es-ES" w:eastAsia="es-ES"/>
        </w:rPr>
      </w:pPr>
      <w:r w:rsidRPr="00AE482A">
        <w:rPr>
          <w:rFonts w:ascii="Palatino Linotype" w:eastAsia="Times New Roman" w:hAnsi="Palatino Linotype" w:cs="Times New Roman"/>
          <w:sz w:val="24"/>
          <w:szCs w:val="24"/>
          <w:lang w:val="es-ES" w:eastAsia="es-ES"/>
        </w:rPr>
        <w:t xml:space="preserve">Asimismo, el acuerdo de inexistencia deberá apegarse a lo dispuesto por los artículos 169 y 170, de la Ley de la materia que ordenan: </w:t>
      </w:r>
    </w:p>
    <w:p w14:paraId="2608779B" w14:textId="77777777" w:rsidR="00A16908" w:rsidRPr="00AE482A" w:rsidRDefault="00A16908" w:rsidP="00A16908">
      <w:pPr>
        <w:spacing w:after="0" w:line="360" w:lineRule="auto"/>
        <w:jc w:val="both"/>
        <w:rPr>
          <w:rFonts w:ascii="Palatino Linotype" w:eastAsia="Times New Roman" w:hAnsi="Palatino Linotype" w:cs="Times New Roman"/>
          <w:i/>
          <w:sz w:val="24"/>
          <w:szCs w:val="24"/>
          <w:lang w:val="es-ES" w:eastAsia="es-ES"/>
        </w:rPr>
      </w:pPr>
    </w:p>
    <w:p w14:paraId="2DE13932"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b/>
          <w:i/>
          <w:lang w:val="es-ES_tradnl" w:eastAsia="es-ES"/>
        </w:rPr>
        <w:t>Artículo 169.</w:t>
      </w:r>
      <w:r w:rsidRPr="00AE482A">
        <w:rPr>
          <w:rFonts w:ascii="Palatino Linotype" w:eastAsia="Times New Roman" w:hAnsi="Palatino Linotype" w:cs="Times New Roman"/>
          <w:i/>
          <w:lang w:val="es-ES_tradnl" w:eastAsia="es-ES"/>
        </w:rPr>
        <w:t xml:space="preserve"> Cuando la información no se encuentre en los archivos del sujeto obligado, el Comité de Transparencia:</w:t>
      </w:r>
    </w:p>
    <w:p w14:paraId="345BFC5F"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p>
    <w:p w14:paraId="47ED8DBF"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I. Analizará el caso y tomará las medidas necesarias para localizar la información;</w:t>
      </w:r>
    </w:p>
    <w:p w14:paraId="7F63ABEE"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p>
    <w:p w14:paraId="2DC7B79B"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II. Expedirá una resolución que confirme la inexistencia del documento;</w:t>
      </w:r>
    </w:p>
    <w:p w14:paraId="61DB8FBF"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p>
    <w:p w14:paraId="3F267571"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1744ED6"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p>
    <w:p w14:paraId="260138F7"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IV. Notificará al órgano interno de control o equivalente del sujeto obligado quien, en su caso, deberá iniciar el procedimiento de responsabilidad administrativa que corresponda.</w:t>
      </w:r>
    </w:p>
    <w:p w14:paraId="17F331AD"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p>
    <w:p w14:paraId="67C57A6F"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La Unidad de Transparencia deberá notificarlo al solicitante por escrito, en un plazo que no exceda de quince días hábiles contados a partir del día siguiente a la presentación de la solicitud.</w:t>
      </w:r>
    </w:p>
    <w:p w14:paraId="1DF6E432"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p>
    <w:p w14:paraId="239D0CE9"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Este plazo podrá ampliarse hasta por otros siete días hábiles, siempre que existan razones para ello, debiendo notificarse por escrito al solicitante.</w:t>
      </w:r>
    </w:p>
    <w:p w14:paraId="5B0509B4" w14:textId="77777777" w:rsidR="00A16908" w:rsidRPr="00AE482A" w:rsidRDefault="00A16908" w:rsidP="00A16908">
      <w:pPr>
        <w:spacing w:after="0" w:line="240" w:lineRule="auto"/>
        <w:ind w:left="567" w:right="567"/>
        <w:jc w:val="both"/>
        <w:rPr>
          <w:rFonts w:ascii="Palatino Linotype" w:eastAsia="Times New Roman" w:hAnsi="Palatino Linotype" w:cs="Times New Roman"/>
          <w:i/>
          <w:lang w:val="es-ES_tradnl" w:eastAsia="es-ES"/>
        </w:rPr>
      </w:pPr>
    </w:p>
    <w:p w14:paraId="2E8DAB9B" w14:textId="77777777" w:rsidR="00134EE1" w:rsidRDefault="00A16908" w:rsidP="00134EE1">
      <w:pPr>
        <w:spacing w:after="0" w:line="360" w:lineRule="auto"/>
        <w:ind w:left="851" w:right="758"/>
        <w:jc w:val="both"/>
        <w:rPr>
          <w:rFonts w:ascii="Palatino Linotype" w:hAnsi="Palatino Linotype" w:cs="Tahoma"/>
          <w:sz w:val="24"/>
        </w:rPr>
      </w:pPr>
      <w:bookmarkStart w:id="2" w:name="_GoBack"/>
      <w:r w:rsidRPr="00AE482A">
        <w:rPr>
          <w:rFonts w:ascii="Palatino Linotype" w:hAnsi="Palatino Linotype"/>
          <w:b/>
          <w:i/>
          <w:lang w:val="es-ES_tradnl"/>
        </w:rPr>
        <w:lastRenderedPageBreak/>
        <w:t>Artículo 170.</w:t>
      </w:r>
      <w:r w:rsidRPr="00AE482A">
        <w:rPr>
          <w:rFonts w:ascii="Palatino Linotype" w:hAnsi="Palatino Linotype"/>
          <w:i/>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00134EE1" w:rsidRPr="00134EE1">
        <w:rPr>
          <w:rFonts w:ascii="Palatino Linotype" w:hAnsi="Palatino Linotype" w:cs="Tahoma"/>
          <w:sz w:val="24"/>
        </w:rPr>
        <w:t xml:space="preserve"> </w:t>
      </w:r>
    </w:p>
    <w:bookmarkEnd w:id="2"/>
    <w:p w14:paraId="41248AEE" w14:textId="0BFD1900" w:rsidR="00134EE1" w:rsidRPr="000C7EBF" w:rsidRDefault="00134EE1" w:rsidP="00134EE1">
      <w:pPr>
        <w:spacing w:after="0" w:line="360" w:lineRule="auto"/>
        <w:jc w:val="both"/>
        <w:rPr>
          <w:rFonts w:ascii="Palatino Linotype" w:hAnsi="Palatino Linotype" w:cs="Tahoma"/>
          <w:sz w:val="24"/>
        </w:rPr>
      </w:pPr>
      <w:r w:rsidRPr="000C7EBF">
        <w:rPr>
          <w:rFonts w:ascii="Palatino Linotype" w:hAnsi="Palatino Linotype" w:cs="Tahoma"/>
          <w:sz w:val="24"/>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31F29E82" w14:textId="77777777" w:rsidR="00134EE1" w:rsidRPr="000C7EBF" w:rsidRDefault="00134EE1" w:rsidP="00134EE1">
      <w:pPr>
        <w:spacing w:after="0" w:line="360" w:lineRule="auto"/>
        <w:jc w:val="both"/>
        <w:rPr>
          <w:rFonts w:ascii="Palatino Linotype" w:hAnsi="Palatino Linotype" w:cs="Tahoma"/>
          <w:sz w:val="24"/>
        </w:rPr>
      </w:pPr>
    </w:p>
    <w:p w14:paraId="43B7B718" w14:textId="77777777" w:rsidR="00134EE1" w:rsidRPr="000C7EBF" w:rsidRDefault="00134EE1" w:rsidP="00134EE1">
      <w:pPr>
        <w:spacing w:after="0" w:line="360" w:lineRule="auto"/>
        <w:jc w:val="both"/>
        <w:rPr>
          <w:rFonts w:ascii="Palatino Linotype" w:hAnsi="Palatino Linotype" w:cs="Tahoma"/>
          <w:sz w:val="24"/>
        </w:rPr>
      </w:pPr>
      <w:r w:rsidRPr="000C7EBF">
        <w:rPr>
          <w:rFonts w:ascii="Palatino Linotype" w:hAnsi="Palatino Linotype" w:cs="Tahoma"/>
          <w:sz w:val="24"/>
        </w:rPr>
        <w:t xml:space="preserve">En ese contexto, de conformidad con los </w:t>
      </w:r>
      <w:r w:rsidRPr="000C7EBF">
        <w:rPr>
          <w:rFonts w:ascii="Palatino Linotype" w:hAnsi="Palatino Linotype" w:cs="Tahoma"/>
          <w:b/>
          <w:sz w:val="24"/>
        </w:rPr>
        <w:t>criterios 12/10 y 04/19</w:t>
      </w:r>
      <w:r w:rsidRPr="000C7EBF">
        <w:rPr>
          <w:rFonts w:ascii="Palatino Linotype" w:hAnsi="Palatino Linotype" w:cs="Tahoma"/>
          <w:sz w:val="24"/>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79F7F3B3" w14:textId="77777777" w:rsidR="00134EE1" w:rsidRPr="000C7EBF" w:rsidRDefault="00134EE1" w:rsidP="00134EE1">
      <w:pPr>
        <w:numPr>
          <w:ilvl w:val="0"/>
          <w:numId w:val="4"/>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Motivación por las que se buscó la información, en determinadas unidades administrativas;</w:t>
      </w:r>
    </w:p>
    <w:p w14:paraId="384D0E04" w14:textId="77777777" w:rsidR="00134EE1" w:rsidRPr="000C7EBF" w:rsidRDefault="00134EE1" w:rsidP="00134EE1">
      <w:pPr>
        <w:numPr>
          <w:ilvl w:val="0"/>
          <w:numId w:val="4"/>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Los criterios de búsqueda utilizados, y</w:t>
      </w:r>
    </w:p>
    <w:p w14:paraId="7F1F902F" w14:textId="77777777" w:rsidR="00134EE1" w:rsidRPr="000C7EBF" w:rsidRDefault="00134EE1" w:rsidP="00134EE1">
      <w:pPr>
        <w:numPr>
          <w:ilvl w:val="0"/>
          <w:numId w:val="4"/>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Las circunstancias que fueron tomadas en cuenta.</w:t>
      </w:r>
    </w:p>
    <w:p w14:paraId="78EB4804" w14:textId="77777777" w:rsidR="00134EE1" w:rsidRPr="000C7EBF" w:rsidRDefault="00134EE1" w:rsidP="00134EE1">
      <w:pPr>
        <w:pStyle w:val="Sinespaciado"/>
      </w:pPr>
    </w:p>
    <w:p w14:paraId="7536C5D9" w14:textId="77777777" w:rsidR="00134EE1" w:rsidRPr="000C7EBF" w:rsidRDefault="00134EE1" w:rsidP="00134EE1">
      <w:pPr>
        <w:spacing w:line="360" w:lineRule="auto"/>
        <w:jc w:val="both"/>
        <w:rPr>
          <w:rFonts w:ascii="Palatino Linotype" w:hAnsi="Palatino Linotype" w:cs="Tahoma"/>
          <w:sz w:val="24"/>
        </w:rPr>
      </w:pPr>
      <w:r w:rsidRPr="000C7EBF">
        <w:rPr>
          <w:rFonts w:ascii="Palatino Linotype" w:hAnsi="Palatino Linotype" w:cs="Tahoma"/>
          <w:sz w:val="24"/>
        </w:rPr>
        <w:t>De tales circunstancias, se considera que para que los Sujetos Obligado</w:t>
      </w:r>
      <w:r>
        <w:rPr>
          <w:rFonts w:ascii="Palatino Linotype" w:hAnsi="Palatino Linotype" w:cs="Tahoma"/>
          <w:sz w:val="24"/>
        </w:rPr>
        <w:t>s</w:t>
      </w:r>
      <w:r w:rsidRPr="000C7EBF">
        <w:rPr>
          <w:rFonts w:ascii="Palatino Linotype" w:hAnsi="Palatino Linotype" w:cs="Tahoma"/>
          <w:sz w:val="24"/>
        </w:rPr>
        <w:t xml:space="preserve"> justifiquen que realizaron una búsqueda exhaustiva y razonable, deben indicar de manera clara, lo siguiente:</w:t>
      </w:r>
    </w:p>
    <w:p w14:paraId="4ABCDB79" w14:textId="02C651C1" w:rsidR="00A16908" w:rsidRPr="00A5375F" w:rsidRDefault="00A16908" w:rsidP="00A5375F">
      <w:pPr>
        <w:spacing w:after="0" w:line="240" w:lineRule="auto"/>
        <w:ind w:left="567" w:right="567"/>
        <w:jc w:val="both"/>
        <w:rPr>
          <w:rFonts w:ascii="Palatino Linotype" w:hAnsi="Palatino Linotype"/>
          <w:sz w:val="24"/>
          <w:szCs w:val="24"/>
        </w:rPr>
        <w:sectPr w:rsidR="00A16908" w:rsidRPr="00A5375F" w:rsidSect="00A16908">
          <w:headerReference w:type="default" r:id="rId17"/>
          <w:footerReference w:type="default" r:id="rId18"/>
          <w:headerReference w:type="first" r:id="rId19"/>
          <w:footerReference w:type="first" r:id="rId20"/>
          <w:pgSz w:w="12240" w:h="15840"/>
          <w:pgMar w:top="1417" w:right="1701" w:bottom="1417" w:left="1843" w:header="708" w:footer="708" w:gutter="0"/>
          <w:cols w:space="708"/>
          <w:titlePg/>
          <w:docGrid w:linePitch="360"/>
        </w:sectPr>
      </w:pPr>
    </w:p>
    <w:p w14:paraId="3F36B571" w14:textId="77777777" w:rsidR="00A16908" w:rsidRPr="000C7EBF" w:rsidRDefault="00A16908" w:rsidP="00A16908">
      <w:pPr>
        <w:numPr>
          <w:ilvl w:val="0"/>
          <w:numId w:val="3"/>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lastRenderedPageBreak/>
        <w:t>Las áreas donde se buscó la información;</w:t>
      </w:r>
    </w:p>
    <w:p w14:paraId="30DB9175" w14:textId="77777777" w:rsidR="00A16908" w:rsidRPr="000C7EBF" w:rsidRDefault="00A16908" w:rsidP="00A16908">
      <w:pPr>
        <w:numPr>
          <w:ilvl w:val="0"/>
          <w:numId w:val="3"/>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Tipo de archivos buscados (físicos o electrónicos);</w:t>
      </w:r>
    </w:p>
    <w:p w14:paraId="7268146F" w14:textId="77777777" w:rsidR="00A16908" w:rsidRPr="000C7EBF" w:rsidRDefault="00A16908" w:rsidP="00A16908">
      <w:pPr>
        <w:numPr>
          <w:ilvl w:val="0"/>
          <w:numId w:val="3"/>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 xml:space="preserve">Los criterios de búsqueda utilizados, y </w:t>
      </w:r>
    </w:p>
    <w:p w14:paraId="1DE4EBD9" w14:textId="77777777" w:rsidR="00A16908" w:rsidRPr="000C7EBF" w:rsidRDefault="00A16908" w:rsidP="00A16908">
      <w:pPr>
        <w:numPr>
          <w:ilvl w:val="0"/>
          <w:numId w:val="3"/>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Las circunstancias que fueron tomadas en cuenta.</w:t>
      </w:r>
    </w:p>
    <w:p w14:paraId="55C140E4" w14:textId="46C38AD6" w:rsidR="00A5375F" w:rsidRPr="00B8136A" w:rsidRDefault="00A16908" w:rsidP="00B8136A">
      <w:pPr>
        <w:spacing w:after="0" w:line="360" w:lineRule="auto"/>
        <w:ind w:right="-93"/>
        <w:jc w:val="both"/>
        <w:rPr>
          <w:rFonts w:ascii="Palatino Linotype" w:hAnsi="Palatino Linotype" w:cs="Tahoma"/>
          <w:bCs/>
          <w:sz w:val="24"/>
          <w:szCs w:val="24"/>
        </w:rPr>
      </w:pPr>
      <w:r w:rsidRPr="000C7EBF">
        <w:rPr>
          <w:rFonts w:ascii="Palatino Linotype" w:hAnsi="Palatino Linotype" w:cs="Tahoma"/>
          <w:sz w:val="24"/>
          <w:szCs w:val="24"/>
        </w:rPr>
        <w:t xml:space="preserve">Por lo anterior, se advierte que la respuesta otorgada por parte del </w:t>
      </w:r>
      <w:r w:rsidRPr="000C7EBF">
        <w:rPr>
          <w:rFonts w:ascii="Palatino Linotype" w:hAnsi="Palatino Linotype" w:cs="Tahoma"/>
          <w:b/>
          <w:sz w:val="24"/>
          <w:szCs w:val="24"/>
        </w:rPr>
        <w:t>SUJETO OBLIGADO</w:t>
      </w:r>
      <w:r w:rsidRPr="000C7EBF">
        <w:rPr>
          <w:rFonts w:ascii="Palatino Linotype" w:hAnsi="Palatino Linotype" w:cs="Tahoma"/>
          <w:sz w:val="24"/>
          <w:szCs w:val="24"/>
        </w:rPr>
        <w:t>, no colma el derecho de acceso a la información de</w:t>
      </w:r>
      <w:r>
        <w:rPr>
          <w:rFonts w:ascii="Palatino Linotype" w:hAnsi="Palatino Linotype" w:cs="Tahoma"/>
          <w:sz w:val="24"/>
          <w:szCs w:val="24"/>
        </w:rPr>
        <w:t>l</w:t>
      </w:r>
      <w:r w:rsidRPr="000C7EBF">
        <w:rPr>
          <w:rFonts w:ascii="Palatino Linotype" w:hAnsi="Palatino Linotype" w:cs="Tahoma"/>
          <w:sz w:val="24"/>
          <w:szCs w:val="24"/>
        </w:rPr>
        <w:t xml:space="preserve"> </w:t>
      </w:r>
      <w:r w:rsidRPr="000C7EBF">
        <w:rPr>
          <w:rFonts w:ascii="Palatino Linotype" w:hAnsi="Palatino Linotype" w:cs="Tahoma"/>
          <w:b/>
          <w:sz w:val="24"/>
          <w:szCs w:val="24"/>
        </w:rPr>
        <w:t>RECURRENTE</w:t>
      </w:r>
      <w:r w:rsidRPr="000C7EBF">
        <w:rPr>
          <w:rFonts w:ascii="Palatino Linotype" w:hAnsi="Palatino Linotype" w:cs="Tahoma"/>
          <w:sz w:val="24"/>
          <w:szCs w:val="24"/>
        </w:rPr>
        <w:t xml:space="preserve">, </w:t>
      </w:r>
      <w:r>
        <w:rPr>
          <w:rFonts w:ascii="Palatino Linotype" w:hAnsi="Palatino Linotype" w:cs="Tahoma"/>
          <w:sz w:val="24"/>
          <w:szCs w:val="24"/>
        </w:rPr>
        <w:t xml:space="preserve">toda vez que </w:t>
      </w:r>
      <w:r w:rsidRPr="005A06A1">
        <w:rPr>
          <w:rFonts w:ascii="Palatino Linotype" w:hAnsi="Palatino Linotype" w:cs="Tahoma"/>
          <w:b/>
          <w:sz w:val="24"/>
          <w:szCs w:val="24"/>
        </w:rPr>
        <w:t>EL</w:t>
      </w:r>
      <w:r w:rsidRPr="005A06A1">
        <w:rPr>
          <w:rFonts w:ascii="Palatino Linotype" w:hAnsi="Palatino Linotype" w:cs="Tahoma"/>
          <w:b/>
          <w:bCs/>
          <w:sz w:val="24"/>
          <w:szCs w:val="24"/>
        </w:rPr>
        <w:t xml:space="preserve"> SUJETO OBLIGADO</w:t>
      </w:r>
      <w:r w:rsidRPr="000C7EBF">
        <w:rPr>
          <w:rFonts w:ascii="Palatino Linotype" w:hAnsi="Palatino Linotype" w:cs="Tahoma"/>
          <w:bCs/>
          <w:sz w:val="24"/>
          <w:szCs w:val="24"/>
        </w:rPr>
        <w:t xml:space="preserve"> </w:t>
      </w:r>
      <w:r>
        <w:rPr>
          <w:rFonts w:ascii="Palatino Linotype" w:hAnsi="Palatino Linotype" w:cs="Tahoma"/>
          <w:bCs/>
          <w:sz w:val="24"/>
          <w:szCs w:val="24"/>
        </w:rPr>
        <w:t xml:space="preserve">omitió </w:t>
      </w:r>
      <w:r w:rsidRPr="000C7EBF">
        <w:rPr>
          <w:rFonts w:ascii="Palatino Linotype" w:hAnsi="Palatino Linotype" w:cs="Tahoma"/>
          <w:bCs/>
          <w:sz w:val="24"/>
          <w:szCs w:val="24"/>
        </w:rPr>
        <w:t xml:space="preserve">realizar una búsqueda exhaustiva y razonable de los documentos </w:t>
      </w:r>
      <w:r>
        <w:rPr>
          <w:rFonts w:ascii="Palatino Linotype" w:hAnsi="Palatino Linotype" w:cs="Tahoma"/>
          <w:bCs/>
          <w:sz w:val="24"/>
          <w:szCs w:val="24"/>
        </w:rPr>
        <w:t>a la</w:t>
      </w:r>
      <w:r w:rsidR="00B45D84">
        <w:rPr>
          <w:rFonts w:ascii="Palatino Linotype" w:hAnsi="Palatino Linotype" w:cs="Tahoma"/>
          <w:sz w:val="24"/>
          <w:szCs w:val="24"/>
        </w:rPr>
        <w:t xml:space="preserve"> Presidencia Municipal y el Departamento de Archivos</w:t>
      </w:r>
      <w:r w:rsidRPr="000C7EBF">
        <w:rPr>
          <w:rFonts w:ascii="Palatino Linotype" w:hAnsi="Palatino Linotype" w:cs="Tahoma"/>
          <w:bCs/>
          <w:sz w:val="24"/>
          <w:szCs w:val="24"/>
        </w:rPr>
        <w:t>,</w:t>
      </w:r>
      <w:r w:rsidR="00B8136A">
        <w:rPr>
          <w:rFonts w:ascii="Palatino Linotype" w:hAnsi="Palatino Linotype" w:cs="Tahoma"/>
          <w:bCs/>
          <w:sz w:val="24"/>
          <w:szCs w:val="24"/>
        </w:rPr>
        <w:t xml:space="preserve"> ya </w:t>
      </w:r>
      <w:r w:rsidR="00A5375F">
        <w:rPr>
          <w:rFonts w:ascii="Palatino Linotype" w:eastAsia="Palatino Linotype" w:hAnsi="Palatino Linotype" w:cs="Palatino Linotype"/>
          <w:sz w:val="24"/>
          <w:szCs w:val="24"/>
        </w:rPr>
        <w:t>que únicamente se turnó la solicitud a una sola área; a fin de acreditar lo anterior, se inserta impresión de pantalla del apartado de Requerimientos que muestra el sistema:</w:t>
      </w:r>
    </w:p>
    <w:p w14:paraId="71E34FD4" w14:textId="77777777" w:rsidR="00A5375F" w:rsidRDefault="00A5375F" w:rsidP="00A5375F">
      <w:pPr>
        <w:tabs>
          <w:tab w:val="left" w:pos="1140"/>
        </w:tabs>
        <w:spacing w:line="360" w:lineRule="auto"/>
        <w:ind w:hanging="284"/>
        <w:jc w:val="both"/>
        <w:rPr>
          <w:rFonts w:ascii="Palatino Linotype" w:eastAsia="Palatino Linotype" w:hAnsi="Palatino Linotype" w:cs="Palatino Linotype"/>
          <w:sz w:val="36"/>
          <w:szCs w:val="36"/>
        </w:rPr>
      </w:pPr>
      <w:r>
        <w:rPr>
          <w:noProof/>
        </w:rPr>
        <w:drawing>
          <wp:inline distT="0" distB="0" distL="0" distR="0" wp14:anchorId="4C8857EB" wp14:editId="25A1B906">
            <wp:extent cx="5876977" cy="802254"/>
            <wp:effectExtent l="0" t="0" r="0" b="0"/>
            <wp:docPr id="38" name="image4.png"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38" name="image4.png" descr="Interfaz de usuario gráfica, Texto, Aplicación, Correo electrónico&#10;&#10;Descripción generada automáticamente"/>
                    <pic:cNvPicPr preferRelativeResize="0"/>
                  </pic:nvPicPr>
                  <pic:blipFill>
                    <a:blip r:embed="rId21"/>
                    <a:srcRect l="23211" t="24272" r="23029" b="62681"/>
                    <a:stretch>
                      <a:fillRect/>
                    </a:stretch>
                  </pic:blipFill>
                  <pic:spPr>
                    <a:xfrm>
                      <a:off x="0" y="0"/>
                      <a:ext cx="5876977" cy="802254"/>
                    </a:xfrm>
                    <a:prstGeom prst="rect">
                      <a:avLst/>
                    </a:prstGeom>
                    <a:ln/>
                  </pic:spPr>
                </pic:pic>
              </a:graphicData>
            </a:graphic>
          </wp:inline>
        </w:drawing>
      </w:r>
    </w:p>
    <w:p w14:paraId="76C50703" w14:textId="101E86F8" w:rsidR="00B8136A" w:rsidRPr="00B8136A" w:rsidRDefault="00A5375F" w:rsidP="00B8136A">
      <w:pPr>
        <w:tabs>
          <w:tab w:val="left" w:pos="1140"/>
        </w:tabs>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la información que se muestra, en concordancia con la respuesta 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se advierte que la solicitud de información únicamente fue turnada a la Secretaria del Ayuntamiento; por tanto, se tiene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realizó la búsqueda exhaustiva y razonable de la información solicitada y que la respuesta emitida por este no satisface lo solicitado.</w:t>
      </w:r>
    </w:p>
    <w:p w14:paraId="2D00065E" w14:textId="15539CCF" w:rsidR="00B45D84" w:rsidRDefault="00B45D84" w:rsidP="00B45D84">
      <w:pPr>
        <w:spacing w:after="0" w:line="360" w:lineRule="auto"/>
        <w:jc w:val="both"/>
        <w:rPr>
          <w:rFonts w:ascii="Palatino Linotype" w:eastAsia="Times New Roman" w:hAnsi="Palatino Linotype" w:cs="Times New Roman"/>
          <w:sz w:val="24"/>
          <w:szCs w:val="24"/>
          <w:lang w:eastAsia="es-ES"/>
        </w:rPr>
      </w:pPr>
      <w:r w:rsidRPr="006C0D63">
        <w:rPr>
          <w:rFonts w:ascii="Palatino Linotype" w:hAnsi="Palatino Linotype" w:cs="Tahoma"/>
          <w:bCs/>
          <w:sz w:val="24"/>
          <w:szCs w:val="24"/>
        </w:rPr>
        <w:t xml:space="preserve">En conclusión, se puede advertir que </w:t>
      </w:r>
      <w:r w:rsidRPr="006C0D63">
        <w:rPr>
          <w:rFonts w:ascii="Palatino Linotype" w:hAnsi="Palatino Linotype" w:cs="Tahoma"/>
          <w:b/>
          <w:bCs/>
          <w:sz w:val="24"/>
          <w:szCs w:val="24"/>
        </w:rPr>
        <w:t>EL SUJETO OBLIGADO</w:t>
      </w:r>
      <w:r w:rsidRPr="006C0D63">
        <w:rPr>
          <w:rFonts w:ascii="Palatino Linotype" w:hAnsi="Palatino Linotype" w:cs="Tahoma"/>
          <w:bCs/>
          <w:sz w:val="24"/>
          <w:szCs w:val="24"/>
        </w:rPr>
        <w:t xml:space="preserve"> no turnó la solicitud de información a las diversas unidades administrativas con las que cuenta y que de acuerdo a sus atribuciones deban contar con la información requerida, por lo que se aprecia, que </w:t>
      </w:r>
      <w:r w:rsidRPr="006C0D63">
        <w:rPr>
          <w:rFonts w:ascii="Palatino Linotype" w:hAnsi="Palatino Linotype" w:cs="Tahoma"/>
          <w:b/>
          <w:bCs/>
          <w:sz w:val="24"/>
          <w:szCs w:val="24"/>
        </w:rPr>
        <w:t>EL SUJETO OBLIGADO</w:t>
      </w:r>
      <w:r w:rsidRPr="006C0D63">
        <w:rPr>
          <w:rFonts w:ascii="Palatino Linotype" w:hAnsi="Palatino Linotype" w:cs="Tahoma"/>
          <w:bCs/>
          <w:sz w:val="24"/>
          <w:szCs w:val="24"/>
        </w:rPr>
        <w:t xml:space="preserve"> incumplió con el procedimiento de búsqueda </w:t>
      </w:r>
      <w:r w:rsidRPr="006C0D63">
        <w:rPr>
          <w:rFonts w:ascii="Palatino Linotype" w:hAnsi="Palatino Linotype" w:cs="Tahoma"/>
          <w:bCs/>
          <w:sz w:val="24"/>
          <w:szCs w:val="24"/>
        </w:rPr>
        <w:lastRenderedPageBreak/>
        <w:t>establecido en el artículo 162, de la Ley de Transparencia y Acceso a la Información Pública del Estado de México y Municipios, por lo que no se acreditó que la búsqueda fuera exhaustiva y razonable</w:t>
      </w:r>
      <w:r w:rsidRPr="006C0D63">
        <w:rPr>
          <w:rFonts w:ascii="Palatino Linotype" w:eastAsia="Times New Roman" w:hAnsi="Palatino Linotype" w:cs="Times New Roman"/>
          <w:sz w:val="24"/>
          <w:szCs w:val="24"/>
          <w:lang w:eastAsia="es-ES"/>
        </w:rPr>
        <w:t xml:space="preserve">. </w:t>
      </w:r>
    </w:p>
    <w:p w14:paraId="63A6D8F7" w14:textId="5C3288DA" w:rsidR="00347764" w:rsidRDefault="00B45D84" w:rsidP="00B8136A">
      <w:pPr>
        <w:spacing w:after="0" w:line="360" w:lineRule="auto"/>
        <w:jc w:val="both"/>
        <w:rPr>
          <w:rFonts w:ascii="Palatino Linotype" w:hAnsi="Palatino Linotype" w:cs="Bookman Old Style"/>
          <w:sz w:val="24"/>
          <w:szCs w:val="24"/>
        </w:rPr>
      </w:pPr>
      <w:bookmarkStart w:id="3" w:name="_Hlk22119860"/>
      <w:bookmarkStart w:id="4" w:name="_Hlk22229808"/>
      <w:r w:rsidRPr="006C0D63">
        <w:rPr>
          <w:rFonts w:ascii="Palatino Linotype" w:hAnsi="Palatino Linotype" w:cs="Bookman Old Style"/>
          <w:sz w:val="24"/>
          <w:szCs w:val="24"/>
        </w:rPr>
        <w:t>De tal modo, se ordena la entrega de</w:t>
      </w:r>
      <w:r>
        <w:rPr>
          <w:rFonts w:ascii="Palatino Linotype" w:eastAsia="Palatino Linotype" w:hAnsi="Palatino Linotype" w:cs="Palatino Linotype"/>
          <w:sz w:val="24"/>
          <w:szCs w:val="24"/>
        </w:rPr>
        <w:t>l</w:t>
      </w:r>
      <w:r>
        <w:rPr>
          <w:rFonts w:ascii="Palatino Linotype" w:eastAsia="Palatino Linotype" w:hAnsi="Palatino Linotype" w:cs="Palatino Linotype"/>
          <w:color w:val="000000"/>
          <w:sz w:val="24"/>
          <w:szCs w:val="24"/>
        </w:rPr>
        <w:t xml:space="preserve"> convenio celebrado en fecha 15 de agosto del año 2000</w:t>
      </w:r>
      <w:r w:rsidR="00AA14DE">
        <w:rPr>
          <w:rFonts w:ascii="Palatino Linotype" w:eastAsia="Palatino Linotype" w:hAnsi="Palatino Linotype" w:cs="Palatino Linotype"/>
          <w:color w:val="000000"/>
          <w:sz w:val="24"/>
          <w:szCs w:val="24"/>
        </w:rPr>
        <w:t>,</w:t>
      </w:r>
      <w:r w:rsidRPr="006C0D63">
        <w:rPr>
          <w:rFonts w:ascii="Palatino Linotype" w:hAnsi="Palatino Linotype" w:cs="Bookman Old Style"/>
          <w:sz w:val="24"/>
          <w:szCs w:val="24"/>
        </w:rPr>
        <w:t xml:space="preserve"> en el caso de no encontrarse la información que se ordena entregar, deberá proporcionarse acuerdo de inexistencia en términos del artículo 19, párrafo tercero y 169, de la Ley de Transparencia y Acceso a la Información Pública del Estado de México y Municipios.</w:t>
      </w:r>
      <w:bookmarkEnd w:id="3"/>
      <w:bookmarkEnd w:id="4"/>
    </w:p>
    <w:p w14:paraId="19B90B4F" w14:textId="77777777" w:rsidR="00B8136A" w:rsidRPr="00B8136A" w:rsidRDefault="00B8136A" w:rsidP="00B8136A">
      <w:pPr>
        <w:spacing w:after="0" w:line="360" w:lineRule="auto"/>
        <w:jc w:val="both"/>
        <w:rPr>
          <w:rFonts w:ascii="Palatino Linotype" w:hAnsi="Palatino Linotype" w:cs="Bookman Old Style"/>
          <w:sz w:val="24"/>
          <w:szCs w:val="24"/>
        </w:rPr>
      </w:pPr>
    </w:p>
    <w:p w14:paraId="523B119A" w14:textId="77777777" w:rsidR="00E11AE7" w:rsidRDefault="00520C11">
      <w:pPr>
        <w:tabs>
          <w:tab w:val="left" w:pos="1140"/>
        </w:tabs>
        <w:spacing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Por todo lo antes expuesto, resulta procedente revocar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pues resultaron fundados los motivos de inconformidad planteados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por tanto,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deberá entregar, previo a una búsqueda exhaustiva y razonable, en su caso en versión pública de conformidad al considerando quinto el convenio de fecha quince de agosto del año dos mil, para dar por satisfecho el derecho de acceso a la información ejercido por la ahora </w:t>
      </w:r>
      <w:r>
        <w:rPr>
          <w:rFonts w:ascii="Palatino Linotype" w:eastAsia="Palatino Linotype" w:hAnsi="Palatino Linotype" w:cs="Palatino Linotype"/>
          <w:b/>
          <w:sz w:val="24"/>
          <w:szCs w:val="24"/>
        </w:rPr>
        <w:t xml:space="preserve">RECURRENTE. </w:t>
      </w:r>
    </w:p>
    <w:p w14:paraId="03215D6F" w14:textId="4BB3ED50" w:rsidR="005B7C70" w:rsidRPr="005B7C70" w:rsidRDefault="00520C11" w:rsidP="005B7C70">
      <w:pPr>
        <w:spacing w:before="240" w:after="240" w:line="360" w:lineRule="auto"/>
        <w:jc w:val="both"/>
        <w:rPr>
          <w:rFonts w:ascii="Palatino Linotype" w:hAnsi="Palatino Linotype"/>
          <w:sz w:val="24"/>
          <w:szCs w:val="24"/>
        </w:rPr>
      </w:pPr>
      <w:r>
        <w:rPr>
          <w:rFonts w:ascii="Palatino Linotype" w:eastAsia="Palatino Linotype" w:hAnsi="Palatino Linotype" w:cs="Palatino Linotype"/>
          <w:color w:val="000000"/>
          <w:sz w:val="24"/>
          <w:szCs w:val="24"/>
        </w:rPr>
        <w:t xml:space="preserve">Finalmente, de la respuesta, se advirtió que uno de los archivos electrónicos proporcionados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consta el acta de cabildo del quince de abril del año dos mil, del cual se deja visible, el nombre de particulares, </w:t>
      </w:r>
      <w:r>
        <w:rPr>
          <w:rFonts w:ascii="Palatino Linotype" w:eastAsia="Palatino Linotype" w:hAnsi="Palatino Linotype" w:cs="Palatino Linotype"/>
          <w:sz w:val="24"/>
          <w:szCs w:val="24"/>
        </w:rPr>
        <w:t>dato que debió protegerse ya que es considerado como confidencial</w:t>
      </w:r>
      <w:r>
        <w:rPr>
          <w:rFonts w:ascii="Palatino Linotype" w:eastAsia="Palatino Linotype" w:hAnsi="Palatino Linotype" w:cs="Palatino Linotype"/>
          <w:color w:val="000000"/>
          <w:sz w:val="24"/>
          <w:szCs w:val="24"/>
        </w:rPr>
        <w:t>,</w:t>
      </w:r>
      <w:r>
        <w:t xml:space="preserve"> </w:t>
      </w:r>
      <w:r>
        <w:rPr>
          <w:rFonts w:ascii="Palatino Linotype" w:eastAsia="Palatino Linotype" w:hAnsi="Palatino Linotype" w:cs="Palatino Linotype"/>
          <w:color w:val="000000"/>
          <w:sz w:val="24"/>
          <w:szCs w:val="24"/>
        </w:rPr>
        <w:t>en virtud de que su difusión afectaría su esfera de privacidad. Por lo anterior, este Organismo Garante considera procedente su clasificación, en términos del numeral 143, fracción I de la de Ley de Transparencia y Acceso a la Información Pública del Estado de México se</w:t>
      </w:r>
      <w:r>
        <w:rPr>
          <w:rFonts w:ascii="Palatino Linotype" w:eastAsia="Palatino Linotype" w:hAnsi="Palatino Linotype" w:cs="Palatino Linotype"/>
          <w:color w:val="000000"/>
          <w:sz w:val="24"/>
          <w:szCs w:val="24"/>
          <w:highlight w:val="red"/>
        </w:rPr>
        <w:t xml:space="preserve"> </w:t>
      </w:r>
      <w:r w:rsidRPr="005B7C70">
        <w:rPr>
          <w:rFonts w:ascii="Palatino Linotype" w:eastAsia="Palatino Linotype" w:hAnsi="Palatino Linotype" w:cs="Palatino Linotype"/>
          <w:color w:val="000000"/>
          <w:sz w:val="24"/>
          <w:szCs w:val="24"/>
        </w:rPr>
        <w:lastRenderedPageBreak/>
        <w:t xml:space="preserve">ordena dar vista al Titular de la </w:t>
      </w:r>
      <w:r w:rsidR="001E49D5" w:rsidRPr="005B7C70">
        <w:rPr>
          <w:rFonts w:ascii="Palatino Linotype" w:eastAsia="Palatino Linotype" w:hAnsi="Palatino Linotype" w:cs="Palatino Linotype"/>
          <w:color w:val="000000"/>
          <w:sz w:val="24"/>
          <w:szCs w:val="24"/>
        </w:rPr>
        <w:t>Dirección de Datos Personales de este Órgano, con fundamento en el artículo 82 fracción XXVII de la Ley de Protección de Datos Personales del Estado de México, para que en ejercicio de sus atribuciones contenidas en el numeral 24 fracciones V, XI, XII Y XIII del Reglamento Interior del Instituto de Transparencia, Acceso a la Información Pública y Protección de Datos Personales del Estado de México y Municipios</w:t>
      </w:r>
      <w:r w:rsidRPr="005B7C70">
        <w:rPr>
          <w:rFonts w:ascii="Palatino Linotype" w:eastAsia="Palatino Linotype" w:hAnsi="Palatino Linotype" w:cs="Palatino Linotype"/>
          <w:sz w:val="24"/>
          <w:szCs w:val="24"/>
        </w:rPr>
        <w:t xml:space="preserve">, a efecto de que investigue y sanciones las posibles omisiones en las que el </w:t>
      </w:r>
      <w:r w:rsidRPr="005B7C70">
        <w:rPr>
          <w:rFonts w:ascii="Palatino Linotype" w:eastAsia="Palatino Linotype" w:hAnsi="Palatino Linotype" w:cs="Palatino Linotype"/>
          <w:b/>
          <w:sz w:val="24"/>
          <w:szCs w:val="24"/>
        </w:rPr>
        <w:t>SUJETO OBLIGADO</w:t>
      </w:r>
      <w:r w:rsidRPr="005B7C70">
        <w:rPr>
          <w:rFonts w:ascii="Palatino Linotype" w:eastAsia="Palatino Linotype" w:hAnsi="Palatino Linotype" w:cs="Palatino Linotype"/>
          <w:sz w:val="24"/>
          <w:szCs w:val="24"/>
        </w:rPr>
        <w:t xml:space="preserve"> pudo haber incurrido por el incumplimiento a las obligaciones previstas </w:t>
      </w:r>
      <w:r w:rsidR="005B7C70" w:rsidRPr="005B7C70">
        <w:rPr>
          <w:rFonts w:ascii="Palatino Linotype" w:eastAsia="Palatino Linotype" w:hAnsi="Palatino Linotype" w:cs="Palatino Linotype"/>
          <w:sz w:val="24"/>
          <w:szCs w:val="24"/>
        </w:rPr>
        <w:t>e</w:t>
      </w:r>
      <w:r w:rsidR="005B7C70" w:rsidRPr="005B7C70">
        <w:rPr>
          <w:rFonts w:ascii="Palatino Linotype" w:hAnsi="Palatino Linotype"/>
          <w:sz w:val="24"/>
          <w:szCs w:val="24"/>
        </w:rPr>
        <w:t xml:space="preserv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R="005B7C70" w:rsidRPr="005B7C70">
        <w:rPr>
          <w:rFonts w:ascii="Palatino Linotype" w:hAnsi="Palatino Linotype"/>
          <w:b/>
          <w:sz w:val="24"/>
          <w:szCs w:val="24"/>
        </w:rPr>
        <w:t>SUJETO OBLIGADO</w:t>
      </w:r>
      <w:r w:rsidR="005B7C70" w:rsidRPr="005B7C70">
        <w:rPr>
          <w:rFonts w:ascii="Palatino Linotype" w:hAnsi="Palatino Linotype"/>
          <w:sz w:val="24"/>
          <w:szCs w:val="24"/>
        </w:rPr>
        <w:t xml:space="preserve"> para que este determine lo que conforme derecho corresponda, cuyo resultado deberá ser informado a este Instituto.</w:t>
      </w:r>
    </w:p>
    <w:p w14:paraId="294D4BEF" w14:textId="40BF3A03" w:rsidR="00E11AE7" w:rsidRDefault="00520C11" w:rsidP="005B7C70">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8"/>
          <w:szCs w:val="28"/>
        </w:rPr>
        <w:t>Quinto. Versión Pública</w:t>
      </w:r>
      <w:r>
        <w:rPr>
          <w:rFonts w:ascii="Palatino Linotype" w:eastAsia="Palatino Linotype" w:hAnsi="Palatino Linotype" w:cs="Palatino Linotype"/>
          <w:b/>
          <w:sz w:val="32"/>
          <w:szCs w:val="32"/>
        </w:rPr>
        <w:t>.</w:t>
      </w:r>
      <w:r>
        <w:rPr>
          <w:rFonts w:ascii="Palatino Linotype" w:eastAsia="Palatino Linotype" w:hAnsi="Palatino Linotype" w:cs="Palatino Linotype"/>
          <w:b/>
        </w:rPr>
        <w:t xml:space="preserve"> </w:t>
      </w:r>
      <w:r>
        <w:rPr>
          <w:rFonts w:ascii="Palatino Linotype" w:eastAsia="Palatino Linotype" w:hAnsi="Palatino Linotype" w:cs="Palatino Linotype"/>
          <w:sz w:val="24"/>
          <w:szCs w:val="24"/>
        </w:rPr>
        <w:t>Cómo</w:t>
      </w:r>
      <w:r>
        <w:rPr>
          <w:rFonts w:ascii="Palatino Linotype" w:eastAsia="Palatino Linotype" w:hAnsi="Palatino Linotype" w:cs="Palatino Linotype"/>
          <w:color w:val="000000"/>
          <w:sz w:val="24"/>
          <w:szCs w:val="24"/>
        </w:rPr>
        <w:t xml:space="preserve"> fue debidamente apuntado,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elaborar la versión pública, atento a lo siguiente:</w:t>
      </w:r>
    </w:p>
    <w:p w14:paraId="1566C673" w14:textId="77777777" w:rsidR="00E11AE7" w:rsidRDefault="00520C11">
      <w:pPr>
        <w:spacing w:before="240" w:after="240" w:line="360" w:lineRule="auto"/>
        <w:ind w:right="49"/>
        <w:jc w:val="both"/>
        <w:rPr>
          <w:sz w:val="24"/>
          <w:szCs w:val="24"/>
        </w:rPr>
      </w:pPr>
      <w:r>
        <w:rPr>
          <w:rFonts w:ascii="Palatino Linotype" w:eastAsia="Palatino Linotype" w:hAnsi="Palatino Linotype" w:cs="Palatino Linotype"/>
          <w:color w:val="000000"/>
          <w:sz w:val="24"/>
          <w:szCs w:val="24"/>
        </w:rPr>
        <w:t xml:space="preserve">El derecho de acceso a la información pública tiene como limitante el respeto a la intimidad y a la vida privada de las personas, es por ello que este Instituto debe </w:t>
      </w:r>
      <w:r>
        <w:rPr>
          <w:rFonts w:ascii="Palatino Linotype" w:eastAsia="Palatino Linotype" w:hAnsi="Palatino Linotype" w:cs="Palatino Linotype"/>
          <w:color w:val="000000"/>
          <w:sz w:val="24"/>
          <w:szCs w:val="24"/>
        </w:rPr>
        <w:lastRenderedPageBreak/>
        <w:t>cuidar que los datos personales que obren en poder de los Sujetos Obligados sean protegidos y únicamente se den a conocer aquéllos que garanticen la rendición de cuentas y la transparencia en el ejercicio de las atribuciones que tienen conferidas.</w:t>
      </w:r>
    </w:p>
    <w:p w14:paraId="22D7ED37" w14:textId="77777777" w:rsidR="00E11AE7" w:rsidRDefault="00520C11">
      <w:pPr>
        <w:spacing w:before="240" w:after="240" w:line="360" w:lineRule="auto"/>
        <w:ind w:right="49"/>
        <w:jc w:val="both"/>
        <w:rPr>
          <w:sz w:val="24"/>
          <w:szCs w:val="24"/>
        </w:rPr>
      </w:pPr>
      <w:r>
        <w:rPr>
          <w:rFonts w:ascii="Palatino Linotype" w:eastAsia="Palatino Linotype" w:hAnsi="Palatino Linotype" w:cs="Palatino Linotype"/>
          <w:color w:val="000000"/>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0B41CBD" w14:textId="77777777" w:rsidR="00E11AE7" w:rsidRDefault="00520C11">
      <w:pPr>
        <w:spacing w:before="240" w:after="240" w:line="360" w:lineRule="auto"/>
        <w:ind w:right="49"/>
        <w:jc w:val="both"/>
        <w:rPr>
          <w:sz w:val="24"/>
          <w:szCs w:val="24"/>
        </w:rPr>
      </w:pPr>
      <w:r>
        <w:rPr>
          <w:rFonts w:ascii="Palatino Linotype" w:eastAsia="Palatino Linotype" w:hAnsi="Palatino Linotype" w:cs="Palatino Linotype"/>
          <w:color w:val="000000"/>
          <w:sz w:val="24"/>
          <w:szCs w:val="24"/>
        </w:rPr>
        <w:t>Al respecto, los artículos 3, fracciones IX, XX, XXI, XXXII, XLV; 6, 91, 137, 143 fracción I, de la Ley de Transparencia y Acceso a la Información Pública del Estado de México y Municipios vigente establecen:</w:t>
      </w:r>
    </w:p>
    <w:p w14:paraId="28BF5C9F" w14:textId="77777777" w:rsidR="00E11AE7" w:rsidRDefault="00520C11">
      <w:pPr>
        <w:spacing w:before="120" w:after="120"/>
        <w:ind w:left="567" w:right="902"/>
        <w:jc w:val="both"/>
      </w:pPr>
      <w:r>
        <w:rPr>
          <w:rFonts w:ascii="Palatino Linotype" w:eastAsia="Palatino Linotype" w:hAnsi="Palatino Linotype" w:cs="Palatino Linotype"/>
          <w:color w:val="000000"/>
        </w:rPr>
        <w:t> </w:t>
      </w: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3.</w:t>
      </w:r>
      <w:r>
        <w:rPr>
          <w:rFonts w:ascii="Palatino Linotype" w:eastAsia="Palatino Linotype" w:hAnsi="Palatino Linotype" w:cs="Palatino Linotype"/>
          <w:i/>
          <w:color w:val="000000"/>
        </w:rPr>
        <w:t xml:space="preserve"> Para los efectos de la presente Ley se entenderá por:</w:t>
      </w:r>
    </w:p>
    <w:p w14:paraId="5051110F" w14:textId="77777777" w:rsidR="00E11AE7" w:rsidRDefault="00520C11">
      <w:pPr>
        <w:spacing w:before="120" w:after="120"/>
        <w:ind w:left="567" w:right="902"/>
        <w:jc w:val="both"/>
      </w:pPr>
      <w:r>
        <w:rPr>
          <w:rFonts w:ascii="Palatino Linotype" w:eastAsia="Palatino Linotype" w:hAnsi="Palatino Linotype" w:cs="Palatino Linotype"/>
          <w:i/>
          <w:color w:val="000000"/>
        </w:rPr>
        <w:t>(…)</w:t>
      </w:r>
    </w:p>
    <w:p w14:paraId="5108495C" w14:textId="77777777" w:rsidR="00E11AE7" w:rsidRDefault="00520C11">
      <w:pPr>
        <w:spacing w:before="120" w:after="120"/>
        <w:ind w:left="567" w:right="902"/>
        <w:jc w:val="both"/>
      </w:pPr>
      <w:r>
        <w:rPr>
          <w:rFonts w:ascii="Palatino Linotype" w:eastAsia="Palatino Linotype" w:hAnsi="Palatino Linotype" w:cs="Palatino Linotype"/>
          <w:b/>
          <w:i/>
          <w:color w:val="000000"/>
        </w:rPr>
        <w:t>IX. Datos personales</w:t>
      </w:r>
      <w:r>
        <w:rPr>
          <w:rFonts w:ascii="Palatino Linotype" w:eastAsia="Palatino Linotype" w:hAnsi="Palatino Linotype" w:cs="Palatino Linotype"/>
          <w:i/>
          <w:color w:val="000000"/>
        </w:rPr>
        <w:t>: La información concerniente a una persona, identificada o identificable según lo dispuesto por la Ley de Protección de Datos Personales del Estado de México;</w:t>
      </w:r>
    </w:p>
    <w:p w14:paraId="45F33141" w14:textId="77777777" w:rsidR="00E11AE7" w:rsidRDefault="00520C11">
      <w:pPr>
        <w:spacing w:before="120" w:after="120"/>
        <w:ind w:left="567" w:right="902"/>
        <w:jc w:val="both"/>
      </w:pPr>
      <w:r>
        <w:rPr>
          <w:rFonts w:ascii="Palatino Linotype" w:eastAsia="Palatino Linotype" w:hAnsi="Palatino Linotype" w:cs="Palatino Linotype"/>
          <w:i/>
          <w:color w:val="000000"/>
        </w:rPr>
        <w:t>(…)</w:t>
      </w:r>
    </w:p>
    <w:p w14:paraId="1DB5547F" w14:textId="77777777" w:rsidR="00E11AE7" w:rsidRDefault="00520C11">
      <w:pPr>
        <w:spacing w:before="120" w:after="120"/>
        <w:ind w:left="567" w:right="902"/>
        <w:jc w:val="both"/>
      </w:pPr>
      <w:r>
        <w:rPr>
          <w:rFonts w:ascii="Palatino Linotype" w:eastAsia="Palatino Linotype" w:hAnsi="Palatino Linotype" w:cs="Palatino Linotype"/>
          <w:b/>
          <w:i/>
          <w:color w:val="000000"/>
        </w:rPr>
        <w:t>XX. Información clasificada</w:t>
      </w:r>
      <w:r>
        <w:rPr>
          <w:rFonts w:ascii="Palatino Linotype" w:eastAsia="Palatino Linotype" w:hAnsi="Palatino Linotype" w:cs="Palatino Linotype"/>
          <w:i/>
          <w:color w:val="000000"/>
        </w:rPr>
        <w:t>: Aquella considerada por la presente Ley como reservada o confidencial;</w:t>
      </w:r>
    </w:p>
    <w:p w14:paraId="5077435C" w14:textId="77777777" w:rsidR="00E11AE7" w:rsidRDefault="00520C11">
      <w:pPr>
        <w:spacing w:before="120" w:after="120"/>
        <w:ind w:left="567" w:right="902"/>
        <w:jc w:val="both"/>
      </w:pPr>
      <w:r>
        <w:rPr>
          <w:rFonts w:ascii="Palatino Linotype" w:eastAsia="Palatino Linotype" w:hAnsi="Palatino Linotype" w:cs="Palatino Linotype"/>
          <w:b/>
          <w:i/>
          <w:color w:val="000000"/>
        </w:rPr>
        <w:t>XXI. Información confidencial</w:t>
      </w:r>
      <w:r>
        <w:rPr>
          <w:rFonts w:ascii="Palatino Linotype" w:eastAsia="Palatino Linotype" w:hAnsi="Palatino Linotype" w:cs="Palatino Linotype"/>
          <w:i/>
          <w:color w:val="000000"/>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A5FF53F" w14:textId="77777777" w:rsidR="00E11AE7" w:rsidRDefault="00520C11">
      <w:pPr>
        <w:spacing w:before="120" w:after="120"/>
        <w:ind w:left="567" w:right="902"/>
        <w:jc w:val="both"/>
      </w:pPr>
      <w:r>
        <w:rPr>
          <w:rFonts w:ascii="Palatino Linotype" w:eastAsia="Palatino Linotype" w:hAnsi="Palatino Linotype" w:cs="Palatino Linotype"/>
          <w:i/>
          <w:color w:val="000000"/>
        </w:rPr>
        <w:t>(…)</w:t>
      </w:r>
    </w:p>
    <w:p w14:paraId="1E5016AE" w14:textId="77777777" w:rsidR="00E11AE7" w:rsidRDefault="00520C11">
      <w:pPr>
        <w:spacing w:before="120" w:after="120"/>
        <w:ind w:left="567" w:right="902"/>
        <w:jc w:val="both"/>
      </w:pPr>
      <w:r>
        <w:rPr>
          <w:rFonts w:ascii="Palatino Linotype" w:eastAsia="Palatino Linotype" w:hAnsi="Palatino Linotype" w:cs="Palatino Linotype"/>
          <w:b/>
          <w:i/>
          <w:color w:val="000000"/>
        </w:rPr>
        <w:lastRenderedPageBreak/>
        <w:t>XXXII. Protección de Datos Personales</w:t>
      </w:r>
      <w:r>
        <w:rPr>
          <w:rFonts w:ascii="Palatino Linotype" w:eastAsia="Palatino Linotype" w:hAnsi="Palatino Linotype" w:cs="Palatino Linotype"/>
          <w:i/>
          <w:color w:val="000000"/>
        </w:rPr>
        <w:t>: Derecho humano que tutela la privacidad de datos personales en poder de los sujetos obligados y sujetos particulares;</w:t>
      </w:r>
    </w:p>
    <w:p w14:paraId="0182CBCF" w14:textId="77777777" w:rsidR="00E11AE7" w:rsidRDefault="00520C11">
      <w:pPr>
        <w:spacing w:before="120" w:after="120"/>
        <w:ind w:left="567" w:right="902"/>
        <w:jc w:val="both"/>
      </w:pPr>
      <w:r>
        <w:rPr>
          <w:rFonts w:ascii="Palatino Linotype" w:eastAsia="Palatino Linotype" w:hAnsi="Palatino Linotype" w:cs="Palatino Linotype"/>
          <w:i/>
          <w:color w:val="000000"/>
        </w:rPr>
        <w:t>(…)</w:t>
      </w:r>
    </w:p>
    <w:p w14:paraId="11D17954" w14:textId="77777777" w:rsidR="00E11AE7" w:rsidRDefault="00520C11">
      <w:pPr>
        <w:spacing w:before="120" w:after="120"/>
        <w:ind w:left="567" w:right="902"/>
        <w:jc w:val="both"/>
      </w:pPr>
      <w:r>
        <w:rPr>
          <w:rFonts w:ascii="Palatino Linotype" w:eastAsia="Palatino Linotype" w:hAnsi="Palatino Linotype" w:cs="Palatino Linotype"/>
          <w:b/>
          <w:i/>
          <w:color w:val="000000"/>
        </w:rPr>
        <w:t>XLV. Versión pública</w:t>
      </w:r>
      <w:r>
        <w:rPr>
          <w:rFonts w:ascii="Palatino Linotype" w:eastAsia="Palatino Linotype" w:hAnsi="Palatino Linotype" w:cs="Palatino Linotype"/>
          <w:i/>
          <w:color w:val="000000"/>
        </w:rPr>
        <w:t>: Documento en el que se elimine, suprime o borra la información clasificada como reservada o confidencial para permitir su acceso.</w:t>
      </w:r>
    </w:p>
    <w:p w14:paraId="2C2836AD" w14:textId="77777777" w:rsidR="00E11AE7" w:rsidRDefault="00520C11">
      <w:pPr>
        <w:spacing w:before="120" w:after="120"/>
        <w:ind w:left="567" w:right="902"/>
        <w:jc w:val="both"/>
      </w:pPr>
      <w:r>
        <w:rPr>
          <w:rFonts w:ascii="Palatino Linotype" w:eastAsia="Palatino Linotype" w:hAnsi="Palatino Linotype" w:cs="Palatino Linotype"/>
          <w:b/>
          <w:i/>
          <w:color w:val="000000"/>
        </w:rPr>
        <w:t> Artículo 6</w:t>
      </w:r>
      <w:r>
        <w:rPr>
          <w:rFonts w:ascii="Palatino Linotype" w:eastAsia="Palatino Linotype" w:hAnsi="Palatino Linotype" w:cs="Palatino Linotype"/>
          <w:i/>
          <w:color w:val="000000"/>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DC661CE" w14:textId="77777777" w:rsidR="00E11AE7" w:rsidRDefault="00520C11">
      <w:pPr>
        <w:spacing w:before="120" w:after="120"/>
        <w:ind w:left="567" w:right="902"/>
        <w:jc w:val="both"/>
      </w:pPr>
      <w:r>
        <w:rPr>
          <w:rFonts w:ascii="Palatino Linotype" w:eastAsia="Palatino Linotype" w:hAnsi="Palatino Linotype" w:cs="Palatino Linotype"/>
          <w:i/>
          <w:color w:val="000000"/>
        </w:rPr>
        <w:t> (…)</w:t>
      </w:r>
    </w:p>
    <w:p w14:paraId="5EA2DA96" w14:textId="77777777" w:rsidR="00E11AE7" w:rsidRDefault="00520C11">
      <w:pPr>
        <w:spacing w:before="120" w:after="120"/>
        <w:ind w:left="567" w:right="902"/>
        <w:jc w:val="both"/>
      </w:pPr>
      <w:r>
        <w:rPr>
          <w:rFonts w:ascii="Palatino Linotype" w:eastAsia="Palatino Linotype" w:hAnsi="Palatino Linotype" w:cs="Palatino Linotype"/>
          <w:b/>
          <w:i/>
          <w:color w:val="000000"/>
        </w:rPr>
        <w:t>Artículo 91.</w:t>
      </w:r>
      <w:r>
        <w:rPr>
          <w:rFonts w:ascii="Palatino Linotype" w:eastAsia="Palatino Linotype" w:hAnsi="Palatino Linotype" w:cs="Palatino Linotype"/>
          <w:i/>
          <w:color w:val="000000"/>
        </w:rPr>
        <w:t xml:space="preserve"> El acceso a la información pública será restringido excepcionalmente, cuando ésta sea clasificada como reservada o confidencial.</w:t>
      </w:r>
      <w:r>
        <w:rPr>
          <w:rFonts w:ascii="Palatino Linotype" w:eastAsia="Palatino Linotype" w:hAnsi="Palatino Linotype" w:cs="Palatino Linotype"/>
          <w:i/>
          <w:color w:val="000000"/>
        </w:rPr>
        <w:br/>
        <w:t>(…)</w:t>
      </w:r>
    </w:p>
    <w:p w14:paraId="28A89E46" w14:textId="77777777" w:rsidR="00E11AE7" w:rsidRDefault="00520C11">
      <w:pPr>
        <w:spacing w:before="120" w:after="120"/>
        <w:ind w:left="567" w:right="902"/>
        <w:jc w:val="both"/>
      </w:pPr>
      <w:r>
        <w:rPr>
          <w:rFonts w:ascii="Palatino Linotype" w:eastAsia="Palatino Linotype" w:hAnsi="Palatino Linotype" w:cs="Palatino Linotype"/>
          <w:b/>
          <w:i/>
          <w:color w:val="000000"/>
        </w:rPr>
        <w:t>Artículo 137.</w:t>
      </w:r>
      <w:r>
        <w:rPr>
          <w:rFonts w:ascii="Palatino Linotype" w:eastAsia="Palatino Linotype" w:hAnsi="Palatino Linotype" w:cs="Palatino Linotype"/>
          <w:i/>
          <w:color w:val="00000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7CCA344" w14:textId="77777777" w:rsidR="00E11AE7" w:rsidRDefault="00520C11">
      <w:pPr>
        <w:spacing w:before="120" w:after="120"/>
        <w:ind w:left="567" w:right="902"/>
        <w:jc w:val="both"/>
      </w:pPr>
      <w:r>
        <w:rPr>
          <w:rFonts w:ascii="Palatino Linotype" w:eastAsia="Palatino Linotype" w:hAnsi="Palatino Linotype" w:cs="Palatino Linotype"/>
          <w:b/>
          <w:i/>
          <w:color w:val="000000"/>
        </w:rPr>
        <w:t> Artículo 143.</w:t>
      </w:r>
      <w:r>
        <w:rPr>
          <w:rFonts w:ascii="Palatino Linotype" w:eastAsia="Palatino Linotype" w:hAnsi="Palatino Linotype" w:cs="Palatino Linotype"/>
          <w:i/>
          <w:color w:val="000000"/>
        </w:rPr>
        <w:t xml:space="preserve"> Para los efectos de esta Ley se considera información confidencial, la clasificada como tal, de manera permanente, por su naturaleza, cuando:</w:t>
      </w:r>
    </w:p>
    <w:p w14:paraId="30A05E9E" w14:textId="77777777" w:rsidR="00E11AE7" w:rsidRDefault="00520C11">
      <w:pPr>
        <w:spacing w:before="120" w:after="120"/>
        <w:ind w:left="567" w:right="902"/>
        <w:jc w:val="both"/>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Se refiera a la información privada y los datos personales concernientes a una persona física o jurídico colectiva identificada o identificable...”</w:t>
      </w:r>
    </w:p>
    <w:p w14:paraId="135A90FE" w14:textId="77777777" w:rsidR="00E11AE7" w:rsidRDefault="00520C11">
      <w:pPr>
        <w:spacing w:before="240" w:after="240" w:line="360" w:lineRule="auto"/>
        <w:ind w:right="50"/>
        <w:jc w:val="both"/>
        <w:rPr>
          <w:sz w:val="24"/>
          <w:szCs w:val="24"/>
        </w:rPr>
      </w:pPr>
      <w:r>
        <w:rPr>
          <w:rFonts w:ascii="Palatino Linotype" w:eastAsia="Palatino Linotype" w:hAnsi="Palatino Linotype" w:cs="Palatino Linotype"/>
          <w:color w:val="000000"/>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color w:val="000000"/>
          <w:sz w:val="24"/>
          <w:szCs w:val="24"/>
        </w:rPr>
        <w:lastRenderedPageBreak/>
        <w:t>SUJETO OBLIGADO</w:t>
      </w:r>
      <w:r>
        <w:rPr>
          <w:rFonts w:ascii="Palatino Linotype" w:eastAsia="Palatino Linotype" w:hAnsi="Palatino Linotype" w:cs="Palatino Linotype"/>
          <w:color w:val="000000"/>
          <w:sz w:val="24"/>
          <w:szCs w:val="24"/>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4791F97" w14:textId="77777777" w:rsidR="00E11AE7" w:rsidRDefault="00520C11">
      <w:pPr>
        <w:spacing w:before="240" w:after="240" w:line="360" w:lineRule="auto"/>
        <w:ind w:right="50"/>
        <w:jc w:val="both"/>
        <w:rPr>
          <w:sz w:val="24"/>
          <w:szCs w:val="24"/>
        </w:rPr>
      </w:pPr>
      <w:r>
        <w:rPr>
          <w:rFonts w:ascii="Palatino Linotype" w:eastAsia="Palatino Linotype" w:hAnsi="Palatino Linotype" w:cs="Palatino Linotype"/>
          <w:color w:val="000000"/>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5BDA9FE" w14:textId="77777777" w:rsidR="00E11AE7" w:rsidRDefault="00520C11">
      <w:pPr>
        <w:spacing w:before="240" w:after="240" w:line="360" w:lineRule="auto"/>
        <w:jc w:val="both"/>
        <w:rPr>
          <w:sz w:val="24"/>
          <w:szCs w:val="24"/>
        </w:rPr>
      </w:pPr>
      <w:r>
        <w:rPr>
          <w:rFonts w:ascii="Palatino Linotype" w:eastAsia="Palatino Linotype" w:hAnsi="Palatino Linotype" w:cs="Palatino Linotype"/>
          <w:color w:val="000000"/>
          <w:sz w:val="24"/>
          <w:szCs w:val="24"/>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14:paraId="582F2959" w14:textId="77777777" w:rsidR="00E11AE7" w:rsidRDefault="00520C11">
      <w:pPr>
        <w:spacing w:before="240" w:after="240" w:line="360" w:lineRule="auto"/>
        <w:ind w:right="50"/>
        <w:jc w:val="both"/>
        <w:rPr>
          <w:sz w:val="24"/>
          <w:szCs w:val="24"/>
        </w:rPr>
      </w:pPr>
      <w:r>
        <w:rPr>
          <w:rFonts w:ascii="Palatino Linotype" w:eastAsia="Palatino Linotype" w:hAnsi="Palatino Linotype" w:cs="Palatino Linotype"/>
          <w:color w:val="000000"/>
          <w:sz w:val="24"/>
          <w:szCs w:val="24"/>
        </w:rPr>
        <w:t xml:space="preserve">Asimismo, es de señalar que la clasificación de la información no opera con la simple supresión de datos que se haga en los documentos de que se trate o con la simple decisión que tome el Servidor Público Habilitado o el Responsable de la </w:t>
      </w:r>
      <w:r>
        <w:rPr>
          <w:rFonts w:ascii="Palatino Linotype" w:eastAsia="Palatino Linotype" w:hAnsi="Palatino Linotype" w:cs="Palatino Linotype"/>
          <w:color w:val="000000"/>
          <w:sz w:val="24"/>
          <w:szCs w:val="24"/>
        </w:rPr>
        <w:lastRenderedPageBreak/>
        <w:t>Unidad de Transparencia del Sujeto Obligado, sino que ello deberá realizarse en términos de lo que disponen los artículos 49 fracción VIII, 53, fracción X y 59, fracción V, de la Ley en consulta, cuyo sentido literal es el siguiente:</w:t>
      </w:r>
    </w:p>
    <w:p w14:paraId="24521E64" w14:textId="77777777" w:rsidR="00E11AE7" w:rsidRDefault="00520C11">
      <w:pPr>
        <w:spacing w:before="120" w:after="120"/>
        <w:ind w:left="709" w:right="900"/>
        <w:jc w:val="both"/>
      </w:pPr>
      <w:r>
        <w:rPr>
          <w:rFonts w:ascii="Palatino Linotype" w:eastAsia="Palatino Linotype" w:hAnsi="Palatino Linotype" w:cs="Palatino Linotype"/>
          <w:b/>
          <w:i/>
          <w:color w:val="000000"/>
        </w:rPr>
        <w:t>“Artículo 49.</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Los Comités de Transparencia</w:t>
      </w:r>
      <w:r>
        <w:rPr>
          <w:rFonts w:ascii="Palatino Linotype" w:eastAsia="Palatino Linotype" w:hAnsi="Palatino Linotype" w:cs="Palatino Linotype"/>
          <w:i/>
          <w:color w:val="000000"/>
        </w:rPr>
        <w:t xml:space="preserve"> tendrán las siguientes atribuciones:</w:t>
      </w:r>
    </w:p>
    <w:p w14:paraId="7D649ABF" w14:textId="77777777" w:rsidR="00E11AE7" w:rsidRDefault="00520C11">
      <w:pPr>
        <w:spacing w:before="120" w:after="120"/>
        <w:ind w:left="709" w:right="900"/>
        <w:jc w:val="both"/>
      </w:pPr>
      <w:r>
        <w:rPr>
          <w:rFonts w:ascii="Palatino Linotype" w:eastAsia="Palatino Linotype" w:hAnsi="Palatino Linotype" w:cs="Palatino Linotype"/>
          <w:b/>
          <w:i/>
          <w:color w:val="000000"/>
        </w:rPr>
        <w:t>VIII. Aprobar, modificar o revocar la clasificación de la información</w:t>
      </w:r>
      <w:r>
        <w:rPr>
          <w:rFonts w:ascii="Palatino Linotype" w:eastAsia="Palatino Linotype" w:hAnsi="Palatino Linotype" w:cs="Palatino Linotype"/>
          <w:i/>
          <w:color w:val="000000"/>
        </w:rPr>
        <w:t>…”</w:t>
      </w:r>
    </w:p>
    <w:p w14:paraId="179188FA" w14:textId="77777777" w:rsidR="00E11AE7" w:rsidRDefault="00520C11">
      <w:pPr>
        <w:spacing w:before="120" w:after="120"/>
        <w:ind w:left="709" w:right="900"/>
        <w:jc w:val="both"/>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53.</w:t>
      </w:r>
      <w:r>
        <w:rPr>
          <w:rFonts w:ascii="Palatino Linotype" w:eastAsia="Palatino Linotype" w:hAnsi="Palatino Linotype" w:cs="Palatino Linotype"/>
          <w:i/>
          <w:color w:val="000000"/>
        </w:rPr>
        <w:t xml:space="preserve"> Las </w:t>
      </w:r>
      <w:r>
        <w:rPr>
          <w:rFonts w:ascii="Palatino Linotype" w:eastAsia="Palatino Linotype" w:hAnsi="Palatino Linotype" w:cs="Palatino Linotype"/>
          <w:b/>
          <w:i/>
          <w:color w:val="000000"/>
        </w:rPr>
        <w:t>Unidades de Transparencia</w:t>
      </w:r>
      <w:r>
        <w:rPr>
          <w:rFonts w:ascii="Palatino Linotype" w:eastAsia="Palatino Linotype" w:hAnsi="Palatino Linotype" w:cs="Palatino Linotype"/>
          <w:i/>
          <w:color w:val="000000"/>
        </w:rPr>
        <w:t xml:space="preserve"> tendrán las siguientes </w:t>
      </w:r>
      <w:r>
        <w:rPr>
          <w:rFonts w:ascii="Palatino Linotype" w:eastAsia="Palatino Linotype" w:hAnsi="Palatino Linotype" w:cs="Palatino Linotype"/>
          <w:b/>
          <w:i/>
          <w:color w:val="000000"/>
        </w:rPr>
        <w:t>funciones</w:t>
      </w:r>
      <w:r>
        <w:rPr>
          <w:rFonts w:ascii="Palatino Linotype" w:eastAsia="Palatino Linotype" w:hAnsi="Palatino Linotype" w:cs="Palatino Linotype"/>
          <w:i/>
          <w:color w:val="000000"/>
        </w:rPr>
        <w:t>:</w:t>
      </w:r>
    </w:p>
    <w:p w14:paraId="45408E66" w14:textId="77777777" w:rsidR="00E11AE7" w:rsidRDefault="00520C11">
      <w:pPr>
        <w:spacing w:before="120" w:after="120"/>
        <w:ind w:left="709" w:right="900"/>
        <w:jc w:val="both"/>
      </w:pPr>
      <w:r>
        <w:rPr>
          <w:rFonts w:ascii="Palatino Linotype" w:eastAsia="Palatino Linotype" w:hAnsi="Palatino Linotype" w:cs="Palatino Linotype"/>
          <w:b/>
          <w:i/>
          <w:color w:val="000000"/>
        </w:rPr>
        <w:t>X. Presentar ante el Comité, el proyecto de clasificación de información</w:t>
      </w:r>
      <w:r>
        <w:rPr>
          <w:rFonts w:ascii="Palatino Linotype" w:eastAsia="Palatino Linotype" w:hAnsi="Palatino Linotype" w:cs="Palatino Linotype"/>
          <w:i/>
          <w:color w:val="000000"/>
        </w:rPr>
        <w:t>…” </w:t>
      </w:r>
    </w:p>
    <w:p w14:paraId="58A3C601" w14:textId="77777777" w:rsidR="00E11AE7" w:rsidRDefault="00520C11">
      <w:pPr>
        <w:spacing w:before="120" w:after="120"/>
        <w:ind w:left="709" w:right="900"/>
        <w:jc w:val="both"/>
      </w:pPr>
      <w:r>
        <w:rPr>
          <w:rFonts w:ascii="Palatino Linotype" w:eastAsia="Palatino Linotype" w:hAnsi="Palatino Linotype" w:cs="Palatino Linotype"/>
          <w:b/>
          <w:i/>
          <w:color w:val="000000"/>
        </w:rPr>
        <w:t>“Artículo 59.</w:t>
      </w:r>
      <w:r>
        <w:rPr>
          <w:rFonts w:ascii="Palatino Linotype" w:eastAsia="Palatino Linotype" w:hAnsi="Palatino Linotype" w:cs="Palatino Linotype"/>
          <w:i/>
          <w:color w:val="000000"/>
        </w:rPr>
        <w:t xml:space="preserve"> Los </w:t>
      </w:r>
      <w:r>
        <w:rPr>
          <w:rFonts w:ascii="Palatino Linotype" w:eastAsia="Palatino Linotype" w:hAnsi="Palatino Linotype" w:cs="Palatino Linotype"/>
          <w:b/>
          <w:i/>
          <w:color w:val="000000"/>
        </w:rPr>
        <w:t>servidores públicos habilitados</w:t>
      </w:r>
      <w:r>
        <w:rPr>
          <w:rFonts w:ascii="Palatino Linotype" w:eastAsia="Palatino Linotype" w:hAnsi="Palatino Linotype" w:cs="Palatino Linotype"/>
          <w:i/>
          <w:color w:val="000000"/>
        </w:rPr>
        <w:t xml:space="preserve"> tendrán las </w:t>
      </w:r>
      <w:r>
        <w:rPr>
          <w:rFonts w:ascii="Palatino Linotype" w:eastAsia="Palatino Linotype" w:hAnsi="Palatino Linotype" w:cs="Palatino Linotype"/>
          <w:b/>
          <w:i/>
          <w:color w:val="000000"/>
        </w:rPr>
        <w:t>funciones</w:t>
      </w:r>
      <w:r>
        <w:rPr>
          <w:rFonts w:ascii="Palatino Linotype" w:eastAsia="Palatino Linotype" w:hAnsi="Palatino Linotype" w:cs="Palatino Linotype"/>
          <w:i/>
          <w:color w:val="000000"/>
        </w:rPr>
        <w:t xml:space="preserve"> siguientes:</w:t>
      </w:r>
    </w:p>
    <w:p w14:paraId="1DF0043C" w14:textId="77777777" w:rsidR="00E11AE7" w:rsidRDefault="00520C11">
      <w:pPr>
        <w:spacing w:before="120" w:after="120"/>
        <w:ind w:left="709" w:right="900"/>
        <w:jc w:val="both"/>
      </w:pPr>
      <w:r>
        <w:rPr>
          <w:rFonts w:ascii="Palatino Linotype" w:eastAsia="Palatino Linotype" w:hAnsi="Palatino Linotype" w:cs="Palatino Linotype"/>
          <w:b/>
          <w:i/>
          <w:color w:val="000000"/>
        </w:rPr>
        <w:t>V. Integrar y presentar al responsable de la Unidad de Transparencia la propuesta de clasificación de información</w:t>
      </w:r>
      <w:r>
        <w:rPr>
          <w:rFonts w:ascii="Palatino Linotype" w:eastAsia="Palatino Linotype" w:hAnsi="Palatino Linotype" w:cs="Palatino Linotype"/>
          <w:i/>
          <w:color w:val="000000"/>
        </w:rPr>
        <w:t>, la cual tendrá los fundamentos y argumentos en que se basa dicha propuesta…”</w:t>
      </w:r>
    </w:p>
    <w:p w14:paraId="1BDF2C8B" w14:textId="77777777" w:rsidR="00E11AE7" w:rsidRDefault="00E11AE7"/>
    <w:p w14:paraId="5BBC938E" w14:textId="77777777" w:rsidR="00E11AE7" w:rsidRDefault="00520C11">
      <w:pPr>
        <w:spacing w:after="240" w:line="360" w:lineRule="auto"/>
        <w:jc w:val="both"/>
        <w:rPr>
          <w:sz w:val="24"/>
          <w:szCs w:val="24"/>
        </w:rPr>
      </w:pPr>
      <w:r>
        <w:rPr>
          <w:rFonts w:ascii="Palatino Linotype" w:eastAsia="Palatino Linotype" w:hAnsi="Palatino Linotype" w:cs="Palatino Linotype"/>
          <w:color w:val="000000"/>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C759E3A" w14:textId="77777777" w:rsidR="00E11AE7" w:rsidRDefault="00520C11">
      <w:pPr>
        <w:spacing w:before="240" w:after="240" w:line="360" w:lineRule="auto"/>
        <w:ind w:right="49"/>
        <w:jc w:val="both"/>
        <w:rPr>
          <w:sz w:val="24"/>
          <w:szCs w:val="24"/>
        </w:rPr>
      </w:pPr>
      <w:r>
        <w:rPr>
          <w:rFonts w:ascii="Palatino Linotype" w:eastAsia="Palatino Linotype" w:hAnsi="Palatino Linotype" w:cs="Palatino Linotype"/>
          <w:color w:val="000000"/>
          <w:sz w:val="24"/>
          <w:szCs w:val="24"/>
        </w:rPr>
        <w:lastRenderedPageBreak/>
        <w:t xml:space="preserve">Por último, respecto a la versión pública de los documentos que contenga la información solicitada, cabe señalar que el Comité de Transparencia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774409A2" w14:textId="77777777" w:rsidR="00E11AE7" w:rsidRDefault="00520C11">
      <w:pPr>
        <w:spacing w:before="120" w:after="120"/>
        <w:ind w:left="709" w:right="1134"/>
        <w:jc w:val="both"/>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132.</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La clasificación de la información se llevará a cabo en el momento en que:</w:t>
      </w:r>
    </w:p>
    <w:p w14:paraId="083281B8" w14:textId="77777777" w:rsidR="00E11AE7" w:rsidRDefault="00520C11">
      <w:pPr>
        <w:spacing w:before="120" w:after="120"/>
        <w:ind w:left="709" w:right="1134"/>
        <w:jc w:val="both"/>
      </w:pPr>
      <w:r>
        <w:rPr>
          <w:rFonts w:ascii="Palatino Linotype" w:eastAsia="Palatino Linotype" w:hAnsi="Palatino Linotype" w:cs="Palatino Linotype"/>
          <w:i/>
          <w:color w:val="000000"/>
        </w:rPr>
        <w:t>…</w:t>
      </w:r>
    </w:p>
    <w:p w14:paraId="14A718AF" w14:textId="77777777" w:rsidR="00E11AE7" w:rsidRDefault="00520C11">
      <w:pPr>
        <w:spacing w:before="120" w:after="120"/>
        <w:ind w:left="709" w:right="1134"/>
        <w:jc w:val="both"/>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Se determine mediante resolución de autoridad competente; o</w:t>
      </w:r>
    </w:p>
    <w:p w14:paraId="696AA4D3" w14:textId="77777777" w:rsidR="00E11AE7" w:rsidRDefault="00520C11">
      <w:pPr>
        <w:spacing w:before="120" w:after="120"/>
        <w:ind w:left="709" w:right="1134"/>
        <w:jc w:val="both"/>
      </w:pPr>
      <w:r>
        <w:rPr>
          <w:rFonts w:ascii="Palatino Linotype" w:eastAsia="Palatino Linotype" w:hAnsi="Palatino Linotype" w:cs="Palatino Linotype"/>
          <w:b/>
          <w:i/>
          <w:color w:val="000000"/>
        </w:rPr>
        <w:t>III</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Se generen versiones públicas para dar cumplimiento a las obligaciones de transparencia previstas en esta Ley</w:t>
      </w:r>
      <w:r>
        <w:rPr>
          <w:rFonts w:ascii="Palatino Linotype" w:eastAsia="Palatino Linotype" w:hAnsi="Palatino Linotype" w:cs="Palatino Linotype"/>
          <w:i/>
          <w:color w:val="000000"/>
        </w:rPr>
        <w:t>.”</w:t>
      </w:r>
    </w:p>
    <w:p w14:paraId="3B4215C8" w14:textId="77777777" w:rsidR="00E11AE7" w:rsidRDefault="00520C11">
      <w:pPr>
        <w:spacing w:before="120" w:after="120"/>
        <w:ind w:left="709" w:right="1134"/>
        <w:jc w:val="both"/>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Segundo.-</w:t>
      </w:r>
      <w:r>
        <w:rPr>
          <w:rFonts w:ascii="Palatino Linotype" w:eastAsia="Palatino Linotype" w:hAnsi="Palatino Linotype" w:cs="Palatino Linotype"/>
          <w:i/>
          <w:color w:val="000000"/>
        </w:rPr>
        <w:t xml:space="preserve"> Para efectos de los presentes Lineamientos Generales, se entenderá por:</w:t>
      </w:r>
    </w:p>
    <w:p w14:paraId="714A7F68" w14:textId="77777777" w:rsidR="00E11AE7" w:rsidRDefault="00520C11">
      <w:pPr>
        <w:spacing w:before="120" w:after="120"/>
        <w:ind w:left="709" w:right="1134"/>
        <w:jc w:val="both"/>
      </w:pPr>
      <w:r>
        <w:rPr>
          <w:rFonts w:ascii="Palatino Linotype" w:eastAsia="Palatino Linotype" w:hAnsi="Palatino Linotype" w:cs="Palatino Linotype"/>
          <w:b/>
          <w:i/>
          <w:color w:val="000000"/>
        </w:rPr>
        <w:t>XVIII.</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Versión pública:</w:t>
      </w:r>
      <w:r>
        <w:rPr>
          <w:rFonts w:ascii="Palatino Linotype" w:eastAsia="Palatino Linotype" w:hAnsi="Palatino Linotype" w:cs="Palatino Linotype"/>
          <w:i/>
          <w:color w:val="000000"/>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color w:val="000000"/>
        </w:rPr>
        <w:t>fundando y motivando la</w:t>
      </w:r>
      <w:r>
        <w:rPr>
          <w:rFonts w:ascii="Palatino Linotype" w:eastAsia="Palatino Linotype" w:hAnsi="Palatino Linotype" w:cs="Palatino Linotype"/>
          <w:i/>
          <w:color w:val="000000"/>
        </w:rPr>
        <w:t xml:space="preserve"> reserva o </w:t>
      </w:r>
      <w:r>
        <w:rPr>
          <w:rFonts w:ascii="Palatino Linotype" w:eastAsia="Palatino Linotype" w:hAnsi="Palatino Linotype" w:cs="Palatino Linotype"/>
          <w:b/>
          <w:i/>
          <w:color w:val="000000"/>
        </w:rPr>
        <w:t>confidencialidad</w:t>
      </w:r>
      <w:r>
        <w:rPr>
          <w:rFonts w:ascii="Palatino Linotype" w:eastAsia="Palatino Linotype" w:hAnsi="Palatino Linotype" w:cs="Palatino Linotype"/>
          <w:i/>
          <w:color w:val="000000"/>
        </w:rPr>
        <w:t>, a través de la resolución que para tal efecto emita el Comité de Transparencia.</w:t>
      </w:r>
    </w:p>
    <w:p w14:paraId="5206AC3F" w14:textId="77777777" w:rsidR="00E11AE7" w:rsidRDefault="00520C11">
      <w:pPr>
        <w:spacing w:before="120" w:after="120"/>
        <w:ind w:left="709" w:right="1134"/>
        <w:jc w:val="both"/>
      </w:pPr>
      <w:r>
        <w:rPr>
          <w:rFonts w:ascii="Palatino Linotype" w:eastAsia="Palatino Linotype" w:hAnsi="Palatino Linotype" w:cs="Palatino Linotype"/>
          <w:b/>
          <w:i/>
          <w:color w:val="000000"/>
        </w:rPr>
        <w:t>Cuarto.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Para clasificar la información como</w:t>
      </w:r>
      <w:r>
        <w:rPr>
          <w:rFonts w:ascii="Palatino Linotype" w:eastAsia="Palatino Linotype" w:hAnsi="Palatino Linotype" w:cs="Palatino Linotype"/>
          <w:i/>
          <w:color w:val="000000"/>
        </w:rPr>
        <w:t xml:space="preserve"> reservada o </w:t>
      </w:r>
      <w:r>
        <w:rPr>
          <w:rFonts w:ascii="Palatino Linotype" w:eastAsia="Palatino Linotype" w:hAnsi="Palatino Linotype" w:cs="Palatino Linotype"/>
          <w:b/>
          <w:i/>
          <w:color w:val="000000"/>
        </w:rPr>
        <w:t>confidencial, de manera total o parcial, el titular del área del sujeto obligado deberá atender lo dispuesto por el Título Sexto de la Ley General</w:t>
      </w:r>
      <w:r>
        <w:rPr>
          <w:rFonts w:ascii="Palatino Linotype" w:eastAsia="Palatino Linotype" w:hAnsi="Palatino Linotype" w:cs="Palatino Linotype"/>
          <w:i/>
          <w:color w:val="000000"/>
        </w:rPr>
        <w:t xml:space="preserve">, en relación con las disposiciones contenidas en los presentes lineamientos, así como en aquellas disposiciones legales aplicables a la materia en el ámbito de sus respectivas </w:t>
      </w:r>
      <w:r>
        <w:rPr>
          <w:rFonts w:ascii="Palatino Linotype" w:eastAsia="Palatino Linotype" w:hAnsi="Palatino Linotype" w:cs="Palatino Linotype"/>
          <w:i/>
          <w:color w:val="000000"/>
        </w:rPr>
        <w:lastRenderedPageBreak/>
        <w:t>competencias, en tanto estas últimas no contravengan lo dispuesto en la Ley General.</w:t>
      </w:r>
    </w:p>
    <w:p w14:paraId="650AC347" w14:textId="77777777" w:rsidR="00E11AE7" w:rsidRDefault="00520C11">
      <w:pPr>
        <w:spacing w:before="120" w:after="120"/>
        <w:ind w:left="709" w:right="1134"/>
        <w:jc w:val="both"/>
      </w:pPr>
      <w:r>
        <w:rPr>
          <w:rFonts w:ascii="Palatino Linotype" w:eastAsia="Palatino Linotype" w:hAnsi="Palatino Linotype" w:cs="Palatino Linotype"/>
          <w:i/>
          <w:color w:val="000000"/>
        </w:rPr>
        <w:t>Los sujetos obligados deberán aplicar, de manera estricta, las excepciones al derecho de acceso a la información y sólo podrán invocarlas cuando acrediten su procedencia.</w:t>
      </w:r>
    </w:p>
    <w:p w14:paraId="68F26530" w14:textId="77777777" w:rsidR="00E11AE7" w:rsidRDefault="00520C11">
      <w:pPr>
        <w:spacing w:before="120" w:after="120"/>
        <w:ind w:left="709" w:right="1134"/>
        <w:jc w:val="both"/>
      </w:pPr>
      <w:r>
        <w:rPr>
          <w:rFonts w:ascii="Palatino Linotype" w:eastAsia="Palatino Linotype" w:hAnsi="Palatino Linotype" w:cs="Palatino Linotype"/>
          <w:b/>
          <w:i/>
          <w:color w:val="000000"/>
        </w:rPr>
        <w:t>Quinto.</w:t>
      </w:r>
      <w:r>
        <w:rPr>
          <w:rFonts w:ascii="Palatino Linotype" w:eastAsia="Palatino Linotype" w:hAnsi="Palatino Linotype" w:cs="Palatino Linotype"/>
          <w:i/>
          <w:color w:val="00000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620DFF1" w14:textId="77777777" w:rsidR="00E11AE7" w:rsidRDefault="00520C11">
      <w:pPr>
        <w:spacing w:before="120" w:after="120"/>
        <w:ind w:left="709" w:right="1134"/>
        <w:jc w:val="both"/>
      </w:pPr>
      <w:r>
        <w:rPr>
          <w:rFonts w:ascii="Palatino Linotype" w:eastAsia="Palatino Linotype" w:hAnsi="Palatino Linotype" w:cs="Palatino Linotype"/>
          <w:b/>
          <w:i/>
          <w:color w:val="000000"/>
        </w:rPr>
        <w:t>Sexto.</w:t>
      </w:r>
      <w:r>
        <w:rPr>
          <w:rFonts w:ascii="Palatino Linotype" w:eastAsia="Palatino Linotype" w:hAnsi="Palatino Linotype" w:cs="Palatino Linotype"/>
          <w:i/>
          <w:color w:val="000000"/>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63C03E8" w14:textId="77777777" w:rsidR="00E11AE7" w:rsidRDefault="00520C11">
      <w:pPr>
        <w:spacing w:before="120" w:after="120"/>
        <w:ind w:left="709" w:right="1134"/>
        <w:jc w:val="both"/>
      </w:pPr>
      <w:r>
        <w:rPr>
          <w:rFonts w:ascii="Palatino Linotype" w:eastAsia="Palatino Linotype" w:hAnsi="Palatino Linotype" w:cs="Palatino Linotype"/>
          <w:i/>
          <w:color w:val="000000"/>
        </w:rPr>
        <w:t>La clasificación de información se realizará conforme a un análisis caso por caso, mediante la aplicación de la prueba de daño y de interés público.</w:t>
      </w:r>
    </w:p>
    <w:p w14:paraId="676EAF93" w14:textId="77777777" w:rsidR="00E11AE7" w:rsidRDefault="00520C11">
      <w:pPr>
        <w:spacing w:before="120" w:after="120"/>
        <w:ind w:left="709" w:right="1134"/>
        <w:jc w:val="both"/>
      </w:pPr>
      <w:r>
        <w:rPr>
          <w:rFonts w:ascii="Palatino Linotype" w:eastAsia="Palatino Linotype" w:hAnsi="Palatino Linotype" w:cs="Palatino Linotype"/>
          <w:b/>
          <w:i/>
          <w:color w:val="000000"/>
        </w:rPr>
        <w:t>Séptimo.</w:t>
      </w:r>
      <w:r>
        <w:rPr>
          <w:rFonts w:ascii="Palatino Linotype" w:eastAsia="Palatino Linotype" w:hAnsi="Palatino Linotype" w:cs="Palatino Linotype"/>
          <w:i/>
          <w:color w:val="000000"/>
        </w:rPr>
        <w:t xml:space="preserve"> La clasificación de la información se llevará a cabo en el momento en que:</w:t>
      </w:r>
    </w:p>
    <w:p w14:paraId="1C528182" w14:textId="77777777" w:rsidR="00E11AE7" w:rsidRDefault="00520C11">
      <w:pPr>
        <w:spacing w:before="120" w:after="120"/>
        <w:ind w:left="709" w:right="1134"/>
        <w:jc w:val="both"/>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Se reciba una solicitud de acceso a la información;</w:t>
      </w:r>
    </w:p>
    <w:p w14:paraId="243F094E" w14:textId="77777777" w:rsidR="00E11AE7" w:rsidRDefault="00520C11">
      <w:pPr>
        <w:spacing w:before="120" w:after="120"/>
        <w:ind w:left="709" w:right="1134"/>
        <w:jc w:val="both"/>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Se determine mediante resolución de autoridad competente, o</w:t>
      </w:r>
    </w:p>
    <w:p w14:paraId="2154CE34" w14:textId="77777777" w:rsidR="00E11AE7" w:rsidRDefault="00520C11">
      <w:pPr>
        <w:spacing w:before="120" w:after="120"/>
        <w:ind w:left="709" w:right="1134"/>
        <w:jc w:val="both"/>
      </w:pPr>
      <w:r>
        <w:rPr>
          <w:rFonts w:ascii="Palatino Linotype" w:eastAsia="Palatino Linotype" w:hAnsi="Palatino Linotype" w:cs="Palatino Linotype"/>
          <w:b/>
          <w:i/>
          <w:color w:val="000000"/>
        </w:rPr>
        <w:t>III.</w:t>
      </w:r>
      <w:r>
        <w:rPr>
          <w:rFonts w:ascii="Palatino Linotype" w:eastAsia="Palatino Linotype" w:hAnsi="Palatino Linotype" w:cs="Palatino Linotype"/>
          <w:i/>
          <w:color w:val="000000"/>
        </w:rPr>
        <w:t xml:space="preserve"> Se generen versiones públicas para dar cumplimiento a las obligaciones de transparencia previstas en la Ley General, la Ley Federal y las correspondientes de las entidades federativas.</w:t>
      </w:r>
    </w:p>
    <w:p w14:paraId="4D7764B3" w14:textId="77777777" w:rsidR="00E11AE7" w:rsidRDefault="00520C11">
      <w:pPr>
        <w:spacing w:before="120" w:after="120"/>
        <w:ind w:left="709" w:right="1134"/>
        <w:jc w:val="both"/>
      </w:pPr>
      <w:r>
        <w:rPr>
          <w:rFonts w:ascii="Palatino Linotype" w:eastAsia="Palatino Linotype" w:hAnsi="Palatino Linotype" w:cs="Palatino Linotype"/>
          <w:i/>
          <w:color w:val="000000"/>
        </w:rPr>
        <w:t>Los titulares de las áreas deberán revisar la clasificación al momento de la recepción de una solicitud de acceso a la información, para verificar si encuadra en una causal de reserva o de confidencialidad.</w:t>
      </w:r>
    </w:p>
    <w:p w14:paraId="785F0FA0" w14:textId="77777777" w:rsidR="00E11AE7" w:rsidRDefault="00520C11">
      <w:pPr>
        <w:spacing w:before="120" w:after="120"/>
        <w:ind w:left="709" w:right="1134"/>
        <w:jc w:val="both"/>
      </w:pPr>
      <w:r>
        <w:rPr>
          <w:rFonts w:ascii="Palatino Linotype" w:eastAsia="Palatino Linotype" w:hAnsi="Palatino Linotype" w:cs="Palatino Linotype"/>
          <w:b/>
          <w:i/>
          <w:color w:val="000000"/>
        </w:rPr>
        <w:t>Octavo.</w:t>
      </w:r>
      <w:r>
        <w:rPr>
          <w:rFonts w:ascii="Palatino Linotype" w:eastAsia="Palatino Linotype" w:hAnsi="Palatino Linotype" w:cs="Palatino Linotype"/>
          <w:i/>
          <w:color w:val="000000"/>
        </w:rPr>
        <w:t xml:space="preserve"> Para fundar la clasificación de la información se debe señalar el artículo, fracción, inciso, párrafo o numeral de la ley o tratado internacional </w:t>
      </w:r>
      <w:r>
        <w:rPr>
          <w:rFonts w:ascii="Palatino Linotype" w:eastAsia="Palatino Linotype" w:hAnsi="Palatino Linotype" w:cs="Palatino Linotype"/>
          <w:i/>
          <w:color w:val="000000"/>
        </w:rPr>
        <w:lastRenderedPageBreak/>
        <w:t>suscrito por el Estado mexicano que expresamente le otorga el carácter de reservada o confidencial.</w:t>
      </w:r>
    </w:p>
    <w:p w14:paraId="71E75CD7" w14:textId="77777777" w:rsidR="00E11AE7" w:rsidRDefault="00520C11">
      <w:pPr>
        <w:spacing w:before="120" w:after="120"/>
        <w:ind w:left="709" w:right="1134"/>
        <w:jc w:val="both"/>
      </w:pPr>
      <w:r>
        <w:rPr>
          <w:rFonts w:ascii="Palatino Linotype" w:eastAsia="Palatino Linotype" w:hAnsi="Palatino Linotype" w:cs="Palatino Linotype"/>
          <w:i/>
          <w:color w:val="000000"/>
        </w:rPr>
        <w:t>Para motivar la clasificación se deberán señalar las razones o circunstancias especiales que lo llevaron a concluir que el caso particular se ajusta al supuesto previsto por la norma legal invocada como fundamento.</w:t>
      </w:r>
    </w:p>
    <w:p w14:paraId="53E19DB7" w14:textId="77777777" w:rsidR="00E11AE7" w:rsidRDefault="00520C11">
      <w:pPr>
        <w:spacing w:before="120" w:after="120"/>
        <w:ind w:left="709" w:right="1134"/>
        <w:jc w:val="both"/>
      </w:pPr>
      <w:r>
        <w:rPr>
          <w:rFonts w:ascii="Palatino Linotype" w:eastAsia="Palatino Linotype" w:hAnsi="Palatino Linotype" w:cs="Palatino Linotype"/>
          <w:i/>
          <w:color w:val="000000"/>
        </w:rPr>
        <w:t>En caso de referirse a información reservada, la motivación de la clasificación también deberá comprender las circunstancias que justifican el establecimiento de determinado plazo de reserva.</w:t>
      </w:r>
    </w:p>
    <w:p w14:paraId="116C47D4" w14:textId="77777777" w:rsidR="00E11AE7" w:rsidRDefault="00520C11">
      <w:pPr>
        <w:spacing w:before="120" w:after="120"/>
        <w:ind w:left="709" w:right="1134"/>
        <w:jc w:val="both"/>
      </w:pPr>
      <w:r>
        <w:rPr>
          <w:rFonts w:ascii="Palatino Linotype" w:eastAsia="Palatino Linotype" w:hAnsi="Palatino Linotype" w:cs="Palatino Linotype"/>
          <w:i/>
          <w:color w:val="000000"/>
        </w:rPr>
        <w:t>Tratándose de información clasificada como confidencial respecto de la cual se haya determinado su conservación permanente por tener valor histórico, ésta conservará tal carácter de conformidad con la normativa aplicable en materia de archivos.</w:t>
      </w:r>
    </w:p>
    <w:p w14:paraId="020C5B66" w14:textId="77777777" w:rsidR="00E11AE7" w:rsidRDefault="00520C11">
      <w:pPr>
        <w:spacing w:before="120" w:after="120"/>
        <w:ind w:left="709" w:right="1134"/>
        <w:jc w:val="both"/>
      </w:pPr>
      <w:r>
        <w:rPr>
          <w:rFonts w:ascii="Palatino Linotype" w:eastAsia="Palatino Linotype" w:hAnsi="Palatino Linotype" w:cs="Palatino Linotype"/>
          <w:i/>
          <w:color w:val="000000"/>
        </w:rPr>
        <w:t>Los documentos contenidos en los archivos históricos y los identificados como históricos confidenciales no serán susceptibles de clasificación como reservados.</w:t>
      </w:r>
    </w:p>
    <w:p w14:paraId="2F1B0131" w14:textId="77777777" w:rsidR="00E11AE7" w:rsidRDefault="00520C11">
      <w:pPr>
        <w:spacing w:before="120" w:after="120"/>
        <w:ind w:left="709" w:right="1134"/>
        <w:jc w:val="both"/>
      </w:pPr>
      <w:r>
        <w:rPr>
          <w:rFonts w:ascii="Palatino Linotype" w:eastAsia="Palatino Linotype" w:hAnsi="Palatino Linotype" w:cs="Palatino Linotype"/>
          <w:b/>
          <w:i/>
          <w:color w:val="000000"/>
        </w:rPr>
        <w:t>Noveno.</w:t>
      </w:r>
      <w:r>
        <w:rPr>
          <w:rFonts w:ascii="Palatino Linotype" w:eastAsia="Palatino Linotype" w:hAnsi="Palatino Linotype" w:cs="Palatino Linotype"/>
          <w:i/>
          <w:color w:val="00000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A0983EE" w14:textId="77777777" w:rsidR="00E11AE7" w:rsidRDefault="00520C11">
      <w:pPr>
        <w:spacing w:before="120" w:after="120"/>
        <w:ind w:left="709" w:right="1134"/>
        <w:jc w:val="both"/>
      </w:pPr>
      <w:r>
        <w:rPr>
          <w:rFonts w:ascii="Palatino Linotype" w:eastAsia="Palatino Linotype" w:hAnsi="Palatino Linotype" w:cs="Palatino Linotype"/>
          <w:b/>
          <w:i/>
          <w:color w:val="000000"/>
        </w:rPr>
        <w:t>Décimo.</w:t>
      </w:r>
      <w:r>
        <w:rPr>
          <w:rFonts w:ascii="Palatino Linotype" w:eastAsia="Palatino Linotype" w:hAnsi="Palatino Linotype" w:cs="Palatino Linotype"/>
          <w:i/>
          <w:color w:val="00000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A1704C0" w14:textId="77777777" w:rsidR="00E11AE7" w:rsidRDefault="00520C11">
      <w:pPr>
        <w:spacing w:before="120" w:after="120"/>
        <w:ind w:left="709" w:right="1134"/>
        <w:jc w:val="both"/>
      </w:pPr>
      <w:r>
        <w:rPr>
          <w:rFonts w:ascii="Palatino Linotype" w:eastAsia="Palatino Linotype" w:hAnsi="Palatino Linotype" w:cs="Palatino Linotype"/>
          <w:i/>
          <w:color w:val="000000"/>
        </w:rPr>
        <w:t>En ausencia de los titulares de las áreas, la información será clasificada o desclasificada por la persona que lo supla, en términos de la normativa que rija la actuación del sujeto obligado.</w:t>
      </w:r>
    </w:p>
    <w:p w14:paraId="001DF193" w14:textId="77777777" w:rsidR="00E11AE7" w:rsidRDefault="00520C11">
      <w:pPr>
        <w:spacing w:before="120" w:after="120"/>
        <w:ind w:left="709" w:right="1134"/>
        <w:jc w:val="both"/>
      </w:pPr>
      <w:r>
        <w:rPr>
          <w:rFonts w:ascii="Palatino Linotype" w:eastAsia="Palatino Linotype" w:hAnsi="Palatino Linotype" w:cs="Palatino Linotype"/>
          <w:b/>
          <w:i/>
          <w:color w:val="000000"/>
        </w:rPr>
        <w:t>Décimo primero.</w:t>
      </w:r>
      <w:r>
        <w:rPr>
          <w:rFonts w:ascii="Palatino Linotype" w:eastAsia="Palatino Linotype" w:hAnsi="Palatino Linotype" w:cs="Palatino Linotype"/>
          <w:i/>
          <w:color w:val="00000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17C9543E" w14:textId="77777777" w:rsidR="00E11AE7" w:rsidRDefault="00520C11">
      <w:pPr>
        <w:spacing w:before="240" w:after="240" w:line="360" w:lineRule="auto"/>
        <w:jc w:val="both"/>
        <w:rPr>
          <w:sz w:val="24"/>
          <w:szCs w:val="24"/>
        </w:rPr>
      </w:pPr>
      <w:r>
        <w:rPr>
          <w:rFonts w:ascii="Palatino Linotype" w:eastAsia="Palatino Linotype" w:hAnsi="Palatino Linotype" w:cs="Palatino Linotype"/>
          <w:color w:val="000000"/>
          <w:sz w:val="24"/>
          <w:szCs w:val="24"/>
        </w:rPr>
        <w:lastRenderedPageBreak/>
        <w:t xml:space="preserve">Asimismo, deberá observar los numerales Quincuagésimo tercero y Quincuagésimo quinto de los Lineamientos Generales en Materia de Clasificación y Desclasificación de la Información </w:t>
      </w:r>
      <w:proofErr w:type="spellStart"/>
      <w:r>
        <w:rPr>
          <w:rFonts w:ascii="Palatino Linotype" w:eastAsia="Palatino Linotype" w:hAnsi="Palatino Linotype" w:cs="Palatino Linotype"/>
          <w:color w:val="000000"/>
          <w:sz w:val="24"/>
          <w:szCs w:val="24"/>
        </w:rPr>
        <w:t>supraindicados</w:t>
      </w:r>
      <w:proofErr w:type="spellEnd"/>
      <w:r>
        <w:rPr>
          <w:rFonts w:ascii="Palatino Linotype" w:eastAsia="Palatino Linotype" w:hAnsi="Palatino Linotype" w:cs="Palatino Linotype"/>
          <w:color w:val="000000"/>
          <w:sz w:val="24"/>
          <w:szCs w:val="24"/>
        </w:rPr>
        <w:t>, que establecen los formatos para la clasificación parcial y total de los documentos, conforme a lo siguiente: </w:t>
      </w:r>
    </w:p>
    <w:tbl>
      <w:tblPr>
        <w:tblStyle w:val="a"/>
        <w:tblW w:w="8828" w:type="dxa"/>
        <w:tblInd w:w="0" w:type="dxa"/>
        <w:tblLayout w:type="fixed"/>
        <w:tblLook w:val="0400" w:firstRow="0" w:lastRow="0" w:firstColumn="0" w:lastColumn="0" w:noHBand="0" w:noVBand="1"/>
      </w:tblPr>
      <w:tblGrid>
        <w:gridCol w:w="1271"/>
        <w:gridCol w:w="3407"/>
        <w:gridCol w:w="1355"/>
        <w:gridCol w:w="2795"/>
      </w:tblGrid>
      <w:tr w:rsidR="00E11AE7" w14:paraId="7A0D4BAB" w14:textId="77777777">
        <w:tc>
          <w:tcPr>
            <w:tcW w:w="4678" w:type="dxa"/>
            <w:gridSpan w:val="2"/>
            <w:tcBorders>
              <w:top w:val="single" w:sz="4" w:space="0" w:color="000000"/>
              <w:left w:val="single" w:sz="4" w:space="0" w:color="000000"/>
              <w:bottom w:val="single" w:sz="4" w:space="0" w:color="95B3D7"/>
              <w:right w:val="single" w:sz="4" w:space="0" w:color="000000"/>
            </w:tcBorders>
            <w:tcMar>
              <w:top w:w="0" w:type="dxa"/>
              <w:left w:w="108" w:type="dxa"/>
              <w:bottom w:w="0" w:type="dxa"/>
              <w:right w:w="108" w:type="dxa"/>
            </w:tcMar>
          </w:tcPr>
          <w:p w14:paraId="21B19F13" w14:textId="77777777" w:rsidR="00E11AE7" w:rsidRDefault="00520C11">
            <w:pPr>
              <w:jc w:val="center"/>
            </w:pPr>
            <w:r>
              <w:rPr>
                <w:rFonts w:ascii="Palatino Linotype" w:eastAsia="Palatino Linotype" w:hAnsi="Palatino Linotype" w:cs="Palatino Linotype"/>
                <w:b/>
                <w:color w:val="000000"/>
                <w:sz w:val="12"/>
                <w:szCs w:val="12"/>
              </w:rPr>
              <w:t>Parcial</w:t>
            </w:r>
          </w:p>
        </w:tc>
        <w:tc>
          <w:tcPr>
            <w:tcW w:w="4150" w:type="dxa"/>
            <w:gridSpan w:val="2"/>
            <w:tcBorders>
              <w:top w:val="single" w:sz="4" w:space="0" w:color="000000"/>
              <w:left w:val="single" w:sz="4" w:space="0" w:color="000000"/>
              <w:bottom w:val="single" w:sz="4" w:space="0" w:color="95B3D7"/>
              <w:right w:val="single" w:sz="4" w:space="0" w:color="000000"/>
            </w:tcBorders>
            <w:tcMar>
              <w:top w:w="0" w:type="dxa"/>
              <w:left w:w="108" w:type="dxa"/>
              <w:bottom w:w="0" w:type="dxa"/>
              <w:right w:w="108" w:type="dxa"/>
            </w:tcMar>
          </w:tcPr>
          <w:p w14:paraId="363067DD" w14:textId="77777777" w:rsidR="00E11AE7" w:rsidRDefault="00520C11">
            <w:pPr>
              <w:jc w:val="center"/>
            </w:pPr>
            <w:r>
              <w:rPr>
                <w:rFonts w:ascii="Palatino Linotype" w:eastAsia="Palatino Linotype" w:hAnsi="Palatino Linotype" w:cs="Palatino Linotype"/>
                <w:b/>
                <w:color w:val="000000"/>
                <w:sz w:val="12"/>
                <w:szCs w:val="12"/>
              </w:rPr>
              <w:t>Total</w:t>
            </w:r>
          </w:p>
        </w:tc>
      </w:tr>
      <w:tr w:rsidR="00E11AE7" w14:paraId="1CD72602" w14:textId="77777777">
        <w:tc>
          <w:tcPr>
            <w:tcW w:w="1271"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B1CDCC6" w14:textId="77777777" w:rsidR="00E11AE7" w:rsidRDefault="00520C11">
            <w:pPr>
              <w:jc w:val="center"/>
            </w:pPr>
            <w:r>
              <w:rPr>
                <w:rFonts w:ascii="Palatino Linotype" w:eastAsia="Palatino Linotype" w:hAnsi="Palatino Linotype" w:cs="Palatino Linotype"/>
                <w:b/>
                <w:color w:val="000000"/>
                <w:sz w:val="12"/>
                <w:szCs w:val="12"/>
              </w:rPr>
              <w:t>Concepto</w:t>
            </w:r>
          </w:p>
        </w:tc>
        <w:tc>
          <w:tcPr>
            <w:tcW w:w="3407"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D4E894C" w14:textId="77777777" w:rsidR="00E11AE7" w:rsidRDefault="00520C11">
            <w:pPr>
              <w:jc w:val="center"/>
            </w:pPr>
            <w:r>
              <w:rPr>
                <w:rFonts w:ascii="Palatino Linotype" w:eastAsia="Palatino Linotype" w:hAnsi="Palatino Linotype" w:cs="Palatino Linotype"/>
                <w:b/>
                <w:color w:val="000000"/>
                <w:sz w:val="12"/>
                <w:szCs w:val="12"/>
              </w:rPr>
              <w:t>Dónde</w:t>
            </w:r>
          </w:p>
        </w:tc>
        <w:tc>
          <w:tcPr>
            <w:tcW w:w="1355"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8F5FBB4" w14:textId="77777777" w:rsidR="00E11AE7" w:rsidRDefault="00520C11">
            <w:pPr>
              <w:jc w:val="center"/>
            </w:pPr>
            <w:r>
              <w:rPr>
                <w:rFonts w:ascii="Palatino Linotype" w:eastAsia="Palatino Linotype" w:hAnsi="Palatino Linotype" w:cs="Palatino Linotype"/>
                <w:b/>
                <w:color w:val="000000"/>
                <w:sz w:val="12"/>
                <w:szCs w:val="12"/>
              </w:rPr>
              <w:t>Concepto</w:t>
            </w:r>
          </w:p>
        </w:tc>
        <w:tc>
          <w:tcPr>
            <w:tcW w:w="2795"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FC61316" w14:textId="77777777" w:rsidR="00E11AE7" w:rsidRDefault="00520C11">
            <w:pPr>
              <w:jc w:val="center"/>
            </w:pPr>
            <w:r>
              <w:rPr>
                <w:rFonts w:ascii="Palatino Linotype" w:eastAsia="Palatino Linotype" w:hAnsi="Palatino Linotype" w:cs="Palatino Linotype"/>
                <w:b/>
                <w:color w:val="000000"/>
                <w:sz w:val="12"/>
                <w:szCs w:val="12"/>
              </w:rPr>
              <w:t>Dónde</w:t>
            </w:r>
          </w:p>
        </w:tc>
      </w:tr>
      <w:tr w:rsidR="00E11AE7" w14:paraId="377FBC3F" w14:textId="77777777">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9EDAD" w14:textId="77777777" w:rsidR="00E11AE7" w:rsidRDefault="00520C11">
            <w:pPr>
              <w:jc w:val="center"/>
            </w:pPr>
            <w:r>
              <w:rPr>
                <w:rFonts w:ascii="Palatino Linotype" w:eastAsia="Palatino Linotype" w:hAnsi="Palatino Linotype" w:cs="Palatino Linotype"/>
                <w:b/>
                <w:color w:val="000000"/>
                <w:sz w:val="12"/>
                <w:szCs w:val="12"/>
              </w:rPr>
              <w:t>Sello oficial o logotipo del sujeto obligado</w:t>
            </w:r>
          </w:p>
        </w:tc>
      </w:tr>
      <w:tr w:rsidR="00E11AE7" w14:paraId="1BB1AC33"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A6591C8" w14:textId="77777777" w:rsidR="00E11AE7" w:rsidRDefault="00520C11">
            <w:pPr>
              <w:jc w:val="both"/>
            </w:pPr>
            <w:r>
              <w:rPr>
                <w:rFonts w:ascii="Palatino Linotype" w:eastAsia="Palatino Linotype" w:hAnsi="Palatino Linotype" w:cs="Palatino Linotype"/>
                <w:b/>
                <w:color w:val="000000"/>
                <w:sz w:val="12"/>
                <w:szCs w:val="12"/>
              </w:rPr>
              <w:t>Fecha de clasificación</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59677C7" w14:textId="77777777" w:rsidR="00E11AE7" w:rsidRDefault="00520C11">
            <w:pPr>
              <w:jc w:val="both"/>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87DEA21" w14:textId="77777777" w:rsidR="00E11AE7" w:rsidRDefault="00520C11">
            <w:pPr>
              <w:jc w:val="both"/>
            </w:pPr>
            <w:r>
              <w:rPr>
                <w:rFonts w:ascii="Palatino Linotype" w:eastAsia="Palatino Linotype" w:hAnsi="Palatino Linotype" w:cs="Palatino Linotype"/>
                <w:b/>
                <w:color w:val="000000"/>
                <w:sz w:val="12"/>
                <w:szCs w:val="12"/>
              </w:rPr>
              <w:t>Fecha de clasificación</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18BCFD9" w14:textId="77777777" w:rsidR="00E11AE7" w:rsidRDefault="00520C11">
            <w:pPr>
              <w:jc w:val="both"/>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r>
      <w:tr w:rsidR="00E11AE7" w14:paraId="3AAB7D7D"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7D774" w14:textId="77777777" w:rsidR="00E11AE7" w:rsidRDefault="00520C11">
            <w:pPr>
              <w:jc w:val="both"/>
            </w:pPr>
            <w:r>
              <w:rPr>
                <w:rFonts w:ascii="Palatino Linotype" w:eastAsia="Palatino Linotype" w:hAnsi="Palatino Linotype" w:cs="Palatino Linotype"/>
                <w:b/>
                <w:color w:val="000000"/>
                <w:sz w:val="12"/>
                <w:szCs w:val="12"/>
              </w:rPr>
              <w:t>Área</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13616" w14:textId="77777777" w:rsidR="00E11AE7" w:rsidRDefault="00520C11">
            <w:pPr>
              <w:jc w:val="both"/>
            </w:pPr>
            <w:r>
              <w:rPr>
                <w:rFonts w:ascii="Palatino Linotype" w:eastAsia="Palatino Linotype" w:hAnsi="Palatino Linotype" w:cs="Palatino Linotype"/>
                <w:color w:val="000000"/>
                <w:sz w:val="12"/>
                <w:szCs w:val="12"/>
              </w:rPr>
              <w:t>Se señalará el nombre del área del cual es titular quien 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4C5A1" w14:textId="77777777" w:rsidR="00E11AE7" w:rsidRDefault="00520C11">
            <w:pPr>
              <w:jc w:val="both"/>
            </w:pPr>
            <w:r>
              <w:rPr>
                <w:rFonts w:ascii="Palatino Linotype" w:eastAsia="Palatino Linotype" w:hAnsi="Palatino Linotype" w:cs="Palatino Linotype"/>
                <w:b/>
                <w:color w:val="000000"/>
                <w:sz w:val="12"/>
                <w:szCs w:val="12"/>
              </w:rPr>
              <w:t>Área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E90F3" w14:textId="77777777" w:rsidR="00E11AE7" w:rsidRDefault="00520C11">
            <w:pPr>
              <w:jc w:val="both"/>
            </w:pPr>
            <w:r>
              <w:rPr>
                <w:rFonts w:ascii="Palatino Linotype" w:eastAsia="Palatino Linotype" w:hAnsi="Palatino Linotype" w:cs="Palatino Linotype"/>
                <w:color w:val="000000"/>
                <w:sz w:val="12"/>
                <w:szCs w:val="12"/>
              </w:rPr>
              <w:t>Se señalará el nombre del área de la cual es el titular quien clasifica.</w:t>
            </w:r>
          </w:p>
        </w:tc>
      </w:tr>
      <w:tr w:rsidR="00E11AE7" w14:paraId="10BB2F09"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FF9FBA0" w14:textId="77777777" w:rsidR="00E11AE7" w:rsidRDefault="00520C11">
            <w:pPr>
              <w:jc w:val="both"/>
            </w:pPr>
            <w:r>
              <w:rPr>
                <w:rFonts w:ascii="Palatino Linotype" w:eastAsia="Palatino Linotype" w:hAnsi="Palatino Linotype" w:cs="Palatino Linotype"/>
                <w:b/>
                <w:color w:val="000000"/>
                <w:sz w:val="12"/>
                <w:szCs w:val="12"/>
              </w:rPr>
              <w:t>Información reservada</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4371374" w14:textId="77777777" w:rsidR="00E11AE7" w:rsidRDefault="00520C11">
            <w:pPr>
              <w:jc w:val="both"/>
            </w:pPr>
            <w:r>
              <w:rPr>
                <w:rFonts w:ascii="Palatino Linotype" w:eastAsia="Palatino Linotype" w:hAnsi="Palatino Linotype" w:cs="Palatino Linotype"/>
                <w:color w:val="000000"/>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FF1F2F4" w14:textId="77777777" w:rsidR="00E11AE7" w:rsidRDefault="00520C11">
            <w:pPr>
              <w:jc w:val="both"/>
            </w:pPr>
            <w:r>
              <w:rPr>
                <w:rFonts w:ascii="Palatino Linotype" w:eastAsia="Palatino Linotype" w:hAnsi="Palatino Linotype" w:cs="Palatino Linotype"/>
                <w:b/>
                <w:color w:val="000000"/>
                <w:sz w:val="12"/>
                <w:szCs w:val="12"/>
              </w:rPr>
              <w:t>Reservado</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0023BC1" w14:textId="77777777" w:rsidR="00E11AE7" w:rsidRDefault="00520C11">
            <w:pPr>
              <w:jc w:val="both"/>
            </w:pPr>
            <w:r>
              <w:rPr>
                <w:rFonts w:ascii="Palatino Linotype" w:eastAsia="Palatino Linotype" w:hAnsi="Palatino Linotype" w:cs="Palatino Linotype"/>
                <w:color w:val="000000"/>
                <w:sz w:val="12"/>
                <w:szCs w:val="12"/>
              </w:rPr>
              <w:t>Leyenda de información RESERVADA.</w:t>
            </w:r>
          </w:p>
        </w:tc>
      </w:tr>
      <w:tr w:rsidR="00E11AE7" w14:paraId="4C683903"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83087" w14:textId="77777777" w:rsidR="00E11AE7" w:rsidRDefault="00520C11">
            <w:pPr>
              <w:jc w:val="both"/>
            </w:pPr>
            <w:r>
              <w:rPr>
                <w:rFonts w:ascii="Palatino Linotype" w:eastAsia="Palatino Linotype" w:hAnsi="Palatino Linotype" w:cs="Palatino Linotype"/>
                <w:b/>
                <w:color w:val="000000"/>
                <w:sz w:val="12"/>
                <w:szCs w:val="12"/>
              </w:rPr>
              <w:t>Fundamento legal</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9716" w14:textId="77777777" w:rsidR="00E11AE7" w:rsidRDefault="00520C11">
            <w:pPr>
              <w:jc w:val="both"/>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reserva.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3247E" w14:textId="77777777" w:rsidR="00E11AE7" w:rsidRDefault="00520C11">
            <w:pPr>
              <w:jc w:val="both"/>
            </w:pPr>
            <w:r>
              <w:rPr>
                <w:rFonts w:ascii="Palatino Linotype" w:eastAsia="Palatino Linotype" w:hAnsi="Palatino Linotype" w:cs="Palatino Linotype"/>
                <w:b/>
                <w:color w:val="000000"/>
                <w:sz w:val="12"/>
                <w:szCs w:val="12"/>
              </w:rPr>
              <w:t>Periodo de reserva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BFF92" w14:textId="77777777" w:rsidR="00E11AE7" w:rsidRDefault="00520C11">
            <w:pPr>
              <w:jc w:val="both"/>
            </w:pPr>
            <w:r>
              <w:rPr>
                <w:rFonts w:ascii="Palatino Linotype" w:eastAsia="Palatino Linotype" w:hAnsi="Palatino Linotype" w:cs="Palatino Linotype"/>
                <w:color w:val="000000"/>
                <w:sz w:val="12"/>
                <w:szCs w:val="12"/>
              </w:rPr>
              <w:t>Se anotará el número de años o meses por los que se mantendrá el documento o las partes del mismo como reservado. Si el expediente no es reservado, sino confidencial, deberá tacharse este apartado.</w:t>
            </w:r>
          </w:p>
        </w:tc>
      </w:tr>
      <w:tr w:rsidR="00E11AE7" w14:paraId="0A51846A"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560120A" w14:textId="77777777" w:rsidR="00E11AE7" w:rsidRDefault="00520C11">
            <w:pPr>
              <w:jc w:val="both"/>
            </w:pPr>
            <w:r>
              <w:rPr>
                <w:rFonts w:ascii="Palatino Linotype" w:eastAsia="Palatino Linotype" w:hAnsi="Palatino Linotype" w:cs="Palatino Linotype"/>
                <w:b/>
                <w:color w:val="000000"/>
                <w:sz w:val="12"/>
                <w:szCs w:val="12"/>
              </w:rPr>
              <w:t>Ampliación del periodo de reserva</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1A0DD53" w14:textId="77777777" w:rsidR="00E11AE7" w:rsidRDefault="00520C11">
            <w:pPr>
              <w:jc w:val="both"/>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357B53B" w14:textId="77777777" w:rsidR="00E11AE7" w:rsidRDefault="00520C11">
            <w:pPr>
              <w:jc w:val="both"/>
            </w:pPr>
            <w:r>
              <w:rPr>
                <w:rFonts w:ascii="Palatino Linotype" w:eastAsia="Palatino Linotype" w:hAnsi="Palatino Linotype" w:cs="Palatino Linotype"/>
                <w:b/>
                <w:color w:val="000000"/>
                <w:sz w:val="12"/>
                <w:szCs w:val="12"/>
              </w:rPr>
              <w:t>Fundamento legal</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6D090D9" w14:textId="77777777" w:rsidR="00E11AE7" w:rsidRDefault="00520C11">
            <w:pPr>
              <w:jc w:val="both"/>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sustenta la reserva.</w:t>
            </w:r>
          </w:p>
        </w:tc>
      </w:tr>
      <w:tr w:rsidR="00E11AE7" w14:paraId="3926DCC5"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19718" w14:textId="77777777" w:rsidR="00E11AE7" w:rsidRDefault="00520C11">
            <w:pPr>
              <w:jc w:val="both"/>
            </w:pPr>
            <w:r>
              <w:rPr>
                <w:rFonts w:ascii="Palatino Linotype" w:eastAsia="Palatino Linotype" w:hAnsi="Palatino Linotype" w:cs="Palatino Linotype"/>
                <w:b/>
                <w:color w:val="000000"/>
                <w:sz w:val="12"/>
                <w:szCs w:val="12"/>
              </w:rPr>
              <w:t>Confidencial</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E6395" w14:textId="77777777" w:rsidR="00E11AE7" w:rsidRDefault="00520C11">
            <w:pPr>
              <w:jc w:val="both"/>
            </w:pPr>
            <w:r>
              <w:rPr>
                <w:rFonts w:ascii="Palatino Linotype" w:eastAsia="Palatino Linotype" w:hAnsi="Palatino Linotype" w:cs="Palatino Linotype"/>
                <w:color w:val="000000"/>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F52AD" w14:textId="77777777" w:rsidR="00E11AE7" w:rsidRDefault="00520C11">
            <w:pPr>
              <w:jc w:val="both"/>
            </w:pPr>
            <w:r>
              <w:rPr>
                <w:rFonts w:ascii="Palatino Linotype" w:eastAsia="Palatino Linotype" w:hAnsi="Palatino Linotype" w:cs="Palatino Linotype"/>
                <w:b/>
                <w:color w:val="000000"/>
                <w:sz w:val="12"/>
                <w:szCs w:val="12"/>
              </w:rPr>
              <w:t>Ampliación del periodo de reserva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380F4" w14:textId="77777777" w:rsidR="00E11AE7" w:rsidRDefault="00520C11">
            <w:pPr>
              <w:jc w:val="both"/>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r>
      <w:tr w:rsidR="00E11AE7" w14:paraId="341868DE"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2F03A06" w14:textId="77777777" w:rsidR="00E11AE7" w:rsidRDefault="00520C11">
            <w:pPr>
              <w:jc w:val="both"/>
            </w:pPr>
            <w:r>
              <w:rPr>
                <w:rFonts w:ascii="Palatino Linotype" w:eastAsia="Palatino Linotype" w:hAnsi="Palatino Linotype" w:cs="Palatino Linotype"/>
                <w:b/>
                <w:color w:val="000000"/>
                <w:sz w:val="12"/>
                <w:szCs w:val="12"/>
              </w:rPr>
              <w:t>Fundamento legal</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4EEC474" w14:textId="77777777" w:rsidR="00E11AE7" w:rsidRDefault="00520C11">
            <w:pPr>
              <w:jc w:val="both"/>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confidencialidad.</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6F392E6" w14:textId="77777777" w:rsidR="00E11AE7" w:rsidRDefault="00520C11">
            <w:pPr>
              <w:jc w:val="both"/>
            </w:pPr>
            <w:r>
              <w:rPr>
                <w:rFonts w:ascii="Palatino Linotype" w:eastAsia="Palatino Linotype" w:hAnsi="Palatino Linotype" w:cs="Palatino Linotype"/>
                <w:b/>
                <w:color w:val="000000"/>
                <w:sz w:val="12"/>
                <w:szCs w:val="12"/>
              </w:rPr>
              <w:t>Confidencial</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95745AA" w14:textId="77777777" w:rsidR="00E11AE7" w:rsidRDefault="00520C11">
            <w:pPr>
              <w:jc w:val="both"/>
            </w:pPr>
            <w:r>
              <w:rPr>
                <w:rFonts w:ascii="Palatino Linotype" w:eastAsia="Palatino Linotype" w:hAnsi="Palatino Linotype" w:cs="Palatino Linotype"/>
                <w:color w:val="000000"/>
                <w:sz w:val="12"/>
                <w:szCs w:val="12"/>
              </w:rPr>
              <w:t>Leyenda de información CONFIDENCIAL.</w:t>
            </w:r>
          </w:p>
        </w:tc>
      </w:tr>
      <w:tr w:rsidR="00E11AE7" w14:paraId="59945851"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BEBE2" w14:textId="77777777" w:rsidR="00E11AE7" w:rsidRDefault="00520C11">
            <w:pPr>
              <w:jc w:val="both"/>
            </w:pPr>
            <w:r>
              <w:rPr>
                <w:rFonts w:ascii="Palatino Linotype" w:eastAsia="Palatino Linotype" w:hAnsi="Palatino Linotype" w:cs="Palatino Linotype"/>
                <w:b/>
                <w:color w:val="000000"/>
                <w:sz w:val="12"/>
                <w:szCs w:val="12"/>
              </w:rPr>
              <w:t>Rúbrica del titular del área</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511C5" w14:textId="77777777" w:rsidR="00E11AE7" w:rsidRDefault="00520C11">
            <w:pPr>
              <w:jc w:val="both"/>
            </w:pPr>
            <w:r>
              <w:rPr>
                <w:rFonts w:ascii="Palatino Linotype" w:eastAsia="Palatino Linotype" w:hAnsi="Palatino Linotype" w:cs="Palatino Linotype"/>
                <w:color w:val="000000"/>
                <w:sz w:val="12"/>
                <w:szCs w:val="12"/>
              </w:rPr>
              <w:t>Rúbrica autógrafa de quien 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79626" w14:textId="77777777" w:rsidR="00E11AE7" w:rsidRDefault="00520C11">
            <w:pPr>
              <w:jc w:val="both"/>
            </w:pPr>
            <w:r>
              <w:rPr>
                <w:rFonts w:ascii="Palatino Linotype" w:eastAsia="Palatino Linotype" w:hAnsi="Palatino Linotype" w:cs="Palatino Linotype"/>
                <w:b/>
                <w:color w:val="000000"/>
                <w:sz w:val="12"/>
                <w:szCs w:val="12"/>
              </w:rPr>
              <w:t>Fundamento legal</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7F2A4" w14:textId="77777777" w:rsidR="00E11AE7" w:rsidRDefault="00520C11">
            <w:pPr>
              <w:jc w:val="both"/>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sustente la confidencialidad.</w:t>
            </w:r>
          </w:p>
        </w:tc>
      </w:tr>
      <w:tr w:rsidR="00E11AE7" w14:paraId="366899F1"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B0CF3FE" w14:textId="77777777" w:rsidR="00E11AE7" w:rsidRDefault="00520C11">
            <w:pPr>
              <w:jc w:val="both"/>
            </w:pPr>
            <w:r>
              <w:rPr>
                <w:rFonts w:ascii="Palatino Linotype" w:eastAsia="Palatino Linotype" w:hAnsi="Palatino Linotype" w:cs="Palatino Linotype"/>
                <w:b/>
                <w:color w:val="000000"/>
                <w:sz w:val="12"/>
                <w:szCs w:val="12"/>
              </w:rPr>
              <w:t>Fecha de desclasificación</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AF92593" w14:textId="77777777" w:rsidR="00E11AE7" w:rsidRDefault="00520C11">
            <w:pPr>
              <w:jc w:val="both"/>
            </w:pPr>
            <w:r>
              <w:rPr>
                <w:rFonts w:ascii="Palatino Linotype" w:eastAsia="Palatino Linotype" w:hAnsi="Palatino Linotype" w:cs="Palatino Linotype"/>
                <w:color w:val="000000"/>
                <w:sz w:val="12"/>
                <w:szCs w:val="12"/>
              </w:rPr>
              <w:t>Se anotará la fecha en que se desclasifica el documento.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3234B20" w14:textId="77777777" w:rsidR="00E11AE7" w:rsidRDefault="00520C11">
            <w:pPr>
              <w:jc w:val="both"/>
            </w:pPr>
            <w:r>
              <w:rPr>
                <w:rFonts w:ascii="Palatino Linotype" w:eastAsia="Palatino Linotype" w:hAnsi="Palatino Linotype" w:cs="Palatino Linotype"/>
                <w:b/>
                <w:color w:val="000000"/>
                <w:sz w:val="12"/>
                <w:szCs w:val="12"/>
              </w:rPr>
              <w:t>Rúbrica del titular del área</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C05D27B" w14:textId="77777777" w:rsidR="00E11AE7" w:rsidRDefault="00520C11">
            <w:pPr>
              <w:jc w:val="both"/>
            </w:pPr>
            <w:r>
              <w:rPr>
                <w:rFonts w:ascii="Palatino Linotype" w:eastAsia="Palatino Linotype" w:hAnsi="Palatino Linotype" w:cs="Palatino Linotype"/>
                <w:color w:val="000000"/>
                <w:sz w:val="12"/>
                <w:szCs w:val="12"/>
              </w:rPr>
              <w:t>Rúbrica autógrafa de quien clasifica.</w:t>
            </w:r>
          </w:p>
        </w:tc>
      </w:tr>
      <w:tr w:rsidR="00E11AE7" w14:paraId="31A79189"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683B2" w14:textId="77777777" w:rsidR="00E11AE7" w:rsidRDefault="00520C11">
            <w:pPr>
              <w:jc w:val="both"/>
            </w:pPr>
            <w:r>
              <w:rPr>
                <w:rFonts w:ascii="Palatino Linotype" w:eastAsia="Palatino Linotype" w:hAnsi="Palatino Linotype" w:cs="Palatino Linotype"/>
                <w:b/>
                <w:color w:val="000000"/>
                <w:sz w:val="12"/>
                <w:szCs w:val="12"/>
              </w:rPr>
              <w:t>Rúbrica y cargo del servidor público</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73900" w14:textId="77777777" w:rsidR="00E11AE7" w:rsidRDefault="00520C11">
            <w:pPr>
              <w:jc w:val="both"/>
            </w:pPr>
            <w:r>
              <w:rPr>
                <w:rFonts w:ascii="Palatino Linotype" w:eastAsia="Palatino Linotype" w:hAnsi="Palatino Linotype" w:cs="Palatino Linotype"/>
                <w:color w:val="000000"/>
                <w:sz w:val="12"/>
                <w:szCs w:val="12"/>
              </w:rPr>
              <w:t>Rúbrica autógrafa de quien desclasifica.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2A013" w14:textId="77777777" w:rsidR="00E11AE7" w:rsidRDefault="00520C11">
            <w:pPr>
              <w:jc w:val="both"/>
            </w:pPr>
            <w:r>
              <w:rPr>
                <w:rFonts w:ascii="Palatino Linotype" w:eastAsia="Palatino Linotype" w:hAnsi="Palatino Linotype" w:cs="Palatino Linotype"/>
                <w:b/>
                <w:color w:val="000000"/>
                <w:sz w:val="12"/>
                <w:szCs w:val="12"/>
              </w:rPr>
              <w:t>Fecha de desclasificación</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3C208" w14:textId="77777777" w:rsidR="00E11AE7" w:rsidRDefault="00520C11">
            <w:pPr>
              <w:jc w:val="both"/>
            </w:pPr>
            <w:r>
              <w:rPr>
                <w:rFonts w:ascii="Palatino Linotype" w:eastAsia="Palatino Linotype" w:hAnsi="Palatino Linotype" w:cs="Palatino Linotype"/>
                <w:color w:val="000000"/>
                <w:sz w:val="12"/>
                <w:szCs w:val="12"/>
              </w:rPr>
              <w:t>Se anotará la fecha en que se desclasifica.</w:t>
            </w:r>
          </w:p>
        </w:tc>
      </w:tr>
      <w:tr w:rsidR="00E11AE7" w14:paraId="2ABF9A5C"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4870C71" w14:textId="77777777" w:rsidR="00E11AE7" w:rsidRDefault="00E11AE7"/>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BF4EC18" w14:textId="77777777" w:rsidR="00E11AE7" w:rsidRDefault="00E11AE7"/>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E123288" w14:textId="77777777" w:rsidR="00E11AE7" w:rsidRDefault="00520C11">
            <w:pPr>
              <w:jc w:val="both"/>
            </w:pPr>
            <w:r>
              <w:rPr>
                <w:rFonts w:ascii="Palatino Linotype" w:eastAsia="Palatino Linotype" w:hAnsi="Palatino Linotype" w:cs="Palatino Linotype"/>
                <w:b/>
                <w:color w:val="000000"/>
                <w:sz w:val="12"/>
                <w:szCs w:val="12"/>
              </w:rPr>
              <w:t>Partes o secciones reservadas o confidenciales</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B294EC4" w14:textId="77777777" w:rsidR="00E11AE7" w:rsidRDefault="00520C11">
            <w:pPr>
              <w:jc w:val="both"/>
            </w:pPr>
            <w:r>
              <w:rPr>
                <w:rFonts w:ascii="Palatino Linotype" w:eastAsia="Palatino Linotype" w:hAnsi="Palatino Linotype" w:cs="Palatino Linotype"/>
                <w:color w:val="000000"/>
                <w:sz w:val="12"/>
                <w:szCs w:val="12"/>
              </w:rPr>
              <w:t xml:space="preserve">En caso que una vez desclasificado el expediente, </w:t>
            </w:r>
            <w:proofErr w:type="spellStart"/>
            <w:r>
              <w:rPr>
                <w:rFonts w:ascii="Palatino Linotype" w:eastAsia="Palatino Linotype" w:hAnsi="Palatino Linotype" w:cs="Palatino Linotype"/>
                <w:color w:val="000000"/>
                <w:sz w:val="12"/>
                <w:szCs w:val="12"/>
              </w:rPr>
              <w:t>subsistanpartes</w:t>
            </w:r>
            <w:proofErr w:type="spellEnd"/>
            <w:r>
              <w:rPr>
                <w:rFonts w:ascii="Palatino Linotype" w:eastAsia="Palatino Linotype" w:hAnsi="Palatino Linotype" w:cs="Palatino Linotype"/>
                <w:color w:val="000000"/>
                <w:sz w:val="12"/>
                <w:szCs w:val="12"/>
              </w:rPr>
              <w:t xml:space="preserve"> o secciones del mismo reservadas o confidenciales, se señalará este hecho.</w:t>
            </w:r>
          </w:p>
        </w:tc>
      </w:tr>
      <w:tr w:rsidR="00E11AE7" w14:paraId="63CC9BCC"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1774B" w14:textId="77777777" w:rsidR="00E11AE7" w:rsidRDefault="00E11AE7"/>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A30BE" w14:textId="77777777" w:rsidR="00E11AE7" w:rsidRDefault="00E11AE7"/>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CC138" w14:textId="77777777" w:rsidR="00E11AE7" w:rsidRDefault="00520C11">
            <w:pPr>
              <w:jc w:val="both"/>
            </w:pPr>
            <w:r>
              <w:rPr>
                <w:rFonts w:ascii="Palatino Linotype" w:eastAsia="Palatino Linotype" w:hAnsi="Palatino Linotype" w:cs="Palatino Linotype"/>
                <w:b/>
                <w:color w:val="000000"/>
                <w:sz w:val="12"/>
                <w:szCs w:val="12"/>
              </w:rPr>
              <w:t>Rúbrica y cargo del servidor público</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D2CCD" w14:textId="77777777" w:rsidR="00E11AE7" w:rsidRDefault="00520C11">
            <w:pPr>
              <w:jc w:val="both"/>
            </w:pPr>
            <w:r>
              <w:rPr>
                <w:rFonts w:ascii="Palatino Linotype" w:eastAsia="Palatino Linotype" w:hAnsi="Palatino Linotype" w:cs="Palatino Linotype"/>
                <w:color w:val="000000"/>
                <w:sz w:val="12"/>
                <w:szCs w:val="12"/>
              </w:rPr>
              <w:t>Rúbrica autógrafa de quien desclasifica.</w:t>
            </w:r>
          </w:p>
        </w:tc>
      </w:tr>
    </w:tbl>
    <w:p w14:paraId="3B81CD88" w14:textId="77777777" w:rsidR="00E11AE7" w:rsidRDefault="00E11AE7"/>
    <w:p w14:paraId="7DB6ADDF" w14:textId="77777777" w:rsidR="00E11AE7" w:rsidRDefault="00520C11">
      <w:pPr>
        <w:spacing w:before="240" w:after="24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Así, con fundamento en lo prescrito en los</w:t>
      </w:r>
      <w:r>
        <w:rPr>
          <w:rFonts w:ascii="Times New Roman" w:eastAsia="Times New Roman" w:hAnsi="Times New Roman" w:cs="Times New Roman"/>
          <w:color w:val="000000"/>
          <w:sz w:val="24"/>
          <w:szCs w:val="24"/>
        </w:rPr>
        <w:t xml:space="preserve"> </w:t>
      </w:r>
      <w:r>
        <w:rPr>
          <w:rFonts w:ascii="Palatino Linotype" w:eastAsia="Palatino Linotype" w:hAnsi="Palatino Linotype" w:cs="Palatino Linotype"/>
          <w:color w:val="000000"/>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439518D" w14:textId="77777777" w:rsidR="00E11AE7" w:rsidRDefault="00520C11">
      <w:pPr>
        <w:spacing w:after="0"/>
        <w:ind w:left="-142"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 S U E L V E:</w:t>
      </w:r>
    </w:p>
    <w:p w14:paraId="05FA6CB6" w14:textId="77777777" w:rsidR="00E11AE7" w:rsidRDefault="00E11AE7">
      <w:pPr>
        <w:spacing w:after="0" w:line="360" w:lineRule="auto"/>
        <w:ind w:left="-142" w:right="49"/>
        <w:jc w:val="both"/>
        <w:rPr>
          <w:rFonts w:ascii="Palatino Linotype" w:eastAsia="Palatino Linotype" w:hAnsi="Palatino Linotype" w:cs="Palatino Linotype"/>
          <w:sz w:val="24"/>
          <w:szCs w:val="24"/>
        </w:rPr>
      </w:pPr>
    </w:p>
    <w:p w14:paraId="73293777" w14:textId="77777777" w:rsidR="00E11AE7" w:rsidRDefault="00520C1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w:t>
      </w:r>
      <w:r>
        <w:rPr>
          <w:rFonts w:ascii="Palatino Linotype" w:eastAsia="Palatino Linotype" w:hAnsi="Palatino Linotype" w:cs="Palatino Linotype"/>
          <w:sz w:val="24"/>
          <w:szCs w:val="24"/>
        </w:rPr>
        <w:t xml:space="preserve"> Resultan fundados los motivos de inconformidad hechos valer por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01569/INFOEM/IP/RR/2022</w:t>
      </w:r>
      <w:r>
        <w:rPr>
          <w:rFonts w:ascii="Palatino Linotype" w:eastAsia="Palatino Linotype" w:hAnsi="Palatino Linotype" w:cs="Palatino Linotype"/>
          <w:sz w:val="24"/>
          <w:szCs w:val="24"/>
        </w:rPr>
        <w:t>, en términos del considerando cuarto.</w:t>
      </w:r>
    </w:p>
    <w:p w14:paraId="0F41B6A9" w14:textId="77777777" w:rsidR="00E11AE7" w:rsidRDefault="00E11AE7">
      <w:pPr>
        <w:spacing w:line="360" w:lineRule="auto"/>
        <w:ind w:right="49"/>
        <w:jc w:val="both"/>
        <w:rPr>
          <w:rFonts w:ascii="Palatino Linotype" w:eastAsia="Palatino Linotype" w:hAnsi="Palatino Linotype" w:cs="Palatino Linotype"/>
          <w:b/>
          <w:sz w:val="24"/>
          <w:szCs w:val="24"/>
        </w:rPr>
      </w:pPr>
    </w:p>
    <w:p w14:paraId="6709308F" w14:textId="77777777" w:rsidR="00E11AE7" w:rsidRDefault="00520C11">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REVOCA</w:t>
      </w:r>
      <w:r>
        <w:rPr>
          <w:rFonts w:ascii="Palatino Linotype" w:eastAsia="Palatino Linotype" w:hAnsi="Palatino Linotype" w:cs="Palatino Linotype"/>
          <w:sz w:val="24"/>
          <w:szCs w:val="24"/>
        </w:rPr>
        <w:t xml:space="preserve">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que en términos del Considerando Cuarto y Quinto de esta resolución haga entrega, vía SAIMEX, en versión pública de ser procedente, del documento donde conste: </w:t>
      </w:r>
    </w:p>
    <w:p w14:paraId="6698BC82" w14:textId="77777777" w:rsidR="00E11AE7" w:rsidRDefault="00520C11">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xml:space="preserve">Convenio celebrado en fecha 15 de agosto del año 2000, entre el entonces Presidente Municipal y la Particular señalada como Beneficiaria, conforme al documento señalado por el ahora recurrente. </w:t>
      </w:r>
    </w:p>
    <w:p w14:paraId="58770B96" w14:textId="7B5BFECA" w:rsidR="00E11AE7" w:rsidRPr="005B6148" w:rsidRDefault="00520C11">
      <w:pPr>
        <w:spacing w:before="240" w:after="120" w:line="360" w:lineRule="auto"/>
        <w:ind w:right="49"/>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lastRenderedPageBreak/>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44C9A0DC" w14:textId="134A793B" w:rsidR="00E11AE7" w:rsidRPr="005B6148" w:rsidRDefault="005B6148" w:rsidP="005B6148">
      <w:pPr>
        <w:spacing w:before="240" w:after="240" w:line="360" w:lineRule="auto"/>
        <w:ind w:right="49"/>
        <w:jc w:val="both"/>
        <w:rPr>
          <w:rFonts w:ascii="Palatino Linotype" w:hAnsi="Palatino Linotype"/>
          <w:sz w:val="24"/>
          <w:szCs w:val="24"/>
          <w:lang w:val="es-ES_tradnl"/>
        </w:rPr>
      </w:pPr>
      <w:r w:rsidRPr="006C0D63">
        <w:rPr>
          <w:rFonts w:ascii="Palatino Linotype" w:eastAsia="Times New Roman" w:hAnsi="Palatino Linotype" w:cs="Arial"/>
          <w:color w:val="000000" w:themeColor="text1"/>
          <w:sz w:val="24"/>
          <w:szCs w:val="24"/>
          <w:lang w:eastAsia="es-ES"/>
        </w:rPr>
        <w:t>En el</w:t>
      </w:r>
      <w:r w:rsidRPr="006C0D63">
        <w:rPr>
          <w:rFonts w:ascii="Palatino Linotype" w:hAnsi="Palatino Linotype"/>
          <w:sz w:val="24"/>
          <w:szCs w:val="24"/>
          <w:lang w:val="es-ES_tradnl"/>
        </w:rPr>
        <w:t xml:space="preserve"> caso que derivado de la búsqueda exhaustiva y razonable, no se localice la información que se ordena, el Sujeto Obligado deberá emitir el Acuerdo de Inexistencia en términos de los artículos 49, fracciones II y XIII, 169 y 170 de la Ley de Transparencia y Acceso a la Información Pública del Estado de México y Municipios, debiendo notificarlo a la recurrente al momento de dar cumplimiento a la presente resolución.</w:t>
      </w:r>
    </w:p>
    <w:p w14:paraId="062CEA1F" w14:textId="77777777" w:rsidR="00E11AE7" w:rsidRDefault="00520C1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w:t>
      </w:r>
      <w:r>
        <w:rPr>
          <w:rFonts w:ascii="Palatino Linotype" w:eastAsia="Palatino Linotype" w:hAnsi="Palatino Linotype" w:cs="Palatino Linotype"/>
          <w:sz w:val="24"/>
          <w:szCs w:val="24"/>
        </w:rPr>
        <w:t> </w:t>
      </w:r>
      <w:r>
        <w:rPr>
          <w:rFonts w:ascii="Palatino Linotype" w:eastAsia="Palatino Linotype" w:hAnsi="Palatino Linotype" w:cs="Palatino Linotype"/>
          <w:b/>
          <w:sz w:val="24"/>
          <w:szCs w:val="24"/>
        </w:rPr>
        <w:t xml:space="preserve">NOTIFÍQUESE vía SAIMEX </w:t>
      </w:r>
      <w:r>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41E64B5" w14:textId="77777777" w:rsidR="00E11AE7" w:rsidRDefault="00E11AE7">
      <w:pPr>
        <w:spacing w:after="0" w:line="360" w:lineRule="auto"/>
        <w:ind w:right="49"/>
        <w:jc w:val="both"/>
        <w:rPr>
          <w:rFonts w:ascii="Palatino Linotype" w:eastAsia="Palatino Linotype" w:hAnsi="Palatino Linotype" w:cs="Palatino Linotype"/>
          <w:sz w:val="24"/>
          <w:szCs w:val="24"/>
        </w:rPr>
      </w:pPr>
    </w:p>
    <w:p w14:paraId="1D0A2522" w14:textId="77777777" w:rsidR="00E11AE7" w:rsidRDefault="00520C1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93F57BA" w14:textId="77777777" w:rsidR="00E11AE7" w:rsidRDefault="00E11AE7">
      <w:pPr>
        <w:spacing w:after="0" w:line="360" w:lineRule="auto"/>
        <w:ind w:right="49"/>
        <w:jc w:val="both"/>
        <w:rPr>
          <w:rFonts w:ascii="Palatino Linotype" w:eastAsia="Palatino Linotype" w:hAnsi="Palatino Linotype" w:cs="Palatino Linotype"/>
          <w:sz w:val="24"/>
          <w:szCs w:val="24"/>
        </w:rPr>
      </w:pPr>
    </w:p>
    <w:p w14:paraId="7E155442" w14:textId="77777777" w:rsidR="00E11AE7" w:rsidRDefault="00520C1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QUINTO. NOTIFÍQUESE vía SAIMEX</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12A56CA8" w14:textId="7980AC43" w:rsidR="005B7C70" w:rsidRPr="005B6148" w:rsidRDefault="005B6148" w:rsidP="005B7C70">
      <w:pPr>
        <w:spacing w:before="240" w:after="240" w:line="360" w:lineRule="auto"/>
        <w:jc w:val="both"/>
        <w:rPr>
          <w:rFonts w:ascii="Palatino Linotype" w:hAnsi="Palatino Linotype" w:cs="Arial"/>
          <w:sz w:val="24"/>
          <w:szCs w:val="24"/>
        </w:rPr>
      </w:pPr>
      <w:r w:rsidRPr="005B6148">
        <w:rPr>
          <w:rFonts w:ascii="Palatino Linotype" w:hAnsi="Palatino Linotype" w:cs="Arial"/>
          <w:b/>
          <w:bCs/>
          <w:sz w:val="24"/>
          <w:szCs w:val="24"/>
        </w:rPr>
        <w:t>SEXTO. GÍRESE</w:t>
      </w:r>
      <w:r w:rsidRPr="005B6148">
        <w:rPr>
          <w:rFonts w:ascii="Palatino Linotype" w:hAnsi="Palatino Linotype" w:cs="Arial"/>
          <w:sz w:val="24"/>
          <w:szCs w:val="24"/>
        </w:rPr>
        <w:t xml:space="preserve"> </w:t>
      </w:r>
      <w:r w:rsidR="005B7C70" w:rsidRPr="005B6148">
        <w:rPr>
          <w:rFonts w:ascii="Palatino Linotype" w:hAnsi="Palatino Linotype" w:cs="Arial"/>
          <w:sz w:val="24"/>
          <w:szCs w:val="24"/>
        </w:rPr>
        <w:t xml:space="preserve">oficio al Titular de la Dirección General de Protección de Datos Personales de este Instituto con fundamento en el artículo 82 fracción XXVII de la Ley de Protección de Datos Personales en Posesión de Sujetos Obligados del Estado de México y Municipios, para que actúen en razón de su competencia, en términos de lo expuesto en el Considerando </w:t>
      </w:r>
      <w:r w:rsidR="005B7C70" w:rsidRPr="005B6148">
        <w:rPr>
          <w:rFonts w:ascii="Palatino Linotype" w:hAnsi="Palatino Linotype" w:cs="Arial"/>
          <w:b/>
          <w:sz w:val="24"/>
          <w:szCs w:val="24"/>
        </w:rPr>
        <w:t>Cuarto</w:t>
      </w:r>
      <w:r w:rsidR="005B7C70" w:rsidRPr="005B6148">
        <w:rPr>
          <w:rFonts w:ascii="Palatino Linotype" w:hAnsi="Palatino Linotype" w:cs="Arial"/>
          <w:sz w:val="24"/>
          <w:szCs w:val="24"/>
        </w:rPr>
        <w:t xml:space="preserve"> de la presente resolución.</w:t>
      </w:r>
    </w:p>
    <w:p w14:paraId="3EAF8489" w14:textId="77777777" w:rsidR="00E11AE7" w:rsidRDefault="00E11AE7">
      <w:pPr>
        <w:spacing w:after="120" w:line="360" w:lineRule="auto"/>
        <w:ind w:right="49"/>
        <w:jc w:val="both"/>
        <w:rPr>
          <w:rFonts w:ascii="Palatino Linotype" w:eastAsia="Palatino Linotype" w:hAnsi="Palatino Linotype" w:cs="Palatino Linotype"/>
          <w:b/>
          <w:sz w:val="24"/>
          <w:szCs w:val="24"/>
        </w:rPr>
      </w:pPr>
    </w:p>
    <w:p w14:paraId="6E7C493E" w14:textId="77777777" w:rsidR="00E11AE7" w:rsidRDefault="00520C11">
      <w:pPr>
        <w:spacing w:before="120" w:after="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ONCE DE MAYO DE DOS MIL VEINTIDÓS, ANTE EL SECRETARIO TÉCNICO DEL PLENO ALEXIS TAPIA RAMÍREZ.</w:t>
      </w:r>
    </w:p>
    <w:p w14:paraId="3112C8AF" w14:textId="0D440DF3" w:rsidR="00E11AE7" w:rsidRDefault="00E11AE7">
      <w:pPr>
        <w:tabs>
          <w:tab w:val="left" w:pos="1140"/>
        </w:tabs>
        <w:spacing w:line="360" w:lineRule="auto"/>
        <w:jc w:val="both"/>
        <w:rPr>
          <w:rFonts w:ascii="Palatino Linotype" w:eastAsia="Palatino Linotype" w:hAnsi="Palatino Linotype" w:cs="Palatino Linotype"/>
          <w:sz w:val="24"/>
          <w:szCs w:val="24"/>
        </w:rPr>
      </w:pPr>
    </w:p>
    <w:p w14:paraId="06D7CF30" w14:textId="203428D9" w:rsidR="004D6A96" w:rsidRDefault="004D6A96">
      <w:pPr>
        <w:tabs>
          <w:tab w:val="left" w:pos="1140"/>
        </w:tabs>
        <w:spacing w:line="360" w:lineRule="auto"/>
        <w:jc w:val="both"/>
        <w:rPr>
          <w:rFonts w:ascii="Palatino Linotype" w:eastAsia="Palatino Linotype" w:hAnsi="Palatino Linotype" w:cs="Palatino Linotype"/>
          <w:sz w:val="24"/>
          <w:szCs w:val="24"/>
        </w:rPr>
      </w:pPr>
    </w:p>
    <w:p w14:paraId="0C0FE075" w14:textId="77777777" w:rsidR="004D6A96" w:rsidRDefault="004D6A96">
      <w:pPr>
        <w:tabs>
          <w:tab w:val="left" w:pos="1140"/>
        </w:tabs>
        <w:spacing w:line="360" w:lineRule="auto"/>
        <w:jc w:val="both"/>
        <w:rPr>
          <w:rFonts w:ascii="Palatino Linotype" w:eastAsia="Palatino Linotype" w:hAnsi="Palatino Linotype" w:cs="Palatino Linotype"/>
          <w:sz w:val="24"/>
          <w:szCs w:val="24"/>
        </w:rPr>
      </w:pPr>
    </w:p>
    <w:p w14:paraId="38A9B079" w14:textId="0C328CBA" w:rsidR="00E11AE7" w:rsidRDefault="00E11AE7">
      <w:pPr>
        <w:tabs>
          <w:tab w:val="left" w:pos="1140"/>
        </w:tabs>
        <w:spacing w:line="360" w:lineRule="auto"/>
        <w:jc w:val="both"/>
        <w:rPr>
          <w:rFonts w:ascii="Palatino Linotype" w:eastAsia="Palatino Linotype" w:hAnsi="Palatino Linotype" w:cs="Palatino Linotype"/>
          <w:sz w:val="40"/>
          <w:szCs w:val="40"/>
        </w:rPr>
      </w:pPr>
    </w:p>
    <w:p w14:paraId="0A4D7FD5" w14:textId="5A2DD410" w:rsidR="00D250A6" w:rsidRDefault="00D250A6">
      <w:pPr>
        <w:tabs>
          <w:tab w:val="left" w:pos="1140"/>
        </w:tabs>
        <w:spacing w:line="360" w:lineRule="auto"/>
        <w:jc w:val="both"/>
        <w:rPr>
          <w:rFonts w:ascii="Palatino Linotype" w:eastAsia="Palatino Linotype" w:hAnsi="Palatino Linotype" w:cs="Palatino Linotype"/>
          <w:sz w:val="40"/>
          <w:szCs w:val="40"/>
        </w:rPr>
      </w:pPr>
    </w:p>
    <w:p w14:paraId="2B2D40CE" w14:textId="021BF442" w:rsidR="00D250A6" w:rsidRDefault="00D250A6">
      <w:pPr>
        <w:tabs>
          <w:tab w:val="left" w:pos="1140"/>
        </w:tabs>
        <w:spacing w:line="360" w:lineRule="auto"/>
        <w:jc w:val="both"/>
        <w:rPr>
          <w:rFonts w:ascii="Palatino Linotype" w:eastAsia="Palatino Linotype" w:hAnsi="Palatino Linotype" w:cs="Palatino Linotype"/>
          <w:sz w:val="40"/>
          <w:szCs w:val="40"/>
        </w:rPr>
      </w:pPr>
    </w:p>
    <w:p w14:paraId="05763E27" w14:textId="77777777" w:rsidR="00D250A6" w:rsidRDefault="00D250A6">
      <w:pPr>
        <w:tabs>
          <w:tab w:val="left" w:pos="1140"/>
        </w:tabs>
        <w:spacing w:line="360" w:lineRule="auto"/>
        <w:jc w:val="both"/>
        <w:rPr>
          <w:rFonts w:ascii="Palatino Linotype" w:eastAsia="Palatino Linotype" w:hAnsi="Palatino Linotype" w:cs="Palatino Linotype"/>
          <w:sz w:val="40"/>
          <w:szCs w:val="40"/>
        </w:rPr>
      </w:pPr>
    </w:p>
    <w:sectPr w:rsidR="00D250A6">
      <w:headerReference w:type="default" r:id="rId22"/>
      <w:footerReference w:type="default" r:id="rId23"/>
      <w:pgSz w:w="12240" w:h="15840"/>
      <w:pgMar w:top="1417" w:right="1750"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A80478" w14:textId="77777777" w:rsidR="00ED1714" w:rsidRDefault="00ED1714">
      <w:pPr>
        <w:spacing w:after="0" w:line="240" w:lineRule="auto"/>
      </w:pPr>
      <w:r>
        <w:separator/>
      </w:r>
    </w:p>
  </w:endnote>
  <w:endnote w:type="continuationSeparator" w:id="0">
    <w:p w14:paraId="755D0490" w14:textId="77777777" w:rsidR="00ED1714" w:rsidRDefault="00ED1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3D3C4" w14:textId="77777777" w:rsidR="0092204B" w:rsidRDefault="0092204B" w:rsidP="0092204B">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34EE1">
      <w:rPr>
        <w:rFonts w:ascii="Arial" w:hAnsi="Arial" w:cs="Arial"/>
        <w:b/>
        <w:bCs/>
        <w:noProof/>
        <w:sz w:val="20"/>
        <w:szCs w:val="20"/>
      </w:rPr>
      <w:t>22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34EE1">
      <w:rPr>
        <w:rFonts w:ascii="Arial" w:hAnsi="Arial" w:cs="Arial"/>
        <w:b/>
        <w:bCs/>
        <w:noProof/>
        <w:sz w:val="20"/>
        <w:szCs w:val="20"/>
      </w:rPr>
      <w:t>40</w:t>
    </w:r>
    <w:r>
      <w:rPr>
        <w:rFonts w:ascii="Arial" w:hAnsi="Arial" w:cs="Arial"/>
        <w:b/>
        <w:bCs/>
        <w:sz w:val="20"/>
        <w:szCs w:val="20"/>
      </w:rPr>
      <w:fldChar w:fldCharType="end"/>
    </w:r>
  </w:p>
  <w:p w14:paraId="35710C5B" w14:textId="77777777" w:rsidR="0092204B" w:rsidRDefault="009220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609EB" w14:textId="77777777" w:rsidR="0092204B" w:rsidRDefault="0092204B" w:rsidP="0092204B">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34EE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34EE1">
      <w:rPr>
        <w:rFonts w:ascii="Arial" w:hAnsi="Arial" w:cs="Arial"/>
        <w:b/>
        <w:bCs/>
        <w:noProof/>
        <w:sz w:val="20"/>
        <w:szCs w:val="20"/>
      </w:rPr>
      <w:t>40</w:t>
    </w:r>
    <w:r>
      <w:rPr>
        <w:rFonts w:ascii="Arial" w:hAnsi="Arial" w:cs="Arial"/>
        <w:b/>
        <w:bCs/>
        <w:sz w:val="20"/>
        <w:szCs w:val="20"/>
      </w:rPr>
      <w:fldChar w:fldCharType="end"/>
    </w:r>
  </w:p>
  <w:p w14:paraId="4A6E39A3" w14:textId="77777777" w:rsidR="0092204B" w:rsidRDefault="0092204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2570864"/>
      <w:docPartObj>
        <w:docPartGallery w:val="Page Numbers (Bottom of Page)"/>
        <w:docPartUnique/>
      </w:docPartObj>
    </w:sdtPr>
    <w:sdtEndPr/>
    <w:sdtContent>
      <w:sdt>
        <w:sdtPr>
          <w:id w:val="-1769616900"/>
          <w:docPartObj>
            <w:docPartGallery w:val="Page Numbers (Top of Page)"/>
            <w:docPartUnique/>
          </w:docPartObj>
        </w:sdtPr>
        <w:sdtEndPr/>
        <w:sdtContent>
          <w:p w14:paraId="69A5452A" w14:textId="7E1DDE8F" w:rsidR="00E00E17" w:rsidRDefault="00E00E17">
            <w:pPr>
              <w:pStyle w:val="Piedepgina"/>
              <w:jc w:val="right"/>
            </w:pPr>
            <w:r>
              <w:t xml:space="preserve">Página </w:t>
            </w:r>
            <w:r w:rsidR="00D250A6">
              <w:rPr>
                <w:b/>
                <w:bCs/>
                <w:sz w:val="24"/>
                <w:szCs w:val="24"/>
              </w:rPr>
              <w:t>40</w:t>
            </w:r>
            <w:r>
              <w:t xml:space="preserve"> de </w:t>
            </w:r>
            <w:r>
              <w:rPr>
                <w:b/>
                <w:bCs/>
                <w:sz w:val="24"/>
                <w:szCs w:val="24"/>
              </w:rPr>
              <w:fldChar w:fldCharType="begin"/>
            </w:r>
            <w:r>
              <w:rPr>
                <w:b/>
                <w:bCs/>
              </w:rPr>
              <w:instrText>NUMPAGES</w:instrText>
            </w:r>
            <w:r>
              <w:rPr>
                <w:b/>
                <w:bCs/>
                <w:sz w:val="24"/>
                <w:szCs w:val="24"/>
              </w:rPr>
              <w:fldChar w:fldCharType="separate"/>
            </w:r>
            <w:r w:rsidR="00134EE1">
              <w:rPr>
                <w:b/>
                <w:bCs/>
                <w:noProof/>
              </w:rPr>
              <w:t>40</w:t>
            </w:r>
            <w:r>
              <w:rPr>
                <w:b/>
                <w:bCs/>
                <w:sz w:val="24"/>
                <w:szCs w:val="24"/>
              </w:rPr>
              <w:fldChar w:fldCharType="end"/>
            </w:r>
          </w:p>
        </w:sdtContent>
      </w:sdt>
    </w:sdtContent>
  </w:sdt>
  <w:p w14:paraId="78D333E1" w14:textId="77777777" w:rsidR="00E11AE7" w:rsidRDefault="00E11AE7" w:rsidP="004D6A96">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C5901" w14:textId="77777777" w:rsidR="00ED1714" w:rsidRDefault="00ED1714">
      <w:pPr>
        <w:spacing w:after="0" w:line="240" w:lineRule="auto"/>
      </w:pPr>
      <w:r>
        <w:separator/>
      </w:r>
    </w:p>
  </w:footnote>
  <w:footnote w:type="continuationSeparator" w:id="0">
    <w:p w14:paraId="3CCCA6F3" w14:textId="77777777" w:rsidR="00ED1714" w:rsidRDefault="00ED1714">
      <w:pPr>
        <w:spacing w:after="0" w:line="240" w:lineRule="auto"/>
      </w:pPr>
      <w:r>
        <w:continuationSeparator/>
      </w:r>
    </w:p>
  </w:footnote>
  <w:footnote w:id="1">
    <w:p w14:paraId="4ED1C421" w14:textId="77777777" w:rsidR="00E11AE7" w:rsidRDefault="00520C11">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605E1601" w14:textId="77777777" w:rsidR="00E11AE7" w:rsidRDefault="00520C11">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147F1369" w14:textId="77777777" w:rsidR="00E11AE7" w:rsidRDefault="00520C11">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6A185DF6" w14:textId="77777777" w:rsidR="00E11AE7" w:rsidRDefault="00520C11">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3D996C2" w14:textId="77777777" w:rsidR="00E11AE7" w:rsidRDefault="00520C1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79" w:type="dxa"/>
      <w:tblInd w:w="-1281" w:type="dxa"/>
      <w:tblLayout w:type="fixed"/>
      <w:tblCellMar>
        <w:left w:w="70" w:type="dxa"/>
        <w:right w:w="70" w:type="dxa"/>
      </w:tblCellMar>
      <w:tblLook w:val="04A0" w:firstRow="1" w:lastRow="0" w:firstColumn="1" w:lastColumn="0" w:noHBand="0" w:noVBand="1"/>
    </w:tblPr>
    <w:tblGrid>
      <w:gridCol w:w="5576"/>
      <w:gridCol w:w="4903"/>
    </w:tblGrid>
    <w:tr w:rsidR="0092204B" w:rsidRPr="000432C3" w14:paraId="7BECD1D5" w14:textId="77777777" w:rsidTr="00815092">
      <w:trPr>
        <w:trHeight w:val="245"/>
      </w:trPr>
      <w:tc>
        <w:tcPr>
          <w:tcW w:w="5576" w:type="dxa"/>
          <w:hideMark/>
        </w:tcPr>
        <w:p w14:paraId="7987DA22" w14:textId="77777777" w:rsidR="0092204B" w:rsidRPr="000432C3" w:rsidRDefault="0092204B" w:rsidP="0092204B">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Recurso de Revisión N°:</w:t>
          </w:r>
        </w:p>
      </w:tc>
      <w:tc>
        <w:tcPr>
          <w:tcW w:w="4903" w:type="dxa"/>
          <w:hideMark/>
        </w:tcPr>
        <w:p w14:paraId="6BC83D84" w14:textId="77777777" w:rsidR="0092204B" w:rsidRPr="000432C3" w:rsidRDefault="0092204B" w:rsidP="0092204B">
          <w:pPr>
            <w:spacing w:after="120"/>
            <w:ind w:left="-486" w:right="214" w:firstLine="1408"/>
            <w:jc w:val="right"/>
            <w:rPr>
              <w:rFonts w:ascii="Palatino Linotype" w:hAnsi="Palatino Linotype" w:cs="Arial"/>
              <w:sz w:val="24"/>
            </w:rPr>
          </w:pPr>
          <w:r w:rsidRPr="000432C3">
            <w:rPr>
              <w:rFonts w:ascii="Palatino Linotype" w:hAnsi="Palatino Linotype" w:cs="Arial"/>
              <w:bCs/>
              <w:sz w:val="24"/>
            </w:rPr>
            <w:t>0</w:t>
          </w:r>
          <w:r>
            <w:rPr>
              <w:rFonts w:ascii="Palatino Linotype" w:hAnsi="Palatino Linotype" w:cs="Arial"/>
              <w:bCs/>
              <w:sz w:val="24"/>
            </w:rPr>
            <w:t>1569</w:t>
          </w:r>
          <w:r w:rsidRPr="000432C3">
            <w:rPr>
              <w:rFonts w:ascii="Palatino Linotype" w:hAnsi="Palatino Linotype" w:cs="Arial"/>
              <w:bCs/>
              <w:sz w:val="24"/>
            </w:rPr>
            <w:t>/INFOEM/IP/RR/202</w:t>
          </w:r>
          <w:r>
            <w:rPr>
              <w:rFonts w:ascii="Palatino Linotype" w:hAnsi="Palatino Linotype" w:cs="Arial"/>
              <w:bCs/>
              <w:sz w:val="24"/>
            </w:rPr>
            <w:t>2</w:t>
          </w:r>
        </w:p>
      </w:tc>
    </w:tr>
    <w:tr w:rsidR="0092204B" w:rsidRPr="000432C3" w14:paraId="0DDB8664" w14:textId="77777777" w:rsidTr="00815092">
      <w:trPr>
        <w:trHeight w:val="211"/>
      </w:trPr>
      <w:tc>
        <w:tcPr>
          <w:tcW w:w="5576" w:type="dxa"/>
          <w:hideMark/>
        </w:tcPr>
        <w:p w14:paraId="473AD356" w14:textId="0F2B9C0E" w:rsidR="0092204B" w:rsidRPr="000432C3" w:rsidRDefault="0092204B" w:rsidP="0092204B">
          <w:pPr>
            <w:spacing w:after="120"/>
            <w:ind w:right="204"/>
            <w:jc w:val="right"/>
            <w:rPr>
              <w:rFonts w:ascii="Palatino Linotype" w:hAnsi="Palatino Linotype" w:cs="Arial"/>
              <w:b/>
              <w:sz w:val="24"/>
              <w:szCs w:val="20"/>
            </w:rPr>
          </w:pPr>
          <w:r>
            <w:rPr>
              <w:noProof/>
            </w:rPr>
            <w:drawing>
              <wp:anchor distT="0" distB="0" distL="0" distR="0" simplePos="0" relativeHeight="251662336" behindDoc="1" locked="0" layoutInCell="1" hidden="0" allowOverlap="1" wp14:anchorId="738EF689" wp14:editId="67E716D5">
                <wp:simplePos x="0" y="0"/>
                <wp:positionH relativeFrom="page">
                  <wp:posOffset>-408940</wp:posOffset>
                </wp:positionH>
                <wp:positionV relativeFrom="paragraph">
                  <wp:posOffset>-746125</wp:posOffset>
                </wp:positionV>
                <wp:extent cx="7867650" cy="10133330"/>
                <wp:effectExtent l="0" t="0" r="0" b="127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r w:rsidRPr="000432C3">
            <w:rPr>
              <w:rFonts w:ascii="Palatino Linotype" w:hAnsi="Palatino Linotype" w:cs="Arial"/>
              <w:b/>
              <w:sz w:val="24"/>
              <w:szCs w:val="20"/>
            </w:rPr>
            <w:t>Recurrente:</w:t>
          </w:r>
        </w:p>
      </w:tc>
      <w:tc>
        <w:tcPr>
          <w:tcW w:w="4903" w:type="dxa"/>
          <w:hideMark/>
        </w:tcPr>
        <w:p w14:paraId="36CA66EE" w14:textId="77777777" w:rsidR="0092204B" w:rsidRPr="000432C3" w:rsidRDefault="0092204B" w:rsidP="0092204B">
          <w:pPr>
            <w:spacing w:after="120"/>
            <w:ind w:left="-486" w:right="214" w:firstLine="567"/>
            <w:jc w:val="right"/>
            <w:rPr>
              <w:rFonts w:ascii="Palatino Linotype" w:hAnsi="Palatino Linotype" w:cs="Arial"/>
              <w:sz w:val="24"/>
            </w:rPr>
          </w:pPr>
        </w:p>
      </w:tc>
    </w:tr>
    <w:tr w:rsidR="0092204B" w:rsidRPr="00987955" w14:paraId="4AD46EDD" w14:textId="77777777" w:rsidTr="00815092">
      <w:trPr>
        <w:trHeight w:val="262"/>
      </w:trPr>
      <w:tc>
        <w:tcPr>
          <w:tcW w:w="5576" w:type="dxa"/>
          <w:hideMark/>
        </w:tcPr>
        <w:p w14:paraId="39BF5A35" w14:textId="3406372C" w:rsidR="0092204B" w:rsidRPr="000432C3" w:rsidRDefault="0092204B" w:rsidP="0092204B">
          <w:pPr>
            <w:spacing w:after="0"/>
            <w:ind w:right="204"/>
            <w:jc w:val="right"/>
            <w:rPr>
              <w:rFonts w:ascii="Palatino Linotype" w:hAnsi="Palatino Linotype" w:cs="Arial"/>
              <w:b/>
              <w:sz w:val="24"/>
              <w:szCs w:val="20"/>
            </w:rPr>
          </w:pPr>
          <w:r w:rsidRPr="000432C3">
            <w:rPr>
              <w:rFonts w:ascii="Palatino Linotype" w:hAnsi="Palatino Linotype" w:cs="Arial"/>
              <w:b/>
              <w:sz w:val="24"/>
              <w:szCs w:val="20"/>
            </w:rPr>
            <w:t>Sujeto Obligado:</w:t>
          </w:r>
        </w:p>
      </w:tc>
      <w:tc>
        <w:tcPr>
          <w:tcW w:w="4903" w:type="dxa"/>
          <w:hideMark/>
        </w:tcPr>
        <w:p w14:paraId="7CF47FB6" w14:textId="77777777" w:rsidR="0092204B" w:rsidRPr="00987955" w:rsidRDefault="0092204B" w:rsidP="0092204B">
          <w:pPr>
            <w:pStyle w:val="Prrafodelista"/>
            <w:spacing w:after="0"/>
            <w:ind w:left="432" w:right="214"/>
            <w:jc w:val="right"/>
            <w:rPr>
              <w:rFonts w:ascii="Palatino Linotype" w:hAnsi="Palatino Linotype" w:cs="Arial"/>
              <w:sz w:val="24"/>
            </w:rPr>
          </w:pPr>
          <w:r>
            <w:rPr>
              <w:rFonts w:ascii="Palatino Linotype" w:hAnsi="Palatino Linotype" w:cs="Arial"/>
              <w:sz w:val="24"/>
            </w:rPr>
            <w:t>Ayuntamiento de Chimalhuacán.</w:t>
          </w:r>
        </w:p>
      </w:tc>
    </w:tr>
    <w:tr w:rsidR="0092204B" w:rsidRPr="000432C3" w14:paraId="4786F319" w14:textId="77777777" w:rsidTr="00815092">
      <w:trPr>
        <w:trHeight w:val="371"/>
      </w:trPr>
      <w:tc>
        <w:tcPr>
          <w:tcW w:w="5576" w:type="dxa"/>
          <w:hideMark/>
        </w:tcPr>
        <w:p w14:paraId="52ADF6F7" w14:textId="3F648ABF" w:rsidR="0092204B" w:rsidRPr="000432C3" w:rsidRDefault="0092204B" w:rsidP="0092204B">
          <w:pPr>
            <w:tabs>
              <w:tab w:val="left" w:pos="4892"/>
            </w:tabs>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Comisionada Ponente:</w:t>
          </w:r>
        </w:p>
      </w:tc>
      <w:tc>
        <w:tcPr>
          <w:tcW w:w="4903" w:type="dxa"/>
          <w:hideMark/>
        </w:tcPr>
        <w:p w14:paraId="76E84409" w14:textId="77777777" w:rsidR="0092204B" w:rsidRPr="000432C3" w:rsidRDefault="0092204B" w:rsidP="0092204B">
          <w:pPr>
            <w:spacing w:after="120"/>
            <w:ind w:left="-486" w:right="214" w:firstLine="567"/>
            <w:jc w:val="right"/>
            <w:rPr>
              <w:rFonts w:ascii="Palatino Linotype" w:hAnsi="Palatino Linotype" w:cs="Arial"/>
              <w:sz w:val="24"/>
            </w:rPr>
          </w:pPr>
          <w:r w:rsidRPr="000432C3">
            <w:rPr>
              <w:rFonts w:ascii="Palatino Linotype" w:hAnsi="Palatino Linotype" w:cs="Arial"/>
              <w:sz w:val="24"/>
            </w:rPr>
            <w:t>Guadalupe Ramírez Peña</w:t>
          </w:r>
          <w:r>
            <w:rPr>
              <w:rFonts w:ascii="Palatino Linotype" w:hAnsi="Palatino Linotype" w:cs="Arial"/>
              <w:sz w:val="24"/>
            </w:rPr>
            <w:t>.</w:t>
          </w:r>
        </w:p>
      </w:tc>
    </w:tr>
  </w:tbl>
  <w:p w14:paraId="40FB5810" w14:textId="49D8B8FD" w:rsidR="0092204B" w:rsidRDefault="0092204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79" w:type="dxa"/>
      <w:tblInd w:w="-1281" w:type="dxa"/>
      <w:tblLayout w:type="fixed"/>
      <w:tblCellMar>
        <w:left w:w="70" w:type="dxa"/>
        <w:right w:w="70" w:type="dxa"/>
      </w:tblCellMar>
      <w:tblLook w:val="04A0" w:firstRow="1" w:lastRow="0" w:firstColumn="1" w:lastColumn="0" w:noHBand="0" w:noVBand="1"/>
    </w:tblPr>
    <w:tblGrid>
      <w:gridCol w:w="5576"/>
      <w:gridCol w:w="4903"/>
    </w:tblGrid>
    <w:tr w:rsidR="0092204B" w:rsidRPr="000432C3" w14:paraId="348D6110" w14:textId="77777777" w:rsidTr="00815092">
      <w:trPr>
        <w:trHeight w:val="245"/>
      </w:trPr>
      <w:tc>
        <w:tcPr>
          <w:tcW w:w="5576" w:type="dxa"/>
          <w:hideMark/>
        </w:tcPr>
        <w:p w14:paraId="5B4A4727" w14:textId="74CC3BDB" w:rsidR="0092204B" w:rsidRPr="000432C3" w:rsidRDefault="0092204B" w:rsidP="0092204B">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Recurso de Revisión N°:</w:t>
          </w:r>
        </w:p>
      </w:tc>
      <w:tc>
        <w:tcPr>
          <w:tcW w:w="4903" w:type="dxa"/>
          <w:hideMark/>
        </w:tcPr>
        <w:p w14:paraId="4B9880AE" w14:textId="37EB5757" w:rsidR="0092204B" w:rsidRPr="000432C3" w:rsidRDefault="0092204B" w:rsidP="0092204B">
          <w:pPr>
            <w:spacing w:after="120"/>
            <w:ind w:left="-486" w:right="214" w:firstLine="1408"/>
            <w:jc w:val="right"/>
            <w:rPr>
              <w:rFonts w:ascii="Palatino Linotype" w:hAnsi="Palatino Linotype" w:cs="Arial"/>
              <w:sz w:val="24"/>
            </w:rPr>
          </w:pPr>
          <w:r w:rsidRPr="000432C3">
            <w:rPr>
              <w:rFonts w:ascii="Palatino Linotype" w:hAnsi="Palatino Linotype" w:cs="Arial"/>
              <w:bCs/>
              <w:sz w:val="24"/>
            </w:rPr>
            <w:t>0</w:t>
          </w:r>
          <w:r>
            <w:rPr>
              <w:rFonts w:ascii="Palatino Linotype" w:hAnsi="Palatino Linotype" w:cs="Arial"/>
              <w:bCs/>
              <w:sz w:val="24"/>
            </w:rPr>
            <w:t>1569</w:t>
          </w:r>
          <w:r w:rsidRPr="000432C3">
            <w:rPr>
              <w:rFonts w:ascii="Palatino Linotype" w:hAnsi="Palatino Linotype" w:cs="Arial"/>
              <w:bCs/>
              <w:sz w:val="24"/>
            </w:rPr>
            <w:t>/INFOEM/IP/RR/202</w:t>
          </w:r>
          <w:r>
            <w:rPr>
              <w:rFonts w:ascii="Palatino Linotype" w:hAnsi="Palatino Linotype" w:cs="Arial"/>
              <w:bCs/>
              <w:sz w:val="24"/>
            </w:rPr>
            <w:t>2</w:t>
          </w:r>
        </w:p>
      </w:tc>
    </w:tr>
    <w:tr w:rsidR="0092204B" w:rsidRPr="000432C3" w14:paraId="48276469" w14:textId="77777777" w:rsidTr="00815092">
      <w:trPr>
        <w:trHeight w:val="211"/>
      </w:trPr>
      <w:tc>
        <w:tcPr>
          <w:tcW w:w="5576" w:type="dxa"/>
          <w:hideMark/>
        </w:tcPr>
        <w:p w14:paraId="2ED17217" w14:textId="77777777" w:rsidR="0092204B" w:rsidRPr="000432C3" w:rsidRDefault="0092204B" w:rsidP="0092204B">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Recurrente:</w:t>
          </w:r>
        </w:p>
      </w:tc>
      <w:tc>
        <w:tcPr>
          <w:tcW w:w="4903" w:type="dxa"/>
          <w:hideMark/>
        </w:tcPr>
        <w:p w14:paraId="34129693" w14:textId="2C652F64" w:rsidR="0092204B" w:rsidRPr="000432C3" w:rsidRDefault="0092204B" w:rsidP="0092204B">
          <w:pPr>
            <w:spacing w:after="120"/>
            <w:ind w:left="-486" w:right="214" w:firstLine="567"/>
            <w:jc w:val="right"/>
            <w:rPr>
              <w:rFonts w:ascii="Palatino Linotype" w:hAnsi="Palatino Linotype" w:cs="Arial"/>
              <w:sz w:val="24"/>
            </w:rPr>
          </w:pPr>
        </w:p>
      </w:tc>
    </w:tr>
    <w:tr w:rsidR="0092204B" w:rsidRPr="00987955" w14:paraId="4D0625CD" w14:textId="77777777" w:rsidTr="00815092">
      <w:trPr>
        <w:trHeight w:val="262"/>
      </w:trPr>
      <w:tc>
        <w:tcPr>
          <w:tcW w:w="5576" w:type="dxa"/>
          <w:hideMark/>
        </w:tcPr>
        <w:p w14:paraId="2A43F646" w14:textId="77777777" w:rsidR="0092204B" w:rsidRPr="000432C3" w:rsidRDefault="0092204B" w:rsidP="0092204B">
          <w:pPr>
            <w:spacing w:after="0"/>
            <w:ind w:right="204"/>
            <w:jc w:val="right"/>
            <w:rPr>
              <w:rFonts w:ascii="Palatino Linotype" w:hAnsi="Palatino Linotype" w:cs="Arial"/>
              <w:b/>
              <w:sz w:val="24"/>
              <w:szCs w:val="20"/>
            </w:rPr>
          </w:pPr>
          <w:r w:rsidRPr="000432C3">
            <w:rPr>
              <w:rFonts w:ascii="Palatino Linotype" w:hAnsi="Palatino Linotype" w:cs="Arial"/>
              <w:b/>
              <w:sz w:val="24"/>
              <w:szCs w:val="20"/>
            </w:rPr>
            <w:t>Sujeto Obligado:</w:t>
          </w:r>
        </w:p>
      </w:tc>
      <w:tc>
        <w:tcPr>
          <w:tcW w:w="4903" w:type="dxa"/>
          <w:hideMark/>
        </w:tcPr>
        <w:p w14:paraId="0C4BA503" w14:textId="0178E059" w:rsidR="0092204B" w:rsidRPr="00987955" w:rsidRDefault="0092204B" w:rsidP="0092204B">
          <w:pPr>
            <w:pStyle w:val="Prrafodelista"/>
            <w:spacing w:after="0"/>
            <w:ind w:left="432" w:right="214"/>
            <w:jc w:val="right"/>
            <w:rPr>
              <w:rFonts w:ascii="Palatino Linotype" w:hAnsi="Palatino Linotype" w:cs="Arial"/>
              <w:sz w:val="24"/>
            </w:rPr>
          </w:pPr>
          <w:r>
            <w:rPr>
              <w:rFonts w:ascii="Palatino Linotype" w:hAnsi="Palatino Linotype" w:cs="Arial"/>
              <w:sz w:val="24"/>
            </w:rPr>
            <w:t>Ayuntamiento de Chimalhuacán.</w:t>
          </w:r>
        </w:p>
      </w:tc>
    </w:tr>
    <w:tr w:rsidR="0092204B" w:rsidRPr="000432C3" w14:paraId="44DB8008" w14:textId="77777777" w:rsidTr="00815092">
      <w:trPr>
        <w:trHeight w:val="371"/>
      </w:trPr>
      <w:tc>
        <w:tcPr>
          <w:tcW w:w="5576" w:type="dxa"/>
          <w:hideMark/>
        </w:tcPr>
        <w:p w14:paraId="7FE50EC6" w14:textId="77777777" w:rsidR="0092204B" w:rsidRPr="000432C3" w:rsidRDefault="0092204B" w:rsidP="0092204B">
          <w:pPr>
            <w:tabs>
              <w:tab w:val="left" w:pos="4892"/>
            </w:tabs>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Comisionada Ponente:</w:t>
          </w:r>
        </w:p>
      </w:tc>
      <w:tc>
        <w:tcPr>
          <w:tcW w:w="4903" w:type="dxa"/>
          <w:hideMark/>
        </w:tcPr>
        <w:p w14:paraId="1174B1F3" w14:textId="77777777" w:rsidR="0092204B" w:rsidRPr="000432C3" w:rsidRDefault="0092204B" w:rsidP="0092204B">
          <w:pPr>
            <w:spacing w:after="120"/>
            <w:ind w:left="-486" w:right="214" w:firstLine="567"/>
            <w:jc w:val="right"/>
            <w:rPr>
              <w:rFonts w:ascii="Palatino Linotype" w:hAnsi="Palatino Linotype" w:cs="Arial"/>
              <w:sz w:val="24"/>
            </w:rPr>
          </w:pPr>
          <w:r w:rsidRPr="000432C3">
            <w:rPr>
              <w:rFonts w:ascii="Palatino Linotype" w:hAnsi="Palatino Linotype" w:cs="Arial"/>
              <w:sz w:val="24"/>
            </w:rPr>
            <w:t>Guadalupe Ramírez Peña</w:t>
          </w:r>
          <w:r>
            <w:rPr>
              <w:rFonts w:ascii="Palatino Linotype" w:hAnsi="Palatino Linotype" w:cs="Arial"/>
              <w:sz w:val="24"/>
            </w:rPr>
            <w:t>.</w:t>
          </w:r>
        </w:p>
      </w:tc>
    </w:tr>
  </w:tbl>
  <w:p w14:paraId="1484036A" w14:textId="5A2124A0" w:rsidR="0092204B" w:rsidRDefault="0092204B">
    <w:pPr>
      <w:pStyle w:val="Encabezado"/>
    </w:pPr>
    <w:r>
      <w:rPr>
        <w:noProof/>
      </w:rPr>
      <w:drawing>
        <wp:anchor distT="0" distB="0" distL="0" distR="0" simplePos="0" relativeHeight="251660288" behindDoc="1" locked="0" layoutInCell="1" hidden="0" allowOverlap="1" wp14:anchorId="5333FEEB" wp14:editId="4486EB1C">
          <wp:simplePos x="0" y="0"/>
          <wp:positionH relativeFrom="page">
            <wp:align>left</wp:align>
          </wp:positionH>
          <wp:positionV relativeFrom="paragraph">
            <wp:posOffset>-1564640</wp:posOffset>
          </wp:positionV>
          <wp:extent cx="7867650" cy="10133330"/>
          <wp:effectExtent l="0" t="0" r="0" b="127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BE8DE" w14:textId="7CE8B48F" w:rsidR="00E11AE7" w:rsidRDefault="00E00E17">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8240" behindDoc="1" locked="0" layoutInCell="1" hidden="0" allowOverlap="1" wp14:anchorId="7E0DC29F" wp14:editId="0D4CF1B3">
          <wp:simplePos x="0" y="0"/>
          <wp:positionH relativeFrom="margin">
            <wp:align>center</wp:align>
          </wp:positionH>
          <wp:positionV relativeFrom="paragraph">
            <wp:posOffset>-361315</wp:posOffset>
          </wp:positionV>
          <wp:extent cx="7867650" cy="10133330"/>
          <wp:effectExtent l="0" t="0" r="0" b="1270"/>
          <wp:wrapNone/>
          <wp:docPr id="3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tbl>
    <w:tblPr>
      <w:tblStyle w:val="a0"/>
      <w:tblW w:w="10479" w:type="dxa"/>
      <w:tblInd w:w="-1281" w:type="dxa"/>
      <w:tblLayout w:type="fixed"/>
      <w:tblLook w:val="0400" w:firstRow="0" w:lastRow="0" w:firstColumn="0" w:lastColumn="0" w:noHBand="0" w:noVBand="1"/>
    </w:tblPr>
    <w:tblGrid>
      <w:gridCol w:w="5576"/>
      <w:gridCol w:w="4903"/>
    </w:tblGrid>
    <w:tr w:rsidR="00E11AE7" w14:paraId="78A83B57" w14:textId="77777777">
      <w:trPr>
        <w:trHeight w:val="245"/>
      </w:trPr>
      <w:tc>
        <w:tcPr>
          <w:tcW w:w="5576" w:type="dxa"/>
        </w:tcPr>
        <w:p w14:paraId="003178C6" w14:textId="77777777" w:rsidR="00E11AE7" w:rsidRDefault="00520C1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03" w:type="dxa"/>
        </w:tcPr>
        <w:p w14:paraId="04F2FB88" w14:textId="77777777" w:rsidR="00E11AE7" w:rsidRDefault="00520C11">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01569/INFOEM/IP/RR/2022</w:t>
          </w:r>
        </w:p>
      </w:tc>
    </w:tr>
    <w:tr w:rsidR="00E11AE7" w14:paraId="59EFC0DD" w14:textId="77777777">
      <w:trPr>
        <w:trHeight w:val="211"/>
      </w:trPr>
      <w:tc>
        <w:tcPr>
          <w:tcW w:w="5576" w:type="dxa"/>
        </w:tcPr>
        <w:p w14:paraId="68F963E3" w14:textId="77777777" w:rsidR="00E11AE7" w:rsidRDefault="00520C1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14:paraId="4279E916" w14:textId="77777777" w:rsidR="00E11AE7" w:rsidRDefault="00E11AE7">
          <w:pPr>
            <w:spacing w:after="120"/>
            <w:ind w:left="-486" w:right="214" w:firstLine="567"/>
            <w:jc w:val="right"/>
            <w:rPr>
              <w:rFonts w:ascii="Palatino Linotype" w:eastAsia="Palatino Linotype" w:hAnsi="Palatino Linotype" w:cs="Palatino Linotype"/>
              <w:sz w:val="24"/>
              <w:szCs w:val="24"/>
            </w:rPr>
          </w:pPr>
        </w:p>
      </w:tc>
    </w:tr>
    <w:tr w:rsidR="00E11AE7" w14:paraId="613BEECA" w14:textId="77777777">
      <w:trPr>
        <w:trHeight w:val="262"/>
      </w:trPr>
      <w:tc>
        <w:tcPr>
          <w:tcW w:w="5576" w:type="dxa"/>
        </w:tcPr>
        <w:p w14:paraId="5DC6D040" w14:textId="77777777" w:rsidR="00E11AE7" w:rsidRDefault="00520C11">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14:paraId="2F300BA8" w14:textId="77777777" w:rsidR="00E11AE7" w:rsidRDefault="00520C11">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Chimalhuacán.</w:t>
          </w:r>
        </w:p>
      </w:tc>
    </w:tr>
    <w:tr w:rsidR="00E11AE7" w14:paraId="73EC1280" w14:textId="77777777">
      <w:trPr>
        <w:trHeight w:val="371"/>
      </w:trPr>
      <w:tc>
        <w:tcPr>
          <w:tcW w:w="5576" w:type="dxa"/>
        </w:tcPr>
        <w:p w14:paraId="5344B584" w14:textId="77777777" w:rsidR="00E11AE7" w:rsidRDefault="00520C11">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14:paraId="0DF465A5" w14:textId="77777777" w:rsidR="00E11AE7" w:rsidRDefault="00520C11">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28EB51B" w14:textId="6CE734FD" w:rsidR="00E11AE7" w:rsidRDefault="00E11AE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EEF7C51"/>
    <w:multiLevelType w:val="multilevel"/>
    <w:tmpl w:val="F9C0CF2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9D520C6"/>
    <w:multiLevelType w:val="multilevel"/>
    <w:tmpl w:val="031A3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AE7"/>
    <w:rsid w:val="00134EE1"/>
    <w:rsid w:val="001E49D5"/>
    <w:rsid w:val="00276D8C"/>
    <w:rsid w:val="00347764"/>
    <w:rsid w:val="0035183E"/>
    <w:rsid w:val="003D661E"/>
    <w:rsid w:val="004D6A96"/>
    <w:rsid w:val="00520C11"/>
    <w:rsid w:val="00531178"/>
    <w:rsid w:val="005B6148"/>
    <w:rsid w:val="005B7C70"/>
    <w:rsid w:val="008938AC"/>
    <w:rsid w:val="0092204B"/>
    <w:rsid w:val="00964954"/>
    <w:rsid w:val="00A16908"/>
    <w:rsid w:val="00A5375F"/>
    <w:rsid w:val="00AA14DE"/>
    <w:rsid w:val="00B45D84"/>
    <w:rsid w:val="00B8136A"/>
    <w:rsid w:val="00BB08FE"/>
    <w:rsid w:val="00CB69FA"/>
    <w:rsid w:val="00D03D78"/>
    <w:rsid w:val="00D250A6"/>
    <w:rsid w:val="00E00E17"/>
    <w:rsid w:val="00E11AE7"/>
    <w:rsid w:val="00EA0863"/>
    <w:rsid w:val="00EB7017"/>
    <w:rsid w:val="00ED1714"/>
    <w:rsid w:val="00ED637F"/>
    <w:rsid w:val="00F50226"/>
    <w:rsid w:val="00FB3A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A8BFE"/>
  <w15:docId w15:val="{863AEEBD-ADF6-4ED7-A870-85C49797E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77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4557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5778"/>
  </w:style>
  <w:style w:type="paragraph" w:styleId="Piedepgina">
    <w:name w:val="footer"/>
    <w:basedOn w:val="Normal"/>
    <w:link w:val="PiedepginaCar"/>
    <w:uiPriority w:val="99"/>
    <w:unhideWhenUsed/>
    <w:rsid w:val="004557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5778"/>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5577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55778"/>
  </w:style>
  <w:style w:type="character" w:styleId="Hipervnculo">
    <w:name w:val="Hyperlink"/>
    <w:basedOn w:val="Fuentedeprrafopredeter"/>
    <w:uiPriority w:val="99"/>
    <w:unhideWhenUsed/>
    <w:rsid w:val="004B1E11"/>
    <w:rPr>
      <w:color w:val="0000FF"/>
      <w:u w:val="single"/>
    </w:rPr>
  </w:style>
  <w:style w:type="character" w:styleId="nfasis">
    <w:name w:val="Emphasis"/>
    <w:basedOn w:val="Fuentedeprrafopredeter"/>
    <w:uiPriority w:val="20"/>
    <w:qFormat/>
    <w:rsid w:val="008363E3"/>
    <w:rPr>
      <w:i/>
      <w:i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paragraph" w:styleId="Sinespaciado">
    <w:name w:val="No Spacing"/>
    <w:aliases w:val="Francesa,INAI"/>
    <w:link w:val="SinespaciadoCar"/>
    <w:uiPriority w:val="1"/>
    <w:qFormat/>
    <w:rsid w:val="0034776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47764"/>
    <w:rPr>
      <w:rFonts w:ascii="Times New Roman" w:eastAsia="Times New Roman" w:hAnsi="Times New Roman" w:cs="Times New Roman"/>
      <w:sz w:val="24"/>
      <w:szCs w:val="24"/>
      <w:lang w:eastAsia="es-ES"/>
    </w:rPr>
  </w:style>
  <w:style w:type="character" w:customStyle="1" w:styleId="ctr">
    <w:name w:val="ctr"/>
    <w:basedOn w:val="Fuentedeprrafopredeter"/>
    <w:rsid w:val="00531178"/>
  </w:style>
  <w:style w:type="character" w:customStyle="1" w:styleId="Mencinsinresolver1">
    <w:name w:val="Mención sin resolver1"/>
    <w:basedOn w:val="Fuentedeprrafopredeter"/>
    <w:uiPriority w:val="99"/>
    <w:semiHidden/>
    <w:unhideWhenUsed/>
    <w:rsid w:val="005311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8777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file/d/1ln1K6D_NyBwvTkq5y7W2YBenRoALIZy/view?usp=sharing"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I73Up3y74x3N49LNGIGGj42Cbw==">AMUW2mXJ+cc6eVs7nqlXbXA69aJGpcaPBzzVSPq3Np7AbHYUs7FytBpWvMo4cOGguZb4hkyOxg1XAgFvj9ZnfeHIolMv3oraj3RW7UMJrtV9og0WLimkBR8yJ3iS2+8B1SuVpCtV7qaArXtHJJjAwgjtdn2jQOv7aw==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8818</Words>
  <Characters>48502</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57206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dcterms:created xsi:type="dcterms:W3CDTF">2022-05-13T16:39:00Z</dcterms:created>
  <dcterms:modified xsi:type="dcterms:W3CDTF">2022-06-02T18:05:00Z</dcterms:modified>
</cp:coreProperties>
</file>