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BCC6C" w14:textId="77777777" w:rsidR="007F31B5" w:rsidRDefault="007F31B5">
      <w:pPr>
        <w:widowControl w:val="0"/>
        <w:pBdr>
          <w:top w:val="nil"/>
          <w:left w:val="nil"/>
          <w:bottom w:val="nil"/>
          <w:right w:val="nil"/>
          <w:between w:val="nil"/>
        </w:pBdr>
        <w:spacing w:line="276" w:lineRule="auto"/>
      </w:pPr>
    </w:p>
    <w:p w14:paraId="435E23BA" w14:textId="77777777" w:rsidR="007F31B5" w:rsidRPr="00F532B8" w:rsidRDefault="00A47F90">
      <w:pPr>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86E0D" w:rsidRPr="00F532B8">
        <w:rPr>
          <w:rFonts w:ascii="Palatino Linotype" w:eastAsia="Palatino Linotype" w:hAnsi="Palatino Linotype" w:cs="Palatino Linotype"/>
          <w:lang w:val="es-419"/>
        </w:rPr>
        <w:t>veintisiete</w:t>
      </w:r>
      <w:r w:rsidRPr="00F532B8">
        <w:rPr>
          <w:rFonts w:ascii="Palatino Linotype" w:eastAsia="Palatino Linotype" w:hAnsi="Palatino Linotype" w:cs="Palatino Linotype"/>
        </w:rPr>
        <w:t xml:space="preserve"> de abril de dos mil veintidós. </w:t>
      </w:r>
    </w:p>
    <w:p w14:paraId="0D8D5DE8" w14:textId="77777777" w:rsidR="007F31B5" w:rsidRPr="00F532B8" w:rsidRDefault="007F31B5">
      <w:pPr>
        <w:spacing w:line="360" w:lineRule="auto"/>
        <w:jc w:val="both"/>
        <w:rPr>
          <w:rFonts w:ascii="Palatino Linotype" w:eastAsia="Palatino Linotype" w:hAnsi="Palatino Linotype" w:cs="Palatino Linotype"/>
        </w:rPr>
      </w:pPr>
    </w:p>
    <w:p w14:paraId="03583DC4" w14:textId="1C3923ED" w:rsidR="007F31B5" w:rsidRPr="00F532B8" w:rsidRDefault="00A47F90">
      <w:pPr>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b/>
          <w:sz w:val="28"/>
          <w:szCs w:val="28"/>
        </w:rPr>
        <w:t>VISTO</w:t>
      </w:r>
      <w:r w:rsidRPr="00F532B8">
        <w:rPr>
          <w:rFonts w:ascii="Palatino Linotype" w:eastAsia="Palatino Linotype" w:hAnsi="Palatino Linotype" w:cs="Palatino Linotype"/>
        </w:rPr>
        <w:t xml:space="preserve"> el expediente formado con motivo del </w:t>
      </w:r>
      <w:r w:rsidR="004836D6" w:rsidRPr="00F532B8">
        <w:rPr>
          <w:rFonts w:ascii="Palatino Linotype" w:eastAsia="Palatino Linotype" w:hAnsi="Palatino Linotype" w:cs="Palatino Linotype"/>
        </w:rPr>
        <w:t>Recurso de Revisión</w:t>
      </w:r>
      <w:r w:rsidRPr="00F532B8">
        <w:rPr>
          <w:rFonts w:ascii="Palatino Linotype" w:eastAsia="Palatino Linotype" w:hAnsi="Palatino Linotype" w:cs="Palatino Linotype"/>
        </w:rPr>
        <w:t xml:space="preserve"> </w:t>
      </w:r>
      <w:r w:rsidR="00616357" w:rsidRPr="00F532B8">
        <w:rPr>
          <w:rFonts w:ascii="Palatino Linotype" w:eastAsia="Palatino Linotype" w:hAnsi="Palatino Linotype" w:cs="Palatino Linotype"/>
          <w:b/>
        </w:rPr>
        <w:t>006</w:t>
      </w:r>
      <w:r w:rsidR="00616357" w:rsidRPr="00F532B8">
        <w:rPr>
          <w:rFonts w:ascii="Palatino Linotype" w:eastAsia="Palatino Linotype" w:hAnsi="Palatino Linotype" w:cs="Palatino Linotype"/>
          <w:b/>
          <w:lang w:val="es-419"/>
        </w:rPr>
        <w:t>42</w:t>
      </w:r>
      <w:r w:rsidRPr="00F532B8">
        <w:rPr>
          <w:rFonts w:ascii="Palatino Linotype" w:eastAsia="Palatino Linotype" w:hAnsi="Palatino Linotype" w:cs="Palatino Linotype"/>
          <w:b/>
        </w:rPr>
        <w:t xml:space="preserve">/INFOEM/IP/RR/2022, </w:t>
      </w:r>
      <w:r w:rsidR="00616357" w:rsidRPr="00F532B8">
        <w:rPr>
          <w:rFonts w:ascii="Palatino Linotype" w:eastAsia="Palatino Linotype" w:hAnsi="Palatino Linotype" w:cs="Palatino Linotype"/>
        </w:rPr>
        <w:t>promovido por un</w:t>
      </w:r>
      <w:r w:rsidRPr="00F532B8">
        <w:rPr>
          <w:rFonts w:ascii="Palatino Linotype" w:eastAsia="Palatino Linotype" w:hAnsi="Palatino Linotype" w:cs="Palatino Linotype"/>
        </w:rPr>
        <w:t xml:space="preserve">a </w:t>
      </w:r>
      <w:r w:rsidR="00616357" w:rsidRPr="00F532B8">
        <w:rPr>
          <w:rFonts w:ascii="Palatino Linotype" w:eastAsia="Palatino Linotype" w:hAnsi="Palatino Linotype" w:cs="Palatino Linotype"/>
          <w:lang w:val="es-419"/>
        </w:rPr>
        <w:t xml:space="preserve">persona </w:t>
      </w:r>
      <w:r w:rsidR="00786E0D" w:rsidRPr="00F532B8">
        <w:rPr>
          <w:rFonts w:ascii="Palatino Linotype" w:eastAsia="Palatino Linotype" w:hAnsi="Palatino Linotype" w:cs="Palatino Linotype"/>
          <w:lang w:val="es-419"/>
        </w:rPr>
        <w:t xml:space="preserve">de manera </w:t>
      </w:r>
      <w:r w:rsidR="00616357" w:rsidRPr="00F532B8">
        <w:rPr>
          <w:rFonts w:ascii="Palatino Linotype" w:eastAsia="Palatino Linotype" w:hAnsi="Palatino Linotype" w:cs="Palatino Linotype"/>
          <w:lang w:val="es-419"/>
        </w:rPr>
        <w:t xml:space="preserve">anónima, a </w:t>
      </w:r>
      <w:r w:rsidRPr="00F532B8">
        <w:rPr>
          <w:rFonts w:ascii="Palatino Linotype" w:eastAsia="Palatino Linotype" w:hAnsi="Palatino Linotype" w:cs="Palatino Linotype"/>
        </w:rPr>
        <w:t xml:space="preserve">quien en lo sucesivo se le denominará como </w:t>
      </w:r>
      <w:r w:rsidR="00616357" w:rsidRPr="00F532B8">
        <w:rPr>
          <w:rFonts w:ascii="Palatino Linotype" w:eastAsia="Palatino Linotype" w:hAnsi="Palatino Linotype" w:cs="Palatino Linotype"/>
          <w:b/>
          <w:lang w:val="es-419"/>
        </w:rPr>
        <w:t>EL</w:t>
      </w:r>
      <w:r w:rsidRPr="00F532B8">
        <w:rPr>
          <w:rFonts w:ascii="Palatino Linotype" w:eastAsia="Palatino Linotype" w:hAnsi="Palatino Linotype" w:cs="Palatino Linotype"/>
          <w:b/>
        </w:rPr>
        <w:t xml:space="preserve"> RECURRENTE,</w:t>
      </w:r>
      <w:r w:rsidRPr="00F532B8">
        <w:rPr>
          <w:rFonts w:ascii="Palatino Linotype" w:eastAsia="Palatino Linotype" w:hAnsi="Palatino Linotype" w:cs="Palatino Linotype"/>
        </w:rPr>
        <w:t xml:space="preserve"> en contra de la respuesta del </w:t>
      </w:r>
      <w:r w:rsidRPr="00F532B8">
        <w:rPr>
          <w:rFonts w:ascii="Palatino Linotype" w:eastAsia="Palatino Linotype" w:hAnsi="Palatino Linotype" w:cs="Palatino Linotype"/>
          <w:b/>
        </w:rPr>
        <w:t xml:space="preserve">Ayuntamiento de </w:t>
      </w:r>
      <w:r w:rsidR="00616357" w:rsidRPr="00F532B8">
        <w:rPr>
          <w:rFonts w:ascii="Palatino Linotype" w:eastAsia="Palatino Linotype" w:hAnsi="Palatino Linotype" w:cs="Palatino Linotype"/>
          <w:b/>
          <w:lang w:val="es-419"/>
        </w:rPr>
        <w:t xml:space="preserve">Metepec </w:t>
      </w:r>
      <w:r w:rsidR="00616357" w:rsidRPr="00F532B8">
        <w:rPr>
          <w:rFonts w:ascii="Palatino Linotype" w:eastAsia="Palatino Linotype" w:hAnsi="Palatino Linotype" w:cs="Palatino Linotype"/>
          <w:lang w:val="es-419"/>
        </w:rPr>
        <w:t xml:space="preserve">a quien </w:t>
      </w:r>
      <w:r w:rsidRPr="00F532B8">
        <w:rPr>
          <w:rFonts w:ascii="Palatino Linotype" w:eastAsia="Palatino Linotype" w:hAnsi="Palatino Linotype" w:cs="Palatino Linotype"/>
        </w:rPr>
        <w:t xml:space="preserve">en lo subsecuente se le denominará </w:t>
      </w:r>
      <w:r w:rsidRPr="00F532B8">
        <w:rPr>
          <w:rFonts w:ascii="Palatino Linotype" w:eastAsia="Palatino Linotype" w:hAnsi="Palatino Linotype" w:cs="Palatino Linotype"/>
          <w:b/>
        </w:rPr>
        <w:t xml:space="preserve">EL SUJETO OBLIGADO, </w:t>
      </w:r>
      <w:r w:rsidRPr="00F532B8">
        <w:rPr>
          <w:rFonts w:ascii="Palatino Linotype" w:eastAsia="Palatino Linotype" w:hAnsi="Palatino Linotype" w:cs="Palatino Linotype"/>
        </w:rPr>
        <w:t>se procede a dictar la presente resolución con base en lo siguiente:</w:t>
      </w:r>
    </w:p>
    <w:p w14:paraId="6B462952" w14:textId="77777777" w:rsidR="007F31B5" w:rsidRPr="00F532B8" w:rsidRDefault="007F31B5">
      <w:pPr>
        <w:spacing w:line="360" w:lineRule="auto"/>
        <w:jc w:val="both"/>
        <w:rPr>
          <w:rFonts w:ascii="Palatino Linotype" w:eastAsia="Palatino Linotype" w:hAnsi="Palatino Linotype" w:cs="Palatino Linotype"/>
          <w:b/>
        </w:rPr>
      </w:pPr>
    </w:p>
    <w:p w14:paraId="7DAC1390" w14:textId="77777777" w:rsidR="007F31B5" w:rsidRPr="00F532B8" w:rsidRDefault="00A47F90">
      <w:pPr>
        <w:jc w:val="center"/>
        <w:rPr>
          <w:rFonts w:ascii="Palatino Linotype" w:eastAsia="Palatino Linotype" w:hAnsi="Palatino Linotype" w:cs="Palatino Linotype"/>
          <w:b/>
          <w:sz w:val="28"/>
          <w:szCs w:val="28"/>
        </w:rPr>
      </w:pPr>
      <w:r w:rsidRPr="00F532B8">
        <w:rPr>
          <w:rFonts w:ascii="Palatino Linotype" w:eastAsia="Palatino Linotype" w:hAnsi="Palatino Linotype" w:cs="Palatino Linotype"/>
          <w:b/>
          <w:sz w:val="28"/>
          <w:szCs w:val="28"/>
        </w:rPr>
        <w:t>ANTECEDENTES</w:t>
      </w:r>
    </w:p>
    <w:p w14:paraId="4D77875A" w14:textId="77777777" w:rsidR="007F31B5" w:rsidRPr="00F532B8" w:rsidRDefault="007F31B5">
      <w:pPr>
        <w:rPr>
          <w:rFonts w:ascii="Palatino Linotype" w:eastAsia="Palatino Linotype" w:hAnsi="Palatino Linotype" w:cs="Palatino Linotype"/>
          <w:b/>
        </w:rPr>
      </w:pPr>
    </w:p>
    <w:p w14:paraId="7D907443" w14:textId="77777777" w:rsidR="007F31B5" w:rsidRPr="00F532B8" w:rsidRDefault="00A47F90">
      <w:pPr>
        <w:spacing w:line="360" w:lineRule="auto"/>
        <w:jc w:val="both"/>
        <w:rPr>
          <w:rFonts w:ascii="Palatino Linotype" w:eastAsia="Palatino Linotype" w:hAnsi="Palatino Linotype" w:cs="Palatino Linotype"/>
          <w:b/>
        </w:rPr>
      </w:pPr>
      <w:bookmarkStart w:id="0" w:name="_heading=h.30j0zll" w:colFirst="0" w:colLast="0"/>
      <w:bookmarkEnd w:id="0"/>
      <w:r w:rsidRPr="00F532B8">
        <w:rPr>
          <w:rFonts w:ascii="Palatino Linotype" w:eastAsia="Palatino Linotype" w:hAnsi="Palatino Linotype" w:cs="Palatino Linotype"/>
          <w:b/>
          <w:sz w:val="28"/>
          <w:szCs w:val="28"/>
        </w:rPr>
        <w:t>I.</w:t>
      </w:r>
      <w:r w:rsidRPr="00F532B8">
        <w:rPr>
          <w:rFonts w:ascii="Palatino Linotype" w:eastAsia="Palatino Linotype" w:hAnsi="Palatino Linotype" w:cs="Palatino Linotype"/>
          <w:b/>
        </w:rPr>
        <w:t xml:space="preserve"> </w:t>
      </w:r>
      <w:r w:rsidRPr="00F532B8">
        <w:rPr>
          <w:rFonts w:ascii="Palatino Linotype" w:eastAsia="Palatino Linotype" w:hAnsi="Palatino Linotype" w:cs="Palatino Linotype"/>
          <w:b/>
          <w:sz w:val="28"/>
          <w:szCs w:val="28"/>
        </w:rPr>
        <w:t>De la Solicitud de Información</w:t>
      </w:r>
    </w:p>
    <w:p w14:paraId="29C9361D" w14:textId="77777777" w:rsidR="007F31B5" w:rsidRPr="00F532B8" w:rsidRDefault="00A47F90">
      <w:pPr>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 xml:space="preserve">En </w:t>
      </w:r>
      <w:r w:rsidR="00616357" w:rsidRPr="00F532B8">
        <w:rPr>
          <w:rFonts w:ascii="Palatino Linotype" w:eastAsia="Palatino Linotype" w:hAnsi="Palatino Linotype" w:cs="Palatino Linotype"/>
          <w:lang w:val="es-419"/>
        </w:rPr>
        <w:t xml:space="preserve">fecha trece </w:t>
      </w:r>
      <w:r w:rsidR="00616357" w:rsidRPr="00F532B8">
        <w:rPr>
          <w:rFonts w:ascii="Palatino Linotype" w:eastAsia="Palatino Linotype" w:hAnsi="Palatino Linotype" w:cs="Palatino Linotype"/>
        </w:rPr>
        <w:t xml:space="preserve">de enero de dos mil veintidós, </w:t>
      </w:r>
      <w:r w:rsidR="00616357" w:rsidRPr="00F532B8">
        <w:rPr>
          <w:rFonts w:ascii="Palatino Linotype" w:eastAsia="Palatino Linotype" w:hAnsi="Palatino Linotype" w:cs="Palatino Linotype"/>
          <w:b/>
        </w:rPr>
        <w:t>EL</w:t>
      </w:r>
      <w:r w:rsidRPr="00F532B8">
        <w:rPr>
          <w:rFonts w:ascii="Palatino Linotype" w:eastAsia="Palatino Linotype" w:hAnsi="Palatino Linotype" w:cs="Palatino Linotype"/>
          <w:b/>
        </w:rPr>
        <w:t xml:space="preserve"> RECURRENTE</w:t>
      </w:r>
      <w:r w:rsidRPr="00F532B8">
        <w:rPr>
          <w:rFonts w:ascii="Palatino Linotype" w:eastAsia="Palatino Linotype" w:hAnsi="Palatino Linotype" w:cs="Palatino Linotype"/>
        </w:rPr>
        <w:t xml:space="preserve"> presentó a través del Sistema de Acceso a la Información Mexiquense, </w:t>
      </w:r>
      <w:r w:rsidR="00616357" w:rsidRPr="00F532B8">
        <w:rPr>
          <w:rFonts w:ascii="Palatino Linotype" w:eastAsia="Palatino Linotype" w:hAnsi="Palatino Linotype" w:cs="Palatino Linotype"/>
          <w:lang w:val="es-419"/>
        </w:rPr>
        <w:t xml:space="preserve">que </w:t>
      </w:r>
      <w:r w:rsidRPr="00F532B8">
        <w:rPr>
          <w:rFonts w:ascii="Palatino Linotype" w:eastAsia="Palatino Linotype" w:hAnsi="Palatino Linotype" w:cs="Palatino Linotype"/>
        </w:rPr>
        <w:t>en lo subsecuente</w:t>
      </w:r>
      <w:r w:rsidR="00616357" w:rsidRPr="00F532B8">
        <w:rPr>
          <w:rFonts w:ascii="Palatino Linotype" w:eastAsia="Palatino Linotype" w:hAnsi="Palatino Linotype" w:cs="Palatino Linotype"/>
          <w:lang w:val="es-419"/>
        </w:rPr>
        <w:t xml:space="preserve"> se denominara</w:t>
      </w:r>
      <w:r w:rsidRPr="00F532B8">
        <w:rPr>
          <w:rFonts w:ascii="Palatino Linotype" w:eastAsia="Palatino Linotype" w:hAnsi="Palatino Linotype" w:cs="Palatino Linotype"/>
        </w:rPr>
        <w:t xml:space="preserve"> </w:t>
      </w:r>
      <w:r w:rsidRPr="00F532B8">
        <w:rPr>
          <w:rFonts w:ascii="Palatino Linotype" w:eastAsia="Palatino Linotype" w:hAnsi="Palatino Linotype" w:cs="Palatino Linotype"/>
          <w:b/>
        </w:rPr>
        <w:t>EL SAIMEX</w:t>
      </w:r>
      <w:r w:rsidRPr="00F532B8">
        <w:rPr>
          <w:rFonts w:ascii="Palatino Linotype" w:eastAsia="Palatino Linotype" w:hAnsi="Palatino Linotype" w:cs="Palatino Linotype"/>
        </w:rPr>
        <w:t xml:space="preserve"> ante </w:t>
      </w:r>
      <w:r w:rsidRPr="00F532B8">
        <w:rPr>
          <w:rFonts w:ascii="Palatino Linotype" w:eastAsia="Palatino Linotype" w:hAnsi="Palatino Linotype" w:cs="Palatino Linotype"/>
          <w:b/>
        </w:rPr>
        <w:t>EL SUJETO OBLIGADO</w:t>
      </w:r>
      <w:r w:rsidRPr="00F532B8">
        <w:rPr>
          <w:rFonts w:ascii="Palatino Linotype" w:eastAsia="Palatino Linotype" w:hAnsi="Palatino Linotype" w:cs="Palatino Linotype"/>
        </w:rPr>
        <w:t xml:space="preserve">, la solicitud de acceso a la información pública, a la que se le asignó el número de expediente </w:t>
      </w:r>
      <w:r w:rsidR="00616357" w:rsidRPr="00F532B8">
        <w:rPr>
          <w:rFonts w:ascii="Palatino Linotype" w:eastAsia="Palatino Linotype" w:hAnsi="Palatino Linotype" w:cs="Palatino Linotype"/>
          <w:b/>
        </w:rPr>
        <w:t>01121/METEPEC/IP/2022</w:t>
      </w:r>
      <w:r w:rsidRPr="00F532B8">
        <w:rPr>
          <w:rFonts w:ascii="Palatino Linotype" w:eastAsia="Palatino Linotype" w:hAnsi="Palatino Linotype" w:cs="Palatino Linotype"/>
          <w:b/>
        </w:rPr>
        <w:t xml:space="preserve">, </w:t>
      </w:r>
      <w:r w:rsidR="00786E0D" w:rsidRPr="00F532B8">
        <w:rPr>
          <w:rFonts w:ascii="Palatino Linotype" w:eastAsia="Palatino Linotype" w:hAnsi="Palatino Linotype" w:cs="Palatino Linotype"/>
        </w:rPr>
        <w:t xml:space="preserve">mediante </w:t>
      </w:r>
      <w:r w:rsidRPr="00F532B8">
        <w:rPr>
          <w:rFonts w:ascii="Palatino Linotype" w:eastAsia="Palatino Linotype" w:hAnsi="Palatino Linotype" w:cs="Palatino Linotype"/>
        </w:rPr>
        <w:t>l</w:t>
      </w:r>
      <w:r w:rsidR="00786E0D" w:rsidRPr="00F532B8">
        <w:rPr>
          <w:rFonts w:ascii="Palatino Linotype" w:eastAsia="Palatino Linotype" w:hAnsi="Palatino Linotype" w:cs="Palatino Linotype"/>
        </w:rPr>
        <w:t>a</w:t>
      </w:r>
      <w:r w:rsidRPr="00F532B8">
        <w:rPr>
          <w:rFonts w:ascii="Palatino Linotype" w:eastAsia="Palatino Linotype" w:hAnsi="Palatino Linotype" w:cs="Palatino Linotype"/>
        </w:rPr>
        <w:t xml:space="preserve"> cual requirió, lo siguiente:</w:t>
      </w:r>
    </w:p>
    <w:p w14:paraId="272DAF1C" w14:textId="77777777" w:rsidR="007F31B5" w:rsidRPr="00F532B8" w:rsidRDefault="00A47F90">
      <w:pPr>
        <w:ind w:left="850" w:right="899"/>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w:t>
      </w:r>
      <w:r w:rsidR="00616357" w:rsidRPr="00F532B8">
        <w:rPr>
          <w:rFonts w:ascii="Palatino Linotype" w:eastAsia="Palatino Linotype" w:hAnsi="Palatino Linotype" w:cs="Palatino Linotype"/>
          <w:i/>
          <w:sz w:val="22"/>
          <w:szCs w:val="22"/>
        </w:rPr>
        <w:t>Solicito copia de la propuesta que presenta la C. María Elisa Quijada Badillo, Directora General del Sistema Municipal para el Desarrollo Integral de la Familia de Metepec, Estado de México, para que se autoricen la suscripción de los contratos de comodato de 31 bienes inmuebles entre el Ayuntamiento y el Sistema Municipal DIF, ambos de Metepec, Estado de México, de acuerdo a lo mencionado en la Primera Sesión Extraordinaria de Cabildo.” (s</w:t>
      </w:r>
      <w:r w:rsidRPr="00F532B8">
        <w:rPr>
          <w:rFonts w:ascii="Palatino Linotype" w:eastAsia="Palatino Linotype" w:hAnsi="Palatino Linotype" w:cs="Palatino Linotype"/>
          <w:i/>
          <w:sz w:val="22"/>
          <w:szCs w:val="22"/>
        </w:rPr>
        <w:t>ic)</w:t>
      </w:r>
    </w:p>
    <w:p w14:paraId="1EA37DF8" w14:textId="77777777" w:rsidR="007F31B5" w:rsidRPr="00F532B8" w:rsidRDefault="007F31B5">
      <w:pPr>
        <w:ind w:left="850" w:right="899"/>
        <w:jc w:val="both"/>
        <w:rPr>
          <w:rFonts w:ascii="Palatino Linotype" w:eastAsia="Palatino Linotype" w:hAnsi="Palatino Linotype" w:cs="Palatino Linotype"/>
          <w:sz w:val="22"/>
          <w:szCs w:val="22"/>
        </w:rPr>
      </w:pPr>
    </w:p>
    <w:p w14:paraId="012460CC" w14:textId="77777777" w:rsidR="00616357" w:rsidRPr="00F532B8" w:rsidRDefault="00616357">
      <w:pPr>
        <w:widowControl w:val="0"/>
        <w:spacing w:line="360" w:lineRule="auto"/>
        <w:jc w:val="both"/>
        <w:rPr>
          <w:rFonts w:ascii="Palatino Linotype" w:eastAsia="Palatino Linotype" w:hAnsi="Palatino Linotype" w:cs="Palatino Linotype"/>
          <w:b/>
        </w:rPr>
      </w:pPr>
    </w:p>
    <w:p w14:paraId="6BA23372" w14:textId="77777777" w:rsidR="007F31B5" w:rsidRPr="00F532B8" w:rsidRDefault="00A47F90">
      <w:pPr>
        <w:widowControl w:val="0"/>
        <w:spacing w:line="360" w:lineRule="auto"/>
        <w:jc w:val="both"/>
        <w:rPr>
          <w:rFonts w:ascii="Palatino Linotype" w:eastAsia="Palatino Linotype" w:hAnsi="Palatino Linotype" w:cs="Palatino Linotype"/>
          <w:b/>
        </w:rPr>
      </w:pPr>
      <w:r w:rsidRPr="00F532B8">
        <w:rPr>
          <w:rFonts w:ascii="Palatino Linotype" w:eastAsia="Palatino Linotype" w:hAnsi="Palatino Linotype" w:cs="Palatino Linotype"/>
          <w:b/>
        </w:rPr>
        <w:lastRenderedPageBreak/>
        <w:t xml:space="preserve">MODALIDAD DE ENTREGA: </w:t>
      </w:r>
      <w:r w:rsidRPr="00F532B8">
        <w:rPr>
          <w:rFonts w:ascii="Palatino Linotype" w:eastAsia="Palatino Linotype" w:hAnsi="Palatino Linotype" w:cs="Palatino Linotype"/>
        </w:rPr>
        <w:t xml:space="preserve">Vía </w:t>
      </w:r>
      <w:r w:rsidRPr="00F532B8">
        <w:rPr>
          <w:rFonts w:ascii="Palatino Linotype" w:eastAsia="Palatino Linotype" w:hAnsi="Palatino Linotype" w:cs="Palatino Linotype"/>
          <w:b/>
        </w:rPr>
        <w:t xml:space="preserve">SAIMEX. </w:t>
      </w:r>
    </w:p>
    <w:p w14:paraId="489C853D" w14:textId="77777777" w:rsidR="007F31B5" w:rsidRPr="00F532B8" w:rsidRDefault="007F31B5">
      <w:pPr>
        <w:widowControl w:val="0"/>
        <w:spacing w:line="360" w:lineRule="auto"/>
        <w:jc w:val="both"/>
        <w:rPr>
          <w:rFonts w:ascii="Palatino Linotype" w:eastAsia="Palatino Linotype" w:hAnsi="Palatino Linotype" w:cs="Palatino Linotype"/>
          <w:b/>
        </w:rPr>
      </w:pPr>
    </w:p>
    <w:p w14:paraId="37B05F09" w14:textId="77777777" w:rsidR="007F31B5" w:rsidRPr="00F532B8" w:rsidRDefault="00A47F90">
      <w:pPr>
        <w:spacing w:line="360" w:lineRule="auto"/>
        <w:jc w:val="both"/>
        <w:rPr>
          <w:rFonts w:ascii="Palatino Linotype" w:eastAsia="Palatino Linotype" w:hAnsi="Palatino Linotype" w:cs="Palatino Linotype"/>
          <w:b/>
          <w:sz w:val="28"/>
          <w:szCs w:val="28"/>
        </w:rPr>
      </w:pPr>
      <w:r w:rsidRPr="00F532B8">
        <w:rPr>
          <w:rFonts w:ascii="Palatino Linotype" w:eastAsia="Palatino Linotype" w:hAnsi="Palatino Linotype" w:cs="Palatino Linotype"/>
          <w:b/>
          <w:sz w:val="28"/>
          <w:szCs w:val="28"/>
        </w:rPr>
        <w:t>II. Turno de requerimiento del Sujeto Obligado</w:t>
      </w:r>
    </w:p>
    <w:p w14:paraId="043AA900" w14:textId="77777777" w:rsidR="007F31B5" w:rsidRPr="00F532B8" w:rsidRDefault="00A47F90">
      <w:pPr>
        <w:widowControl w:val="0"/>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De las constancias que obran en el expe</w:t>
      </w:r>
      <w:r w:rsidR="00616357" w:rsidRPr="00F532B8">
        <w:rPr>
          <w:rFonts w:ascii="Palatino Linotype" w:eastAsia="Palatino Linotype" w:hAnsi="Palatino Linotype" w:cs="Palatino Linotype"/>
        </w:rPr>
        <w:t xml:space="preserve">diente electrónico del SAIMEX, se advierte </w:t>
      </w:r>
      <w:r w:rsidRPr="00F532B8">
        <w:rPr>
          <w:rFonts w:ascii="Palatino Linotype" w:eastAsia="Palatino Linotype" w:hAnsi="Palatino Linotype" w:cs="Palatino Linotype"/>
        </w:rPr>
        <w:t xml:space="preserve">que el Titular de la Unidad de Transparencia turnó mediante requerimiento del contenido de la solicitud de información al servidor público habilitado que estimó competente, a efecto de que realizara la búsqueda y localización de la información solicitada. En cumplimiento al artículo 162 de la Ley de Transparencia y Acceso a la Información Pública del Estado de México y Municipios, </w:t>
      </w:r>
      <w:r w:rsidR="00616357" w:rsidRPr="00F532B8">
        <w:rPr>
          <w:rFonts w:ascii="Palatino Linotype" w:eastAsia="Palatino Linotype" w:hAnsi="Palatino Linotype" w:cs="Palatino Linotype"/>
        </w:rPr>
        <w:t>el cuatro de febrero</w:t>
      </w:r>
      <w:r w:rsidRPr="00F532B8">
        <w:rPr>
          <w:rFonts w:ascii="Palatino Linotype" w:eastAsia="Palatino Linotype" w:hAnsi="Palatino Linotype" w:cs="Palatino Linotype"/>
        </w:rPr>
        <w:t xml:space="preserve"> enero de dos mil veintidós, tal y como se aprecia en la captura de pantalla que se inserta a continuación: </w:t>
      </w:r>
    </w:p>
    <w:p w14:paraId="59721879" w14:textId="77777777" w:rsidR="007F31B5" w:rsidRPr="00F532B8" w:rsidRDefault="007F31B5">
      <w:pPr>
        <w:widowControl w:val="0"/>
        <w:spacing w:line="360" w:lineRule="auto"/>
        <w:jc w:val="both"/>
        <w:rPr>
          <w:rFonts w:ascii="Palatino Linotype" w:eastAsia="Palatino Linotype" w:hAnsi="Palatino Linotype" w:cs="Palatino Linotype"/>
          <w:noProof/>
          <w:lang w:val="es-ES" w:eastAsia="es-ES"/>
        </w:rPr>
      </w:pPr>
    </w:p>
    <w:p w14:paraId="0921D1FF" w14:textId="77777777" w:rsidR="00755D3C" w:rsidRPr="00F532B8" w:rsidRDefault="00755D3C">
      <w:pPr>
        <w:widowControl w:val="0"/>
        <w:spacing w:line="360" w:lineRule="auto"/>
        <w:jc w:val="both"/>
        <w:rPr>
          <w:rFonts w:ascii="Palatino Linotype" w:eastAsia="Palatino Linotype" w:hAnsi="Palatino Linotype" w:cs="Palatino Linotype"/>
        </w:rPr>
      </w:pPr>
      <w:r w:rsidRPr="00F532B8">
        <w:rPr>
          <w:noProof/>
        </w:rPr>
        <w:drawing>
          <wp:inline distT="0" distB="0" distL="0" distR="0" wp14:anchorId="490FDAEC" wp14:editId="004E68FA">
            <wp:extent cx="6062345" cy="60783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81918" cy="609800"/>
                    </a:xfrm>
                    <a:prstGeom prst="rect">
                      <a:avLst/>
                    </a:prstGeom>
                  </pic:spPr>
                </pic:pic>
              </a:graphicData>
            </a:graphic>
          </wp:inline>
        </w:drawing>
      </w:r>
    </w:p>
    <w:p w14:paraId="7181D6A9" w14:textId="77777777" w:rsidR="007F31B5" w:rsidRPr="00F532B8" w:rsidRDefault="007F31B5">
      <w:pPr>
        <w:widowControl w:val="0"/>
        <w:spacing w:line="360" w:lineRule="auto"/>
        <w:jc w:val="both"/>
        <w:rPr>
          <w:rFonts w:ascii="Palatino Linotype" w:eastAsia="Palatino Linotype" w:hAnsi="Palatino Linotype" w:cs="Palatino Linotype"/>
          <w:b/>
        </w:rPr>
      </w:pPr>
    </w:p>
    <w:p w14:paraId="1D1505FC" w14:textId="77777777" w:rsidR="007F31B5" w:rsidRPr="00F532B8" w:rsidRDefault="00A47F90">
      <w:pPr>
        <w:widowControl w:val="0"/>
        <w:spacing w:line="360" w:lineRule="auto"/>
        <w:jc w:val="both"/>
        <w:rPr>
          <w:rFonts w:ascii="Palatino Linotype" w:eastAsia="Palatino Linotype" w:hAnsi="Palatino Linotype" w:cs="Palatino Linotype"/>
          <w:b/>
          <w:sz w:val="28"/>
          <w:szCs w:val="28"/>
        </w:rPr>
      </w:pPr>
      <w:r w:rsidRPr="00F532B8">
        <w:rPr>
          <w:rFonts w:ascii="Palatino Linotype" w:eastAsia="Palatino Linotype" w:hAnsi="Palatino Linotype" w:cs="Palatino Linotype"/>
          <w:b/>
          <w:sz w:val="28"/>
          <w:szCs w:val="28"/>
        </w:rPr>
        <w:t>III. Respuesta del Sujeto Obligado</w:t>
      </w:r>
    </w:p>
    <w:p w14:paraId="4A93604D" w14:textId="77777777" w:rsidR="007F31B5" w:rsidRPr="00F532B8" w:rsidRDefault="00A47F90">
      <w:pPr>
        <w:widowControl w:val="0"/>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En fecha</w:t>
      </w:r>
      <w:r w:rsidR="00755D3C" w:rsidRPr="00F532B8">
        <w:rPr>
          <w:rFonts w:ascii="Palatino Linotype" w:eastAsia="Palatino Linotype" w:hAnsi="Palatino Linotype" w:cs="Palatino Linotype"/>
          <w:lang w:val="es-419"/>
        </w:rPr>
        <w:t xml:space="preserve"> nueve </w:t>
      </w:r>
      <w:r w:rsidRPr="00F532B8">
        <w:rPr>
          <w:rFonts w:ascii="Palatino Linotype" w:eastAsia="Palatino Linotype" w:hAnsi="Palatino Linotype" w:cs="Palatino Linotype"/>
        </w:rPr>
        <w:t>de febrero de dos mil veintidós, el</w:t>
      </w:r>
      <w:r w:rsidR="00755D3C" w:rsidRPr="00F532B8">
        <w:rPr>
          <w:rFonts w:ascii="Palatino Linotype" w:eastAsia="Palatino Linotype" w:hAnsi="Palatino Linotype" w:cs="Palatino Linotype"/>
        </w:rPr>
        <w:t xml:space="preserve"> servidor público habilitado di</w:t>
      </w:r>
      <w:r w:rsidR="00755D3C" w:rsidRPr="00F532B8">
        <w:rPr>
          <w:rFonts w:ascii="Palatino Linotype" w:eastAsia="Palatino Linotype" w:hAnsi="Palatino Linotype" w:cs="Palatino Linotype"/>
          <w:lang w:val="es-419"/>
        </w:rPr>
        <w:t>o</w:t>
      </w:r>
      <w:r w:rsidRPr="00F532B8">
        <w:rPr>
          <w:rFonts w:ascii="Palatino Linotype" w:eastAsia="Palatino Linotype" w:hAnsi="Palatino Linotype" w:cs="Palatino Linotype"/>
        </w:rPr>
        <w:t xml:space="preserve"> respuesta a la solicitud de información, la cual que fue notificada al particular en la misma fecha y versa sobre lo siguiente: </w:t>
      </w:r>
    </w:p>
    <w:p w14:paraId="12E235F4" w14:textId="77777777" w:rsidR="00755D3C" w:rsidRPr="00F532B8" w:rsidRDefault="00A47F90" w:rsidP="00755D3C">
      <w:pPr>
        <w:widowControl w:val="0"/>
        <w:ind w:left="850" w:right="1319"/>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w:t>
      </w:r>
      <w:r w:rsidR="00755D3C" w:rsidRPr="00F532B8">
        <w:rPr>
          <w:rFonts w:ascii="Palatino Linotype" w:eastAsia="Palatino Linotype" w:hAnsi="Palatino Linotype" w:cs="Palatino Linotype"/>
          <w:i/>
          <w:sz w:val="22"/>
          <w:szCs w:val="22"/>
        </w:rPr>
        <w:t>Folio de la solicitud: 01121/METEPEC/IP/2022</w:t>
      </w:r>
    </w:p>
    <w:p w14:paraId="0B3C8C2A" w14:textId="77777777" w:rsidR="00755D3C" w:rsidRPr="00F532B8" w:rsidRDefault="00755D3C" w:rsidP="00755D3C">
      <w:pPr>
        <w:widowControl w:val="0"/>
        <w:ind w:left="850" w:right="1319"/>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D9D56A" w14:textId="77777777" w:rsidR="00755D3C" w:rsidRPr="00F532B8" w:rsidRDefault="00755D3C" w:rsidP="00755D3C">
      <w:pPr>
        <w:widowControl w:val="0"/>
        <w:ind w:left="850" w:right="1319"/>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 xml:space="preserve">C. SOLICITANTE P R E S E N T E. En respuesta a la solicitud número 01121/METEPEC/IP/2022, recibida por medio del Sistema de Acceso a la Información Mexiquense (SAIMEX). Al respecto, le informo que esta Unidad de </w:t>
      </w:r>
      <w:r w:rsidRPr="00F532B8">
        <w:rPr>
          <w:rFonts w:ascii="Palatino Linotype" w:eastAsia="Palatino Linotype" w:hAnsi="Palatino Linotype" w:cs="Palatino Linotype"/>
          <w:i/>
          <w:sz w:val="22"/>
          <w:szCs w:val="22"/>
        </w:rPr>
        <w:lastRenderedPageBreak/>
        <w:t>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3BDD1927" w14:textId="77777777" w:rsidR="00755D3C" w:rsidRPr="00F532B8" w:rsidRDefault="00755D3C" w:rsidP="00755D3C">
      <w:pPr>
        <w:widowControl w:val="0"/>
        <w:ind w:left="850" w:right="1319"/>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ATENTAMENTE</w:t>
      </w:r>
    </w:p>
    <w:p w14:paraId="2C1AB83F" w14:textId="77777777" w:rsidR="007F31B5" w:rsidRPr="00F532B8" w:rsidRDefault="00755D3C" w:rsidP="00755D3C">
      <w:pPr>
        <w:widowControl w:val="0"/>
        <w:ind w:left="850" w:right="1319"/>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Lic. Gerardo Arturo Ozuna Martínez”</w:t>
      </w:r>
      <w:r w:rsidRPr="00F532B8">
        <w:rPr>
          <w:rFonts w:ascii="Palatino Linotype" w:eastAsia="Palatino Linotype" w:hAnsi="Palatino Linotype" w:cs="Palatino Linotype"/>
          <w:i/>
          <w:sz w:val="22"/>
          <w:szCs w:val="22"/>
          <w:lang w:val="es-419"/>
        </w:rPr>
        <w:t xml:space="preserve"> </w:t>
      </w:r>
      <w:r w:rsidRPr="00F532B8">
        <w:rPr>
          <w:rFonts w:ascii="Palatino Linotype" w:eastAsia="Palatino Linotype" w:hAnsi="Palatino Linotype" w:cs="Palatino Linotype"/>
          <w:i/>
          <w:sz w:val="22"/>
          <w:szCs w:val="22"/>
        </w:rPr>
        <w:t>(s</w:t>
      </w:r>
      <w:r w:rsidR="00A47F90" w:rsidRPr="00F532B8">
        <w:rPr>
          <w:rFonts w:ascii="Palatino Linotype" w:eastAsia="Palatino Linotype" w:hAnsi="Palatino Linotype" w:cs="Palatino Linotype"/>
          <w:i/>
          <w:sz w:val="22"/>
          <w:szCs w:val="22"/>
        </w:rPr>
        <w:t>ic)</w:t>
      </w:r>
    </w:p>
    <w:p w14:paraId="181B22E1" w14:textId="77777777" w:rsidR="007F31B5" w:rsidRPr="00F532B8" w:rsidRDefault="007F31B5">
      <w:pPr>
        <w:widowControl w:val="0"/>
        <w:spacing w:line="360" w:lineRule="auto"/>
        <w:jc w:val="both"/>
        <w:rPr>
          <w:rFonts w:ascii="Palatino Linotype" w:eastAsia="Palatino Linotype" w:hAnsi="Palatino Linotype" w:cs="Palatino Linotype"/>
        </w:rPr>
      </w:pPr>
    </w:p>
    <w:p w14:paraId="6415CAFB" w14:textId="77777777" w:rsidR="007F31B5" w:rsidRPr="00F532B8" w:rsidRDefault="00A47F90">
      <w:pPr>
        <w:widowControl w:val="0"/>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De</w:t>
      </w:r>
      <w:r w:rsidR="004326A6" w:rsidRPr="00F532B8">
        <w:rPr>
          <w:rFonts w:ascii="Palatino Linotype" w:eastAsia="Palatino Linotype" w:hAnsi="Palatino Linotype" w:cs="Palatino Linotype"/>
          <w:lang w:val="es-419"/>
        </w:rPr>
        <w:t xml:space="preserve"> igual modo el </w:t>
      </w:r>
      <w:r w:rsidRPr="00F532B8">
        <w:rPr>
          <w:rFonts w:ascii="Palatino Linotype" w:eastAsia="Palatino Linotype" w:hAnsi="Palatino Linotype" w:cs="Palatino Linotype"/>
          <w:b/>
        </w:rPr>
        <w:t xml:space="preserve">SUJETO OBLIGADO </w:t>
      </w:r>
      <w:r w:rsidR="004326A6" w:rsidRPr="00F532B8">
        <w:rPr>
          <w:rFonts w:ascii="Palatino Linotype" w:eastAsia="Palatino Linotype" w:hAnsi="Palatino Linotype" w:cs="Palatino Linotype"/>
          <w:lang w:val="es-419"/>
        </w:rPr>
        <w:t xml:space="preserve">adjuntó a su respuesta un oficio número UT/MET/122/2022 dirigido al hoy </w:t>
      </w:r>
      <w:r w:rsidR="004326A6" w:rsidRPr="00F532B8">
        <w:rPr>
          <w:rFonts w:ascii="Palatino Linotype" w:eastAsia="Palatino Linotype" w:hAnsi="Palatino Linotype" w:cs="Palatino Linotype"/>
          <w:b/>
          <w:lang w:val="es-419"/>
        </w:rPr>
        <w:t>RECURRENTE</w:t>
      </w:r>
      <w:r w:rsidR="004326A6" w:rsidRPr="00F532B8">
        <w:rPr>
          <w:rFonts w:ascii="Palatino Linotype" w:eastAsia="Palatino Linotype" w:hAnsi="Palatino Linotype" w:cs="Palatino Linotype"/>
          <w:lang w:val="es-419"/>
        </w:rPr>
        <w:t xml:space="preserve"> y signado por el Titular de la Unidad de Transparencia, mediante el cual hace de conocimiento al solicitante </w:t>
      </w:r>
      <w:r w:rsidR="00C11430" w:rsidRPr="00F532B8">
        <w:rPr>
          <w:rFonts w:ascii="Palatino Linotype" w:eastAsia="Palatino Linotype" w:hAnsi="Palatino Linotype" w:cs="Palatino Linotype"/>
          <w:lang w:val="es-419"/>
        </w:rPr>
        <w:t>que es incompetente para dar respuesta a su solicitud de acceso a la información y lo orienta a</w:t>
      </w:r>
      <w:r w:rsidR="004326A6" w:rsidRPr="00F532B8">
        <w:rPr>
          <w:rFonts w:ascii="Palatino Linotype" w:eastAsia="Palatino Linotype" w:hAnsi="Palatino Linotype" w:cs="Palatino Linotype"/>
          <w:lang w:val="es-419"/>
        </w:rPr>
        <w:t xml:space="preserve"> efecto de que </w:t>
      </w:r>
      <w:r w:rsidR="00C11430" w:rsidRPr="00F532B8">
        <w:rPr>
          <w:rFonts w:ascii="Palatino Linotype" w:eastAsia="Palatino Linotype" w:hAnsi="Palatino Linotype" w:cs="Palatino Linotype"/>
          <w:lang w:val="es-419"/>
        </w:rPr>
        <w:t xml:space="preserve">direccionar </w:t>
      </w:r>
      <w:r w:rsidR="004326A6" w:rsidRPr="00F532B8">
        <w:rPr>
          <w:rFonts w:ascii="Palatino Linotype" w:eastAsia="Palatino Linotype" w:hAnsi="Palatino Linotype" w:cs="Palatino Linotype"/>
          <w:lang w:val="es-419"/>
        </w:rPr>
        <w:t>su solicitud al Sistema Municipal para el Desarrollo Integral de la Familia de Metepec.</w:t>
      </w:r>
    </w:p>
    <w:p w14:paraId="3318F6B2" w14:textId="77777777" w:rsidR="007F31B5" w:rsidRPr="00F532B8" w:rsidRDefault="007F31B5">
      <w:pPr>
        <w:widowControl w:val="0"/>
        <w:spacing w:line="360" w:lineRule="auto"/>
        <w:jc w:val="both"/>
        <w:rPr>
          <w:rFonts w:ascii="Palatino Linotype" w:eastAsia="Palatino Linotype" w:hAnsi="Palatino Linotype" w:cs="Palatino Linotype"/>
        </w:rPr>
      </w:pPr>
    </w:p>
    <w:p w14:paraId="5FBCD9A3" w14:textId="17EED5CD" w:rsidR="007F31B5" w:rsidRPr="00F532B8" w:rsidRDefault="00A47F90">
      <w:pPr>
        <w:widowControl w:val="0"/>
        <w:spacing w:line="360" w:lineRule="auto"/>
        <w:jc w:val="both"/>
        <w:rPr>
          <w:rFonts w:ascii="Palatino Linotype" w:eastAsia="Palatino Linotype" w:hAnsi="Palatino Linotype" w:cs="Palatino Linotype"/>
          <w:b/>
          <w:sz w:val="28"/>
          <w:szCs w:val="28"/>
        </w:rPr>
      </w:pPr>
      <w:r w:rsidRPr="00F532B8">
        <w:rPr>
          <w:rFonts w:ascii="Palatino Linotype" w:eastAsia="Palatino Linotype" w:hAnsi="Palatino Linotype" w:cs="Palatino Linotype"/>
          <w:b/>
          <w:sz w:val="28"/>
          <w:szCs w:val="28"/>
        </w:rPr>
        <w:t xml:space="preserve">IV. Del </w:t>
      </w:r>
      <w:r w:rsidR="004836D6" w:rsidRPr="00F532B8">
        <w:rPr>
          <w:rFonts w:ascii="Palatino Linotype" w:eastAsia="Palatino Linotype" w:hAnsi="Palatino Linotype" w:cs="Palatino Linotype"/>
          <w:b/>
          <w:sz w:val="28"/>
          <w:szCs w:val="28"/>
        </w:rPr>
        <w:t>Recurso de Revisión</w:t>
      </w:r>
    </w:p>
    <w:p w14:paraId="6AF62D49" w14:textId="77EC71ED" w:rsidR="007F31B5" w:rsidRPr="00F532B8" w:rsidRDefault="00786E0D">
      <w:pPr>
        <w:widowControl w:val="0"/>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Inconforme con</w:t>
      </w:r>
      <w:r w:rsidR="00A47F90" w:rsidRPr="00F532B8">
        <w:rPr>
          <w:rFonts w:ascii="Palatino Linotype" w:eastAsia="Palatino Linotype" w:hAnsi="Palatino Linotype" w:cs="Palatino Linotype"/>
        </w:rPr>
        <w:t xml:space="preserve"> la respuesta del</w:t>
      </w:r>
      <w:r w:rsidR="00A47F90" w:rsidRPr="00F532B8">
        <w:rPr>
          <w:rFonts w:ascii="Palatino Linotype" w:eastAsia="Palatino Linotype" w:hAnsi="Palatino Linotype" w:cs="Palatino Linotype"/>
          <w:b/>
        </w:rPr>
        <w:t xml:space="preserve"> SUJETO OBLIGADO</w:t>
      </w:r>
      <w:r w:rsidR="00A47F90" w:rsidRPr="00F532B8">
        <w:rPr>
          <w:rFonts w:ascii="Palatino Linotype" w:eastAsia="Palatino Linotype" w:hAnsi="Palatino Linotype" w:cs="Palatino Linotype"/>
        </w:rPr>
        <w:t xml:space="preserve">, el nueve de febrero de dos mil veintidós, </w:t>
      </w:r>
      <w:r w:rsidRPr="00F532B8">
        <w:rPr>
          <w:rFonts w:ascii="Palatino Linotype" w:eastAsia="Palatino Linotype" w:hAnsi="Palatino Linotype" w:cs="Palatino Linotype"/>
          <w:b/>
        </w:rPr>
        <w:t>EL</w:t>
      </w:r>
      <w:r w:rsidR="00A47F90" w:rsidRPr="00F532B8">
        <w:rPr>
          <w:rFonts w:ascii="Palatino Linotype" w:eastAsia="Palatino Linotype" w:hAnsi="Palatino Linotype" w:cs="Palatino Linotype"/>
          <w:b/>
        </w:rPr>
        <w:t xml:space="preserve"> RECURRENTE</w:t>
      </w:r>
      <w:r w:rsidR="00A47F90" w:rsidRPr="00F532B8">
        <w:rPr>
          <w:rFonts w:ascii="Palatino Linotype" w:eastAsia="Palatino Linotype" w:hAnsi="Palatino Linotype" w:cs="Palatino Linotype"/>
        </w:rPr>
        <w:t xml:space="preserve"> interpuso el </w:t>
      </w:r>
      <w:r w:rsidR="004836D6" w:rsidRPr="00F532B8">
        <w:rPr>
          <w:rFonts w:ascii="Palatino Linotype" w:eastAsia="Palatino Linotype" w:hAnsi="Palatino Linotype" w:cs="Palatino Linotype"/>
        </w:rPr>
        <w:t>Recurso de Revisión</w:t>
      </w:r>
      <w:r w:rsidR="00A47F90" w:rsidRPr="00F532B8">
        <w:rPr>
          <w:rFonts w:ascii="Palatino Linotype" w:eastAsia="Palatino Linotype" w:hAnsi="Palatino Linotype" w:cs="Palatino Linotype"/>
        </w:rPr>
        <w:t xml:space="preserve">. El cual fue registrado en </w:t>
      </w:r>
      <w:r w:rsidR="00A47F90" w:rsidRPr="00F532B8">
        <w:rPr>
          <w:rFonts w:ascii="Palatino Linotype" w:eastAsia="Palatino Linotype" w:hAnsi="Palatino Linotype" w:cs="Palatino Linotype"/>
          <w:b/>
        </w:rPr>
        <w:t>EL SAIMEX</w:t>
      </w:r>
      <w:r w:rsidR="00A47F90" w:rsidRPr="00F532B8">
        <w:rPr>
          <w:rFonts w:ascii="Palatino Linotype" w:eastAsia="Palatino Linotype" w:hAnsi="Palatino Linotype" w:cs="Palatino Linotype"/>
        </w:rPr>
        <w:t xml:space="preserve"> y se le asignó el número de expediente </w:t>
      </w:r>
      <w:r w:rsidR="007471B0" w:rsidRPr="00F532B8">
        <w:rPr>
          <w:rFonts w:ascii="Palatino Linotype" w:eastAsia="Palatino Linotype" w:hAnsi="Palatino Linotype" w:cs="Palatino Linotype"/>
          <w:b/>
        </w:rPr>
        <w:t>006</w:t>
      </w:r>
      <w:r w:rsidR="007471B0" w:rsidRPr="00F532B8">
        <w:rPr>
          <w:rFonts w:ascii="Palatino Linotype" w:eastAsia="Palatino Linotype" w:hAnsi="Palatino Linotype" w:cs="Palatino Linotype"/>
          <w:b/>
          <w:lang w:val="es-419"/>
        </w:rPr>
        <w:t>42</w:t>
      </w:r>
      <w:r w:rsidR="00A47F90" w:rsidRPr="00F532B8">
        <w:rPr>
          <w:rFonts w:ascii="Palatino Linotype" w:eastAsia="Palatino Linotype" w:hAnsi="Palatino Linotype" w:cs="Palatino Linotype"/>
          <w:b/>
        </w:rPr>
        <w:t xml:space="preserve">/INFOEM/IP/RR/2022, </w:t>
      </w:r>
      <w:r w:rsidR="00A47F90" w:rsidRPr="00F532B8">
        <w:rPr>
          <w:rFonts w:ascii="Palatino Linotype" w:eastAsia="Palatino Linotype" w:hAnsi="Palatino Linotype" w:cs="Palatino Linotype"/>
        </w:rPr>
        <w:t xml:space="preserve">donde los motivos de agravio del </w:t>
      </w:r>
      <w:r w:rsidR="00A47F90" w:rsidRPr="00F532B8">
        <w:rPr>
          <w:rFonts w:ascii="Palatino Linotype" w:eastAsia="Palatino Linotype" w:hAnsi="Palatino Linotype" w:cs="Palatino Linotype"/>
          <w:b/>
        </w:rPr>
        <w:t xml:space="preserve">RECURRENTE </w:t>
      </w:r>
      <w:r w:rsidR="00A47F90" w:rsidRPr="00F532B8">
        <w:rPr>
          <w:rFonts w:ascii="Palatino Linotype" w:eastAsia="Palatino Linotype" w:hAnsi="Palatino Linotype" w:cs="Palatino Linotype"/>
        </w:rPr>
        <w:t>fueron los siguientes:</w:t>
      </w:r>
    </w:p>
    <w:p w14:paraId="01343904" w14:textId="77777777" w:rsidR="007F31B5" w:rsidRPr="00F532B8" w:rsidRDefault="007F31B5">
      <w:pPr>
        <w:widowControl w:val="0"/>
        <w:spacing w:line="360" w:lineRule="auto"/>
        <w:jc w:val="both"/>
        <w:rPr>
          <w:rFonts w:ascii="Palatino Linotype" w:eastAsia="Palatino Linotype" w:hAnsi="Palatino Linotype" w:cs="Palatino Linotype"/>
        </w:rPr>
      </w:pPr>
    </w:p>
    <w:p w14:paraId="4B7C0CB8" w14:textId="77777777" w:rsidR="007F31B5" w:rsidRPr="00F532B8" w:rsidRDefault="00A47F90">
      <w:pPr>
        <w:spacing w:line="360" w:lineRule="auto"/>
        <w:ind w:left="-57" w:right="-57"/>
        <w:jc w:val="both"/>
        <w:rPr>
          <w:rFonts w:ascii="Palatino Linotype" w:eastAsia="Palatino Linotype" w:hAnsi="Palatino Linotype" w:cs="Palatino Linotype"/>
          <w:b/>
        </w:rPr>
      </w:pPr>
      <w:r w:rsidRPr="00F532B8">
        <w:rPr>
          <w:rFonts w:ascii="Palatino Linotype" w:eastAsia="Palatino Linotype" w:hAnsi="Palatino Linotype" w:cs="Palatino Linotype"/>
          <w:b/>
        </w:rPr>
        <w:t>Acto Impugnado:</w:t>
      </w:r>
      <w:r w:rsidRPr="00F532B8">
        <w:rPr>
          <w:b/>
        </w:rPr>
        <w:t xml:space="preserve"> </w:t>
      </w:r>
    </w:p>
    <w:p w14:paraId="7100C682" w14:textId="77777777" w:rsidR="007F31B5" w:rsidRPr="00F532B8" w:rsidRDefault="00A47F90">
      <w:pPr>
        <w:tabs>
          <w:tab w:val="left" w:pos="709"/>
        </w:tabs>
        <w:spacing w:before="66"/>
        <w:ind w:left="850" w:right="899"/>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w:t>
      </w:r>
      <w:r w:rsidR="007471B0" w:rsidRPr="00F532B8">
        <w:rPr>
          <w:rFonts w:ascii="Palatino Linotype" w:eastAsia="Palatino Linotype" w:hAnsi="Palatino Linotype" w:cs="Palatino Linotype"/>
          <w:i/>
          <w:sz w:val="22"/>
          <w:szCs w:val="22"/>
        </w:rPr>
        <w:t>La respuesta proporcionada</w:t>
      </w:r>
      <w:r w:rsidR="00786E0D" w:rsidRPr="00F532B8">
        <w:rPr>
          <w:rFonts w:ascii="Palatino Linotype" w:eastAsia="Palatino Linotype" w:hAnsi="Palatino Linotype" w:cs="Palatino Linotype"/>
          <w:i/>
          <w:sz w:val="22"/>
          <w:szCs w:val="22"/>
        </w:rPr>
        <w:t>.” (</w:t>
      </w:r>
      <w:r w:rsidRPr="00F532B8">
        <w:rPr>
          <w:rFonts w:ascii="Palatino Linotype" w:eastAsia="Palatino Linotype" w:hAnsi="Palatino Linotype" w:cs="Palatino Linotype"/>
          <w:i/>
          <w:sz w:val="22"/>
          <w:szCs w:val="22"/>
        </w:rPr>
        <w:t>sic)</w:t>
      </w:r>
    </w:p>
    <w:p w14:paraId="45CC6276" w14:textId="77777777" w:rsidR="007F31B5" w:rsidRPr="00F532B8" w:rsidRDefault="007F31B5">
      <w:pPr>
        <w:tabs>
          <w:tab w:val="left" w:pos="709"/>
        </w:tabs>
        <w:spacing w:before="66"/>
        <w:ind w:left="850" w:right="899"/>
        <w:rPr>
          <w:rFonts w:ascii="Palatino Linotype" w:eastAsia="Palatino Linotype" w:hAnsi="Palatino Linotype" w:cs="Palatino Linotype"/>
          <w:i/>
          <w:sz w:val="20"/>
          <w:szCs w:val="20"/>
        </w:rPr>
      </w:pPr>
    </w:p>
    <w:p w14:paraId="4CEA1ECF" w14:textId="77777777" w:rsidR="007F31B5" w:rsidRPr="00F532B8" w:rsidRDefault="00A47F90">
      <w:pPr>
        <w:tabs>
          <w:tab w:val="left" w:pos="709"/>
        </w:tabs>
        <w:spacing w:before="66"/>
        <w:rPr>
          <w:rFonts w:ascii="Palatino Linotype" w:eastAsia="Palatino Linotype" w:hAnsi="Palatino Linotype" w:cs="Palatino Linotype"/>
          <w:b/>
        </w:rPr>
      </w:pPr>
      <w:r w:rsidRPr="00F532B8">
        <w:rPr>
          <w:rFonts w:ascii="Palatino Linotype" w:eastAsia="Palatino Linotype" w:hAnsi="Palatino Linotype" w:cs="Palatino Linotype"/>
          <w:b/>
        </w:rPr>
        <w:t>Razones o motivos de la inconformidad:</w:t>
      </w:r>
    </w:p>
    <w:p w14:paraId="4CACD226" w14:textId="77777777" w:rsidR="007F31B5" w:rsidRPr="00F532B8" w:rsidRDefault="007F31B5">
      <w:pPr>
        <w:tabs>
          <w:tab w:val="left" w:pos="709"/>
        </w:tabs>
        <w:spacing w:before="66"/>
        <w:rPr>
          <w:rFonts w:ascii="Palatino Linotype" w:eastAsia="Palatino Linotype" w:hAnsi="Palatino Linotype" w:cs="Palatino Linotype"/>
        </w:rPr>
      </w:pPr>
    </w:p>
    <w:p w14:paraId="1D06EBAD" w14:textId="77777777" w:rsidR="007F31B5" w:rsidRPr="00F532B8" w:rsidRDefault="00A47F90">
      <w:pPr>
        <w:ind w:left="850" w:right="899"/>
        <w:jc w:val="both"/>
        <w:rPr>
          <w:rFonts w:ascii="Palatino Linotype" w:eastAsia="Palatino Linotype" w:hAnsi="Palatino Linotype" w:cs="Palatino Linotype"/>
          <w:sz w:val="22"/>
          <w:szCs w:val="22"/>
        </w:rPr>
      </w:pPr>
      <w:r w:rsidRPr="00F532B8">
        <w:rPr>
          <w:rFonts w:ascii="Palatino Linotype" w:eastAsia="Palatino Linotype" w:hAnsi="Palatino Linotype" w:cs="Palatino Linotype"/>
          <w:i/>
          <w:sz w:val="22"/>
          <w:szCs w:val="22"/>
        </w:rPr>
        <w:t>“</w:t>
      </w:r>
      <w:r w:rsidR="007471B0" w:rsidRPr="00F532B8">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w:t>
      </w:r>
      <w:r w:rsidR="007471B0" w:rsidRPr="00F532B8">
        <w:rPr>
          <w:rFonts w:ascii="Palatino Linotype" w:eastAsia="Palatino Linotype" w:hAnsi="Palatino Linotype" w:cs="Palatino Linotype"/>
          <w:i/>
          <w:sz w:val="22"/>
          <w:szCs w:val="22"/>
        </w:rPr>
        <w:lastRenderedPageBreak/>
        <w:t>una búsqueda exhaustiva y razonable de la información solicitada, situación que no se advierte se haya llevado a cabo ya que no se observan los turnos correspondientes dentro del Sistema de Acceso a la Información Mexiquense (SAIMEX). Por lo que corresponde a la presente solicitud, se entiende que la información debe obrar en los archivos del Sujeto Obligado, si la misma fue turnada a la Secretaría del Ayuntamiento y presentada durante la Primera Sesión Ordinaria de Cabildo.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XVI y XXI del mismo ordenamiento jurídico.</w:t>
      </w:r>
      <w:r w:rsidRPr="00F532B8">
        <w:rPr>
          <w:rFonts w:ascii="Palatino Linotype" w:eastAsia="Palatino Linotype" w:hAnsi="Palatino Linotype" w:cs="Palatino Linotype"/>
          <w:i/>
          <w:sz w:val="22"/>
          <w:szCs w:val="22"/>
        </w:rPr>
        <w:t>” (sic)</w:t>
      </w:r>
    </w:p>
    <w:p w14:paraId="2D8C0698" w14:textId="77777777" w:rsidR="007F31B5" w:rsidRPr="00F532B8" w:rsidRDefault="007F31B5">
      <w:pPr>
        <w:spacing w:line="360" w:lineRule="auto"/>
        <w:jc w:val="both"/>
        <w:rPr>
          <w:rFonts w:ascii="Palatino Linotype" w:eastAsia="Palatino Linotype" w:hAnsi="Palatino Linotype" w:cs="Palatino Linotype"/>
          <w:b/>
          <w:sz w:val="28"/>
          <w:szCs w:val="28"/>
        </w:rPr>
      </w:pPr>
    </w:p>
    <w:p w14:paraId="6FE5B847" w14:textId="32F83009" w:rsidR="007F31B5" w:rsidRPr="00F532B8" w:rsidRDefault="00A47F90">
      <w:pPr>
        <w:spacing w:line="360" w:lineRule="auto"/>
        <w:jc w:val="both"/>
        <w:rPr>
          <w:rFonts w:ascii="Palatino Linotype" w:eastAsia="Palatino Linotype" w:hAnsi="Palatino Linotype" w:cs="Palatino Linotype"/>
          <w:b/>
          <w:sz w:val="28"/>
          <w:szCs w:val="28"/>
        </w:rPr>
      </w:pPr>
      <w:r w:rsidRPr="00F532B8">
        <w:rPr>
          <w:rFonts w:ascii="Palatino Linotype" w:eastAsia="Palatino Linotype" w:hAnsi="Palatino Linotype" w:cs="Palatino Linotype"/>
          <w:b/>
          <w:sz w:val="28"/>
          <w:szCs w:val="28"/>
        </w:rPr>
        <w:t xml:space="preserve">V. Del turno del </w:t>
      </w:r>
      <w:r w:rsidR="004836D6" w:rsidRPr="00F532B8">
        <w:rPr>
          <w:rFonts w:ascii="Palatino Linotype" w:eastAsia="Palatino Linotype" w:hAnsi="Palatino Linotype" w:cs="Palatino Linotype"/>
          <w:b/>
          <w:sz w:val="28"/>
          <w:szCs w:val="28"/>
        </w:rPr>
        <w:t>Recurso de Revisión</w:t>
      </w:r>
    </w:p>
    <w:p w14:paraId="5ADB6B6F" w14:textId="77777777" w:rsidR="007F31B5" w:rsidRPr="00F532B8" w:rsidRDefault="00A47F90" w:rsidP="007471B0">
      <w:pPr>
        <w:spacing w:line="360" w:lineRule="auto"/>
        <w:jc w:val="both"/>
        <w:rPr>
          <w:rFonts w:ascii="Palatino Linotype" w:eastAsia="Palatino Linotype" w:hAnsi="Palatino Linotype" w:cs="Palatino Linotype"/>
          <w:b/>
        </w:rPr>
      </w:pPr>
      <w:r w:rsidRPr="00F532B8">
        <w:rPr>
          <w:rFonts w:ascii="Palatino Linotype" w:eastAsia="Palatino Linotype" w:hAnsi="Palatino Linotype" w:cs="Palatino Linotype"/>
        </w:rPr>
        <w:t>El nueve de febrero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w:t>
      </w:r>
      <w:r w:rsidR="007471B0" w:rsidRPr="00F532B8">
        <w:rPr>
          <w:rFonts w:ascii="Palatino Linotype" w:eastAsia="Palatino Linotype" w:hAnsi="Palatino Linotype" w:cs="Palatino Linotype"/>
        </w:rPr>
        <w:t xml:space="preserve">os, se turnó al </w:t>
      </w:r>
      <w:r w:rsidR="007471B0" w:rsidRPr="00F532B8">
        <w:rPr>
          <w:rFonts w:ascii="Palatino Linotype" w:eastAsia="Palatino Linotype" w:hAnsi="Palatino Linotype" w:cs="Palatino Linotype"/>
          <w:b/>
        </w:rPr>
        <w:t>Comisionado Presidente José Martínez Vilchis</w:t>
      </w:r>
      <w:r w:rsidRPr="00F532B8">
        <w:rPr>
          <w:rFonts w:ascii="Palatino Linotype" w:eastAsia="Palatino Linotype" w:hAnsi="Palatino Linotype" w:cs="Palatino Linotype"/>
        </w:rPr>
        <w:t>; a efecto de decretar su admisión o desechamiento.</w:t>
      </w:r>
    </w:p>
    <w:p w14:paraId="2EB5740A" w14:textId="77777777" w:rsidR="007F31B5" w:rsidRPr="00F532B8" w:rsidRDefault="007F31B5">
      <w:pPr>
        <w:spacing w:line="360" w:lineRule="auto"/>
        <w:jc w:val="both"/>
        <w:rPr>
          <w:rFonts w:ascii="Palatino Linotype" w:eastAsia="Palatino Linotype" w:hAnsi="Palatino Linotype" w:cs="Palatino Linotype"/>
        </w:rPr>
      </w:pPr>
    </w:p>
    <w:p w14:paraId="023180FF" w14:textId="1A19665B" w:rsidR="007F31B5" w:rsidRPr="00F532B8" w:rsidRDefault="00A47F90">
      <w:pPr>
        <w:tabs>
          <w:tab w:val="center" w:pos="4252"/>
          <w:tab w:val="right" w:pos="8504"/>
        </w:tabs>
        <w:spacing w:line="360" w:lineRule="auto"/>
        <w:jc w:val="both"/>
        <w:rPr>
          <w:rFonts w:ascii="Palatino Linotype" w:eastAsia="Palatino Linotype" w:hAnsi="Palatino Linotype" w:cs="Palatino Linotype"/>
          <w:b/>
        </w:rPr>
      </w:pPr>
      <w:r w:rsidRPr="00F532B8">
        <w:rPr>
          <w:rFonts w:ascii="Palatino Linotype" w:eastAsia="Palatino Linotype" w:hAnsi="Palatino Linotype" w:cs="Palatino Linotype"/>
          <w:b/>
        </w:rPr>
        <w:lastRenderedPageBreak/>
        <w:t xml:space="preserve">a) Admisión del </w:t>
      </w:r>
      <w:r w:rsidR="004836D6" w:rsidRPr="00F532B8">
        <w:rPr>
          <w:rFonts w:ascii="Palatino Linotype" w:eastAsia="Palatino Linotype" w:hAnsi="Palatino Linotype" w:cs="Palatino Linotype"/>
          <w:b/>
        </w:rPr>
        <w:t>Recurso de Revisión</w:t>
      </w:r>
    </w:p>
    <w:p w14:paraId="402E768D" w14:textId="37E048F9" w:rsidR="007F31B5" w:rsidRPr="00F532B8" w:rsidRDefault="00A47F90">
      <w:pPr>
        <w:tabs>
          <w:tab w:val="center" w:pos="4252"/>
          <w:tab w:val="right" w:pos="8504"/>
        </w:tabs>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De las constancias que obran en el expediente electrónico del</w:t>
      </w:r>
      <w:r w:rsidRPr="00F532B8">
        <w:rPr>
          <w:rFonts w:ascii="Palatino Linotype" w:eastAsia="Palatino Linotype" w:hAnsi="Palatino Linotype" w:cs="Palatino Linotype"/>
          <w:b/>
        </w:rPr>
        <w:t xml:space="preserve"> SAIMEX</w:t>
      </w:r>
      <w:r w:rsidRPr="00F532B8">
        <w:rPr>
          <w:rFonts w:ascii="Palatino Linotype" w:eastAsia="Palatino Linotype" w:hAnsi="Palatino Linotype" w:cs="Palatino Linotype"/>
        </w:rPr>
        <w:t xml:space="preserve">, se advierte que en fecha </w:t>
      </w:r>
      <w:r w:rsidR="007471B0" w:rsidRPr="00F532B8">
        <w:rPr>
          <w:rFonts w:ascii="Palatino Linotype" w:eastAsia="Palatino Linotype" w:hAnsi="Palatino Linotype" w:cs="Palatino Linotype"/>
          <w:lang w:val="es-419"/>
        </w:rPr>
        <w:t>catorce</w:t>
      </w:r>
      <w:r w:rsidRPr="00F532B8">
        <w:rPr>
          <w:rFonts w:ascii="Palatino Linotype" w:eastAsia="Palatino Linotype" w:hAnsi="Palatino Linotype" w:cs="Palatino Linotype"/>
        </w:rPr>
        <w:t xml:space="preserve"> de febrero de dos mil veintidós, se acordó la admisión a trámite del </w:t>
      </w:r>
      <w:r w:rsidR="004836D6" w:rsidRPr="00F532B8">
        <w:rPr>
          <w:rFonts w:ascii="Palatino Linotype" w:eastAsia="Palatino Linotype" w:hAnsi="Palatino Linotype" w:cs="Palatino Linotype"/>
        </w:rPr>
        <w:t>Recurso de Revisión</w:t>
      </w:r>
      <w:r w:rsidRPr="00F532B8">
        <w:rPr>
          <w:rFonts w:ascii="Palatino Linotype" w:eastAsia="Palatino Linotype" w:hAnsi="Palatino Linotype" w:cs="Palatino Linotype"/>
        </w:rPr>
        <w:t xml:space="preserve">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786E0D" w:rsidRPr="00F532B8">
        <w:rPr>
          <w:rFonts w:ascii="Palatino Linotype" w:eastAsia="Palatino Linotype" w:hAnsi="Palatino Linotype" w:cs="Palatino Linotype"/>
          <w:b/>
        </w:rPr>
        <w:t>EL</w:t>
      </w:r>
      <w:r w:rsidRPr="00F532B8">
        <w:rPr>
          <w:rFonts w:ascii="Palatino Linotype" w:eastAsia="Palatino Linotype" w:hAnsi="Palatino Linotype" w:cs="Palatino Linotype"/>
          <w:b/>
        </w:rPr>
        <w:t xml:space="preserve"> RECURRENTE</w:t>
      </w:r>
      <w:r w:rsidRPr="00F532B8">
        <w:rPr>
          <w:rFonts w:ascii="Palatino Linotype" w:eastAsia="Palatino Linotype" w:hAnsi="Palatino Linotype" w:cs="Palatino Linotype"/>
        </w:rPr>
        <w:t xml:space="preserve"> manifestara lo que a su derecho conviniera, a efecto de presentar pruebas y alegatos; así como, para que </w:t>
      </w:r>
      <w:r w:rsidRPr="00F532B8">
        <w:rPr>
          <w:rFonts w:ascii="Palatino Linotype" w:eastAsia="Palatino Linotype" w:hAnsi="Palatino Linotype" w:cs="Palatino Linotype"/>
          <w:b/>
        </w:rPr>
        <w:t xml:space="preserve">EL SUJETO OBLIGADO </w:t>
      </w:r>
      <w:r w:rsidRPr="00F532B8">
        <w:rPr>
          <w:rFonts w:ascii="Palatino Linotype" w:eastAsia="Palatino Linotype" w:hAnsi="Palatino Linotype" w:cs="Palatino Linotype"/>
        </w:rPr>
        <w:t>rindiera el correspondiente</w:t>
      </w:r>
      <w:r w:rsidRPr="00F532B8">
        <w:rPr>
          <w:rFonts w:ascii="Palatino Linotype" w:eastAsia="Palatino Linotype" w:hAnsi="Palatino Linotype" w:cs="Palatino Linotype"/>
          <w:b/>
        </w:rPr>
        <w:t xml:space="preserve"> </w:t>
      </w:r>
      <w:r w:rsidRPr="00F532B8">
        <w:rPr>
          <w:rFonts w:ascii="Palatino Linotype" w:eastAsia="Palatino Linotype" w:hAnsi="Palatino Linotype" w:cs="Palatino Linotype"/>
        </w:rPr>
        <w:t>Informe Justificado.</w:t>
      </w:r>
    </w:p>
    <w:p w14:paraId="5186D6BE" w14:textId="77777777" w:rsidR="007F31B5" w:rsidRPr="00F532B8" w:rsidRDefault="007F31B5">
      <w:pPr>
        <w:tabs>
          <w:tab w:val="center" w:pos="4252"/>
          <w:tab w:val="right" w:pos="8504"/>
        </w:tabs>
        <w:spacing w:line="360" w:lineRule="auto"/>
        <w:jc w:val="both"/>
        <w:rPr>
          <w:rFonts w:ascii="Palatino Linotype" w:eastAsia="Palatino Linotype" w:hAnsi="Palatino Linotype" w:cs="Palatino Linotype"/>
        </w:rPr>
      </w:pPr>
    </w:p>
    <w:p w14:paraId="3CE9077F" w14:textId="77777777" w:rsidR="007F31B5" w:rsidRPr="00F532B8" w:rsidRDefault="00A47F90">
      <w:pPr>
        <w:tabs>
          <w:tab w:val="center" w:pos="4252"/>
          <w:tab w:val="right" w:pos="8504"/>
        </w:tabs>
        <w:spacing w:line="360" w:lineRule="auto"/>
        <w:jc w:val="both"/>
        <w:rPr>
          <w:rFonts w:ascii="Palatino Linotype" w:eastAsia="Palatino Linotype" w:hAnsi="Palatino Linotype" w:cs="Palatino Linotype"/>
          <w:b/>
        </w:rPr>
      </w:pPr>
      <w:r w:rsidRPr="00F532B8">
        <w:rPr>
          <w:rFonts w:ascii="Palatino Linotype" w:eastAsia="Palatino Linotype" w:hAnsi="Palatino Linotype" w:cs="Palatino Linotype"/>
          <w:b/>
        </w:rPr>
        <w:t>b) Informe Justificado</w:t>
      </w:r>
    </w:p>
    <w:p w14:paraId="52D1701F" w14:textId="77777777" w:rsidR="007F31B5" w:rsidRPr="00F532B8" w:rsidRDefault="00E61185">
      <w:pPr>
        <w:tabs>
          <w:tab w:val="center" w:pos="4252"/>
          <w:tab w:val="right" w:pos="8504"/>
        </w:tabs>
        <w:spacing w:line="360" w:lineRule="auto"/>
        <w:jc w:val="both"/>
        <w:rPr>
          <w:rFonts w:ascii="Palatino Linotype" w:eastAsia="Palatino Linotype" w:hAnsi="Palatino Linotype" w:cs="Palatino Linotype"/>
        </w:rPr>
      </w:pPr>
      <w:r w:rsidRPr="00F532B8">
        <w:rPr>
          <w:rFonts w:ascii="Palatino Linotype" w:eastAsia="Arial Unicode MS" w:hAnsi="Palatino Linotype" w:cs="Arial"/>
        </w:rPr>
        <w:t xml:space="preserve">De acuerdo a las constancias digitales que obran en </w:t>
      </w:r>
      <w:r w:rsidRPr="00F532B8">
        <w:rPr>
          <w:rFonts w:ascii="Palatino Linotype" w:eastAsia="Arial Unicode MS" w:hAnsi="Palatino Linotype" w:cs="Arial"/>
          <w:b/>
        </w:rPr>
        <w:t>EL</w:t>
      </w:r>
      <w:r w:rsidRPr="00F532B8">
        <w:rPr>
          <w:rFonts w:ascii="Palatino Linotype" w:eastAsia="Arial Unicode MS" w:hAnsi="Palatino Linotype" w:cs="Arial"/>
        </w:rPr>
        <w:t xml:space="preserve"> </w:t>
      </w:r>
      <w:r w:rsidRPr="00F532B8">
        <w:rPr>
          <w:rFonts w:ascii="Palatino Linotype" w:eastAsia="Arial Unicode MS" w:hAnsi="Palatino Linotype" w:cs="Arial"/>
          <w:b/>
        </w:rPr>
        <w:t>SAIMEX</w:t>
      </w:r>
      <w:r w:rsidRPr="00F532B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F532B8">
        <w:rPr>
          <w:rFonts w:ascii="Palatino Linotype" w:eastAsia="Arial Unicode MS" w:hAnsi="Palatino Linotype" w:cs="Arial"/>
          <w:b/>
        </w:rPr>
        <w:t>RECURRENTE</w:t>
      </w:r>
      <w:r w:rsidRPr="00F532B8">
        <w:rPr>
          <w:rFonts w:ascii="Palatino Linotype" w:eastAsia="Arial Unicode MS" w:hAnsi="Palatino Linotype" w:cs="Arial"/>
        </w:rPr>
        <w:t xml:space="preserve">, éste no realizó manifestación alguna, ni presentó pruebas o alegatos, así como tampoco </w:t>
      </w:r>
      <w:r w:rsidRPr="00F532B8">
        <w:rPr>
          <w:rFonts w:ascii="Palatino Linotype" w:eastAsia="Arial Unicode MS" w:hAnsi="Palatino Linotype" w:cs="Arial"/>
          <w:b/>
          <w:color w:val="000000"/>
        </w:rPr>
        <w:t>EL SUJETO OBLIGADO</w:t>
      </w:r>
      <w:r w:rsidRPr="00F532B8">
        <w:rPr>
          <w:rFonts w:ascii="Palatino Linotype" w:eastAsia="Arial Unicode MS" w:hAnsi="Palatino Linotype" w:cs="Arial"/>
        </w:rPr>
        <w:t xml:space="preserve"> rindió su Informe Justificado, tal y como se aprecia en la siguiente imagen</w:t>
      </w:r>
      <w:r w:rsidR="00A47F90" w:rsidRPr="00F532B8">
        <w:rPr>
          <w:rFonts w:ascii="Palatino Linotype" w:eastAsia="Palatino Linotype" w:hAnsi="Palatino Linotype" w:cs="Palatino Linotype"/>
        </w:rPr>
        <w:t>:</w:t>
      </w:r>
    </w:p>
    <w:p w14:paraId="47C73F0F" w14:textId="77777777" w:rsidR="007F31B5" w:rsidRPr="00F532B8" w:rsidRDefault="007F31B5">
      <w:pPr>
        <w:tabs>
          <w:tab w:val="center" w:pos="4252"/>
          <w:tab w:val="right" w:pos="8504"/>
        </w:tabs>
        <w:spacing w:line="360" w:lineRule="auto"/>
        <w:jc w:val="both"/>
        <w:rPr>
          <w:rFonts w:ascii="Palatino Linotype" w:eastAsia="Palatino Linotype" w:hAnsi="Palatino Linotype" w:cs="Palatino Linotype"/>
        </w:rPr>
      </w:pPr>
    </w:p>
    <w:p w14:paraId="41CB0E92" w14:textId="77777777" w:rsidR="007F31B5" w:rsidRPr="00F532B8" w:rsidRDefault="007471B0" w:rsidP="00786E0D">
      <w:pPr>
        <w:tabs>
          <w:tab w:val="center" w:pos="4252"/>
          <w:tab w:val="right" w:pos="8504"/>
        </w:tabs>
        <w:spacing w:line="360" w:lineRule="auto"/>
        <w:jc w:val="center"/>
        <w:rPr>
          <w:rFonts w:ascii="Palatino Linotype" w:eastAsia="Palatino Linotype" w:hAnsi="Palatino Linotype" w:cs="Palatino Linotype"/>
        </w:rPr>
      </w:pPr>
      <w:r w:rsidRPr="00F532B8">
        <w:rPr>
          <w:noProof/>
        </w:rPr>
        <w:drawing>
          <wp:inline distT="0" distB="0" distL="0" distR="0" wp14:anchorId="5B1DFF1C" wp14:editId="28D0A92B">
            <wp:extent cx="5645211" cy="14112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9729" cy="1422370"/>
                    </a:xfrm>
                    <a:prstGeom prst="rect">
                      <a:avLst/>
                    </a:prstGeom>
                  </pic:spPr>
                </pic:pic>
              </a:graphicData>
            </a:graphic>
          </wp:inline>
        </w:drawing>
      </w:r>
    </w:p>
    <w:p w14:paraId="25FAD500" w14:textId="77777777" w:rsidR="007471B0" w:rsidRPr="00F532B8" w:rsidRDefault="007471B0">
      <w:pPr>
        <w:tabs>
          <w:tab w:val="center" w:pos="4252"/>
          <w:tab w:val="right" w:pos="8504"/>
        </w:tabs>
        <w:spacing w:line="360" w:lineRule="auto"/>
        <w:jc w:val="both"/>
        <w:rPr>
          <w:rFonts w:ascii="Palatino Linotype" w:eastAsia="Palatino Linotype" w:hAnsi="Palatino Linotype" w:cs="Palatino Linotype"/>
        </w:rPr>
      </w:pPr>
    </w:p>
    <w:p w14:paraId="22CA324D" w14:textId="190D9375" w:rsidR="007F31B5" w:rsidRPr="00F532B8" w:rsidRDefault="00A47F90">
      <w:pPr>
        <w:spacing w:line="360" w:lineRule="auto"/>
        <w:jc w:val="both"/>
        <w:rPr>
          <w:rFonts w:ascii="Palatino Linotype" w:eastAsia="Palatino Linotype" w:hAnsi="Palatino Linotype" w:cs="Palatino Linotype"/>
          <w:b/>
        </w:rPr>
      </w:pPr>
      <w:r w:rsidRPr="00F532B8">
        <w:rPr>
          <w:rFonts w:ascii="Palatino Linotype" w:eastAsia="Palatino Linotype" w:hAnsi="Palatino Linotype" w:cs="Palatino Linotype"/>
          <w:b/>
        </w:rPr>
        <w:lastRenderedPageBreak/>
        <w:t xml:space="preserve">c) Del </w:t>
      </w:r>
      <w:proofErr w:type="spellStart"/>
      <w:r w:rsidRPr="00F532B8">
        <w:rPr>
          <w:rFonts w:ascii="Palatino Linotype" w:eastAsia="Palatino Linotype" w:hAnsi="Palatino Linotype" w:cs="Palatino Linotype"/>
          <w:b/>
        </w:rPr>
        <w:t>returno</w:t>
      </w:r>
      <w:proofErr w:type="spellEnd"/>
      <w:r w:rsidRPr="00F532B8">
        <w:rPr>
          <w:rFonts w:ascii="Palatino Linotype" w:eastAsia="Palatino Linotype" w:hAnsi="Palatino Linotype" w:cs="Palatino Linotype"/>
          <w:b/>
        </w:rPr>
        <w:t xml:space="preserve"> del </w:t>
      </w:r>
      <w:r w:rsidR="004836D6" w:rsidRPr="00F532B8">
        <w:rPr>
          <w:rFonts w:ascii="Palatino Linotype" w:eastAsia="Palatino Linotype" w:hAnsi="Palatino Linotype" w:cs="Palatino Linotype"/>
          <w:b/>
        </w:rPr>
        <w:t>Recurso de Revisión</w:t>
      </w:r>
    </w:p>
    <w:p w14:paraId="41F86A85" w14:textId="54695774" w:rsidR="007F31B5" w:rsidRPr="00F532B8" w:rsidRDefault="00A47F90">
      <w:pPr>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F532B8">
        <w:rPr>
          <w:rFonts w:ascii="Palatino Linotype" w:eastAsia="Palatino Linotype" w:hAnsi="Palatino Linotype" w:cs="Palatino Linotype"/>
        </w:rPr>
        <w:t>returnado</w:t>
      </w:r>
      <w:proofErr w:type="spellEnd"/>
      <w:r w:rsidRPr="00F532B8">
        <w:rPr>
          <w:rFonts w:ascii="Palatino Linotype" w:eastAsia="Palatino Linotype" w:hAnsi="Palatino Linotype" w:cs="Palatino Linotype"/>
        </w:rPr>
        <w:t xml:space="preserve"> el </w:t>
      </w:r>
      <w:r w:rsidR="004836D6" w:rsidRPr="00F532B8">
        <w:rPr>
          <w:rFonts w:ascii="Palatino Linotype" w:eastAsia="Palatino Linotype" w:hAnsi="Palatino Linotype" w:cs="Palatino Linotype"/>
        </w:rPr>
        <w:t>Recurso de Revisión</w:t>
      </w:r>
      <w:r w:rsidRPr="00F532B8">
        <w:rPr>
          <w:rFonts w:ascii="Palatino Linotype" w:eastAsia="Palatino Linotype" w:hAnsi="Palatino Linotype" w:cs="Palatino Linotype"/>
        </w:rPr>
        <w:t xml:space="preserve"> número</w:t>
      </w:r>
      <w:r w:rsidR="00E61185" w:rsidRPr="00F532B8">
        <w:rPr>
          <w:rFonts w:ascii="Palatino Linotype" w:eastAsia="Palatino Linotype" w:hAnsi="Palatino Linotype" w:cs="Palatino Linotype"/>
          <w:b/>
        </w:rPr>
        <w:t xml:space="preserve"> 00642</w:t>
      </w:r>
      <w:r w:rsidRPr="00F532B8">
        <w:rPr>
          <w:rFonts w:ascii="Palatino Linotype" w:eastAsia="Palatino Linotype" w:hAnsi="Palatino Linotype" w:cs="Palatino Linotype"/>
          <w:b/>
        </w:rPr>
        <w:t xml:space="preserve">/INFOEM/IP/RR/2022 </w:t>
      </w:r>
      <w:r w:rsidRPr="00F532B8">
        <w:rPr>
          <w:rFonts w:ascii="Palatino Linotype" w:eastAsia="Palatino Linotype" w:hAnsi="Palatino Linotype" w:cs="Palatino Linotype"/>
        </w:rPr>
        <w:t xml:space="preserve">a la </w:t>
      </w:r>
      <w:r w:rsidRPr="00F532B8">
        <w:rPr>
          <w:rFonts w:ascii="Palatino Linotype" w:eastAsia="Palatino Linotype" w:hAnsi="Palatino Linotype" w:cs="Palatino Linotype"/>
          <w:b/>
        </w:rPr>
        <w:t>Comisionada Sharon Cristina Morales</w:t>
      </w:r>
      <w:r w:rsidRPr="00F532B8">
        <w:rPr>
          <w:rFonts w:ascii="Palatino Linotype" w:eastAsia="Palatino Linotype" w:hAnsi="Palatino Linotype" w:cs="Palatino Linotype"/>
        </w:rPr>
        <w:t xml:space="preserve"> Martínez para su resolución y presentación al Pleno. </w:t>
      </w:r>
    </w:p>
    <w:p w14:paraId="721B5325" w14:textId="77777777" w:rsidR="00D15858" w:rsidRPr="00F532B8" w:rsidRDefault="00D15858">
      <w:pPr>
        <w:spacing w:line="360" w:lineRule="auto"/>
        <w:jc w:val="both"/>
        <w:rPr>
          <w:rFonts w:ascii="Palatino Linotype" w:eastAsia="Palatino Linotype" w:hAnsi="Palatino Linotype" w:cs="Palatino Linotype"/>
        </w:rPr>
      </w:pPr>
    </w:p>
    <w:p w14:paraId="1D51A2B0" w14:textId="77777777" w:rsidR="00D15858" w:rsidRPr="00F532B8" w:rsidRDefault="00D15858" w:rsidP="00D15858">
      <w:pPr>
        <w:spacing w:line="360" w:lineRule="auto"/>
        <w:jc w:val="both"/>
        <w:rPr>
          <w:rFonts w:ascii="Palatino Linotype" w:eastAsia="Palatino Linotype" w:hAnsi="Palatino Linotype" w:cs="Palatino Linotype"/>
          <w:b/>
        </w:rPr>
      </w:pPr>
      <w:r w:rsidRPr="00F532B8">
        <w:rPr>
          <w:rFonts w:ascii="Palatino Linotype" w:eastAsia="Palatino Linotype" w:hAnsi="Palatino Linotype" w:cs="Palatino Linotype"/>
          <w:b/>
          <w:lang w:val="es-419"/>
        </w:rPr>
        <w:t>d</w:t>
      </w:r>
      <w:r w:rsidRPr="00F532B8">
        <w:rPr>
          <w:rFonts w:ascii="Palatino Linotype" w:eastAsia="Palatino Linotype" w:hAnsi="Palatino Linotype" w:cs="Palatino Linotype"/>
          <w:b/>
        </w:rPr>
        <w:t>) Cierre de Instrucción</w:t>
      </w:r>
    </w:p>
    <w:p w14:paraId="5FDAF14F" w14:textId="77777777" w:rsidR="007F31B5" w:rsidRPr="00F532B8" w:rsidRDefault="00D15858" w:rsidP="00D15858">
      <w:pPr>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 xml:space="preserve">Una vez analizado el estado procesal que guardaba el expediente, en fecha </w:t>
      </w:r>
      <w:r w:rsidRPr="00F532B8">
        <w:rPr>
          <w:rFonts w:ascii="Palatino Linotype" w:eastAsia="Palatino Linotype" w:hAnsi="Palatino Linotype" w:cs="Palatino Linotype"/>
          <w:lang w:val="es-419"/>
        </w:rPr>
        <w:t>once de marzo</w:t>
      </w:r>
      <w:r w:rsidRPr="00F532B8">
        <w:rPr>
          <w:rFonts w:ascii="Palatino Linotype" w:eastAsia="Palatino Linotype" w:hAnsi="Palatino Linotype" w:cs="Palatino Linotype"/>
        </w:rPr>
        <w:t xml:space="preserve"> de dos mil veintidós, la </w:t>
      </w:r>
      <w:r w:rsidRPr="00F532B8">
        <w:rPr>
          <w:rFonts w:ascii="Palatino Linotype" w:eastAsia="Palatino Linotype" w:hAnsi="Palatino Linotype" w:cs="Palatino Linotype"/>
          <w:b/>
        </w:rPr>
        <w:t xml:space="preserve">Comisionada Sharon Cristina Morales Martínez </w:t>
      </w:r>
      <w:r w:rsidRPr="00F532B8">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D684674" w14:textId="77777777" w:rsidR="00D15858" w:rsidRPr="00F532B8" w:rsidRDefault="00D15858" w:rsidP="00D15858">
      <w:pPr>
        <w:spacing w:line="360" w:lineRule="auto"/>
        <w:jc w:val="both"/>
        <w:rPr>
          <w:rFonts w:ascii="Palatino Linotype" w:eastAsia="Palatino Linotype" w:hAnsi="Palatino Linotype" w:cs="Palatino Linotype"/>
        </w:rPr>
      </w:pPr>
    </w:p>
    <w:p w14:paraId="5463B96A" w14:textId="77777777" w:rsidR="007F31B5" w:rsidRPr="00F532B8" w:rsidRDefault="00D15858">
      <w:pPr>
        <w:spacing w:line="360" w:lineRule="auto"/>
        <w:jc w:val="both"/>
        <w:rPr>
          <w:rFonts w:ascii="Palatino Linotype" w:eastAsia="Palatino Linotype" w:hAnsi="Palatino Linotype" w:cs="Palatino Linotype"/>
          <w:b/>
        </w:rPr>
      </w:pPr>
      <w:r w:rsidRPr="00F532B8">
        <w:rPr>
          <w:rFonts w:ascii="Palatino Linotype" w:eastAsia="Palatino Linotype" w:hAnsi="Palatino Linotype" w:cs="Palatino Linotype"/>
          <w:b/>
          <w:lang w:val="es-419"/>
        </w:rPr>
        <w:t>e</w:t>
      </w:r>
      <w:r w:rsidR="00A47F90" w:rsidRPr="00F532B8">
        <w:rPr>
          <w:rFonts w:ascii="Palatino Linotype" w:eastAsia="Palatino Linotype" w:hAnsi="Palatino Linotype" w:cs="Palatino Linotype"/>
          <w:b/>
        </w:rPr>
        <w:t xml:space="preserve">) De la ampliación </w:t>
      </w:r>
    </w:p>
    <w:p w14:paraId="10CCF94B" w14:textId="00104A93" w:rsidR="007F31B5" w:rsidRPr="00F532B8" w:rsidRDefault="00A47F90">
      <w:pPr>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En</w:t>
      </w:r>
      <w:r w:rsidR="00E61185" w:rsidRPr="00F532B8">
        <w:rPr>
          <w:rFonts w:ascii="Palatino Linotype" w:eastAsia="Palatino Linotype" w:hAnsi="Palatino Linotype" w:cs="Palatino Linotype"/>
          <w:b/>
        </w:rPr>
        <w:t xml:space="preserve"> </w:t>
      </w:r>
      <w:r w:rsidR="00E61185" w:rsidRPr="00F532B8">
        <w:rPr>
          <w:rFonts w:ascii="Palatino Linotype" w:eastAsia="Palatino Linotype" w:hAnsi="Palatino Linotype" w:cs="Palatino Linotype"/>
        </w:rPr>
        <w:t>fecha treinta de marzo</w:t>
      </w:r>
      <w:r w:rsidRPr="00F532B8">
        <w:rPr>
          <w:rFonts w:ascii="Palatino Linotype" w:eastAsia="Palatino Linotype" w:hAnsi="Palatino Linotype" w:cs="Palatino Linotype"/>
        </w:rPr>
        <w:t xml:space="preserve"> de dos mil veintidós, se notificó el acuerdo de ampliación de plazo para resolver el presente </w:t>
      </w:r>
      <w:r w:rsidR="004836D6" w:rsidRPr="00F532B8">
        <w:rPr>
          <w:rFonts w:ascii="Palatino Linotype" w:eastAsia="Palatino Linotype" w:hAnsi="Palatino Linotype" w:cs="Palatino Linotype"/>
        </w:rPr>
        <w:t>Recurso de Revisión</w:t>
      </w:r>
      <w:r w:rsidRPr="00F532B8">
        <w:rPr>
          <w:rFonts w:ascii="Palatino Linotype" w:eastAsia="Palatino Linotype" w:hAnsi="Palatino Linotype" w:cs="Palatino Linotype"/>
        </w:rPr>
        <w:t>, previsto en el artículo 181, tercer párrafo de la Ley de Transparencia y Acceso a la Información Pública del Estado de México y Municipios</w:t>
      </w:r>
      <w:r w:rsidR="00C241D4">
        <w:rPr>
          <w:rFonts w:ascii="Palatino Linotype" w:eastAsia="Palatino Linotype" w:hAnsi="Palatino Linotype" w:cs="Palatino Linotype"/>
          <w:lang w:val="es-419"/>
        </w:rPr>
        <w:t>.</w:t>
      </w:r>
    </w:p>
    <w:p w14:paraId="2284674C" w14:textId="77777777" w:rsidR="007F31B5" w:rsidRPr="00F532B8" w:rsidRDefault="00A47F90">
      <w:pPr>
        <w:jc w:val="center"/>
        <w:rPr>
          <w:rFonts w:ascii="Palatino Linotype" w:eastAsia="Palatino Linotype" w:hAnsi="Palatino Linotype" w:cs="Palatino Linotype"/>
          <w:b/>
          <w:sz w:val="28"/>
          <w:szCs w:val="28"/>
        </w:rPr>
      </w:pPr>
      <w:r w:rsidRPr="00F532B8">
        <w:rPr>
          <w:rFonts w:ascii="Palatino Linotype" w:eastAsia="Palatino Linotype" w:hAnsi="Palatino Linotype" w:cs="Palatino Linotype"/>
          <w:b/>
          <w:sz w:val="28"/>
          <w:szCs w:val="28"/>
        </w:rPr>
        <w:t>CONSIDERANDO</w:t>
      </w:r>
    </w:p>
    <w:p w14:paraId="4C7B992A" w14:textId="77777777" w:rsidR="007F31B5" w:rsidRPr="00F532B8" w:rsidRDefault="007F31B5">
      <w:pPr>
        <w:rPr>
          <w:rFonts w:ascii="Palatino Linotype" w:eastAsia="Palatino Linotype" w:hAnsi="Palatino Linotype" w:cs="Palatino Linotype"/>
          <w:b/>
          <w:sz w:val="28"/>
          <w:szCs w:val="28"/>
        </w:rPr>
      </w:pPr>
    </w:p>
    <w:p w14:paraId="3CAFAFD5" w14:textId="77777777" w:rsidR="007F31B5" w:rsidRPr="00F532B8" w:rsidRDefault="00A47F90">
      <w:pPr>
        <w:widowControl w:val="0"/>
        <w:tabs>
          <w:tab w:val="left" w:pos="1701"/>
        </w:tabs>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b/>
          <w:sz w:val="28"/>
          <w:szCs w:val="28"/>
        </w:rPr>
        <w:t>PRIMERO.</w:t>
      </w:r>
      <w:r w:rsidRPr="00F532B8">
        <w:rPr>
          <w:rFonts w:ascii="Palatino Linotype" w:eastAsia="Palatino Linotype" w:hAnsi="Palatino Linotype" w:cs="Palatino Linotype"/>
          <w:b/>
        </w:rPr>
        <w:t xml:space="preserve"> Competencia</w:t>
      </w:r>
      <w:r w:rsidRPr="00F532B8">
        <w:rPr>
          <w:rFonts w:ascii="Palatino Linotype" w:eastAsia="Palatino Linotype" w:hAnsi="Palatino Linotype" w:cs="Palatino Linotype"/>
        </w:rPr>
        <w:t>.</w:t>
      </w:r>
      <w:r w:rsidRPr="00F532B8">
        <w:rPr>
          <w:rFonts w:ascii="Palatino Linotype" w:eastAsia="Palatino Linotype" w:hAnsi="Palatino Linotype" w:cs="Palatino Linotype"/>
          <w:b/>
        </w:rPr>
        <w:t xml:space="preserve"> </w:t>
      </w:r>
    </w:p>
    <w:p w14:paraId="3AF95479" w14:textId="0D5B01A4" w:rsidR="007F31B5" w:rsidRPr="00F532B8" w:rsidRDefault="00A47F90">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F532B8">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w:t>
      </w:r>
      <w:r w:rsidR="004836D6" w:rsidRPr="00F532B8">
        <w:rPr>
          <w:rFonts w:ascii="Palatino Linotype" w:eastAsia="Palatino Linotype" w:hAnsi="Palatino Linotype" w:cs="Palatino Linotype"/>
        </w:rPr>
        <w:t>Recurso de Revisión</w:t>
      </w:r>
      <w:r w:rsidRPr="00F532B8">
        <w:rPr>
          <w:rFonts w:ascii="Palatino Linotype" w:eastAsia="Palatino Linotype" w:hAnsi="Palatino Linotype" w:cs="Palatino Linotype"/>
        </w:rPr>
        <w:t xml:space="preserve">, conforme a lo dispuesto en los artículos 6, Apartado A de la </w:t>
      </w:r>
      <w:r w:rsidRPr="00F532B8">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A2A747C" w14:textId="77777777" w:rsidR="007F31B5" w:rsidRPr="00F532B8" w:rsidRDefault="007F31B5">
      <w:pPr>
        <w:widowControl w:val="0"/>
        <w:tabs>
          <w:tab w:val="left" w:pos="1701"/>
          <w:tab w:val="left" w:pos="2977"/>
        </w:tabs>
        <w:spacing w:line="360" w:lineRule="auto"/>
        <w:jc w:val="both"/>
        <w:rPr>
          <w:rFonts w:ascii="Palatino Linotype" w:eastAsia="Palatino Linotype" w:hAnsi="Palatino Linotype" w:cs="Palatino Linotype"/>
        </w:rPr>
      </w:pPr>
    </w:p>
    <w:p w14:paraId="19C37A50" w14:textId="77777777" w:rsidR="007F31B5" w:rsidRPr="00F532B8" w:rsidRDefault="00A47F90">
      <w:pPr>
        <w:spacing w:line="360" w:lineRule="auto"/>
        <w:jc w:val="both"/>
        <w:rPr>
          <w:rFonts w:ascii="Palatino Linotype" w:eastAsia="Palatino Linotype" w:hAnsi="Palatino Linotype" w:cs="Palatino Linotype"/>
          <w:b/>
        </w:rPr>
      </w:pPr>
      <w:r w:rsidRPr="00F532B8">
        <w:rPr>
          <w:rFonts w:ascii="Palatino Linotype" w:eastAsia="Palatino Linotype" w:hAnsi="Palatino Linotype" w:cs="Palatino Linotype"/>
          <w:b/>
          <w:sz w:val="28"/>
          <w:szCs w:val="28"/>
        </w:rPr>
        <w:t>SEGUNDO</w:t>
      </w:r>
      <w:r w:rsidRPr="00F532B8">
        <w:rPr>
          <w:rFonts w:ascii="Palatino Linotype" w:eastAsia="Palatino Linotype" w:hAnsi="Palatino Linotype" w:cs="Palatino Linotype"/>
          <w:b/>
        </w:rPr>
        <w:t xml:space="preserve">. Interés. </w:t>
      </w:r>
    </w:p>
    <w:p w14:paraId="7B380A8D" w14:textId="6A63099E" w:rsidR="007F31B5" w:rsidRPr="00F532B8" w:rsidRDefault="00A47F90">
      <w:pPr>
        <w:spacing w:line="360" w:lineRule="auto"/>
        <w:jc w:val="both"/>
        <w:rPr>
          <w:rFonts w:ascii="Palatino Linotype" w:eastAsia="Palatino Linotype" w:hAnsi="Palatino Linotype" w:cs="Palatino Linotype"/>
          <w:b/>
        </w:rPr>
      </w:pPr>
      <w:r w:rsidRPr="00F532B8">
        <w:rPr>
          <w:rFonts w:ascii="Palatino Linotype" w:eastAsia="Palatino Linotype" w:hAnsi="Palatino Linotype" w:cs="Palatino Linotype"/>
        </w:rPr>
        <w:t xml:space="preserve">El </w:t>
      </w:r>
      <w:r w:rsidR="004836D6" w:rsidRPr="00F532B8">
        <w:rPr>
          <w:rFonts w:ascii="Palatino Linotype" w:eastAsia="Palatino Linotype" w:hAnsi="Palatino Linotype" w:cs="Palatino Linotype"/>
        </w:rPr>
        <w:t>Recurso de Revisión</w:t>
      </w:r>
      <w:r w:rsidRPr="00F532B8">
        <w:rPr>
          <w:rFonts w:ascii="Palatino Linotype" w:eastAsia="Palatino Linotype" w:hAnsi="Palatino Linotype" w:cs="Palatino Linotype"/>
        </w:rPr>
        <w:t xml:space="preserve"> fue interpuesto por parte legítima, en atención a que se presentó por </w:t>
      </w:r>
      <w:r w:rsidR="00786E0D" w:rsidRPr="00F532B8">
        <w:rPr>
          <w:rFonts w:ascii="Palatino Linotype" w:eastAsia="Palatino Linotype" w:hAnsi="Palatino Linotype" w:cs="Palatino Linotype"/>
          <w:b/>
        </w:rPr>
        <w:t>EL</w:t>
      </w:r>
      <w:r w:rsidRPr="00F532B8">
        <w:rPr>
          <w:rFonts w:ascii="Palatino Linotype" w:eastAsia="Palatino Linotype" w:hAnsi="Palatino Linotype" w:cs="Palatino Linotype"/>
          <w:b/>
        </w:rPr>
        <w:t xml:space="preserve"> RECURRENTE,</w:t>
      </w:r>
      <w:r w:rsidRPr="00F532B8">
        <w:rPr>
          <w:rFonts w:ascii="Palatino Linotype" w:eastAsia="Palatino Linotype" w:hAnsi="Palatino Linotype" w:cs="Palatino Linotype"/>
        </w:rPr>
        <w:t xml:space="preserve"> quien es la misma persona que formuló la solicitud de acceso a la información pública al </w:t>
      </w:r>
      <w:r w:rsidRPr="00F532B8">
        <w:rPr>
          <w:rFonts w:ascii="Palatino Linotype" w:eastAsia="Palatino Linotype" w:hAnsi="Palatino Linotype" w:cs="Palatino Linotype"/>
          <w:b/>
        </w:rPr>
        <w:t>SUJETO OBLIGADO</w:t>
      </w:r>
      <w:r w:rsidR="00786E0D" w:rsidRPr="00F532B8">
        <w:rPr>
          <w:rFonts w:ascii="Palatino Linotype" w:eastAsia="Palatino Linotype" w:hAnsi="Palatino Linotype" w:cs="Palatino Linotype"/>
          <w:b/>
        </w:rPr>
        <w:t xml:space="preserve"> </w:t>
      </w:r>
      <w:r w:rsidR="00786E0D" w:rsidRPr="00F532B8">
        <w:rPr>
          <w:rFonts w:ascii="Palatino Linotype" w:eastAsia="Palatino Linotype" w:hAnsi="Palatino Linotype" w:cs="Palatino Linotype"/>
        </w:rPr>
        <w:t>al hacer uso de su nombre de usuario y contraseña generados por este en el sistema.</w:t>
      </w:r>
      <w:r w:rsidRPr="00F532B8">
        <w:rPr>
          <w:rFonts w:ascii="Palatino Linotype" w:eastAsia="Palatino Linotype" w:hAnsi="Palatino Linotype" w:cs="Palatino Linotype"/>
          <w:b/>
        </w:rPr>
        <w:t xml:space="preserve"> </w:t>
      </w:r>
    </w:p>
    <w:p w14:paraId="2FF9CBF8" w14:textId="77777777" w:rsidR="007F31B5" w:rsidRPr="00F532B8" w:rsidRDefault="007F31B5">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D12AF9B" w14:textId="77777777" w:rsidR="007F31B5" w:rsidRPr="00F532B8" w:rsidRDefault="00A47F90">
      <w:pPr>
        <w:tabs>
          <w:tab w:val="center" w:pos="4252"/>
          <w:tab w:val="right" w:pos="8504"/>
        </w:tabs>
        <w:spacing w:line="360" w:lineRule="auto"/>
        <w:ind w:left="-57"/>
        <w:jc w:val="both"/>
        <w:rPr>
          <w:rFonts w:ascii="Palatino Linotype" w:eastAsia="Palatino Linotype" w:hAnsi="Palatino Linotype" w:cs="Palatino Linotype"/>
          <w:color w:val="000000"/>
        </w:rPr>
      </w:pPr>
      <w:r w:rsidRPr="00F532B8">
        <w:rPr>
          <w:rFonts w:ascii="Palatino Linotype" w:eastAsia="Palatino Linotype" w:hAnsi="Palatino Linotype" w:cs="Palatino Linotype"/>
          <w:b/>
          <w:sz w:val="28"/>
          <w:szCs w:val="28"/>
        </w:rPr>
        <w:t>TERCERO.</w:t>
      </w:r>
      <w:r w:rsidRPr="00F532B8">
        <w:rPr>
          <w:rFonts w:ascii="Palatino Linotype" w:eastAsia="Palatino Linotype" w:hAnsi="Palatino Linotype" w:cs="Palatino Linotype"/>
        </w:rPr>
        <w:t xml:space="preserve"> </w:t>
      </w:r>
      <w:r w:rsidRPr="00F532B8">
        <w:rPr>
          <w:rFonts w:ascii="Palatino Linotype" w:eastAsia="Palatino Linotype" w:hAnsi="Palatino Linotype" w:cs="Palatino Linotype"/>
          <w:b/>
          <w:color w:val="000000"/>
        </w:rPr>
        <w:t>Oportunidad</w:t>
      </w:r>
      <w:r w:rsidRPr="00F532B8">
        <w:rPr>
          <w:rFonts w:ascii="Palatino Linotype" w:eastAsia="Palatino Linotype" w:hAnsi="Palatino Linotype" w:cs="Palatino Linotype"/>
          <w:color w:val="000000"/>
        </w:rPr>
        <w:t xml:space="preserve">. </w:t>
      </w:r>
    </w:p>
    <w:p w14:paraId="70E77DDC" w14:textId="45A2CE95" w:rsidR="007F31B5" w:rsidRPr="00F532B8" w:rsidRDefault="00A47F9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532B8">
        <w:rPr>
          <w:rFonts w:ascii="Palatino Linotype" w:eastAsia="Palatino Linotype" w:hAnsi="Palatino Linotype" w:cs="Palatino Linotype"/>
          <w:color w:val="000000"/>
        </w:rPr>
        <w:t xml:space="preserve">El </w:t>
      </w:r>
      <w:r w:rsidR="004836D6" w:rsidRPr="00F532B8">
        <w:rPr>
          <w:rFonts w:ascii="Palatino Linotype" w:eastAsia="Palatino Linotype" w:hAnsi="Palatino Linotype" w:cs="Palatino Linotype"/>
          <w:color w:val="000000"/>
        </w:rPr>
        <w:t>Recurso de Revisión</w:t>
      </w:r>
      <w:r w:rsidRPr="00F532B8">
        <w:rPr>
          <w:rFonts w:ascii="Palatino Linotype" w:eastAsia="Palatino Linotype" w:hAnsi="Palatino Linotype" w:cs="Palatino Linotype"/>
          <w:color w:val="000000"/>
        </w:rPr>
        <w:t xml:space="preserve"> fue interpuesto dentro del plazo de quince días hábiles, contados a partir del día siguiente al que </w:t>
      </w:r>
      <w:r w:rsidR="00AC60E1" w:rsidRPr="00F532B8">
        <w:rPr>
          <w:rFonts w:ascii="Palatino Linotype" w:eastAsia="Palatino Linotype" w:hAnsi="Palatino Linotype" w:cs="Palatino Linotype"/>
          <w:b/>
        </w:rPr>
        <w:t>EL</w:t>
      </w:r>
      <w:r w:rsidRPr="00F532B8">
        <w:rPr>
          <w:rFonts w:ascii="Palatino Linotype" w:eastAsia="Palatino Linotype" w:hAnsi="Palatino Linotype" w:cs="Palatino Linotype"/>
          <w:b/>
          <w:color w:val="000000"/>
        </w:rPr>
        <w:t xml:space="preserve"> RECURRENTE </w:t>
      </w:r>
      <w:r w:rsidRPr="00F532B8">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7BD455BB" w14:textId="77777777" w:rsidR="007F31B5" w:rsidRPr="00F532B8" w:rsidRDefault="007F31B5">
      <w:pPr>
        <w:ind w:left="720" w:right="709"/>
        <w:jc w:val="both"/>
        <w:rPr>
          <w:rFonts w:ascii="Palatino Linotype" w:eastAsia="Palatino Linotype" w:hAnsi="Palatino Linotype" w:cs="Palatino Linotype"/>
          <w:i/>
          <w:sz w:val="22"/>
          <w:szCs w:val="22"/>
        </w:rPr>
      </w:pPr>
    </w:p>
    <w:p w14:paraId="1BE9EE08" w14:textId="415489F9" w:rsidR="007F31B5" w:rsidRPr="00F532B8" w:rsidRDefault="00A47F90">
      <w:pPr>
        <w:ind w:left="851" w:right="899"/>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w:t>
      </w:r>
      <w:r w:rsidRPr="00F532B8">
        <w:rPr>
          <w:rFonts w:ascii="Palatino Linotype" w:eastAsia="Palatino Linotype" w:hAnsi="Palatino Linotype" w:cs="Palatino Linotype"/>
          <w:b/>
          <w:i/>
          <w:sz w:val="22"/>
          <w:szCs w:val="22"/>
        </w:rPr>
        <w:t>Artículo 178.</w:t>
      </w:r>
      <w:r w:rsidRPr="00F532B8">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w:t>
      </w:r>
      <w:r w:rsidR="004836D6" w:rsidRPr="00F532B8">
        <w:rPr>
          <w:rFonts w:ascii="Palatino Linotype" w:eastAsia="Palatino Linotype" w:hAnsi="Palatino Linotype" w:cs="Palatino Linotype"/>
          <w:i/>
          <w:sz w:val="22"/>
          <w:szCs w:val="22"/>
        </w:rPr>
        <w:t>Recurso de Revisión</w:t>
      </w:r>
      <w:r w:rsidRPr="00F532B8">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14:paraId="785D6F8F" w14:textId="77777777" w:rsidR="007F31B5" w:rsidRPr="00F532B8" w:rsidRDefault="007F31B5">
      <w:pPr>
        <w:ind w:left="851" w:right="899"/>
        <w:jc w:val="both"/>
        <w:rPr>
          <w:rFonts w:ascii="Palatino Linotype" w:eastAsia="Palatino Linotype" w:hAnsi="Palatino Linotype" w:cs="Palatino Linotype"/>
          <w:i/>
          <w:sz w:val="22"/>
          <w:szCs w:val="22"/>
        </w:rPr>
      </w:pPr>
    </w:p>
    <w:p w14:paraId="338DCC2B" w14:textId="77777777" w:rsidR="007F31B5" w:rsidRPr="00F532B8" w:rsidRDefault="00A47F90">
      <w:pPr>
        <w:ind w:left="851" w:right="899"/>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1DE53FA" w14:textId="77777777" w:rsidR="007F31B5" w:rsidRPr="00F532B8" w:rsidRDefault="007F31B5">
      <w:pPr>
        <w:ind w:left="851" w:right="899"/>
        <w:jc w:val="both"/>
        <w:rPr>
          <w:rFonts w:ascii="Palatino Linotype" w:eastAsia="Palatino Linotype" w:hAnsi="Palatino Linotype" w:cs="Palatino Linotype"/>
          <w:i/>
          <w:sz w:val="22"/>
          <w:szCs w:val="22"/>
        </w:rPr>
      </w:pPr>
    </w:p>
    <w:p w14:paraId="29488D2A" w14:textId="58405D3B" w:rsidR="007F31B5" w:rsidRPr="00F532B8" w:rsidRDefault="00A47F90">
      <w:pPr>
        <w:ind w:left="851" w:right="899"/>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 xml:space="preserve">En el caso de que se interponga ante la Unidad de Transparencia, ésta deberá remitir el </w:t>
      </w:r>
      <w:r w:rsidR="004836D6" w:rsidRPr="00F532B8">
        <w:rPr>
          <w:rFonts w:ascii="Palatino Linotype" w:eastAsia="Palatino Linotype" w:hAnsi="Palatino Linotype" w:cs="Palatino Linotype"/>
          <w:i/>
          <w:sz w:val="22"/>
          <w:szCs w:val="22"/>
        </w:rPr>
        <w:t>Recurso de Revisión</w:t>
      </w:r>
      <w:r w:rsidRPr="00F532B8">
        <w:rPr>
          <w:rFonts w:ascii="Palatino Linotype" w:eastAsia="Palatino Linotype" w:hAnsi="Palatino Linotype" w:cs="Palatino Linotype"/>
          <w:i/>
          <w:sz w:val="22"/>
          <w:szCs w:val="22"/>
        </w:rPr>
        <w:t xml:space="preserve"> al Instituto a más tardar al día siguiente de haberlo recibido.”</w:t>
      </w:r>
    </w:p>
    <w:p w14:paraId="5F5C5AF3" w14:textId="77777777" w:rsidR="007F31B5" w:rsidRPr="00F532B8" w:rsidRDefault="007F31B5">
      <w:pPr>
        <w:ind w:left="720" w:right="709"/>
        <w:jc w:val="both"/>
        <w:rPr>
          <w:rFonts w:ascii="Palatino Linotype" w:eastAsia="Palatino Linotype" w:hAnsi="Palatino Linotype" w:cs="Palatino Linotype"/>
          <w:i/>
          <w:sz w:val="22"/>
          <w:szCs w:val="22"/>
        </w:rPr>
      </w:pPr>
    </w:p>
    <w:p w14:paraId="7519FC2F" w14:textId="5EAF873C" w:rsidR="007F31B5" w:rsidRPr="00F532B8" w:rsidRDefault="00A47F90">
      <w:pPr>
        <w:spacing w:line="360" w:lineRule="auto"/>
        <w:jc w:val="both"/>
        <w:rPr>
          <w:rFonts w:ascii="Palatino Linotype" w:eastAsia="Palatino Linotype" w:hAnsi="Palatino Linotype" w:cs="Palatino Linotype"/>
        </w:rPr>
      </w:pPr>
      <w:bookmarkStart w:id="2" w:name="_heading=h.2et92p0" w:colFirst="0" w:colLast="0"/>
      <w:bookmarkEnd w:id="2"/>
      <w:r w:rsidRPr="00F532B8">
        <w:rPr>
          <w:rFonts w:ascii="Palatino Linotype" w:eastAsia="Palatino Linotype" w:hAnsi="Palatino Linotype" w:cs="Palatino Linotype"/>
        </w:rPr>
        <w:t xml:space="preserve">En esa tesitura, atendiendo a que </w:t>
      </w:r>
      <w:r w:rsidRPr="00F532B8">
        <w:rPr>
          <w:rFonts w:ascii="Palatino Linotype" w:eastAsia="Palatino Linotype" w:hAnsi="Palatino Linotype" w:cs="Palatino Linotype"/>
          <w:b/>
        </w:rPr>
        <w:t>EL SUJETO OBLIGADO</w:t>
      </w:r>
      <w:r w:rsidRPr="00F532B8">
        <w:rPr>
          <w:rFonts w:ascii="Palatino Linotype" w:eastAsia="Palatino Linotype" w:hAnsi="Palatino Linotype" w:cs="Palatino Linotype"/>
        </w:rPr>
        <w:t xml:space="preserve"> notificó la respuesta a la solicitud de acceso a la información pública el día</w:t>
      </w:r>
      <w:r w:rsidR="00AC60E1" w:rsidRPr="00F532B8">
        <w:rPr>
          <w:rFonts w:ascii="Palatino Linotype" w:eastAsia="Palatino Linotype" w:hAnsi="Palatino Linotype" w:cs="Palatino Linotype"/>
          <w:b/>
        </w:rPr>
        <w:t xml:space="preserve"> nueve</w:t>
      </w:r>
      <w:r w:rsidRPr="00F532B8">
        <w:rPr>
          <w:rFonts w:ascii="Palatino Linotype" w:eastAsia="Palatino Linotype" w:hAnsi="Palatino Linotype" w:cs="Palatino Linotype"/>
          <w:b/>
        </w:rPr>
        <w:t xml:space="preserve"> de febrero de enero de dos mil veintidós</w:t>
      </w:r>
      <w:r w:rsidRPr="00F532B8">
        <w:rPr>
          <w:rFonts w:ascii="Palatino Linotype" w:eastAsia="Palatino Linotype" w:hAnsi="Palatino Linotype" w:cs="Palatino Linotype"/>
        </w:rPr>
        <w:t>; así, el plazo de quince días hábiles que el artículo 178 de la Ley de la materia otorga a</w:t>
      </w:r>
      <w:r w:rsidR="00AC60E1" w:rsidRPr="00F532B8">
        <w:rPr>
          <w:rFonts w:ascii="Palatino Linotype" w:eastAsia="Palatino Linotype" w:hAnsi="Palatino Linotype" w:cs="Palatino Linotype"/>
        </w:rPr>
        <w:t xml:space="preserve">l </w:t>
      </w:r>
      <w:r w:rsidRPr="00F532B8">
        <w:rPr>
          <w:rFonts w:ascii="Palatino Linotype" w:eastAsia="Palatino Linotype" w:hAnsi="Palatino Linotype" w:cs="Palatino Linotype"/>
          <w:b/>
        </w:rPr>
        <w:t>RECURRENTE</w:t>
      </w:r>
      <w:r w:rsidRPr="00F532B8">
        <w:rPr>
          <w:rFonts w:ascii="Palatino Linotype" w:eastAsia="Palatino Linotype" w:hAnsi="Palatino Linotype" w:cs="Palatino Linotype"/>
        </w:rPr>
        <w:t xml:space="preserve"> para presentar el respectivo </w:t>
      </w:r>
      <w:r w:rsidR="004836D6" w:rsidRPr="00F532B8">
        <w:rPr>
          <w:rFonts w:ascii="Palatino Linotype" w:eastAsia="Palatino Linotype" w:hAnsi="Palatino Linotype" w:cs="Palatino Linotype"/>
        </w:rPr>
        <w:t>Recurso de Revisión</w:t>
      </w:r>
      <w:r w:rsidRPr="00F532B8">
        <w:rPr>
          <w:rFonts w:ascii="Palatino Linotype" w:eastAsia="Palatino Linotype" w:hAnsi="Palatino Linotype" w:cs="Palatino Linotype"/>
        </w:rPr>
        <w:t xml:space="preserve">, transcurrió del </w:t>
      </w:r>
      <w:r w:rsidR="00AC60E1" w:rsidRPr="00F532B8">
        <w:rPr>
          <w:rFonts w:ascii="Palatino Linotype" w:eastAsia="Palatino Linotype" w:hAnsi="Palatino Linotype" w:cs="Palatino Linotype"/>
          <w:b/>
        </w:rPr>
        <w:t>diez de</w:t>
      </w:r>
      <w:r w:rsidRPr="00F532B8">
        <w:rPr>
          <w:rFonts w:ascii="Palatino Linotype" w:eastAsia="Palatino Linotype" w:hAnsi="Palatino Linotype" w:cs="Palatino Linotype"/>
          <w:b/>
        </w:rPr>
        <w:t xml:space="preserve"> febrero al </w:t>
      </w:r>
      <w:r w:rsidR="00AC60E1" w:rsidRPr="00F532B8">
        <w:rPr>
          <w:rFonts w:ascii="Palatino Linotype" w:eastAsia="Palatino Linotype" w:hAnsi="Palatino Linotype" w:cs="Palatino Linotype"/>
          <w:b/>
        </w:rPr>
        <w:t xml:space="preserve">tres de </w:t>
      </w:r>
      <w:r w:rsidRPr="00F532B8">
        <w:rPr>
          <w:rFonts w:ascii="Palatino Linotype" w:eastAsia="Palatino Linotype" w:hAnsi="Palatino Linotype" w:cs="Palatino Linotype"/>
          <w:b/>
        </w:rPr>
        <w:t xml:space="preserve">marzo de dos mil veintidós, </w:t>
      </w:r>
      <w:r w:rsidRPr="00F532B8">
        <w:rPr>
          <w:rFonts w:ascii="Palatino Linotype" w:eastAsia="Palatino Linotype" w:hAnsi="Palatino Linotype" w:cs="Palatino Linotype"/>
        </w:rPr>
        <w:t>sin contemplar en el cómputo los días doce, trece, diecinueve, veinte, veintiséis y veintisiete  de febrero  de dos mil veintidós por corresponder a sábados y domingos, considerados como días inhábiles, en términos del artículo 3, fracción X de la Ley de Transparencia y Acceso a la Información Pública del</w:t>
      </w:r>
      <w:r w:rsidR="00AC60E1" w:rsidRPr="00F532B8">
        <w:rPr>
          <w:rFonts w:ascii="Palatino Linotype" w:eastAsia="Palatino Linotype" w:hAnsi="Palatino Linotype" w:cs="Palatino Linotype"/>
        </w:rPr>
        <w:t xml:space="preserve"> Estado de México y Municipios; así como, el día dos de marzo de dos mil veintidós, por tratarse de un día de suspensión de labores de conformidad con el Calendario Oficial en materia de Transparencia, aprobado por el Pleno de este Instituto el quince de diciembre de dos mil veintiuno.</w:t>
      </w:r>
    </w:p>
    <w:p w14:paraId="00EC8419" w14:textId="4F6E3BA2" w:rsidR="00AC60E1" w:rsidRPr="00F532B8" w:rsidRDefault="00AC60E1" w:rsidP="00AC60E1">
      <w:pPr>
        <w:spacing w:before="200" w:after="200" w:line="360" w:lineRule="auto"/>
        <w:jc w:val="both"/>
        <w:rPr>
          <w:rFonts w:ascii="Arial" w:hAnsi="Arial" w:cs="Arial"/>
        </w:rPr>
      </w:pPr>
      <w:bookmarkStart w:id="3" w:name="_heading=h.ma48g4au9ykp" w:colFirst="0" w:colLast="0"/>
      <w:bookmarkEnd w:id="3"/>
      <w:r w:rsidRPr="00F532B8">
        <w:rPr>
          <w:rFonts w:ascii="Palatino Linotype" w:hAnsi="Palatino Linotype" w:cs="Arial"/>
        </w:rPr>
        <w:t xml:space="preserve">En ese tenor, se advierte que </w:t>
      </w:r>
      <w:r w:rsidRPr="00F532B8">
        <w:rPr>
          <w:rFonts w:ascii="Palatino Linotype" w:hAnsi="Palatino Linotype" w:cs="Arial"/>
          <w:b/>
          <w:bCs/>
        </w:rPr>
        <w:t>EL RECURRENTE</w:t>
      </w:r>
      <w:r w:rsidRPr="00F532B8">
        <w:rPr>
          <w:rFonts w:ascii="Palatino Linotype" w:hAnsi="Palatino Linotype" w:cs="Arial"/>
        </w:rPr>
        <w:t xml:space="preserve"> presentó el medio de impugnación al rubro anotado, el mismo día en que se le notificó las respuesta impugnada, es decir, el </w:t>
      </w:r>
      <w:r w:rsidRPr="00F532B8">
        <w:rPr>
          <w:rFonts w:ascii="Palatino Linotype" w:hAnsi="Palatino Linotype" w:cs="Arial"/>
          <w:b/>
        </w:rPr>
        <w:t xml:space="preserve">nueve de febrero de dos mil </w:t>
      </w:r>
      <w:r w:rsidR="004E0382" w:rsidRPr="00F532B8">
        <w:rPr>
          <w:rFonts w:ascii="Palatino Linotype" w:hAnsi="Palatino Linotype" w:cs="Arial"/>
          <w:b/>
        </w:rPr>
        <w:t>veintidós</w:t>
      </w:r>
      <w:r w:rsidRPr="00F532B8">
        <w:rPr>
          <w:rFonts w:ascii="Palatino Linotype" w:hAnsi="Palatino Linotype" w:cs="Arial"/>
        </w:rPr>
        <w:t xml:space="preserve">;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w:t>
      </w:r>
      <w:r w:rsidR="004836D6" w:rsidRPr="00F532B8">
        <w:rPr>
          <w:rFonts w:ascii="Palatino Linotype" w:hAnsi="Palatino Linotype" w:cs="Arial"/>
        </w:rPr>
        <w:t>Recurso de Revisión</w:t>
      </w:r>
      <w:r w:rsidRPr="00F532B8">
        <w:rPr>
          <w:rFonts w:ascii="Palatino Linotype" w:hAnsi="Palatino Linotype" w:cs="Arial"/>
        </w:rPr>
        <w:t xml:space="preserve"> se ha de </w:t>
      </w:r>
      <w:r w:rsidRPr="00F532B8">
        <w:rPr>
          <w:rFonts w:ascii="Palatino Linotype" w:hAnsi="Palatino Linotype" w:cs="Arial"/>
        </w:rPr>
        <w:lastRenderedPageBreak/>
        <w:t xml:space="preserve">promover </w:t>
      </w:r>
      <w:r w:rsidRPr="00F532B8">
        <w:rPr>
          <w:rFonts w:ascii="Palatino Linotype" w:hAnsi="Palatino Linotype" w:cs="Arial"/>
          <w:b/>
          <w:u w:val="single"/>
        </w:rPr>
        <w:t>dentro</w:t>
      </w:r>
      <w:r w:rsidRPr="00F532B8">
        <w:rPr>
          <w:rFonts w:ascii="Palatino Linotype" w:hAnsi="Palatino Linotype" w:cs="Arial"/>
        </w:rPr>
        <w:t xml:space="preserve"> de los quince días hábiles siguientes en que </w:t>
      </w:r>
      <w:r w:rsidRPr="00F532B8">
        <w:rPr>
          <w:rFonts w:ascii="Palatino Linotype" w:hAnsi="Palatino Linotype" w:cs="Arial"/>
          <w:b/>
          <w:bCs/>
        </w:rPr>
        <w:t>EL RECURRENTE</w:t>
      </w:r>
      <w:r w:rsidRPr="00F532B8">
        <w:rPr>
          <w:rFonts w:ascii="Palatino Linotype" w:hAnsi="Palatino Linotype" w:cs="Arial"/>
        </w:rPr>
        <w:t xml:space="preserve"> tenga conocimiento de la respuesta impugnada, no limita a los particulares para que lo puedan presentar </w:t>
      </w:r>
      <w:r w:rsidRPr="00F532B8">
        <w:rPr>
          <w:rFonts w:ascii="Palatino Linotype" w:hAnsi="Palatino Linotype" w:cs="Arial"/>
          <w:b/>
        </w:rPr>
        <w:t>el mismo día</w:t>
      </w:r>
      <w:r w:rsidRPr="00F532B8">
        <w:rPr>
          <w:rFonts w:ascii="Palatino Linotype" w:hAnsi="Palatino Linotype" w:cs="Arial"/>
        </w:rPr>
        <w:t xml:space="preserve"> en que le sea notificada dicha respuesta; esto es, no implica que de presentarse el </w:t>
      </w:r>
      <w:r w:rsidR="004836D6" w:rsidRPr="00F532B8">
        <w:rPr>
          <w:rFonts w:ascii="Palatino Linotype" w:hAnsi="Palatino Linotype" w:cs="Arial"/>
        </w:rPr>
        <w:t>Recurso de Revisión</w:t>
      </w:r>
      <w:r w:rsidRPr="00F532B8">
        <w:rPr>
          <w:rFonts w:ascii="Palatino Linotype" w:hAnsi="Palatino Linotype" w:cs="Arial"/>
        </w:rPr>
        <w:t xml:space="preserve"> el mismo día de su notificación, deba considerarse como extemporáneo.</w:t>
      </w:r>
    </w:p>
    <w:p w14:paraId="0C9471A7" w14:textId="77777777" w:rsidR="00AC60E1" w:rsidRPr="00F532B8" w:rsidRDefault="00AC60E1" w:rsidP="00AC60E1">
      <w:pPr>
        <w:spacing w:before="200" w:after="200" w:line="360" w:lineRule="auto"/>
        <w:jc w:val="both"/>
        <w:rPr>
          <w:rFonts w:ascii="Arial" w:hAnsi="Arial" w:cs="Arial"/>
        </w:rPr>
      </w:pPr>
      <w:r w:rsidRPr="00F532B8">
        <w:rPr>
          <w:rFonts w:ascii="Palatino Linotype" w:hAnsi="Palatino Linotype" w:cs="Arial"/>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35D8BA7C" w14:textId="77777777" w:rsidR="00AC60E1" w:rsidRPr="00F532B8" w:rsidRDefault="00AC60E1" w:rsidP="00AC60E1">
      <w:pPr>
        <w:spacing w:before="120" w:after="120"/>
        <w:ind w:left="709" w:right="709"/>
        <w:jc w:val="both"/>
        <w:rPr>
          <w:rFonts w:ascii="Palatino Linotype" w:hAnsi="Palatino Linotype" w:cs="Arial"/>
          <w:i/>
          <w:iCs/>
          <w:sz w:val="22"/>
          <w:szCs w:val="22"/>
        </w:rPr>
      </w:pPr>
      <w:r w:rsidRPr="00F532B8">
        <w:rPr>
          <w:rFonts w:ascii="Palatino Linotype" w:hAnsi="Palatino Linotype" w:cs="Arial"/>
          <w:i/>
          <w:iCs/>
          <w:sz w:val="22"/>
          <w:szCs w:val="22"/>
        </w:rPr>
        <w:t>“</w:t>
      </w:r>
      <w:r w:rsidRPr="00F532B8">
        <w:rPr>
          <w:rFonts w:ascii="Palatino Linotype" w:hAnsi="Palatino Linotype" w:cs="Arial"/>
          <w:b/>
          <w:bCs/>
          <w:i/>
          <w:iCs/>
          <w:sz w:val="22"/>
          <w:szCs w:val="22"/>
        </w:rPr>
        <w:t xml:space="preserve">RECURSO DE RECLAMACIÓN. SU INTERPOSICIÓN NO ES EXTEMPORÁNEA SI SE REALIZA ANTES DE QUE INICIE EL PLAZO PARA HACERLO. </w:t>
      </w:r>
      <w:r w:rsidRPr="00F532B8">
        <w:rPr>
          <w:rFonts w:ascii="Palatino Linotype" w:hAnsi="Palatino Linotype" w:cs="Arial"/>
          <w:i/>
          <w:iCs/>
          <w:sz w:val="22"/>
          <w:szCs w:val="22"/>
        </w:rPr>
        <w:t xml:space="preserve">Conforme al artículo 104, párrafo segundo, de la Ley de Amparo, el recurso de reclamación podrá interponerse por cualquiera de las partes, por escrito, dentro del término de tres días siguientes al en </w:t>
      </w:r>
      <w:r w:rsidRPr="00F532B8">
        <w:rPr>
          <w:rFonts w:ascii="Palatino Linotype" w:hAnsi="Palatino Linotype" w:cs="Arial"/>
          <w:i/>
          <w:sz w:val="22"/>
          <w:szCs w:val="22"/>
        </w:rPr>
        <w:t>que</w:t>
      </w:r>
      <w:r w:rsidRPr="00F532B8">
        <w:rPr>
          <w:rFonts w:ascii="Palatino Linotype" w:hAnsi="Palatino Linotype" w:cs="Arial"/>
          <w:i/>
          <w:iCs/>
          <w:sz w:val="22"/>
          <w:szCs w:val="22"/>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F532B8">
        <w:rPr>
          <w:rFonts w:ascii="Palatino Linotype" w:hAnsi="Palatino Linotype" w:cs="Arial"/>
          <w:i/>
          <w:sz w:val="22"/>
          <w:szCs w:val="22"/>
        </w:rPr>
        <w:t>que</w:t>
      </w:r>
      <w:r w:rsidRPr="00F532B8">
        <w:rPr>
          <w:rFonts w:ascii="Palatino Linotype" w:hAnsi="Palatino Linotype" w:cs="Arial"/>
          <w:i/>
          <w:iCs/>
          <w:sz w:val="22"/>
          <w:szCs w:val="22"/>
        </w:rPr>
        <w:t xml:space="preserve"> si dicho recurso se interpone antes de que inicie el plazo para hacerlo, su presentación no es extemporánea.</w:t>
      </w:r>
    </w:p>
    <w:p w14:paraId="5676E978" w14:textId="77777777" w:rsidR="007F31B5" w:rsidRPr="00F532B8" w:rsidRDefault="007F31B5">
      <w:pPr>
        <w:spacing w:line="360" w:lineRule="auto"/>
        <w:jc w:val="both"/>
        <w:rPr>
          <w:rFonts w:ascii="Palatino Linotype" w:eastAsia="Palatino Linotype" w:hAnsi="Palatino Linotype" w:cs="Palatino Linotype"/>
        </w:rPr>
      </w:pPr>
    </w:p>
    <w:p w14:paraId="2AE78E97" w14:textId="659DE7D7" w:rsidR="007F31B5" w:rsidRPr="00F532B8" w:rsidRDefault="00A47F90">
      <w:pPr>
        <w:spacing w:line="360" w:lineRule="auto"/>
        <w:jc w:val="both"/>
        <w:rPr>
          <w:rFonts w:ascii="Palatino Linotype" w:eastAsia="Palatino Linotype" w:hAnsi="Palatino Linotype" w:cs="Palatino Linotype"/>
        </w:rPr>
      </w:pPr>
      <w:bookmarkStart w:id="4" w:name="_heading=h.o6sewjs6zihd" w:colFirst="0" w:colLast="0"/>
      <w:bookmarkEnd w:id="4"/>
      <w:r w:rsidRPr="00F532B8">
        <w:rPr>
          <w:rFonts w:ascii="Palatino Linotype" w:eastAsia="Palatino Linotype" w:hAnsi="Palatino Linotype" w:cs="Palatino Linotype"/>
        </w:rPr>
        <w:t xml:space="preserve">En ese tenor, si el </w:t>
      </w:r>
      <w:r w:rsidR="004836D6" w:rsidRPr="00F532B8">
        <w:rPr>
          <w:rFonts w:ascii="Palatino Linotype" w:eastAsia="Palatino Linotype" w:hAnsi="Palatino Linotype" w:cs="Palatino Linotype"/>
        </w:rPr>
        <w:t>Recurso de Revisión</w:t>
      </w:r>
      <w:r w:rsidRPr="00F532B8">
        <w:rPr>
          <w:rFonts w:ascii="Palatino Linotype" w:eastAsia="Palatino Linotype" w:hAnsi="Palatino Linotype" w:cs="Palatino Linotype"/>
        </w:rPr>
        <w:t xml:space="preserve"> que nos ocupa, se interpuso el</w:t>
      </w:r>
      <w:r w:rsidRPr="00F532B8">
        <w:rPr>
          <w:rFonts w:ascii="Palatino Linotype" w:eastAsia="Palatino Linotype" w:hAnsi="Palatino Linotype" w:cs="Palatino Linotype"/>
          <w:b/>
        </w:rPr>
        <w:t xml:space="preserve"> nueve de febrero de dos mil veintidós,</w:t>
      </w:r>
      <w:r w:rsidRPr="00F532B8">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0560336" w14:textId="004C42E6" w:rsidR="007F31B5" w:rsidRPr="00F532B8" w:rsidRDefault="007F31B5">
      <w:pPr>
        <w:spacing w:line="360" w:lineRule="auto"/>
        <w:ind w:left="-5" w:hanging="10"/>
        <w:jc w:val="both"/>
        <w:rPr>
          <w:rFonts w:ascii="Palatino Linotype" w:eastAsia="Palatino Linotype" w:hAnsi="Palatino Linotype" w:cs="Palatino Linotype"/>
        </w:rPr>
      </w:pPr>
    </w:p>
    <w:p w14:paraId="08AF15D3" w14:textId="3FE4EFD5" w:rsidR="00381947" w:rsidRPr="00F532B8" w:rsidRDefault="00381947">
      <w:pPr>
        <w:spacing w:line="360" w:lineRule="auto"/>
        <w:ind w:left="-5" w:hanging="10"/>
        <w:jc w:val="both"/>
        <w:rPr>
          <w:rFonts w:ascii="Palatino Linotype" w:eastAsia="Palatino Linotype" w:hAnsi="Palatino Linotype" w:cs="Palatino Linotype"/>
        </w:rPr>
      </w:pPr>
    </w:p>
    <w:p w14:paraId="4CD19EBA" w14:textId="20C326C1" w:rsidR="00381947" w:rsidRPr="00F532B8" w:rsidRDefault="00381947">
      <w:pPr>
        <w:spacing w:line="360" w:lineRule="auto"/>
        <w:ind w:left="-5" w:hanging="10"/>
        <w:jc w:val="both"/>
        <w:rPr>
          <w:rFonts w:ascii="Palatino Linotype" w:eastAsia="Palatino Linotype" w:hAnsi="Palatino Linotype" w:cs="Palatino Linotype"/>
        </w:rPr>
      </w:pPr>
    </w:p>
    <w:p w14:paraId="79B28424" w14:textId="77777777" w:rsidR="00381947" w:rsidRPr="00F532B8" w:rsidRDefault="00381947">
      <w:pPr>
        <w:spacing w:line="360" w:lineRule="auto"/>
        <w:ind w:left="-5" w:hanging="10"/>
        <w:jc w:val="both"/>
        <w:rPr>
          <w:rFonts w:ascii="Palatino Linotype" w:eastAsia="Palatino Linotype" w:hAnsi="Palatino Linotype" w:cs="Palatino Linotype"/>
        </w:rPr>
      </w:pPr>
    </w:p>
    <w:p w14:paraId="4EC5E59D" w14:textId="77777777" w:rsidR="007F31B5" w:rsidRPr="00F532B8" w:rsidRDefault="00A47F90">
      <w:pPr>
        <w:spacing w:line="360" w:lineRule="auto"/>
        <w:ind w:right="49"/>
        <w:jc w:val="both"/>
        <w:rPr>
          <w:rFonts w:ascii="Palatino Linotype" w:eastAsia="Palatino Linotype" w:hAnsi="Palatino Linotype" w:cs="Palatino Linotype"/>
          <w:b/>
        </w:rPr>
      </w:pPr>
      <w:r w:rsidRPr="00F532B8">
        <w:rPr>
          <w:rFonts w:ascii="Palatino Linotype" w:eastAsia="Palatino Linotype" w:hAnsi="Palatino Linotype" w:cs="Palatino Linotype"/>
          <w:b/>
          <w:sz w:val="28"/>
          <w:szCs w:val="28"/>
        </w:rPr>
        <w:lastRenderedPageBreak/>
        <w:t>CUARTO</w:t>
      </w:r>
      <w:r w:rsidRPr="00F532B8">
        <w:rPr>
          <w:rFonts w:ascii="Palatino Linotype" w:eastAsia="Palatino Linotype" w:hAnsi="Palatino Linotype" w:cs="Palatino Linotype"/>
          <w:b/>
        </w:rPr>
        <w:t xml:space="preserve">. Procedibilidad. </w:t>
      </w:r>
    </w:p>
    <w:p w14:paraId="19069E51" w14:textId="77777777" w:rsidR="00AC60E1" w:rsidRPr="00F532B8" w:rsidRDefault="00AC60E1" w:rsidP="00AC60E1">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F532B8">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DF43A95" w14:textId="6624C1D4" w:rsidR="00AC60E1" w:rsidRPr="00F532B8" w:rsidRDefault="00AC60E1" w:rsidP="00AC60E1">
      <w:pPr>
        <w:tabs>
          <w:tab w:val="left" w:pos="851"/>
        </w:tabs>
        <w:ind w:left="851" w:right="902"/>
        <w:jc w:val="both"/>
        <w:rPr>
          <w:rFonts w:ascii="Palatino Linotype" w:hAnsi="Palatino Linotype"/>
          <w:b/>
          <w:i/>
          <w:sz w:val="22"/>
          <w:szCs w:val="22"/>
          <w:lang w:val="es-ES"/>
        </w:rPr>
      </w:pPr>
      <w:r w:rsidRPr="00F532B8">
        <w:rPr>
          <w:rFonts w:ascii="Palatino Linotype" w:hAnsi="Palatino Linotype"/>
          <w:b/>
          <w:i/>
          <w:sz w:val="22"/>
          <w:szCs w:val="22"/>
          <w:lang w:val="es-ES"/>
        </w:rPr>
        <w:t xml:space="preserve">“Artículo 180. </w:t>
      </w:r>
      <w:r w:rsidRPr="00F532B8">
        <w:rPr>
          <w:rFonts w:ascii="Palatino Linotype" w:hAnsi="Palatino Linotype"/>
          <w:i/>
          <w:sz w:val="22"/>
          <w:szCs w:val="22"/>
          <w:lang w:val="es-ES"/>
        </w:rPr>
        <w:t xml:space="preserve">El </w:t>
      </w:r>
      <w:r w:rsidR="004836D6" w:rsidRPr="00F532B8">
        <w:rPr>
          <w:rFonts w:ascii="Palatino Linotype" w:hAnsi="Palatino Linotype" w:cs="Arial"/>
          <w:i/>
          <w:sz w:val="22"/>
          <w:szCs w:val="22"/>
          <w:lang w:val="es-ES"/>
        </w:rPr>
        <w:t>Recurso de Revisión</w:t>
      </w:r>
      <w:r w:rsidRPr="00F532B8">
        <w:rPr>
          <w:rFonts w:ascii="Palatino Linotype" w:hAnsi="Palatino Linotype"/>
          <w:i/>
          <w:sz w:val="22"/>
          <w:szCs w:val="22"/>
          <w:lang w:val="es-ES"/>
        </w:rPr>
        <w:t xml:space="preserve"> contendrá:</w:t>
      </w:r>
      <w:r w:rsidRPr="00F532B8">
        <w:rPr>
          <w:rFonts w:ascii="Palatino Linotype" w:hAnsi="Palatino Linotype"/>
          <w:b/>
          <w:i/>
          <w:sz w:val="22"/>
          <w:szCs w:val="22"/>
          <w:lang w:val="es-ES"/>
        </w:rPr>
        <w:t xml:space="preserve"> </w:t>
      </w:r>
    </w:p>
    <w:p w14:paraId="0D781F9A" w14:textId="77777777" w:rsidR="00AC60E1" w:rsidRPr="00F532B8" w:rsidRDefault="00AC60E1" w:rsidP="00AC60E1">
      <w:pPr>
        <w:tabs>
          <w:tab w:val="left" w:pos="851"/>
        </w:tabs>
        <w:ind w:left="851" w:right="902"/>
        <w:jc w:val="both"/>
        <w:rPr>
          <w:rFonts w:ascii="Palatino Linotype" w:hAnsi="Palatino Linotype"/>
          <w:b/>
          <w:i/>
          <w:sz w:val="22"/>
          <w:szCs w:val="22"/>
          <w:lang w:val="es-ES"/>
        </w:rPr>
      </w:pPr>
      <w:r w:rsidRPr="00F532B8">
        <w:rPr>
          <w:rFonts w:ascii="Palatino Linotype" w:hAnsi="Palatino Linotype"/>
          <w:b/>
          <w:i/>
          <w:sz w:val="22"/>
          <w:szCs w:val="22"/>
          <w:lang w:val="es-ES"/>
        </w:rPr>
        <w:t>…</w:t>
      </w:r>
    </w:p>
    <w:p w14:paraId="546116A2" w14:textId="77777777" w:rsidR="00AC60E1" w:rsidRPr="00F532B8" w:rsidRDefault="00AC60E1" w:rsidP="00AC60E1">
      <w:pPr>
        <w:tabs>
          <w:tab w:val="left" w:pos="851"/>
        </w:tabs>
        <w:ind w:left="851" w:right="902"/>
        <w:jc w:val="both"/>
        <w:rPr>
          <w:rFonts w:ascii="Palatino Linotype" w:hAnsi="Palatino Linotype"/>
          <w:i/>
          <w:sz w:val="22"/>
          <w:szCs w:val="22"/>
          <w:lang w:val="es-ES"/>
        </w:rPr>
      </w:pPr>
      <w:r w:rsidRPr="00F532B8">
        <w:rPr>
          <w:rFonts w:ascii="Palatino Linotype" w:hAnsi="Palatino Linotype"/>
          <w:b/>
          <w:i/>
          <w:sz w:val="22"/>
          <w:szCs w:val="22"/>
          <w:lang w:val="es-ES"/>
        </w:rPr>
        <w:t xml:space="preserve">II. El nombre del solicitante </w:t>
      </w:r>
      <w:r w:rsidRPr="00F532B8">
        <w:rPr>
          <w:rFonts w:ascii="Palatino Linotype" w:hAnsi="Palatino Linotype" w:cs="Arial"/>
          <w:b/>
          <w:i/>
          <w:color w:val="222222"/>
          <w:sz w:val="22"/>
          <w:szCs w:val="22"/>
          <w:lang w:val="es-ES"/>
        </w:rPr>
        <w:t>que</w:t>
      </w:r>
      <w:r w:rsidRPr="00F532B8">
        <w:rPr>
          <w:rFonts w:ascii="Palatino Linotype" w:hAnsi="Palatino Linotype"/>
          <w:b/>
          <w:i/>
          <w:sz w:val="22"/>
          <w:szCs w:val="22"/>
          <w:lang w:val="es-ES"/>
        </w:rPr>
        <w:t xml:space="preserve"> recurre </w:t>
      </w:r>
      <w:r w:rsidRPr="00F532B8">
        <w:rPr>
          <w:rFonts w:ascii="Palatino Linotype" w:hAnsi="Palatino Linotype"/>
          <w:i/>
          <w:sz w:val="22"/>
          <w:szCs w:val="22"/>
          <w:lang w:val="es-ES"/>
        </w:rPr>
        <w:t>o de su representante y, en su caso, …</w:t>
      </w:r>
    </w:p>
    <w:p w14:paraId="2BAE2DD4" w14:textId="77777777" w:rsidR="00AC60E1" w:rsidRPr="00F532B8" w:rsidRDefault="00AC60E1" w:rsidP="00AC60E1">
      <w:pPr>
        <w:tabs>
          <w:tab w:val="left" w:pos="851"/>
        </w:tabs>
        <w:ind w:left="851" w:right="902"/>
        <w:jc w:val="both"/>
        <w:rPr>
          <w:rFonts w:ascii="Palatino Linotype" w:hAnsi="Palatino Linotype"/>
          <w:b/>
          <w:i/>
          <w:sz w:val="22"/>
          <w:szCs w:val="22"/>
          <w:lang w:val="es-ES"/>
        </w:rPr>
      </w:pPr>
      <w:r w:rsidRPr="00F532B8">
        <w:rPr>
          <w:rFonts w:ascii="Palatino Linotype" w:hAnsi="Palatino Linotype"/>
          <w:b/>
          <w:i/>
          <w:sz w:val="22"/>
          <w:szCs w:val="22"/>
          <w:lang w:val="es-ES"/>
        </w:rPr>
        <w:t xml:space="preserve">En caso de </w:t>
      </w:r>
      <w:r w:rsidRPr="00F532B8">
        <w:rPr>
          <w:rFonts w:ascii="Palatino Linotype" w:hAnsi="Palatino Linotype" w:cs="Arial"/>
          <w:b/>
          <w:i/>
          <w:color w:val="222222"/>
          <w:sz w:val="22"/>
          <w:szCs w:val="22"/>
          <w:lang w:val="es-ES"/>
        </w:rPr>
        <w:t>que</w:t>
      </w:r>
      <w:r w:rsidRPr="00F532B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532B8">
        <w:rPr>
          <w:rFonts w:ascii="Palatino Linotype" w:hAnsi="Palatino Linotype"/>
          <w:i/>
          <w:sz w:val="22"/>
          <w:szCs w:val="22"/>
          <w:lang w:val="es-ES"/>
        </w:rPr>
        <w:t>, IV, VII y VIII.</w:t>
      </w:r>
      <w:r w:rsidRPr="00F532B8">
        <w:rPr>
          <w:rFonts w:ascii="Palatino Linotype" w:hAnsi="Palatino Linotype"/>
          <w:b/>
          <w:i/>
          <w:sz w:val="22"/>
          <w:szCs w:val="22"/>
          <w:lang w:val="es-ES"/>
        </w:rPr>
        <w:t>”</w:t>
      </w:r>
    </w:p>
    <w:p w14:paraId="5420E3D9" w14:textId="77777777" w:rsidR="00AC60E1" w:rsidRPr="00F532B8" w:rsidRDefault="00AC60E1" w:rsidP="00AC60E1">
      <w:pPr>
        <w:tabs>
          <w:tab w:val="left" w:pos="851"/>
        </w:tabs>
        <w:ind w:left="851" w:right="902"/>
        <w:jc w:val="both"/>
        <w:rPr>
          <w:rFonts w:ascii="Palatino Linotype" w:hAnsi="Palatino Linotype"/>
          <w:i/>
          <w:sz w:val="22"/>
          <w:szCs w:val="22"/>
          <w:lang w:val="es-ES"/>
        </w:rPr>
      </w:pPr>
      <w:r w:rsidRPr="00F532B8">
        <w:rPr>
          <w:rFonts w:ascii="Palatino Linotype" w:hAnsi="Palatino Linotype"/>
          <w:i/>
          <w:sz w:val="22"/>
          <w:szCs w:val="22"/>
          <w:lang w:val="es-ES"/>
        </w:rPr>
        <w:t>(Énfasis añadido)</w:t>
      </w:r>
    </w:p>
    <w:p w14:paraId="0CD1E0C4" w14:textId="6F160232" w:rsidR="00AC60E1" w:rsidRPr="00F532B8" w:rsidRDefault="00AC60E1" w:rsidP="00AC60E1">
      <w:pPr>
        <w:spacing w:before="100" w:beforeAutospacing="1" w:after="100" w:afterAutospacing="1" w:line="360" w:lineRule="auto"/>
        <w:jc w:val="both"/>
        <w:rPr>
          <w:rFonts w:ascii="Palatino Linotype" w:hAnsi="Palatino Linotype"/>
          <w:b/>
          <w:lang w:val="es-ES"/>
        </w:rPr>
      </w:pPr>
      <w:r w:rsidRPr="00F532B8">
        <w:rPr>
          <w:rFonts w:ascii="Palatino Linotype" w:hAnsi="Palatino Linotype"/>
          <w:lang w:val="es-ES"/>
        </w:rPr>
        <w:t xml:space="preserve">Por lo que, derivado que el </w:t>
      </w:r>
      <w:r w:rsidR="004836D6" w:rsidRPr="00F532B8">
        <w:rPr>
          <w:rFonts w:ascii="Palatino Linotype" w:hAnsi="Palatino Linotype"/>
          <w:lang w:val="es-ES"/>
        </w:rPr>
        <w:t>Recurso de Revisión</w:t>
      </w:r>
      <w:r w:rsidRPr="00F532B8">
        <w:rPr>
          <w:rFonts w:ascii="Palatino Linotype" w:hAnsi="Palatino Linotype"/>
          <w:lang w:val="es-ES"/>
        </w:rPr>
        <w:t xml:space="preserve"> materia del presente asunto, se interpuso de manera electrónica, no es necesario que contenga determinados requisitos, entre ellos, el nombre del</w:t>
      </w:r>
      <w:r w:rsidRPr="00F532B8">
        <w:rPr>
          <w:rFonts w:ascii="Palatino Linotype" w:hAnsi="Palatino Linotype" w:cs="Arial"/>
          <w:b/>
          <w:lang w:val="es-ES"/>
        </w:rPr>
        <w:t xml:space="preserve"> RECURRENTE;</w:t>
      </w:r>
      <w:r w:rsidRPr="00F532B8">
        <w:rPr>
          <w:rFonts w:ascii="Palatino Linotype" w:hAnsi="Palatino Linotype"/>
          <w:lang w:val="es-ES"/>
        </w:rPr>
        <w:t xml:space="preserve"> por lo que, en el presente caso, al haber sido presentado el </w:t>
      </w:r>
      <w:r w:rsidR="004836D6" w:rsidRPr="00F532B8">
        <w:rPr>
          <w:rFonts w:ascii="Palatino Linotype" w:hAnsi="Palatino Linotype"/>
          <w:lang w:val="es-ES"/>
        </w:rPr>
        <w:t>Recurso de Revisión</w:t>
      </w:r>
      <w:r w:rsidRPr="00F532B8">
        <w:rPr>
          <w:rFonts w:ascii="Palatino Linotype" w:hAnsi="Palatino Linotype"/>
          <w:lang w:val="es-ES"/>
        </w:rPr>
        <w:t xml:space="preserve"> vía </w:t>
      </w:r>
      <w:r w:rsidRPr="00F532B8">
        <w:rPr>
          <w:rFonts w:ascii="Palatino Linotype" w:hAnsi="Palatino Linotype"/>
          <w:b/>
          <w:lang w:val="es-ES"/>
        </w:rPr>
        <w:t>SAIMEX</w:t>
      </w:r>
      <w:r w:rsidRPr="00F532B8">
        <w:rPr>
          <w:rFonts w:ascii="Palatino Linotype" w:hAnsi="Palatino Linotype"/>
          <w:lang w:val="es-ES"/>
        </w:rPr>
        <w:t>, dicho requisito resulta innecesario.</w:t>
      </w:r>
    </w:p>
    <w:p w14:paraId="6AA86604" w14:textId="77777777" w:rsidR="00AC60E1" w:rsidRPr="00F532B8" w:rsidRDefault="00AC60E1" w:rsidP="00AC60E1">
      <w:pPr>
        <w:spacing w:before="100" w:beforeAutospacing="1" w:after="100" w:afterAutospacing="1" w:line="360" w:lineRule="auto"/>
        <w:jc w:val="both"/>
        <w:rPr>
          <w:rFonts w:ascii="Palatino Linotype" w:hAnsi="Palatino Linotype"/>
          <w:lang w:val="es-ES"/>
        </w:rPr>
      </w:pPr>
      <w:r w:rsidRPr="00F532B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95E84BD" w14:textId="6E3F4B24" w:rsidR="00AC60E1" w:rsidRPr="00F532B8" w:rsidRDefault="00AC60E1" w:rsidP="00AC60E1">
      <w:pPr>
        <w:spacing w:before="100" w:beforeAutospacing="1" w:after="100" w:afterAutospacing="1" w:line="360" w:lineRule="auto"/>
        <w:jc w:val="both"/>
        <w:rPr>
          <w:rFonts w:ascii="Palatino Linotype" w:hAnsi="Palatino Linotype"/>
          <w:lang w:val="es-ES"/>
        </w:rPr>
      </w:pPr>
      <w:r w:rsidRPr="00F532B8">
        <w:rPr>
          <w:rFonts w:ascii="Palatino Linotype" w:hAnsi="Palatino Linotype"/>
          <w:lang w:val="es-ES"/>
        </w:rPr>
        <w:lastRenderedPageBreak/>
        <w:t xml:space="preserve">Asimismo, se estima que el requisito relativo al nombre del </w:t>
      </w:r>
      <w:r w:rsidRPr="00F532B8">
        <w:rPr>
          <w:rFonts w:ascii="Palatino Linotype" w:hAnsi="Palatino Linotype" w:cs="Arial"/>
          <w:b/>
          <w:lang w:val="es-ES"/>
        </w:rPr>
        <w:t>RECURRENTE</w:t>
      </w:r>
      <w:r w:rsidRPr="00F532B8">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4836D6" w:rsidRPr="00F532B8">
        <w:rPr>
          <w:rFonts w:ascii="Palatino Linotype" w:hAnsi="Palatino Linotype"/>
          <w:lang w:val="es-ES"/>
        </w:rPr>
        <w:t>Recurso de Revisión</w:t>
      </w:r>
      <w:r w:rsidRPr="00F532B8">
        <w:rPr>
          <w:rFonts w:ascii="Palatino Linotype" w:hAnsi="Palatino Linotype"/>
          <w:lang w:val="es-ES"/>
        </w:rPr>
        <w:t xml:space="preserve">, circunstancia que se acredita en las constancias electrónicas que conforman el expediente de mérito, de las que se desprende que </w:t>
      </w:r>
      <w:r w:rsidRPr="00F532B8">
        <w:rPr>
          <w:rFonts w:ascii="Palatino Linotype" w:hAnsi="Palatino Linotype" w:cs="Arial"/>
          <w:b/>
          <w:lang w:val="es-ES"/>
        </w:rPr>
        <w:t>EL RECURRENTE</w:t>
      </w:r>
      <w:r w:rsidRPr="00F532B8">
        <w:rPr>
          <w:rFonts w:ascii="Palatino Linotype" w:hAnsi="Palatino Linotype"/>
          <w:lang w:val="es-ES"/>
        </w:rPr>
        <w:t xml:space="preserve"> es la misma persona que realizó la solicitud de acceso a la Información Pública que ahora se impugna.</w:t>
      </w:r>
    </w:p>
    <w:p w14:paraId="1A1725F9" w14:textId="6AAFD1A8" w:rsidR="00AC60E1" w:rsidRPr="00F532B8" w:rsidRDefault="00AC60E1" w:rsidP="00AC60E1">
      <w:pPr>
        <w:spacing w:before="100" w:beforeAutospacing="1" w:after="100" w:afterAutospacing="1" w:line="360" w:lineRule="auto"/>
        <w:jc w:val="both"/>
        <w:rPr>
          <w:rFonts w:ascii="Palatino Linotype" w:hAnsi="Palatino Linotype"/>
          <w:lang w:val="es-ES"/>
        </w:rPr>
      </w:pPr>
      <w:r w:rsidRPr="00F532B8">
        <w:rPr>
          <w:rFonts w:ascii="Palatino Linotype" w:hAnsi="Palatino Linotype"/>
          <w:lang w:val="es-ES"/>
        </w:rPr>
        <w:t xml:space="preserve">Es así que, para el estudio de la materia sobre la que se resuelve el presente </w:t>
      </w:r>
      <w:r w:rsidR="004836D6" w:rsidRPr="00F532B8">
        <w:rPr>
          <w:rFonts w:ascii="Palatino Linotype" w:hAnsi="Palatino Linotype"/>
          <w:lang w:val="es-ES"/>
        </w:rPr>
        <w:t>Recurso de Revisión</w:t>
      </w:r>
      <w:r w:rsidRPr="00F532B8">
        <w:rPr>
          <w:rFonts w:ascii="Palatino Linotype" w:hAnsi="Palatino Linotype"/>
          <w:lang w:val="es-ES"/>
        </w:rPr>
        <w:t xml:space="preserve">, resulta intrascendente conocer el nombre de la persona que lo hubiere promovido, en virtud de que tanto la </w:t>
      </w:r>
      <w:r w:rsidRPr="00F532B8">
        <w:rPr>
          <w:rFonts w:ascii="Palatino Linotype" w:hAnsi="Palatino Linotype"/>
          <w:color w:val="000000" w:themeColor="text1"/>
        </w:rPr>
        <w:t>Constitución Política de los Estados Unidos Mexicanos</w:t>
      </w:r>
      <w:r w:rsidRPr="00F532B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51876BC" w14:textId="77777777" w:rsidR="007F31B5" w:rsidRPr="00F532B8" w:rsidRDefault="00A47F90">
      <w:pPr>
        <w:spacing w:line="360" w:lineRule="auto"/>
        <w:jc w:val="both"/>
        <w:rPr>
          <w:rFonts w:ascii="Palatino Linotype" w:eastAsia="Palatino Linotype" w:hAnsi="Palatino Linotype" w:cs="Palatino Linotype"/>
          <w:b/>
        </w:rPr>
      </w:pPr>
      <w:r w:rsidRPr="00F532B8">
        <w:rPr>
          <w:rFonts w:ascii="Palatino Linotype" w:eastAsia="Palatino Linotype" w:hAnsi="Palatino Linotype" w:cs="Palatino Linotype"/>
          <w:b/>
          <w:sz w:val="28"/>
          <w:szCs w:val="28"/>
        </w:rPr>
        <w:t>QUINTO</w:t>
      </w:r>
      <w:r w:rsidRPr="00F532B8">
        <w:rPr>
          <w:rFonts w:ascii="Palatino Linotype" w:eastAsia="Palatino Linotype" w:hAnsi="Palatino Linotype" w:cs="Palatino Linotype"/>
          <w:b/>
        </w:rPr>
        <w:t xml:space="preserve">. Estudio y resolución del asunto. </w:t>
      </w:r>
    </w:p>
    <w:p w14:paraId="168FC365" w14:textId="77777777" w:rsidR="00AC60E1" w:rsidRPr="00F532B8" w:rsidRDefault="00AC60E1" w:rsidP="00AC60E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F532B8">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F532B8">
        <w:rPr>
          <w:rFonts w:ascii="Palatino Linotype" w:eastAsia="Calibri" w:hAnsi="Palatino Linotype" w:cs="Arial"/>
          <w:b/>
          <w:color w:val="000000" w:themeColor="text1"/>
        </w:rPr>
        <w:t>SAIMEX</w:t>
      </w:r>
      <w:r w:rsidRPr="00F532B8">
        <w:rPr>
          <w:rFonts w:ascii="Palatino Linotype" w:eastAsia="Calibri" w:hAnsi="Palatino Linotype" w:cs="Arial"/>
          <w:color w:val="000000" w:themeColor="text1"/>
        </w:rPr>
        <w:t xml:space="preserve">, ello con la finalidad de </w:t>
      </w:r>
      <w:r w:rsidRPr="00F532B8">
        <w:rPr>
          <w:rFonts w:ascii="Palatino Linotype" w:eastAsia="Calibri" w:hAnsi="Palatino Linotype" w:cs="Arial"/>
          <w:color w:val="000000" w:themeColor="text1"/>
        </w:rPr>
        <w:lastRenderedPageBreak/>
        <w:t>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14:paraId="2447BCE7" w14:textId="77777777" w:rsidR="00AC60E1" w:rsidRPr="00F532B8" w:rsidRDefault="00AC60E1" w:rsidP="00AC60E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F532B8">
        <w:rPr>
          <w:rFonts w:ascii="Palatino Linotype" w:eastAsia="Calibri" w:hAnsi="Palatino Linotype" w:cs="Arial"/>
          <w:color w:val="000000" w:themeColor="text1"/>
        </w:rPr>
        <w:t xml:space="preserve">En ese tenor, para un mejor estudio y comprensión del asunto que se resuelve, es preciso referir que </w:t>
      </w:r>
      <w:r w:rsidRPr="00F532B8">
        <w:rPr>
          <w:rFonts w:ascii="Palatino Linotype" w:eastAsia="Calibri" w:hAnsi="Palatino Linotype" w:cs="Arial"/>
          <w:b/>
          <w:color w:val="000000" w:themeColor="text1"/>
        </w:rPr>
        <w:t>EL RECURRENTE</w:t>
      </w:r>
      <w:r w:rsidRPr="00F532B8">
        <w:rPr>
          <w:rFonts w:ascii="Palatino Linotype" w:eastAsia="Calibri" w:hAnsi="Palatino Linotype" w:cs="Arial"/>
          <w:color w:val="000000" w:themeColor="text1"/>
        </w:rPr>
        <w:t xml:space="preserve"> solicitó al </w:t>
      </w:r>
      <w:r w:rsidRPr="00F532B8">
        <w:rPr>
          <w:rFonts w:ascii="Palatino Linotype" w:eastAsia="Calibri" w:hAnsi="Palatino Linotype" w:cs="Arial"/>
          <w:b/>
          <w:color w:val="000000" w:themeColor="text1"/>
        </w:rPr>
        <w:t xml:space="preserve">SUJETO OBLIGADO </w:t>
      </w:r>
      <w:r w:rsidR="004F53D9" w:rsidRPr="00F532B8">
        <w:rPr>
          <w:rFonts w:ascii="Palatino Linotype" w:eastAsia="Calibri" w:hAnsi="Palatino Linotype" w:cs="Arial"/>
          <w:color w:val="000000" w:themeColor="text1"/>
        </w:rPr>
        <w:t xml:space="preserve">una copia de la propuesta que presentara en la Primera Sesión Extraordinaria de Cabildo la directora General del Sistema Municipal para el Desarrollo Integral de la Familia DIF de Metepec, para la autorización de los contratos de comodato de 31 bienes inmuebles con </w:t>
      </w:r>
      <w:r w:rsidR="004F53D9" w:rsidRPr="00F532B8">
        <w:rPr>
          <w:rFonts w:ascii="Palatino Linotype" w:eastAsia="Calibri" w:hAnsi="Palatino Linotype" w:cs="Arial"/>
          <w:b/>
          <w:color w:val="000000" w:themeColor="text1"/>
        </w:rPr>
        <w:t>EL SUJETO OBLIGADO.</w:t>
      </w:r>
    </w:p>
    <w:p w14:paraId="6F26C122" w14:textId="77777777" w:rsidR="00AC60E1" w:rsidRPr="00F532B8" w:rsidRDefault="00384D51">
      <w:pPr>
        <w:spacing w:line="360" w:lineRule="auto"/>
        <w:jc w:val="both"/>
        <w:rPr>
          <w:rFonts w:ascii="Palatino Linotype" w:eastAsia="Calibri" w:hAnsi="Palatino Linotype" w:cs="Arial"/>
          <w:color w:val="000000" w:themeColor="text1"/>
        </w:rPr>
      </w:pPr>
      <w:r w:rsidRPr="00F532B8">
        <w:rPr>
          <w:rFonts w:ascii="Palatino Linotype" w:eastAsia="Palatino Linotype" w:hAnsi="Palatino Linotype" w:cs="Palatino Linotype"/>
        </w:rPr>
        <w:t xml:space="preserve">En respuesta </w:t>
      </w:r>
      <w:r w:rsidRPr="00F532B8">
        <w:rPr>
          <w:rFonts w:ascii="Palatino Linotype" w:eastAsia="Palatino Linotype" w:hAnsi="Palatino Linotype" w:cs="Palatino Linotype"/>
          <w:b/>
        </w:rPr>
        <w:t xml:space="preserve">EL SUJETO OBLIGADO </w:t>
      </w:r>
      <w:r w:rsidRPr="00F532B8">
        <w:rPr>
          <w:rFonts w:ascii="Palatino Linotype" w:eastAsia="Palatino Linotype" w:hAnsi="Palatino Linotype" w:cs="Palatino Linotype"/>
        </w:rPr>
        <w:t xml:space="preserve">manifestó al </w:t>
      </w:r>
      <w:r w:rsidRPr="00F532B8">
        <w:rPr>
          <w:rFonts w:ascii="Palatino Linotype" w:eastAsia="Palatino Linotype" w:hAnsi="Palatino Linotype" w:cs="Palatino Linotype"/>
          <w:b/>
        </w:rPr>
        <w:t xml:space="preserve">RECURRENTE </w:t>
      </w:r>
      <w:r w:rsidRPr="00F532B8">
        <w:rPr>
          <w:rFonts w:ascii="Palatino Linotype" w:eastAsia="Palatino Linotype" w:hAnsi="Palatino Linotype" w:cs="Palatino Linotype"/>
        </w:rPr>
        <w:t xml:space="preserve">que lo invitaba a reconducir su solicitud de información al Sistema Municipal para el </w:t>
      </w:r>
      <w:r w:rsidRPr="00F532B8">
        <w:rPr>
          <w:rFonts w:ascii="Palatino Linotype" w:eastAsia="Calibri" w:hAnsi="Palatino Linotype" w:cs="Arial"/>
          <w:color w:val="000000" w:themeColor="text1"/>
        </w:rPr>
        <w:t>Desarrollo Integral de la Familia DIF de Metepec, con la intención de que la misma fuera atendida por ellos al ser el Sujeto Obligado considerado competente.</w:t>
      </w:r>
    </w:p>
    <w:p w14:paraId="3CCC1FAD" w14:textId="77777777" w:rsidR="00384D51" w:rsidRPr="00F532B8" w:rsidRDefault="00384D51">
      <w:pPr>
        <w:spacing w:line="360" w:lineRule="auto"/>
        <w:jc w:val="both"/>
        <w:rPr>
          <w:rFonts w:ascii="Palatino Linotype" w:eastAsia="Calibri" w:hAnsi="Palatino Linotype" w:cs="Arial"/>
          <w:color w:val="000000" w:themeColor="text1"/>
        </w:rPr>
      </w:pPr>
    </w:p>
    <w:p w14:paraId="7DE80018" w14:textId="21877227" w:rsidR="00384D51" w:rsidRPr="00F532B8" w:rsidRDefault="00384D51">
      <w:pPr>
        <w:spacing w:line="360" w:lineRule="auto"/>
        <w:jc w:val="both"/>
        <w:rPr>
          <w:rFonts w:ascii="Palatino Linotype" w:eastAsia="Calibri" w:hAnsi="Palatino Linotype" w:cs="Arial"/>
          <w:color w:val="000000" w:themeColor="text1"/>
        </w:rPr>
      </w:pPr>
      <w:r w:rsidRPr="00F532B8">
        <w:rPr>
          <w:rFonts w:ascii="Palatino Linotype" w:eastAsia="Calibri" w:hAnsi="Palatino Linotype" w:cs="Arial"/>
          <w:color w:val="000000" w:themeColor="text1"/>
        </w:rPr>
        <w:t xml:space="preserve">Inconforme con dicha respuesta </w:t>
      </w:r>
      <w:r w:rsidRPr="00F532B8">
        <w:rPr>
          <w:rFonts w:ascii="Palatino Linotype" w:eastAsia="Calibri" w:hAnsi="Palatino Linotype" w:cs="Arial"/>
          <w:b/>
          <w:color w:val="000000" w:themeColor="text1"/>
        </w:rPr>
        <w:t xml:space="preserve">EL RECURRENTE </w:t>
      </w:r>
      <w:r w:rsidRPr="00F532B8">
        <w:rPr>
          <w:rFonts w:ascii="Palatino Linotype" w:eastAsia="Calibri" w:hAnsi="Palatino Linotype" w:cs="Arial"/>
          <w:color w:val="000000" w:themeColor="text1"/>
        </w:rPr>
        <w:t xml:space="preserve">presentó el </w:t>
      </w:r>
      <w:r w:rsidR="004836D6" w:rsidRPr="00F532B8">
        <w:rPr>
          <w:rFonts w:ascii="Palatino Linotype" w:eastAsia="Calibri" w:hAnsi="Palatino Linotype" w:cs="Arial"/>
          <w:color w:val="000000" w:themeColor="text1"/>
        </w:rPr>
        <w:t>Recurso de Revisión</w:t>
      </w:r>
      <w:r w:rsidRPr="00F532B8">
        <w:rPr>
          <w:rFonts w:ascii="Palatino Linotype" w:eastAsia="Calibri" w:hAnsi="Palatino Linotype" w:cs="Arial"/>
          <w:color w:val="000000" w:themeColor="text1"/>
        </w:rPr>
        <w:t xml:space="preserve"> objeto del presente estudio en el que medularmente se duele de la respuesta proporcionada pues a su decir no se turnó a las áreas administrativas que de acuerdo a sus atribuciones pudieran conocer de la información solicitada; motivo por el cual, refirió que debía ordenarse una búsqueda exhaustiva de la información y ordenar su entrega o bien entregar la declaratoria de ine</w:t>
      </w:r>
      <w:r w:rsidR="000040DC" w:rsidRPr="00F532B8">
        <w:rPr>
          <w:rFonts w:ascii="Palatino Linotype" w:eastAsia="Calibri" w:hAnsi="Palatino Linotype" w:cs="Arial"/>
          <w:color w:val="000000" w:themeColor="text1"/>
        </w:rPr>
        <w:t>xi</w:t>
      </w:r>
      <w:r w:rsidRPr="00F532B8">
        <w:rPr>
          <w:rFonts w:ascii="Palatino Linotype" w:eastAsia="Calibri" w:hAnsi="Palatino Linotype" w:cs="Arial"/>
          <w:color w:val="000000" w:themeColor="text1"/>
        </w:rPr>
        <w:t xml:space="preserve">stencia </w:t>
      </w:r>
      <w:r w:rsidR="000040DC" w:rsidRPr="00F532B8">
        <w:rPr>
          <w:rFonts w:ascii="Palatino Linotype" w:eastAsia="Calibri" w:hAnsi="Palatino Linotype" w:cs="Arial"/>
          <w:color w:val="000000" w:themeColor="text1"/>
        </w:rPr>
        <w:t>correspondiente.</w:t>
      </w:r>
    </w:p>
    <w:p w14:paraId="4858872A" w14:textId="77777777" w:rsidR="000040DC" w:rsidRPr="00F532B8" w:rsidRDefault="000040DC">
      <w:pPr>
        <w:spacing w:line="360" w:lineRule="auto"/>
        <w:jc w:val="both"/>
        <w:rPr>
          <w:rFonts w:ascii="Palatino Linotype" w:eastAsia="Calibri" w:hAnsi="Palatino Linotype" w:cs="Arial"/>
          <w:color w:val="000000" w:themeColor="text1"/>
        </w:rPr>
      </w:pPr>
    </w:p>
    <w:p w14:paraId="07462636" w14:textId="77777777" w:rsidR="000040DC" w:rsidRPr="00F532B8" w:rsidRDefault="000040DC">
      <w:pPr>
        <w:spacing w:line="360" w:lineRule="auto"/>
        <w:jc w:val="both"/>
        <w:rPr>
          <w:rFonts w:ascii="Palatino Linotype" w:eastAsia="Calibri" w:hAnsi="Palatino Linotype" w:cs="Arial"/>
          <w:color w:val="000000" w:themeColor="text1"/>
        </w:rPr>
      </w:pPr>
      <w:r w:rsidRPr="00F532B8">
        <w:rPr>
          <w:rFonts w:ascii="Palatino Linotype" w:eastAsia="Calibri" w:hAnsi="Palatino Linotype" w:cs="Arial"/>
          <w:color w:val="000000" w:themeColor="text1"/>
        </w:rPr>
        <w:lastRenderedPageBreak/>
        <w:t xml:space="preserve">No debe pasar desapercibido que </w:t>
      </w:r>
      <w:r w:rsidRPr="00F532B8">
        <w:rPr>
          <w:rFonts w:ascii="Palatino Linotype" w:eastAsia="Calibri" w:hAnsi="Palatino Linotype" w:cs="Arial"/>
          <w:b/>
          <w:color w:val="000000" w:themeColor="text1"/>
        </w:rPr>
        <w:t xml:space="preserve">EL SUJETO OBLIGADO </w:t>
      </w:r>
      <w:r w:rsidRPr="00F532B8">
        <w:rPr>
          <w:rFonts w:ascii="Palatino Linotype" w:eastAsia="Calibri" w:hAnsi="Palatino Linotype" w:cs="Arial"/>
          <w:color w:val="000000" w:themeColor="text1"/>
        </w:rPr>
        <w:t xml:space="preserve">fue omiso en rendir el Informe Justificado correspondiente y que por su parte </w:t>
      </w:r>
      <w:r w:rsidRPr="00F532B8">
        <w:rPr>
          <w:rFonts w:ascii="Palatino Linotype" w:eastAsia="Calibri" w:hAnsi="Palatino Linotype" w:cs="Arial"/>
          <w:b/>
          <w:color w:val="000000" w:themeColor="text1"/>
        </w:rPr>
        <w:t xml:space="preserve">EL RECURRENTE </w:t>
      </w:r>
      <w:r w:rsidRPr="00F532B8">
        <w:rPr>
          <w:rFonts w:ascii="Palatino Linotype" w:eastAsia="Calibri" w:hAnsi="Palatino Linotype" w:cs="Arial"/>
          <w:color w:val="000000" w:themeColor="text1"/>
        </w:rPr>
        <w:t>no hizo entrega de alegatos o pruebas que a su derecho convinieran.</w:t>
      </w:r>
    </w:p>
    <w:p w14:paraId="293491D4" w14:textId="77777777" w:rsidR="00EF5B4D" w:rsidRPr="00F532B8" w:rsidRDefault="00EF5B4D" w:rsidP="00EF5B4D">
      <w:pPr>
        <w:spacing w:before="100" w:beforeAutospacing="1" w:after="100" w:afterAutospacing="1"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 xml:space="preserve">Hechas las manifestaciones que anteceden es importante que este Órgano Garante haga referencia al </w:t>
      </w:r>
      <w:r w:rsidRPr="00F532B8">
        <w:rPr>
          <w:rFonts w:ascii="Palatino Linotype" w:eastAsia="Palatino Linotype" w:hAnsi="Palatino Linotype" w:cs="Palatino Linotype"/>
          <w:b/>
        </w:rPr>
        <w:t xml:space="preserve">SUJETO OBLIGADO </w:t>
      </w:r>
      <w:r w:rsidRPr="00F532B8">
        <w:rPr>
          <w:rFonts w:ascii="Palatino Linotype" w:eastAsia="Palatino Linotype" w:hAnsi="Palatino Linotype" w:cs="Palatino Linotype"/>
        </w:rPr>
        <w:t xml:space="preserve">de en qué consiste el Derecho de Acceso a la Información Pública al respecto </w:t>
      </w:r>
      <w:r w:rsidRPr="00F532B8">
        <w:rPr>
          <w:rFonts w:ascii="Palatino Linotype" w:hAnsi="Palatino Linotype" w:cs="Arial"/>
          <w:lang w:val="es-ES_tradnl"/>
        </w:rPr>
        <w:t>el artículo 6° de la Constitución Política de los Estados Unidos Mexicanos, que en su parte conducente señala:</w:t>
      </w:r>
    </w:p>
    <w:p w14:paraId="60CB2BEF"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w:t>
      </w:r>
      <w:r w:rsidRPr="00F532B8">
        <w:rPr>
          <w:rFonts w:ascii="Palatino Linotype" w:hAnsi="Palatino Linotype" w:cs="Arial"/>
          <w:b/>
          <w:i/>
          <w:sz w:val="22"/>
          <w:szCs w:val="22"/>
          <w:lang w:val="es-ES_tradnl"/>
        </w:rPr>
        <w:t>Artículo 6o</w:t>
      </w:r>
      <w:r w:rsidRPr="00F532B8">
        <w:rPr>
          <w:rFonts w:ascii="Palatino Linotype" w:hAnsi="Palatino Linotype" w:cs="Arial"/>
          <w:i/>
          <w:sz w:val="22"/>
          <w:szCs w:val="22"/>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D615952"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p>
    <w:p w14:paraId="4AAC9566"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Toda persona tiene derecho al libre acceso a información plural y oportuna, así como a buscar, recibir y difundir información e ideas de toda índole por cualquier medio de expresión.</w:t>
      </w:r>
    </w:p>
    <w:p w14:paraId="59EC5893"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p>
    <w:p w14:paraId="5B0ED62B"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Para efectos de lo dispuesto en el presente artículo se observará lo siguiente:</w:t>
      </w:r>
    </w:p>
    <w:p w14:paraId="633B167F"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p>
    <w:p w14:paraId="6CDAEF09"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b/>
          <w:i/>
          <w:sz w:val="22"/>
          <w:szCs w:val="22"/>
          <w:lang w:val="es-ES_tradnl"/>
        </w:rPr>
        <w:t>A</w:t>
      </w:r>
      <w:r w:rsidRPr="00F532B8">
        <w:rPr>
          <w:rFonts w:ascii="Palatino Linotype" w:hAnsi="Palatino Linotype" w:cs="Arial"/>
          <w:i/>
          <w:sz w:val="22"/>
          <w:szCs w:val="22"/>
          <w:lang w:val="es-ES_tradnl"/>
        </w:rPr>
        <w:t>. Para el ejercicio del derecho de acceso a la información, la Federación, los Estados y el Distrito Federal, en el ámbito de sus respectivas competencias, se regirán por los siguientes principios y bases:</w:t>
      </w:r>
    </w:p>
    <w:p w14:paraId="26111180"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p>
    <w:p w14:paraId="77D91E42"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b/>
          <w:i/>
          <w:sz w:val="22"/>
          <w:szCs w:val="22"/>
          <w:lang w:val="es-ES_tradnl"/>
        </w:rPr>
        <w:t>I</w:t>
      </w:r>
      <w:r w:rsidRPr="00F532B8">
        <w:rPr>
          <w:rFonts w:ascii="Palatino Linotype" w:hAnsi="Palatino Linotype" w:cs="Arial"/>
          <w:i/>
          <w:sz w:val="22"/>
          <w:szCs w:val="22"/>
          <w:lang w:val="es-ES_tradnl"/>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F532B8">
        <w:rPr>
          <w:rFonts w:ascii="Palatino Linotype" w:hAnsi="Palatino Linotype" w:cs="Arial"/>
          <w:i/>
          <w:sz w:val="22"/>
          <w:szCs w:val="22"/>
          <w:lang w:val="es-ES_tradnl"/>
        </w:rPr>
        <w:lastRenderedPageBreak/>
        <w:t>funciones, la ley determinará los supuestos específicos bajo los cuales procederá la declaración de inexistencia de la información.</w:t>
      </w:r>
    </w:p>
    <w:p w14:paraId="5F6AC41C"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II. La información que se refiere a la vida privada y los datos personales será protegida en los términos y con las excepciones que fijen las leyes.</w:t>
      </w:r>
    </w:p>
    <w:p w14:paraId="1DF24303"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III. Toda persona, sin necesidad de acreditar interés alguno o justificar su utilización, tendrá acceso gratuito a la información pública, a sus datos personales o a la rectificación de éstos.</w:t>
      </w:r>
    </w:p>
    <w:p w14:paraId="72017F96"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IV.  Se establecerán mecanismos de acceso a la información y procedimientos de revisión expeditos que se sustanciarán ante los organismos autónomos especializados e imparciales que establece esta Constitución.</w:t>
      </w:r>
    </w:p>
    <w:p w14:paraId="3E8891DB"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8505BD9"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VI. Las leyes determinarán la manera en que los sujetos obligados deberán hacer pública la información relativa a los recursos públicos que entreguen a personas físicas o morales.</w:t>
      </w:r>
    </w:p>
    <w:p w14:paraId="5DE04CC7"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VII. La inobservancia a las disposiciones en materia de acceso a la información pública será sancionada en los términos que dispongan las leyes.</w:t>
      </w:r>
    </w:p>
    <w:p w14:paraId="00EE49EF"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0970EEB"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w:t>
      </w:r>
    </w:p>
    <w:p w14:paraId="4E2436F2" w14:textId="77777777" w:rsidR="00EF5B4D" w:rsidRPr="00F532B8" w:rsidRDefault="00EF5B4D" w:rsidP="00EF5B4D">
      <w:pPr>
        <w:ind w:left="851" w:right="902"/>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La ley establecerá aquella información que se considere reservada o confidencial.”</w:t>
      </w:r>
    </w:p>
    <w:p w14:paraId="5E5CC498" w14:textId="77777777" w:rsidR="00EF5B4D" w:rsidRPr="00F532B8" w:rsidRDefault="00EF5B4D" w:rsidP="00EF5B4D">
      <w:pPr>
        <w:ind w:left="851" w:right="902"/>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(Énfasis añadido)</w:t>
      </w:r>
    </w:p>
    <w:p w14:paraId="27EEDD87" w14:textId="77777777" w:rsidR="00EF5B4D" w:rsidRPr="00F532B8" w:rsidRDefault="00EF5B4D" w:rsidP="00EF5B4D">
      <w:pPr>
        <w:spacing w:before="100" w:beforeAutospacing="1" w:after="100" w:afterAutospacing="1" w:line="360" w:lineRule="auto"/>
        <w:jc w:val="both"/>
        <w:rPr>
          <w:rFonts w:ascii="Palatino Linotype" w:hAnsi="Palatino Linotype" w:cs="Arial"/>
          <w:lang w:val="es-ES_tradnl"/>
        </w:rPr>
      </w:pPr>
      <w:r w:rsidRPr="00F532B8">
        <w:rPr>
          <w:rFonts w:ascii="Palatino Linotype" w:hAnsi="Palatino Linotype" w:cs="Arial"/>
          <w:lang w:val="es-ES_tradnl"/>
        </w:rPr>
        <w:t>Por su parte, la Constitución Política del Estado Libre y Soberano de México, en su artículo 5°, dispone, lo siguiente:</w:t>
      </w:r>
    </w:p>
    <w:p w14:paraId="11B54383"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b/>
          <w:i/>
          <w:sz w:val="22"/>
          <w:szCs w:val="22"/>
          <w:lang w:val="es-ES_tradnl"/>
        </w:rPr>
      </w:pPr>
      <w:r w:rsidRPr="00F532B8">
        <w:rPr>
          <w:rFonts w:ascii="Palatino Linotype" w:hAnsi="Palatino Linotype" w:cs="Arial"/>
          <w:b/>
          <w:i/>
          <w:sz w:val="22"/>
          <w:szCs w:val="22"/>
          <w:lang w:val="es-ES_tradnl"/>
        </w:rPr>
        <w:t>“Artículo 5. …</w:t>
      </w:r>
    </w:p>
    <w:p w14:paraId="71EBA64B"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El derecho a la información será garantizado por el Estado. La ley establecerá las previsiones que permitan asegurar la protección, el respeto y la difusión de este derecho.</w:t>
      </w:r>
    </w:p>
    <w:p w14:paraId="785783CD"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 xml:space="preserve">Para garantizar el ejercicio del derecho de transparencia, acceso a la información pública y protección de datos personales, los poderes públicos y los organismos autónomos, </w:t>
      </w:r>
      <w:r w:rsidRPr="00F532B8">
        <w:rPr>
          <w:rFonts w:ascii="Palatino Linotype" w:hAnsi="Palatino Linotype" w:cs="Arial"/>
          <w:i/>
          <w:sz w:val="22"/>
          <w:szCs w:val="22"/>
          <w:lang w:val="es-ES_tradnl"/>
        </w:rPr>
        <w:lastRenderedPageBreak/>
        <w:t>transparentarán sus acciones, en términos de las disposiciones aplicables, la información será oportuna, clara, veraz y de fácil acceso.</w:t>
      </w:r>
    </w:p>
    <w:p w14:paraId="506859B7"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p>
    <w:p w14:paraId="4E46A044"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Este derecho se regirá por los principios y bases siguientes:</w:t>
      </w:r>
    </w:p>
    <w:p w14:paraId="067F21EE"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b/>
          <w:i/>
          <w:sz w:val="22"/>
          <w:szCs w:val="22"/>
          <w:lang w:val="es-ES_tradnl"/>
        </w:rPr>
      </w:pPr>
    </w:p>
    <w:p w14:paraId="5645570A"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b/>
          <w:i/>
          <w:sz w:val="22"/>
          <w:szCs w:val="22"/>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F532B8">
        <w:rPr>
          <w:rFonts w:ascii="Palatino Linotype" w:hAnsi="Palatino Linotype" w:cs="Arial"/>
          <w:i/>
          <w:sz w:val="22"/>
          <w:szCs w:val="22"/>
          <w:lang w:val="es-ES_tradnl"/>
        </w:rPr>
        <w:t>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D290196"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92EA0FF"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III. Toda persona, sin necesidad de acreditar interés alguno o justificar su utilización, tendrá acceso gratuito a la información pública, a sus datos personales o a la rectificación de éstos.</w:t>
      </w:r>
    </w:p>
    <w:p w14:paraId="3CE337BF"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IV. Se establecerán mecanismos de acceso a la información y procedimientos de revisión expeditos que se sustanciarán ante el organismo autónomo especializado e imparcial que establece esta Constitución.</w:t>
      </w:r>
    </w:p>
    <w:p w14:paraId="73DE5D72"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4B3CE0F"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b/>
          <w:i/>
          <w:sz w:val="22"/>
          <w:szCs w:val="22"/>
          <w:lang w:val="es-ES_tradnl"/>
        </w:rPr>
      </w:pPr>
      <w:r w:rsidRPr="00F532B8">
        <w:rPr>
          <w:rFonts w:ascii="Palatino Linotype" w:hAnsi="Palatino Linotype" w:cs="Arial"/>
          <w:b/>
          <w:i/>
          <w:sz w:val="22"/>
          <w:szCs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0F4E1CC" w14:textId="77777777" w:rsidR="00EF5B4D" w:rsidRPr="00F532B8" w:rsidRDefault="00EF5B4D" w:rsidP="00EF5B4D">
      <w:pPr>
        <w:ind w:left="851" w:right="902"/>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lastRenderedPageBreak/>
        <w:t>VII. La ley reglamentaria, determinará la manera en que los sujetos obligados deberán hacer pública la información relativa a los recursos públicos que entreguen a personas físicas o jurídicas colectivas.”</w:t>
      </w:r>
    </w:p>
    <w:p w14:paraId="7D8752D4" w14:textId="77777777" w:rsidR="00EF5B4D" w:rsidRPr="00F532B8" w:rsidRDefault="00EF5B4D" w:rsidP="00EF5B4D">
      <w:pPr>
        <w:ind w:left="851" w:right="902"/>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(Énfasis añadido)</w:t>
      </w:r>
    </w:p>
    <w:p w14:paraId="4B819BCE" w14:textId="77777777" w:rsidR="00EF5B4D" w:rsidRPr="00F532B8" w:rsidRDefault="00EF5B4D" w:rsidP="00EF5B4D">
      <w:pPr>
        <w:spacing w:before="100" w:beforeAutospacing="1" w:after="100" w:afterAutospacing="1" w:line="360" w:lineRule="auto"/>
        <w:jc w:val="both"/>
        <w:rPr>
          <w:rFonts w:ascii="Palatino Linotype" w:hAnsi="Palatino Linotype" w:cs="Arial"/>
          <w:lang w:val="es-ES_tradnl"/>
        </w:rPr>
      </w:pPr>
      <w:r w:rsidRPr="00F532B8">
        <w:rPr>
          <w:rFonts w:ascii="Palatino Linotype" w:hAnsi="Palatino Linotype" w:cs="Arial"/>
          <w:lang w:val="es-ES_tradnl"/>
        </w:rPr>
        <w:t>Adicional, tenemos que la Ley de Transparencia y Acceso a la Información Pública del Estado de México y Municipios, prevé en su artículo 23, fracción IV, lo siguiente:</w:t>
      </w:r>
    </w:p>
    <w:p w14:paraId="4643135D"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b/>
          <w:i/>
          <w:sz w:val="22"/>
          <w:szCs w:val="22"/>
          <w:lang w:val="es-ES_tradnl"/>
        </w:rPr>
      </w:pPr>
      <w:r w:rsidRPr="00F532B8">
        <w:rPr>
          <w:rFonts w:ascii="Palatino Linotype" w:hAnsi="Palatino Linotype" w:cs="Arial"/>
          <w:b/>
          <w:i/>
          <w:sz w:val="22"/>
          <w:szCs w:val="22"/>
          <w:lang w:val="es-ES_tradnl"/>
        </w:rPr>
        <w:t>“Artículo 23. Son sujetos obligados a transparentar y permitir el acceso a su información y proteger los datos personales que obren en su poder:</w:t>
      </w:r>
    </w:p>
    <w:p w14:paraId="164AB559"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w:t>
      </w:r>
    </w:p>
    <w:p w14:paraId="4B1BD3A6" w14:textId="77777777" w:rsidR="00EF5B4D" w:rsidRPr="00F532B8" w:rsidRDefault="00EF5B4D" w:rsidP="00EF5B4D">
      <w:pPr>
        <w:spacing w:before="100" w:beforeAutospacing="1" w:after="100" w:afterAutospacing="1"/>
        <w:ind w:left="851" w:right="902"/>
        <w:contextualSpacing/>
        <w:jc w:val="both"/>
        <w:rPr>
          <w:rFonts w:ascii="Palatino Linotype" w:hAnsi="Palatino Linotype" w:cs="Arial"/>
          <w:b/>
          <w:i/>
          <w:sz w:val="22"/>
          <w:szCs w:val="22"/>
          <w:lang w:val="es-ES_tradnl"/>
        </w:rPr>
      </w:pPr>
      <w:r w:rsidRPr="00F532B8">
        <w:rPr>
          <w:rFonts w:ascii="Palatino Linotype" w:hAnsi="Palatino Linotype" w:cs="Arial"/>
          <w:b/>
          <w:i/>
          <w:sz w:val="22"/>
          <w:szCs w:val="22"/>
          <w:lang w:val="es-ES_tradnl"/>
        </w:rPr>
        <w:t>IV. Los ayuntamientos y las dependencias, organismos, órganos y entidades de la administración municipal;</w:t>
      </w:r>
    </w:p>
    <w:p w14:paraId="0593699D" w14:textId="77777777" w:rsidR="00EF5B4D" w:rsidRPr="00F532B8" w:rsidRDefault="00EF5B4D" w:rsidP="00EF5B4D">
      <w:pPr>
        <w:ind w:left="851" w:right="902"/>
        <w:jc w:val="both"/>
        <w:rPr>
          <w:rFonts w:ascii="Palatino Linotype" w:hAnsi="Palatino Linotype" w:cs="Arial"/>
          <w:b/>
          <w:i/>
          <w:sz w:val="22"/>
          <w:szCs w:val="22"/>
          <w:lang w:val="es-ES_tradnl"/>
        </w:rPr>
      </w:pPr>
      <w:r w:rsidRPr="00F532B8">
        <w:rPr>
          <w:rFonts w:ascii="Palatino Linotype" w:hAnsi="Palatino Linotype" w:cs="Arial"/>
          <w:b/>
          <w:i/>
          <w:sz w:val="22"/>
          <w:szCs w:val="22"/>
          <w:lang w:val="es-ES_tradnl"/>
        </w:rPr>
        <w:t>…</w:t>
      </w:r>
      <w:r w:rsidRPr="00F532B8">
        <w:rPr>
          <w:rFonts w:ascii="Palatino Linotype" w:hAnsi="Palatino Linotype" w:cs="Arial"/>
          <w:i/>
          <w:sz w:val="22"/>
          <w:szCs w:val="22"/>
          <w:lang w:val="es-ES_tradnl"/>
        </w:rPr>
        <w:t>”</w:t>
      </w:r>
    </w:p>
    <w:p w14:paraId="03476B81" w14:textId="77777777" w:rsidR="00EF5B4D" w:rsidRPr="00F532B8" w:rsidRDefault="00EF5B4D" w:rsidP="00EF5B4D">
      <w:pPr>
        <w:ind w:left="851" w:right="902"/>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(Énfasis añadido)</w:t>
      </w:r>
    </w:p>
    <w:p w14:paraId="65F3E191" w14:textId="77777777" w:rsidR="00EF5B4D" w:rsidRPr="00F532B8" w:rsidRDefault="00EF5B4D" w:rsidP="00EF5B4D">
      <w:pPr>
        <w:spacing w:before="100" w:beforeAutospacing="1" w:after="100" w:afterAutospacing="1" w:line="360" w:lineRule="auto"/>
        <w:jc w:val="both"/>
        <w:rPr>
          <w:rFonts w:ascii="Palatino Linotype" w:hAnsi="Palatino Linotype" w:cs="Arial"/>
          <w:lang w:val="es-ES_tradnl"/>
        </w:rPr>
      </w:pPr>
      <w:r w:rsidRPr="00F532B8">
        <w:rPr>
          <w:rFonts w:ascii="Palatino Linotype" w:hAnsi="Palatino Linotype" w:cs="Arial"/>
          <w:lang w:val="es-ES_tradn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821703D" w14:textId="77777777" w:rsidR="00EF5B4D" w:rsidRPr="00F532B8" w:rsidRDefault="00EF5B4D" w:rsidP="00EF5B4D">
      <w:pPr>
        <w:spacing w:before="100" w:beforeAutospacing="1" w:after="100" w:afterAutospacing="1" w:line="360" w:lineRule="auto"/>
        <w:jc w:val="both"/>
        <w:rPr>
          <w:rFonts w:ascii="Palatino Linotype" w:hAnsi="Palatino Linotype" w:cs="Arial"/>
          <w:lang w:val="es-ES_tradnl"/>
        </w:rPr>
      </w:pPr>
      <w:r w:rsidRPr="00F532B8">
        <w:rPr>
          <w:rFonts w:ascii="Palatino Linotype" w:hAnsi="Palatino Linotype" w:cs="Arial"/>
          <w:lang w:val="es-ES_tradnl"/>
        </w:rPr>
        <w:t>De ahí que sea importante traer a contexto lo establecido en el artículo 92 de la Ley de Transparencia y Acceso a la Información Pública del Estado de México y Municipios, en su fracción XXXVIII, que reconoce como obligación de transparencia común, la siguiente:</w:t>
      </w:r>
    </w:p>
    <w:p w14:paraId="15DBA89B" w14:textId="77777777" w:rsidR="00EF5B4D" w:rsidRPr="00F532B8" w:rsidRDefault="00EF5B4D" w:rsidP="00EF5B4D">
      <w:pPr>
        <w:ind w:left="851" w:right="902"/>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w:t>
      </w:r>
      <w:r w:rsidRPr="00F532B8">
        <w:rPr>
          <w:rFonts w:ascii="Palatino Linotype" w:hAnsi="Palatino Linotype" w:cs="Arial"/>
          <w:b/>
          <w:i/>
          <w:sz w:val="22"/>
          <w:szCs w:val="22"/>
          <w:lang w:val="es-ES_tradnl"/>
        </w:rPr>
        <w:t>Artículo 92</w:t>
      </w:r>
      <w:r w:rsidRPr="00F532B8">
        <w:rPr>
          <w:rFonts w:ascii="Palatino Linotype" w:hAnsi="Palatino Linotype" w:cs="Arial"/>
          <w:i/>
          <w:sz w:val="22"/>
          <w:szCs w:val="22"/>
          <w:lang w:val="es-ES_tradnl"/>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6E010FC" w14:textId="77777777" w:rsidR="00EF5B4D" w:rsidRPr="00F532B8" w:rsidRDefault="00EF5B4D" w:rsidP="00EF5B4D">
      <w:pPr>
        <w:ind w:left="851" w:right="902"/>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t>…</w:t>
      </w:r>
    </w:p>
    <w:p w14:paraId="7CF862BE" w14:textId="77777777" w:rsidR="00EF5B4D" w:rsidRPr="00F532B8" w:rsidRDefault="00EF5B4D" w:rsidP="00EF5B4D">
      <w:pPr>
        <w:ind w:left="851" w:right="902"/>
        <w:jc w:val="both"/>
        <w:rPr>
          <w:rFonts w:ascii="Palatino Linotype" w:hAnsi="Palatino Linotype" w:cs="Arial"/>
          <w:b/>
          <w:i/>
          <w:sz w:val="22"/>
          <w:szCs w:val="22"/>
          <w:lang w:val="es-ES_tradnl"/>
        </w:rPr>
      </w:pPr>
      <w:r w:rsidRPr="00F532B8">
        <w:rPr>
          <w:rFonts w:ascii="Palatino Linotype" w:hAnsi="Palatino Linotype" w:cs="Arial"/>
          <w:b/>
          <w:i/>
          <w:sz w:val="22"/>
          <w:szCs w:val="22"/>
          <w:lang w:val="es-ES_tradnl"/>
        </w:rPr>
        <w:t>XXXVIII. El inventario de bienes muebles e inmuebles en posesión y propiedad;</w:t>
      </w:r>
    </w:p>
    <w:p w14:paraId="5FF11300" w14:textId="77777777" w:rsidR="00EF5B4D" w:rsidRPr="00F532B8" w:rsidRDefault="00EF5B4D" w:rsidP="00EF5B4D">
      <w:pPr>
        <w:ind w:left="851" w:right="902"/>
        <w:jc w:val="both"/>
        <w:rPr>
          <w:rFonts w:ascii="Palatino Linotype" w:hAnsi="Palatino Linotype" w:cs="Arial"/>
          <w:i/>
          <w:sz w:val="22"/>
          <w:szCs w:val="22"/>
          <w:lang w:val="es-ES_tradnl"/>
        </w:rPr>
      </w:pPr>
      <w:r w:rsidRPr="00F532B8">
        <w:rPr>
          <w:rFonts w:ascii="Palatino Linotype" w:hAnsi="Palatino Linotype" w:cs="Arial"/>
          <w:i/>
          <w:sz w:val="22"/>
          <w:szCs w:val="22"/>
          <w:lang w:val="es-ES_tradnl"/>
        </w:rPr>
        <w:lastRenderedPageBreak/>
        <w:t>…” (Énfasis añadido)</w:t>
      </w:r>
    </w:p>
    <w:p w14:paraId="3E72CA21" w14:textId="77777777" w:rsidR="00EF5B4D" w:rsidRPr="00F532B8" w:rsidRDefault="00EF5B4D" w:rsidP="00EF5B4D">
      <w:pPr>
        <w:spacing w:before="100" w:beforeAutospacing="1" w:after="100" w:afterAutospacing="1" w:line="360" w:lineRule="auto"/>
        <w:jc w:val="both"/>
        <w:rPr>
          <w:rFonts w:ascii="Palatino Linotype" w:hAnsi="Palatino Linotype" w:cs="Arial"/>
          <w:lang w:val="es-ES_tradnl"/>
        </w:rPr>
      </w:pPr>
      <w:r w:rsidRPr="00F532B8">
        <w:rPr>
          <w:rFonts w:ascii="Palatino Linotype" w:hAnsi="Palatino Linotype" w:cs="Arial"/>
          <w:lang w:val="es-ES_tradnl"/>
        </w:rPr>
        <w:t xml:space="preserve">De tal manera que compete al </w:t>
      </w:r>
      <w:r w:rsidRPr="00F532B8">
        <w:rPr>
          <w:rFonts w:ascii="Palatino Linotype" w:hAnsi="Palatino Linotype" w:cs="Arial"/>
          <w:b/>
          <w:lang w:val="es-ES_tradnl"/>
        </w:rPr>
        <w:t>SUJETO OBLIGADO</w:t>
      </w:r>
      <w:r w:rsidRPr="00F532B8">
        <w:rPr>
          <w:rFonts w:ascii="Palatino Linotype" w:hAnsi="Palatino Linotype" w:cs="Arial"/>
          <w:lang w:val="es-ES_tradnl"/>
        </w:rPr>
        <w:t>, poner a disposición de la ciudadanía toda la información concerniente a sus bienes muebles e inmuebles en posesión y propiedad.</w:t>
      </w:r>
    </w:p>
    <w:p w14:paraId="54C139BD" w14:textId="77777777" w:rsidR="00EF5B4D" w:rsidRPr="00F532B8" w:rsidRDefault="00EF5B4D" w:rsidP="00EF5B4D">
      <w:pPr>
        <w:spacing w:before="100" w:beforeAutospacing="1" w:after="100" w:afterAutospacing="1" w:line="360" w:lineRule="auto"/>
        <w:jc w:val="both"/>
        <w:rPr>
          <w:rFonts w:ascii="Palatino Linotype" w:hAnsi="Palatino Linotype" w:cs="Arial"/>
          <w:lang w:val="es-ES_tradnl"/>
        </w:rPr>
      </w:pPr>
      <w:r w:rsidRPr="00F532B8">
        <w:rPr>
          <w:rFonts w:ascii="Palatino Linotype" w:hAnsi="Palatino Linotype" w:cs="Arial"/>
          <w:lang w:val="es-ES_tradnl"/>
        </w:rPr>
        <w:t>Ahora bien, respecto de la información solicitada, es necesario partir de lo que establece el Código Civil del Estado de México, el cual determina los bienes considerados muebles e inmuebles, tal y como se aprecia en los artículos 5.4 y 5.6, que a la letra rezan:</w:t>
      </w:r>
    </w:p>
    <w:p w14:paraId="13D0FB21" w14:textId="77777777" w:rsidR="00EF5B4D" w:rsidRPr="00F532B8" w:rsidRDefault="00EF5B4D" w:rsidP="00EF5B4D">
      <w:pPr>
        <w:pStyle w:val="Prrafodelista"/>
        <w:tabs>
          <w:tab w:val="left" w:pos="0"/>
          <w:tab w:val="left" w:pos="851"/>
        </w:tabs>
        <w:ind w:left="851" w:right="1043"/>
        <w:jc w:val="both"/>
        <w:rPr>
          <w:rFonts w:ascii="Palatino Linotype" w:hAnsi="Palatino Linotype"/>
          <w:b/>
          <w:i/>
          <w:sz w:val="22"/>
          <w:szCs w:val="22"/>
        </w:rPr>
      </w:pPr>
      <w:r w:rsidRPr="00F532B8">
        <w:rPr>
          <w:rFonts w:ascii="Palatino Linotype" w:hAnsi="Palatino Linotype"/>
          <w:b/>
          <w:i/>
          <w:sz w:val="22"/>
          <w:szCs w:val="22"/>
        </w:rPr>
        <w:t xml:space="preserve">“Bienes que se consideran inmuebles </w:t>
      </w:r>
    </w:p>
    <w:p w14:paraId="533ED0F1"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Artículo 5.4</w:t>
      </w:r>
      <w:r w:rsidRPr="00F532B8">
        <w:rPr>
          <w:rFonts w:ascii="Palatino Linotype" w:hAnsi="Palatino Linotype"/>
          <w:i/>
          <w:sz w:val="22"/>
          <w:szCs w:val="22"/>
        </w:rPr>
        <w:t xml:space="preserve">.- Son bienes inmuebles: </w:t>
      </w:r>
    </w:p>
    <w:p w14:paraId="2BE290FB"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I.</w:t>
      </w:r>
      <w:r w:rsidRPr="00F532B8">
        <w:rPr>
          <w:rFonts w:ascii="Palatino Linotype" w:hAnsi="Palatino Linotype"/>
          <w:i/>
          <w:sz w:val="22"/>
          <w:szCs w:val="22"/>
        </w:rPr>
        <w:t xml:space="preserve"> El suelo y las construcciones adheridas a él;</w:t>
      </w:r>
    </w:p>
    <w:p w14:paraId="2DE0C873"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II.</w:t>
      </w:r>
      <w:r w:rsidRPr="00F532B8">
        <w:rPr>
          <w:rFonts w:ascii="Palatino Linotype" w:hAnsi="Palatino Linotype"/>
          <w:i/>
          <w:sz w:val="22"/>
          <w:szCs w:val="22"/>
        </w:rPr>
        <w:t xml:space="preserve"> Las plantas y árboles, mientras estuvieren unidos a la tierra, y sus frutos mientras no sean separados de ellos; </w:t>
      </w:r>
    </w:p>
    <w:p w14:paraId="2376A065"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III.</w:t>
      </w:r>
      <w:r w:rsidRPr="00F532B8">
        <w:rPr>
          <w:rFonts w:ascii="Palatino Linotype" w:hAnsi="Palatino Linotype"/>
          <w:i/>
          <w:sz w:val="22"/>
          <w:szCs w:val="22"/>
        </w:rPr>
        <w:t xml:space="preserve"> Todo lo que esté unido a un inmueble de una manera fija, de modo que no pueda separarse sin deterioro del mismo o del objeto a él adherido;</w:t>
      </w:r>
    </w:p>
    <w:p w14:paraId="18F41A83"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IV.</w:t>
      </w:r>
      <w:r w:rsidRPr="00F532B8">
        <w:rPr>
          <w:rFonts w:ascii="Palatino Linotype" w:hAnsi="Palatino Linotype"/>
          <w:i/>
          <w:sz w:val="22"/>
          <w:szCs w:val="22"/>
        </w:rPr>
        <w:t xml:space="preserve"> Los palomares, colmenas, estanques de peces o criaderos análogos, cuando el propietario los conserve con el propósito de mantenerlos unidos al inmueble y formando parte de él de un modo permanente; </w:t>
      </w:r>
    </w:p>
    <w:p w14:paraId="67A9C291"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V.</w:t>
      </w:r>
      <w:r w:rsidRPr="00F532B8">
        <w:rPr>
          <w:rFonts w:ascii="Palatino Linotype" w:hAnsi="Palatino Linotype"/>
          <w:i/>
          <w:sz w:val="22"/>
          <w:szCs w:val="22"/>
        </w:rPr>
        <w:t xml:space="preserve"> Las máquinas, instrumentos o utensilios destinados por el propietario del inmueble, directa o exclusivamente a la industria o explotación del mismo; </w:t>
      </w:r>
    </w:p>
    <w:p w14:paraId="769A309B"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VI.</w:t>
      </w:r>
      <w:r w:rsidRPr="00F532B8">
        <w:rPr>
          <w:rFonts w:ascii="Palatino Linotype" w:hAnsi="Palatino Linotype"/>
          <w:i/>
          <w:sz w:val="22"/>
          <w:szCs w:val="22"/>
        </w:rPr>
        <w:t xml:space="preserve"> Los fertilizantes, herbicidas, fungicidas, insecticidas, semillas y en general las sustancias para la preservación, cultivo y mantenimiento de la tierra que se encuentren en los inmuebles o unidades de producción en donde hayan de utilizarse; </w:t>
      </w:r>
    </w:p>
    <w:p w14:paraId="144794C9"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VII.</w:t>
      </w:r>
      <w:r w:rsidRPr="00F532B8">
        <w:rPr>
          <w:rFonts w:ascii="Palatino Linotype" w:hAnsi="Palatino Linotype"/>
          <w:i/>
          <w:sz w:val="22"/>
          <w:szCs w:val="22"/>
        </w:rPr>
        <w:t xml:space="preserve"> El equipamiento y accesorios adheridos al suelo o a los edificios de éstos, salvo convenio en contrario; </w:t>
      </w:r>
    </w:p>
    <w:p w14:paraId="19239AD8"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VIII.</w:t>
      </w:r>
      <w:r w:rsidRPr="00F532B8">
        <w:rPr>
          <w:rFonts w:ascii="Palatino Linotype" w:hAnsi="Palatino Linotype"/>
          <w:i/>
          <w:sz w:val="22"/>
          <w:szCs w:val="22"/>
        </w:rPr>
        <w:t xml:space="preserve"> Los acueductos o tuberías de cualquier tipo que sirvan para conducir los líquidos o gases a un inmueble, o para extraerlos de él; </w:t>
      </w:r>
    </w:p>
    <w:p w14:paraId="05F81050"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IX.</w:t>
      </w:r>
      <w:r w:rsidRPr="00F532B8">
        <w:rPr>
          <w:rFonts w:ascii="Palatino Linotype" w:hAnsi="Palatino Linotype"/>
          <w:i/>
          <w:sz w:val="22"/>
          <w:szCs w:val="22"/>
        </w:rPr>
        <w:t xml:space="preserve"> Los animales que formen el pie de cría en los predios rústicos destinados total o parcialmente al ramo de ganadería, así como los de trabajo indispensables para el cultivo del inmueble mientras están destinadas a ese objeto; </w:t>
      </w:r>
    </w:p>
    <w:p w14:paraId="18967740"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X.</w:t>
      </w:r>
      <w:r w:rsidRPr="00F532B8">
        <w:rPr>
          <w:rFonts w:ascii="Palatino Linotype" w:hAnsi="Palatino Linotype"/>
          <w:i/>
          <w:sz w:val="22"/>
          <w:szCs w:val="22"/>
        </w:rPr>
        <w:t xml:space="preserve"> Los diques y construcciones que, </w:t>
      </w:r>
      <w:proofErr w:type="spellStart"/>
      <w:r w:rsidRPr="00F532B8">
        <w:rPr>
          <w:rFonts w:ascii="Palatino Linotype" w:hAnsi="Palatino Linotype"/>
          <w:i/>
          <w:sz w:val="22"/>
          <w:szCs w:val="22"/>
        </w:rPr>
        <w:t>aún</w:t>
      </w:r>
      <w:proofErr w:type="spellEnd"/>
      <w:r w:rsidRPr="00F532B8">
        <w:rPr>
          <w:rFonts w:ascii="Palatino Linotype" w:hAnsi="Palatino Linotype"/>
          <w:i/>
          <w:sz w:val="22"/>
          <w:szCs w:val="22"/>
        </w:rPr>
        <w:t xml:space="preserve"> cuando sean flotantes, estén destinados por su objeto y condiciones a permanecer en un punto fijo de un río, lago o costa; </w:t>
      </w:r>
    </w:p>
    <w:p w14:paraId="5F698FD7"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XI</w:t>
      </w:r>
      <w:r w:rsidRPr="00F532B8">
        <w:rPr>
          <w:rFonts w:ascii="Palatino Linotype" w:hAnsi="Palatino Linotype"/>
          <w:i/>
          <w:sz w:val="22"/>
          <w:szCs w:val="22"/>
        </w:rPr>
        <w:t>. Los derechos reales sobre inmuebles.</w:t>
      </w:r>
    </w:p>
    <w:p w14:paraId="6FC010C8"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p>
    <w:p w14:paraId="3650B527" w14:textId="77777777" w:rsidR="00EF5B4D" w:rsidRPr="00F532B8" w:rsidRDefault="00EF5B4D" w:rsidP="00EF5B4D">
      <w:pPr>
        <w:pStyle w:val="Prrafodelista"/>
        <w:tabs>
          <w:tab w:val="left" w:pos="0"/>
          <w:tab w:val="left" w:pos="851"/>
        </w:tabs>
        <w:ind w:left="851" w:right="1043"/>
        <w:jc w:val="both"/>
        <w:rPr>
          <w:rFonts w:ascii="Palatino Linotype" w:hAnsi="Palatino Linotype"/>
          <w:b/>
          <w:i/>
          <w:sz w:val="22"/>
          <w:szCs w:val="22"/>
        </w:rPr>
      </w:pPr>
      <w:r w:rsidRPr="00F532B8">
        <w:rPr>
          <w:rFonts w:ascii="Palatino Linotype" w:hAnsi="Palatino Linotype"/>
          <w:b/>
          <w:i/>
          <w:sz w:val="22"/>
          <w:szCs w:val="22"/>
        </w:rPr>
        <w:t xml:space="preserve">Muebles por su naturaleza </w:t>
      </w:r>
    </w:p>
    <w:p w14:paraId="5142739B" w14:textId="77777777" w:rsidR="00EF5B4D" w:rsidRPr="00F532B8" w:rsidRDefault="00EF5B4D" w:rsidP="00EF5B4D">
      <w:pPr>
        <w:pStyle w:val="Prrafodelista"/>
        <w:tabs>
          <w:tab w:val="left" w:pos="0"/>
          <w:tab w:val="left" w:pos="851"/>
        </w:tabs>
        <w:ind w:left="851" w:right="1043"/>
        <w:jc w:val="both"/>
        <w:rPr>
          <w:rFonts w:ascii="Palatino Linotype" w:hAnsi="Palatino Linotype"/>
          <w:i/>
          <w:sz w:val="22"/>
          <w:szCs w:val="22"/>
        </w:rPr>
      </w:pPr>
      <w:r w:rsidRPr="00F532B8">
        <w:rPr>
          <w:rFonts w:ascii="Palatino Linotype" w:hAnsi="Palatino Linotype"/>
          <w:b/>
          <w:i/>
          <w:sz w:val="22"/>
          <w:szCs w:val="22"/>
        </w:rPr>
        <w:t>Artículo 5.6.-</w:t>
      </w:r>
      <w:r w:rsidRPr="00F532B8">
        <w:rPr>
          <w:rFonts w:ascii="Palatino Linotype" w:hAnsi="Palatino Linotype"/>
          <w:i/>
          <w:sz w:val="22"/>
          <w:szCs w:val="22"/>
        </w:rPr>
        <w:t xml:space="preserve"> Son bienes muebles por su naturaleza, los que pueden trasladarse de un lugar a otro, ya sea por sí mismos, o por efecto de una fuerza exterior.”</w:t>
      </w:r>
    </w:p>
    <w:p w14:paraId="7D59E45C" w14:textId="77777777" w:rsidR="00EF5B4D" w:rsidRPr="00F532B8" w:rsidRDefault="00EF5B4D" w:rsidP="00EF5B4D">
      <w:pPr>
        <w:pStyle w:val="Prrafodelista"/>
        <w:tabs>
          <w:tab w:val="left" w:pos="0"/>
          <w:tab w:val="left" w:pos="426"/>
        </w:tabs>
        <w:spacing w:line="360" w:lineRule="auto"/>
        <w:ind w:left="0" w:right="49"/>
        <w:jc w:val="both"/>
        <w:rPr>
          <w:rFonts w:ascii="Palatino Linotype" w:eastAsia="MS Mincho" w:hAnsi="Palatino Linotype"/>
          <w:lang w:val="es-ES_tradnl" w:eastAsia="es-ES"/>
        </w:rPr>
      </w:pPr>
    </w:p>
    <w:p w14:paraId="7C9AA291" w14:textId="77777777" w:rsidR="00EF5B4D" w:rsidRPr="00F532B8" w:rsidRDefault="00EF5B4D" w:rsidP="00EF5B4D">
      <w:pPr>
        <w:spacing w:before="100" w:beforeAutospacing="1" w:after="100" w:afterAutospacing="1" w:line="360" w:lineRule="auto"/>
        <w:jc w:val="both"/>
        <w:rPr>
          <w:rFonts w:ascii="Palatino Linotype" w:hAnsi="Palatino Linotype" w:cs="Arial"/>
          <w:lang w:val="es-ES_tradnl"/>
        </w:rPr>
      </w:pPr>
      <w:r w:rsidRPr="00F532B8">
        <w:rPr>
          <w:rFonts w:ascii="Palatino Linotype" w:hAnsi="Palatino Linotype" w:cs="Arial"/>
          <w:lang w:val="es-ES_tradnl"/>
        </w:rPr>
        <w:t>En concordancia con lo anterior, los Lineamientos para el Registro y Control del Inventario y la Conciliación y Desincorporación de Bienes Muebles e Inmuebles para las Entidades Fiscalizables del Estado de México, que tienen como propósito actualizar y transparentar el manejo, uso y destino de los bienes así como garantizar la legalidad, control y correcta participación de los servidores públicos municipales en los procedimientos de adquisición, resguardo y baja de bienes, permitiendo mantener la debida conciliación del inventario de los bienes muebles e inmuebles con los registros contables, refieren que se entiende por bienes muebles e inmuebles:</w:t>
      </w:r>
    </w:p>
    <w:p w14:paraId="535B8C56" w14:textId="77777777" w:rsidR="00190645" w:rsidRPr="00F532B8" w:rsidRDefault="00190645" w:rsidP="00190645">
      <w:pPr>
        <w:tabs>
          <w:tab w:val="left" w:pos="709"/>
        </w:tabs>
        <w:ind w:left="709" w:right="1043"/>
        <w:jc w:val="both"/>
        <w:rPr>
          <w:rFonts w:ascii="Palatino Linotype" w:hAnsi="Palatino Linotype"/>
          <w:i/>
          <w:sz w:val="22"/>
          <w:szCs w:val="22"/>
        </w:rPr>
      </w:pPr>
      <w:r w:rsidRPr="00F532B8">
        <w:rPr>
          <w:rFonts w:ascii="Palatino Linotype" w:hAnsi="Palatino Linotype"/>
          <w:b/>
          <w:i/>
          <w:sz w:val="22"/>
          <w:szCs w:val="22"/>
        </w:rPr>
        <w:t>NOVENO:</w:t>
      </w:r>
      <w:r w:rsidRPr="00F532B8">
        <w:rPr>
          <w:rFonts w:ascii="Palatino Linotype" w:hAnsi="Palatino Linotype"/>
          <w:i/>
          <w:sz w:val="22"/>
          <w:szCs w:val="22"/>
        </w:rPr>
        <w:t xml:space="preserve"> Para efectos de los presentes Lineamientos, se entenderá por:</w:t>
      </w:r>
    </w:p>
    <w:p w14:paraId="7A239C3A" w14:textId="77777777" w:rsidR="00190645" w:rsidRPr="00F532B8" w:rsidRDefault="00190645" w:rsidP="00190645">
      <w:pPr>
        <w:tabs>
          <w:tab w:val="left" w:pos="709"/>
        </w:tabs>
        <w:ind w:left="709" w:right="1043"/>
        <w:jc w:val="both"/>
        <w:rPr>
          <w:rFonts w:ascii="Palatino Linotype" w:hAnsi="Palatino Linotype"/>
          <w:i/>
          <w:sz w:val="22"/>
          <w:szCs w:val="22"/>
        </w:rPr>
      </w:pPr>
      <w:r w:rsidRPr="00F532B8">
        <w:rPr>
          <w:rFonts w:ascii="Palatino Linotype" w:hAnsi="Palatino Linotype"/>
          <w:i/>
          <w:sz w:val="22"/>
          <w:szCs w:val="22"/>
        </w:rPr>
        <w:t>…</w:t>
      </w:r>
    </w:p>
    <w:p w14:paraId="432D46DF" w14:textId="77777777" w:rsidR="00190645" w:rsidRPr="00F532B8" w:rsidRDefault="00190645" w:rsidP="00190645">
      <w:pPr>
        <w:tabs>
          <w:tab w:val="left" w:pos="709"/>
        </w:tabs>
        <w:ind w:left="709" w:right="1043"/>
        <w:jc w:val="both"/>
        <w:rPr>
          <w:rFonts w:ascii="Palatino Linotype" w:hAnsi="Palatino Linotype"/>
          <w:i/>
          <w:sz w:val="22"/>
          <w:szCs w:val="22"/>
        </w:rPr>
      </w:pPr>
      <w:r w:rsidRPr="00F532B8">
        <w:rPr>
          <w:rFonts w:ascii="Palatino Linotype" w:hAnsi="Palatino Linotype"/>
          <w:b/>
          <w:i/>
          <w:sz w:val="22"/>
          <w:szCs w:val="22"/>
        </w:rPr>
        <w:t xml:space="preserve">VI. BIEN INMUEBLE: </w:t>
      </w:r>
      <w:r w:rsidRPr="00F532B8">
        <w:rPr>
          <w:rFonts w:ascii="Palatino Linotype" w:hAnsi="Palatino Linotype"/>
          <w:i/>
          <w:sz w:val="22"/>
          <w:szCs w:val="22"/>
        </w:rPr>
        <w:t>Recurso físico que por su naturaleza de uso o consumo, no puede trasladarse de un lugar a otro;</w:t>
      </w:r>
    </w:p>
    <w:p w14:paraId="3B049EC5" w14:textId="77777777" w:rsidR="00190645" w:rsidRPr="00F532B8" w:rsidRDefault="00190645" w:rsidP="00190645">
      <w:pPr>
        <w:tabs>
          <w:tab w:val="left" w:pos="709"/>
        </w:tabs>
        <w:ind w:left="709" w:right="1043"/>
        <w:jc w:val="both"/>
        <w:rPr>
          <w:rFonts w:ascii="Palatino Linotype" w:hAnsi="Palatino Linotype"/>
          <w:i/>
          <w:sz w:val="22"/>
          <w:szCs w:val="22"/>
        </w:rPr>
      </w:pPr>
    </w:p>
    <w:p w14:paraId="3B4BC987" w14:textId="77777777" w:rsidR="00190645" w:rsidRPr="00F532B8" w:rsidRDefault="00190645" w:rsidP="00190645">
      <w:pPr>
        <w:tabs>
          <w:tab w:val="left" w:pos="709"/>
        </w:tabs>
        <w:ind w:left="709" w:right="1043"/>
        <w:jc w:val="both"/>
        <w:rPr>
          <w:rFonts w:ascii="Palatino Linotype" w:hAnsi="Palatino Linotype"/>
          <w:i/>
          <w:sz w:val="22"/>
          <w:szCs w:val="22"/>
        </w:rPr>
      </w:pPr>
      <w:r w:rsidRPr="00F532B8">
        <w:rPr>
          <w:rFonts w:ascii="Palatino Linotype" w:hAnsi="Palatino Linotype"/>
          <w:b/>
          <w:i/>
          <w:sz w:val="22"/>
          <w:szCs w:val="22"/>
        </w:rPr>
        <w:t>VII. BIEN MUEBLE:</w:t>
      </w:r>
      <w:r w:rsidRPr="00F532B8">
        <w:rPr>
          <w:rFonts w:ascii="Palatino Linotype" w:hAnsi="Palatino Linotype"/>
          <w:i/>
          <w:sz w:val="22"/>
          <w:szCs w:val="22"/>
        </w:rPr>
        <w:t xml:space="preserve"> Objeto que por su naturaleza de uso o consumo, puede ser trasladado de un lugar a otro ya sea por sí mismo, o por efecto de una fuerza exterior, es todo aquello que se conoce como: mobiliario, mesas, sillas, libreros, anaqueles, equipo de oficina en general, equipo de transporte, semovientes, entre otros;</w:t>
      </w:r>
    </w:p>
    <w:p w14:paraId="657F1157" w14:textId="77777777" w:rsidR="00190645" w:rsidRPr="00F532B8" w:rsidRDefault="00190645" w:rsidP="00190645">
      <w:pPr>
        <w:tabs>
          <w:tab w:val="left" w:pos="709"/>
        </w:tabs>
        <w:ind w:left="709" w:right="1043"/>
        <w:jc w:val="both"/>
        <w:rPr>
          <w:rFonts w:ascii="Palatino Linotype" w:hAnsi="Palatino Linotype"/>
          <w:i/>
          <w:sz w:val="22"/>
          <w:szCs w:val="22"/>
        </w:rPr>
      </w:pPr>
      <w:r w:rsidRPr="00F532B8">
        <w:rPr>
          <w:rFonts w:ascii="Palatino Linotype" w:hAnsi="Palatino Linotype"/>
          <w:i/>
          <w:sz w:val="22"/>
          <w:szCs w:val="22"/>
        </w:rPr>
        <w:t>…</w:t>
      </w:r>
    </w:p>
    <w:p w14:paraId="56C91384" w14:textId="77777777" w:rsidR="00190645" w:rsidRPr="00F532B8" w:rsidRDefault="00190645" w:rsidP="00190645">
      <w:pPr>
        <w:tabs>
          <w:tab w:val="left" w:pos="709"/>
        </w:tabs>
        <w:ind w:left="709" w:right="1043"/>
        <w:jc w:val="both"/>
        <w:rPr>
          <w:rFonts w:ascii="Palatino Linotype" w:hAnsi="Palatino Linotype"/>
          <w:i/>
          <w:sz w:val="22"/>
          <w:szCs w:val="22"/>
        </w:rPr>
      </w:pPr>
      <w:r w:rsidRPr="00F532B8">
        <w:rPr>
          <w:rFonts w:ascii="Palatino Linotype" w:hAnsi="Palatino Linotype"/>
          <w:b/>
          <w:i/>
          <w:sz w:val="22"/>
          <w:szCs w:val="22"/>
        </w:rPr>
        <w:t>XXVI. EXPEDIENTE INDIVIDUAL POR BIEN:</w:t>
      </w:r>
      <w:r w:rsidRPr="00F532B8">
        <w:rPr>
          <w:rFonts w:ascii="Palatino Linotype" w:hAnsi="Palatino Linotype"/>
          <w:i/>
          <w:sz w:val="22"/>
          <w:szCs w:val="22"/>
        </w:rPr>
        <w:t xml:space="preserve"> Al </w:t>
      </w:r>
      <w:r w:rsidRPr="00F532B8">
        <w:rPr>
          <w:rFonts w:ascii="Palatino Linotype" w:hAnsi="Palatino Linotype"/>
          <w:b/>
          <w:i/>
          <w:sz w:val="22"/>
          <w:szCs w:val="22"/>
        </w:rPr>
        <w:t>conjunto de documentos que refieren a un mismo objeto o lugar describiendo en cada documento las mismas características del bien</w:t>
      </w:r>
      <w:r w:rsidRPr="00F532B8">
        <w:rPr>
          <w:rFonts w:ascii="Palatino Linotype" w:hAnsi="Palatino Linotype"/>
          <w:i/>
          <w:sz w:val="22"/>
          <w:szCs w:val="22"/>
        </w:rPr>
        <w:t xml:space="preserve">, en el caso de los bienes muebles: resguardo, oficio de petición del bien por el área que lo solicita, vale de entrada y salida del almacén, póliza contable, factura, cuadro comparativo de adquisición, contrato de adquisición, seguro del bien. En el caso de los bienes inmuebles: póliza contable, formato individual de inventario de bienes inmuebles, los documentos relativos a la adquisición, escritura pública a favor de la </w:t>
      </w:r>
      <w:r w:rsidRPr="00F532B8">
        <w:rPr>
          <w:rFonts w:ascii="Palatino Linotype" w:hAnsi="Palatino Linotype"/>
          <w:i/>
          <w:sz w:val="22"/>
          <w:szCs w:val="22"/>
        </w:rPr>
        <w:lastRenderedPageBreak/>
        <w:t>entidad fiscalizable (en caso de estar en proceso de regularización presentar documentación que acredite los tramites), clave catastral, y plano del inmueble;</w:t>
      </w:r>
    </w:p>
    <w:p w14:paraId="7AFE91C8" w14:textId="77777777" w:rsidR="00190645" w:rsidRPr="00F532B8" w:rsidRDefault="00190645" w:rsidP="00190645">
      <w:pPr>
        <w:tabs>
          <w:tab w:val="left" w:pos="709"/>
        </w:tabs>
        <w:ind w:left="709" w:right="1043"/>
        <w:jc w:val="both"/>
        <w:rPr>
          <w:rFonts w:ascii="Palatino Linotype" w:hAnsi="Palatino Linotype"/>
          <w:b/>
          <w:i/>
          <w:sz w:val="22"/>
          <w:szCs w:val="22"/>
        </w:rPr>
      </w:pPr>
      <w:r w:rsidRPr="00F532B8">
        <w:rPr>
          <w:rFonts w:ascii="Palatino Linotype" w:hAnsi="Palatino Linotype"/>
          <w:b/>
          <w:i/>
          <w:sz w:val="22"/>
          <w:szCs w:val="22"/>
        </w:rPr>
        <w:t>…</w:t>
      </w:r>
    </w:p>
    <w:p w14:paraId="132B95E7" w14:textId="77777777" w:rsidR="00190645" w:rsidRPr="00F532B8" w:rsidRDefault="00190645" w:rsidP="00190645">
      <w:pPr>
        <w:tabs>
          <w:tab w:val="left" w:pos="709"/>
        </w:tabs>
        <w:ind w:left="709" w:right="1043"/>
        <w:jc w:val="both"/>
        <w:rPr>
          <w:rFonts w:ascii="Palatino Linotype" w:hAnsi="Palatino Linotype"/>
          <w:i/>
          <w:sz w:val="22"/>
          <w:szCs w:val="22"/>
        </w:rPr>
      </w:pPr>
      <w:r w:rsidRPr="00F532B8">
        <w:rPr>
          <w:rFonts w:ascii="Palatino Linotype" w:hAnsi="Palatino Linotype"/>
          <w:b/>
          <w:i/>
          <w:sz w:val="22"/>
          <w:szCs w:val="22"/>
        </w:rPr>
        <w:t>XXX. INVENTARIO:</w:t>
      </w:r>
      <w:r w:rsidRPr="00F532B8">
        <w:rPr>
          <w:rFonts w:ascii="Palatino Linotype" w:hAnsi="Palatino Linotype"/>
          <w:i/>
          <w:sz w:val="22"/>
          <w:szCs w:val="22"/>
        </w:rPr>
        <w:t xml:space="preserve"> Lista en la que se registran y describe la existencia de los bienes muebles e inmuebles propiedad de las entidades fiscalizables; </w:t>
      </w:r>
    </w:p>
    <w:p w14:paraId="0A22764B" w14:textId="77777777" w:rsidR="00190645" w:rsidRPr="00F532B8" w:rsidRDefault="00190645" w:rsidP="00190645">
      <w:pPr>
        <w:tabs>
          <w:tab w:val="left" w:pos="709"/>
        </w:tabs>
        <w:ind w:left="709" w:right="1043"/>
        <w:jc w:val="both"/>
        <w:rPr>
          <w:rFonts w:ascii="Palatino Linotype" w:hAnsi="Palatino Linotype"/>
          <w:i/>
          <w:sz w:val="22"/>
          <w:szCs w:val="22"/>
        </w:rPr>
      </w:pPr>
    </w:p>
    <w:p w14:paraId="6720D7A3" w14:textId="77777777" w:rsidR="00190645" w:rsidRPr="00F532B8" w:rsidRDefault="00190645" w:rsidP="00190645">
      <w:pPr>
        <w:tabs>
          <w:tab w:val="left" w:pos="709"/>
        </w:tabs>
        <w:ind w:left="709" w:right="1043"/>
        <w:jc w:val="both"/>
        <w:rPr>
          <w:rFonts w:ascii="Palatino Linotype" w:hAnsi="Palatino Linotype"/>
          <w:i/>
          <w:sz w:val="22"/>
          <w:szCs w:val="22"/>
        </w:rPr>
      </w:pPr>
      <w:r w:rsidRPr="00F532B8">
        <w:rPr>
          <w:rFonts w:ascii="Palatino Linotype" w:hAnsi="Palatino Linotype"/>
          <w:b/>
          <w:i/>
          <w:sz w:val="22"/>
          <w:szCs w:val="22"/>
        </w:rPr>
        <w:t>XXXI. INVENTARIO DE BIENES INMUEBLES:</w:t>
      </w:r>
      <w:r w:rsidRPr="00F532B8">
        <w:rPr>
          <w:rFonts w:ascii="Palatino Linotype" w:hAnsi="Palatino Linotype"/>
          <w:i/>
          <w:sz w:val="22"/>
          <w:szCs w:val="22"/>
        </w:rPr>
        <w:t xml:space="preserve"> Es el documento en donde se registran todos los bienes inmuebles propiedad de las entidades fiscalizables, el cual deberá contener todas las características de identificación, tales como: nombre, zona, ubicación, medidas y colindancias, tipo de inmueble, superficie construida, uso, medio de adquisición, situación legal, valor y todos los demás datos que se solicitan en la cédula correspondiente; </w:t>
      </w:r>
    </w:p>
    <w:p w14:paraId="71FD717D" w14:textId="77777777" w:rsidR="00190645" w:rsidRPr="00F532B8" w:rsidRDefault="00190645" w:rsidP="00190645">
      <w:pPr>
        <w:tabs>
          <w:tab w:val="left" w:pos="709"/>
        </w:tabs>
        <w:ind w:left="709" w:right="1043"/>
        <w:jc w:val="both"/>
        <w:rPr>
          <w:rFonts w:ascii="Palatino Linotype" w:hAnsi="Palatino Linotype"/>
          <w:i/>
          <w:sz w:val="22"/>
          <w:szCs w:val="22"/>
        </w:rPr>
      </w:pPr>
    </w:p>
    <w:p w14:paraId="22F7AA1E" w14:textId="77777777" w:rsidR="00190645" w:rsidRPr="00F532B8" w:rsidRDefault="00190645" w:rsidP="00190645">
      <w:pPr>
        <w:tabs>
          <w:tab w:val="left" w:pos="709"/>
        </w:tabs>
        <w:ind w:left="709" w:right="1043"/>
        <w:jc w:val="both"/>
        <w:rPr>
          <w:rFonts w:ascii="Palatino Linotype" w:hAnsi="Palatino Linotype"/>
          <w:i/>
          <w:sz w:val="22"/>
          <w:szCs w:val="22"/>
        </w:rPr>
      </w:pPr>
      <w:r w:rsidRPr="00F532B8">
        <w:rPr>
          <w:rFonts w:ascii="Palatino Linotype" w:hAnsi="Palatino Linotype"/>
          <w:b/>
          <w:i/>
          <w:sz w:val="22"/>
          <w:szCs w:val="22"/>
        </w:rPr>
        <w:t>XXXII. INVENTARIO DE BIENES MUEBLES:</w:t>
      </w:r>
      <w:r w:rsidRPr="00F532B8">
        <w:rPr>
          <w:rFonts w:ascii="Palatino Linotype" w:hAnsi="Palatino Linotype"/>
          <w:i/>
          <w:sz w:val="22"/>
          <w:szCs w:val="22"/>
        </w:rPr>
        <w:t xml:space="preserve"> Registro de los bienes muebles con un costo igual o mayor a 35 salarios mínimos del área geográfica "C" para los ejercicios anteriores y a partir del 01 de enero de 2013 los bienes muebles cuyo costo unitario de adquisición sea igual o superior a 35 días de salario mínimo general del Distrito Federal; </w:t>
      </w:r>
    </w:p>
    <w:p w14:paraId="12461559" w14:textId="77777777" w:rsidR="00190645" w:rsidRPr="00F532B8" w:rsidRDefault="00190645" w:rsidP="00190645">
      <w:pPr>
        <w:tabs>
          <w:tab w:val="left" w:pos="709"/>
        </w:tabs>
        <w:ind w:left="709" w:right="1043"/>
        <w:jc w:val="both"/>
        <w:rPr>
          <w:rFonts w:ascii="Palatino Linotype" w:hAnsi="Palatino Linotype"/>
          <w:i/>
          <w:sz w:val="22"/>
          <w:szCs w:val="22"/>
        </w:rPr>
      </w:pPr>
    </w:p>
    <w:p w14:paraId="25AD9FA5" w14:textId="77777777" w:rsidR="00190645" w:rsidRPr="00F532B8" w:rsidRDefault="00190645" w:rsidP="00190645">
      <w:pPr>
        <w:tabs>
          <w:tab w:val="left" w:pos="709"/>
        </w:tabs>
        <w:ind w:left="709" w:right="1043"/>
        <w:jc w:val="both"/>
        <w:rPr>
          <w:rFonts w:ascii="Palatino Linotype" w:hAnsi="Palatino Linotype"/>
          <w:b/>
          <w:i/>
          <w:sz w:val="22"/>
          <w:szCs w:val="22"/>
        </w:rPr>
      </w:pPr>
      <w:r w:rsidRPr="00F532B8">
        <w:rPr>
          <w:rFonts w:ascii="Palatino Linotype" w:hAnsi="Palatino Linotype"/>
          <w:b/>
          <w:i/>
          <w:sz w:val="22"/>
          <w:szCs w:val="22"/>
        </w:rPr>
        <w:t>XXXIII. INVENTARIO GENERAL DE BIENES MUEBLES:</w:t>
      </w:r>
      <w:r w:rsidRPr="00F532B8">
        <w:rPr>
          <w:rFonts w:ascii="Palatino Linotype" w:hAnsi="Palatino Linotype"/>
          <w:i/>
          <w:sz w:val="22"/>
          <w:szCs w:val="22"/>
        </w:rPr>
        <w:t xml:space="preserve"> </w:t>
      </w:r>
      <w:r w:rsidRPr="00F532B8">
        <w:rPr>
          <w:rFonts w:ascii="Palatino Linotype" w:hAnsi="Palatino Linotype"/>
          <w:b/>
          <w:i/>
          <w:sz w:val="22"/>
          <w:szCs w:val="22"/>
        </w:rPr>
        <w:t xml:space="preserve">A las listas en las que se registran y describen todos los bienes muebles en posesión de las entidades fiscalizables, es decir los bienes muebles contenidos en el Inventario de Bienes Muebles, Bienes Muebles de Bajo Costo, Bienes con Control Administrativo Interno y </w:t>
      </w:r>
      <w:r w:rsidRPr="00F532B8">
        <w:rPr>
          <w:rFonts w:ascii="Palatino Linotype" w:hAnsi="Palatino Linotype"/>
          <w:b/>
          <w:i/>
          <w:sz w:val="22"/>
          <w:szCs w:val="22"/>
          <w:u w:val="single"/>
        </w:rPr>
        <w:t>los recibidos en comodato</w:t>
      </w:r>
      <w:r w:rsidRPr="00F532B8">
        <w:rPr>
          <w:rFonts w:ascii="Palatino Linotype" w:hAnsi="Palatino Linotype"/>
          <w:b/>
          <w:i/>
          <w:sz w:val="22"/>
          <w:szCs w:val="22"/>
        </w:rPr>
        <w:t>; cuya finalidad es llevar a cabo un control de existencias, cantidad, características, condiciones de uso y valor;</w:t>
      </w:r>
    </w:p>
    <w:p w14:paraId="10D24C25" w14:textId="77777777" w:rsidR="00190645" w:rsidRPr="00F532B8" w:rsidRDefault="00190645" w:rsidP="00190645">
      <w:pPr>
        <w:tabs>
          <w:tab w:val="left" w:pos="709"/>
        </w:tabs>
        <w:ind w:left="709" w:right="1043"/>
        <w:jc w:val="both"/>
        <w:rPr>
          <w:rFonts w:ascii="Palatino Linotype" w:hAnsi="Palatino Linotype"/>
          <w:i/>
          <w:sz w:val="22"/>
          <w:szCs w:val="22"/>
        </w:rPr>
      </w:pPr>
      <w:r w:rsidRPr="00F532B8">
        <w:rPr>
          <w:rFonts w:ascii="Palatino Linotype" w:hAnsi="Palatino Linotype"/>
          <w:i/>
          <w:sz w:val="22"/>
          <w:szCs w:val="22"/>
        </w:rPr>
        <w:t>…</w:t>
      </w:r>
    </w:p>
    <w:p w14:paraId="6EBFDAB1" w14:textId="77777777" w:rsidR="00190645" w:rsidRPr="00F532B8" w:rsidRDefault="00190645" w:rsidP="005D7646">
      <w:pPr>
        <w:tabs>
          <w:tab w:val="left" w:pos="709"/>
        </w:tabs>
        <w:ind w:left="709" w:right="1043"/>
        <w:jc w:val="both"/>
        <w:rPr>
          <w:rFonts w:ascii="Palatino Linotype" w:hAnsi="Palatino Linotype"/>
          <w:i/>
          <w:sz w:val="22"/>
          <w:szCs w:val="22"/>
        </w:rPr>
      </w:pPr>
      <w:r w:rsidRPr="00F532B8">
        <w:rPr>
          <w:rFonts w:ascii="Palatino Linotype" w:hAnsi="Palatino Linotype"/>
          <w:i/>
          <w:sz w:val="22"/>
          <w:szCs w:val="22"/>
        </w:rPr>
        <w:t>(Énfasis añadido)</w:t>
      </w:r>
    </w:p>
    <w:p w14:paraId="51359B6E" w14:textId="77777777" w:rsidR="005D7646" w:rsidRPr="00F532B8" w:rsidRDefault="005D7646" w:rsidP="005D7646">
      <w:pPr>
        <w:spacing w:before="100" w:beforeAutospacing="1" w:after="100" w:afterAutospacing="1"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 xml:space="preserve">Bajo ese orden de ideas, es importante señalar que los Lineamientos Septuagésimo Séptimo y Septuagésimo Octavo de los Lineamientos para el Registro y Control del Inventario y la Conciliación y Desincorporación de Bienes Muebles e Inmuebles para las Entidades Fiscalizables Municipales del Estado de México, en cita refieren que </w:t>
      </w:r>
      <w:r w:rsidRPr="00F532B8">
        <w:rPr>
          <w:rFonts w:ascii="Palatino Linotype" w:eastAsia="Palatino Linotype" w:hAnsi="Palatino Linotype" w:cs="Palatino Linotype"/>
          <w:b/>
        </w:rPr>
        <w:t>EL SUJETO OBLIGADO</w:t>
      </w:r>
      <w:r w:rsidRPr="00F532B8">
        <w:rPr>
          <w:rFonts w:ascii="Palatino Linotype" w:eastAsia="Palatino Linotype" w:hAnsi="Palatino Linotype" w:cs="Palatino Linotype"/>
        </w:rPr>
        <w:t xml:space="preserve"> podrá adquirir bienes en comodato para cubrir necesidades específicas, asimismo, las unidades administrativas podrán transferir bienes en comodato para el </w:t>
      </w:r>
      <w:r w:rsidRPr="00F532B8">
        <w:rPr>
          <w:rFonts w:ascii="Palatino Linotype" w:eastAsia="Palatino Linotype" w:hAnsi="Palatino Linotype" w:cs="Palatino Linotype"/>
        </w:rPr>
        <w:lastRenderedPageBreak/>
        <w:t>mismo fin, y estos bienes estarán relacionados en un formato independiente; tal y como a continuación se transcribe:</w:t>
      </w:r>
    </w:p>
    <w:p w14:paraId="1098B0CB" w14:textId="77777777" w:rsidR="005D7646" w:rsidRPr="00F532B8" w:rsidRDefault="005D7646" w:rsidP="005D7646">
      <w:pPr>
        <w:tabs>
          <w:tab w:val="left" w:pos="851"/>
        </w:tabs>
        <w:ind w:left="851" w:right="1042"/>
        <w:jc w:val="both"/>
        <w:rPr>
          <w:rFonts w:ascii="Palatino Linotype" w:hAnsi="Palatino Linotype"/>
          <w:i/>
          <w:sz w:val="22"/>
          <w:szCs w:val="22"/>
        </w:rPr>
      </w:pPr>
      <w:r w:rsidRPr="00F532B8">
        <w:rPr>
          <w:rFonts w:ascii="Palatino Linotype" w:hAnsi="Palatino Linotype"/>
          <w:b/>
          <w:i/>
          <w:sz w:val="22"/>
          <w:szCs w:val="22"/>
        </w:rPr>
        <w:t>SEPTUAGÉSIMO SÉPTIMO: Los bienes muebles en comodato, son los objetos que por su naturaleza de uso, pueden ser trasladados de un lugar a otro; son propiedad de un tercero y se encuentran en uso para satisfacer algunas necesidades</w:t>
      </w:r>
      <w:r w:rsidRPr="00F532B8">
        <w:rPr>
          <w:rFonts w:ascii="Palatino Linotype" w:hAnsi="Palatino Linotype"/>
          <w:i/>
          <w:sz w:val="22"/>
          <w:szCs w:val="22"/>
        </w:rPr>
        <w:t xml:space="preserve"> de la entidad fiscalizable y estarán relacionados en un formato independiente. </w:t>
      </w:r>
    </w:p>
    <w:p w14:paraId="4CC30974" w14:textId="77777777" w:rsidR="005D7646" w:rsidRPr="00F532B8" w:rsidRDefault="005D7646" w:rsidP="005D7646">
      <w:pPr>
        <w:tabs>
          <w:tab w:val="left" w:pos="851"/>
        </w:tabs>
        <w:ind w:left="851" w:right="1042"/>
        <w:jc w:val="both"/>
        <w:rPr>
          <w:rFonts w:ascii="Palatino Linotype" w:hAnsi="Palatino Linotype"/>
          <w:i/>
          <w:sz w:val="22"/>
          <w:szCs w:val="22"/>
        </w:rPr>
      </w:pPr>
    </w:p>
    <w:p w14:paraId="714E7956" w14:textId="77777777" w:rsidR="005D7646" w:rsidRPr="00F532B8" w:rsidRDefault="005D7646" w:rsidP="005D7646">
      <w:pPr>
        <w:tabs>
          <w:tab w:val="left" w:pos="851"/>
        </w:tabs>
        <w:ind w:left="851" w:right="1042"/>
        <w:jc w:val="both"/>
        <w:rPr>
          <w:rFonts w:ascii="Palatino Linotype" w:hAnsi="Palatino Linotype"/>
          <w:i/>
          <w:sz w:val="22"/>
          <w:szCs w:val="22"/>
        </w:rPr>
      </w:pPr>
      <w:r w:rsidRPr="00F532B8">
        <w:rPr>
          <w:rFonts w:ascii="Palatino Linotype" w:hAnsi="Palatino Linotype"/>
          <w:i/>
          <w:sz w:val="22"/>
          <w:szCs w:val="22"/>
        </w:rPr>
        <w:t xml:space="preserve">Cuando se realicen convenios de comodato de bienes muebles entre unidades administrativas, </w:t>
      </w:r>
      <w:r w:rsidRPr="00F532B8">
        <w:rPr>
          <w:rFonts w:ascii="Palatino Linotype" w:hAnsi="Palatino Linotype"/>
          <w:b/>
          <w:i/>
          <w:sz w:val="22"/>
          <w:szCs w:val="22"/>
        </w:rPr>
        <w:t>se llevará a cabo la actualización en las cédulas correspondientes</w:t>
      </w:r>
      <w:r w:rsidRPr="00F532B8">
        <w:rPr>
          <w:rFonts w:ascii="Palatino Linotype" w:hAnsi="Palatino Linotype"/>
          <w:i/>
          <w:sz w:val="22"/>
          <w:szCs w:val="22"/>
        </w:rPr>
        <w:t>.</w:t>
      </w:r>
    </w:p>
    <w:p w14:paraId="6A91BC0B" w14:textId="77777777" w:rsidR="005D7646" w:rsidRPr="00F532B8" w:rsidRDefault="005D7646" w:rsidP="005D7646">
      <w:pPr>
        <w:tabs>
          <w:tab w:val="left" w:pos="851"/>
        </w:tabs>
        <w:ind w:left="851" w:right="1042"/>
        <w:jc w:val="both"/>
        <w:rPr>
          <w:rFonts w:ascii="Palatino Linotype" w:hAnsi="Palatino Linotype"/>
          <w:i/>
          <w:sz w:val="22"/>
          <w:szCs w:val="22"/>
        </w:rPr>
      </w:pPr>
    </w:p>
    <w:p w14:paraId="73E7F019" w14:textId="77777777" w:rsidR="005D7646" w:rsidRPr="00F532B8" w:rsidRDefault="005D7646" w:rsidP="005D7646">
      <w:pPr>
        <w:tabs>
          <w:tab w:val="left" w:pos="851"/>
        </w:tabs>
        <w:ind w:left="851" w:right="1042"/>
        <w:jc w:val="both"/>
        <w:rPr>
          <w:rFonts w:ascii="Palatino Linotype" w:hAnsi="Palatino Linotype"/>
          <w:i/>
          <w:sz w:val="22"/>
          <w:szCs w:val="22"/>
        </w:rPr>
      </w:pPr>
      <w:r w:rsidRPr="00F532B8">
        <w:rPr>
          <w:rFonts w:ascii="Palatino Linotype" w:hAnsi="Palatino Linotype"/>
          <w:b/>
          <w:i/>
          <w:sz w:val="22"/>
          <w:szCs w:val="22"/>
        </w:rPr>
        <w:t>SEPTUAGÉSIMO OCTAVO</w:t>
      </w:r>
      <w:r w:rsidRPr="00F532B8">
        <w:rPr>
          <w:rFonts w:ascii="Palatino Linotype" w:hAnsi="Palatino Linotype"/>
          <w:i/>
          <w:sz w:val="22"/>
          <w:szCs w:val="22"/>
        </w:rPr>
        <w:t xml:space="preserve">: Para otorgar en comodato los bienes muebles, se deberán satisfacer los siguientes requisitos: </w:t>
      </w:r>
    </w:p>
    <w:p w14:paraId="23F2E3D3" w14:textId="77777777" w:rsidR="005D7646" w:rsidRPr="00F532B8" w:rsidRDefault="005D7646" w:rsidP="005D7646">
      <w:pPr>
        <w:tabs>
          <w:tab w:val="left" w:pos="851"/>
        </w:tabs>
        <w:ind w:left="851" w:right="1042"/>
        <w:jc w:val="both"/>
        <w:rPr>
          <w:rFonts w:ascii="Palatino Linotype" w:hAnsi="Palatino Linotype"/>
          <w:i/>
          <w:sz w:val="22"/>
          <w:szCs w:val="22"/>
        </w:rPr>
      </w:pPr>
    </w:p>
    <w:p w14:paraId="381AC921" w14:textId="77777777" w:rsidR="005D7646" w:rsidRPr="00F532B8" w:rsidRDefault="005D7646" w:rsidP="005D7646">
      <w:pPr>
        <w:tabs>
          <w:tab w:val="left" w:pos="851"/>
        </w:tabs>
        <w:ind w:left="851" w:right="1042"/>
        <w:jc w:val="both"/>
        <w:rPr>
          <w:rFonts w:ascii="Palatino Linotype" w:hAnsi="Palatino Linotype"/>
          <w:i/>
          <w:sz w:val="22"/>
          <w:szCs w:val="22"/>
        </w:rPr>
      </w:pPr>
      <w:r w:rsidRPr="00F532B8">
        <w:rPr>
          <w:rFonts w:ascii="Palatino Linotype" w:hAnsi="Palatino Linotype"/>
          <w:i/>
          <w:sz w:val="22"/>
          <w:szCs w:val="22"/>
        </w:rPr>
        <w:t xml:space="preserve">I. Observar lo establecido en el Código Civil del Estado de México, así como en la Ley de Bienes del Estado de México y sus Municipios; </w:t>
      </w:r>
    </w:p>
    <w:p w14:paraId="76A2C8A8" w14:textId="77777777" w:rsidR="005D7646" w:rsidRPr="00F532B8" w:rsidRDefault="005D7646" w:rsidP="005D7646">
      <w:pPr>
        <w:tabs>
          <w:tab w:val="left" w:pos="851"/>
        </w:tabs>
        <w:ind w:left="851" w:right="1042"/>
        <w:jc w:val="both"/>
        <w:rPr>
          <w:rFonts w:ascii="Palatino Linotype" w:hAnsi="Palatino Linotype"/>
          <w:i/>
          <w:sz w:val="22"/>
          <w:szCs w:val="22"/>
        </w:rPr>
      </w:pPr>
    </w:p>
    <w:p w14:paraId="5DF8D4C8" w14:textId="77777777" w:rsidR="005D7646" w:rsidRPr="00F532B8" w:rsidRDefault="005D7646" w:rsidP="005D7646">
      <w:pPr>
        <w:tabs>
          <w:tab w:val="left" w:pos="851"/>
        </w:tabs>
        <w:ind w:left="851" w:right="1042"/>
        <w:jc w:val="both"/>
        <w:rPr>
          <w:rFonts w:ascii="Palatino Linotype" w:hAnsi="Palatino Linotype"/>
          <w:b/>
          <w:i/>
          <w:sz w:val="22"/>
          <w:szCs w:val="22"/>
        </w:rPr>
      </w:pPr>
      <w:r w:rsidRPr="00F532B8">
        <w:rPr>
          <w:rFonts w:ascii="Palatino Linotype" w:hAnsi="Palatino Linotype"/>
          <w:i/>
          <w:sz w:val="22"/>
          <w:szCs w:val="22"/>
        </w:rPr>
        <w:t xml:space="preserve">II. </w:t>
      </w:r>
      <w:r w:rsidRPr="00F532B8">
        <w:rPr>
          <w:rFonts w:ascii="Palatino Linotype" w:hAnsi="Palatino Linotype"/>
          <w:b/>
          <w:i/>
          <w:sz w:val="22"/>
          <w:szCs w:val="22"/>
        </w:rPr>
        <w:t xml:space="preserve">Contar con la solicitud del bien requerido por la unidad administrativa; El titular del área que otorga el bien elaborará un oficio de aceptación por el comodato del bien, anotando todas las características de identificación, número de inventario y nombre de la persona que tiene bajo su resguardo dicho bien; </w:t>
      </w:r>
    </w:p>
    <w:p w14:paraId="2E07F152" w14:textId="77777777" w:rsidR="005D7646" w:rsidRPr="00F532B8" w:rsidRDefault="005D7646" w:rsidP="005D7646">
      <w:pPr>
        <w:tabs>
          <w:tab w:val="left" w:pos="851"/>
        </w:tabs>
        <w:ind w:left="851" w:right="1042"/>
        <w:jc w:val="both"/>
        <w:rPr>
          <w:rFonts w:ascii="Palatino Linotype" w:hAnsi="Palatino Linotype"/>
          <w:i/>
          <w:sz w:val="22"/>
          <w:szCs w:val="22"/>
        </w:rPr>
      </w:pPr>
    </w:p>
    <w:p w14:paraId="01C1A984" w14:textId="77777777" w:rsidR="005D7646" w:rsidRPr="00F532B8" w:rsidRDefault="005D7646" w:rsidP="005D7646">
      <w:pPr>
        <w:tabs>
          <w:tab w:val="left" w:pos="851"/>
        </w:tabs>
        <w:ind w:left="851" w:right="1042"/>
        <w:jc w:val="both"/>
        <w:rPr>
          <w:rFonts w:ascii="Palatino Linotype" w:hAnsi="Palatino Linotype"/>
          <w:i/>
          <w:sz w:val="22"/>
          <w:szCs w:val="22"/>
        </w:rPr>
      </w:pPr>
      <w:r w:rsidRPr="00F532B8">
        <w:rPr>
          <w:rFonts w:ascii="Palatino Linotype" w:hAnsi="Palatino Linotype"/>
          <w:i/>
          <w:sz w:val="22"/>
          <w:szCs w:val="22"/>
        </w:rPr>
        <w:t>III. Acta administrativa firmada por el comité, que avale la aceptación del comodato;</w:t>
      </w:r>
    </w:p>
    <w:p w14:paraId="7D90CE71" w14:textId="77777777" w:rsidR="005D7646" w:rsidRPr="00F532B8" w:rsidRDefault="005D7646" w:rsidP="005D7646">
      <w:pPr>
        <w:tabs>
          <w:tab w:val="left" w:pos="851"/>
        </w:tabs>
        <w:ind w:left="851" w:right="1042"/>
        <w:jc w:val="both"/>
        <w:rPr>
          <w:rFonts w:ascii="Palatino Linotype" w:hAnsi="Palatino Linotype"/>
          <w:i/>
          <w:sz w:val="22"/>
          <w:szCs w:val="22"/>
        </w:rPr>
      </w:pPr>
    </w:p>
    <w:p w14:paraId="374CCCAD" w14:textId="77777777" w:rsidR="005D7646" w:rsidRPr="00F532B8" w:rsidRDefault="005D7646" w:rsidP="005D7646">
      <w:pPr>
        <w:tabs>
          <w:tab w:val="left" w:pos="851"/>
        </w:tabs>
        <w:ind w:left="851" w:right="1042"/>
        <w:jc w:val="both"/>
        <w:rPr>
          <w:rFonts w:ascii="Palatino Linotype" w:hAnsi="Palatino Linotype"/>
          <w:b/>
          <w:i/>
          <w:sz w:val="22"/>
          <w:szCs w:val="22"/>
        </w:rPr>
      </w:pPr>
      <w:r w:rsidRPr="00F532B8">
        <w:rPr>
          <w:rFonts w:ascii="Palatino Linotype" w:hAnsi="Palatino Linotype"/>
          <w:b/>
          <w:i/>
          <w:sz w:val="22"/>
          <w:szCs w:val="22"/>
        </w:rPr>
        <w:t xml:space="preserve">IV. Acta administrativa en la que se hará constar la transferencia del bien, así como las características y datos de identificación, levantada por el titular del órgano de control interno; </w:t>
      </w:r>
    </w:p>
    <w:p w14:paraId="1854CA90" w14:textId="77777777" w:rsidR="005D7646" w:rsidRPr="00F532B8" w:rsidRDefault="005D7646" w:rsidP="005D7646">
      <w:pPr>
        <w:tabs>
          <w:tab w:val="left" w:pos="851"/>
        </w:tabs>
        <w:ind w:left="851" w:right="1042"/>
        <w:jc w:val="both"/>
        <w:rPr>
          <w:rFonts w:ascii="Palatino Linotype" w:hAnsi="Palatino Linotype"/>
          <w:i/>
          <w:sz w:val="22"/>
          <w:szCs w:val="22"/>
        </w:rPr>
      </w:pPr>
    </w:p>
    <w:p w14:paraId="07EBB542" w14:textId="77777777" w:rsidR="005D7646" w:rsidRPr="00F532B8" w:rsidRDefault="005D7646" w:rsidP="005D7646">
      <w:pPr>
        <w:tabs>
          <w:tab w:val="left" w:pos="851"/>
        </w:tabs>
        <w:ind w:left="851" w:right="1042"/>
        <w:jc w:val="both"/>
        <w:rPr>
          <w:rFonts w:ascii="Palatino Linotype" w:hAnsi="Palatino Linotype"/>
          <w:b/>
          <w:i/>
          <w:sz w:val="22"/>
          <w:szCs w:val="22"/>
          <w:u w:val="single"/>
        </w:rPr>
      </w:pPr>
      <w:r w:rsidRPr="00F532B8">
        <w:rPr>
          <w:rFonts w:ascii="Palatino Linotype" w:hAnsi="Palatino Linotype"/>
          <w:b/>
          <w:i/>
          <w:sz w:val="22"/>
          <w:szCs w:val="22"/>
          <w:u w:val="single"/>
        </w:rPr>
        <w:t xml:space="preserve">V. Informe del titular de la unidad administrativa al secretario del ayuntamiento para que éste lleve a cabo la actualización del resguardo de los bienes y del inventario; y </w:t>
      </w:r>
    </w:p>
    <w:p w14:paraId="78954844" w14:textId="77777777" w:rsidR="005D7646" w:rsidRPr="00F532B8" w:rsidRDefault="005D7646" w:rsidP="005D7646">
      <w:pPr>
        <w:tabs>
          <w:tab w:val="left" w:pos="851"/>
        </w:tabs>
        <w:ind w:left="851" w:right="1042"/>
        <w:jc w:val="both"/>
        <w:rPr>
          <w:rFonts w:ascii="Palatino Linotype" w:hAnsi="Palatino Linotype"/>
          <w:i/>
          <w:sz w:val="22"/>
          <w:szCs w:val="22"/>
        </w:rPr>
      </w:pPr>
    </w:p>
    <w:p w14:paraId="120247C0" w14:textId="77777777" w:rsidR="005D7646" w:rsidRPr="00F532B8" w:rsidRDefault="005D7646" w:rsidP="005D7646">
      <w:pPr>
        <w:tabs>
          <w:tab w:val="left" w:pos="851"/>
        </w:tabs>
        <w:ind w:left="851" w:right="1042"/>
        <w:jc w:val="both"/>
        <w:rPr>
          <w:rFonts w:ascii="Palatino Linotype" w:eastAsia="MS Mincho" w:hAnsi="Palatino Linotype"/>
          <w:b/>
          <w:i/>
          <w:sz w:val="22"/>
          <w:szCs w:val="22"/>
          <w:lang w:val="es-ES_tradnl" w:eastAsia="es-ES"/>
        </w:rPr>
      </w:pPr>
      <w:r w:rsidRPr="00F532B8">
        <w:rPr>
          <w:rFonts w:ascii="Palatino Linotype" w:hAnsi="Palatino Linotype"/>
          <w:b/>
          <w:i/>
          <w:sz w:val="22"/>
          <w:szCs w:val="22"/>
        </w:rPr>
        <w:t>VI. Registro en el inventario y en el libro especial.</w:t>
      </w:r>
    </w:p>
    <w:p w14:paraId="7C874BB7" w14:textId="77777777" w:rsidR="00AC60E1" w:rsidRPr="00F532B8" w:rsidRDefault="005D7646" w:rsidP="00EF5B4D">
      <w:pPr>
        <w:spacing w:before="100" w:beforeAutospacing="1" w:after="100" w:afterAutospacing="1"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lastRenderedPageBreak/>
        <w:t xml:space="preserve">Como puede observarse es responsabilidad del Secretario del Ayuntamiento el llevar a cabo la actualización y resguardo de los bienes y del inventario de los mismos; por lo que de haberse celebrado algún contrato de comodato entre el Sistema Municipal DIF de Metepec y </w:t>
      </w:r>
      <w:r w:rsidRPr="00F532B8">
        <w:rPr>
          <w:rFonts w:ascii="Palatino Linotype" w:eastAsia="Palatino Linotype" w:hAnsi="Palatino Linotype" w:cs="Palatino Linotype"/>
          <w:b/>
        </w:rPr>
        <w:t xml:space="preserve">EL SUJETO OBLIGADO </w:t>
      </w:r>
      <w:r w:rsidRPr="00F532B8">
        <w:rPr>
          <w:rFonts w:ascii="Palatino Linotype" w:eastAsia="Palatino Linotype" w:hAnsi="Palatino Linotype" w:cs="Palatino Linotype"/>
        </w:rPr>
        <w:t xml:space="preserve">es el Secretario del Ayuntamiento el servidor público responsable de conocer </w:t>
      </w:r>
      <w:r w:rsidR="00D22518" w:rsidRPr="00F532B8">
        <w:rPr>
          <w:rFonts w:ascii="Palatino Linotype" w:eastAsia="Palatino Linotype" w:hAnsi="Palatino Linotype" w:cs="Palatino Linotype"/>
        </w:rPr>
        <w:t>de esa información, aunado a que como lo señaló el particular en sus razones o motivos de inconformidad quien emitió la respuesta y a quien se turnó la solicitud de información fue directamente el Titular de la Unidad de Transparencia por lo que evidentemente carece de certeza jurídica dicha respuesta.</w:t>
      </w:r>
    </w:p>
    <w:p w14:paraId="6D70A9CF" w14:textId="77777777" w:rsidR="00D22518" w:rsidRPr="00F532B8" w:rsidRDefault="00D22518" w:rsidP="00EF5B4D">
      <w:pPr>
        <w:spacing w:before="100" w:beforeAutospacing="1" w:after="100" w:afterAutospacing="1"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Así, conviene recordar que la Ley Orgánica Municipal del Estado de México en su artículo 91, establece las atribuciones generales de los Secretarios de los Ayuntamientos siendo entre otras las siguientes:</w:t>
      </w:r>
    </w:p>
    <w:p w14:paraId="162F4DA2" w14:textId="77777777" w:rsidR="00D22518" w:rsidRPr="00F532B8" w:rsidRDefault="00D22518" w:rsidP="00D22518">
      <w:pPr>
        <w:ind w:left="851" w:right="1183"/>
        <w:jc w:val="both"/>
        <w:rPr>
          <w:rFonts w:ascii="Palatino Linotype" w:eastAsia="Palatino Linotype" w:hAnsi="Palatino Linotype" w:cs="Palatino Linotype"/>
          <w:i/>
          <w:sz w:val="22"/>
          <w:szCs w:val="22"/>
        </w:rPr>
      </w:pPr>
      <w:r w:rsidRPr="00F532B8">
        <w:rPr>
          <w:rFonts w:ascii="Palatino Linotype" w:hAnsi="Palatino Linotype"/>
          <w:i/>
          <w:sz w:val="22"/>
          <w:szCs w:val="22"/>
        </w:rPr>
        <w:t>“</w:t>
      </w:r>
      <w:r w:rsidRPr="00F532B8">
        <w:rPr>
          <w:rFonts w:ascii="Palatino Linotype" w:hAnsi="Palatino Linotype"/>
          <w:b/>
          <w:i/>
          <w:sz w:val="22"/>
          <w:szCs w:val="22"/>
        </w:rPr>
        <w:t>Artículo 91.-</w:t>
      </w:r>
      <w:r w:rsidRPr="00F532B8">
        <w:rPr>
          <w:rFonts w:ascii="Palatino Linotype" w:hAnsi="Palatino Linotype"/>
          <w:i/>
          <w:sz w:val="22"/>
          <w:szCs w:val="22"/>
        </w:rPr>
        <w:t xml:space="preserve"> </w:t>
      </w:r>
      <w:r w:rsidRPr="00F532B8">
        <w:rPr>
          <w:rFonts w:ascii="Palatino Linotype" w:hAnsi="Palatino Linotype"/>
          <w:b/>
          <w:i/>
          <w:sz w:val="22"/>
          <w:szCs w:val="22"/>
        </w:rPr>
        <w:t>La Secretaría del Ayuntamiento estará a cargo de un Secretario, el que, sin ser miembro del mismo</w:t>
      </w:r>
      <w:r w:rsidRPr="00F532B8">
        <w:rPr>
          <w:rFonts w:ascii="Palatino Linotype" w:hAnsi="Palatino Linotype"/>
          <w:i/>
          <w:sz w:val="22"/>
          <w:szCs w:val="22"/>
        </w:rPr>
        <w:t>, deberá ser nombrado por el propio Ayuntamiento a propuesta del Presidente Municipal como lo marca el artículo 31 de la presente ley. Sus faltas temporales serán cubiertas por quien designe el Ayuntamiento y sus atribuciones son las siguientes:</w:t>
      </w:r>
    </w:p>
    <w:p w14:paraId="2FC1F4D4" w14:textId="77777777" w:rsidR="00AC60E1" w:rsidRPr="00F532B8" w:rsidRDefault="00D22518" w:rsidP="00D22518">
      <w:pPr>
        <w:ind w:left="851" w:right="1183"/>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w:t>
      </w:r>
    </w:p>
    <w:p w14:paraId="3EDA2C9A" w14:textId="77777777" w:rsidR="00D22518" w:rsidRPr="00F532B8" w:rsidRDefault="00D22518" w:rsidP="00D22518">
      <w:pPr>
        <w:ind w:left="851" w:right="1183"/>
        <w:jc w:val="both"/>
        <w:rPr>
          <w:rFonts w:ascii="Palatino Linotype" w:hAnsi="Palatino Linotype"/>
          <w:i/>
          <w:sz w:val="22"/>
          <w:szCs w:val="22"/>
        </w:rPr>
      </w:pPr>
      <w:r w:rsidRPr="00F532B8">
        <w:rPr>
          <w:rFonts w:ascii="Palatino Linotype" w:hAnsi="Palatino Linotype"/>
          <w:b/>
          <w:i/>
          <w:sz w:val="22"/>
          <w:szCs w:val="22"/>
        </w:rPr>
        <w:t>XI.</w:t>
      </w:r>
      <w:r w:rsidRPr="00F532B8">
        <w:rPr>
          <w:rFonts w:ascii="Palatino Linotype" w:hAnsi="Palatino Linotype"/>
          <w:i/>
          <w:sz w:val="22"/>
          <w:szCs w:val="22"/>
        </w:rPr>
        <w:t xml:space="preserve"> </w:t>
      </w:r>
      <w:r w:rsidRPr="00F532B8">
        <w:rPr>
          <w:rFonts w:ascii="Palatino Linotype" w:hAnsi="Palatino Linotype"/>
          <w:b/>
          <w:i/>
          <w:sz w:val="22"/>
          <w:szCs w:val="22"/>
        </w:rPr>
        <w:t>Elaborar con la intervención del síndico el inventario general de los bienes muebles e inmuebles municipales</w:t>
      </w:r>
      <w:r w:rsidRPr="00F532B8">
        <w:rPr>
          <w:rFonts w:ascii="Palatino Linotype" w:hAnsi="Palatino Linotype"/>
          <w:i/>
          <w:sz w:val="22"/>
          <w:szCs w:val="22"/>
        </w:rPr>
        <w:t xml:space="preserve">,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52EDE3A4" w14:textId="77777777" w:rsidR="00D22518" w:rsidRPr="00F532B8" w:rsidRDefault="00D22518" w:rsidP="00D22518">
      <w:pPr>
        <w:ind w:left="851" w:right="1183"/>
        <w:jc w:val="both"/>
        <w:rPr>
          <w:rFonts w:ascii="Palatino Linotype" w:hAnsi="Palatino Linotype"/>
          <w:i/>
          <w:sz w:val="22"/>
          <w:szCs w:val="22"/>
        </w:rPr>
      </w:pPr>
    </w:p>
    <w:p w14:paraId="0B42E04D" w14:textId="77777777" w:rsidR="00D22518" w:rsidRPr="00F532B8" w:rsidRDefault="00D22518" w:rsidP="00D22518">
      <w:pPr>
        <w:ind w:left="851" w:right="1183"/>
        <w:jc w:val="both"/>
        <w:rPr>
          <w:rFonts w:ascii="Palatino Linotype" w:hAnsi="Palatino Linotype"/>
          <w:i/>
          <w:sz w:val="22"/>
          <w:szCs w:val="22"/>
        </w:rPr>
      </w:pPr>
      <w:r w:rsidRPr="00F532B8">
        <w:rPr>
          <w:rFonts w:ascii="Palatino Linotype" w:hAnsi="Palatino Linotype"/>
          <w:b/>
          <w:i/>
          <w:sz w:val="22"/>
          <w:szCs w:val="22"/>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w:t>
      </w:r>
      <w:r w:rsidRPr="00F532B8">
        <w:rPr>
          <w:rFonts w:ascii="Palatino Linotype" w:hAnsi="Palatino Linotype"/>
          <w:b/>
          <w:i/>
          <w:sz w:val="22"/>
          <w:szCs w:val="22"/>
          <w:u w:val="single"/>
        </w:rPr>
        <w:t>y presentar un informe trimestral al cabildo para su conocimiento y opinión</w:t>
      </w:r>
      <w:r w:rsidRPr="00F532B8">
        <w:rPr>
          <w:rFonts w:ascii="Palatino Linotype" w:hAnsi="Palatino Linotype"/>
          <w:i/>
          <w:sz w:val="22"/>
          <w:szCs w:val="22"/>
        </w:rPr>
        <w:t xml:space="preserve">.” </w:t>
      </w:r>
    </w:p>
    <w:p w14:paraId="1FA395A8" w14:textId="77777777" w:rsidR="00D22518" w:rsidRPr="00F532B8" w:rsidRDefault="00D22518" w:rsidP="00D22518">
      <w:pPr>
        <w:ind w:left="851" w:right="1183"/>
        <w:jc w:val="both"/>
        <w:rPr>
          <w:rFonts w:ascii="Palatino Linotype" w:eastAsia="Palatino Linotype" w:hAnsi="Palatino Linotype" w:cs="Palatino Linotype"/>
          <w:i/>
          <w:sz w:val="22"/>
          <w:szCs w:val="22"/>
        </w:rPr>
      </w:pPr>
      <w:r w:rsidRPr="00F532B8">
        <w:rPr>
          <w:rFonts w:ascii="Palatino Linotype" w:hAnsi="Palatino Linotype"/>
          <w:i/>
          <w:sz w:val="22"/>
          <w:szCs w:val="22"/>
        </w:rPr>
        <w:t>(Énfasis añadido)</w:t>
      </w:r>
    </w:p>
    <w:p w14:paraId="61B123E6" w14:textId="77777777" w:rsidR="00930DDD" w:rsidRPr="00F532B8" w:rsidRDefault="00930DDD" w:rsidP="00930DDD">
      <w:pPr>
        <w:spacing w:before="100" w:beforeAutospacing="1" w:after="100" w:afterAutospacing="1" w:line="360" w:lineRule="auto"/>
        <w:jc w:val="both"/>
        <w:rPr>
          <w:rFonts w:ascii="Palatino Linotype" w:hAnsi="Palatino Linotype" w:cs="Arial"/>
          <w:b/>
          <w:u w:val="single"/>
        </w:rPr>
      </w:pPr>
      <w:r w:rsidRPr="00F532B8">
        <w:rPr>
          <w:rFonts w:ascii="Palatino Linotype" w:hAnsi="Palatino Linotype" w:cs="Arial"/>
        </w:rPr>
        <w:lastRenderedPageBreak/>
        <w:t xml:space="preserve">Dicho lo anterior, es importante destacar que el Titular de la Unidad de Transparencia debió turnar la solicitud a todas las unidades administrativas competentes que pudiesen contar con la información o deban tenerla de acuerdo a sus facultades, competencias y funciones, </w:t>
      </w:r>
      <w:r w:rsidRPr="00F532B8">
        <w:rPr>
          <w:rFonts w:ascii="Palatino Linotype" w:hAnsi="Palatino Linotype" w:cs="Arial"/>
          <w:b/>
          <w:u w:val="single"/>
        </w:rPr>
        <w:t>con el objeto de que realicen una búsqueda exhaustiva y razonable de la información solicitada.</w:t>
      </w:r>
    </w:p>
    <w:p w14:paraId="63BB0E89" w14:textId="77777777" w:rsidR="00930DDD" w:rsidRPr="00F532B8" w:rsidRDefault="00930DDD" w:rsidP="00930DDD">
      <w:pPr>
        <w:spacing w:before="100" w:beforeAutospacing="1" w:after="100" w:afterAutospacing="1" w:line="360" w:lineRule="auto"/>
        <w:jc w:val="both"/>
        <w:rPr>
          <w:rFonts w:ascii="Palatino Linotype" w:hAnsi="Palatino Linotype" w:cs="Arial"/>
        </w:rPr>
      </w:pPr>
      <w:r w:rsidRPr="00F532B8">
        <w:rPr>
          <w:rFonts w:ascii="Palatino Linotype" w:hAnsi="Palatino Linotype" w:cs="Arial"/>
          <w:lang w:val="es-ES"/>
        </w:rPr>
        <w:t xml:space="preserve">Es de señalar, que </w:t>
      </w:r>
      <w:r w:rsidRPr="00F532B8">
        <w:rPr>
          <w:rFonts w:ascii="Palatino Linotype" w:hAnsi="Palatino Linotype"/>
          <w:color w:val="000000"/>
          <w:lang w:val="es-ES" w:eastAsia="en-US"/>
        </w:rPr>
        <w:t xml:space="preserve">el </w:t>
      </w:r>
      <w:r w:rsidRPr="00F532B8">
        <w:rPr>
          <w:rFonts w:ascii="Palatino Linotype" w:hAnsi="Palatino Linotype"/>
          <w:color w:val="222222"/>
          <w:shd w:val="clear" w:color="auto" w:fill="FFFFFF"/>
          <w:lang w:val="es-ES"/>
        </w:rPr>
        <w:t xml:space="preserve">Titular de la Unidad de Transparencia </w:t>
      </w:r>
      <w:r w:rsidRPr="00F532B8">
        <w:rPr>
          <w:rFonts w:ascii="Palatino Linotype" w:hAnsi="Palatino Linotype" w:cs="Arial"/>
          <w:lang w:val="es-ES"/>
        </w:rPr>
        <w:t>no siguió a cabalidad el procedimiento de acceso a la información previsto en el artículo 162 de la Ley de Transparencia y Acceso a la Información Pública del Estado de México y Municipios, esto dado que no turnó al área administrativa competente que pudiese contar con la información o deba tenerla de acuerdo a sus facultades, competencias y funciones; con el objeto de que realice una búsqueda exhaustiva y razonable de la información solicitada.</w:t>
      </w:r>
    </w:p>
    <w:p w14:paraId="1A2991C3" w14:textId="77777777" w:rsidR="00930DDD" w:rsidRPr="00F532B8" w:rsidRDefault="00930DDD" w:rsidP="00930DDD">
      <w:pPr>
        <w:tabs>
          <w:tab w:val="left" w:pos="709"/>
        </w:tabs>
        <w:spacing w:before="100" w:beforeAutospacing="1" w:after="100" w:afterAutospacing="1" w:line="360" w:lineRule="auto"/>
        <w:jc w:val="both"/>
        <w:rPr>
          <w:rFonts w:ascii="Palatino Linotype" w:eastAsia="Arial Unicode MS" w:hAnsi="Palatino Linotype" w:cs="Arial"/>
        </w:rPr>
      </w:pPr>
      <w:r w:rsidRPr="00F532B8">
        <w:rPr>
          <w:rFonts w:ascii="Palatino Linotype" w:hAnsi="Palatino Linotype" w:cs="Arial"/>
        </w:rPr>
        <w:t xml:space="preserve">Bajo ese tenor, es importante hacer del conocimiento de las partes que </w:t>
      </w:r>
      <w:r w:rsidRPr="00F532B8">
        <w:rPr>
          <w:rFonts w:ascii="Palatino Linotype" w:hAnsi="Palatino Linotype" w:cs="Arial"/>
          <w:b/>
        </w:rPr>
        <w:t xml:space="preserve">EL SUJETO OBLIGADO </w:t>
      </w:r>
      <w:r w:rsidRPr="00F532B8">
        <w:rPr>
          <w:rFonts w:ascii="Palatino Linotype" w:hAnsi="Palatino Linotype" w:cs="Arial"/>
        </w:rPr>
        <w:t xml:space="preserve">deberá realizar una nueva búsqueda exhaustiva y razonable de la información solicitada con la finalidad de determinar si esta fue o no generada por el mismo; para ello, deberá seguir puntualmente el procedimiento siguiente: </w:t>
      </w:r>
      <w:r w:rsidRPr="00F532B8">
        <w:rPr>
          <w:rFonts w:ascii="Palatino Linotype" w:eastAsia="Arial Unicode MS" w:hAnsi="Palatino Linotype" w:cs="Arial"/>
        </w:rPr>
        <w:t>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47C9A035" w14:textId="77777777" w:rsidR="00930DDD" w:rsidRPr="00F532B8" w:rsidRDefault="00930DDD" w:rsidP="00930DDD">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bCs/>
          <w:lang w:val="es-ES"/>
        </w:rPr>
      </w:pPr>
      <w:r w:rsidRPr="00F532B8">
        <w:rPr>
          <w:rFonts w:ascii="Palatino Linotype" w:hAnsi="Palatino Linotype"/>
          <w:bCs/>
          <w:lang w:val="es-ES"/>
        </w:rPr>
        <w:t>En este mismo orden ideas, el derecho de acceso a la información pública y el procedimiento para su acceso debe ser claro y preciso, a fin de dotar de certeza jurídica a todas las respuestas proporcionadas por los Sujetos Obligados.</w:t>
      </w:r>
    </w:p>
    <w:p w14:paraId="1D13FE34" w14:textId="77777777" w:rsidR="00930DDD" w:rsidRPr="00F532B8" w:rsidRDefault="00930DDD" w:rsidP="00930DDD">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color w:val="000000" w:themeColor="text1"/>
        </w:rPr>
      </w:pPr>
      <w:r w:rsidRPr="00F532B8">
        <w:rPr>
          <w:rFonts w:ascii="Palatino Linotype" w:eastAsia="Arial Unicode MS" w:hAnsi="Palatino Linotype" w:cs="Arial"/>
          <w:color w:val="000000" w:themeColor="text1"/>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30BC86A" w14:textId="77777777" w:rsidR="00930DDD" w:rsidRPr="00F532B8" w:rsidRDefault="00930DDD" w:rsidP="00930DDD">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color w:val="000000" w:themeColor="text1"/>
        </w:rPr>
      </w:pPr>
      <w:r w:rsidRPr="00F532B8">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1454D7" w14:textId="77777777" w:rsidR="00930DDD" w:rsidRPr="00F532B8" w:rsidRDefault="00930DDD" w:rsidP="00930DDD">
      <w:pPr>
        <w:spacing w:before="100" w:beforeAutospacing="1" w:after="100" w:afterAutospacing="1" w:line="360" w:lineRule="auto"/>
        <w:jc w:val="both"/>
        <w:rPr>
          <w:rFonts w:ascii="Palatino Linotype" w:hAnsi="Palatino Linotype" w:cs="Arial"/>
          <w:color w:val="000000" w:themeColor="text1"/>
        </w:rPr>
      </w:pPr>
      <w:r w:rsidRPr="00F532B8">
        <w:rPr>
          <w:rFonts w:ascii="Palatino Linotype" w:hAnsi="Palatino Linotype" w:cs="Arial"/>
          <w:color w:val="000000" w:themeColor="text1"/>
        </w:rPr>
        <w:t>Asimismo, el diverso artículo 54 de la Ley de Transparencia y Acceso a la Información Pública del Estado de México y Municipios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50776C7" w14:textId="77777777" w:rsidR="00930DDD" w:rsidRPr="00F532B8" w:rsidRDefault="00930DDD" w:rsidP="00930DDD">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color w:val="000000" w:themeColor="text1"/>
        </w:rPr>
      </w:pPr>
      <w:r w:rsidRPr="00F532B8">
        <w:rPr>
          <w:rFonts w:ascii="Palatino Linotype" w:eastAsia="Arial Unicode MS" w:hAnsi="Palatino Linotype" w:cs="Arial"/>
          <w:color w:val="000000" w:themeColor="text1"/>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A646C63" w14:textId="77777777" w:rsidR="00930DDD" w:rsidRPr="00F532B8" w:rsidRDefault="00930DDD" w:rsidP="00930DDD">
      <w:pPr>
        <w:spacing w:before="100" w:beforeAutospacing="1" w:after="100" w:afterAutospacing="1" w:line="360" w:lineRule="auto"/>
        <w:jc w:val="both"/>
        <w:rPr>
          <w:rFonts w:ascii="Palatino Linotype" w:hAnsi="Palatino Linotype" w:cs="Arial"/>
          <w:color w:val="000000" w:themeColor="text1"/>
        </w:rPr>
      </w:pPr>
      <w:r w:rsidRPr="00F532B8">
        <w:rPr>
          <w:rFonts w:ascii="Palatino Linotype" w:hAnsi="Palatino Linotype" w:cs="Arial"/>
          <w:color w:val="000000" w:themeColor="text1"/>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99EDF5D" w14:textId="77777777" w:rsidR="00930DDD" w:rsidRPr="00F532B8" w:rsidRDefault="00930DDD" w:rsidP="00930DDD">
      <w:pPr>
        <w:ind w:left="851" w:right="902"/>
        <w:jc w:val="both"/>
        <w:rPr>
          <w:rFonts w:ascii="Palatino Linotype" w:hAnsi="Palatino Linotype"/>
          <w:i/>
          <w:color w:val="000000" w:themeColor="text1"/>
          <w:sz w:val="22"/>
        </w:rPr>
      </w:pPr>
      <w:r w:rsidRPr="00F532B8">
        <w:rPr>
          <w:rFonts w:ascii="Palatino Linotype" w:hAnsi="Palatino Linotype"/>
          <w:i/>
          <w:color w:val="000000" w:themeColor="text1"/>
          <w:sz w:val="22"/>
        </w:rPr>
        <w:t>“</w:t>
      </w:r>
      <w:r w:rsidRPr="00F532B8">
        <w:rPr>
          <w:rFonts w:ascii="Palatino Linotype" w:hAnsi="Palatino Linotype"/>
          <w:b/>
          <w:i/>
          <w:color w:val="000000" w:themeColor="text1"/>
          <w:sz w:val="22"/>
        </w:rPr>
        <w:t>Artículo 163. La Unidad de Transparencia deberá notificar la respuesta a la solicitud al interesado en el menor tiempo posible, que no podrá exceder de quince días hábiles</w:t>
      </w:r>
      <w:r w:rsidRPr="00F532B8">
        <w:rPr>
          <w:rFonts w:ascii="Palatino Linotype" w:hAnsi="Palatino Linotype"/>
          <w:i/>
          <w:color w:val="000000" w:themeColor="text1"/>
          <w:sz w:val="22"/>
        </w:rPr>
        <w:t xml:space="preserve">, contados a partir del día siguiente a la presentación de aquélla. </w:t>
      </w:r>
    </w:p>
    <w:p w14:paraId="0EEBE4FB" w14:textId="77777777" w:rsidR="00930DDD" w:rsidRPr="00F532B8" w:rsidRDefault="00930DDD" w:rsidP="00930DDD">
      <w:pPr>
        <w:ind w:left="851" w:right="902"/>
        <w:jc w:val="both"/>
        <w:rPr>
          <w:rFonts w:ascii="Palatino Linotype" w:hAnsi="Palatino Linotype"/>
          <w:i/>
          <w:color w:val="000000" w:themeColor="text1"/>
          <w:sz w:val="22"/>
        </w:rPr>
      </w:pPr>
      <w:r w:rsidRPr="00F532B8">
        <w:rPr>
          <w:rFonts w:ascii="Palatino Linotype" w:hAnsi="Palatino Linotype"/>
          <w:i/>
          <w:color w:val="000000" w:themeColor="text1"/>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ABC1DC5" w14:textId="77777777" w:rsidR="00930DDD" w:rsidRPr="00F532B8" w:rsidRDefault="00930DDD" w:rsidP="00930DDD">
      <w:pPr>
        <w:ind w:left="851" w:right="902"/>
        <w:jc w:val="both"/>
        <w:rPr>
          <w:rFonts w:ascii="Palatino Linotype" w:hAnsi="Palatino Linotype"/>
          <w:color w:val="000000" w:themeColor="text1"/>
          <w:sz w:val="22"/>
        </w:rPr>
      </w:pPr>
      <w:r w:rsidRPr="00F532B8">
        <w:rPr>
          <w:rFonts w:ascii="Palatino Linotype" w:hAnsi="Palatino Linotype"/>
          <w:color w:val="000000" w:themeColor="text1"/>
          <w:sz w:val="22"/>
        </w:rPr>
        <w:t>(Énfasis añadido.)</w:t>
      </w:r>
    </w:p>
    <w:p w14:paraId="6DCEC4F6" w14:textId="77777777" w:rsidR="00930DDD" w:rsidRPr="00F532B8" w:rsidRDefault="00930DDD" w:rsidP="00930DDD">
      <w:pPr>
        <w:spacing w:before="100" w:beforeAutospacing="1" w:after="100" w:afterAutospacing="1" w:line="360" w:lineRule="auto"/>
        <w:jc w:val="both"/>
        <w:rPr>
          <w:rFonts w:ascii="Palatino Linotype" w:hAnsi="Palatino Linotype"/>
          <w:color w:val="000000" w:themeColor="text1"/>
        </w:rPr>
      </w:pPr>
      <w:r w:rsidRPr="00F532B8">
        <w:rPr>
          <w:rFonts w:ascii="Palatino Linotype" w:hAnsi="Palatino Linotype"/>
          <w:color w:val="000000" w:themeColor="text1"/>
        </w:rPr>
        <w:t>En mérito de lo expuesto, es claro que en este caso en particular la Unidad de Transparencia incumplió la normativa en la materia, puesto que no dio respuesta completa a la solicitud de acceso a la información, limitando el derecho de acceso a la información, accionado por el particular.</w:t>
      </w:r>
    </w:p>
    <w:p w14:paraId="30670CA0" w14:textId="77777777" w:rsidR="00930DDD" w:rsidRPr="00F532B8" w:rsidRDefault="00930DDD" w:rsidP="00930DDD">
      <w:pPr>
        <w:spacing w:before="100" w:beforeAutospacing="1" w:after="100" w:afterAutospacing="1" w:line="360" w:lineRule="auto"/>
        <w:jc w:val="both"/>
        <w:rPr>
          <w:rFonts w:ascii="Palatino Linotype" w:hAnsi="Palatino Linotype"/>
          <w:color w:val="000000" w:themeColor="text1"/>
        </w:rPr>
      </w:pPr>
      <w:r w:rsidRPr="00F532B8">
        <w:rPr>
          <w:rFonts w:ascii="Palatino Linotype" w:hAnsi="Palatino Linotype"/>
          <w:color w:val="000000" w:themeColor="text1"/>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w:t>
      </w:r>
      <w:r w:rsidRPr="00F532B8">
        <w:rPr>
          <w:rFonts w:ascii="Palatino Linotype" w:hAnsi="Palatino Linotype"/>
          <w:color w:val="000000" w:themeColor="text1"/>
        </w:rPr>
        <w:lastRenderedPageBreak/>
        <w:t xml:space="preserve">personas con discapacidad y a los hablantes de lengua indígena con el objeto de otorgar la protección más amplia del derecho de las personas. </w:t>
      </w:r>
    </w:p>
    <w:p w14:paraId="7C5C2851" w14:textId="77777777" w:rsidR="00930DDD" w:rsidRPr="00F532B8" w:rsidRDefault="00930DDD" w:rsidP="00930DDD">
      <w:pPr>
        <w:spacing w:before="100" w:beforeAutospacing="1" w:after="100" w:afterAutospacing="1" w:line="360" w:lineRule="auto"/>
        <w:jc w:val="both"/>
        <w:rPr>
          <w:rFonts w:ascii="Palatino Linotype" w:hAnsi="Palatino Linotype" w:cs="Arial"/>
        </w:rPr>
      </w:pPr>
      <w:r w:rsidRPr="00F532B8">
        <w:rPr>
          <w:rFonts w:ascii="Palatino Linotype" w:hAnsi="Palatino Linotype" w:cs="Arial"/>
        </w:rPr>
        <w:t xml:space="preserve">Es así, que no se desprende que </w:t>
      </w:r>
      <w:r w:rsidRPr="00F532B8">
        <w:rPr>
          <w:rFonts w:ascii="Palatino Linotype" w:hAnsi="Palatino Linotype" w:cs="Arial"/>
          <w:b/>
          <w:bCs/>
        </w:rPr>
        <w:t>EL SUJETO OBLIGADO</w:t>
      </w:r>
      <w:r w:rsidRPr="00F532B8">
        <w:rPr>
          <w:rFonts w:ascii="Palatino Linotype" w:hAnsi="Palatino Linotype" w:cs="Arial"/>
        </w:rPr>
        <w:t xml:space="preserve"> haya desarrollado el procedimiento descrito con antelación, por lo cual no se puede dar por colmado el derecho de acceso accionado; motivo por el cual, se considera dable ordenar al </w:t>
      </w:r>
      <w:r w:rsidRPr="00F532B8">
        <w:rPr>
          <w:rFonts w:ascii="Palatino Linotype" w:hAnsi="Palatino Linotype" w:cs="Arial"/>
          <w:b/>
        </w:rPr>
        <w:t>SUJETO OBLIGADO</w:t>
      </w:r>
      <w:r w:rsidRPr="00F532B8">
        <w:rPr>
          <w:rFonts w:ascii="Palatino Linotype" w:hAnsi="Palatino Linotype" w:cs="Arial"/>
        </w:rPr>
        <w:t xml:space="preserve"> deberá entregar el documento donde consten los bienes en comodato del Ayuntamiento de Metepec, vigente a la fecha de la presentación de la solicitud de información. Por otro lado, de ser el caso de que el Ayuntamiento no tenga bienes en comodato, con el Sistema Municipal para el Desarrollo Integral de la Familia DIF Metepec deberá hacerlo del conocimiento del particular, lo anterior en la versión pública correspondiente.</w:t>
      </w:r>
    </w:p>
    <w:p w14:paraId="7683B597" w14:textId="77777777" w:rsidR="00930DDD" w:rsidRPr="00F532B8" w:rsidRDefault="00930DDD" w:rsidP="00DA525A">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F532B8">
        <w:rPr>
          <w:rFonts w:ascii="Palatino Linotype" w:hAnsi="Palatino Linotype"/>
          <w:color w:val="000000"/>
        </w:rPr>
        <w:t xml:space="preserve">Ahora bien, respecto a la información de la que se ordena su entrega en versión pública, en términos del artículo 143 de la Ley de Transparencia y Acceso a la Información Pública del Estado de México y Municipios, se deberá </w:t>
      </w:r>
      <w:r w:rsidRPr="00F532B8">
        <w:rPr>
          <w:rFonts w:ascii="Palatino Linotype" w:eastAsia="Arial Unicode MS" w:hAnsi="Palatino Linotype" w:cs="Arial"/>
        </w:rPr>
        <w:t>omitir, eliminar o suprimir la</w:t>
      </w:r>
      <w:r w:rsidRPr="00F532B8">
        <w:rPr>
          <w:rFonts w:ascii="Palatino Linotype" w:hAnsi="Palatino Linotype"/>
          <w:color w:val="000000"/>
        </w:rPr>
        <w:t xml:space="preserve"> información </w:t>
      </w:r>
      <w:r w:rsidRPr="00F532B8">
        <w:rPr>
          <w:rFonts w:ascii="Palatino Linotype" w:hAnsi="Palatino Linotype"/>
          <w:b/>
          <w:color w:val="000000"/>
        </w:rPr>
        <w:t>confidencial</w:t>
      </w:r>
      <w:r w:rsidRPr="00F532B8">
        <w:rPr>
          <w:rFonts w:ascii="Palatino Linotype" w:eastAsia="Arial Unicode MS" w:hAnsi="Palatino Linotype" w:cs="Arial"/>
        </w:rPr>
        <w:t xml:space="preserve">. En ese sentido, </w:t>
      </w:r>
      <w:r w:rsidRPr="00F532B8">
        <w:rPr>
          <w:rFonts w:ascii="Palatino Linotype" w:hAnsi="Palatino Linotype" w:cs="Arial"/>
          <w:lang w:val="es-ES_tradnl"/>
        </w:rPr>
        <w:t xml:space="preserve">sólo podrán </w:t>
      </w:r>
      <w:r w:rsidRPr="00F532B8">
        <w:rPr>
          <w:rFonts w:ascii="Palatino Linotype" w:hAnsi="Palatino Linotype" w:cs="Arial"/>
        </w:rPr>
        <w:t>ser</w:t>
      </w:r>
      <w:r w:rsidRPr="00F532B8">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F532B8">
        <w:rPr>
          <w:rFonts w:ascii="Palatino Linotype" w:hAnsi="Palatino Linotype" w:cs="Arial"/>
        </w:rPr>
        <w:t xml:space="preserve"> que el Comité de Transparencia del </w:t>
      </w:r>
      <w:r w:rsidRPr="00F532B8">
        <w:rPr>
          <w:rFonts w:ascii="Palatino Linotype" w:hAnsi="Palatino Linotype" w:cs="Arial"/>
          <w:b/>
        </w:rPr>
        <w:t>SUJETO OBLIGADO</w:t>
      </w:r>
      <w:r w:rsidRPr="00F532B8">
        <w:rPr>
          <w:rFonts w:ascii="Palatino Linotype" w:hAnsi="Palatino Linotype" w:cs="Arial"/>
        </w:rPr>
        <w:t xml:space="preserve"> emita el Acuerdo de Clasificación correspondiente</w:t>
      </w:r>
      <w:r w:rsidRPr="00F532B8">
        <w:rPr>
          <w:rFonts w:ascii="Palatino Linotype" w:hAnsi="Palatino Linotype" w:cs="Arial"/>
          <w:lang w:val="es-ES_tradnl"/>
        </w:rPr>
        <w:t xml:space="preserve"> debidamente fundado y motivado, en el cual se</w:t>
      </w:r>
      <w:r w:rsidRPr="00F532B8">
        <w:rPr>
          <w:rFonts w:ascii="Palatino Linotype" w:hAnsi="Palatino Linotype" w:cs="Arial"/>
        </w:rPr>
        <w:t xml:space="preserve"> sustente la versión pública, </w:t>
      </w:r>
      <w:r w:rsidRPr="00F532B8">
        <w:rPr>
          <w:rFonts w:ascii="Palatino Linotype" w:hAnsi="Palatino Linotype" w:cs="Arial"/>
          <w:lang w:val="es-ES_tradnl"/>
        </w:rPr>
        <w:t xml:space="preserve">en </w:t>
      </w:r>
      <w:r w:rsidRPr="00F532B8">
        <w:rPr>
          <w:rFonts w:ascii="Palatino Linotype" w:hAnsi="Palatino Linotype" w:cs="Arial"/>
          <w:noProof/>
        </w:rPr>
        <w:t>términos</w:t>
      </w:r>
      <w:r w:rsidRPr="00F532B8">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w:t>
      </w:r>
      <w:r w:rsidRPr="00F532B8">
        <w:rPr>
          <w:rFonts w:ascii="Palatino Linotype" w:hAnsi="Palatino Linotype" w:cs="Arial"/>
          <w:lang w:val="es-ES_tradnl"/>
        </w:rPr>
        <w:lastRenderedPageBreak/>
        <w:t>literalmente expresan:</w:t>
      </w:r>
    </w:p>
    <w:p w14:paraId="35DA5FF6" w14:textId="77777777" w:rsidR="00930DDD" w:rsidRPr="00F532B8" w:rsidRDefault="00930DDD" w:rsidP="00DA525A">
      <w:pPr>
        <w:ind w:left="709" w:right="757"/>
        <w:jc w:val="center"/>
        <w:rPr>
          <w:rFonts w:ascii="Palatino Linotype" w:hAnsi="Palatino Linotype" w:cs="Arial"/>
          <w:b/>
          <w:i/>
          <w:sz w:val="22"/>
        </w:rPr>
      </w:pPr>
      <w:r w:rsidRPr="00F532B8">
        <w:rPr>
          <w:rFonts w:ascii="Palatino Linotype" w:hAnsi="Palatino Linotype" w:cs="Arial"/>
          <w:b/>
          <w:i/>
          <w:sz w:val="22"/>
        </w:rPr>
        <w:t>Ley de Transparencia y Acceso a la Información Pública del Estado de México y Municipios</w:t>
      </w:r>
    </w:p>
    <w:p w14:paraId="15A02ED2" w14:textId="77777777" w:rsidR="00930DDD" w:rsidRPr="00F532B8" w:rsidRDefault="00930DDD" w:rsidP="00DA525A">
      <w:pPr>
        <w:ind w:left="709" w:right="757"/>
        <w:jc w:val="center"/>
        <w:rPr>
          <w:rFonts w:ascii="Palatino Linotype" w:hAnsi="Palatino Linotype" w:cs="Arial"/>
          <w:b/>
          <w:i/>
          <w:sz w:val="22"/>
        </w:rPr>
      </w:pPr>
    </w:p>
    <w:p w14:paraId="3D30E895"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i/>
          <w:sz w:val="22"/>
          <w:szCs w:val="22"/>
        </w:rPr>
        <w:t>“</w:t>
      </w:r>
      <w:r w:rsidRPr="00F532B8">
        <w:rPr>
          <w:rFonts w:ascii="Palatino Linotype" w:hAnsi="Palatino Linotype" w:cs="Arial"/>
          <w:b/>
          <w:i/>
          <w:sz w:val="22"/>
          <w:szCs w:val="22"/>
        </w:rPr>
        <w:t xml:space="preserve">Artículo 49. </w:t>
      </w:r>
      <w:r w:rsidRPr="00F532B8">
        <w:rPr>
          <w:rFonts w:ascii="Palatino Linotype" w:hAnsi="Palatino Linotype" w:cs="Arial"/>
          <w:i/>
          <w:sz w:val="22"/>
          <w:szCs w:val="22"/>
        </w:rPr>
        <w:t xml:space="preserve">Los </w:t>
      </w:r>
      <w:r w:rsidRPr="00F532B8">
        <w:rPr>
          <w:rFonts w:ascii="Palatino Linotype" w:hAnsi="Palatino Linotype" w:cs="Arial"/>
          <w:i/>
          <w:sz w:val="22"/>
        </w:rPr>
        <w:t>Comités</w:t>
      </w:r>
      <w:r w:rsidRPr="00F532B8">
        <w:rPr>
          <w:rFonts w:ascii="Palatino Linotype" w:hAnsi="Palatino Linotype" w:cs="Arial"/>
          <w:i/>
          <w:sz w:val="22"/>
          <w:szCs w:val="22"/>
        </w:rPr>
        <w:t xml:space="preserve"> de </w:t>
      </w:r>
      <w:r w:rsidRPr="00F532B8">
        <w:rPr>
          <w:rFonts w:ascii="Palatino Linotype" w:hAnsi="Palatino Linotype" w:cs="Arial"/>
          <w:i/>
          <w:sz w:val="22"/>
        </w:rPr>
        <w:t>Transparencia</w:t>
      </w:r>
      <w:r w:rsidRPr="00F532B8">
        <w:rPr>
          <w:rFonts w:ascii="Palatino Linotype" w:hAnsi="Palatino Linotype" w:cs="Arial"/>
          <w:i/>
          <w:sz w:val="22"/>
          <w:szCs w:val="22"/>
        </w:rPr>
        <w:t xml:space="preserve"> </w:t>
      </w:r>
      <w:r w:rsidRPr="00F532B8">
        <w:rPr>
          <w:rFonts w:ascii="Palatino Linotype" w:hAnsi="Palatino Linotype"/>
          <w:i/>
          <w:sz w:val="22"/>
          <w:szCs w:val="22"/>
        </w:rPr>
        <w:t>tendrán</w:t>
      </w:r>
      <w:r w:rsidRPr="00F532B8">
        <w:rPr>
          <w:rFonts w:ascii="Palatino Linotype" w:hAnsi="Palatino Linotype" w:cs="Arial"/>
          <w:i/>
          <w:sz w:val="22"/>
          <w:szCs w:val="22"/>
        </w:rPr>
        <w:t xml:space="preserve"> las siguientes atribuciones:</w:t>
      </w:r>
    </w:p>
    <w:p w14:paraId="1857821C"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VIII.</w:t>
      </w:r>
      <w:r w:rsidRPr="00F532B8">
        <w:rPr>
          <w:rFonts w:ascii="Palatino Linotype" w:hAnsi="Palatino Linotype" w:cs="Arial"/>
          <w:i/>
          <w:sz w:val="22"/>
          <w:szCs w:val="22"/>
        </w:rPr>
        <w:t xml:space="preserve"> Aprobar, </w:t>
      </w:r>
      <w:r w:rsidRPr="00F532B8">
        <w:rPr>
          <w:rFonts w:ascii="Palatino Linotype" w:hAnsi="Palatino Linotype" w:cs="Arial"/>
          <w:i/>
          <w:sz w:val="22"/>
        </w:rPr>
        <w:t>modificar</w:t>
      </w:r>
      <w:r w:rsidRPr="00F532B8">
        <w:rPr>
          <w:rFonts w:ascii="Palatino Linotype" w:hAnsi="Palatino Linotype" w:cs="Arial"/>
          <w:i/>
          <w:sz w:val="22"/>
          <w:szCs w:val="22"/>
        </w:rPr>
        <w:t xml:space="preserve"> o revocar la clasificación de la información;</w:t>
      </w:r>
    </w:p>
    <w:p w14:paraId="702727D0" w14:textId="77777777" w:rsidR="00930DDD" w:rsidRPr="00F532B8" w:rsidRDefault="00930DDD" w:rsidP="00DA525A">
      <w:pPr>
        <w:autoSpaceDE w:val="0"/>
        <w:autoSpaceDN w:val="0"/>
        <w:adjustRightInd w:val="0"/>
        <w:ind w:left="709" w:right="757"/>
        <w:jc w:val="both"/>
        <w:rPr>
          <w:rFonts w:ascii="Palatino Linotype" w:hAnsi="Palatino Linotype" w:cs="Arial"/>
          <w:b/>
          <w:i/>
          <w:sz w:val="22"/>
          <w:szCs w:val="22"/>
        </w:rPr>
      </w:pPr>
    </w:p>
    <w:p w14:paraId="292F46E2"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Artículo 132.</w:t>
      </w:r>
      <w:r w:rsidRPr="00F532B8">
        <w:rPr>
          <w:rFonts w:ascii="Palatino Linotype" w:hAnsi="Palatino Linotype" w:cs="Arial"/>
          <w:i/>
          <w:sz w:val="22"/>
          <w:szCs w:val="22"/>
        </w:rPr>
        <w:t xml:space="preserve"> La </w:t>
      </w:r>
      <w:r w:rsidRPr="00F532B8">
        <w:rPr>
          <w:rFonts w:ascii="Palatino Linotype" w:hAnsi="Palatino Linotype" w:cs="Arial"/>
          <w:i/>
          <w:sz w:val="22"/>
        </w:rPr>
        <w:t>clasificación</w:t>
      </w:r>
      <w:r w:rsidRPr="00F532B8">
        <w:rPr>
          <w:rFonts w:ascii="Palatino Linotype" w:hAnsi="Palatino Linotype" w:cs="Arial"/>
          <w:i/>
          <w:sz w:val="22"/>
          <w:szCs w:val="22"/>
        </w:rPr>
        <w:t xml:space="preserve"> de la información se llevará a cabo en el momento en que:</w:t>
      </w:r>
    </w:p>
    <w:p w14:paraId="15BF0A5F"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i/>
          <w:sz w:val="22"/>
          <w:szCs w:val="22"/>
        </w:rPr>
        <w:t>[…]</w:t>
      </w:r>
    </w:p>
    <w:p w14:paraId="5CFD8FD0"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II.</w:t>
      </w:r>
      <w:r w:rsidRPr="00F532B8">
        <w:rPr>
          <w:rFonts w:ascii="Palatino Linotype" w:hAnsi="Palatino Linotype" w:cs="Arial"/>
          <w:i/>
          <w:sz w:val="22"/>
          <w:szCs w:val="22"/>
        </w:rPr>
        <w:t xml:space="preserve"> Se determine </w:t>
      </w:r>
      <w:r w:rsidRPr="00F532B8">
        <w:rPr>
          <w:rFonts w:ascii="Palatino Linotype" w:hAnsi="Palatino Linotype" w:cs="Arial"/>
          <w:i/>
          <w:sz w:val="22"/>
        </w:rPr>
        <w:t>mediante</w:t>
      </w:r>
      <w:r w:rsidRPr="00F532B8">
        <w:rPr>
          <w:rFonts w:ascii="Palatino Linotype" w:hAnsi="Palatino Linotype" w:cs="Arial"/>
          <w:i/>
          <w:sz w:val="22"/>
          <w:szCs w:val="22"/>
        </w:rPr>
        <w:t xml:space="preserve"> resolución de autoridad competente; o</w:t>
      </w:r>
    </w:p>
    <w:p w14:paraId="06830C56"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III</w:t>
      </w:r>
      <w:r w:rsidRPr="00F532B8">
        <w:rPr>
          <w:rFonts w:ascii="Palatino Linotype" w:hAnsi="Palatino Linotype" w:cs="Arial"/>
          <w:i/>
          <w:sz w:val="22"/>
          <w:szCs w:val="22"/>
        </w:rPr>
        <w:t xml:space="preserve">. Se generen </w:t>
      </w:r>
      <w:r w:rsidRPr="00F532B8">
        <w:rPr>
          <w:rFonts w:ascii="Palatino Linotype" w:hAnsi="Palatino Linotype" w:cs="Arial"/>
          <w:i/>
          <w:sz w:val="22"/>
        </w:rPr>
        <w:t>versiones</w:t>
      </w:r>
      <w:r w:rsidRPr="00F532B8">
        <w:rPr>
          <w:rFonts w:ascii="Palatino Linotype" w:hAnsi="Palatino Linotype" w:cs="Arial"/>
          <w:i/>
          <w:sz w:val="22"/>
          <w:szCs w:val="22"/>
        </w:rPr>
        <w:t xml:space="preserve"> públicas para dar cumplimiento a las obligaciones de transparencia previstas en esta Ley.”</w:t>
      </w:r>
    </w:p>
    <w:p w14:paraId="6C7CF6B0" w14:textId="77777777" w:rsidR="00930DDD" w:rsidRPr="00F532B8" w:rsidRDefault="00930DDD" w:rsidP="00DA525A">
      <w:pPr>
        <w:ind w:left="709" w:right="757"/>
        <w:jc w:val="center"/>
        <w:rPr>
          <w:rFonts w:ascii="Palatino Linotype" w:hAnsi="Palatino Linotype" w:cs="Arial"/>
          <w:b/>
          <w:i/>
          <w:sz w:val="22"/>
          <w:szCs w:val="22"/>
        </w:rPr>
      </w:pPr>
    </w:p>
    <w:p w14:paraId="1110A7AA" w14:textId="77777777" w:rsidR="00930DDD" w:rsidRPr="00F532B8" w:rsidRDefault="00930DDD" w:rsidP="00DA525A">
      <w:pPr>
        <w:ind w:left="709" w:right="757"/>
        <w:jc w:val="center"/>
        <w:rPr>
          <w:rFonts w:ascii="Palatino Linotype" w:hAnsi="Palatino Linotype" w:cs="Arial"/>
          <w:b/>
          <w:i/>
          <w:sz w:val="22"/>
          <w:szCs w:val="22"/>
        </w:rPr>
      </w:pPr>
      <w:r w:rsidRPr="00F532B8">
        <w:rPr>
          <w:rFonts w:ascii="Palatino Linotype" w:hAnsi="Palatino Linotype" w:cs="Arial"/>
          <w:b/>
          <w:i/>
          <w:sz w:val="22"/>
          <w:szCs w:val="22"/>
        </w:rPr>
        <w:t xml:space="preserve">Lineamientos Generales en materia de Clasificación y Desclasificación de la </w:t>
      </w:r>
      <w:r w:rsidRPr="00F532B8">
        <w:rPr>
          <w:rFonts w:ascii="Palatino Linotype" w:hAnsi="Palatino Linotype" w:cs="Arial"/>
          <w:b/>
          <w:i/>
          <w:sz w:val="22"/>
        </w:rPr>
        <w:t>Información, así como para la elaboración de Versiones Públicas</w:t>
      </w:r>
    </w:p>
    <w:p w14:paraId="46FCE39F"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p>
    <w:p w14:paraId="6EB533CF"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i/>
          <w:sz w:val="22"/>
          <w:szCs w:val="22"/>
        </w:rPr>
        <w:t>“</w:t>
      </w:r>
      <w:r w:rsidRPr="00F532B8">
        <w:rPr>
          <w:rFonts w:ascii="Palatino Linotype" w:hAnsi="Palatino Linotype" w:cs="Arial"/>
          <w:b/>
          <w:i/>
          <w:sz w:val="22"/>
          <w:szCs w:val="22"/>
        </w:rPr>
        <w:t>Segundo.-</w:t>
      </w:r>
      <w:r w:rsidRPr="00F532B8">
        <w:rPr>
          <w:rFonts w:ascii="Palatino Linotype" w:hAnsi="Palatino Linotype" w:cs="Arial"/>
          <w:i/>
          <w:sz w:val="22"/>
          <w:szCs w:val="22"/>
        </w:rPr>
        <w:t xml:space="preserve"> Para </w:t>
      </w:r>
      <w:r w:rsidRPr="00F532B8">
        <w:rPr>
          <w:rFonts w:ascii="Palatino Linotype" w:hAnsi="Palatino Linotype" w:cs="Arial"/>
          <w:i/>
          <w:sz w:val="22"/>
        </w:rPr>
        <w:t>efectos</w:t>
      </w:r>
      <w:r w:rsidRPr="00F532B8">
        <w:rPr>
          <w:rFonts w:ascii="Palatino Linotype" w:hAnsi="Palatino Linotype" w:cs="Arial"/>
          <w:i/>
          <w:sz w:val="22"/>
          <w:szCs w:val="22"/>
        </w:rPr>
        <w:t xml:space="preserve"> de los </w:t>
      </w:r>
      <w:r w:rsidRPr="00F532B8">
        <w:rPr>
          <w:rFonts w:ascii="Palatino Linotype" w:hAnsi="Palatino Linotype" w:cs="Arial"/>
          <w:i/>
          <w:sz w:val="22"/>
        </w:rPr>
        <w:t>presentes</w:t>
      </w:r>
      <w:r w:rsidRPr="00F532B8">
        <w:rPr>
          <w:rFonts w:ascii="Palatino Linotype" w:hAnsi="Palatino Linotype" w:cs="Arial"/>
          <w:i/>
          <w:sz w:val="22"/>
          <w:szCs w:val="22"/>
        </w:rPr>
        <w:t xml:space="preserve"> Lineamientos Generales, se entenderá por:</w:t>
      </w:r>
    </w:p>
    <w:p w14:paraId="38917F5D" w14:textId="77777777" w:rsidR="00930DDD" w:rsidRPr="00F532B8" w:rsidRDefault="00930DDD" w:rsidP="00DA525A">
      <w:pPr>
        <w:autoSpaceDE w:val="0"/>
        <w:autoSpaceDN w:val="0"/>
        <w:adjustRightInd w:val="0"/>
        <w:ind w:left="709" w:right="757"/>
        <w:jc w:val="both"/>
        <w:rPr>
          <w:rFonts w:ascii="Palatino Linotype" w:hAnsi="Palatino Linotype" w:cs="Arial"/>
          <w:b/>
          <w:i/>
          <w:sz w:val="22"/>
          <w:szCs w:val="22"/>
        </w:rPr>
      </w:pPr>
    </w:p>
    <w:p w14:paraId="40CFF3AB"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XVIII.</w:t>
      </w:r>
      <w:r w:rsidRPr="00F532B8">
        <w:rPr>
          <w:rFonts w:ascii="Palatino Linotype" w:hAnsi="Palatino Linotype" w:cs="Arial"/>
          <w:i/>
          <w:sz w:val="22"/>
          <w:szCs w:val="22"/>
        </w:rPr>
        <w:t xml:space="preserve"> </w:t>
      </w:r>
      <w:r w:rsidRPr="00F532B8">
        <w:rPr>
          <w:rFonts w:ascii="Palatino Linotype" w:hAnsi="Palatino Linotype" w:cs="Arial"/>
          <w:b/>
          <w:i/>
          <w:sz w:val="22"/>
          <w:szCs w:val="22"/>
        </w:rPr>
        <w:t>Versión pública:</w:t>
      </w:r>
      <w:r w:rsidRPr="00F532B8">
        <w:rPr>
          <w:rFonts w:ascii="Palatino Linotype" w:hAnsi="Palatino Linotype" w:cs="Arial"/>
          <w:i/>
          <w:sz w:val="22"/>
          <w:szCs w:val="22"/>
        </w:rPr>
        <w:t xml:space="preserve"> El </w:t>
      </w:r>
      <w:r w:rsidRPr="00F532B8">
        <w:rPr>
          <w:rFonts w:ascii="Palatino Linotype" w:hAnsi="Palatino Linotype" w:cs="Arial"/>
          <w:bCs/>
          <w:i/>
          <w:noProof/>
          <w:sz w:val="22"/>
        </w:rPr>
        <w:t>documento</w:t>
      </w:r>
      <w:r w:rsidRPr="00F532B8">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sidRPr="00F532B8">
        <w:rPr>
          <w:rFonts w:ascii="Palatino Linotype" w:hAnsi="Palatino Linotype" w:cs="Arial"/>
          <w:b/>
          <w:i/>
          <w:sz w:val="22"/>
          <w:szCs w:val="22"/>
          <w:u w:val="single"/>
        </w:rPr>
        <w:t>fundando y motivando la</w:t>
      </w:r>
      <w:r w:rsidRPr="00F532B8">
        <w:rPr>
          <w:rFonts w:ascii="Palatino Linotype" w:hAnsi="Palatino Linotype" w:cs="Arial"/>
          <w:i/>
          <w:sz w:val="22"/>
          <w:szCs w:val="22"/>
        </w:rPr>
        <w:t xml:space="preserve"> reserva o </w:t>
      </w:r>
      <w:r w:rsidRPr="00F532B8">
        <w:rPr>
          <w:rFonts w:ascii="Palatino Linotype" w:hAnsi="Palatino Linotype" w:cs="Arial"/>
          <w:b/>
          <w:i/>
          <w:sz w:val="22"/>
          <w:szCs w:val="22"/>
          <w:u w:val="single"/>
        </w:rPr>
        <w:t>confidencialidad</w:t>
      </w:r>
      <w:r w:rsidRPr="00F532B8">
        <w:rPr>
          <w:rFonts w:ascii="Palatino Linotype" w:hAnsi="Palatino Linotype" w:cs="Arial"/>
          <w:i/>
          <w:sz w:val="22"/>
          <w:szCs w:val="22"/>
        </w:rPr>
        <w:t xml:space="preserve">, a través de la resolución que para tal efecto emita el </w:t>
      </w:r>
      <w:r w:rsidRPr="00F532B8">
        <w:rPr>
          <w:rFonts w:ascii="Palatino Linotype" w:hAnsi="Palatino Linotype" w:cs="Arial"/>
          <w:bCs/>
          <w:i/>
          <w:noProof/>
          <w:sz w:val="22"/>
        </w:rPr>
        <w:t>Comité</w:t>
      </w:r>
      <w:r w:rsidRPr="00F532B8">
        <w:rPr>
          <w:rFonts w:ascii="Palatino Linotype" w:hAnsi="Palatino Linotype" w:cs="Arial"/>
          <w:i/>
          <w:sz w:val="22"/>
          <w:szCs w:val="22"/>
        </w:rPr>
        <w:t xml:space="preserve"> de Transparencia.</w:t>
      </w:r>
    </w:p>
    <w:p w14:paraId="04C3BBA5" w14:textId="77777777" w:rsidR="00930DDD" w:rsidRPr="00F532B8" w:rsidRDefault="00930DDD" w:rsidP="00DA525A">
      <w:pPr>
        <w:autoSpaceDE w:val="0"/>
        <w:autoSpaceDN w:val="0"/>
        <w:adjustRightInd w:val="0"/>
        <w:ind w:left="709" w:right="757"/>
        <w:jc w:val="both"/>
        <w:rPr>
          <w:rFonts w:ascii="Palatino Linotype" w:hAnsi="Palatino Linotype" w:cs="Arial"/>
          <w:b/>
          <w:i/>
          <w:sz w:val="22"/>
          <w:szCs w:val="22"/>
        </w:rPr>
      </w:pPr>
    </w:p>
    <w:p w14:paraId="64025838"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Cuarto.</w:t>
      </w:r>
      <w:r w:rsidRPr="00F532B8">
        <w:rPr>
          <w:rFonts w:ascii="Palatino Linotype" w:hAnsi="Palatino Linotype" w:cs="Arial"/>
          <w:i/>
          <w:sz w:val="22"/>
          <w:szCs w:val="22"/>
        </w:rPr>
        <w:t xml:space="preserve"> Para clasificar la información como reservada o confidencial, de manera total o parcial, el </w:t>
      </w:r>
      <w:r w:rsidRPr="00F532B8">
        <w:rPr>
          <w:rFonts w:ascii="Palatino Linotype" w:hAnsi="Palatino Linotype" w:cs="Arial"/>
          <w:i/>
          <w:sz w:val="22"/>
        </w:rPr>
        <w:t>titular</w:t>
      </w:r>
      <w:r w:rsidRPr="00F532B8">
        <w:rPr>
          <w:rFonts w:ascii="Palatino Linotype" w:hAnsi="Palatino Linotype" w:cs="Arial"/>
          <w:i/>
          <w:sz w:val="22"/>
          <w:szCs w:val="22"/>
        </w:rPr>
        <w:t xml:space="preserve"> del </w:t>
      </w:r>
      <w:r w:rsidRPr="00F532B8">
        <w:rPr>
          <w:rFonts w:ascii="Palatino Linotype" w:hAnsi="Palatino Linotype" w:cs="Arial"/>
          <w:bCs/>
          <w:i/>
          <w:noProof/>
          <w:sz w:val="22"/>
        </w:rPr>
        <w:t>área</w:t>
      </w:r>
      <w:r w:rsidRPr="00F532B8">
        <w:rPr>
          <w:rFonts w:ascii="Palatino Linotype" w:hAnsi="Palatino Linotype" w:cs="Arial"/>
          <w:i/>
          <w:sz w:val="22"/>
          <w:szCs w:val="22"/>
        </w:rPr>
        <w:t xml:space="preserve"> del sujeto </w:t>
      </w:r>
      <w:r w:rsidRPr="00F532B8">
        <w:rPr>
          <w:rFonts w:ascii="Palatino Linotype" w:hAnsi="Palatino Linotype" w:cs="Arial"/>
          <w:i/>
          <w:sz w:val="22"/>
        </w:rPr>
        <w:t>obligado</w:t>
      </w:r>
      <w:r w:rsidRPr="00F532B8">
        <w:rPr>
          <w:rFonts w:ascii="Palatino Linotype" w:hAnsi="Palatino Linotype" w:cs="Arial"/>
          <w:i/>
          <w:sz w:val="22"/>
          <w:szCs w:val="22"/>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FF4DC9"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p>
    <w:p w14:paraId="0557F203"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i/>
          <w:sz w:val="22"/>
          <w:szCs w:val="22"/>
        </w:rPr>
        <w:t xml:space="preserve">Los sujetos obligados deberán aplicar, de manera estricta, las excepciones al derecho de acceso a la </w:t>
      </w:r>
      <w:r w:rsidRPr="00F532B8">
        <w:rPr>
          <w:rFonts w:ascii="Palatino Linotype" w:hAnsi="Palatino Linotype" w:cs="Arial"/>
          <w:bCs/>
          <w:i/>
          <w:noProof/>
          <w:sz w:val="22"/>
        </w:rPr>
        <w:t>información</w:t>
      </w:r>
      <w:r w:rsidRPr="00F532B8">
        <w:rPr>
          <w:rFonts w:ascii="Palatino Linotype" w:hAnsi="Palatino Linotype" w:cs="Arial"/>
          <w:i/>
          <w:sz w:val="22"/>
          <w:szCs w:val="22"/>
        </w:rPr>
        <w:t xml:space="preserve"> y sólo </w:t>
      </w:r>
      <w:r w:rsidRPr="00F532B8">
        <w:rPr>
          <w:rFonts w:ascii="Palatino Linotype" w:hAnsi="Palatino Linotype" w:cs="Arial"/>
          <w:i/>
          <w:sz w:val="22"/>
        </w:rPr>
        <w:t>podrán</w:t>
      </w:r>
      <w:r w:rsidRPr="00F532B8">
        <w:rPr>
          <w:rFonts w:ascii="Palatino Linotype" w:hAnsi="Palatino Linotype" w:cs="Arial"/>
          <w:i/>
          <w:sz w:val="22"/>
          <w:szCs w:val="22"/>
        </w:rPr>
        <w:t xml:space="preserve"> invocarlas cuando acrediten su procedencia.</w:t>
      </w:r>
    </w:p>
    <w:p w14:paraId="19EC1656" w14:textId="77777777" w:rsidR="00930DDD" w:rsidRPr="00F532B8" w:rsidRDefault="00930DDD" w:rsidP="00DA525A">
      <w:pPr>
        <w:autoSpaceDE w:val="0"/>
        <w:autoSpaceDN w:val="0"/>
        <w:adjustRightInd w:val="0"/>
        <w:ind w:left="709" w:right="757"/>
        <w:jc w:val="both"/>
        <w:rPr>
          <w:rFonts w:ascii="Palatino Linotype" w:hAnsi="Palatino Linotype" w:cs="Arial"/>
          <w:b/>
          <w:i/>
          <w:sz w:val="22"/>
          <w:szCs w:val="22"/>
        </w:rPr>
      </w:pPr>
    </w:p>
    <w:p w14:paraId="1121B265"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Quinto.</w:t>
      </w:r>
      <w:r w:rsidRPr="00F532B8">
        <w:rPr>
          <w:rFonts w:ascii="Palatino Linotype" w:hAnsi="Palatino Linotype" w:cs="Arial"/>
          <w:i/>
          <w:sz w:val="22"/>
          <w:szCs w:val="22"/>
        </w:rPr>
        <w:t xml:space="preserve"> La carga de </w:t>
      </w:r>
      <w:r w:rsidRPr="00F532B8">
        <w:rPr>
          <w:rFonts w:ascii="Palatino Linotype" w:hAnsi="Palatino Linotype" w:cs="Arial"/>
          <w:i/>
          <w:sz w:val="22"/>
        </w:rPr>
        <w:t>la</w:t>
      </w:r>
      <w:r w:rsidRPr="00F532B8">
        <w:rPr>
          <w:rFonts w:ascii="Palatino Linotype" w:hAnsi="Palatino Linotype" w:cs="Arial"/>
          <w:i/>
          <w:sz w:val="22"/>
          <w:szCs w:val="22"/>
        </w:rPr>
        <w:t xml:space="preserve"> prueba para justificar toda negativa de acceso a la información, por actualizarse cualquiera de los supuestos de clasificación previstos en la Ley General, la Ley Federal y leyes estatales, </w:t>
      </w:r>
      <w:r w:rsidRPr="00F532B8">
        <w:rPr>
          <w:rFonts w:ascii="Palatino Linotype" w:hAnsi="Palatino Linotype" w:cs="Arial"/>
          <w:i/>
          <w:sz w:val="22"/>
        </w:rPr>
        <w:t>corresponderá</w:t>
      </w:r>
      <w:r w:rsidRPr="00F532B8">
        <w:rPr>
          <w:rFonts w:ascii="Palatino Linotype" w:hAnsi="Palatino Linotype" w:cs="Arial"/>
          <w:i/>
          <w:sz w:val="22"/>
          <w:szCs w:val="22"/>
        </w:rPr>
        <w:t xml:space="preserve"> a los sujetos obligados, por lo que deberán fundar y motivar debidamente la clasificación de la información ante una solicitud de acceso o al </w:t>
      </w:r>
      <w:r w:rsidRPr="00F532B8">
        <w:rPr>
          <w:rFonts w:ascii="Palatino Linotype" w:hAnsi="Palatino Linotype" w:cs="Arial"/>
          <w:i/>
          <w:sz w:val="22"/>
          <w:szCs w:val="22"/>
        </w:rPr>
        <w:lastRenderedPageBreak/>
        <w:t>momento en que generen versiones públicas para dar cumplimiento a las obligaciones de transparencia, observando lo dispuesto en la Ley General y las demás disposiciones aplicables en la materia.</w:t>
      </w:r>
    </w:p>
    <w:p w14:paraId="54C5754D" w14:textId="77777777" w:rsidR="00930DDD" w:rsidRPr="00F532B8" w:rsidRDefault="00930DDD" w:rsidP="00DA525A">
      <w:pPr>
        <w:autoSpaceDE w:val="0"/>
        <w:autoSpaceDN w:val="0"/>
        <w:adjustRightInd w:val="0"/>
        <w:ind w:left="709" w:right="757"/>
        <w:jc w:val="both"/>
        <w:rPr>
          <w:rFonts w:ascii="Palatino Linotype" w:hAnsi="Palatino Linotype" w:cs="Arial"/>
          <w:b/>
          <w:i/>
          <w:sz w:val="22"/>
          <w:szCs w:val="22"/>
        </w:rPr>
      </w:pPr>
    </w:p>
    <w:p w14:paraId="3631F60C"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Sexto.</w:t>
      </w:r>
      <w:r w:rsidRPr="00F532B8">
        <w:rPr>
          <w:rFonts w:ascii="Palatino Linotype" w:hAnsi="Palatino Linotype" w:cs="Arial"/>
          <w:i/>
          <w:sz w:val="22"/>
          <w:szCs w:val="22"/>
        </w:rPr>
        <w:t xml:space="preserve"> Los sujetos obligados no podrán emitir acuerdos de carácter general ni particular que clasifiquen </w:t>
      </w:r>
      <w:r w:rsidRPr="00F532B8">
        <w:rPr>
          <w:rFonts w:ascii="Palatino Linotype" w:hAnsi="Palatino Linotype" w:cs="Arial"/>
          <w:bCs/>
          <w:i/>
          <w:noProof/>
          <w:sz w:val="22"/>
        </w:rPr>
        <w:t>documentos</w:t>
      </w:r>
      <w:r w:rsidRPr="00F532B8">
        <w:rPr>
          <w:rFonts w:ascii="Palatino Linotype" w:hAnsi="Palatino Linotype" w:cs="Arial"/>
          <w:i/>
          <w:sz w:val="22"/>
          <w:szCs w:val="22"/>
        </w:rPr>
        <w:t xml:space="preserve"> o expedientes como reservados, ni clasificar documentos antes de que se genere la información o cuando éstos no obren en sus archivos.</w:t>
      </w:r>
    </w:p>
    <w:p w14:paraId="35B8F37E" w14:textId="77777777" w:rsidR="00930DDD" w:rsidRPr="00F532B8" w:rsidRDefault="00930DDD" w:rsidP="00DA525A">
      <w:pPr>
        <w:ind w:left="709" w:right="757"/>
        <w:jc w:val="both"/>
        <w:rPr>
          <w:rFonts w:ascii="Palatino Linotype" w:hAnsi="Palatino Linotype" w:cs="Arial"/>
          <w:i/>
          <w:sz w:val="22"/>
          <w:szCs w:val="22"/>
        </w:rPr>
      </w:pPr>
      <w:r w:rsidRPr="00F532B8">
        <w:rPr>
          <w:rFonts w:ascii="Palatino Linotype" w:hAnsi="Palatino Linotype" w:cs="Arial"/>
          <w:i/>
          <w:sz w:val="22"/>
          <w:szCs w:val="22"/>
        </w:rPr>
        <w:t xml:space="preserve">La clasificación de </w:t>
      </w:r>
      <w:r w:rsidRPr="00F532B8">
        <w:rPr>
          <w:rFonts w:ascii="Palatino Linotype" w:hAnsi="Palatino Linotype" w:cs="Arial"/>
          <w:i/>
          <w:sz w:val="22"/>
        </w:rPr>
        <w:t>información</w:t>
      </w:r>
      <w:r w:rsidRPr="00F532B8">
        <w:rPr>
          <w:rFonts w:ascii="Palatino Linotype" w:hAnsi="Palatino Linotype" w:cs="Arial"/>
          <w:i/>
          <w:sz w:val="22"/>
          <w:szCs w:val="22"/>
        </w:rPr>
        <w:t xml:space="preserve"> se realizará conforme a un análisis caso por caso, mediante la aplicación </w:t>
      </w:r>
      <w:r w:rsidRPr="00F532B8">
        <w:rPr>
          <w:rFonts w:ascii="Palatino Linotype" w:hAnsi="Palatino Linotype" w:cs="Arial"/>
          <w:bCs/>
          <w:i/>
          <w:noProof/>
          <w:sz w:val="22"/>
        </w:rPr>
        <w:t>de</w:t>
      </w:r>
      <w:r w:rsidRPr="00F532B8">
        <w:rPr>
          <w:rFonts w:ascii="Palatino Linotype" w:hAnsi="Palatino Linotype" w:cs="Arial"/>
          <w:i/>
          <w:sz w:val="22"/>
          <w:szCs w:val="22"/>
        </w:rPr>
        <w:t xml:space="preserve"> la prueba de daño y de interés público.</w:t>
      </w:r>
    </w:p>
    <w:p w14:paraId="1361E70B" w14:textId="77777777" w:rsidR="00930DDD" w:rsidRPr="00F532B8" w:rsidRDefault="00930DDD" w:rsidP="00DA525A">
      <w:pPr>
        <w:autoSpaceDE w:val="0"/>
        <w:autoSpaceDN w:val="0"/>
        <w:adjustRightInd w:val="0"/>
        <w:ind w:left="709" w:right="757"/>
        <w:jc w:val="both"/>
        <w:rPr>
          <w:rFonts w:ascii="Palatino Linotype" w:hAnsi="Palatino Linotype" w:cs="Arial"/>
          <w:b/>
          <w:i/>
          <w:sz w:val="22"/>
          <w:szCs w:val="22"/>
        </w:rPr>
      </w:pPr>
    </w:p>
    <w:p w14:paraId="2DE9424D"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Séptimo.</w:t>
      </w:r>
      <w:r w:rsidRPr="00F532B8">
        <w:rPr>
          <w:rFonts w:ascii="Palatino Linotype" w:hAnsi="Palatino Linotype" w:cs="Arial"/>
          <w:i/>
          <w:sz w:val="22"/>
          <w:szCs w:val="22"/>
        </w:rPr>
        <w:t xml:space="preserve"> La </w:t>
      </w:r>
      <w:r w:rsidRPr="00F532B8">
        <w:rPr>
          <w:rFonts w:ascii="Palatino Linotype" w:hAnsi="Palatino Linotype" w:cs="Arial"/>
          <w:i/>
          <w:sz w:val="22"/>
        </w:rPr>
        <w:t>clasificación</w:t>
      </w:r>
      <w:r w:rsidRPr="00F532B8">
        <w:rPr>
          <w:rFonts w:ascii="Palatino Linotype" w:hAnsi="Palatino Linotype" w:cs="Arial"/>
          <w:i/>
          <w:sz w:val="22"/>
          <w:szCs w:val="22"/>
        </w:rPr>
        <w:t xml:space="preserve"> </w:t>
      </w:r>
      <w:r w:rsidRPr="00F532B8">
        <w:rPr>
          <w:rFonts w:ascii="Palatino Linotype" w:hAnsi="Palatino Linotype" w:cs="Arial"/>
          <w:bCs/>
          <w:i/>
          <w:noProof/>
          <w:sz w:val="22"/>
        </w:rPr>
        <w:t>de</w:t>
      </w:r>
      <w:r w:rsidRPr="00F532B8">
        <w:rPr>
          <w:rFonts w:ascii="Palatino Linotype" w:hAnsi="Palatino Linotype" w:cs="Arial"/>
          <w:i/>
          <w:sz w:val="22"/>
          <w:szCs w:val="22"/>
        </w:rPr>
        <w:t xml:space="preserve"> la </w:t>
      </w:r>
      <w:r w:rsidRPr="00F532B8">
        <w:rPr>
          <w:rFonts w:ascii="Palatino Linotype" w:hAnsi="Palatino Linotype" w:cs="Arial"/>
          <w:i/>
          <w:sz w:val="22"/>
        </w:rPr>
        <w:t>información</w:t>
      </w:r>
      <w:r w:rsidRPr="00F532B8">
        <w:rPr>
          <w:rFonts w:ascii="Palatino Linotype" w:hAnsi="Palatino Linotype" w:cs="Arial"/>
          <w:i/>
          <w:sz w:val="22"/>
          <w:szCs w:val="22"/>
        </w:rPr>
        <w:t xml:space="preserve"> se llevará a cabo en el momento en que:</w:t>
      </w:r>
    </w:p>
    <w:p w14:paraId="68A14B61" w14:textId="77777777" w:rsidR="00930DDD" w:rsidRPr="00F532B8" w:rsidRDefault="00930DDD" w:rsidP="00DA525A">
      <w:pPr>
        <w:autoSpaceDE w:val="0"/>
        <w:autoSpaceDN w:val="0"/>
        <w:adjustRightInd w:val="0"/>
        <w:ind w:left="709" w:right="757"/>
        <w:jc w:val="both"/>
        <w:rPr>
          <w:rFonts w:ascii="Palatino Linotype" w:hAnsi="Palatino Linotype" w:cs="Arial"/>
          <w:b/>
          <w:i/>
          <w:sz w:val="22"/>
          <w:szCs w:val="22"/>
        </w:rPr>
      </w:pPr>
    </w:p>
    <w:p w14:paraId="0ED5A60D"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I.</w:t>
      </w:r>
      <w:r w:rsidRPr="00F532B8">
        <w:rPr>
          <w:rFonts w:ascii="Palatino Linotype" w:hAnsi="Palatino Linotype" w:cs="Arial"/>
          <w:i/>
          <w:sz w:val="22"/>
          <w:szCs w:val="22"/>
        </w:rPr>
        <w:t xml:space="preserve"> Se reciba una </w:t>
      </w:r>
      <w:r w:rsidRPr="00F532B8">
        <w:rPr>
          <w:rFonts w:ascii="Palatino Linotype" w:hAnsi="Palatino Linotype" w:cs="Arial"/>
          <w:i/>
          <w:sz w:val="22"/>
        </w:rPr>
        <w:t>solicitud</w:t>
      </w:r>
      <w:r w:rsidRPr="00F532B8">
        <w:rPr>
          <w:rFonts w:ascii="Palatino Linotype" w:hAnsi="Palatino Linotype" w:cs="Arial"/>
          <w:i/>
          <w:sz w:val="22"/>
          <w:szCs w:val="22"/>
        </w:rPr>
        <w:t xml:space="preserve"> de acceso a la información;</w:t>
      </w:r>
    </w:p>
    <w:p w14:paraId="35500416"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II.</w:t>
      </w:r>
      <w:r w:rsidRPr="00F532B8">
        <w:rPr>
          <w:rFonts w:ascii="Palatino Linotype" w:hAnsi="Palatino Linotype" w:cs="Arial"/>
          <w:i/>
          <w:sz w:val="22"/>
          <w:szCs w:val="22"/>
        </w:rPr>
        <w:t xml:space="preserve"> Se determine </w:t>
      </w:r>
      <w:r w:rsidRPr="00F532B8">
        <w:rPr>
          <w:rFonts w:ascii="Palatino Linotype" w:hAnsi="Palatino Linotype" w:cs="Arial"/>
          <w:bCs/>
          <w:i/>
          <w:noProof/>
          <w:sz w:val="22"/>
        </w:rPr>
        <w:t>mediante</w:t>
      </w:r>
      <w:r w:rsidRPr="00F532B8">
        <w:rPr>
          <w:rFonts w:ascii="Palatino Linotype" w:hAnsi="Palatino Linotype" w:cs="Arial"/>
          <w:i/>
          <w:sz w:val="22"/>
          <w:szCs w:val="22"/>
        </w:rPr>
        <w:t xml:space="preserve"> resolución de autoridad competente, o</w:t>
      </w:r>
    </w:p>
    <w:p w14:paraId="59B97EC8"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III.</w:t>
      </w:r>
      <w:r w:rsidRPr="00F532B8">
        <w:rPr>
          <w:rFonts w:ascii="Palatino Linotype" w:hAnsi="Palatino Linotype" w:cs="Arial"/>
          <w:i/>
          <w:sz w:val="22"/>
          <w:szCs w:val="22"/>
        </w:rPr>
        <w:t xml:space="preserve"> Se generen </w:t>
      </w:r>
      <w:r w:rsidRPr="00F532B8">
        <w:rPr>
          <w:rFonts w:ascii="Palatino Linotype" w:hAnsi="Palatino Linotype" w:cs="Arial"/>
          <w:bCs/>
          <w:i/>
          <w:noProof/>
          <w:sz w:val="22"/>
        </w:rPr>
        <w:t>versiones</w:t>
      </w:r>
      <w:r w:rsidRPr="00F532B8">
        <w:rPr>
          <w:rFonts w:ascii="Palatino Linotype" w:hAnsi="Palatino Linotype" w:cs="Arial"/>
          <w:i/>
          <w:sz w:val="22"/>
          <w:szCs w:val="22"/>
        </w:rPr>
        <w:t xml:space="preserve"> públicas para dar cumplimiento a las obligaciones de transparencia </w:t>
      </w:r>
      <w:r w:rsidRPr="00F532B8">
        <w:rPr>
          <w:rFonts w:ascii="Palatino Linotype" w:hAnsi="Palatino Linotype" w:cs="Arial"/>
          <w:i/>
          <w:sz w:val="22"/>
        </w:rPr>
        <w:t>previstas</w:t>
      </w:r>
      <w:r w:rsidRPr="00F532B8">
        <w:rPr>
          <w:rFonts w:ascii="Palatino Linotype" w:hAnsi="Palatino Linotype" w:cs="Arial"/>
          <w:i/>
          <w:sz w:val="22"/>
          <w:szCs w:val="22"/>
        </w:rPr>
        <w:t xml:space="preserve"> en la Ley General, la Ley Federal y las correspondientes de las entidades federativas.</w:t>
      </w:r>
    </w:p>
    <w:p w14:paraId="3C41A0BD"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p>
    <w:p w14:paraId="3CC04395"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i/>
          <w:sz w:val="22"/>
          <w:szCs w:val="22"/>
        </w:rPr>
        <w:t xml:space="preserve">Los titulares de las áreas deberán revisar la clasificación al momento de la recepción de una solicitud de </w:t>
      </w:r>
      <w:r w:rsidRPr="00F532B8">
        <w:rPr>
          <w:rFonts w:ascii="Palatino Linotype" w:hAnsi="Palatino Linotype" w:cs="Arial"/>
          <w:bCs/>
          <w:i/>
          <w:noProof/>
          <w:sz w:val="22"/>
        </w:rPr>
        <w:t>acceso</w:t>
      </w:r>
      <w:r w:rsidRPr="00F532B8">
        <w:rPr>
          <w:rFonts w:ascii="Palatino Linotype" w:hAnsi="Palatino Linotype" w:cs="Arial"/>
          <w:i/>
          <w:sz w:val="22"/>
          <w:szCs w:val="22"/>
        </w:rPr>
        <w:t xml:space="preserve"> a la información, para verificar si encuadra en una causal de reserva o de confidencialidad.</w:t>
      </w:r>
    </w:p>
    <w:p w14:paraId="36ED8B90" w14:textId="77777777" w:rsidR="00930DDD" w:rsidRPr="00F532B8" w:rsidRDefault="00930DDD" w:rsidP="00DA525A">
      <w:pPr>
        <w:autoSpaceDE w:val="0"/>
        <w:autoSpaceDN w:val="0"/>
        <w:adjustRightInd w:val="0"/>
        <w:ind w:left="709" w:right="757"/>
        <w:jc w:val="both"/>
        <w:rPr>
          <w:rFonts w:ascii="Palatino Linotype" w:hAnsi="Palatino Linotype" w:cs="Arial"/>
          <w:b/>
          <w:i/>
          <w:sz w:val="22"/>
          <w:szCs w:val="22"/>
        </w:rPr>
      </w:pPr>
    </w:p>
    <w:p w14:paraId="520FE462"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Octavo.</w:t>
      </w:r>
      <w:r w:rsidRPr="00F532B8">
        <w:rPr>
          <w:rFonts w:ascii="Palatino Linotype" w:hAnsi="Palatino Linotype" w:cs="Arial"/>
          <w:i/>
          <w:sz w:val="22"/>
          <w:szCs w:val="22"/>
        </w:rPr>
        <w:t xml:space="preserve"> Para fundar la clasificación de la información se debe señalar el artículo, fracción, inciso, </w:t>
      </w:r>
      <w:r w:rsidRPr="00F532B8">
        <w:rPr>
          <w:rFonts w:ascii="Palatino Linotype" w:hAnsi="Palatino Linotype" w:cs="Arial"/>
          <w:i/>
          <w:sz w:val="22"/>
        </w:rPr>
        <w:t>párrafo</w:t>
      </w:r>
      <w:r w:rsidRPr="00F532B8">
        <w:rPr>
          <w:rFonts w:ascii="Palatino Linotype" w:hAnsi="Palatino Linotype" w:cs="Arial"/>
          <w:i/>
          <w:sz w:val="22"/>
          <w:szCs w:val="22"/>
        </w:rPr>
        <w:t xml:space="preserve"> o numeral de la ley o tratado internacional suscrito por el Estado mexicano que </w:t>
      </w:r>
      <w:r w:rsidRPr="00F532B8">
        <w:rPr>
          <w:rFonts w:ascii="Palatino Linotype" w:hAnsi="Palatino Linotype" w:cs="Arial"/>
          <w:bCs/>
          <w:i/>
          <w:noProof/>
          <w:sz w:val="22"/>
        </w:rPr>
        <w:t>expresamente</w:t>
      </w:r>
      <w:r w:rsidRPr="00F532B8">
        <w:rPr>
          <w:rFonts w:ascii="Palatino Linotype" w:hAnsi="Palatino Linotype" w:cs="Arial"/>
          <w:i/>
          <w:sz w:val="22"/>
          <w:szCs w:val="22"/>
        </w:rPr>
        <w:t xml:space="preserve"> le otorga el carácter de reservada o confidencial.</w:t>
      </w:r>
    </w:p>
    <w:p w14:paraId="46B971F9" w14:textId="77777777" w:rsidR="00930DDD" w:rsidRPr="00F532B8" w:rsidRDefault="00930DDD" w:rsidP="00DA525A">
      <w:pPr>
        <w:autoSpaceDE w:val="0"/>
        <w:autoSpaceDN w:val="0"/>
        <w:adjustRightInd w:val="0"/>
        <w:ind w:left="709" w:right="757"/>
        <w:jc w:val="both"/>
        <w:rPr>
          <w:rFonts w:ascii="Palatino Linotype" w:hAnsi="Palatino Linotype" w:cs="Arial"/>
          <w:bCs/>
          <w:i/>
          <w:noProof/>
          <w:sz w:val="22"/>
        </w:rPr>
      </w:pPr>
      <w:r w:rsidRPr="00F532B8">
        <w:rPr>
          <w:rFonts w:ascii="Palatino Linotype" w:hAnsi="Palatino Linotype" w:cs="Arial"/>
          <w:i/>
          <w:sz w:val="22"/>
          <w:szCs w:val="22"/>
        </w:rPr>
        <w:t xml:space="preserve">Para </w:t>
      </w:r>
      <w:r w:rsidRPr="00F532B8">
        <w:rPr>
          <w:rFonts w:ascii="Palatino Linotype" w:hAnsi="Palatino Linotype" w:cs="Arial"/>
          <w:bCs/>
          <w:i/>
          <w:noProof/>
          <w:sz w:val="22"/>
        </w:rPr>
        <w:t xml:space="preserve">motivar la clasificación se deberán señalar las razones o circunstancias especiales que lo </w:t>
      </w:r>
      <w:r w:rsidRPr="00F532B8">
        <w:rPr>
          <w:rFonts w:ascii="Palatino Linotype" w:hAnsi="Palatino Linotype" w:cs="Arial"/>
          <w:i/>
          <w:sz w:val="22"/>
          <w:szCs w:val="22"/>
        </w:rPr>
        <w:t>llevaron</w:t>
      </w:r>
      <w:r w:rsidRPr="00F532B8">
        <w:rPr>
          <w:rFonts w:ascii="Palatino Linotype" w:hAnsi="Palatino Linotype" w:cs="Arial"/>
          <w:bCs/>
          <w:i/>
          <w:noProof/>
          <w:sz w:val="22"/>
        </w:rPr>
        <w:t xml:space="preserve"> a concluir que el caso particular se ajusta al supuesto previsto por la norma legal invocada como fundamento.</w:t>
      </w:r>
    </w:p>
    <w:p w14:paraId="53562649" w14:textId="77777777" w:rsidR="00930DDD" w:rsidRPr="00F532B8" w:rsidRDefault="00930DDD" w:rsidP="00DA525A">
      <w:pPr>
        <w:autoSpaceDE w:val="0"/>
        <w:autoSpaceDN w:val="0"/>
        <w:adjustRightInd w:val="0"/>
        <w:ind w:left="709" w:right="757"/>
        <w:jc w:val="both"/>
        <w:rPr>
          <w:rFonts w:ascii="Palatino Linotype" w:hAnsi="Palatino Linotype" w:cs="Arial"/>
          <w:bCs/>
          <w:i/>
          <w:noProof/>
          <w:sz w:val="22"/>
        </w:rPr>
      </w:pPr>
    </w:p>
    <w:p w14:paraId="2B07ADA4" w14:textId="77777777" w:rsidR="00930DDD" w:rsidRPr="00F532B8" w:rsidRDefault="00930DDD" w:rsidP="00DA525A">
      <w:pPr>
        <w:autoSpaceDE w:val="0"/>
        <w:autoSpaceDN w:val="0"/>
        <w:adjustRightInd w:val="0"/>
        <w:ind w:left="709" w:right="757"/>
        <w:jc w:val="both"/>
        <w:rPr>
          <w:rFonts w:ascii="Palatino Linotype" w:hAnsi="Palatino Linotype" w:cs="Arial"/>
          <w:bCs/>
          <w:i/>
          <w:noProof/>
          <w:sz w:val="22"/>
        </w:rPr>
      </w:pPr>
      <w:r w:rsidRPr="00F532B8">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F532B8">
        <w:rPr>
          <w:rFonts w:ascii="Palatino Linotype" w:hAnsi="Palatino Linotype" w:cs="Arial"/>
          <w:i/>
          <w:sz w:val="22"/>
          <w:szCs w:val="22"/>
        </w:rPr>
        <w:t>de</w:t>
      </w:r>
      <w:r w:rsidRPr="00F532B8">
        <w:rPr>
          <w:rFonts w:ascii="Palatino Linotype" w:hAnsi="Palatino Linotype" w:cs="Arial"/>
          <w:bCs/>
          <w:i/>
          <w:noProof/>
          <w:sz w:val="22"/>
        </w:rPr>
        <w:t xml:space="preserve"> </w:t>
      </w:r>
      <w:r w:rsidRPr="00F532B8">
        <w:rPr>
          <w:rFonts w:ascii="Palatino Linotype" w:hAnsi="Palatino Linotype" w:cs="Arial"/>
          <w:i/>
          <w:sz w:val="22"/>
          <w:szCs w:val="22"/>
        </w:rPr>
        <w:t>reserva</w:t>
      </w:r>
      <w:r w:rsidRPr="00F532B8">
        <w:rPr>
          <w:rFonts w:ascii="Palatino Linotype" w:hAnsi="Palatino Linotype" w:cs="Arial"/>
          <w:bCs/>
          <w:i/>
          <w:noProof/>
          <w:sz w:val="22"/>
        </w:rPr>
        <w:t>.</w:t>
      </w:r>
    </w:p>
    <w:p w14:paraId="609D2E5D"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p>
    <w:p w14:paraId="0908920F" w14:textId="77777777" w:rsidR="00930DDD" w:rsidRPr="00F532B8" w:rsidRDefault="00930DDD" w:rsidP="00DA525A">
      <w:pPr>
        <w:autoSpaceDE w:val="0"/>
        <w:autoSpaceDN w:val="0"/>
        <w:adjustRightInd w:val="0"/>
        <w:ind w:left="709" w:right="757"/>
        <w:jc w:val="both"/>
        <w:rPr>
          <w:rFonts w:ascii="Palatino Linotype" w:hAnsi="Palatino Linotype" w:cs="Arial"/>
          <w:bCs/>
          <w:i/>
          <w:noProof/>
          <w:sz w:val="22"/>
        </w:rPr>
      </w:pPr>
      <w:r w:rsidRPr="00F532B8">
        <w:rPr>
          <w:rFonts w:ascii="Palatino Linotype" w:hAnsi="Palatino Linotype" w:cs="Arial"/>
          <w:i/>
          <w:sz w:val="22"/>
          <w:szCs w:val="22"/>
        </w:rPr>
        <w:t>Tratándose</w:t>
      </w:r>
      <w:r w:rsidRPr="00F532B8">
        <w:rPr>
          <w:rFonts w:ascii="Palatino Linotype" w:hAnsi="Palatino Linotype" w:cs="Arial"/>
          <w:bCs/>
          <w:i/>
          <w:noProof/>
          <w:sz w:val="22"/>
        </w:rPr>
        <w:t xml:space="preserve"> de información clasificada como confidencial respecto de la cual se haya </w:t>
      </w:r>
      <w:r w:rsidRPr="00F532B8">
        <w:rPr>
          <w:rFonts w:ascii="Palatino Linotype" w:hAnsi="Palatino Linotype" w:cs="Arial"/>
          <w:i/>
          <w:sz w:val="22"/>
        </w:rPr>
        <w:t>determinado</w:t>
      </w:r>
      <w:r w:rsidRPr="00F532B8">
        <w:rPr>
          <w:rFonts w:ascii="Palatino Linotype" w:hAnsi="Palatino Linotype" w:cs="Arial"/>
          <w:bCs/>
          <w:i/>
          <w:noProof/>
          <w:sz w:val="22"/>
        </w:rPr>
        <w:t xml:space="preserve"> </w:t>
      </w:r>
      <w:r w:rsidRPr="00F532B8">
        <w:rPr>
          <w:rFonts w:ascii="Palatino Linotype" w:hAnsi="Palatino Linotype" w:cs="Arial"/>
          <w:i/>
          <w:sz w:val="22"/>
          <w:szCs w:val="22"/>
        </w:rPr>
        <w:t>su</w:t>
      </w:r>
      <w:r w:rsidRPr="00F532B8">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28D80EFC" w14:textId="77777777" w:rsidR="00930DDD" w:rsidRPr="00F532B8" w:rsidRDefault="00930DDD" w:rsidP="00DA525A">
      <w:pPr>
        <w:autoSpaceDE w:val="0"/>
        <w:autoSpaceDN w:val="0"/>
        <w:adjustRightInd w:val="0"/>
        <w:ind w:left="709" w:right="757"/>
        <w:jc w:val="both"/>
        <w:rPr>
          <w:rFonts w:ascii="Palatino Linotype" w:hAnsi="Palatino Linotype" w:cs="Arial"/>
          <w:bCs/>
          <w:i/>
          <w:noProof/>
          <w:sz w:val="22"/>
        </w:rPr>
      </w:pPr>
    </w:p>
    <w:p w14:paraId="03C3A29B"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Cs/>
          <w:i/>
          <w:noProof/>
          <w:sz w:val="22"/>
        </w:rPr>
        <w:t>Los documentos contenidos</w:t>
      </w:r>
      <w:r w:rsidRPr="00F532B8">
        <w:rPr>
          <w:rFonts w:ascii="Palatino Linotype" w:hAnsi="Palatino Linotype" w:cs="Arial"/>
          <w:i/>
          <w:sz w:val="22"/>
          <w:szCs w:val="22"/>
        </w:rPr>
        <w:t xml:space="preserve"> en los archivos históricos y los identificados como históricos confidenciales no </w:t>
      </w:r>
      <w:r w:rsidRPr="00F532B8">
        <w:rPr>
          <w:rFonts w:ascii="Palatino Linotype" w:hAnsi="Palatino Linotype" w:cs="Arial"/>
          <w:i/>
          <w:sz w:val="22"/>
        </w:rPr>
        <w:t>serán</w:t>
      </w:r>
      <w:r w:rsidRPr="00F532B8">
        <w:rPr>
          <w:rFonts w:ascii="Palatino Linotype" w:hAnsi="Palatino Linotype" w:cs="Arial"/>
          <w:i/>
          <w:sz w:val="22"/>
          <w:szCs w:val="22"/>
        </w:rPr>
        <w:t xml:space="preserve"> susceptibles de clasificación como reservados.</w:t>
      </w:r>
    </w:p>
    <w:p w14:paraId="0341CB9C" w14:textId="77777777" w:rsidR="00930DDD" w:rsidRPr="00F532B8" w:rsidRDefault="00930DDD" w:rsidP="00DA525A">
      <w:pPr>
        <w:autoSpaceDE w:val="0"/>
        <w:autoSpaceDN w:val="0"/>
        <w:adjustRightInd w:val="0"/>
        <w:ind w:left="709" w:right="757"/>
        <w:jc w:val="both"/>
        <w:rPr>
          <w:rFonts w:ascii="Palatino Linotype" w:hAnsi="Palatino Linotype" w:cs="Arial"/>
          <w:b/>
          <w:i/>
          <w:sz w:val="22"/>
          <w:szCs w:val="22"/>
        </w:rPr>
      </w:pPr>
    </w:p>
    <w:p w14:paraId="0E2CD519"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lastRenderedPageBreak/>
        <w:t>Noveno.</w:t>
      </w:r>
      <w:r w:rsidRPr="00F532B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8F7E71D" w14:textId="77777777" w:rsidR="00930DDD" w:rsidRPr="00F532B8" w:rsidRDefault="00930DDD" w:rsidP="00DA525A">
      <w:pPr>
        <w:autoSpaceDE w:val="0"/>
        <w:autoSpaceDN w:val="0"/>
        <w:adjustRightInd w:val="0"/>
        <w:ind w:left="709" w:right="757"/>
        <w:jc w:val="both"/>
        <w:rPr>
          <w:rFonts w:ascii="Palatino Linotype" w:hAnsi="Palatino Linotype" w:cs="Arial"/>
          <w:b/>
          <w:i/>
          <w:sz w:val="22"/>
          <w:szCs w:val="22"/>
        </w:rPr>
      </w:pPr>
    </w:p>
    <w:p w14:paraId="096A3BE0"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Décimo.</w:t>
      </w:r>
      <w:r w:rsidRPr="00F532B8">
        <w:rPr>
          <w:rFonts w:ascii="Palatino Linotype" w:hAnsi="Palatino Linotype" w:cs="Arial"/>
          <w:i/>
          <w:sz w:val="22"/>
          <w:szCs w:val="22"/>
        </w:rPr>
        <w:t xml:space="preserve"> Los titulares de las áreas, deberán tener conocimiento y llevar un registro del personal que, por la </w:t>
      </w:r>
      <w:r w:rsidRPr="00F532B8">
        <w:rPr>
          <w:rFonts w:ascii="Palatino Linotype" w:hAnsi="Palatino Linotype" w:cs="Arial"/>
          <w:i/>
          <w:sz w:val="22"/>
        </w:rPr>
        <w:t>naturaleza</w:t>
      </w:r>
      <w:r w:rsidRPr="00F532B8">
        <w:rPr>
          <w:rFonts w:ascii="Palatino Linotype" w:hAnsi="Palatino Linotype" w:cs="Arial"/>
          <w:i/>
          <w:sz w:val="22"/>
          <w:szCs w:val="22"/>
        </w:rPr>
        <w:t xml:space="preserve"> de sus atribuciones, tenga acceso a los </w:t>
      </w:r>
      <w:r w:rsidRPr="00F532B8">
        <w:rPr>
          <w:rFonts w:ascii="Palatino Linotype" w:hAnsi="Palatino Linotype" w:cs="Arial"/>
          <w:i/>
          <w:sz w:val="22"/>
        </w:rPr>
        <w:t>documentos</w:t>
      </w:r>
      <w:r w:rsidRPr="00F532B8">
        <w:rPr>
          <w:rFonts w:ascii="Palatino Linotype" w:hAnsi="Palatino Linotype" w:cs="Arial"/>
          <w:i/>
          <w:sz w:val="22"/>
          <w:szCs w:val="22"/>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B87A8E9"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i/>
          <w:sz w:val="22"/>
          <w:szCs w:val="22"/>
        </w:rPr>
        <w:t xml:space="preserve">En ausencia de los titulares de las áreas, la información será clasificada o desclasificada por la persona que lo supla, en términos de la normativa </w:t>
      </w:r>
      <w:r w:rsidRPr="00F532B8">
        <w:rPr>
          <w:rFonts w:ascii="Palatino Linotype" w:hAnsi="Palatino Linotype" w:cs="Arial"/>
          <w:i/>
          <w:sz w:val="22"/>
        </w:rPr>
        <w:t>que</w:t>
      </w:r>
      <w:r w:rsidRPr="00F532B8">
        <w:rPr>
          <w:rFonts w:ascii="Palatino Linotype" w:hAnsi="Palatino Linotype" w:cs="Arial"/>
          <w:i/>
          <w:sz w:val="22"/>
          <w:szCs w:val="22"/>
        </w:rPr>
        <w:t xml:space="preserve"> rija la actuación del sujeto obligado.</w:t>
      </w:r>
    </w:p>
    <w:p w14:paraId="2E67D6C0" w14:textId="77777777" w:rsidR="00930DDD" w:rsidRPr="00F532B8" w:rsidRDefault="00930DDD" w:rsidP="00DA525A">
      <w:pPr>
        <w:autoSpaceDE w:val="0"/>
        <w:autoSpaceDN w:val="0"/>
        <w:adjustRightInd w:val="0"/>
        <w:ind w:left="709" w:right="757"/>
        <w:jc w:val="both"/>
        <w:rPr>
          <w:rFonts w:ascii="Palatino Linotype" w:hAnsi="Palatino Linotype" w:cs="Arial"/>
          <w:b/>
          <w:i/>
          <w:sz w:val="22"/>
          <w:szCs w:val="22"/>
        </w:rPr>
      </w:pPr>
    </w:p>
    <w:p w14:paraId="60A65100"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b/>
          <w:i/>
          <w:sz w:val="22"/>
          <w:szCs w:val="22"/>
        </w:rPr>
        <w:t>Décimo primero.</w:t>
      </w:r>
      <w:r w:rsidRPr="00F532B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77E5141" w14:textId="77777777" w:rsidR="00930DDD" w:rsidRPr="00F532B8" w:rsidRDefault="00930DDD" w:rsidP="00DA525A">
      <w:pPr>
        <w:autoSpaceDE w:val="0"/>
        <w:autoSpaceDN w:val="0"/>
        <w:adjustRightInd w:val="0"/>
        <w:ind w:left="709" w:right="757"/>
        <w:jc w:val="both"/>
        <w:rPr>
          <w:rFonts w:ascii="Palatino Linotype" w:hAnsi="Palatino Linotype" w:cs="Arial"/>
          <w:i/>
          <w:sz w:val="22"/>
          <w:szCs w:val="22"/>
        </w:rPr>
      </w:pPr>
      <w:r w:rsidRPr="00F532B8">
        <w:rPr>
          <w:rFonts w:ascii="Palatino Linotype" w:hAnsi="Palatino Linotype" w:cs="Arial"/>
          <w:i/>
          <w:sz w:val="22"/>
          <w:szCs w:val="22"/>
        </w:rPr>
        <w:t>[…]</w:t>
      </w:r>
    </w:p>
    <w:p w14:paraId="740005CC" w14:textId="77777777" w:rsidR="00930DDD" w:rsidRPr="00F532B8" w:rsidRDefault="00930DDD" w:rsidP="00DA525A">
      <w:pPr>
        <w:ind w:left="709" w:right="757"/>
        <w:jc w:val="center"/>
        <w:rPr>
          <w:rFonts w:ascii="Palatino Linotype" w:hAnsi="Palatino Linotype" w:cs="Arial"/>
          <w:b/>
          <w:i/>
          <w:sz w:val="22"/>
          <w:szCs w:val="22"/>
        </w:rPr>
      </w:pPr>
    </w:p>
    <w:p w14:paraId="3FEB657C" w14:textId="77777777" w:rsidR="00930DDD" w:rsidRPr="00F532B8" w:rsidRDefault="00930DDD" w:rsidP="00DA525A">
      <w:pPr>
        <w:ind w:left="709" w:right="757"/>
        <w:jc w:val="center"/>
        <w:rPr>
          <w:rFonts w:ascii="Palatino Linotype" w:hAnsi="Palatino Linotype" w:cs="Arial"/>
          <w:b/>
          <w:i/>
          <w:sz w:val="22"/>
          <w:szCs w:val="22"/>
        </w:rPr>
      </w:pPr>
      <w:r w:rsidRPr="00F532B8">
        <w:rPr>
          <w:rFonts w:ascii="Palatino Linotype" w:hAnsi="Palatino Linotype" w:cs="Arial"/>
          <w:b/>
          <w:i/>
          <w:sz w:val="22"/>
          <w:szCs w:val="22"/>
        </w:rPr>
        <w:t>CAPÍTULO VIII</w:t>
      </w:r>
    </w:p>
    <w:p w14:paraId="44A121FC" w14:textId="77777777" w:rsidR="00930DDD" w:rsidRPr="00F532B8" w:rsidRDefault="00930DDD" w:rsidP="00DA525A">
      <w:pPr>
        <w:ind w:left="709" w:right="757"/>
        <w:jc w:val="center"/>
        <w:rPr>
          <w:rFonts w:ascii="Palatino Linotype" w:hAnsi="Palatino Linotype" w:cs="Arial"/>
          <w:b/>
          <w:i/>
          <w:sz w:val="22"/>
          <w:szCs w:val="22"/>
        </w:rPr>
      </w:pPr>
      <w:r w:rsidRPr="00F532B8">
        <w:rPr>
          <w:rFonts w:ascii="Palatino Linotype" w:hAnsi="Palatino Linotype" w:cs="Arial"/>
          <w:b/>
          <w:i/>
          <w:sz w:val="22"/>
          <w:szCs w:val="22"/>
        </w:rPr>
        <w:t>DE LA LEYENDA DE CLASIFICACIÓN</w:t>
      </w:r>
    </w:p>
    <w:p w14:paraId="74A19583" w14:textId="77777777" w:rsidR="00930DDD" w:rsidRPr="00F532B8" w:rsidRDefault="00930DDD" w:rsidP="00DA525A">
      <w:pPr>
        <w:ind w:left="709" w:right="757"/>
        <w:jc w:val="both"/>
        <w:rPr>
          <w:rFonts w:ascii="Palatino Linotype" w:hAnsi="Palatino Linotype" w:cs="Arial"/>
          <w:b/>
          <w:i/>
          <w:sz w:val="22"/>
          <w:szCs w:val="22"/>
        </w:rPr>
      </w:pPr>
    </w:p>
    <w:p w14:paraId="75F1C20A" w14:textId="77777777" w:rsidR="00930DDD" w:rsidRPr="00F532B8" w:rsidRDefault="00930DDD" w:rsidP="00DA525A">
      <w:pPr>
        <w:ind w:left="709" w:right="757"/>
        <w:jc w:val="both"/>
        <w:rPr>
          <w:rFonts w:ascii="Palatino Linotype" w:hAnsi="Palatino Linotype" w:cs="Arial"/>
          <w:i/>
          <w:sz w:val="22"/>
          <w:szCs w:val="22"/>
        </w:rPr>
      </w:pPr>
      <w:r w:rsidRPr="00F532B8">
        <w:rPr>
          <w:rFonts w:ascii="Palatino Linotype" w:hAnsi="Palatino Linotype" w:cs="Arial"/>
          <w:b/>
          <w:i/>
          <w:sz w:val="22"/>
          <w:szCs w:val="22"/>
        </w:rPr>
        <w:t xml:space="preserve">Quincuagésimo. </w:t>
      </w:r>
      <w:r w:rsidRPr="00F532B8">
        <w:rPr>
          <w:rFonts w:ascii="Palatino Linotype" w:hAnsi="Palatino Linotype" w:cs="Arial"/>
          <w:b/>
          <w:i/>
          <w:sz w:val="22"/>
          <w:szCs w:val="22"/>
          <w:u w:val="single"/>
        </w:rPr>
        <w:t>Los titulares de las áreas de los sujetos obligados podrán utilizar los formatos contenidos en el presente Capítulo como modelo</w:t>
      </w:r>
      <w:r w:rsidRPr="00F532B8">
        <w:rPr>
          <w:rFonts w:ascii="Palatino Linotype" w:hAnsi="Palatino Linotype" w:cs="Arial"/>
          <w:i/>
          <w:sz w:val="22"/>
          <w:szCs w:val="22"/>
        </w:rPr>
        <w:t xml:space="preserve"> para señalar la clasificación de documentos o expedientes, sin perjuicio de que establezcan los propios.</w:t>
      </w:r>
    </w:p>
    <w:p w14:paraId="56ADF8C9" w14:textId="77777777" w:rsidR="00930DDD" w:rsidRPr="00F532B8" w:rsidRDefault="00930DDD" w:rsidP="00DA525A">
      <w:pPr>
        <w:ind w:left="709" w:right="757"/>
        <w:jc w:val="both"/>
        <w:rPr>
          <w:rFonts w:ascii="Palatino Linotype" w:hAnsi="Palatino Linotype" w:cs="Arial"/>
          <w:i/>
          <w:sz w:val="22"/>
          <w:szCs w:val="22"/>
        </w:rPr>
      </w:pPr>
      <w:r w:rsidRPr="00F532B8">
        <w:rPr>
          <w:rFonts w:ascii="Palatino Linotype" w:hAnsi="Palatino Linotype" w:cs="Arial"/>
          <w:i/>
          <w:sz w:val="22"/>
          <w:szCs w:val="22"/>
        </w:rPr>
        <w:t>[…]</w:t>
      </w:r>
    </w:p>
    <w:p w14:paraId="6B2E1A4C" w14:textId="77777777" w:rsidR="00930DDD" w:rsidRPr="00F532B8" w:rsidRDefault="00930DDD" w:rsidP="00DA525A">
      <w:pPr>
        <w:ind w:left="709" w:right="757"/>
        <w:jc w:val="both"/>
        <w:rPr>
          <w:rFonts w:ascii="Palatino Linotype" w:hAnsi="Palatino Linotype" w:cs="Arial"/>
          <w:b/>
          <w:i/>
          <w:sz w:val="22"/>
          <w:szCs w:val="22"/>
        </w:rPr>
      </w:pPr>
    </w:p>
    <w:p w14:paraId="62B3C94C" w14:textId="77777777" w:rsidR="00930DDD" w:rsidRPr="00F532B8" w:rsidRDefault="00930DDD" w:rsidP="00DA525A">
      <w:pPr>
        <w:ind w:left="709" w:right="757"/>
        <w:jc w:val="both"/>
        <w:rPr>
          <w:rFonts w:ascii="Palatino Linotype" w:hAnsi="Palatino Linotype" w:cs="Arial"/>
          <w:i/>
          <w:sz w:val="22"/>
          <w:szCs w:val="22"/>
        </w:rPr>
      </w:pPr>
      <w:r w:rsidRPr="00F532B8">
        <w:rPr>
          <w:rFonts w:ascii="Palatino Linotype" w:hAnsi="Palatino Linotype" w:cs="Arial"/>
          <w:b/>
          <w:i/>
          <w:sz w:val="22"/>
          <w:szCs w:val="22"/>
        </w:rPr>
        <w:t xml:space="preserve">Quincuagésimo tercero. </w:t>
      </w:r>
      <w:r w:rsidRPr="00F532B8">
        <w:rPr>
          <w:rFonts w:ascii="Palatino Linotype" w:hAnsi="Palatino Linotype" w:cs="Arial"/>
          <w:b/>
          <w:i/>
          <w:sz w:val="22"/>
          <w:szCs w:val="22"/>
          <w:u w:val="single"/>
        </w:rPr>
        <w:t>El formato para señalar la clasificación parcial de un documento</w:t>
      </w:r>
      <w:r w:rsidRPr="00F532B8">
        <w:rPr>
          <w:rFonts w:ascii="Palatino Linotype" w:hAnsi="Palatino Linotype" w:cs="Arial"/>
          <w:i/>
          <w:sz w:val="22"/>
          <w:szCs w:val="22"/>
        </w:rPr>
        <w:t>, es el siguiente:</w:t>
      </w:r>
    </w:p>
    <w:p w14:paraId="263E53D5" w14:textId="77777777" w:rsidR="00930DDD" w:rsidRPr="00F532B8" w:rsidRDefault="00930DDD" w:rsidP="00DA525A">
      <w:pPr>
        <w:ind w:left="709" w:right="757"/>
        <w:jc w:val="both"/>
        <w:rPr>
          <w:rFonts w:ascii="Palatino Linotype" w:hAnsi="Palatino Linotype" w:cs="Arial"/>
          <w:i/>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665"/>
      </w:tblGrid>
      <w:tr w:rsidR="00930DDD" w:rsidRPr="00F532B8" w14:paraId="37880131" w14:textId="77777777" w:rsidTr="00930DDD">
        <w:tc>
          <w:tcPr>
            <w:tcW w:w="1129" w:type="dxa"/>
            <w:tcBorders>
              <w:top w:val="nil"/>
              <w:left w:val="nil"/>
              <w:bottom w:val="single" w:sz="4" w:space="0" w:color="auto"/>
              <w:right w:val="single" w:sz="4" w:space="0" w:color="auto"/>
            </w:tcBorders>
          </w:tcPr>
          <w:p w14:paraId="4022E972" w14:textId="77777777" w:rsidR="00930DDD" w:rsidRPr="00F532B8" w:rsidRDefault="00930DDD" w:rsidP="00DA525A">
            <w:pPr>
              <w:ind w:right="757"/>
              <w:jc w:val="both"/>
              <w:rPr>
                <w:rFonts w:ascii="Palatino Linotype" w:hAnsi="Palatino Linotype" w:cs="Arial"/>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166296CE" w14:textId="77777777" w:rsidR="00930DDD" w:rsidRPr="00F532B8" w:rsidRDefault="00930DDD" w:rsidP="00DA525A">
            <w:pPr>
              <w:ind w:right="757"/>
              <w:jc w:val="center"/>
              <w:rPr>
                <w:rFonts w:ascii="Palatino Linotype" w:hAnsi="Palatino Linotype"/>
                <w:b/>
                <w:i/>
                <w:sz w:val="22"/>
                <w:szCs w:val="22"/>
              </w:rPr>
            </w:pPr>
            <w:r w:rsidRPr="00F532B8">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5F400EE3" w14:textId="77777777" w:rsidR="00930DDD" w:rsidRPr="00F532B8" w:rsidRDefault="00930DDD" w:rsidP="00DA525A">
            <w:pPr>
              <w:ind w:right="757"/>
              <w:jc w:val="center"/>
              <w:rPr>
                <w:rFonts w:ascii="Palatino Linotype" w:hAnsi="Palatino Linotype"/>
                <w:b/>
                <w:i/>
                <w:sz w:val="22"/>
                <w:szCs w:val="22"/>
              </w:rPr>
            </w:pPr>
            <w:r w:rsidRPr="00F532B8">
              <w:rPr>
                <w:rFonts w:ascii="Palatino Linotype" w:hAnsi="Palatino Linotype"/>
                <w:b/>
                <w:i/>
                <w:sz w:val="22"/>
                <w:szCs w:val="22"/>
              </w:rPr>
              <w:t>Dónde:</w:t>
            </w:r>
          </w:p>
        </w:tc>
      </w:tr>
      <w:tr w:rsidR="00930DDD" w:rsidRPr="00F532B8" w14:paraId="1E71B7B8" w14:textId="77777777" w:rsidTr="00930DDD">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7A28FC3" w14:textId="77777777" w:rsidR="00930DDD" w:rsidRPr="00F532B8" w:rsidRDefault="00930DDD" w:rsidP="00DA525A">
            <w:pPr>
              <w:ind w:right="757"/>
              <w:jc w:val="center"/>
              <w:rPr>
                <w:rFonts w:ascii="Palatino Linotype" w:hAnsi="Palatino Linotype" w:cs="Arial"/>
                <w:b/>
                <w:i/>
                <w:sz w:val="22"/>
                <w:szCs w:val="22"/>
              </w:rPr>
            </w:pPr>
            <w:r w:rsidRPr="00F532B8">
              <w:rPr>
                <w:rFonts w:ascii="Palatino Linotype" w:hAnsi="Palatino Linotype" w:cs="Arial"/>
                <w:b/>
                <w:i/>
                <w:sz w:val="22"/>
                <w:szCs w:val="22"/>
              </w:rPr>
              <w:t xml:space="preserve">Sello oficial o logotipo del </w:t>
            </w:r>
            <w:r w:rsidRPr="00F532B8">
              <w:rPr>
                <w:rFonts w:ascii="Palatino Linotype" w:hAnsi="Palatino Linotype" w:cs="Arial"/>
                <w:b/>
                <w:i/>
                <w:sz w:val="22"/>
                <w:szCs w:val="22"/>
              </w:rPr>
              <w:lastRenderedPageBreak/>
              <w:t>sujeto obligado</w:t>
            </w:r>
          </w:p>
        </w:tc>
        <w:tc>
          <w:tcPr>
            <w:tcW w:w="1990" w:type="dxa"/>
            <w:tcBorders>
              <w:top w:val="single" w:sz="4" w:space="0" w:color="auto"/>
              <w:left w:val="single" w:sz="4" w:space="0" w:color="auto"/>
              <w:bottom w:val="single" w:sz="4" w:space="0" w:color="auto"/>
              <w:right w:val="single" w:sz="4" w:space="0" w:color="auto"/>
            </w:tcBorders>
            <w:hideMark/>
          </w:tcPr>
          <w:p w14:paraId="32721950" w14:textId="77777777" w:rsidR="00930DDD" w:rsidRPr="00F532B8" w:rsidRDefault="00930DDD" w:rsidP="00DA525A">
            <w:pPr>
              <w:ind w:right="757"/>
              <w:jc w:val="center"/>
              <w:rPr>
                <w:rFonts w:ascii="Palatino Linotype" w:hAnsi="Palatino Linotype" w:cs="Arial"/>
                <w:i/>
                <w:sz w:val="22"/>
                <w:szCs w:val="22"/>
              </w:rPr>
            </w:pPr>
            <w:r w:rsidRPr="00F532B8">
              <w:rPr>
                <w:rFonts w:ascii="Palatino Linotype" w:hAnsi="Palatino Linotype" w:cs="Arial"/>
                <w:i/>
                <w:sz w:val="22"/>
                <w:szCs w:val="22"/>
              </w:rPr>
              <w:lastRenderedPageBreak/>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5E41D413" w14:textId="77777777" w:rsidR="00930DDD" w:rsidRPr="00F532B8" w:rsidRDefault="00930DDD" w:rsidP="00DA525A">
            <w:pPr>
              <w:ind w:right="757"/>
              <w:jc w:val="both"/>
              <w:rPr>
                <w:rFonts w:ascii="Palatino Linotype" w:hAnsi="Palatino Linotype" w:cs="Arial"/>
                <w:i/>
                <w:sz w:val="22"/>
                <w:szCs w:val="22"/>
              </w:rPr>
            </w:pPr>
            <w:r w:rsidRPr="00F532B8">
              <w:rPr>
                <w:rFonts w:ascii="Palatino Linotype" w:hAnsi="Palatino Linotype" w:cs="Arial"/>
                <w:i/>
                <w:sz w:val="22"/>
                <w:szCs w:val="22"/>
              </w:rPr>
              <w:t>Se anotará la fecha en la que el Comité de Transparencia confirmó la clasificación del documento, en su caso.</w:t>
            </w:r>
          </w:p>
        </w:tc>
      </w:tr>
      <w:tr w:rsidR="00930DDD" w:rsidRPr="00F532B8" w14:paraId="189BE19D" w14:textId="77777777" w:rsidTr="00930DDD">
        <w:tc>
          <w:tcPr>
            <w:tcW w:w="0" w:type="auto"/>
            <w:vMerge/>
            <w:tcBorders>
              <w:top w:val="single" w:sz="4" w:space="0" w:color="auto"/>
              <w:left w:val="single" w:sz="4" w:space="0" w:color="auto"/>
              <w:bottom w:val="single" w:sz="4" w:space="0" w:color="auto"/>
              <w:right w:val="single" w:sz="4" w:space="0" w:color="auto"/>
            </w:tcBorders>
            <w:vAlign w:val="center"/>
            <w:hideMark/>
          </w:tcPr>
          <w:p w14:paraId="0BA1C704" w14:textId="77777777" w:rsidR="00930DDD" w:rsidRPr="00F532B8" w:rsidRDefault="00930DDD" w:rsidP="00DA525A">
            <w:pPr>
              <w:rPr>
                <w:rFonts w:ascii="Palatino Linotype" w:hAnsi="Palatino Linotype" w:cs="Arial"/>
                <w:b/>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585CAEA2" w14:textId="77777777" w:rsidR="00930DDD" w:rsidRPr="00F532B8" w:rsidRDefault="00930DDD" w:rsidP="00DA525A">
            <w:pPr>
              <w:ind w:right="757"/>
              <w:jc w:val="center"/>
              <w:rPr>
                <w:rFonts w:ascii="Palatino Linotype" w:hAnsi="Palatino Linotype" w:cs="Arial"/>
                <w:i/>
                <w:sz w:val="22"/>
                <w:szCs w:val="22"/>
              </w:rPr>
            </w:pPr>
            <w:r w:rsidRPr="00F532B8">
              <w:rPr>
                <w:rFonts w:ascii="Palatino Linotype" w:hAnsi="Palatino Linotype" w:cs="Arial"/>
                <w:i/>
                <w:sz w:val="22"/>
                <w:szCs w:val="22"/>
              </w:rPr>
              <w:t>Área</w:t>
            </w:r>
          </w:p>
        </w:tc>
        <w:tc>
          <w:tcPr>
            <w:tcW w:w="4677" w:type="dxa"/>
            <w:tcBorders>
              <w:top w:val="single" w:sz="4" w:space="0" w:color="auto"/>
              <w:left w:val="single" w:sz="4" w:space="0" w:color="auto"/>
              <w:bottom w:val="single" w:sz="4" w:space="0" w:color="auto"/>
              <w:right w:val="single" w:sz="4" w:space="0" w:color="auto"/>
            </w:tcBorders>
            <w:hideMark/>
          </w:tcPr>
          <w:p w14:paraId="76A44FF2" w14:textId="77777777" w:rsidR="00930DDD" w:rsidRPr="00F532B8" w:rsidRDefault="00930DDD" w:rsidP="00DA525A">
            <w:pPr>
              <w:ind w:right="757"/>
              <w:jc w:val="both"/>
              <w:rPr>
                <w:rFonts w:ascii="Palatino Linotype" w:hAnsi="Palatino Linotype" w:cs="Arial"/>
                <w:i/>
                <w:sz w:val="22"/>
                <w:szCs w:val="22"/>
              </w:rPr>
            </w:pPr>
            <w:r w:rsidRPr="00F532B8">
              <w:rPr>
                <w:rFonts w:ascii="Palatino Linotype" w:hAnsi="Palatino Linotype" w:cs="Arial"/>
                <w:i/>
                <w:sz w:val="22"/>
                <w:szCs w:val="22"/>
              </w:rPr>
              <w:t>Se señalará el nombre del área del cual es titular quien clasifica.</w:t>
            </w:r>
          </w:p>
        </w:tc>
      </w:tr>
      <w:tr w:rsidR="00930DDD" w:rsidRPr="00F532B8" w14:paraId="4C84AD4A" w14:textId="77777777" w:rsidTr="00930DDD">
        <w:tc>
          <w:tcPr>
            <w:tcW w:w="0" w:type="auto"/>
            <w:vMerge/>
            <w:tcBorders>
              <w:top w:val="single" w:sz="4" w:space="0" w:color="auto"/>
              <w:left w:val="single" w:sz="4" w:space="0" w:color="auto"/>
              <w:bottom w:val="single" w:sz="4" w:space="0" w:color="auto"/>
              <w:right w:val="single" w:sz="4" w:space="0" w:color="auto"/>
            </w:tcBorders>
            <w:vAlign w:val="center"/>
            <w:hideMark/>
          </w:tcPr>
          <w:p w14:paraId="2F2B10B0" w14:textId="77777777" w:rsidR="00930DDD" w:rsidRPr="00F532B8" w:rsidRDefault="00930DDD" w:rsidP="00DA525A">
            <w:pPr>
              <w:rPr>
                <w:rFonts w:ascii="Palatino Linotype" w:hAnsi="Palatino Linotype" w:cs="Arial"/>
                <w:b/>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222C02CF" w14:textId="77777777" w:rsidR="00930DDD" w:rsidRPr="00F532B8" w:rsidRDefault="00930DDD" w:rsidP="00DA525A">
            <w:pPr>
              <w:ind w:right="757"/>
              <w:jc w:val="center"/>
              <w:rPr>
                <w:rFonts w:ascii="Palatino Linotype" w:hAnsi="Palatino Linotype" w:cs="Arial"/>
                <w:i/>
                <w:sz w:val="22"/>
                <w:szCs w:val="22"/>
              </w:rPr>
            </w:pPr>
            <w:r w:rsidRPr="00F532B8">
              <w:rPr>
                <w:rFonts w:ascii="Palatino Linotype" w:hAnsi="Palatino Linotype" w:cs="Arial"/>
                <w:i/>
                <w:sz w:val="22"/>
                <w:szCs w:val="22"/>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0D7494FF" w14:textId="77777777" w:rsidR="00930DDD" w:rsidRPr="00F532B8" w:rsidRDefault="00930DDD" w:rsidP="00DA525A">
            <w:pPr>
              <w:ind w:right="757"/>
              <w:jc w:val="both"/>
              <w:rPr>
                <w:rFonts w:ascii="Palatino Linotype" w:hAnsi="Palatino Linotype" w:cs="Arial"/>
                <w:i/>
                <w:sz w:val="22"/>
                <w:szCs w:val="22"/>
              </w:rPr>
            </w:pPr>
            <w:r w:rsidRPr="00F532B8">
              <w:rPr>
                <w:rFonts w:ascii="Palatino Linotype" w:hAnsi="Palatino Linotype" w:cs="Arial"/>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30DDD" w:rsidRPr="00F532B8" w14:paraId="3BEADE51" w14:textId="77777777" w:rsidTr="00930DDD">
        <w:tc>
          <w:tcPr>
            <w:tcW w:w="0" w:type="auto"/>
            <w:vMerge/>
            <w:tcBorders>
              <w:top w:val="single" w:sz="4" w:space="0" w:color="auto"/>
              <w:left w:val="single" w:sz="4" w:space="0" w:color="auto"/>
              <w:bottom w:val="single" w:sz="4" w:space="0" w:color="auto"/>
              <w:right w:val="single" w:sz="4" w:space="0" w:color="auto"/>
            </w:tcBorders>
            <w:vAlign w:val="center"/>
            <w:hideMark/>
          </w:tcPr>
          <w:p w14:paraId="18F8C1A2" w14:textId="77777777" w:rsidR="00930DDD" w:rsidRPr="00F532B8" w:rsidRDefault="00930DDD" w:rsidP="00DA525A">
            <w:pPr>
              <w:rPr>
                <w:rFonts w:ascii="Palatino Linotype" w:hAnsi="Palatino Linotype" w:cs="Arial"/>
                <w:b/>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1A291DD9" w14:textId="77777777" w:rsidR="00930DDD" w:rsidRPr="00F532B8" w:rsidRDefault="00930DDD" w:rsidP="00DA525A">
            <w:pPr>
              <w:ind w:right="757"/>
              <w:jc w:val="center"/>
              <w:rPr>
                <w:rFonts w:ascii="Palatino Linotype" w:hAnsi="Palatino Linotype" w:cs="Arial"/>
                <w:i/>
                <w:sz w:val="22"/>
                <w:szCs w:val="22"/>
              </w:rPr>
            </w:pPr>
            <w:r w:rsidRPr="00F532B8">
              <w:rPr>
                <w:rFonts w:ascii="Palatino Linotype" w:hAnsi="Palatino Linotype" w:cs="Arial"/>
                <w:i/>
                <w:sz w:val="22"/>
                <w:szCs w:val="22"/>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366AD7F0" w14:textId="77777777" w:rsidR="00930DDD" w:rsidRPr="00F532B8" w:rsidRDefault="00930DDD" w:rsidP="00DA525A">
            <w:pPr>
              <w:ind w:right="757"/>
              <w:jc w:val="both"/>
              <w:rPr>
                <w:rFonts w:ascii="Palatino Linotype" w:hAnsi="Palatino Linotype" w:cs="Arial"/>
                <w:i/>
                <w:sz w:val="22"/>
                <w:szCs w:val="22"/>
              </w:rPr>
            </w:pPr>
            <w:r w:rsidRPr="00F532B8">
              <w:rPr>
                <w:rFonts w:ascii="Palatino Linotype" w:hAnsi="Palatino Linotype" w:cs="Arial"/>
                <w:i/>
                <w:sz w:val="22"/>
                <w:szCs w:val="22"/>
              </w:rPr>
              <w:t>Se anotará el número de años o meses por los que se mantendrá el documento o las partes del mismo como reservado.</w:t>
            </w:r>
          </w:p>
        </w:tc>
      </w:tr>
      <w:tr w:rsidR="00930DDD" w:rsidRPr="00F532B8" w14:paraId="7F7BDCE2" w14:textId="77777777" w:rsidTr="00930DDD">
        <w:tc>
          <w:tcPr>
            <w:tcW w:w="0" w:type="auto"/>
            <w:vMerge/>
            <w:tcBorders>
              <w:top w:val="single" w:sz="4" w:space="0" w:color="auto"/>
              <w:left w:val="single" w:sz="4" w:space="0" w:color="auto"/>
              <w:bottom w:val="single" w:sz="4" w:space="0" w:color="auto"/>
              <w:right w:val="single" w:sz="4" w:space="0" w:color="auto"/>
            </w:tcBorders>
            <w:vAlign w:val="center"/>
            <w:hideMark/>
          </w:tcPr>
          <w:p w14:paraId="3C5F91E2" w14:textId="77777777" w:rsidR="00930DDD" w:rsidRPr="00F532B8" w:rsidRDefault="00930DDD" w:rsidP="00DA525A">
            <w:pPr>
              <w:rPr>
                <w:rFonts w:ascii="Palatino Linotype" w:hAnsi="Palatino Linotype" w:cs="Arial"/>
                <w:b/>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396C5761" w14:textId="77777777" w:rsidR="00930DDD" w:rsidRPr="00F532B8" w:rsidRDefault="00930DDD" w:rsidP="00DA525A">
            <w:pPr>
              <w:ind w:right="757"/>
              <w:jc w:val="center"/>
              <w:rPr>
                <w:rFonts w:ascii="Palatino Linotype" w:hAnsi="Palatino Linotype" w:cs="Arial"/>
                <w:i/>
                <w:sz w:val="22"/>
                <w:szCs w:val="22"/>
              </w:rPr>
            </w:pPr>
            <w:r w:rsidRPr="00F532B8">
              <w:rPr>
                <w:rFonts w:ascii="Palatino Linotype" w:hAnsi="Palatino Linotype" w:cs="Arial"/>
                <w:i/>
                <w:sz w:val="22"/>
                <w:szCs w:val="22"/>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0C60FAA2" w14:textId="77777777" w:rsidR="00930DDD" w:rsidRPr="00F532B8" w:rsidRDefault="00930DDD" w:rsidP="00DA525A">
            <w:pPr>
              <w:ind w:right="757"/>
              <w:jc w:val="both"/>
              <w:rPr>
                <w:rFonts w:ascii="Palatino Linotype" w:hAnsi="Palatino Linotype" w:cs="Arial"/>
                <w:i/>
                <w:sz w:val="22"/>
                <w:szCs w:val="22"/>
              </w:rPr>
            </w:pPr>
            <w:r w:rsidRPr="00F532B8">
              <w:rPr>
                <w:rFonts w:ascii="Palatino Linotype" w:hAnsi="Palatino Linotype" w:cs="Arial"/>
                <w:i/>
                <w:sz w:val="22"/>
                <w:szCs w:val="22"/>
              </w:rPr>
              <w:t>Se señalará el nombre del ordenamiento, el o los artículos, fracción(es), párrafo(s) con base en los cuales se sustente la reserva.</w:t>
            </w:r>
          </w:p>
        </w:tc>
      </w:tr>
      <w:tr w:rsidR="00930DDD" w:rsidRPr="00F532B8" w14:paraId="3F3C41B7" w14:textId="77777777" w:rsidTr="00930DDD">
        <w:tc>
          <w:tcPr>
            <w:tcW w:w="0" w:type="auto"/>
            <w:vMerge/>
            <w:tcBorders>
              <w:top w:val="single" w:sz="4" w:space="0" w:color="auto"/>
              <w:left w:val="single" w:sz="4" w:space="0" w:color="auto"/>
              <w:bottom w:val="single" w:sz="4" w:space="0" w:color="auto"/>
              <w:right w:val="single" w:sz="4" w:space="0" w:color="auto"/>
            </w:tcBorders>
            <w:vAlign w:val="center"/>
            <w:hideMark/>
          </w:tcPr>
          <w:p w14:paraId="4DD5C79B" w14:textId="77777777" w:rsidR="00930DDD" w:rsidRPr="00F532B8" w:rsidRDefault="00930DDD" w:rsidP="00DA525A">
            <w:pPr>
              <w:rPr>
                <w:rFonts w:ascii="Palatino Linotype" w:hAnsi="Palatino Linotype" w:cs="Arial"/>
                <w:b/>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1D5768BE" w14:textId="77777777" w:rsidR="00930DDD" w:rsidRPr="00F532B8" w:rsidRDefault="00930DDD" w:rsidP="00DA525A">
            <w:pPr>
              <w:ind w:right="757"/>
              <w:jc w:val="center"/>
              <w:rPr>
                <w:rFonts w:ascii="Palatino Linotype" w:hAnsi="Palatino Linotype" w:cs="Arial"/>
                <w:i/>
                <w:sz w:val="22"/>
                <w:szCs w:val="22"/>
              </w:rPr>
            </w:pPr>
            <w:r w:rsidRPr="00F532B8">
              <w:rPr>
                <w:rFonts w:ascii="Palatino Linotype" w:hAnsi="Palatino Linotype" w:cs="Arial"/>
                <w:i/>
                <w:sz w:val="22"/>
                <w:szCs w:val="22"/>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3D59F5EC" w14:textId="77777777" w:rsidR="00930DDD" w:rsidRPr="00F532B8" w:rsidRDefault="00930DDD" w:rsidP="00DA525A">
            <w:pPr>
              <w:ind w:right="757"/>
              <w:jc w:val="both"/>
              <w:rPr>
                <w:rFonts w:ascii="Palatino Linotype" w:hAnsi="Palatino Linotype" w:cs="Arial"/>
                <w:i/>
                <w:sz w:val="22"/>
                <w:szCs w:val="22"/>
              </w:rPr>
            </w:pPr>
            <w:r w:rsidRPr="00F532B8">
              <w:rPr>
                <w:rFonts w:ascii="Palatino Linotype" w:hAnsi="Palatino Linotype" w:cs="Arial"/>
                <w:i/>
                <w:sz w:val="22"/>
                <w:szCs w:val="22"/>
              </w:rPr>
              <w:t>En caso de haber solicitado la ampliación del periodo de reserva originalmente establecido, se deberá anotar el número de años o meses por los que se amplía la reserva.</w:t>
            </w:r>
          </w:p>
        </w:tc>
      </w:tr>
      <w:tr w:rsidR="00930DDD" w:rsidRPr="00F532B8" w14:paraId="47C846BA" w14:textId="77777777" w:rsidTr="00930DDD">
        <w:tc>
          <w:tcPr>
            <w:tcW w:w="0" w:type="auto"/>
            <w:vMerge/>
            <w:tcBorders>
              <w:top w:val="single" w:sz="4" w:space="0" w:color="auto"/>
              <w:left w:val="single" w:sz="4" w:space="0" w:color="auto"/>
              <w:bottom w:val="single" w:sz="4" w:space="0" w:color="auto"/>
              <w:right w:val="single" w:sz="4" w:space="0" w:color="auto"/>
            </w:tcBorders>
            <w:vAlign w:val="center"/>
            <w:hideMark/>
          </w:tcPr>
          <w:p w14:paraId="05B1E14D" w14:textId="77777777" w:rsidR="00930DDD" w:rsidRPr="00F532B8" w:rsidRDefault="00930DDD" w:rsidP="00DA525A">
            <w:pPr>
              <w:rPr>
                <w:rFonts w:ascii="Palatino Linotype" w:hAnsi="Palatino Linotype" w:cs="Arial"/>
                <w:b/>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141CF5F5" w14:textId="77777777" w:rsidR="00930DDD" w:rsidRPr="00F532B8" w:rsidRDefault="00930DDD" w:rsidP="00DA525A">
            <w:pPr>
              <w:ind w:right="757"/>
              <w:jc w:val="center"/>
              <w:rPr>
                <w:rFonts w:ascii="Palatino Linotype" w:hAnsi="Palatino Linotype" w:cs="Arial"/>
                <w:i/>
                <w:sz w:val="22"/>
                <w:szCs w:val="22"/>
              </w:rPr>
            </w:pPr>
            <w:r w:rsidRPr="00F532B8">
              <w:rPr>
                <w:rFonts w:ascii="Palatino Linotype" w:hAnsi="Palatino Linotype" w:cs="Arial"/>
                <w:i/>
                <w:sz w:val="22"/>
                <w:szCs w:val="22"/>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36146736" w14:textId="77777777" w:rsidR="00930DDD" w:rsidRPr="00F532B8" w:rsidRDefault="00930DDD" w:rsidP="00DA525A">
            <w:pPr>
              <w:ind w:right="757"/>
              <w:jc w:val="both"/>
              <w:rPr>
                <w:rFonts w:ascii="Palatino Linotype" w:hAnsi="Palatino Linotype" w:cs="Arial"/>
                <w:i/>
                <w:sz w:val="22"/>
                <w:szCs w:val="22"/>
              </w:rPr>
            </w:pPr>
            <w:r w:rsidRPr="00F532B8">
              <w:rPr>
                <w:rFonts w:ascii="Palatino Linotype" w:hAnsi="Palatino Linotype" w:cs="Arial"/>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930DDD" w:rsidRPr="00F532B8" w14:paraId="1706E45C" w14:textId="77777777" w:rsidTr="00930DDD">
        <w:tc>
          <w:tcPr>
            <w:tcW w:w="0" w:type="auto"/>
            <w:vMerge/>
            <w:tcBorders>
              <w:top w:val="single" w:sz="4" w:space="0" w:color="auto"/>
              <w:left w:val="single" w:sz="4" w:space="0" w:color="auto"/>
              <w:bottom w:val="single" w:sz="4" w:space="0" w:color="auto"/>
              <w:right w:val="single" w:sz="4" w:space="0" w:color="auto"/>
            </w:tcBorders>
            <w:vAlign w:val="center"/>
            <w:hideMark/>
          </w:tcPr>
          <w:p w14:paraId="694E2BAE" w14:textId="77777777" w:rsidR="00930DDD" w:rsidRPr="00F532B8" w:rsidRDefault="00930DDD" w:rsidP="00DA525A">
            <w:pPr>
              <w:rPr>
                <w:rFonts w:ascii="Palatino Linotype" w:hAnsi="Palatino Linotype" w:cs="Arial"/>
                <w:b/>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76EE9171" w14:textId="77777777" w:rsidR="00930DDD" w:rsidRPr="00F532B8" w:rsidRDefault="00930DDD" w:rsidP="00DA525A">
            <w:pPr>
              <w:ind w:right="757"/>
              <w:jc w:val="center"/>
              <w:rPr>
                <w:rFonts w:ascii="Palatino Linotype" w:hAnsi="Palatino Linotype" w:cs="Arial"/>
                <w:i/>
                <w:sz w:val="22"/>
                <w:szCs w:val="22"/>
              </w:rPr>
            </w:pPr>
            <w:r w:rsidRPr="00F532B8">
              <w:rPr>
                <w:rFonts w:ascii="Palatino Linotype" w:hAnsi="Palatino Linotype" w:cs="Arial"/>
                <w:i/>
                <w:sz w:val="22"/>
                <w:szCs w:val="22"/>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394E9715" w14:textId="77777777" w:rsidR="00930DDD" w:rsidRPr="00F532B8" w:rsidRDefault="00930DDD" w:rsidP="00DA525A">
            <w:pPr>
              <w:ind w:right="757"/>
              <w:jc w:val="both"/>
              <w:rPr>
                <w:rFonts w:ascii="Palatino Linotype" w:hAnsi="Palatino Linotype" w:cs="Arial"/>
                <w:i/>
                <w:sz w:val="22"/>
                <w:szCs w:val="22"/>
              </w:rPr>
            </w:pPr>
            <w:r w:rsidRPr="00F532B8">
              <w:rPr>
                <w:rFonts w:ascii="Palatino Linotype" w:hAnsi="Palatino Linotype" w:cs="Arial"/>
                <w:i/>
                <w:sz w:val="22"/>
                <w:szCs w:val="22"/>
              </w:rPr>
              <w:t>Se señalará el nombre del ordenamiento, el o los artículos, fracción(es), párrafo(s) con base en los cuales se sustente la confidencialidad.</w:t>
            </w:r>
          </w:p>
        </w:tc>
      </w:tr>
      <w:tr w:rsidR="00930DDD" w:rsidRPr="00F532B8" w14:paraId="64C4DF3E" w14:textId="77777777" w:rsidTr="00930DDD">
        <w:tc>
          <w:tcPr>
            <w:tcW w:w="0" w:type="auto"/>
            <w:vMerge/>
            <w:tcBorders>
              <w:top w:val="single" w:sz="4" w:space="0" w:color="auto"/>
              <w:left w:val="single" w:sz="4" w:space="0" w:color="auto"/>
              <w:bottom w:val="single" w:sz="4" w:space="0" w:color="auto"/>
              <w:right w:val="single" w:sz="4" w:space="0" w:color="auto"/>
            </w:tcBorders>
            <w:vAlign w:val="center"/>
            <w:hideMark/>
          </w:tcPr>
          <w:p w14:paraId="7E736E31" w14:textId="77777777" w:rsidR="00930DDD" w:rsidRPr="00F532B8" w:rsidRDefault="00930DDD" w:rsidP="00DA525A">
            <w:pPr>
              <w:rPr>
                <w:rFonts w:ascii="Palatino Linotype" w:hAnsi="Palatino Linotype" w:cs="Arial"/>
                <w:b/>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2D5746A9" w14:textId="77777777" w:rsidR="00930DDD" w:rsidRPr="00F532B8" w:rsidRDefault="00930DDD" w:rsidP="00DA525A">
            <w:pPr>
              <w:ind w:right="757"/>
              <w:jc w:val="center"/>
              <w:rPr>
                <w:rFonts w:ascii="Palatino Linotype" w:hAnsi="Palatino Linotype" w:cs="Arial"/>
                <w:i/>
                <w:sz w:val="22"/>
                <w:szCs w:val="22"/>
              </w:rPr>
            </w:pPr>
            <w:r w:rsidRPr="00F532B8">
              <w:rPr>
                <w:rFonts w:ascii="Palatino Linotype" w:hAnsi="Palatino Linotype" w:cs="Arial"/>
                <w:i/>
                <w:sz w:val="22"/>
                <w:szCs w:val="22"/>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083E9ACA" w14:textId="77777777" w:rsidR="00930DDD" w:rsidRPr="00F532B8" w:rsidRDefault="00930DDD" w:rsidP="00DA525A">
            <w:pPr>
              <w:ind w:right="757"/>
              <w:jc w:val="both"/>
              <w:rPr>
                <w:rFonts w:ascii="Palatino Linotype" w:hAnsi="Palatino Linotype" w:cs="Arial"/>
                <w:i/>
                <w:sz w:val="22"/>
                <w:szCs w:val="22"/>
              </w:rPr>
            </w:pPr>
            <w:r w:rsidRPr="00F532B8">
              <w:rPr>
                <w:rFonts w:ascii="Palatino Linotype" w:hAnsi="Palatino Linotype" w:cs="Arial"/>
                <w:i/>
                <w:sz w:val="22"/>
                <w:szCs w:val="22"/>
              </w:rPr>
              <w:t>Rúbrica autógrafa de quien clasifica.</w:t>
            </w:r>
          </w:p>
        </w:tc>
      </w:tr>
      <w:tr w:rsidR="00930DDD" w:rsidRPr="00F532B8" w14:paraId="05B9E9DC" w14:textId="77777777" w:rsidTr="00930DDD">
        <w:tc>
          <w:tcPr>
            <w:tcW w:w="0" w:type="auto"/>
            <w:vMerge/>
            <w:tcBorders>
              <w:top w:val="single" w:sz="4" w:space="0" w:color="auto"/>
              <w:left w:val="single" w:sz="4" w:space="0" w:color="auto"/>
              <w:bottom w:val="single" w:sz="4" w:space="0" w:color="auto"/>
              <w:right w:val="single" w:sz="4" w:space="0" w:color="auto"/>
            </w:tcBorders>
            <w:vAlign w:val="center"/>
            <w:hideMark/>
          </w:tcPr>
          <w:p w14:paraId="6FB53FA3" w14:textId="77777777" w:rsidR="00930DDD" w:rsidRPr="00F532B8" w:rsidRDefault="00930DDD" w:rsidP="00DA525A">
            <w:pPr>
              <w:rPr>
                <w:rFonts w:ascii="Palatino Linotype" w:hAnsi="Palatino Linotype" w:cs="Arial"/>
                <w:b/>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1757428F" w14:textId="77777777" w:rsidR="00930DDD" w:rsidRPr="00F532B8" w:rsidRDefault="00930DDD" w:rsidP="00DA525A">
            <w:pPr>
              <w:ind w:right="757"/>
              <w:jc w:val="center"/>
              <w:rPr>
                <w:rFonts w:ascii="Palatino Linotype" w:hAnsi="Palatino Linotype" w:cs="Arial"/>
                <w:i/>
                <w:sz w:val="22"/>
                <w:szCs w:val="22"/>
              </w:rPr>
            </w:pPr>
            <w:r w:rsidRPr="00F532B8">
              <w:rPr>
                <w:rFonts w:ascii="Palatino Linotype" w:hAnsi="Palatino Linotype" w:cs="Arial"/>
                <w:i/>
                <w:sz w:val="22"/>
                <w:szCs w:val="22"/>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09A1229F" w14:textId="77777777" w:rsidR="00930DDD" w:rsidRPr="00F532B8" w:rsidRDefault="00930DDD" w:rsidP="00DA525A">
            <w:pPr>
              <w:ind w:right="757"/>
              <w:jc w:val="both"/>
              <w:rPr>
                <w:rFonts w:ascii="Palatino Linotype" w:hAnsi="Palatino Linotype" w:cs="Arial"/>
                <w:i/>
                <w:sz w:val="22"/>
                <w:szCs w:val="22"/>
              </w:rPr>
            </w:pPr>
            <w:r w:rsidRPr="00F532B8">
              <w:rPr>
                <w:rFonts w:ascii="Palatino Linotype" w:hAnsi="Palatino Linotype" w:cs="Arial"/>
                <w:i/>
                <w:sz w:val="22"/>
                <w:szCs w:val="22"/>
              </w:rPr>
              <w:t>Se anotará la fecha en que se desclasifica el documento.</w:t>
            </w:r>
          </w:p>
        </w:tc>
      </w:tr>
      <w:tr w:rsidR="00930DDD" w:rsidRPr="00F532B8" w14:paraId="0F157BF0" w14:textId="77777777" w:rsidTr="00930DDD">
        <w:tc>
          <w:tcPr>
            <w:tcW w:w="0" w:type="auto"/>
            <w:vMerge/>
            <w:tcBorders>
              <w:top w:val="single" w:sz="4" w:space="0" w:color="auto"/>
              <w:left w:val="single" w:sz="4" w:space="0" w:color="auto"/>
              <w:bottom w:val="single" w:sz="4" w:space="0" w:color="auto"/>
              <w:right w:val="single" w:sz="4" w:space="0" w:color="auto"/>
            </w:tcBorders>
            <w:vAlign w:val="center"/>
            <w:hideMark/>
          </w:tcPr>
          <w:p w14:paraId="484D43F6" w14:textId="77777777" w:rsidR="00930DDD" w:rsidRPr="00F532B8" w:rsidRDefault="00930DDD" w:rsidP="00DA525A">
            <w:pPr>
              <w:rPr>
                <w:rFonts w:ascii="Palatino Linotype" w:hAnsi="Palatino Linotype" w:cs="Arial"/>
                <w:b/>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14:paraId="57350032" w14:textId="77777777" w:rsidR="00930DDD" w:rsidRPr="00F532B8" w:rsidRDefault="00930DDD" w:rsidP="00DA525A">
            <w:pPr>
              <w:ind w:right="757"/>
              <w:jc w:val="center"/>
              <w:rPr>
                <w:rFonts w:ascii="Palatino Linotype" w:hAnsi="Palatino Linotype" w:cs="Arial"/>
                <w:i/>
                <w:sz w:val="22"/>
                <w:szCs w:val="22"/>
              </w:rPr>
            </w:pPr>
            <w:r w:rsidRPr="00F532B8">
              <w:rPr>
                <w:rFonts w:ascii="Palatino Linotype" w:hAnsi="Palatino Linotype" w:cs="Arial"/>
                <w:i/>
                <w:sz w:val="22"/>
                <w:szCs w:val="22"/>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755511D" w14:textId="77777777" w:rsidR="00930DDD" w:rsidRPr="00F532B8" w:rsidRDefault="00930DDD" w:rsidP="00DA525A">
            <w:pPr>
              <w:ind w:right="757"/>
              <w:rPr>
                <w:rFonts w:ascii="Palatino Linotype" w:hAnsi="Palatino Linotype" w:cs="Arial"/>
                <w:i/>
                <w:sz w:val="22"/>
                <w:szCs w:val="22"/>
              </w:rPr>
            </w:pPr>
            <w:r w:rsidRPr="00F532B8">
              <w:rPr>
                <w:rFonts w:ascii="Palatino Linotype" w:hAnsi="Palatino Linotype" w:cs="Arial"/>
                <w:i/>
                <w:sz w:val="22"/>
                <w:szCs w:val="22"/>
              </w:rPr>
              <w:t>Rúbrica autógrafa de quien desclasifica.</w:t>
            </w:r>
          </w:p>
        </w:tc>
      </w:tr>
    </w:tbl>
    <w:p w14:paraId="464054B8" w14:textId="77777777" w:rsidR="00930DDD" w:rsidRPr="00F532B8" w:rsidRDefault="00930DDD" w:rsidP="00DA525A">
      <w:pPr>
        <w:ind w:left="709" w:right="757"/>
        <w:jc w:val="both"/>
        <w:rPr>
          <w:rFonts w:ascii="Palatino Linotype" w:hAnsi="Palatino Linotype" w:cs="Arial"/>
          <w:i/>
          <w:sz w:val="22"/>
          <w:szCs w:val="22"/>
        </w:rPr>
      </w:pPr>
      <w:r w:rsidRPr="00F532B8">
        <w:rPr>
          <w:rFonts w:ascii="Palatino Linotype" w:hAnsi="Palatino Linotype" w:cs="Arial"/>
          <w:i/>
          <w:sz w:val="22"/>
          <w:szCs w:val="22"/>
        </w:rPr>
        <w:t>…”</w:t>
      </w:r>
    </w:p>
    <w:p w14:paraId="2CFEE8F7" w14:textId="77777777" w:rsidR="00930DDD" w:rsidRPr="00F532B8" w:rsidRDefault="00930DDD" w:rsidP="00DA525A">
      <w:pPr>
        <w:ind w:left="709" w:right="757"/>
        <w:jc w:val="both"/>
        <w:rPr>
          <w:rFonts w:ascii="Palatino Linotype" w:hAnsi="Palatino Linotype" w:cs="Arial"/>
          <w:i/>
          <w:sz w:val="22"/>
          <w:szCs w:val="22"/>
        </w:rPr>
      </w:pPr>
    </w:p>
    <w:p w14:paraId="4A3C2891" w14:textId="77777777" w:rsidR="00930DDD" w:rsidRPr="00F532B8" w:rsidRDefault="00930DDD" w:rsidP="00DA525A">
      <w:pPr>
        <w:ind w:left="709" w:right="757"/>
        <w:jc w:val="both"/>
        <w:rPr>
          <w:rFonts w:ascii="Palatino Linotype" w:hAnsi="Palatino Linotype" w:cs="Arial"/>
          <w:sz w:val="22"/>
          <w:szCs w:val="22"/>
        </w:rPr>
      </w:pPr>
      <w:r w:rsidRPr="00F532B8">
        <w:rPr>
          <w:rFonts w:ascii="Palatino Linotype" w:hAnsi="Palatino Linotype" w:cs="Arial"/>
          <w:sz w:val="22"/>
          <w:szCs w:val="22"/>
        </w:rPr>
        <w:t>(Énfasis Añadido)</w:t>
      </w:r>
    </w:p>
    <w:p w14:paraId="00ED1E8B" w14:textId="77777777" w:rsidR="00930DDD" w:rsidRPr="00F532B8" w:rsidRDefault="00930DDD" w:rsidP="00930DDD">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F532B8">
        <w:rPr>
          <w:rFonts w:ascii="Palatino Linotype" w:hAnsi="Palatino Linotype" w:cs="Arial"/>
        </w:rPr>
        <w:t>Por lo tanto,</w:t>
      </w:r>
      <w:r w:rsidRPr="00F532B8">
        <w:rPr>
          <w:rFonts w:ascii="Palatino Linotype" w:hAnsi="Palatino Linotype"/>
        </w:rPr>
        <w:t xml:space="preserve"> es importante referir que </w:t>
      </w:r>
      <w:r w:rsidRPr="00F532B8">
        <w:rPr>
          <w:rFonts w:ascii="Palatino Linotype" w:hAnsi="Palatino Linotype"/>
          <w:b/>
        </w:rPr>
        <w:t>EL SUJETO OBLIGADO</w:t>
      </w:r>
      <w:r w:rsidRPr="00F532B8">
        <w:rPr>
          <w:rFonts w:ascii="Palatino Linotype" w:hAnsi="Palatino Linotype"/>
        </w:rPr>
        <w:t xml:space="preserve"> deberá seguir el procedimiento legal establecido para su clasificación, esto es, que su Comité de</w:t>
      </w:r>
      <w:r w:rsidRPr="00F532B8">
        <w:rPr>
          <w:rFonts w:ascii="Palatino Linotype" w:hAnsi="Palatino Linotype" w:cs="Arial"/>
        </w:rPr>
        <w:t xml:space="preserve"> Transparencia emita </w:t>
      </w:r>
      <w:r w:rsidRPr="00F532B8">
        <w:rPr>
          <w:rFonts w:ascii="Palatino Linotype" w:hAnsi="Palatino Linotype" w:cs="Arial"/>
          <w:lang w:val="es-ES_tradnl"/>
        </w:rPr>
        <w:t>un</w:t>
      </w:r>
      <w:r w:rsidRPr="00F532B8">
        <w:rPr>
          <w:rFonts w:ascii="Palatino Linotype" w:hAnsi="Palatino Linotype" w:cs="Arial"/>
        </w:rPr>
        <w:t xml:space="preserve"> Acuerdo de Clasificación que cumpla con las formalidades previstas, antes citadas</w:t>
      </w:r>
      <w:r w:rsidRPr="00F532B8">
        <w:rPr>
          <w:rFonts w:ascii="Palatino Linotype" w:hAnsi="Palatino Linotype" w:cs="Arial"/>
          <w:b/>
        </w:rPr>
        <w:t xml:space="preserve"> </w:t>
      </w:r>
      <w:r w:rsidRPr="00F532B8">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3B96223" w14:textId="16E6147D" w:rsidR="00DA525A" w:rsidRPr="00F532B8" w:rsidRDefault="00DA525A" w:rsidP="00DA525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F532B8">
        <w:rPr>
          <w:rFonts w:ascii="Palatino Linotype" w:hAnsi="Palatino Linotype" w:cs="Arial"/>
          <w:color w:val="000000" w:themeColor="text1"/>
        </w:rPr>
        <w:t xml:space="preserve">En razón de lo anteriormente expuesto, este Instituto estima que las razones o motivos de inconformidad hechos valer por </w:t>
      </w:r>
      <w:r w:rsidRPr="00F532B8">
        <w:rPr>
          <w:rFonts w:ascii="Palatino Linotype" w:hAnsi="Palatino Linotype" w:cs="Arial"/>
          <w:b/>
          <w:color w:val="000000" w:themeColor="text1"/>
        </w:rPr>
        <w:t>EL RECURRENTE</w:t>
      </w:r>
      <w:r w:rsidRPr="00F532B8">
        <w:rPr>
          <w:rFonts w:ascii="Palatino Linotype" w:hAnsi="Palatino Linotype" w:cs="Arial"/>
          <w:color w:val="000000" w:themeColor="text1"/>
        </w:rPr>
        <w:t xml:space="preserve"> devienen </w:t>
      </w:r>
      <w:r w:rsidRPr="00F532B8">
        <w:rPr>
          <w:rFonts w:ascii="Palatino Linotype" w:hAnsi="Palatino Linotype" w:cs="Arial"/>
          <w:b/>
          <w:color w:val="000000" w:themeColor="text1"/>
        </w:rPr>
        <w:t>parcialmente fundadas</w:t>
      </w:r>
      <w:r w:rsidRPr="00F532B8">
        <w:rPr>
          <w:rFonts w:ascii="Palatino Linotype" w:hAnsi="Palatino Linotype" w:cs="Arial"/>
          <w:color w:val="000000" w:themeColor="text1"/>
        </w:rPr>
        <w:t xml:space="preserve"> debido a que si bien refirió que no se hizo la búsqueda y que la respuesta no colmo su requerimiento; también lo es que, solicitó se sancionara al servidor púbico habilitado competente; sin embargo, se le hace de conocimiento que el </w:t>
      </w:r>
      <w:r w:rsidR="004836D6" w:rsidRPr="00F532B8">
        <w:rPr>
          <w:rFonts w:ascii="Palatino Linotype" w:hAnsi="Palatino Linotype" w:cs="Arial"/>
          <w:color w:val="000000" w:themeColor="text1"/>
        </w:rPr>
        <w:t>Recurso de Revisión</w:t>
      </w:r>
      <w:r w:rsidRPr="00F532B8">
        <w:rPr>
          <w:rFonts w:ascii="Palatino Linotype" w:hAnsi="Palatino Linotype" w:cs="Arial"/>
          <w:color w:val="000000" w:themeColor="text1"/>
        </w:rPr>
        <w:t xml:space="preserve"> no es el medio para determinar el grado de responsabilidad de los servidores públicos y en consecuencia establecer una sanción; motivo por el cual, se determina </w:t>
      </w:r>
      <w:r w:rsidR="00602171" w:rsidRPr="00F532B8">
        <w:rPr>
          <w:rFonts w:ascii="Palatino Linotype" w:hAnsi="Palatino Linotype" w:cs="Arial"/>
          <w:b/>
          <w:color w:val="000000" w:themeColor="text1"/>
        </w:rPr>
        <w:t>Revocar</w:t>
      </w:r>
      <w:r w:rsidRPr="00F532B8">
        <w:rPr>
          <w:rFonts w:ascii="Palatino Linotype" w:hAnsi="Palatino Linotype" w:cs="Arial"/>
          <w:b/>
          <w:color w:val="000000" w:themeColor="text1"/>
        </w:rPr>
        <w:t xml:space="preserve"> </w:t>
      </w:r>
      <w:r w:rsidRPr="00F532B8">
        <w:rPr>
          <w:rFonts w:ascii="Palatino Linotype" w:hAnsi="Palatino Linotype" w:cs="Arial"/>
          <w:color w:val="000000" w:themeColor="text1"/>
        </w:rPr>
        <w:t xml:space="preserve">la respuesta del </w:t>
      </w:r>
      <w:r w:rsidRPr="00F532B8">
        <w:rPr>
          <w:rFonts w:ascii="Palatino Linotype" w:hAnsi="Palatino Linotype" w:cs="Arial"/>
          <w:b/>
          <w:color w:val="000000" w:themeColor="text1"/>
        </w:rPr>
        <w:t>SUJETO OBLIGADO</w:t>
      </w:r>
      <w:r w:rsidRPr="00F532B8">
        <w:rPr>
          <w:rFonts w:ascii="Palatino Linotype" w:hAnsi="Palatino Linotype" w:cs="Arial"/>
          <w:color w:val="000000" w:themeColor="text1"/>
        </w:rPr>
        <w:t xml:space="preserve"> y ordenarle haga entrega del de la información referida en el presente considerando de estudio.</w:t>
      </w:r>
    </w:p>
    <w:p w14:paraId="19F68F91" w14:textId="77777777" w:rsidR="00DA525A" w:rsidRPr="00F532B8" w:rsidRDefault="00DA525A">
      <w:pPr>
        <w:spacing w:line="360" w:lineRule="auto"/>
        <w:jc w:val="both"/>
        <w:rPr>
          <w:rFonts w:ascii="Palatino Linotype" w:eastAsia="Palatino Linotype" w:hAnsi="Palatino Linotype" w:cs="Palatino Linotype"/>
        </w:rPr>
      </w:pPr>
    </w:p>
    <w:p w14:paraId="22EE6B28" w14:textId="77777777" w:rsidR="007F31B5" w:rsidRPr="00F532B8" w:rsidRDefault="00A47F90">
      <w:pPr>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2F91A593" w14:textId="77777777" w:rsidR="007F31B5" w:rsidRPr="00F532B8" w:rsidRDefault="007F31B5">
      <w:pPr>
        <w:spacing w:line="360" w:lineRule="auto"/>
        <w:jc w:val="both"/>
        <w:rPr>
          <w:rFonts w:ascii="Palatino Linotype" w:eastAsia="Palatino Linotype" w:hAnsi="Palatino Linotype" w:cs="Palatino Linotype"/>
        </w:rPr>
      </w:pPr>
    </w:p>
    <w:p w14:paraId="0189D7E7" w14:textId="77777777" w:rsidR="007F31B5" w:rsidRPr="00F532B8" w:rsidRDefault="00A47F90">
      <w:pPr>
        <w:spacing w:line="360" w:lineRule="auto"/>
        <w:jc w:val="center"/>
        <w:rPr>
          <w:rFonts w:ascii="Palatino Linotype" w:eastAsia="Palatino Linotype" w:hAnsi="Palatino Linotype" w:cs="Palatino Linotype"/>
          <w:b/>
          <w:sz w:val="26"/>
          <w:szCs w:val="26"/>
        </w:rPr>
      </w:pPr>
      <w:r w:rsidRPr="00F532B8">
        <w:rPr>
          <w:rFonts w:ascii="Palatino Linotype" w:eastAsia="Palatino Linotype" w:hAnsi="Palatino Linotype" w:cs="Palatino Linotype"/>
          <w:b/>
          <w:sz w:val="26"/>
          <w:szCs w:val="26"/>
        </w:rPr>
        <w:t>RESUELVE</w:t>
      </w:r>
    </w:p>
    <w:p w14:paraId="202C6C6F" w14:textId="6573E7D2" w:rsidR="007F31B5" w:rsidRPr="00F532B8" w:rsidRDefault="00A47F90">
      <w:pPr>
        <w:spacing w:line="360" w:lineRule="auto"/>
        <w:ind w:right="49"/>
        <w:jc w:val="both"/>
        <w:rPr>
          <w:rFonts w:ascii="Palatino Linotype" w:eastAsia="Palatino Linotype" w:hAnsi="Palatino Linotype" w:cs="Palatino Linotype"/>
        </w:rPr>
      </w:pPr>
      <w:r w:rsidRPr="00F532B8">
        <w:rPr>
          <w:rFonts w:ascii="Palatino Linotype" w:eastAsia="Palatino Linotype" w:hAnsi="Palatino Linotype" w:cs="Palatino Linotype"/>
          <w:b/>
          <w:sz w:val="28"/>
          <w:szCs w:val="28"/>
        </w:rPr>
        <w:t>PRIMERO</w:t>
      </w:r>
      <w:r w:rsidRPr="00F532B8">
        <w:rPr>
          <w:rFonts w:ascii="Palatino Linotype" w:eastAsia="Palatino Linotype" w:hAnsi="Palatino Linotype" w:cs="Palatino Linotype"/>
          <w:b/>
        </w:rPr>
        <w:t>.</w:t>
      </w:r>
      <w:r w:rsidRPr="00F532B8">
        <w:rPr>
          <w:rFonts w:ascii="Palatino Linotype" w:eastAsia="Palatino Linotype" w:hAnsi="Palatino Linotype" w:cs="Palatino Linotype"/>
        </w:rPr>
        <w:t xml:space="preserve"> Resultan </w:t>
      </w:r>
      <w:r w:rsidR="00602171" w:rsidRPr="00F532B8">
        <w:rPr>
          <w:rFonts w:ascii="Palatino Linotype" w:eastAsia="Palatino Linotype" w:hAnsi="Palatino Linotype" w:cs="Palatino Linotype"/>
          <w:b/>
        </w:rPr>
        <w:t>parcialmente f</w:t>
      </w:r>
      <w:r w:rsidRPr="00F532B8">
        <w:rPr>
          <w:rFonts w:ascii="Palatino Linotype" w:eastAsia="Palatino Linotype" w:hAnsi="Palatino Linotype" w:cs="Palatino Linotype"/>
          <w:b/>
        </w:rPr>
        <w:t>undados</w:t>
      </w:r>
      <w:r w:rsidRPr="00F532B8">
        <w:rPr>
          <w:rFonts w:ascii="Palatino Linotype" w:eastAsia="Palatino Linotype" w:hAnsi="Palatino Linotype" w:cs="Palatino Linotype"/>
        </w:rPr>
        <w:t xml:space="preserve"> los motivos de inconformidad hechos valer por </w:t>
      </w:r>
      <w:r w:rsidRPr="00F532B8">
        <w:rPr>
          <w:rFonts w:ascii="Palatino Linotype" w:eastAsia="Palatino Linotype" w:hAnsi="Palatino Linotype" w:cs="Palatino Linotype"/>
          <w:b/>
        </w:rPr>
        <w:t>EL RECURRENTE</w:t>
      </w:r>
      <w:r w:rsidRPr="00F532B8">
        <w:rPr>
          <w:rFonts w:ascii="Palatino Linotype" w:eastAsia="Palatino Linotype" w:hAnsi="Palatino Linotype" w:cs="Palatino Linotype"/>
        </w:rPr>
        <w:t xml:space="preserve"> en el </w:t>
      </w:r>
      <w:r w:rsidR="004836D6" w:rsidRPr="00F532B8">
        <w:rPr>
          <w:rFonts w:ascii="Palatino Linotype" w:eastAsia="Palatino Linotype" w:hAnsi="Palatino Linotype" w:cs="Palatino Linotype"/>
        </w:rPr>
        <w:t>Recurso de Revisión</w:t>
      </w:r>
      <w:r w:rsidRPr="00F532B8">
        <w:rPr>
          <w:rFonts w:ascii="Palatino Linotype" w:eastAsia="Palatino Linotype" w:hAnsi="Palatino Linotype" w:cs="Palatino Linotype"/>
        </w:rPr>
        <w:t xml:space="preserve"> </w:t>
      </w:r>
      <w:r w:rsidR="00602171" w:rsidRPr="00F532B8">
        <w:rPr>
          <w:rFonts w:ascii="Palatino Linotype" w:eastAsia="Palatino Linotype" w:hAnsi="Palatino Linotype" w:cs="Palatino Linotype"/>
          <w:b/>
        </w:rPr>
        <w:t>00642</w:t>
      </w:r>
      <w:r w:rsidRPr="00F532B8">
        <w:rPr>
          <w:rFonts w:ascii="Palatino Linotype" w:eastAsia="Palatino Linotype" w:hAnsi="Palatino Linotype" w:cs="Palatino Linotype"/>
          <w:b/>
        </w:rPr>
        <w:t>/INFOEM/IP/RR/2022</w:t>
      </w:r>
      <w:r w:rsidRPr="00F532B8">
        <w:rPr>
          <w:rFonts w:ascii="Palatino Linotype" w:eastAsia="Palatino Linotype" w:hAnsi="Palatino Linotype" w:cs="Palatino Linotype"/>
        </w:rPr>
        <w:t xml:space="preserve">, en términos del considerando </w:t>
      </w:r>
      <w:r w:rsidRPr="00F532B8">
        <w:rPr>
          <w:rFonts w:ascii="Palatino Linotype" w:eastAsia="Palatino Linotype" w:hAnsi="Palatino Linotype" w:cs="Palatino Linotype"/>
          <w:b/>
        </w:rPr>
        <w:t>QUINTO</w:t>
      </w:r>
      <w:r w:rsidRPr="00F532B8">
        <w:rPr>
          <w:rFonts w:ascii="Palatino Linotype" w:eastAsia="Palatino Linotype" w:hAnsi="Palatino Linotype" w:cs="Palatino Linotype"/>
        </w:rPr>
        <w:t>.</w:t>
      </w:r>
    </w:p>
    <w:p w14:paraId="6348A04C" w14:textId="77777777" w:rsidR="007F31B5" w:rsidRPr="00F532B8" w:rsidRDefault="007F31B5">
      <w:pPr>
        <w:spacing w:line="360" w:lineRule="auto"/>
        <w:ind w:right="49"/>
        <w:jc w:val="both"/>
        <w:rPr>
          <w:rFonts w:ascii="Palatino Linotype" w:eastAsia="Palatino Linotype" w:hAnsi="Palatino Linotype" w:cs="Palatino Linotype"/>
        </w:rPr>
      </w:pPr>
    </w:p>
    <w:p w14:paraId="743A799E" w14:textId="77777777" w:rsidR="007F31B5" w:rsidRPr="00F532B8" w:rsidRDefault="00A47F90">
      <w:pPr>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b/>
          <w:sz w:val="28"/>
          <w:szCs w:val="28"/>
        </w:rPr>
        <w:t>SEGUNDO</w:t>
      </w:r>
      <w:r w:rsidRPr="00F532B8">
        <w:rPr>
          <w:rFonts w:ascii="Palatino Linotype" w:eastAsia="Palatino Linotype" w:hAnsi="Palatino Linotype" w:cs="Palatino Linotype"/>
          <w:b/>
        </w:rPr>
        <w:t xml:space="preserve">. </w:t>
      </w:r>
      <w:r w:rsidRPr="00F532B8">
        <w:rPr>
          <w:rFonts w:ascii="Palatino Linotype" w:eastAsia="Palatino Linotype" w:hAnsi="Palatino Linotype" w:cs="Palatino Linotype"/>
        </w:rPr>
        <w:t xml:space="preserve">Se </w:t>
      </w:r>
      <w:r w:rsidRPr="00F532B8">
        <w:rPr>
          <w:rFonts w:ascii="Palatino Linotype" w:eastAsia="Palatino Linotype" w:hAnsi="Palatino Linotype" w:cs="Palatino Linotype"/>
          <w:b/>
        </w:rPr>
        <w:t xml:space="preserve">REVOCA </w:t>
      </w:r>
      <w:r w:rsidRPr="00F532B8">
        <w:rPr>
          <w:rFonts w:ascii="Palatino Linotype" w:eastAsia="Palatino Linotype" w:hAnsi="Palatino Linotype" w:cs="Palatino Linotype"/>
        </w:rPr>
        <w:t xml:space="preserve">la respuesta emitida por </w:t>
      </w:r>
      <w:r w:rsidRPr="00F532B8">
        <w:rPr>
          <w:rFonts w:ascii="Palatino Linotype" w:eastAsia="Palatino Linotype" w:hAnsi="Palatino Linotype" w:cs="Palatino Linotype"/>
          <w:b/>
        </w:rPr>
        <w:t>EL</w:t>
      </w:r>
      <w:r w:rsidRPr="00F532B8">
        <w:rPr>
          <w:rFonts w:ascii="Palatino Linotype" w:eastAsia="Palatino Linotype" w:hAnsi="Palatino Linotype" w:cs="Palatino Linotype"/>
        </w:rPr>
        <w:t xml:space="preserve"> </w:t>
      </w:r>
      <w:r w:rsidRPr="00F532B8">
        <w:rPr>
          <w:rFonts w:ascii="Palatino Linotype" w:eastAsia="Palatino Linotype" w:hAnsi="Palatino Linotype" w:cs="Palatino Linotype"/>
          <w:b/>
        </w:rPr>
        <w:t>SUJETO OBLIGADO</w:t>
      </w:r>
      <w:r w:rsidRPr="00F532B8">
        <w:rPr>
          <w:rFonts w:ascii="Palatino Linotype" w:eastAsia="Palatino Linotype" w:hAnsi="Palatino Linotype" w:cs="Palatino Linotype"/>
        </w:rPr>
        <w:t xml:space="preserve"> y se ordena que en términos del Considerando </w:t>
      </w:r>
      <w:r w:rsidR="00602171" w:rsidRPr="00F532B8">
        <w:rPr>
          <w:rFonts w:ascii="Palatino Linotype" w:eastAsia="Palatino Linotype" w:hAnsi="Palatino Linotype" w:cs="Palatino Linotype"/>
          <w:b/>
        </w:rPr>
        <w:t>QUINTO</w:t>
      </w:r>
      <w:r w:rsidR="00602171" w:rsidRPr="00F532B8">
        <w:rPr>
          <w:rFonts w:ascii="Palatino Linotype" w:eastAsia="Palatino Linotype" w:hAnsi="Palatino Linotype" w:cs="Palatino Linotype"/>
        </w:rPr>
        <w:t xml:space="preserve"> </w:t>
      </w:r>
      <w:r w:rsidRPr="00F532B8">
        <w:rPr>
          <w:rFonts w:ascii="Palatino Linotype" w:eastAsia="Palatino Linotype" w:hAnsi="Palatino Linotype" w:cs="Palatino Linotype"/>
        </w:rPr>
        <w:t>haga entrega a</w:t>
      </w:r>
      <w:r w:rsidR="00602171" w:rsidRPr="00F532B8">
        <w:rPr>
          <w:rFonts w:ascii="Palatino Linotype" w:eastAsia="Palatino Linotype" w:hAnsi="Palatino Linotype" w:cs="Palatino Linotype"/>
        </w:rPr>
        <w:t xml:space="preserve">l </w:t>
      </w:r>
      <w:r w:rsidRPr="00F532B8">
        <w:rPr>
          <w:rFonts w:ascii="Palatino Linotype" w:eastAsia="Palatino Linotype" w:hAnsi="Palatino Linotype" w:cs="Palatino Linotype"/>
          <w:b/>
        </w:rPr>
        <w:t xml:space="preserve">RECURRENTE </w:t>
      </w:r>
      <w:r w:rsidRPr="00F532B8">
        <w:rPr>
          <w:rFonts w:ascii="Palatino Linotype" w:eastAsia="Palatino Linotype" w:hAnsi="Palatino Linotype" w:cs="Palatino Linotype"/>
        </w:rPr>
        <w:t xml:space="preserve">mediante el Sistema de Acceso a la Información Mexiquense (SAIMEX), en </w:t>
      </w:r>
      <w:r w:rsidRPr="00F532B8">
        <w:rPr>
          <w:rFonts w:ascii="Palatino Linotype" w:eastAsia="Palatino Linotype" w:hAnsi="Palatino Linotype" w:cs="Palatino Linotype"/>
          <w:b/>
        </w:rPr>
        <w:t>versión</w:t>
      </w:r>
      <w:r w:rsidRPr="00F532B8">
        <w:rPr>
          <w:rFonts w:ascii="Palatino Linotype" w:eastAsia="Palatino Linotype" w:hAnsi="Palatino Linotype" w:cs="Palatino Linotype"/>
        </w:rPr>
        <w:t xml:space="preserve"> </w:t>
      </w:r>
      <w:r w:rsidRPr="00F532B8">
        <w:rPr>
          <w:rFonts w:ascii="Palatino Linotype" w:eastAsia="Palatino Linotype" w:hAnsi="Palatino Linotype" w:cs="Palatino Linotype"/>
          <w:b/>
        </w:rPr>
        <w:t>pública</w:t>
      </w:r>
      <w:r w:rsidRPr="00F532B8">
        <w:rPr>
          <w:rFonts w:ascii="Palatino Linotype" w:eastAsia="Palatino Linotype" w:hAnsi="Palatino Linotype" w:cs="Palatino Linotype"/>
        </w:rPr>
        <w:t xml:space="preserve"> de lo siguiente: </w:t>
      </w:r>
    </w:p>
    <w:p w14:paraId="0258A5D4" w14:textId="77777777" w:rsidR="00602171" w:rsidRPr="00F532B8" w:rsidRDefault="00602171">
      <w:pPr>
        <w:tabs>
          <w:tab w:val="left" w:pos="709"/>
        </w:tabs>
        <w:ind w:left="850" w:right="899"/>
        <w:jc w:val="both"/>
        <w:rPr>
          <w:rFonts w:ascii="Palatino Linotype" w:eastAsia="Palatino Linotype" w:hAnsi="Palatino Linotype" w:cs="Palatino Linotype"/>
          <w:i/>
          <w:sz w:val="22"/>
          <w:szCs w:val="22"/>
        </w:rPr>
      </w:pPr>
    </w:p>
    <w:p w14:paraId="1DDE5A35" w14:textId="4AF13DBA" w:rsidR="00602171" w:rsidRPr="00F532B8" w:rsidRDefault="00F41500" w:rsidP="000368D1">
      <w:pPr>
        <w:tabs>
          <w:tab w:val="left" w:pos="709"/>
        </w:tabs>
        <w:ind w:left="850" w:right="899"/>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 xml:space="preserve">“La propuesta de la Directora General del Sistema Municipal para el Desarrollo Integral de la Familia de Metepec, </w:t>
      </w:r>
      <w:r w:rsidR="00602171" w:rsidRPr="00F532B8">
        <w:rPr>
          <w:rFonts w:ascii="Palatino Linotype" w:eastAsia="Palatino Linotype" w:hAnsi="Palatino Linotype" w:cs="Palatino Linotype"/>
          <w:i/>
          <w:sz w:val="22"/>
          <w:szCs w:val="22"/>
        </w:rPr>
        <w:t>donde consten l</w:t>
      </w:r>
      <w:r w:rsidRPr="00F532B8">
        <w:rPr>
          <w:rFonts w:ascii="Palatino Linotype" w:eastAsia="Palatino Linotype" w:hAnsi="Palatino Linotype" w:cs="Palatino Linotype"/>
          <w:i/>
          <w:sz w:val="22"/>
          <w:szCs w:val="22"/>
        </w:rPr>
        <w:t xml:space="preserve">as autorizaciones para la suscripción de bienes en comodato con </w:t>
      </w:r>
      <w:r w:rsidRPr="00F532B8">
        <w:rPr>
          <w:rFonts w:ascii="Palatino Linotype" w:eastAsia="Palatino Linotype" w:hAnsi="Palatino Linotype" w:cs="Palatino Linotype"/>
          <w:b/>
          <w:i/>
          <w:sz w:val="22"/>
          <w:szCs w:val="22"/>
        </w:rPr>
        <w:t>EL SUJETO OBLIGADO</w:t>
      </w:r>
      <w:r w:rsidR="00602171" w:rsidRPr="00F532B8">
        <w:rPr>
          <w:rFonts w:ascii="Palatino Linotype" w:eastAsia="Palatino Linotype" w:hAnsi="Palatino Linotype" w:cs="Palatino Linotype"/>
          <w:i/>
          <w:sz w:val="22"/>
          <w:szCs w:val="22"/>
        </w:rPr>
        <w:t xml:space="preserve"> al 13 de enero de 2022</w:t>
      </w:r>
      <w:r w:rsidR="000368D1" w:rsidRPr="00F532B8">
        <w:rPr>
          <w:rFonts w:ascii="Palatino Linotype" w:eastAsia="Palatino Linotype" w:hAnsi="Palatino Linotype" w:cs="Palatino Linotype"/>
          <w:i/>
          <w:sz w:val="22"/>
          <w:szCs w:val="22"/>
        </w:rPr>
        <w:t>.</w:t>
      </w:r>
    </w:p>
    <w:p w14:paraId="763772D4" w14:textId="77777777" w:rsidR="00602171" w:rsidRPr="00F532B8" w:rsidRDefault="00602171" w:rsidP="00602171">
      <w:pPr>
        <w:tabs>
          <w:tab w:val="left" w:pos="709"/>
        </w:tabs>
        <w:ind w:left="850" w:right="899"/>
        <w:jc w:val="both"/>
        <w:rPr>
          <w:rFonts w:ascii="Palatino Linotype" w:eastAsia="Palatino Linotype" w:hAnsi="Palatino Linotype" w:cs="Palatino Linotype"/>
          <w:i/>
          <w:sz w:val="22"/>
          <w:szCs w:val="22"/>
        </w:rPr>
      </w:pPr>
    </w:p>
    <w:p w14:paraId="483D1C1C" w14:textId="77777777" w:rsidR="00602171" w:rsidRPr="00F532B8" w:rsidRDefault="00602171" w:rsidP="00602171">
      <w:pPr>
        <w:tabs>
          <w:tab w:val="left" w:pos="709"/>
        </w:tabs>
        <w:ind w:left="850" w:right="899"/>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 xml:space="preserve">Por otro lado, de ser el caso de que el Ayuntamiento no tenga bienes en comodato, con el Sistema Municipal para el Desarrollo Integral de la Familia </w:t>
      </w:r>
      <w:r w:rsidR="000368D1" w:rsidRPr="00F532B8">
        <w:rPr>
          <w:rFonts w:ascii="Palatino Linotype" w:eastAsia="Palatino Linotype" w:hAnsi="Palatino Linotype" w:cs="Palatino Linotype"/>
          <w:i/>
          <w:sz w:val="22"/>
          <w:szCs w:val="22"/>
        </w:rPr>
        <w:t xml:space="preserve">de </w:t>
      </w:r>
      <w:r w:rsidRPr="00F532B8">
        <w:rPr>
          <w:rFonts w:ascii="Palatino Linotype" w:eastAsia="Palatino Linotype" w:hAnsi="Palatino Linotype" w:cs="Palatino Linotype"/>
          <w:i/>
          <w:sz w:val="22"/>
          <w:szCs w:val="22"/>
        </w:rPr>
        <w:t>Metepec deberá hacerlo del conocimiento del particular</w:t>
      </w:r>
      <w:r w:rsidR="000368D1" w:rsidRPr="00F532B8">
        <w:rPr>
          <w:rFonts w:ascii="Palatino Linotype" w:eastAsia="Palatino Linotype" w:hAnsi="Palatino Linotype" w:cs="Palatino Linotype"/>
          <w:i/>
          <w:sz w:val="22"/>
          <w:szCs w:val="22"/>
        </w:rPr>
        <w:t xml:space="preserve">. </w:t>
      </w:r>
    </w:p>
    <w:p w14:paraId="6B6C49FE" w14:textId="77777777" w:rsidR="00602171" w:rsidRPr="00F532B8" w:rsidRDefault="00602171">
      <w:pPr>
        <w:tabs>
          <w:tab w:val="left" w:pos="709"/>
        </w:tabs>
        <w:ind w:left="850" w:right="899"/>
        <w:jc w:val="both"/>
        <w:rPr>
          <w:rFonts w:ascii="Palatino Linotype" w:eastAsia="Palatino Linotype" w:hAnsi="Palatino Linotype" w:cs="Palatino Linotype"/>
          <w:i/>
          <w:sz w:val="22"/>
          <w:szCs w:val="22"/>
        </w:rPr>
      </w:pPr>
    </w:p>
    <w:p w14:paraId="345F7DB9" w14:textId="77777777" w:rsidR="007F31B5" w:rsidRPr="00F532B8" w:rsidRDefault="00A47F90">
      <w:pPr>
        <w:tabs>
          <w:tab w:val="left" w:pos="709"/>
        </w:tabs>
        <w:ind w:left="850" w:right="899"/>
        <w:jc w:val="both"/>
        <w:rPr>
          <w:rFonts w:ascii="Palatino Linotype" w:eastAsia="Palatino Linotype" w:hAnsi="Palatino Linotype" w:cs="Palatino Linotype"/>
          <w:i/>
          <w:sz w:val="22"/>
          <w:szCs w:val="22"/>
        </w:rPr>
      </w:pPr>
      <w:r w:rsidRPr="00F532B8">
        <w:rPr>
          <w:rFonts w:ascii="Palatino Linotype" w:eastAsia="Palatino Linotype" w:hAnsi="Palatino Linotype" w:cs="Palatino Linotype"/>
          <w:i/>
          <w:sz w:val="22"/>
          <w:szCs w:val="22"/>
        </w:rPr>
        <w:t>Debiendo notificar a</w:t>
      </w:r>
      <w:r w:rsidR="000368D1" w:rsidRPr="00F532B8">
        <w:rPr>
          <w:rFonts w:ascii="Palatino Linotype" w:eastAsia="Palatino Linotype" w:hAnsi="Palatino Linotype" w:cs="Palatino Linotype"/>
          <w:i/>
          <w:sz w:val="22"/>
          <w:szCs w:val="22"/>
        </w:rPr>
        <w:t xml:space="preserve">l </w:t>
      </w:r>
      <w:r w:rsidRPr="00F532B8">
        <w:rPr>
          <w:rFonts w:ascii="Palatino Linotype" w:eastAsia="Palatino Linotype" w:hAnsi="Palatino Linotype" w:cs="Palatino Linotype"/>
          <w:b/>
          <w:i/>
          <w:sz w:val="22"/>
          <w:szCs w:val="22"/>
        </w:rPr>
        <w:t>RECURRENTE</w:t>
      </w:r>
      <w:r w:rsidRPr="00F532B8">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 de ser procedente.</w:t>
      </w:r>
    </w:p>
    <w:p w14:paraId="4E670423" w14:textId="77777777" w:rsidR="00547BB1" w:rsidRPr="00F532B8" w:rsidRDefault="00547BB1">
      <w:pPr>
        <w:spacing w:line="360" w:lineRule="auto"/>
        <w:ind w:left="850"/>
        <w:jc w:val="both"/>
        <w:rPr>
          <w:rFonts w:ascii="Palatino Linotype" w:eastAsia="Palatino Linotype" w:hAnsi="Palatino Linotype" w:cs="Palatino Linotype"/>
        </w:rPr>
      </w:pPr>
    </w:p>
    <w:p w14:paraId="61169C10" w14:textId="77777777" w:rsidR="007F31B5" w:rsidRPr="00F532B8" w:rsidRDefault="00A47F90">
      <w:pPr>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b/>
          <w:sz w:val="28"/>
          <w:szCs w:val="28"/>
        </w:rPr>
        <w:lastRenderedPageBreak/>
        <w:t>TERCERO</w:t>
      </w:r>
      <w:r w:rsidRPr="00F532B8">
        <w:rPr>
          <w:rFonts w:ascii="Palatino Linotype" w:eastAsia="Palatino Linotype" w:hAnsi="Palatino Linotype" w:cs="Palatino Linotype"/>
          <w:b/>
        </w:rPr>
        <w:t>. Notifíquese</w:t>
      </w:r>
      <w:r w:rsidRPr="00F532B8">
        <w:rPr>
          <w:rFonts w:ascii="Palatino Linotype" w:eastAsia="Palatino Linotype" w:hAnsi="Palatino Linotype" w:cs="Palatino Linotype"/>
          <w:b/>
          <w:i/>
        </w:rPr>
        <w:t xml:space="preserve"> </w:t>
      </w:r>
      <w:r w:rsidRPr="00F532B8">
        <w:rPr>
          <w:rFonts w:ascii="Palatino Linotype" w:eastAsia="Palatino Linotype" w:hAnsi="Palatino Linotype" w:cs="Palatino Linotype"/>
        </w:rPr>
        <w:t>al Titular de la Unidad de Transparencia del</w:t>
      </w:r>
      <w:r w:rsidRPr="00F532B8">
        <w:rPr>
          <w:rFonts w:ascii="Palatino Linotype" w:eastAsia="Palatino Linotype" w:hAnsi="Palatino Linotype" w:cs="Palatino Linotype"/>
          <w:b/>
        </w:rPr>
        <w:t xml:space="preserve"> </w:t>
      </w:r>
      <w:r w:rsidRPr="00F532B8">
        <w:rPr>
          <w:rFonts w:ascii="Palatino Linotype" w:eastAsia="Palatino Linotype" w:hAnsi="Palatino Linotype" w:cs="Palatino Linotype"/>
        </w:rPr>
        <w:t>Sujeto Obligado por medio del Sistema de Acceso a la Información Mexiquense (</w:t>
      </w:r>
      <w:r w:rsidRPr="00F532B8">
        <w:rPr>
          <w:rFonts w:ascii="Palatino Linotype" w:eastAsia="Palatino Linotype" w:hAnsi="Palatino Linotype" w:cs="Palatino Linotype"/>
          <w:b/>
        </w:rPr>
        <w:t>SAIMEX),</w:t>
      </w:r>
      <w:r w:rsidRPr="00F532B8">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B6DFA7D" w14:textId="77777777" w:rsidR="007F31B5" w:rsidRPr="00F532B8" w:rsidRDefault="00A47F90">
      <w:pPr>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b/>
          <w:sz w:val="28"/>
          <w:szCs w:val="28"/>
        </w:rPr>
        <w:t>CUARTO</w:t>
      </w:r>
      <w:r w:rsidRPr="00F532B8">
        <w:rPr>
          <w:rFonts w:ascii="Palatino Linotype" w:eastAsia="Palatino Linotype" w:hAnsi="Palatino Linotype" w:cs="Palatino Linotype"/>
          <w:b/>
        </w:rPr>
        <w:t xml:space="preserve">. </w:t>
      </w:r>
      <w:r w:rsidRPr="00F532B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2F5DBD" w14:textId="77777777" w:rsidR="007F31B5" w:rsidRPr="00F532B8" w:rsidRDefault="007F31B5">
      <w:pPr>
        <w:spacing w:line="360" w:lineRule="auto"/>
        <w:jc w:val="both"/>
        <w:rPr>
          <w:rFonts w:ascii="Palatino Linotype" w:eastAsia="Palatino Linotype" w:hAnsi="Palatino Linotype" w:cs="Palatino Linotype"/>
          <w:b/>
        </w:rPr>
      </w:pPr>
    </w:p>
    <w:p w14:paraId="052BC45A" w14:textId="77777777" w:rsidR="007F31B5" w:rsidRPr="00F532B8" w:rsidRDefault="00A47F90">
      <w:pPr>
        <w:spacing w:line="360" w:lineRule="auto"/>
        <w:jc w:val="both"/>
        <w:rPr>
          <w:rFonts w:ascii="Palatino Linotype" w:eastAsia="Palatino Linotype" w:hAnsi="Palatino Linotype" w:cs="Palatino Linotype"/>
          <w:b/>
          <w:sz w:val="28"/>
          <w:szCs w:val="28"/>
        </w:rPr>
      </w:pPr>
      <w:r w:rsidRPr="00F532B8">
        <w:rPr>
          <w:rFonts w:ascii="Palatino Linotype" w:eastAsia="Palatino Linotype" w:hAnsi="Palatino Linotype" w:cs="Palatino Linotype"/>
          <w:b/>
          <w:sz w:val="28"/>
          <w:szCs w:val="28"/>
        </w:rPr>
        <w:t>QUINTO</w:t>
      </w:r>
      <w:r w:rsidRPr="00F532B8">
        <w:rPr>
          <w:rFonts w:ascii="Palatino Linotype" w:eastAsia="Palatino Linotype" w:hAnsi="Palatino Linotype" w:cs="Palatino Linotype"/>
          <w:b/>
        </w:rPr>
        <w:t xml:space="preserve">. Notifíquese </w:t>
      </w:r>
      <w:r w:rsidRPr="00F532B8">
        <w:rPr>
          <w:rFonts w:ascii="Palatino Linotype" w:eastAsia="Palatino Linotype" w:hAnsi="Palatino Linotype" w:cs="Palatino Linotype"/>
        </w:rPr>
        <w:t xml:space="preserve">la presente resolución al </w:t>
      </w:r>
      <w:r w:rsidR="000368D1" w:rsidRPr="00F532B8">
        <w:rPr>
          <w:rFonts w:ascii="Palatino Linotype" w:eastAsia="Palatino Linotype" w:hAnsi="Palatino Linotype" w:cs="Palatino Linotype"/>
          <w:b/>
        </w:rPr>
        <w:t>RECURRENTE</w:t>
      </w:r>
      <w:r w:rsidR="000368D1" w:rsidRPr="00F532B8">
        <w:rPr>
          <w:rFonts w:ascii="Palatino Linotype" w:eastAsia="Palatino Linotype" w:hAnsi="Palatino Linotype" w:cs="Palatino Linotype"/>
        </w:rPr>
        <w:t xml:space="preserve"> </w:t>
      </w:r>
      <w:r w:rsidRPr="00F532B8">
        <w:rPr>
          <w:rFonts w:ascii="Palatino Linotype" w:eastAsia="Palatino Linotype" w:hAnsi="Palatino Linotype" w:cs="Palatino Linotype"/>
        </w:rPr>
        <w:t>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7B185602" w14:textId="77777777" w:rsidR="007F31B5" w:rsidRPr="00F532B8" w:rsidRDefault="007F31B5">
      <w:pPr>
        <w:spacing w:line="360" w:lineRule="auto"/>
        <w:jc w:val="both"/>
        <w:rPr>
          <w:rFonts w:ascii="Palatino Linotype" w:eastAsia="Palatino Linotype" w:hAnsi="Palatino Linotype" w:cs="Palatino Linotype"/>
        </w:rPr>
      </w:pPr>
    </w:p>
    <w:p w14:paraId="6FA87619" w14:textId="0CCF679F" w:rsidR="007F31B5" w:rsidRPr="00F532B8" w:rsidRDefault="00A47F90">
      <w:pPr>
        <w:spacing w:line="360" w:lineRule="auto"/>
        <w:jc w:val="both"/>
        <w:rPr>
          <w:rFonts w:ascii="Palatino Linotype" w:eastAsia="Palatino Linotype" w:hAnsi="Palatino Linotype" w:cs="Palatino Linotype"/>
        </w:rPr>
      </w:pPr>
      <w:r w:rsidRPr="00F532B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F532B8">
        <w:rPr>
          <w:rFonts w:ascii="Palatino Linotype" w:eastAsia="Palatino Linotype" w:hAnsi="Palatino Linotype" w:cs="Palatino Linotype"/>
        </w:rPr>
        <w:lastRenderedPageBreak/>
        <w:t>NORIEGA Y GUADALUPE RAMÍREZ PEÑA; EN LA DÉCIMA</w:t>
      </w:r>
      <w:r w:rsidR="00196147">
        <w:rPr>
          <w:rFonts w:ascii="Palatino Linotype" w:eastAsia="Palatino Linotype" w:hAnsi="Palatino Linotype" w:cs="Palatino Linotype"/>
        </w:rPr>
        <w:t xml:space="preserve"> QUINTA</w:t>
      </w:r>
      <w:r w:rsidRPr="00F532B8">
        <w:rPr>
          <w:rFonts w:ascii="Palatino Linotype" w:eastAsia="Palatino Linotype" w:hAnsi="Palatino Linotype" w:cs="Palatino Linotype"/>
        </w:rPr>
        <w:t xml:space="preserve"> SESIÓN ORDINARIA CELEBRADA EL </w:t>
      </w:r>
      <w:r w:rsidR="000368D1" w:rsidRPr="00F532B8">
        <w:rPr>
          <w:rFonts w:ascii="Palatino Linotype" w:eastAsia="Palatino Linotype" w:hAnsi="Palatino Linotype" w:cs="Palatino Linotype"/>
        </w:rPr>
        <w:t xml:space="preserve">VEINTISIETE DE ABRIL </w:t>
      </w:r>
      <w:r w:rsidRPr="00F532B8">
        <w:rPr>
          <w:rFonts w:ascii="Palatino Linotype" w:eastAsia="Palatino Linotype" w:hAnsi="Palatino Linotype" w:cs="Palatino Linotype"/>
        </w:rPr>
        <w:t>DE DOS MIL VEINTIDÓS, ANTE EL SECRETARIO TÉCNICO DEL PLENO, ALEXIS TAPIA RAMÍREZ.</w:t>
      </w:r>
    </w:p>
    <w:p w14:paraId="2CC78229" w14:textId="406A3E93" w:rsidR="007F31B5" w:rsidRDefault="00A47F90">
      <w:pPr>
        <w:spacing w:line="360" w:lineRule="auto"/>
        <w:jc w:val="both"/>
        <w:rPr>
          <w:rFonts w:ascii="Palatino Linotype" w:eastAsia="Palatino Linotype" w:hAnsi="Palatino Linotype" w:cs="Palatino Linotype"/>
          <w:sz w:val="14"/>
          <w:szCs w:val="14"/>
        </w:rPr>
      </w:pPr>
      <w:r w:rsidRPr="00F532B8">
        <w:rPr>
          <w:rFonts w:ascii="Palatino Linotype" w:eastAsia="Palatino Linotype" w:hAnsi="Palatino Linotype" w:cs="Palatino Linotype"/>
          <w:sz w:val="14"/>
          <w:szCs w:val="14"/>
        </w:rPr>
        <w:t>SCMM/BLA/DEMF/</w:t>
      </w:r>
      <w:r w:rsidR="00C10DFD" w:rsidRPr="00F532B8">
        <w:rPr>
          <w:rFonts w:ascii="Palatino Linotype" w:eastAsia="Palatino Linotype" w:hAnsi="Palatino Linotype" w:cs="Palatino Linotype"/>
          <w:sz w:val="14"/>
          <w:szCs w:val="14"/>
        </w:rPr>
        <w:t>AMV</w:t>
      </w:r>
    </w:p>
    <w:p w14:paraId="7CD93A14" w14:textId="77777777" w:rsidR="007F31B5" w:rsidRDefault="00A47F90">
      <w:pPr>
        <w:rPr>
          <w:rFonts w:ascii="Palatino Linotype" w:eastAsia="Palatino Linotype" w:hAnsi="Palatino Linotype" w:cs="Palatino Linotype"/>
        </w:rPr>
      </w:pPr>
      <w:r>
        <w:br w:type="page"/>
      </w:r>
    </w:p>
    <w:p w14:paraId="349613A4" w14:textId="77777777" w:rsidR="007F31B5" w:rsidRDefault="007F31B5">
      <w:pPr>
        <w:spacing w:line="360" w:lineRule="auto"/>
        <w:jc w:val="both"/>
        <w:rPr>
          <w:rFonts w:ascii="Palatino Linotype" w:eastAsia="Palatino Linotype" w:hAnsi="Palatino Linotype" w:cs="Palatino Linotype"/>
        </w:rPr>
      </w:pPr>
    </w:p>
    <w:p w14:paraId="7C7C5683" w14:textId="77777777" w:rsidR="007F31B5" w:rsidRDefault="007F31B5">
      <w:pPr>
        <w:spacing w:line="360" w:lineRule="auto"/>
        <w:jc w:val="both"/>
        <w:rPr>
          <w:rFonts w:ascii="Palatino Linotype" w:eastAsia="Palatino Linotype" w:hAnsi="Palatino Linotype" w:cs="Palatino Linotype"/>
        </w:rPr>
      </w:pPr>
    </w:p>
    <w:sectPr w:rsidR="007F31B5">
      <w:headerReference w:type="even" r:id="rId10"/>
      <w:headerReference w:type="default" r:id="rId11"/>
      <w:footerReference w:type="default" r:id="rId12"/>
      <w:headerReference w:type="first" r:id="rId13"/>
      <w:footerReference w:type="first" r:id="rId14"/>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51E6" w14:textId="77777777" w:rsidR="00D66E0C" w:rsidRDefault="00D66E0C">
      <w:r>
        <w:separator/>
      </w:r>
    </w:p>
  </w:endnote>
  <w:endnote w:type="continuationSeparator" w:id="0">
    <w:p w14:paraId="395BA57D" w14:textId="77777777" w:rsidR="00D66E0C" w:rsidRDefault="00D6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5E3D" w14:textId="77777777" w:rsidR="00930DDD" w:rsidRDefault="00930D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241D4">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241D4">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744B" w14:textId="77777777" w:rsidR="00930DDD" w:rsidRDefault="00930DD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241D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241D4">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4D0A" w14:textId="77777777" w:rsidR="00D66E0C" w:rsidRDefault="00D66E0C">
      <w:r>
        <w:separator/>
      </w:r>
    </w:p>
  </w:footnote>
  <w:footnote w:type="continuationSeparator" w:id="0">
    <w:p w14:paraId="666ED33E" w14:textId="77777777" w:rsidR="00D66E0C" w:rsidRDefault="00D66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230E" w14:textId="77777777" w:rsidR="00930DDD" w:rsidRDefault="009E6CD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9C63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FC0F" w14:textId="77777777" w:rsidR="00930DDD" w:rsidRDefault="009E6CD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449E8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8"/>
      <w:tblW w:w="9534" w:type="dxa"/>
      <w:tblInd w:w="-142" w:type="dxa"/>
      <w:tblLayout w:type="fixed"/>
      <w:tblLook w:val="0400" w:firstRow="0" w:lastRow="0" w:firstColumn="0" w:lastColumn="0" w:noHBand="0" w:noVBand="1"/>
    </w:tblPr>
    <w:tblGrid>
      <w:gridCol w:w="3261"/>
      <w:gridCol w:w="2551"/>
      <w:gridCol w:w="3722"/>
    </w:tblGrid>
    <w:tr w:rsidR="00930DDD" w14:paraId="1FA11E3E" w14:textId="77777777">
      <w:tc>
        <w:tcPr>
          <w:tcW w:w="3261" w:type="dxa"/>
          <w:vMerge w:val="restart"/>
        </w:tcPr>
        <w:p w14:paraId="3A60CE0D" w14:textId="77777777" w:rsidR="00930DDD" w:rsidRDefault="00930DDD">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0B5669A" wp14:editId="1A2DE8D5">
                <wp:extent cx="1692162" cy="852673"/>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ECD9347" w14:textId="77777777" w:rsidR="00930DDD" w:rsidRDefault="00930DD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1F97DA5E" w14:textId="77777777" w:rsidR="00930DDD" w:rsidRDefault="00930DDD">
          <w:pPr>
            <w:jc w:val="both"/>
            <w:rPr>
              <w:rFonts w:ascii="Palatino Linotype" w:eastAsia="Palatino Linotype" w:hAnsi="Palatino Linotype" w:cs="Palatino Linotype"/>
              <w:b/>
            </w:rPr>
          </w:pPr>
          <w:r>
            <w:rPr>
              <w:rFonts w:ascii="Palatino Linotype" w:eastAsia="Palatino Linotype" w:hAnsi="Palatino Linotype" w:cs="Palatino Linotype"/>
              <w:b/>
            </w:rPr>
            <w:t>00642/INFOEM/IP/RR/2022</w:t>
          </w:r>
        </w:p>
      </w:tc>
    </w:tr>
    <w:tr w:rsidR="00930DDD" w14:paraId="7243DFCD" w14:textId="77777777">
      <w:tc>
        <w:tcPr>
          <w:tcW w:w="3261" w:type="dxa"/>
          <w:vMerge/>
        </w:tcPr>
        <w:p w14:paraId="0311FF0D" w14:textId="77777777" w:rsidR="00930DDD" w:rsidRDefault="00930DD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47256FC" w14:textId="77777777" w:rsidR="00930DDD" w:rsidRDefault="00930DD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17FE369" w14:textId="77777777" w:rsidR="00930DDD" w:rsidRDefault="00930DDD" w:rsidP="00786E0D">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930DDD" w14:paraId="5A076AD1" w14:textId="77777777">
      <w:trPr>
        <w:trHeight w:val="228"/>
      </w:trPr>
      <w:tc>
        <w:tcPr>
          <w:tcW w:w="3261" w:type="dxa"/>
          <w:vMerge/>
        </w:tcPr>
        <w:p w14:paraId="30ED9F34" w14:textId="77777777" w:rsidR="00930DDD" w:rsidRDefault="00930DD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7015EBD" w14:textId="77777777" w:rsidR="00930DDD" w:rsidRDefault="00930DD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7A9C521F" w14:textId="77777777" w:rsidR="00930DDD" w:rsidRDefault="00930DDD">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999C1FE" w14:textId="77777777" w:rsidR="00930DDD" w:rsidRDefault="00930DD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2D7F" w14:textId="77777777" w:rsidR="00930DDD" w:rsidRDefault="009E6CD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E49E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9"/>
      <w:tblW w:w="9900" w:type="dxa"/>
      <w:tblInd w:w="-833" w:type="dxa"/>
      <w:tblLayout w:type="fixed"/>
      <w:tblLook w:val="0400" w:firstRow="0" w:lastRow="0" w:firstColumn="0" w:lastColumn="0" w:noHBand="0" w:noVBand="1"/>
    </w:tblPr>
    <w:tblGrid>
      <w:gridCol w:w="3805"/>
      <w:gridCol w:w="3000"/>
      <w:gridCol w:w="3095"/>
    </w:tblGrid>
    <w:tr w:rsidR="00930DDD" w14:paraId="66AE78D7" w14:textId="77777777">
      <w:tc>
        <w:tcPr>
          <w:tcW w:w="3805" w:type="dxa"/>
          <w:vMerge w:val="restart"/>
          <w:shd w:val="clear" w:color="auto" w:fill="auto"/>
        </w:tcPr>
        <w:p w14:paraId="375613F0" w14:textId="77777777" w:rsidR="00930DDD" w:rsidRDefault="00930DDD">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332FC5B" wp14:editId="7607EB39">
                <wp:extent cx="1692162" cy="852673"/>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7C47BDDE" w14:textId="77777777" w:rsidR="00930DDD" w:rsidRDefault="00930DD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74BEC20" w14:textId="77777777" w:rsidR="00930DDD" w:rsidRDefault="00930DD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00642/INFOEM/IP/RR/2022 </w:t>
          </w:r>
        </w:p>
      </w:tc>
    </w:tr>
    <w:tr w:rsidR="00930DDD" w14:paraId="444F3CFA" w14:textId="77777777">
      <w:tc>
        <w:tcPr>
          <w:tcW w:w="3805" w:type="dxa"/>
          <w:vMerge/>
          <w:shd w:val="clear" w:color="auto" w:fill="auto"/>
        </w:tcPr>
        <w:p w14:paraId="4E5EBB8D" w14:textId="77777777" w:rsidR="00930DDD" w:rsidRDefault="00930DD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34DFC32" w14:textId="77777777" w:rsidR="00930DDD" w:rsidRDefault="00930DDD">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1D0DA31" w14:textId="77777777" w:rsidR="00930DDD" w:rsidRDefault="00930DDD" w:rsidP="00616357">
          <w:pPr>
            <w:jc w:val="both"/>
            <w:rPr>
              <w:rFonts w:ascii="Palatino Linotype" w:eastAsia="Palatino Linotype" w:hAnsi="Palatino Linotype" w:cs="Palatino Linotype"/>
              <w:b/>
            </w:rPr>
          </w:pPr>
        </w:p>
      </w:tc>
    </w:tr>
    <w:tr w:rsidR="00930DDD" w14:paraId="5EFA859E" w14:textId="77777777">
      <w:trPr>
        <w:trHeight w:val="228"/>
      </w:trPr>
      <w:tc>
        <w:tcPr>
          <w:tcW w:w="3805" w:type="dxa"/>
          <w:vMerge/>
          <w:shd w:val="clear" w:color="auto" w:fill="auto"/>
        </w:tcPr>
        <w:p w14:paraId="2EE31EFC" w14:textId="77777777" w:rsidR="00930DDD" w:rsidRDefault="00930DD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A28840F" w14:textId="77777777" w:rsidR="00930DDD" w:rsidRDefault="00930DD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F5F1D79" w14:textId="77777777" w:rsidR="00930DDD" w:rsidRDefault="00930DDD" w:rsidP="0061635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r>
            <w:rPr>
              <w:rFonts w:ascii="Palatino Linotype" w:eastAsia="Palatino Linotype" w:hAnsi="Palatino Linotype" w:cs="Palatino Linotype"/>
              <w:b/>
              <w:lang w:val="es-419"/>
            </w:rPr>
            <w:t>Metepec</w:t>
          </w:r>
          <w:r>
            <w:rPr>
              <w:rFonts w:ascii="Palatino Linotype" w:eastAsia="Palatino Linotype" w:hAnsi="Palatino Linotype" w:cs="Palatino Linotype"/>
              <w:b/>
            </w:rPr>
            <w:t xml:space="preserve"> </w:t>
          </w:r>
        </w:p>
      </w:tc>
    </w:tr>
    <w:tr w:rsidR="00930DDD" w14:paraId="5EB20E4D" w14:textId="77777777">
      <w:tc>
        <w:tcPr>
          <w:tcW w:w="3805" w:type="dxa"/>
          <w:vMerge/>
          <w:shd w:val="clear" w:color="auto" w:fill="auto"/>
        </w:tcPr>
        <w:p w14:paraId="4BE4F65C" w14:textId="77777777" w:rsidR="00930DDD" w:rsidRDefault="00930DD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9CBF9D8" w14:textId="77777777" w:rsidR="00930DDD" w:rsidRDefault="00930DD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13CA5D1" w14:textId="77777777" w:rsidR="00930DDD" w:rsidRDefault="00930DD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FDB95D5" w14:textId="77777777" w:rsidR="00930DDD" w:rsidRDefault="00930DD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17490"/>
    <w:multiLevelType w:val="hybridMultilevel"/>
    <w:tmpl w:val="EE5AB68C"/>
    <w:lvl w:ilvl="0" w:tplc="50A2BCFA">
      <w:start w:val="1"/>
      <w:numFmt w:val="decimal"/>
      <w:lvlText w:val="%1."/>
      <w:lvlJc w:val="left"/>
      <w:pPr>
        <w:ind w:left="2771" w:hanging="360"/>
      </w:pPr>
      <w:rPr>
        <w:rFonts w:ascii="Palatino Linotype" w:hAnsi="Palatino Linotype" w:hint="default"/>
        <w:b/>
        <w:i w:val="0"/>
        <w:sz w:val="24"/>
      </w:rPr>
    </w:lvl>
    <w:lvl w:ilvl="1" w:tplc="080A0017">
      <w:start w:val="1"/>
      <w:numFmt w:val="lowerLetter"/>
      <w:lvlText w:val="%2)"/>
      <w:lvlJc w:val="left"/>
      <w:pPr>
        <w:ind w:left="3851" w:hanging="360"/>
      </w:pPr>
      <w:rPr>
        <w:rFonts w:hint="default"/>
        <w:b/>
      </w:rPr>
    </w:lvl>
    <w:lvl w:ilvl="2" w:tplc="C38C83DA">
      <w:start w:val="1"/>
      <w:numFmt w:val="lowerLetter"/>
      <w:lvlText w:val="%3)"/>
      <w:lvlJc w:val="left"/>
      <w:pPr>
        <w:ind w:left="4571" w:hanging="180"/>
      </w:pPr>
      <w:rPr>
        <w:rFonts w:hint="default"/>
        <w:b/>
        <w:bCs/>
      </w:rPr>
    </w:lvl>
    <w:lvl w:ilvl="3" w:tplc="24FE874A">
      <w:start w:val="1"/>
      <w:numFmt w:val="lowerRoman"/>
      <w:lvlText w:val="%4."/>
      <w:lvlJc w:val="right"/>
      <w:pPr>
        <w:ind w:left="5291" w:hanging="360"/>
      </w:pPr>
      <w:rPr>
        <w:rFonts w:hint="default"/>
        <w:b/>
        <w:bCs/>
      </w:rPr>
    </w:lvl>
    <w:lvl w:ilvl="4" w:tplc="080A0019" w:tentative="1">
      <w:start w:val="1"/>
      <w:numFmt w:val="lowerLetter"/>
      <w:lvlText w:val="%5."/>
      <w:lvlJc w:val="left"/>
      <w:pPr>
        <w:ind w:left="6011" w:hanging="360"/>
      </w:pPr>
    </w:lvl>
    <w:lvl w:ilvl="5" w:tplc="080A001B" w:tentative="1">
      <w:start w:val="1"/>
      <w:numFmt w:val="lowerRoman"/>
      <w:lvlText w:val="%6."/>
      <w:lvlJc w:val="right"/>
      <w:pPr>
        <w:ind w:left="6731" w:hanging="180"/>
      </w:pPr>
    </w:lvl>
    <w:lvl w:ilvl="6" w:tplc="080A000F" w:tentative="1">
      <w:start w:val="1"/>
      <w:numFmt w:val="decimal"/>
      <w:lvlText w:val="%7."/>
      <w:lvlJc w:val="left"/>
      <w:pPr>
        <w:ind w:left="7451" w:hanging="360"/>
      </w:pPr>
    </w:lvl>
    <w:lvl w:ilvl="7" w:tplc="080A0019" w:tentative="1">
      <w:start w:val="1"/>
      <w:numFmt w:val="lowerLetter"/>
      <w:lvlText w:val="%8."/>
      <w:lvlJc w:val="left"/>
      <w:pPr>
        <w:ind w:left="8171" w:hanging="360"/>
      </w:pPr>
    </w:lvl>
    <w:lvl w:ilvl="8" w:tplc="080A001B" w:tentative="1">
      <w:start w:val="1"/>
      <w:numFmt w:val="lowerRoman"/>
      <w:lvlText w:val="%9."/>
      <w:lvlJc w:val="right"/>
      <w:pPr>
        <w:ind w:left="8891" w:hanging="180"/>
      </w:pPr>
    </w:lvl>
  </w:abstractNum>
  <w:abstractNum w:abstractNumId="1" w15:restartNumberingAfterBreak="0">
    <w:nsid w:val="5EF40E21"/>
    <w:multiLevelType w:val="multilevel"/>
    <w:tmpl w:val="6DB64E8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709308888">
    <w:abstractNumId w:val="1"/>
  </w:num>
  <w:num w:numId="2" w16cid:durableId="146519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B5"/>
    <w:rsid w:val="000040DC"/>
    <w:rsid w:val="000368D1"/>
    <w:rsid w:val="000B7987"/>
    <w:rsid w:val="000E6DC7"/>
    <w:rsid w:val="00190645"/>
    <w:rsid w:val="00196147"/>
    <w:rsid w:val="00295877"/>
    <w:rsid w:val="002E6DBA"/>
    <w:rsid w:val="00381947"/>
    <w:rsid w:val="00384D51"/>
    <w:rsid w:val="004326A6"/>
    <w:rsid w:val="004836D6"/>
    <w:rsid w:val="004E0382"/>
    <w:rsid w:val="004F53D9"/>
    <w:rsid w:val="00532F66"/>
    <w:rsid w:val="00547BB1"/>
    <w:rsid w:val="00573227"/>
    <w:rsid w:val="005B2712"/>
    <w:rsid w:val="005D7646"/>
    <w:rsid w:val="00602171"/>
    <w:rsid w:val="00616357"/>
    <w:rsid w:val="007471B0"/>
    <w:rsid w:val="00755D3C"/>
    <w:rsid w:val="00786E0D"/>
    <w:rsid w:val="007A1B31"/>
    <w:rsid w:val="007F31B5"/>
    <w:rsid w:val="00930DDD"/>
    <w:rsid w:val="009E6CD9"/>
    <w:rsid w:val="00A115CB"/>
    <w:rsid w:val="00A25420"/>
    <w:rsid w:val="00A47F90"/>
    <w:rsid w:val="00AC60E1"/>
    <w:rsid w:val="00AF2CA3"/>
    <w:rsid w:val="00C10DFD"/>
    <w:rsid w:val="00C11430"/>
    <w:rsid w:val="00C241D4"/>
    <w:rsid w:val="00CD73C8"/>
    <w:rsid w:val="00D15858"/>
    <w:rsid w:val="00D22518"/>
    <w:rsid w:val="00D66E0C"/>
    <w:rsid w:val="00DA525A"/>
    <w:rsid w:val="00E61185"/>
    <w:rsid w:val="00EF5B4D"/>
    <w:rsid w:val="00F15DC0"/>
    <w:rsid w:val="00F41500"/>
    <w:rsid w:val="00F53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638AE7"/>
  <w15:docId w15:val="{1D4B07BD-C383-4A33-8D02-D060DCE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UaxyhxTS2TR5L37aXFhBcGzBQ==">AMUW2mU6LBsdl5mU8ixgZ1IFHKzb7qP4Nk1BNQbzugpwui3/cUCM1E8F9P5pbHRYQvwJ8KW66ZWN8GxAVO3XMBKP/z2YSvXdrxt1pX3UU7yDbcJ5cnu/xIaoI0gzfCWRafGW4LdBy/BF3PFgG+sHMOWEABAgOuoSuNuV4W40AjehcRcSp4jwII/p5pXGMbxrY9mk1fFexNhObFphAg8aJ7Cw/tel0VVMSA==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9519</Words>
  <Characters>52355</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9</cp:revision>
  <cp:lastPrinted>2022-05-02T01:15:00Z</cp:lastPrinted>
  <dcterms:created xsi:type="dcterms:W3CDTF">2022-04-22T00:37:00Z</dcterms:created>
  <dcterms:modified xsi:type="dcterms:W3CDTF">2022-05-02T01:15:00Z</dcterms:modified>
</cp:coreProperties>
</file>