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E402A" w14:textId="61361E3E" w:rsidR="009F09BC" w:rsidRPr="00B07D19" w:rsidRDefault="009F09BC" w:rsidP="009F09BC">
      <w:pPr>
        <w:tabs>
          <w:tab w:val="left" w:pos="3465"/>
        </w:tabs>
        <w:spacing w:before="240" w:after="360" w:line="360" w:lineRule="auto"/>
        <w:jc w:val="both"/>
        <w:rPr>
          <w:rFonts w:ascii="Palatino Linotype" w:hAnsi="Palatino Linotype"/>
        </w:rPr>
      </w:pPr>
      <w:r w:rsidRPr="00B07D1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640CA" w:rsidRPr="00B07D19">
        <w:rPr>
          <w:rFonts w:ascii="Palatino Linotype" w:hAnsi="Palatino Linotype"/>
        </w:rPr>
        <w:t>veintiocho</w:t>
      </w:r>
      <w:r w:rsidR="006A04B6" w:rsidRPr="00B07D19">
        <w:rPr>
          <w:rFonts w:ascii="Palatino Linotype" w:hAnsi="Palatino Linotype"/>
        </w:rPr>
        <w:t xml:space="preserve"> (</w:t>
      </w:r>
      <w:r w:rsidR="003F3D13" w:rsidRPr="00B07D19">
        <w:rPr>
          <w:rFonts w:ascii="Palatino Linotype" w:hAnsi="Palatino Linotype"/>
        </w:rPr>
        <w:t>2</w:t>
      </w:r>
      <w:r w:rsidR="00A640CA" w:rsidRPr="00B07D19">
        <w:rPr>
          <w:rFonts w:ascii="Palatino Linotype" w:hAnsi="Palatino Linotype"/>
        </w:rPr>
        <w:t>8</w:t>
      </w:r>
      <w:r w:rsidRPr="00B07D19">
        <w:rPr>
          <w:rFonts w:ascii="Palatino Linotype" w:hAnsi="Palatino Linotype"/>
        </w:rPr>
        <w:t xml:space="preserve">) de </w:t>
      </w:r>
      <w:r w:rsidR="003F3D13" w:rsidRPr="00B07D19">
        <w:rPr>
          <w:rFonts w:ascii="Palatino Linotype" w:hAnsi="Palatino Linotype"/>
        </w:rPr>
        <w:t>septiembre</w:t>
      </w:r>
      <w:r w:rsidR="00E61C13" w:rsidRPr="00B07D19">
        <w:rPr>
          <w:rFonts w:ascii="Palatino Linotype" w:hAnsi="Palatino Linotype"/>
        </w:rPr>
        <w:t xml:space="preserve"> de dos mil veintidós</w:t>
      </w:r>
      <w:r w:rsidRPr="00B07D19">
        <w:rPr>
          <w:rFonts w:ascii="Palatino Linotype" w:hAnsi="Palatino Linotype"/>
        </w:rPr>
        <w:t>.</w:t>
      </w:r>
    </w:p>
    <w:p w14:paraId="3010761B" w14:textId="2346FA6E" w:rsidR="009F09BC" w:rsidRPr="00B07D19" w:rsidRDefault="009F09BC" w:rsidP="009F09BC">
      <w:pPr>
        <w:spacing w:before="240" w:after="360" w:line="360" w:lineRule="auto"/>
        <w:jc w:val="both"/>
        <w:rPr>
          <w:rFonts w:ascii="Palatino Linotype" w:hAnsi="Palatino Linotype"/>
          <w:b/>
        </w:rPr>
      </w:pPr>
      <w:r w:rsidRPr="00B07D19">
        <w:rPr>
          <w:rFonts w:ascii="Palatino Linotype" w:hAnsi="Palatino Linotype"/>
          <w:b/>
        </w:rPr>
        <w:t>VISTO</w:t>
      </w:r>
      <w:r w:rsidRPr="00B07D19">
        <w:rPr>
          <w:rFonts w:ascii="Palatino Linotype" w:hAnsi="Palatino Linotype"/>
        </w:rPr>
        <w:t xml:space="preserve"> </w:t>
      </w:r>
      <w:r w:rsidR="008A699B" w:rsidRPr="00B07D19">
        <w:rPr>
          <w:rFonts w:ascii="Palatino Linotype" w:hAnsi="Palatino Linotype"/>
        </w:rPr>
        <w:t>e</w:t>
      </w:r>
      <w:r w:rsidRPr="00B07D19">
        <w:rPr>
          <w:rFonts w:ascii="Palatino Linotype" w:hAnsi="Palatino Linotype"/>
        </w:rPr>
        <w:t xml:space="preserve">l expediente electrónico formado con motivo del recurso de revisión </w:t>
      </w:r>
      <w:r w:rsidR="003F3D13" w:rsidRPr="00B07D19">
        <w:rPr>
          <w:rFonts w:ascii="Palatino Linotype" w:hAnsi="Palatino Linotype"/>
          <w:b/>
        </w:rPr>
        <w:t>13953/INFOEM/IP/RR/2022</w:t>
      </w:r>
      <w:r w:rsidRPr="00B07D19">
        <w:rPr>
          <w:rFonts w:ascii="Palatino Linotype" w:hAnsi="Palatino Linotype"/>
        </w:rPr>
        <w:t>,</w:t>
      </w:r>
      <w:r w:rsidRPr="00B07D19">
        <w:rPr>
          <w:rFonts w:ascii="Palatino Linotype" w:hAnsi="Palatino Linotype" w:cs="Arial"/>
          <w:b/>
          <w:bCs/>
        </w:rPr>
        <w:t xml:space="preserve"> </w:t>
      </w:r>
      <w:r w:rsidRPr="00B07D19">
        <w:rPr>
          <w:rFonts w:ascii="Palatino Linotype" w:hAnsi="Palatino Linotype"/>
        </w:rPr>
        <w:t xml:space="preserve">promovido por </w:t>
      </w:r>
      <w:r w:rsidR="00B07D19" w:rsidRPr="00B07D19">
        <w:rPr>
          <w:rFonts w:ascii="Palatino Linotype" w:hAnsi="Palatino Linotype"/>
          <w:b/>
        </w:rPr>
        <w:t>XXXX XXXX XXXX</w:t>
      </w:r>
      <w:r w:rsidRPr="00B07D19">
        <w:rPr>
          <w:rFonts w:ascii="Palatino Linotype" w:hAnsi="Palatino Linotype"/>
        </w:rPr>
        <w:t xml:space="preserve">, a quien en lo sucesivo se le identificará como </w:t>
      </w:r>
      <w:r w:rsidR="003F3D13" w:rsidRPr="00B07D19">
        <w:rPr>
          <w:rFonts w:ascii="Palatino Linotype" w:hAnsi="Palatino Linotype"/>
          <w:b/>
        </w:rPr>
        <w:t>LA RECURRENTE</w:t>
      </w:r>
      <w:r w:rsidRPr="00B07D19">
        <w:rPr>
          <w:rFonts w:ascii="Palatino Linotype" w:hAnsi="Palatino Linotype" w:cs="Arial"/>
        </w:rPr>
        <w:t xml:space="preserve">, en contra de la respuesta del </w:t>
      </w:r>
      <w:r w:rsidR="003F3D13" w:rsidRPr="00B07D19">
        <w:rPr>
          <w:rFonts w:ascii="Palatino Linotype" w:hAnsi="Palatino Linotype" w:cs="Arial"/>
          <w:b/>
        </w:rPr>
        <w:t>Ayuntamiento de Ixtapaluca</w:t>
      </w:r>
      <w:r w:rsidRPr="00B07D19">
        <w:rPr>
          <w:rFonts w:ascii="Palatino Linotype" w:hAnsi="Palatino Linotype" w:cs="Arial"/>
          <w:b/>
        </w:rPr>
        <w:t>,</w:t>
      </w:r>
      <w:r w:rsidRPr="00B07D19">
        <w:rPr>
          <w:rFonts w:ascii="Palatino Linotype" w:hAnsi="Palatino Linotype"/>
          <w:b/>
        </w:rPr>
        <w:t xml:space="preserve"> </w:t>
      </w:r>
      <w:r w:rsidRPr="00B07D19">
        <w:rPr>
          <w:rFonts w:ascii="Palatino Linotype" w:hAnsi="Palatino Linotype"/>
        </w:rPr>
        <w:t>en lo sucesivo el</w:t>
      </w:r>
      <w:r w:rsidRPr="00B07D19">
        <w:rPr>
          <w:rFonts w:ascii="Palatino Linotype" w:hAnsi="Palatino Linotype"/>
          <w:b/>
        </w:rPr>
        <w:t xml:space="preserve"> SUJETO OBLIGADO</w:t>
      </w:r>
      <w:r w:rsidRPr="00B07D19">
        <w:rPr>
          <w:rFonts w:ascii="Palatino Linotype" w:hAnsi="Palatino Linotype"/>
        </w:rPr>
        <w:t>, se procede a dictar la presente resolución, con base en los siguientes:</w:t>
      </w:r>
    </w:p>
    <w:p w14:paraId="028FC48D" w14:textId="77777777" w:rsidR="009F09BC" w:rsidRPr="00B07D19"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07D19">
        <w:rPr>
          <w:rFonts w:ascii="Palatino Linotype" w:hAnsi="Palatino Linotype"/>
          <w:b/>
          <w:color w:val="000000" w:themeColor="text1"/>
          <w:sz w:val="24"/>
          <w:szCs w:val="24"/>
        </w:rPr>
        <w:t>ANTECEDENTES</w:t>
      </w:r>
      <w:bookmarkEnd w:id="0"/>
      <w:bookmarkEnd w:id="1"/>
      <w:bookmarkEnd w:id="2"/>
    </w:p>
    <w:p w14:paraId="6074076C" w14:textId="77777777" w:rsidR="009F09BC" w:rsidRPr="00B07D19" w:rsidRDefault="009F09BC" w:rsidP="00650964">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B07D19">
        <w:rPr>
          <w:rFonts w:ascii="Palatino Linotype" w:eastAsia="Calibri" w:hAnsi="Palatino Linotype" w:cs="Arial"/>
          <w:lang w:val="es-ES"/>
        </w:rPr>
        <w:t xml:space="preserve">El día </w:t>
      </w:r>
      <w:r w:rsidR="009971AC" w:rsidRPr="00B07D19">
        <w:rPr>
          <w:rFonts w:ascii="Palatino Linotype" w:eastAsia="Calibri" w:hAnsi="Palatino Linotype" w:cs="Arial"/>
          <w:lang w:val="es-ES"/>
        </w:rPr>
        <w:t>uno</w:t>
      </w:r>
      <w:r w:rsidRPr="00B07D19">
        <w:rPr>
          <w:rFonts w:ascii="Palatino Linotype" w:eastAsia="Calibri" w:hAnsi="Palatino Linotype" w:cs="Arial"/>
          <w:lang w:val="es-ES"/>
        </w:rPr>
        <w:t xml:space="preserve"> (</w:t>
      </w:r>
      <w:r w:rsidR="00650964" w:rsidRPr="00B07D19">
        <w:rPr>
          <w:rFonts w:ascii="Palatino Linotype" w:eastAsia="Calibri" w:hAnsi="Palatino Linotype" w:cs="Arial"/>
          <w:lang w:val="es-ES"/>
        </w:rPr>
        <w:t>0</w:t>
      </w:r>
      <w:r w:rsidR="009971AC" w:rsidRPr="00B07D19">
        <w:rPr>
          <w:rFonts w:ascii="Palatino Linotype" w:eastAsia="Calibri" w:hAnsi="Palatino Linotype" w:cs="Arial"/>
          <w:lang w:val="es-ES"/>
        </w:rPr>
        <w:t>1</w:t>
      </w:r>
      <w:r w:rsidRPr="00B07D19">
        <w:rPr>
          <w:rFonts w:ascii="Palatino Linotype" w:eastAsia="Calibri" w:hAnsi="Palatino Linotype" w:cs="Arial"/>
          <w:lang w:val="es-ES"/>
        </w:rPr>
        <w:t xml:space="preserve">) de </w:t>
      </w:r>
      <w:r w:rsidR="009971AC" w:rsidRPr="00B07D19">
        <w:rPr>
          <w:rFonts w:ascii="Palatino Linotype" w:eastAsia="Calibri" w:hAnsi="Palatino Linotype" w:cs="Arial"/>
          <w:lang w:val="es-ES"/>
        </w:rPr>
        <w:t>juli</w:t>
      </w:r>
      <w:r w:rsidR="00E61C13" w:rsidRPr="00B07D19">
        <w:rPr>
          <w:rFonts w:ascii="Palatino Linotype" w:eastAsia="Calibri" w:hAnsi="Palatino Linotype" w:cs="Arial"/>
          <w:lang w:val="es-ES"/>
        </w:rPr>
        <w:t>o de dos mil veintidós</w:t>
      </w:r>
      <w:r w:rsidRPr="00B07D19">
        <w:rPr>
          <w:rFonts w:ascii="Palatino Linotype" w:hAnsi="Palatino Linotype"/>
          <w:b/>
        </w:rPr>
        <w:t xml:space="preserve">, </w:t>
      </w:r>
      <w:r w:rsidRPr="00B07D19">
        <w:rPr>
          <w:rFonts w:ascii="Palatino Linotype" w:eastAsia="Calibri" w:hAnsi="Palatino Linotype" w:cs="Arial"/>
          <w:lang w:val="es-ES"/>
        </w:rPr>
        <w:t xml:space="preserve">se presentó ante el </w:t>
      </w:r>
      <w:r w:rsidRPr="00B07D19">
        <w:rPr>
          <w:rFonts w:ascii="Palatino Linotype" w:eastAsia="Calibri" w:hAnsi="Palatino Linotype" w:cs="Arial"/>
          <w:b/>
          <w:lang w:val="es-ES"/>
        </w:rPr>
        <w:t>SUJETO OBLIGADO</w:t>
      </w:r>
      <w:r w:rsidRPr="00B07D19">
        <w:rPr>
          <w:rFonts w:ascii="Palatino Linotype" w:eastAsia="Calibri" w:hAnsi="Palatino Linotype" w:cs="Arial"/>
        </w:rPr>
        <w:t xml:space="preserve"> vía </w:t>
      </w:r>
      <w:r w:rsidR="008A699B" w:rsidRPr="00B07D19">
        <w:rPr>
          <w:rFonts w:ascii="Palatino Linotype" w:eastAsia="Calibri" w:hAnsi="Palatino Linotype" w:cs="Arial"/>
          <w:lang w:val="es-ES"/>
        </w:rPr>
        <w:t>SAIMEX, la solicitud</w:t>
      </w:r>
      <w:r w:rsidRPr="00B07D19">
        <w:rPr>
          <w:rFonts w:ascii="Palatino Linotype" w:eastAsia="Calibri" w:hAnsi="Palatino Linotype" w:cs="Arial"/>
          <w:lang w:val="es-ES"/>
        </w:rPr>
        <w:t xml:space="preserve"> de información pública</w:t>
      </w:r>
      <w:r w:rsidR="008A699B" w:rsidRPr="00B07D19">
        <w:rPr>
          <w:rFonts w:ascii="Palatino Linotype" w:eastAsia="Calibri" w:hAnsi="Palatino Linotype" w:cs="Arial"/>
          <w:lang w:val="es-ES"/>
        </w:rPr>
        <w:t xml:space="preserve"> registrada</w:t>
      </w:r>
      <w:r w:rsidRPr="00B07D19">
        <w:rPr>
          <w:rFonts w:ascii="Palatino Linotype" w:eastAsia="Calibri" w:hAnsi="Palatino Linotype" w:cs="Arial"/>
          <w:lang w:val="es-ES"/>
        </w:rPr>
        <w:t xml:space="preserve"> con </w:t>
      </w:r>
      <w:r w:rsidR="008A699B" w:rsidRPr="00B07D19">
        <w:rPr>
          <w:rFonts w:ascii="Palatino Linotype" w:eastAsia="Calibri" w:hAnsi="Palatino Linotype" w:cs="Arial"/>
          <w:lang w:val="es-ES"/>
        </w:rPr>
        <w:t xml:space="preserve">el </w:t>
      </w:r>
      <w:r w:rsidRPr="00B07D19">
        <w:rPr>
          <w:rFonts w:ascii="Palatino Linotype" w:eastAsia="Calibri" w:hAnsi="Palatino Linotype" w:cs="Arial"/>
          <w:lang w:val="es-ES"/>
        </w:rPr>
        <w:t>número</w:t>
      </w:r>
      <w:r w:rsidRPr="00B07D19">
        <w:rPr>
          <w:rFonts w:ascii="Palatino Linotype" w:hAnsi="Palatino Linotype"/>
          <w:b/>
          <w:bCs/>
          <w:color w:val="000000" w:themeColor="text1"/>
        </w:rPr>
        <w:t xml:space="preserve"> </w:t>
      </w:r>
      <w:r w:rsidR="009971AC" w:rsidRPr="00B07D19">
        <w:rPr>
          <w:rFonts w:ascii="Palatino Linotype" w:hAnsi="Palatino Linotype"/>
          <w:b/>
          <w:bCs/>
          <w:color w:val="000000" w:themeColor="text1"/>
        </w:rPr>
        <w:t>00296/IXTAPALU/IP/2022</w:t>
      </w:r>
      <w:r w:rsidRPr="00B07D19">
        <w:rPr>
          <w:rFonts w:ascii="Palatino Linotype" w:hAnsi="Palatino Linotype"/>
          <w:b/>
          <w:bCs/>
          <w:color w:val="000000" w:themeColor="text1"/>
        </w:rPr>
        <w:t xml:space="preserve">; </w:t>
      </w:r>
      <w:r w:rsidRPr="00B07D19">
        <w:rPr>
          <w:rFonts w:ascii="Palatino Linotype" w:eastAsia="Calibri" w:hAnsi="Palatino Linotype" w:cs="Arial"/>
          <w:lang w:val="es-ES"/>
        </w:rPr>
        <w:t>mediante la cual se solicitó la siguiente información:</w:t>
      </w:r>
    </w:p>
    <w:p w14:paraId="5E4DAEE6" w14:textId="77777777" w:rsidR="008A699B" w:rsidRPr="00B07D19" w:rsidRDefault="008A699B" w:rsidP="008A699B">
      <w:pPr>
        <w:pStyle w:val="Prrafodelista"/>
        <w:spacing w:before="240" w:after="240" w:line="360" w:lineRule="auto"/>
        <w:ind w:left="0"/>
        <w:jc w:val="both"/>
        <w:rPr>
          <w:rFonts w:ascii="Palatino Linotype" w:eastAsia="Calibri" w:hAnsi="Palatino Linotype" w:cs="Arial"/>
          <w:lang w:val="es-ES"/>
        </w:rPr>
      </w:pPr>
    </w:p>
    <w:p w14:paraId="653B9747" w14:textId="77777777" w:rsidR="009F09BC" w:rsidRPr="00B07D19" w:rsidRDefault="008A699B" w:rsidP="008A699B">
      <w:pPr>
        <w:pStyle w:val="Prrafodelista"/>
        <w:spacing w:line="360" w:lineRule="auto"/>
        <w:ind w:left="426" w:right="474"/>
        <w:jc w:val="both"/>
        <w:rPr>
          <w:rFonts w:ascii="Palatino Linotype" w:hAnsi="Palatino Linotype"/>
          <w:i/>
        </w:rPr>
      </w:pPr>
      <w:r w:rsidRPr="00B07D19">
        <w:rPr>
          <w:rFonts w:ascii="Palatino Linotype" w:hAnsi="Palatino Linotype"/>
          <w:i/>
        </w:rPr>
        <w:t>“</w:t>
      </w:r>
      <w:r w:rsidR="009971AC" w:rsidRPr="00B07D19">
        <w:rPr>
          <w:rFonts w:ascii="Palatino Linotype" w:hAnsi="Palatino Linotype"/>
          <w:i/>
        </w:rPr>
        <w:t>MONTO TOTAL RECAUDADO POR MES DESDE ENERO DEL 2022 A JUNIO DEL 2022 POR CONCEPTO DE IMPUESTO PREDIAL.</w:t>
      </w:r>
      <w:r w:rsidRPr="00B07D19">
        <w:rPr>
          <w:rFonts w:ascii="Palatino Linotype" w:hAnsi="Palatino Linotype"/>
          <w:i/>
        </w:rPr>
        <w:t>”</w:t>
      </w:r>
    </w:p>
    <w:p w14:paraId="3A2763F2" w14:textId="77777777" w:rsidR="008A699B" w:rsidRPr="00B07D19" w:rsidRDefault="008A699B" w:rsidP="009F09BC">
      <w:pPr>
        <w:pStyle w:val="Prrafodelista"/>
        <w:spacing w:line="360" w:lineRule="auto"/>
        <w:ind w:left="851" w:right="34"/>
        <w:jc w:val="both"/>
        <w:rPr>
          <w:rFonts w:ascii="Palatino Linotype" w:hAnsi="Palatino Linotype"/>
        </w:rPr>
      </w:pPr>
    </w:p>
    <w:p w14:paraId="14321D00" w14:textId="77777777" w:rsidR="009F09BC" w:rsidRPr="00B07D19" w:rsidRDefault="009F09BC" w:rsidP="00650964">
      <w:pPr>
        <w:pStyle w:val="Prrafodelista"/>
        <w:numPr>
          <w:ilvl w:val="0"/>
          <w:numId w:val="23"/>
        </w:numPr>
        <w:spacing w:line="360" w:lineRule="auto"/>
        <w:ind w:left="709" w:right="34" w:hanging="283"/>
        <w:jc w:val="both"/>
        <w:rPr>
          <w:rFonts w:ascii="Palatino Linotype" w:hAnsi="Palatino Linotype"/>
        </w:rPr>
      </w:pPr>
      <w:r w:rsidRPr="00B07D19">
        <w:rPr>
          <w:rFonts w:ascii="Palatino Linotype" w:eastAsia="Times New Roman" w:hAnsi="Palatino Linotype" w:cs="Arial"/>
          <w:lang w:val="es-ES"/>
        </w:rPr>
        <w:t>Se eligió como modalidad de entrega de la información</w:t>
      </w:r>
      <w:r w:rsidRPr="00B07D19">
        <w:rPr>
          <w:rFonts w:ascii="Palatino Linotype" w:hAnsi="Palatino Linotype"/>
        </w:rPr>
        <w:t xml:space="preserve">: A través del </w:t>
      </w:r>
      <w:r w:rsidRPr="00B07D19">
        <w:rPr>
          <w:rFonts w:ascii="Palatino Linotype" w:hAnsi="Palatino Linotype"/>
          <w:b/>
        </w:rPr>
        <w:t>SAIMEX</w:t>
      </w:r>
    </w:p>
    <w:p w14:paraId="618F338F" w14:textId="77777777" w:rsidR="00912E8F" w:rsidRPr="00B07D19" w:rsidRDefault="00912E8F" w:rsidP="00912E8F">
      <w:pPr>
        <w:pStyle w:val="Prrafodelista"/>
        <w:tabs>
          <w:tab w:val="left" w:pos="0"/>
        </w:tabs>
        <w:spacing w:line="360" w:lineRule="auto"/>
        <w:ind w:left="0" w:right="51"/>
        <w:jc w:val="both"/>
        <w:rPr>
          <w:rFonts w:ascii="Palatino Linotype" w:hAnsi="Palatino Linotype" w:cs="Arial"/>
          <w:i/>
          <w:color w:val="000000" w:themeColor="text1"/>
        </w:rPr>
      </w:pPr>
    </w:p>
    <w:p w14:paraId="4DB9D562" w14:textId="77777777" w:rsidR="00650964" w:rsidRPr="00B07D19" w:rsidRDefault="00650964" w:rsidP="006941C1">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B07D19">
        <w:rPr>
          <w:rFonts w:ascii="Palatino Linotype" w:hAnsi="Palatino Linotype" w:cs="Arial"/>
          <w:color w:val="000000" w:themeColor="text1"/>
        </w:rPr>
        <w:lastRenderedPageBreak/>
        <w:t xml:space="preserve">El </w:t>
      </w:r>
      <w:r w:rsidR="009971AC" w:rsidRPr="00B07D19">
        <w:rPr>
          <w:rFonts w:ascii="Palatino Linotype" w:hAnsi="Palatino Linotype" w:cs="Arial"/>
          <w:b/>
          <w:color w:val="000000" w:themeColor="text1"/>
        </w:rPr>
        <w:t>SUJETO OBLIGADO</w:t>
      </w:r>
      <w:r w:rsidR="009971AC" w:rsidRPr="00B07D19">
        <w:rPr>
          <w:rFonts w:ascii="Palatino Linotype" w:hAnsi="Palatino Linotype" w:cs="Arial"/>
          <w:color w:val="000000" w:themeColor="text1"/>
        </w:rPr>
        <w:t xml:space="preserve"> fue omiso en emitir una respuesta, por lo que e</w:t>
      </w:r>
      <w:r w:rsidR="009971AC" w:rsidRPr="00B07D19">
        <w:rPr>
          <w:rFonts w:ascii="Palatino Linotype" w:eastAsia="Calibri" w:hAnsi="Palatino Linotype" w:cs="Arial"/>
          <w:lang w:val="es-AR"/>
        </w:rPr>
        <w:t>l día</w:t>
      </w:r>
      <w:r w:rsidR="009971AC" w:rsidRPr="00B07D19">
        <w:rPr>
          <w:rFonts w:ascii="Palatino Linotype" w:hAnsi="Palatino Linotype" w:cs="Arial"/>
          <w:lang w:val="es-ES"/>
        </w:rPr>
        <w:t xml:space="preserve"> veintinueve (29) de agosto de dos mil veintidós, l</w:t>
      </w:r>
      <w:r w:rsidR="00853E3C" w:rsidRPr="00B07D19">
        <w:rPr>
          <w:rFonts w:ascii="Palatino Linotype" w:hAnsi="Palatino Linotype" w:cs="Arial"/>
          <w:lang w:val="es-ES"/>
        </w:rPr>
        <w:t>a</w:t>
      </w:r>
      <w:r w:rsidR="009971AC" w:rsidRPr="00B07D19">
        <w:rPr>
          <w:rFonts w:ascii="Palatino Linotype" w:hAnsi="Palatino Linotype" w:cs="Arial"/>
          <w:lang w:val="es-ES"/>
        </w:rPr>
        <w:t xml:space="preserve"> particular interpuso el recurso de revisión, en contra de la falta de respuesta, señalando como:</w:t>
      </w:r>
    </w:p>
    <w:p w14:paraId="6D3BE1AC" w14:textId="77777777" w:rsidR="00650964" w:rsidRPr="00B07D19" w:rsidRDefault="00650964" w:rsidP="00650964">
      <w:pPr>
        <w:pStyle w:val="Prrafodelista"/>
        <w:tabs>
          <w:tab w:val="left" w:pos="0"/>
        </w:tabs>
        <w:spacing w:line="360" w:lineRule="auto"/>
        <w:ind w:left="0" w:right="51"/>
        <w:jc w:val="both"/>
        <w:rPr>
          <w:rFonts w:ascii="Palatino Linotype" w:hAnsi="Palatino Linotype" w:cs="Arial"/>
          <w:color w:val="000000" w:themeColor="text1"/>
        </w:rPr>
      </w:pPr>
    </w:p>
    <w:p w14:paraId="2D4D71DB" w14:textId="77777777" w:rsidR="009971AC" w:rsidRPr="00B07D19" w:rsidRDefault="009971AC" w:rsidP="009971AC">
      <w:pPr>
        <w:pStyle w:val="Prrafodelista"/>
        <w:numPr>
          <w:ilvl w:val="0"/>
          <w:numId w:val="45"/>
        </w:numPr>
        <w:spacing w:line="360" w:lineRule="auto"/>
        <w:ind w:left="567" w:right="567" w:firstLine="0"/>
        <w:jc w:val="both"/>
        <w:rPr>
          <w:rFonts w:ascii="Palatino Linotype" w:hAnsi="Palatino Linotype" w:cs="Arial"/>
          <w:i/>
        </w:rPr>
      </w:pPr>
      <w:r w:rsidRPr="00B07D19">
        <w:rPr>
          <w:rFonts w:ascii="Palatino Linotype" w:hAnsi="Palatino Linotype"/>
          <w:b/>
          <w:i/>
        </w:rPr>
        <w:t xml:space="preserve"> ACTO IMPUGNADO</w:t>
      </w:r>
    </w:p>
    <w:p w14:paraId="0F15A778" w14:textId="77777777" w:rsidR="009971AC" w:rsidRPr="00B07D19" w:rsidRDefault="009971AC" w:rsidP="009971AC">
      <w:pPr>
        <w:spacing w:line="360" w:lineRule="auto"/>
        <w:ind w:left="567" w:right="567"/>
        <w:jc w:val="both"/>
        <w:rPr>
          <w:rFonts w:ascii="Palatino Linotype" w:hAnsi="Palatino Linotype"/>
          <w:i/>
        </w:rPr>
      </w:pPr>
      <w:r w:rsidRPr="00B07D19">
        <w:rPr>
          <w:rFonts w:ascii="Palatino Linotype" w:hAnsi="Palatino Linotype"/>
          <w:i/>
          <w:color w:val="000000"/>
        </w:rPr>
        <w:t xml:space="preserve">“NEGATIVA POR PARTE DEL SUJETO OBLIGADO A PROPORCIONAR LA INFORMACIÓN SOLICITADA” </w:t>
      </w:r>
    </w:p>
    <w:p w14:paraId="4CC64FF4" w14:textId="77777777" w:rsidR="009971AC" w:rsidRPr="00B07D19" w:rsidRDefault="009971AC" w:rsidP="009971AC">
      <w:pPr>
        <w:spacing w:line="360" w:lineRule="auto"/>
        <w:ind w:left="567" w:right="567"/>
        <w:jc w:val="both"/>
        <w:rPr>
          <w:rFonts w:ascii="Palatino Linotype" w:hAnsi="Palatino Linotype"/>
          <w:i/>
          <w:color w:val="000000"/>
        </w:rPr>
      </w:pPr>
    </w:p>
    <w:p w14:paraId="6EF627AB" w14:textId="77777777" w:rsidR="009971AC" w:rsidRPr="00B07D19" w:rsidRDefault="009971AC" w:rsidP="009971AC">
      <w:pPr>
        <w:pStyle w:val="Prrafodelista"/>
        <w:numPr>
          <w:ilvl w:val="0"/>
          <w:numId w:val="45"/>
        </w:numPr>
        <w:spacing w:line="360" w:lineRule="auto"/>
        <w:ind w:left="567" w:right="567" w:firstLine="0"/>
        <w:jc w:val="both"/>
        <w:rPr>
          <w:rFonts w:ascii="Palatino Linotype" w:hAnsi="Palatino Linotype" w:cs="Arial"/>
          <w:b/>
          <w:i/>
        </w:rPr>
      </w:pPr>
      <w:r w:rsidRPr="00B07D19">
        <w:rPr>
          <w:rFonts w:ascii="Palatino Linotype" w:hAnsi="Palatino Linotype"/>
          <w:b/>
          <w:i/>
        </w:rPr>
        <w:t xml:space="preserve"> MOTIVO DE INCONFORMIDAD</w:t>
      </w:r>
    </w:p>
    <w:p w14:paraId="745CB7C4" w14:textId="77777777" w:rsidR="009971AC" w:rsidRPr="00B07D19" w:rsidRDefault="009971AC" w:rsidP="009971AC">
      <w:pPr>
        <w:spacing w:line="360" w:lineRule="auto"/>
        <w:ind w:left="567"/>
        <w:jc w:val="both"/>
        <w:rPr>
          <w:rFonts w:ascii="Palatino Linotype" w:hAnsi="Palatino Linotype"/>
          <w:i/>
          <w:color w:val="000000"/>
        </w:rPr>
      </w:pPr>
      <w:r w:rsidRPr="00B07D19">
        <w:rPr>
          <w:rFonts w:ascii="Palatino Linotype" w:hAnsi="Palatino Linotype"/>
          <w:i/>
          <w:color w:val="000000"/>
        </w:rPr>
        <w:t xml:space="preserve">“VIOLACION SISTEMATICA DEL SUJETO OBLIGADO A MI DERECHO DE ACCESO A LA INFORMACIÓN PÚBLICA” </w:t>
      </w:r>
      <w:r w:rsidRPr="00B07D19">
        <w:rPr>
          <w:rFonts w:ascii="Palatino Linotype" w:hAnsi="Palatino Linotype"/>
          <w:color w:val="000000"/>
        </w:rPr>
        <w:t>(SIC)</w:t>
      </w:r>
    </w:p>
    <w:p w14:paraId="2402C2BB" w14:textId="77777777" w:rsidR="00650964" w:rsidRPr="00B07D19" w:rsidRDefault="00650964" w:rsidP="00650964">
      <w:pPr>
        <w:pStyle w:val="Prrafodelista"/>
        <w:tabs>
          <w:tab w:val="left" w:pos="0"/>
        </w:tabs>
        <w:spacing w:line="360" w:lineRule="auto"/>
        <w:ind w:left="0" w:right="51"/>
        <w:jc w:val="both"/>
        <w:rPr>
          <w:rFonts w:ascii="Palatino Linotype" w:hAnsi="Palatino Linotype" w:cs="Arial"/>
          <w:color w:val="000000" w:themeColor="text1"/>
        </w:rPr>
      </w:pPr>
    </w:p>
    <w:p w14:paraId="18F54266" w14:textId="77777777" w:rsidR="009F09BC" w:rsidRPr="00B07D19"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B07D19">
        <w:rPr>
          <w:rFonts w:ascii="Palatino Linotype" w:eastAsia="Calibri" w:hAnsi="Palatino Linotype" w:cs="Arial"/>
          <w:lang w:val="es-ES"/>
        </w:rPr>
        <w:t>La Comisionada</w:t>
      </w:r>
      <w:r w:rsidR="009F09BC" w:rsidRPr="00B07D19">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92BCB" w:rsidRPr="00B07D19">
        <w:rPr>
          <w:rFonts w:ascii="Palatino Linotype" w:eastAsia="Calibri" w:hAnsi="Palatino Linotype" w:cs="Arial"/>
          <w:lang w:val="es-ES"/>
        </w:rPr>
        <w:t>uno</w:t>
      </w:r>
      <w:r w:rsidR="00102C41" w:rsidRPr="00B07D19">
        <w:rPr>
          <w:rFonts w:ascii="Palatino Linotype" w:eastAsia="Calibri" w:hAnsi="Palatino Linotype" w:cs="Arial"/>
          <w:lang w:val="es-ES"/>
        </w:rPr>
        <w:t xml:space="preserve"> </w:t>
      </w:r>
      <w:r w:rsidR="009F09BC" w:rsidRPr="00B07D19">
        <w:rPr>
          <w:rFonts w:ascii="Palatino Linotype" w:eastAsia="Calibri" w:hAnsi="Palatino Linotype" w:cs="Arial"/>
          <w:lang w:val="es-ES"/>
        </w:rPr>
        <w:t>(</w:t>
      </w:r>
      <w:r w:rsidR="00A92BCB" w:rsidRPr="00B07D19">
        <w:rPr>
          <w:rFonts w:ascii="Palatino Linotype" w:eastAsia="Calibri" w:hAnsi="Palatino Linotype" w:cs="Arial"/>
          <w:lang w:val="es-ES"/>
        </w:rPr>
        <w:t>01</w:t>
      </w:r>
      <w:r w:rsidR="009F09BC" w:rsidRPr="00B07D19">
        <w:rPr>
          <w:rFonts w:ascii="Palatino Linotype" w:eastAsia="Calibri" w:hAnsi="Palatino Linotype" w:cs="Arial"/>
          <w:lang w:val="es-ES"/>
        </w:rPr>
        <w:t xml:space="preserve">) de </w:t>
      </w:r>
      <w:r w:rsidR="00A92BCB" w:rsidRPr="00B07D19">
        <w:rPr>
          <w:rFonts w:ascii="Palatino Linotype" w:eastAsia="Calibri" w:hAnsi="Palatino Linotype" w:cs="Arial"/>
          <w:lang w:val="es-ES"/>
        </w:rPr>
        <w:t>septiembre</w:t>
      </w:r>
      <w:r w:rsidR="009F09BC" w:rsidRPr="00B07D19">
        <w:rPr>
          <w:rFonts w:ascii="Palatino Linotype" w:eastAsia="Calibri" w:hAnsi="Palatino Linotype" w:cs="Arial"/>
          <w:lang w:val="es-ES"/>
        </w:rPr>
        <w:t xml:space="preserve"> del año en curso, puso a disposición de las partes el expediente electrónico </w:t>
      </w:r>
      <w:r w:rsidR="009F09BC" w:rsidRPr="00B07D19">
        <w:rPr>
          <w:rFonts w:ascii="Palatino Linotype" w:eastAsia="Calibri" w:hAnsi="Palatino Linotype" w:cs="Arial"/>
        </w:rPr>
        <w:t xml:space="preserve">vía </w:t>
      </w:r>
      <w:r w:rsidR="009F09BC" w:rsidRPr="00B07D19">
        <w:rPr>
          <w:rFonts w:ascii="Palatino Linotype" w:eastAsia="Calibri" w:hAnsi="Palatino Linotype" w:cs="Arial"/>
          <w:b/>
          <w:lang w:val="es-ES"/>
        </w:rPr>
        <w:t xml:space="preserve">SAIMEX </w:t>
      </w:r>
      <w:r w:rsidR="009F09BC" w:rsidRPr="00B07D19">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B07D19">
        <w:rPr>
          <w:rFonts w:ascii="Palatino Linotype" w:eastAsia="Calibri" w:hAnsi="Palatino Linotype" w:cs="Arial"/>
          <w:b/>
          <w:lang w:val="es-ES"/>
        </w:rPr>
        <w:t>SUJETO OBLIGADO</w:t>
      </w:r>
      <w:r w:rsidR="009F09BC" w:rsidRPr="00B07D19">
        <w:rPr>
          <w:rFonts w:ascii="Palatino Linotype" w:eastAsia="Calibri" w:hAnsi="Palatino Linotype" w:cs="Arial"/>
          <w:lang w:val="es-ES"/>
        </w:rPr>
        <w:t xml:space="preserve"> presentará el Informe Justificado procedente.</w:t>
      </w:r>
    </w:p>
    <w:p w14:paraId="1400FAF4" w14:textId="77777777" w:rsidR="009F09BC" w:rsidRPr="00B07D19" w:rsidRDefault="009F09BC" w:rsidP="009F09BC">
      <w:pPr>
        <w:pStyle w:val="Prrafodelista"/>
        <w:spacing w:before="240" w:after="240" w:line="360" w:lineRule="auto"/>
        <w:ind w:left="0"/>
        <w:jc w:val="both"/>
        <w:rPr>
          <w:rFonts w:ascii="Palatino Linotype" w:hAnsi="Palatino Linotype"/>
        </w:rPr>
      </w:pPr>
    </w:p>
    <w:p w14:paraId="04A82974" w14:textId="77777777" w:rsidR="009F09BC" w:rsidRPr="00B07D19"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B07D19">
        <w:rPr>
          <w:rFonts w:ascii="Palatino Linotype" w:hAnsi="Palatino Linotype"/>
          <w:color w:val="000000"/>
        </w:rPr>
        <w:t xml:space="preserve">El </w:t>
      </w:r>
      <w:r w:rsidRPr="00B07D19">
        <w:rPr>
          <w:rFonts w:ascii="Palatino Linotype" w:hAnsi="Palatino Linotype"/>
          <w:b/>
          <w:color w:val="000000"/>
        </w:rPr>
        <w:t xml:space="preserve">SUJETO </w:t>
      </w:r>
      <w:r w:rsidRPr="00B07D19">
        <w:rPr>
          <w:rFonts w:ascii="Palatino Linotype" w:eastAsia="Calibri" w:hAnsi="Palatino Linotype" w:cs="Arial"/>
          <w:b/>
          <w:lang w:val="es-ES"/>
        </w:rPr>
        <w:t>OBLIGADO</w:t>
      </w:r>
      <w:r w:rsidR="007A6A1A" w:rsidRPr="00B07D19">
        <w:rPr>
          <w:rFonts w:ascii="Palatino Linotype" w:hAnsi="Palatino Linotype"/>
          <w:color w:val="000000"/>
        </w:rPr>
        <w:t xml:space="preserve"> </w:t>
      </w:r>
      <w:r w:rsidR="00A92BCB" w:rsidRPr="00B07D19">
        <w:rPr>
          <w:rFonts w:ascii="Palatino Linotype" w:hAnsi="Palatino Linotype"/>
          <w:color w:val="000000"/>
        </w:rPr>
        <w:t>en fecha d</w:t>
      </w:r>
      <w:r w:rsidR="00102C41" w:rsidRPr="00B07D19">
        <w:rPr>
          <w:rFonts w:ascii="Palatino Linotype" w:hAnsi="Palatino Linotype"/>
          <w:color w:val="000000"/>
        </w:rPr>
        <w:t>o</w:t>
      </w:r>
      <w:r w:rsidR="00A92BCB" w:rsidRPr="00B07D19">
        <w:rPr>
          <w:rFonts w:ascii="Palatino Linotype" w:hAnsi="Palatino Linotype"/>
          <w:color w:val="000000"/>
        </w:rPr>
        <w:t>s</w:t>
      </w:r>
      <w:r w:rsidR="00102C41" w:rsidRPr="00B07D19">
        <w:rPr>
          <w:rFonts w:ascii="Palatino Linotype" w:hAnsi="Palatino Linotype"/>
          <w:color w:val="000000"/>
        </w:rPr>
        <w:t xml:space="preserve"> (</w:t>
      </w:r>
      <w:r w:rsidR="00A92BCB" w:rsidRPr="00B07D19">
        <w:rPr>
          <w:rFonts w:ascii="Palatino Linotype" w:hAnsi="Palatino Linotype"/>
          <w:color w:val="000000"/>
        </w:rPr>
        <w:t>02</w:t>
      </w:r>
      <w:r w:rsidR="00102C41" w:rsidRPr="00B07D19">
        <w:rPr>
          <w:rFonts w:ascii="Palatino Linotype" w:hAnsi="Palatino Linotype"/>
          <w:color w:val="000000"/>
        </w:rPr>
        <w:t xml:space="preserve">) de </w:t>
      </w:r>
      <w:r w:rsidR="00A92BCB" w:rsidRPr="00B07D19">
        <w:rPr>
          <w:rFonts w:ascii="Palatino Linotype" w:hAnsi="Palatino Linotype"/>
          <w:color w:val="000000"/>
        </w:rPr>
        <w:t>septiembre</w:t>
      </w:r>
      <w:r w:rsidR="00102C41" w:rsidRPr="00B07D19">
        <w:rPr>
          <w:rFonts w:ascii="Palatino Linotype" w:hAnsi="Palatino Linotype"/>
          <w:color w:val="000000"/>
        </w:rPr>
        <w:t xml:space="preserve"> </w:t>
      </w:r>
      <w:r w:rsidR="00283E6C" w:rsidRPr="00B07D19">
        <w:rPr>
          <w:rFonts w:ascii="Palatino Linotype" w:hAnsi="Palatino Linotype"/>
          <w:color w:val="000000"/>
        </w:rPr>
        <w:t>de dos mil veintidós</w:t>
      </w:r>
      <w:r w:rsidR="00102C41" w:rsidRPr="00B07D19">
        <w:rPr>
          <w:rFonts w:ascii="Palatino Linotype" w:hAnsi="Palatino Linotype"/>
          <w:color w:val="000000"/>
        </w:rPr>
        <w:t>, rindió el informe justificado correspondiente</w:t>
      </w:r>
      <w:r w:rsidR="00283E6C" w:rsidRPr="00B07D19">
        <w:rPr>
          <w:rFonts w:ascii="Palatino Linotype" w:hAnsi="Palatino Linotype"/>
          <w:color w:val="000000"/>
        </w:rPr>
        <w:t xml:space="preserve">, el cual fue puesto a disposición del particular mediante acuerdo de fecha </w:t>
      </w:r>
      <w:r w:rsidR="00A92BCB" w:rsidRPr="00B07D19">
        <w:rPr>
          <w:rFonts w:ascii="Palatino Linotype" w:hAnsi="Palatino Linotype"/>
          <w:color w:val="000000"/>
        </w:rPr>
        <w:t>trece</w:t>
      </w:r>
      <w:r w:rsidR="00283E6C" w:rsidRPr="00B07D19">
        <w:rPr>
          <w:rFonts w:ascii="Palatino Linotype" w:hAnsi="Palatino Linotype"/>
          <w:color w:val="000000"/>
        </w:rPr>
        <w:t xml:space="preserve"> (1</w:t>
      </w:r>
      <w:r w:rsidR="00A92BCB" w:rsidRPr="00B07D19">
        <w:rPr>
          <w:rFonts w:ascii="Palatino Linotype" w:hAnsi="Palatino Linotype"/>
          <w:color w:val="000000"/>
        </w:rPr>
        <w:t>3) de septiembre</w:t>
      </w:r>
      <w:r w:rsidR="00283E6C" w:rsidRPr="00B07D19">
        <w:rPr>
          <w:rFonts w:ascii="Palatino Linotype" w:hAnsi="Palatino Linotype"/>
          <w:color w:val="000000"/>
        </w:rPr>
        <w:t xml:space="preserve"> del </w:t>
      </w:r>
      <w:r w:rsidR="00283E6C" w:rsidRPr="00B07D19">
        <w:rPr>
          <w:rFonts w:ascii="Palatino Linotype" w:hAnsi="Palatino Linotype"/>
          <w:color w:val="000000"/>
        </w:rPr>
        <w:lastRenderedPageBreak/>
        <w:t>año en curso</w:t>
      </w:r>
      <w:r w:rsidR="002C4997" w:rsidRPr="00B07D19">
        <w:rPr>
          <w:rFonts w:ascii="Palatino Linotype" w:hAnsi="Palatino Linotype"/>
          <w:color w:val="000000"/>
        </w:rPr>
        <w:t xml:space="preserve">. </w:t>
      </w:r>
      <w:r w:rsidRPr="00B07D19">
        <w:rPr>
          <w:rFonts w:ascii="Palatino Linotype" w:hAnsi="Palatino Linotype"/>
          <w:color w:val="000000"/>
        </w:rPr>
        <w:t xml:space="preserve">Por su parte </w:t>
      </w:r>
      <w:r w:rsidRPr="00B07D19">
        <w:rPr>
          <w:rFonts w:ascii="Palatino Linotype" w:hAnsi="Palatino Linotype"/>
          <w:b/>
          <w:color w:val="000000"/>
        </w:rPr>
        <w:t xml:space="preserve">EL PARTICULAR </w:t>
      </w:r>
      <w:r w:rsidRPr="00B07D19">
        <w:rPr>
          <w:rFonts w:ascii="Palatino Linotype" w:hAnsi="Palatino Linotype"/>
          <w:color w:val="000000"/>
        </w:rPr>
        <w:t>dejó de realizar manifestaciones que a su derecho conviniera y asistiera.</w:t>
      </w:r>
    </w:p>
    <w:p w14:paraId="424AED34" w14:textId="77777777" w:rsidR="00ED6E75" w:rsidRPr="00B07D19" w:rsidRDefault="00ED6E75" w:rsidP="00ED6E75">
      <w:pPr>
        <w:pStyle w:val="Prrafodelista"/>
        <w:spacing w:before="240" w:after="240" w:line="360" w:lineRule="auto"/>
        <w:ind w:left="0"/>
        <w:jc w:val="both"/>
        <w:rPr>
          <w:rFonts w:ascii="Palatino Linotype" w:hAnsi="Palatino Linotype"/>
        </w:rPr>
      </w:pPr>
    </w:p>
    <w:p w14:paraId="4F7AC838" w14:textId="77777777" w:rsidR="009F09BC" w:rsidRPr="00B07D19" w:rsidRDefault="00853E3C"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B07D19">
        <w:rPr>
          <w:rFonts w:ascii="Palatino Linotype" w:hAnsi="Palatino Linotype"/>
        </w:rPr>
        <w:t>Mediante A</w:t>
      </w:r>
      <w:r w:rsidR="006672E1" w:rsidRPr="00B07D19">
        <w:rPr>
          <w:rFonts w:ascii="Palatino Linotype" w:hAnsi="Palatino Linotype"/>
        </w:rPr>
        <w:t>cuerdo</w:t>
      </w:r>
      <w:r w:rsidR="00C52710" w:rsidRPr="00B07D19">
        <w:rPr>
          <w:rFonts w:ascii="Palatino Linotype" w:hAnsi="Palatino Linotype"/>
        </w:rPr>
        <w:t xml:space="preserve"> de fecha</w:t>
      </w:r>
      <w:r w:rsidR="00A92BCB" w:rsidRPr="00B07D19">
        <w:rPr>
          <w:rFonts w:ascii="Palatino Linotype" w:hAnsi="Palatino Linotype"/>
        </w:rPr>
        <w:t xml:space="preserve"> veinte</w:t>
      </w:r>
      <w:r w:rsidR="00283E6C" w:rsidRPr="00B07D19">
        <w:rPr>
          <w:rFonts w:ascii="Palatino Linotype" w:hAnsi="Palatino Linotype"/>
        </w:rPr>
        <w:t xml:space="preserve"> (</w:t>
      </w:r>
      <w:r w:rsidR="00A92BCB" w:rsidRPr="00B07D19">
        <w:rPr>
          <w:rFonts w:ascii="Palatino Linotype" w:hAnsi="Palatino Linotype"/>
        </w:rPr>
        <w:t>20</w:t>
      </w:r>
      <w:r w:rsidR="00283E6C" w:rsidRPr="00B07D19">
        <w:rPr>
          <w:rFonts w:ascii="Palatino Linotype" w:hAnsi="Palatino Linotype"/>
        </w:rPr>
        <w:t xml:space="preserve">) de </w:t>
      </w:r>
      <w:r w:rsidR="00A92BCB" w:rsidRPr="00B07D19">
        <w:rPr>
          <w:rFonts w:ascii="Palatino Linotype" w:hAnsi="Palatino Linotype"/>
        </w:rPr>
        <w:t>septiembre</w:t>
      </w:r>
      <w:r w:rsidR="00283E6C" w:rsidRPr="00B07D19">
        <w:rPr>
          <w:rFonts w:ascii="Palatino Linotype" w:hAnsi="Palatino Linotype"/>
        </w:rPr>
        <w:t xml:space="preserve"> de dos mil veintidós</w:t>
      </w:r>
      <w:r w:rsidR="0001674C" w:rsidRPr="00B07D19">
        <w:rPr>
          <w:rFonts w:ascii="Palatino Linotype" w:hAnsi="Palatino Linotype"/>
        </w:rPr>
        <w:t>, se d</w:t>
      </w:r>
      <w:r w:rsidR="006672E1" w:rsidRPr="00B07D19">
        <w:rPr>
          <w:rFonts w:ascii="Palatino Linotype" w:hAnsi="Palatino Linotype"/>
        </w:rPr>
        <w:t>ecretó el cierre de instrucción</w:t>
      </w:r>
      <w:r w:rsidR="0001674C" w:rsidRPr="00B07D19">
        <w:rPr>
          <w:rFonts w:ascii="Palatino Linotype" w:hAnsi="Palatino Linotype"/>
        </w:rPr>
        <w:t xml:space="preserve">, </w:t>
      </w:r>
      <w:r w:rsidR="009F09BC" w:rsidRPr="00B07D19">
        <w:rPr>
          <w:rFonts w:ascii="Palatino Linotype" w:hAnsi="Palatino Linotype" w:cs="Arial"/>
        </w:rPr>
        <w:t>por lo que no habie</w:t>
      </w:r>
      <w:r w:rsidRPr="00B07D19">
        <w:rPr>
          <w:rFonts w:ascii="Palatino Linotype" w:hAnsi="Palatino Linotype" w:cs="Arial"/>
        </w:rPr>
        <w:t xml:space="preserve">ndo más que hacer constar, y- </w:t>
      </w:r>
    </w:p>
    <w:p w14:paraId="345FEE80" w14:textId="77777777" w:rsidR="009F09BC" w:rsidRPr="00B07D19" w:rsidRDefault="009F09BC" w:rsidP="009F09BC">
      <w:pPr>
        <w:pStyle w:val="Ttulo1"/>
        <w:jc w:val="center"/>
        <w:rPr>
          <w:rFonts w:ascii="Palatino Linotype" w:hAnsi="Palatino Linotype"/>
          <w:b/>
          <w:color w:val="000000" w:themeColor="text1"/>
          <w:sz w:val="24"/>
          <w:szCs w:val="24"/>
        </w:rPr>
      </w:pPr>
      <w:bookmarkStart w:id="3" w:name="_Toc491791302"/>
      <w:bookmarkStart w:id="4" w:name="_Toc83128578"/>
      <w:r w:rsidRPr="00B07D19">
        <w:rPr>
          <w:rFonts w:ascii="Palatino Linotype" w:hAnsi="Palatino Linotype"/>
          <w:b/>
          <w:color w:val="000000" w:themeColor="text1"/>
          <w:sz w:val="24"/>
          <w:szCs w:val="24"/>
        </w:rPr>
        <w:t>CONSIDERANDO</w:t>
      </w:r>
      <w:bookmarkEnd w:id="3"/>
      <w:bookmarkEnd w:id="4"/>
    </w:p>
    <w:p w14:paraId="5F4D7C64" w14:textId="77777777" w:rsidR="009F09BC" w:rsidRPr="00B07D19" w:rsidRDefault="009F09BC" w:rsidP="009F09BC">
      <w:pPr>
        <w:rPr>
          <w:rFonts w:ascii="Palatino Linotype" w:hAnsi="Palatino Linotype"/>
          <w:lang w:val="es-MX" w:eastAsia="en-US"/>
        </w:rPr>
      </w:pPr>
    </w:p>
    <w:p w14:paraId="3AA9E4A4" w14:textId="77777777" w:rsidR="009F09BC" w:rsidRPr="00B07D19" w:rsidRDefault="009F09BC" w:rsidP="009F09BC">
      <w:pPr>
        <w:pStyle w:val="Ttulo2"/>
        <w:rPr>
          <w:rFonts w:ascii="Palatino Linotype" w:hAnsi="Palatino Linotype"/>
          <w:b/>
          <w:color w:val="auto"/>
          <w:sz w:val="24"/>
          <w:szCs w:val="24"/>
        </w:rPr>
      </w:pPr>
      <w:bookmarkStart w:id="5" w:name="_Toc491791303"/>
      <w:bookmarkStart w:id="6" w:name="_Toc83128579"/>
      <w:r w:rsidRPr="00B07D19">
        <w:rPr>
          <w:rFonts w:ascii="Palatino Linotype" w:hAnsi="Palatino Linotype"/>
          <w:b/>
          <w:color w:val="auto"/>
          <w:sz w:val="24"/>
          <w:szCs w:val="24"/>
        </w:rPr>
        <w:t>PRIMERO. De la competencia</w:t>
      </w:r>
      <w:bookmarkEnd w:id="5"/>
      <w:bookmarkEnd w:id="6"/>
    </w:p>
    <w:p w14:paraId="22B53907" w14:textId="77777777" w:rsidR="009F09BC" w:rsidRPr="00B07D19" w:rsidRDefault="009F09BC" w:rsidP="009F09BC">
      <w:pPr>
        <w:rPr>
          <w:rFonts w:ascii="Palatino Linotype" w:hAnsi="Palatino Linotype"/>
          <w:lang w:val="es-MX" w:eastAsia="en-US"/>
        </w:rPr>
      </w:pPr>
    </w:p>
    <w:p w14:paraId="1D598608" w14:textId="77777777" w:rsidR="00353F1D" w:rsidRPr="00B07D19"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B07D19">
        <w:rPr>
          <w:rFonts w:ascii="Palatino Linotype" w:hAnsi="Palatino Linotype"/>
          <w:color w:val="000000" w:themeColor="text1"/>
        </w:rPr>
        <w:t xml:space="preserve">El </w:t>
      </w:r>
      <w:r w:rsidRPr="00B07D19">
        <w:rPr>
          <w:rFonts w:ascii="Palatino Linotype" w:hAnsi="Palatino Linotype"/>
        </w:rPr>
        <w:t>Instituto</w:t>
      </w:r>
      <w:r w:rsidRPr="00B07D19">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E779522" w14:textId="77777777" w:rsidR="009F09BC" w:rsidRPr="00B07D19" w:rsidRDefault="009F09BC" w:rsidP="00353F1D">
      <w:pPr>
        <w:pStyle w:val="Prrafodelista"/>
        <w:spacing w:line="360" w:lineRule="auto"/>
        <w:ind w:left="0"/>
        <w:jc w:val="both"/>
        <w:rPr>
          <w:rFonts w:ascii="Palatino Linotype" w:eastAsia="Calibri" w:hAnsi="Palatino Linotype" w:cs="Times New Roman"/>
          <w:b/>
          <w:lang w:val="es-ES"/>
        </w:rPr>
      </w:pPr>
    </w:p>
    <w:p w14:paraId="1CA103FC" w14:textId="77777777" w:rsidR="009F09BC" w:rsidRPr="00B07D19" w:rsidRDefault="009F09BC" w:rsidP="009F09BC">
      <w:pPr>
        <w:pStyle w:val="Ttulo2"/>
        <w:rPr>
          <w:rFonts w:ascii="Palatino Linotype" w:hAnsi="Palatino Linotype"/>
          <w:b/>
          <w:color w:val="auto"/>
          <w:sz w:val="24"/>
          <w:szCs w:val="24"/>
        </w:rPr>
      </w:pPr>
      <w:bookmarkStart w:id="7" w:name="_Toc491791304"/>
      <w:bookmarkStart w:id="8" w:name="_Toc83128580"/>
      <w:r w:rsidRPr="00B07D19">
        <w:rPr>
          <w:rFonts w:ascii="Palatino Linotype" w:hAnsi="Palatino Linotype"/>
          <w:b/>
          <w:color w:val="auto"/>
          <w:sz w:val="24"/>
          <w:szCs w:val="24"/>
        </w:rPr>
        <w:t>SEGUNDO. De la oportunidad y procedencia.</w:t>
      </w:r>
      <w:bookmarkEnd w:id="7"/>
      <w:bookmarkEnd w:id="8"/>
    </w:p>
    <w:p w14:paraId="68228AB9" w14:textId="77777777" w:rsidR="009F09BC" w:rsidRPr="00B07D19" w:rsidRDefault="009F09BC" w:rsidP="009F09BC">
      <w:pPr>
        <w:rPr>
          <w:lang w:val="es-MX" w:eastAsia="en-US"/>
        </w:rPr>
      </w:pPr>
    </w:p>
    <w:p w14:paraId="1030D38C" w14:textId="77777777" w:rsidR="00A92BCB" w:rsidRPr="00B07D19" w:rsidRDefault="00A92BCB" w:rsidP="00A92BCB">
      <w:pPr>
        <w:numPr>
          <w:ilvl w:val="0"/>
          <w:numId w:val="15"/>
        </w:numPr>
        <w:spacing w:line="360" w:lineRule="auto"/>
        <w:ind w:left="0" w:firstLine="0"/>
        <w:contextualSpacing/>
        <w:jc w:val="both"/>
        <w:rPr>
          <w:rFonts w:ascii="Palatino Linotype" w:hAnsi="Palatino Linotype" w:cs="Arial"/>
        </w:rPr>
      </w:pPr>
      <w:r w:rsidRPr="00B07D19">
        <w:rPr>
          <w:rFonts w:ascii="Palatino Linotype" w:eastAsia="Calibri" w:hAnsi="Palatino Linotype" w:cs="Arial"/>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B07D19">
        <w:rPr>
          <w:rFonts w:ascii="Palatino Linotype" w:eastAsia="Calibri" w:hAnsi="Palatino Linotype" w:cs="Arial"/>
          <w:b/>
          <w:lang w:val="es-ES"/>
        </w:rPr>
        <w:t>SUJETO OBLIGADO</w:t>
      </w:r>
      <w:r w:rsidRPr="00B07D1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C304A65" w14:textId="77777777" w:rsidR="00A92BCB" w:rsidRPr="00B07D19" w:rsidRDefault="00A92BCB" w:rsidP="00A92BCB">
      <w:pPr>
        <w:spacing w:line="360" w:lineRule="auto"/>
        <w:contextualSpacing/>
        <w:jc w:val="both"/>
        <w:rPr>
          <w:rFonts w:ascii="Palatino Linotype" w:hAnsi="Palatino Linotype" w:cs="Arial"/>
        </w:rPr>
      </w:pPr>
    </w:p>
    <w:p w14:paraId="23A2E8CC" w14:textId="77777777" w:rsidR="00A92BCB" w:rsidRPr="00B07D19" w:rsidRDefault="00A92BCB" w:rsidP="00A92BCB">
      <w:pPr>
        <w:numPr>
          <w:ilvl w:val="0"/>
          <w:numId w:val="15"/>
        </w:numPr>
        <w:spacing w:line="360" w:lineRule="auto"/>
        <w:ind w:left="0" w:firstLine="0"/>
        <w:contextualSpacing/>
        <w:jc w:val="both"/>
        <w:rPr>
          <w:rFonts w:ascii="Palatino Linotype" w:hAnsi="Palatino Linotype" w:cs="Arial"/>
        </w:rPr>
      </w:pPr>
      <w:r w:rsidRPr="00B07D19">
        <w:rPr>
          <w:rFonts w:ascii="Palatino Linotype" w:eastAsia="Calibri" w:hAnsi="Palatino Linotype" w:cs="Arial"/>
          <w:lang w:val="es-ES"/>
        </w:rPr>
        <w:t xml:space="preserve">Por ende, se constituye la figura jurídica de la </w:t>
      </w:r>
      <w:r w:rsidRPr="00B07D19">
        <w:rPr>
          <w:rFonts w:ascii="Palatino Linotype" w:eastAsia="Calibri" w:hAnsi="Palatino Linotype" w:cs="Arial"/>
          <w:i/>
          <w:lang w:val="es-ES"/>
        </w:rPr>
        <w:t>negativa ficta</w:t>
      </w:r>
      <w:r w:rsidRPr="00B07D1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B07D19">
        <w:rPr>
          <w:rFonts w:ascii="Palatino Linotype" w:eastAsia="Calibri" w:hAnsi="Palatino Linotype" w:cs="Arial"/>
          <w:b/>
          <w:lang w:val="es-ES"/>
        </w:rPr>
        <w:t>178</w:t>
      </w:r>
      <w:r w:rsidRPr="00B07D19">
        <w:rPr>
          <w:rFonts w:ascii="Palatino Linotype" w:eastAsia="Calibri" w:hAnsi="Palatino Linotype" w:cs="Arial"/>
          <w:lang w:val="es-ES"/>
        </w:rPr>
        <w:t xml:space="preserve"> segundo párrafo de </w:t>
      </w:r>
      <w:r w:rsidRPr="00B07D19">
        <w:rPr>
          <w:rFonts w:ascii="Palatino Linotype" w:eastAsia="Calibri" w:hAnsi="Palatino Linotype" w:cs="Arial"/>
          <w:b/>
          <w:lang w:val="es-ES"/>
        </w:rPr>
        <w:t>Ley de Transparencia y Acceso a la Información Pública del Estado de México y Municipios</w:t>
      </w:r>
      <w:r w:rsidRPr="00B07D19">
        <w:rPr>
          <w:rFonts w:ascii="Palatino Linotype" w:eastAsia="Calibri" w:hAnsi="Palatino Linotype"/>
          <w:shd w:val="clear" w:color="auto" w:fill="FFFFFF"/>
        </w:rPr>
        <w:t xml:space="preserve">, que dispone; ante la falta de respuesta del </w:t>
      </w:r>
      <w:r w:rsidRPr="00B07D19">
        <w:rPr>
          <w:rFonts w:ascii="Palatino Linotype" w:eastAsia="Calibri" w:hAnsi="Palatino Linotype"/>
          <w:b/>
          <w:shd w:val="clear" w:color="auto" w:fill="FFFFFF"/>
        </w:rPr>
        <w:t>SUJETO OBLIGADO,</w:t>
      </w:r>
      <w:r w:rsidRPr="00B07D19">
        <w:rPr>
          <w:rFonts w:ascii="Palatino Linotype" w:eastAsia="Calibri" w:hAnsi="Palatino Linotype"/>
          <w:shd w:val="clear" w:color="auto" w:fill="FFFFFF"/>
        </w:rPr>
        <w:t xml:space="preserve"> dentro de los plazos establecidos en esta Ley, a una solicitud de acceso a la información pública, el recurso </w:t>
      </w:r>
      <w:r w:rsidRPr="00B07D19">
        <w:rPr>
          <w:rFonts w:ascii="Palatino Linotype" w:eastAsia="Calibri" w:hAnsi="Palatino Linotype"/>
          <w:b/>
          <w:shd w:val="clear" w:color="auto" w:fill="FFFFFF"/>
        </w:rPr>
        <w:t xml:space="preserve">podrá ser interpuesto en cualquier momento. </w:t>
      </w:r>
    </w:p>
    <w:p w14:paraId="3BC9A75C" w14:textId="77777777" w:rsidR="00A92BCB" w:rsidRPr="00B07D19" w:rsidRDefault="00A92BCB" w:rsidP="00A92BCB">
      <w:pPr>
        <w:spacing w:line="360" w:lineRule="auto"/>
        <w:ind w:left="284"/>
        <w:contextualSpacing/>
        <w:rPr>
          <w:rFonts w:ascii="Palatino Linotype" w:hAnsi="Palatino Linotype" w:cs="Arial"/>
        </w:rPr>
      </w:pPr>
    </w:p>
    <w:p w14:paraId="422658AD" w14:textId="77777777" w:rsidR="00A92BCB" w:rsidRPr="00B07D19" w:rsidRDefault="00A92BCB" w:rsidP="00A92BCB">
      <w:pPr>
        <w:numPr>
          <w:ilvl w:val="0"/>
          <w:numId w:val="15"/>
        </w:numPr>
        <w:spacing w:line="360" w:lineRule="auto"/>
        <w:ind w:left="0" w:firstLine="0"/>
        <w:contextualSpacing/>
        <w:jc w:val="both"/>
        <w:rPr>
          <w:rFonts w:ascii="Palatino Linotype" w:hAnsi="Palatino Linotype" w:cs="Arial"/>
        </w:rPr>
      </w:pPr>
      <w:r w:rsidRPr="00B07D19">
        <w:rPr>
          <w:rFonts w:ascii="Palatino Linotype" w:eastAsia="Calibri" w:hAnsi="Palatino Linotype" w:cs="Arial"/>
          <w:lang w:val="es-ES"/>
        </w:rPr>
        <w:t xml:space="preserve">Por lo que, tratándose de la </w:t>
      </w:r>
      <w:r w:rsidRPr="00B07D19">
        <w:rPr>
          <w:rFonts w:ascii="Palatino Linotype" w:eastAsia="Calibri" w:hAnsi="Palatino Linotype" w:cs="Arial"/>
          <w:i/>
          <w:lang w:val="es-ES"/>
        </w:rPr>
        <w:t>negativa ficta</w:t>
      </w:r>
      <w:r w:rsidRPr="00B07D1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w:t>
      </w:r>
      <w:r w:rsidRPr="00B07D19">
        <w:rPr>
          <w:rFonts w:ascii="Palatino Linotype" w:eastAsia="Calibri" w:hAnsi="Palatino Linotype" w:cs="Arial"/>
          <w:lang w:val="es-ES"/>
        </w:rPr>
        <w:lastRenderedPageBreak/>
        <w:t xml:space="preserve">de México y Municipios, en la Sexta Sesión Ordinaria, y publicada en el Periódico Oficial “Gaceta del Gobierno” el veintitrés (23) de abril de dos mil quince, relativo a la interposición del recurso de revisión en cualquier tiempo cuando exista </w:t>
      </w:r>
      <w:r w:rsidRPr="00B07D19">
        <w:rPr>
          <w:rFonts w:ascii="Palatino Linotype" w:eastAsia="Calibri" w:hAnsi="Palatino Linotype" w:cs="Arial"/>
          <w:i/>
          <w:lang w:val="es-ES"/>
        </w:rPr>
        <w:t>negativa ficta</w:t>
      </w:r>
      <w:r w:rsidRPr="00B07D19">
        <w:rPr>
          <w:rFonts w:ascii="Palatino Linotype" w:eastAsia="Calibri" w:hAnsi="Palatino Linotype" w:cs="Arial"/>
          <w:lang w:val="es-ES"/>
        </w:rPr>
        <w:t>, que señala:</w:t>
      </w:r>
    </w:p>
    <w:p w14:paraId="5424C009" w14:textId="77777777" w:rsidR="00A92BCB" w:rsidRPr="00B07D19" w:rsidRDefault="00A92BCB" w:rsidP="00A92BCB">
      <w:pPr>
        <w:tabs>
          <w:tab w:val="left" w:pos="7655"/>
        </w:tabs>
        <w:spacing w:line="360" w:lineRule="auto"/>
        <w:ind w:left="567" w:right="567"/>
        <w:jc w:val="center"/>
        <w:rPr>
          <w:rFonts w:ascii="Palatino Linotype" w:eastAsia="Calibri" w:hAnsi="Palatino Linotype" w:cs="Arial"/>
          <w:b/>
          <w:lang w:val="es-ES"/>
        </w:rPr>
      </w:pPr>
      <w:r w:rsidRPr="00B07D19">
        <w:rPr>
          <w:rFonts w:ascii="Palatino Linotype" w:eastAsia="Calibri" w:hAnsi="Palatino Linotype" w:cs="Arial"/>
          <w:b/>
          <w:lang w:val="es-ES"/>
        </w:rPr>
        <w:t>Criterio 0001-15</w:t>
      </w:r>
    </w:p>
    <w:p w14:paraId="20E7F549" w14:textId="77777777" w:rsidR="00A92BCB" w:rsidRPr="00B07D19" w:rsidRDefault="00A92BCB" w:rsidP="00A92BCB">
      <w:pPr>
        <w:tabs>
          <w:tab w:val="left" w:pos="7655"/>
        </w:tabs>
        <w:spacing w:line="360" w:lineRule="auto"/>
        <w:ind w:left="567" w:right="567"/>
        <w:jc w:val="both"/>
        <w:rPr>
          <w:rFonts w:ascii="Palatino Linotype" w:eastAsia="Calibri" w:hAnsi="Palatino Linotype" w:cs="Arial"/>
          <w:i/>
          <w:lang w:val="es-ES"/>
        </w:rPr>
      </w:pPr>
      <w:r w:rsidRPr="00B07D19">
        <w:rPr>
          <w:rFonts w:ascii="Palatino Linotype" w:eastAsia="Calibri" w:hAnsi="Palatino Linotype" w:cs="Arial"/>
          <w:b/>
          <w:i/>
          <w:lang w:val="es-ES"/>
        </w:rPr>
        <w:t>NEGATIVA FICTA. PLAZO PARA INTERPONER EL RECURSO DE REVISIÓN TRATÁNDOSE DE.</w:t>
      </w:r>
      <w:r w:rsidRPr="00B07D19">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DB9A717" w14:textId="77777777" w:rsidR="00A92BCB" w:rsidRPr="00B07D19" w:rsidRDefault="00A92BCB" w:rsidP="00A92BCB">
      <w:pPr>
        <w:tabs>
          <w:tab w:val="left" w:pos="7655"/>
        </w:tabs>
        <w:spacing w:line="360" w:lineRule="auto"/>
        <w:ind w:left="567" w:right="567"/>
        <w:jc w:val="both"/>
        <w:rPr>
          <w:rFonts w:ascii="Palatino Linotype" w:eastAsia="Calibri" w:hAnsi="Palatino Linotype" w:cs="Arial"/>
          <w:i/>
          <w:lang w:val="es-ES"/>
        </w:rPr>
      </w:pPr>
    </w:p>
    <w:p w14:paraId="564C18B0" w14:textId="77777777" w:rsidR="00A92BCB" w:rsidRPr="00B07D19" w:rsidRDefault="00A92BCB" w:rsidP="00A92BCB">
      <w:pPr>
        <w:numPr>
          <w:ilvl w:val="0"/>
          <w:numId w:val="15"/>
        </w:numPr>
        <w:spacing w:line="360" w:lineRule="auto"/>
        <w:ind w:left="0" w:firstLine="0"/>
        <w:contextualSpacing/>
        <w:jc w:val="both"/>
        <w:rPr>
          <w:rFonts w:ascii="Palatino Linotype" w:hAnsi="Palatino Linotype" w:cs="Arial"/>
          <w:lang w:val="es-ES" w:eastAsia="es-MX"/>
        </w:rPr>
      </w:pPr>
      <w:r w:rsidRPr="00B07D19">
        <w:rPr>
          <w:rFonts w:ascii="Palatino Linotype" w:hAnsi="Palatino Linotype" w:cs="Arial"/>
          <w:lang w:val="es-ES" w:eastAsia="es-MX"/>
        </w:rPr>
        <w:t xml:space="preserve">Lo anterior, se explica porque la </w:t>
      </w:r>
      <w:r w:rsidRPr="00B07D19">
        <w:rPr>
          <w:rFonts w:ascii="Palatino Linotype" w:hAnsi="Palatino Linotype" w:cs="Arial"/>
          <w:b/>
          <w:u w:val="single"/>
          <w:lang w:val="es-ES" w:eastAsia="es-MX"/>
        </w:rPr>
        <w:t>posible ausencia</w:t>
      </w:r>
      <w:r w:rsidRPr="00B07D19">
        <w:rPr>
          <w:rFonts w:ascii="Palatino Linotype" w:hAnsi="Palatino Linotype" w:cs="Arial"/>
          <w:lang w:val="es-ES" w:eastAsia="es-MX"/>
        </w:rPr>
        <w:t xml:space="preserve"> de una respuesta en la solicitud constituye un acto que vulnera el derecho de manera continua y </w:t>
      </w:r>
      <w:r w:rsidRPr="00B07D19">
        <w:rPr>
          <w:rFonts w:ascii="Palatino Linotype" w:hAnsi="Palatino Linotype" w:cs="Arial"/>
          <w:lang w:val="es-ES" w:eastAsia="es-MX"/>
        </w:rPr>
        <w:lastRenderedPageBreak/>
        <w:t xml:space="preserve">actualizable cada día en tanto, no se emita la respuesta a la que esté impuesto el </w:t>
      </w:r>
      <w:r w:rsidRPr="00B07D19">
        <w:rPr>
          <w:rFonts w:ascii="Palatino Linotype" w:hAnsi="Palatino Linotype" w:cs="Arial"/>
          <w:b/>
          <w:lang w:val="es-ES" w:eastAsia="es-MX"/>
        </w:rPr>
        <w:t>SUJETO OBLIGADO</w:t>
      </w:r>
      <w:r w:rsidRPr="00B07D19">
        <w:rPr>
          <w:rFonts w:ascii="Palatino Linotype" w:hAnsi="Palatino Linotype" w:cs="Arial"/>
          <w:lang w:val="es-ES" w:eastAsia="es-MX"/>
        </w:rPr>
        <w:t>.</w:t>
      </w:r>
    </w:p>
    <w:p w14:paraId="405BF12D" w14:textId="77777777" w:rsidR="00A92BCB" w:rsidRPr="00B07D19" w:rsidRDefault="00A92BCB" w:rsidP="00A92BCB">
      <w:pPr>
        <w:spacing w:line="360" w:lineRule="auto"/>
        <w:contextualSpacing/>
        <w:rPr>
          <w:rFonts w:ascii="Palatino Linotype" w:hAnsi="Palatino Linotype" w:cs="Arial"/>
          <w:lang w:val="es-ES" w:eastAsia="es-MX"/>
        </w:rPr>
      </w:pPr>
    </w:p>
    <w:p w14:paraId="22403200" w14:textId="77777777" w:rsidR="00A92BCB" w:rsidRPr="00B07D19" w:rsidRDefault="00A92BCB" w:rsidP="00A92BCB">
      <w:pPr>
        <w:numPr>
          <w:ilvl w:val="0"/>
          <w:numId w:val="15"/>
        </w:numPr>
        <w:spacing w:line="360" w:lineRule="auto"/>
        <w:ind w:left="0" w:right="49" w:firstLine="0"/>
        <w:contextualSpacing/>
        <w:jc w:val="both"/>
        <w:rPr>
          <w:rFonts w:ascii="Palatino Linotype" w:hAnsi="Palatino Linotype" w:cs="Arial"/>
          <w:b/>
        </w:rPr>
      </w:pPr>
      <w:r w:rsidRPr="00B07D19">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3CAFDFF" w14:textId="77777777" w:rsidR="00CF0D2B" w:rsidRPr="00B07D19" w:rsidRDefault="00CF0D2B" w:rsidP="007142AB">
      <w:pPr>
        <w:rPr>
          <w:rFonts w:ascii="Palatino Linotype" w:hAnsi="Palatino Linotype"/>
        </w:rPr>
      </w:pPr>
    </w:p>
    <w:p w14:paraId="6D7EEADD" w14:textId="77777777" w:rsidR="006B3C31" w:rsidRPr="00B07D19" w:rsidRDefault="006B3C31" w:rsidP="007142AB">
      <w:pPr>
        <w:rPr>
          <w:rFonts w:ascii="Palatino Linotype" w:hAnsi="Palatino Linotype"/>
        </w:rPr>
      </w:pPr>
    </w:p>
    <w:p w14:paraId="39050836" w14:textId="77777777" w:rsidR="009F09BC" w:rsidRPr="00B07D19" w:rsidRDefault="00A92BCB" w:rsidP="00CF0D2B">
      <w:pPr>
        <w:pStyle w:val="Ttulo1"/>
        <w:spacing w:before="0" w:line="360" w:lineRule="auto"/>
        <w:rPr>
          <w:rFonts w:ascii="Palatino Linotype" w:hAnsi="Palatino Linotype"/>
          <w:b/>
          <w:color w:val="000000" w:themeColor="text1"/>
          <w:sz w:val="24"/>
          <w:szCs w:val="24"/>
        </w:rPr>
      </w:pPr>
      <w:bookmarkStart w:id="9" w:name="_Toc34246179"/>
      <w:bookmarkStart w:id="10" w:name="_Toc50033991"/>
      <w:bookmarkStart w:id="11" w:name="_Toc51259588"/>
      <w:bookmarkStart w:id="12" w:name="_Toc83128581"/>
      <w:r w:rsidRPr="00B07D19">
        <w:rPr>
          <w:rFonts w:ascii="Palatino Linotype" w:hAnsi="Palatino Linotype"/>
          <w:b/>
          <w:color w:val="000000" w:themeColor="text1"/>
          <w:sz w:val="24"/>
          <w:szCs w:val="24"/>
        </w:rPr>
        <w:t>TERCER</w:t>
      </w:r>
      <w:r w:rsidR="009F09BC" w:rsidRPr="00B07D19">
        <w:rPr>
          <w:rFonts w:ascii="Palatino Linotype" w:hAnsi="Palatino Linotype"/>
          <w:b/>
          <w:color w:val="000000" w:themeColor="text1"/>
          <w:sz w:val="24"/>
          <w:szCs w:val="24"/>
        </w:rPr>
        <w:t xml:space="preserve">O. </w:t>
      </w:r>
      <w:bookmarkStart w:id="13" w:name="_Toc501021589"/>
      <w:r w:rsidR="009F09BC" w:rsidRPr="00B07D19">
        <w:rPr>
          <w:rFonts w:ascii="Palatino Linotype" w:hAnsi="Palatino Linotype"/>
          <w:b/>
          <w:color w:val="000000" w:themeColor="text1"/>
          <w:sz w:val="24"/>
          <w:szCs w:val="24"/>
        </w:rPr>
        <w:t>De</w:t>
      </w:r>
      <w:bookmarkEnd w:id="9"/>
      <w:bookmarkEnd w:id="10"/>
      <w:bookmarkEnd w:id="11"/>
      <w:bookmarkEnd w:id="12"/>
      <w:bookmarkEnd w:id="13"/>
      <w:r w:rsidR="009A17B7" w:rsidRPr="00B07D19">
        <w:rPr>
          <w:rFonts w:ascii="Palatino Linotype" w:hAnsi="Palatino Linotype"/>
          <w:b/>
          <w:color w:val="000000" w:themeColor="text1"/>
          <w:sz w:val="24"/>
          <w:szCs w:val="24"/>
        </w:rPr>
        <w:t xml:space="preserve"> </w:t>
      </w:r>
      <w:r w:rsidR="006808CB" w:rsidRPr="00B07D19">
        <w:rPr>
          <w:rFonts w:ascii="Palatino Linotype" w:hAnsi="Palatino Linotype"/>
          <w:b/>
          <w:color w:val="000000" w:themeColor="text1"/>
          <w:sz w:val="24"/>
          <w:szCs w:val="24"/>
        </w:rPr>
        <w:t>las causales</w:t>
      </w:r>
      <w:r w:rsidR="009A17B7" w:rsidRPr="00B07D19">
        <w:rPr>
          <w:rFonts w:ascii="Palatino Linotype" w:hAnsi="Palatino Linotype"/>
          <w:b/>
          <w:color w:val="000000" w:themeColor="text1"/>
          <w:sz w:val="24"/>
          <w:szCs w:val="24"/>
        </w:rPr>
        <w:t xml:space="preserve"> de sobreseimiento</w:t>
      </w:r>
    </w:p>
    <w:p w14:paraId="1118D710" w14:textId="77777777" w:rsidR="009F09BC" w:rsidRPr="00B07D19" w:rsidRDefault="009F09BC" w:rsidP="009F09BC">
      <w:pPr>
        <w:rPr>
          <w:lang w:val="es-MX" w:eastAsia="en-US"/>
        </w:rPr>
      </w:pPr>
    </w:p>
    <w:p w14:paraId="00FF3351" w14:textId="77777777" w:rsidR="00A92BCB" w:rsidRPr="00B07D19" w:rsidRDefault="00A92BCB" w:rsidP="00B92F7F">
      <w:pPr>
        <w:numPr>
          <w:ilvl w:val="0"/>
          <w:numId w:val="15"/>
        </w:numPr>
        <w:tabs>
          <w:tab w:val="left" w:pos="426"/>
        </w:tabs>
        <w:spacing w:line="360" w:lineRule="auto"/>
        <w:ind w:left="0" w:firstLine="0"/>
        <w:contextualSpacing/>
        <w:jc w:val="both"/>
        <w:rPr>
          <w:rFonts w:ascii="Palatino Linotype" w:hAnsi="Palatino Linotype"/>
          <w:i/>
        </w:rPr>
      </w:pPr>
      <w:r w:rsidRPr="00B07D19">
        <w:rPr>
          <w:rFonts w:ascii="Palatino Linotype" w:hAnsi="Palatino Linotype" w:cs="Arial"/>
        </w:rPr>
        <w:t>De las constancias en el expediente al rubro indicado, se desprende que l</w:t>
      </w:r>
      <w:r w:rsidR="00853E3C" w:rsidRPr="00B07D19">
        <w:rPr>
          <w:rFonts w:ascii="Palatino Linotype" w:hAnsi="Palatino Linotype" w:cs="Arial"/>
        </w:rPr>
        <w:t>a</w:t>
      </w:r>
      <w:r w:rsidRPr="00B07D19">
        <w:rPr>
          <w:rFonts w:ascii="Palatino Linotype" w:hAnsi="Palatino Linotype" w:cs="Arial"/>
        </w:rPr>
        <w:t xml:space="preserve"> </w:t>
      </w:r>
      <w:r w:rsidRPr="00B07D19">
        <w:rPr>
          <w:rFonts w:ascii="Palatino Linotype" w:eastAsia="MS Mincho" w:hAnsi="Palatino Linotype" w:cs="Arial"/>
        </w:rPr>
        <w:t>particular</w:t>
      </w:r>
      <w:r w:rsidRPr="00B07D19">
        <w:rPr>
          <w:rFonts w:ascii="Palatino Linotype" w:hAnsi="Palatino Linotype" w:cs="Arial"/>
        </w:rPr>
        <w:t xml:space="preserve"> solicitó </w:t>
      </w:r>
      <w:r w:rsidR="00B92F7F" w:rsidRPr="00B07D19">
        <w:rPr>
          <w:rFonts w:ascii="Palatino Linotype" w:hAnsi="Palatino Linotype" w:cs="Arial"/>
        </w:rPr>
        <w:t>conocer el</w:t>
      </w:r>
      <w:r w:rsidR="00B92F7F" w:rsidRPr="00B07D19">
        <w:rPr>
          <w:rFonts w:ascii="Palatino Linotype" w:hAnsi="Palatino Linotype" w:cs="Arial"/>
          <w:b/>
        </w:rPr>
        <w:t xml:space="preserve"> monto total recaudado de los meses de enero a junio de 2022, por concepto de impuesto predial</w:t>
      </w:r>
      <w:r w:rsidRPr="00B07D19">
        <w:rPr>
          <w:rFonts w:ascii="Palatino Linotype" w:eastAsia="MS Mincho" w:hAnsi="Palatino Linotype"/>
        </w:rPr>
        <w:t xml:space="preserve">; </w:t>
      </w:r>
      <w:r w:rsidRPr="00B07D19">
        <w:rPr>
          <w:rFonts w:ascii="Palatino Linotype" w:hAnsi="Palatino Linotype"/>
        </w:rPr>
        <w:t xml:space="preserve">derivado </w:t>
      </w:r>
      <w:r w:rsidRPr="00B07D19">
        <w:rPr>
          <w:rFonts w:ascii="Palatino Linotype" w:hAnsi="Palatino Linotype" w:cs="Arial"/>
        </w:rPr>
        <w:t xml:space="preserve">de la falta de respuesta por parte del </w:t>
      </w:r>
      <w:r w:rsidRPr="00B07D19">
        <w:rPr>
          <w:rFonts w:ascii="Palatino Linotype" w:hAnsi="Palatino Linotype" w:cs="Arial"/>
          <w:b/>
        </w:rPr>
        <w:t>SUJETO OBLIGADO</w:t>
      </w:r>
      <w:r w:rsidRPr="00B07D19">
        <w:rPr>
          <w:rFonts w:ascii="Palatino Linotype" w:hAnsi="Palatino Linotype" w:cs="Arial"/>
        </w:rPr>
        <w:t xml:space="preserve">, </w:t>
      </w:r>
      <w:r w:rsidR="00853E3C" w:rsidRPr="00B07D19">
        <w:rPr>
          <w:rFonts w:ascii="Palatino Linotype" w:hAnsi="Palatino Linotype" w:cs="Arial"/>
        </w:rPr>
        <w:t>la solicitante</w:t>
      </w:r>
      <w:r w:rsidRPr="00B07D19">
        <w:rPr>
          <w:rFonts w:ascii="Palatino Linotype" w:hAnsi="Palatino Linotype" w:cs="Arial"/>
        </w:rPr>
        <w:t xml:space="preserve"> interpuso el Recurso de Revisión</w:t>
      </w:r>
      <w:r w:rsidRPr="00B07D19">
        <w:rPr>
          <w:rFonts w:ascii="Palatino Linotype" w:hAnsi="Palatino Linotype"/>
        </w:rPr>
        <w:t>, ante este Órgano Garante para hacer valer su derecho de acceso a la información pública.</w:t>
      </w:r>
    </w:p>
    <w:p w14:paraId="59606E3C" w14:textId="77777777" w:rsidR="00A92BCB" w:rsidRPr="00B07D19" w:rsidRDefault="00A92BCB" w:rsidP="00A92BCB">
      <w:pPr>
        <w:tabs>
          <w:tab w:val="left" w:pos="284"/>
        </w:tabs>
        <w:spacing w:line="360" w:lineRule="auto"/>
        <w:contextualSpacing/>
        <w:jc w:val="both"/>
        <w:rPr>
          <w:rFonts w:ascii="Palatino Linotype" w:hAnsi="Palatino Linotype"/>
        </w:rPr>
      </w:pPr>
    </w:p>
    <w:p w14:paraId="6371DC65" w14:textId="77777777" w:rsidR="00A92BCB" w:rsidRPr="00B07D19" w:rsidRDefault="00A92BCB" w:rsidP="00A92BCB">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B07D19">
        <w:rPr>
          <w:rFonts w:ascii="Palatino Linotype" w:eastAsia="MS Mincho" w:hAnsi="Palatino Linotype" w:cs="Arial"/>
        </w:rPr>
        <w:t xml:space="preserve">En </w:t>
      </w:r>
      <w:r w:rsidRPr="00B07D19">
        <w:rPr>
          <w:rFonts w:ascii="Palatino Linotype" w:hAnsi="Palatino Linotype" w:cs="Arial"/>
        </w:rPr>
        <w:t xml:space="preserve">dichas condiciones, la </w:t>
      </w:r>
      <w:r w:rsidRPr="00B07D19">
        <w:rPr>
          <w:rFonts w:ascii="Palatino Linotype" w:hAnsi="Palatino Linotype" w:cs="Arial"/>
          <w:i/>
        </w:rPr>
        <w:t>Litis</w:t>
      </w:r>
      <w:r w:rsidRPr="00B07D19">
        <w:rPr>
          <w:rFonts w:ascii="Palatino Linotype" w:hAnsi="Palatino Linotype" w:cs="Arial"/>
        </w:rPr>
        <w:t xml:space="preserve"> a resolver en el presente recurso de revisión se circunscribe a determinar si </w:t>
      </w:r>
      <w:r w:rsidRPr="00B07D19">
        <w:rPr>
          <w:rFonts w:ascii="Palatino Linotype" w:eastAsia="MS Mincho" w:hAnsi="Palatino Linotype" w:cs="Arial"/>
        </w:rPr>
        <w:t xml:space="preserve">se actualizan la causal de procedencia prevista en el artículo 179, fracción </w:t>
      </w:r>
      <w:r w:rsidRPr="00B07D19">
        <w:rPr>
          <w:rFonts w:ascii="Palatino Linotype" w:eastAsia="MS Mincho" w:hAnsi="Palatino Linotype" w:cs="Arial"/>
          <w:b/>
        </w:rPr>
        <w:t>VII</w:t>
      </w:r>
      <w:r w:rsidRPr="00B07D19">
        <w:rPr>
          <w:rFonts w:ascii="Palatino Linotype" w:eastAsia="MS Mincho" w:hAnsi="Palatino Linotype" w:cs="Arial"/>
        </w:rPr>
        <w:t xml:space="preserve"> de la </w:t>
      </w:r>
      <w:r w:rsidRPr="00B07D19">
        <w:rPr>
          <w:rFonts w:ascii="Palatino Linotype" w:eastAsia="MS Mincho" w:hAnsi="Palatino Linotype" w:cs="Arial"/>
          <w:b/>
        </w:rPr>
        <w:t>Ley de Transparencia y Acceso a la Información Pública del Estado de México y Municipios</w:t>
      </w:r>
      <w:r w:rsidRPr="00B07D19">
        <w:rPr>
          <w:rFonts w:ascii="Palatino Linotype" w:eastAsia="MS Mincho" w:hAnsi="Palatino Linotype" w:cs="Arial"/>
        </w:rPr>
        <w:t xml:space="preserve">; </w:t>
      </w:r>
      <w:r w:rsidRPr="00B07D19">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B07D19">
        <w:rPr>
          <w:rFonts w:ascii="Palatino Linotype" w:eastAsia="MS Mincho" w:hAnsi="Palatino Linotype" w:cs="Arial"/>
        </w:rPr>
        <w:t xml:space="preserve">contexto del cual se dolió la </w:t>
      </w:r>
      <w:r w:rsidRPr="00B07D19">
        <w:rPr>
          <w:rFonts w:ascii="Palatino Linotype" w:eastAsia="MS Mincho" w:hAnsi="Palatino Linotype" w:cs="Arial"/>
          <w:b/>
        </w:rPr>
        <w:t>RECURRENTE</w:t>
      </w:r>
      <w:r w:rsidRPr="00B07D19">
        <w:rPr>
          <w:rFonts w:ascii="Palatino Linotype" w:eastAsia="MS Mincho" w:hAnsi="Palatino Linotype" w:cs="Arial"/>
        </w:rPr>
        <w:t xml:space="preserve"> al momento de interponer su recurso de revisión</w:t>
      </w:r>
      <w:r w:rsidRPr="00B07D19">
        <w:rPr>
          <w:rFonts w:ascii="Palatino Linotype" w:hAnsi="Palatino Linotype" w:cs="Arial"/>
          <w:color w:val="000000" w:themeColor="text1"/>
          <w:lang w:val="es-ES"/>
        </w:rPr>
        <w:t xml:space="preserve">; asimismo, determinar si se vulnera el derecho de acceso a la información </w:t>
      </w:r>
      <w:r w:rsidRPr="00B07D19">
        <w:rPr>
          <w:rFonts w:ascii="Palatino Linotype" w:hAnsi="Palatino Linotype" w:cs="Arial"/>
          <w:color w:val="000000" w:themeColor="text1"/>
          <w:lang w:val="es-ES"/>
        </w:rPr>
        <w:lastRenderedPageBreak/>
        <w:t>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22109E0" w14:textId="77777777" w:rsidR="0014226C" w:rsidRPr="00B07D19" w:rsidRDefault="0014226C" w:rsidP="0014226C">
      <w:pPr>
        <w:pStyle w:val="Prrafodelista"/>
        <w:rPr>
          <w:rFonts w:ascii="Palatino Linotype" w:eastAsia="Times New Roman" w:hAnsi="Palatino Linotype" w:cs="Arial"/>
          <w:color w:val="000000" w:themeColor="text1"/>
          <w:lang w:val="es-ES" w:eastAsia="es-MX"/>
        </w:rPr>
      </w:pPr>
    </w:p>
    <w:p w14:paraId="6884A187" w14:textId="77777777" w:rsidR="009F09BC" w:rsidRPr="00B07D19" w:rsidRDefault="009F09BC" w:rsidP="0014226C">
      <w:pPr>
        <w:numPr>
          <w:ilvl w:val="0"/>
          <w:numId w:val="15"/>
        </w:numPr>
        <w:spacing w:line="360" w:lineRule="auto"/>
        <w:ind w:left="0" w:firstLine="0"/>
        <w:contextualSpacing/>
        <w:jc w:val="both"/>
        <w:rPr>
          <w:rFonts w:ascii="Palatino Linotype" w:eastAsia="MS Mincho" w:hAnsi="Palatino Linotype" w:cs="Arial"/>
        </w:rPr>
      </w:pPr>
      <w:r w:rsidRPr="00B07D19">
        <w:rPr>
          <w:rFonts w:ascii="Palatino Linotype" w:eastAsia="Times New Roman" w:hAnsi="Palatino Linotype" w:cs="Arial"/>
          <w:color w:val="000000" w:themeColor="text1"/>
          <w:lang w:val="es-ES" w:eastAsia="es-MX"/>
        </w:rPr>
        <w:t xml:space="preserve">De modo tal </w:t>
      </w:r>
      <w:r w:rsidRPr="00B07D19">
        <w:rPr>
          <w:rFonts w:ascii="Palatino Linotype" w:hAnsi="Palatino Linotype" w:cs="Arial"/>
          <w:color w:val="000000" w:themeColor="text1"/>
          <w:szCs w:val="23"/>
        </w:rPr>
        <w:t xml:space="preserve">que el presente recurso de revisión se abocara en determinar si el </w:t>
      </w:r>
      <w:r w:rsidRPr="00B07D19">
        <w:rPr>
          <w:rFonts w:ascii="Palatino Linotype" w:hAnsi="Palatino Linotype" w:cs="Arial"/>
          <w:b/>
          <w:color w:val="000000" w:themeColor="text1"/>
          <w:szCs w:val="23"/>
        </w:rPr>
        <w:t>SUJETO</w:t>
      </w:r>
      <w:r w:rsidRPr="00B07D19">
        <w:rPr>
          <w:rFonts w:ascii="Palatino Linotype" w:hAnsi="Palatino Linotype" w:cs="Arial"/>
          <w:color w:val="000000" w:themeColor="text1"/>
          <w:szCs w:val="23"/>
        </w:rPr>
        <w:t xml:space="preserve"> </w:t>
      </w:r>
      <w:r w:rsidRPr="00B07D19">
        <w:rPr>
          <w:rFonts w:ascii="Palatino Linotype" w:hAnsi="Palatino Linotype" w:cs="Arial"/>
          <w:b/>
          <w:color w:val="000000" w:themeColor="text1"/>
          <w:szCs w:val="23"/>
        </w:rPr>
        <w:t>OBLIGADO</w:t>
      </w:r>
      <w:r w:rsidRPr="00B07D19">
        <w:rPr>
          <w:rFonts w:ascii="Palatino Linotype" w:hAnsi="Palatino Linotype" w:cs="Arial"/>
          <w:color w:val="000000" w:themeColor="text1"/>
          <w:szCs w:val="23"/>
        </w:rPr>
        <w:t xml:space="preserve"> con su respuesta ciertamente </w:t>
      </w:r>
      <w:r w:rsidRPr="00B07D19">
        <w:rPr>
          <w:rFonts w:ascii="Palatino Linotype" w:eastAsia="Times New Roman" w:hAnsi="Palatino Linotype"/>
          <w:color w:val="000000" w:themeColor="text1"/>
        </w:rPr>
        <w:t>actualiza la causal de procedencia</w:t>
      </w:r>
      <w:r w:rsidRPr="00B07D19">
        <w:rPr>
          <w:rFonts w:ascii="Palatino Linotype" w:eastAsia="Times New Roman" w:hAnsi="Palatino Linotype"/>
          <w:b/>
          <w:color w:val="000000" w:themeColor="text1"/>
        </w:rPr>
        <w:t xml:space="preserve"> </w:t>
      </w:r>
      <w:r w:rsidRPr="00B07D19">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43359900" w14:textId="77777777" w:rsidR="009F09BC" w:rsidRPr="00B07D19" w:rsidRDefault="009F09BC" w:rsidP="009F09BC">
      <w:pPr>
        <w:pStyle w:val="Prrafodelista"/>
        <w:rPr>
          <w:rFonts w:ascii="Palatino Linotype" w:eastAsia="MS Mincho" w:hAnsi="Palatino Linotype" w:cs="Arial"/>
        </w:rPr>
      </w:pPr>
    </w:p>
    <w:p w14:paraId="7A3B707C" w14:textId="77777777" w:rsidR="00FE32FF" w:rsidRPr="00B07D19" w:rsidRDefault="006808CB" w:rsidP="00FE32FF">
      <w:pPr>
        <w:numPr>
          <w:ilvl w:val="0"/>
          <w:numId w:val="15"/>
        </w:numPr>
        <w:spacing w:line="360" w:lineRule="auto"/>
        <w:ind w:left="0" w:firstLine="0"/>
        <w:contextualSpacing/>
        <w:jc w:val="both"/>
        <w:rPr>
          <w:rFonts w:ascii="Palatino Linotype" w:hAnsi="Palatino Linotype"/>
          <w:color w:val="000000" w:themeColor="text1"/>
        </w:rPr>
      </w:pPr>
      <w:r w:rsidRPr="00B07D19">
        <w:rPr>
          <w:rFonts w:ascii="Palatino Linotype" w:hAnsi="Palatino Linotype"/>
          <w:color w:val="000000" w:themeColor="text1"/>
        </w:rPr>
        <w:t>Ahora bien, p</w:t>
      </w:r>
      <w:r w:rsidR="00FE32FF" w:rsidRPr="00B07D19">
        <w:rPr>
          <w:rFonts w:ascii="Palatino Linotype" w:hAnsi="Palatino Linotype"/>
          <w:color w:val="000000" w:themeColor="text1"/>
        </w:rPr>
        <w:t>rimeramente es menester precisar</w:t>
      </w:r>
      <w:r w:rsidR="00FE32FF" w:rsidRPr="00B07D19">
        <w:rPr>
          <w:rFonts w:ascii="Palatino Linotype" w:hAnsi="Palatino Linotype"/>
          <w:bCs/>
          <w:color w:val="000000" w:themeColor="text1"/>
          <w:lang w:val="es-MX"/>
        </w:rPr>
        <w:t xml:space="preserve"> que </w:t>
      </w:r>
      <w:r w:rsidR="00FE32FF" w:rsidRPr="00B07D19">
        <w:rPr>
          <w:rFonts w:ascii="Palatino Linotype" w:hAnsi="Palatino Linotype"/>
          <w:bCs/>
          <w:color w:val="000000" w:themeColor="text1"/>
        </w:rPr>
        <w:t xml:space="preserve">este Órgano Garante parte del hecho que el </w:t>
      </w:r>
      <w:r w:rsidR="00FE32FF" w:rsidRPr="00B07D19">
        <w:rPr>
          <w:rFonts w:ascii="Palatino Linotype" w:eastAsia="Times New Roman" w:hAnsi="Palatino Linotype" w:cs="Arial"/>
          <w:color w:val="000000" w:themeColor="text1"/>
          <w:lang w:val="es-ES" w:eastAsia="es-MX"/>
        </w:rPr>
        <w:t>Derecho</w:t>
      </w:r>
      <w:r w:rsidR="00FE32FF" w:rsidRPr="00B07D19">
        <w:rPr>
          <w:rFonts w:ascii="Palatino Linotype" w:hAnsi="Palatino Linotype"/>
          <w:bCs/>
          <w:color w:val="000000" w:themeColor="text1"/>
        </w:rPr>
        <w:t xml:space="preserve"> de </w:t>
      </w:r>
      <w:r w:rsidR="00FE32FF" w:rsidRPr="00B07D19">
        <w:rPr>
          <w:rFonts w:ascii="Palatino Linotype" w:eastAsia="MS Mincho" w:hAnsi="Palatino Linotype" w:cs="Arial"/>
        </w:rPr>
        <w:t>Acceso</w:t>
      </w:r>
      <w:r w:rsidR="00FE32FF" w:rsidRPr="00B07D19">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FE32FF" w:rsidRPr="00B07D19">
        <w:rPr>
          <w:rFonts w:ascii="Palatino Linotype" w:hAnsi="Palatino Linotype"/>
          <w:b/>
          <w:bCs/>
          <w:color w:val="000000" w:themeColor="text1"/>
        </w:rPr>
        <w:t>SUJETO OBLIGADO</w:t>
      </w:r>
      <w:r w:rsidR="00FE32FF" w:rsidRPr="00B07D19">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FE32FF" w:rsidRPr="00B07D19">
        <w:rPr>
          <w:rFonts w:ascii="Palatino Linotype" w:hAnsi="Palatino Linotype"/>
          <w:b/>
          <w:bCs/>
          <w:color w:val="000000" w:themeColor="text1"/>
        </w:rPr>
        <w:t xml:space="preserve">Constitución Política de los Estados Unidos Mexicanos </w:t>
      </w:r>
      <w:r w:rsidR="00FE32FF" w:rsidRPr="00B07D19">
        <w:rPr>
          <w:rFonts w:ascii="Palatino Linotype" w:hAnsi="Palatino Linotype"/>
          <w:bCs/>
          <w:color w:val="000000" w:themeColor="text1"/>
        </w:rPr>
        <w:t xml:space="preserve">al señalar la obligación de “promover, respetar, proteger y </w:t>
      </w:r>
      <w:r w:rsidR="00FE32FF" w:rsidRPr="00B07D19">
        <w:rPr>
          <w:rFonts w:ascii="Palatino Linotype" w:hAnsi="Palatino Linotype"/>
          <w:b/>
          <w:bCs/>
          <w:color w:val="000000" w:themeColor="text1"/>
        </w:rPr>
        <w:t>garantizar</w:t>
      </w:r>
      <w:r w:rsidR="00FE32FF" w:rsidRPr="00B07D19">
        <w:rPr>
          <w:rFonts w:ascii="Palatino Linotype" w:hAnsi="Palatino Linotype"/>
          <w:bCs/>
          <w:color w:val="000000" w:themeColor="text1"/>
        </w:rPr>
        <w:t xml:space="preserve"> los derechos humanos”, entre los cuales se encuentra dicho derecho.</w:t>
      </w:r>
    </w:p>
    <w:p w14:paraId="55573CEE" w14:textId="77777777" w:rsidR="00FE32FF" w:rsidRPr="00B07D19" w:rsidRDefault="00FE32FF" w:rsidP="00FE32FF">
      <w:pPr>
        <w:pStyle w:val="Prrafodelista"/>
        <w:spacing w:line="360" w:lineRule="auto"/>
        <w:ind w:left="0"/>
        <w:jc w:val="both"/>
        <w:rPr>
          <w:rFonts w:ascii="Palatino Linotype" w:hAnsi="Palatino Linotype"/>
          <w:color w:val="000000" w:themeColor="text1"/>
        </w:rPr>
      </w:pPr>
    </w:p>
    <w:p w14:paraId="0EC96848" w14:textId="77777777" w:rsidR="00FE32FF" w:rsidRPr="00B07D19" w:rsidRDefault="00FE32FF" w:rsidP="00FE32FF">
      <w:pPr>
        <w:numPr>
          <w:ilvl w:val="0"/>
          <w:numId w:val="15"/>
        </w:numPr>
        <w:spacing w:line="360" w:lineRule="auto"/>
        <w:ind w:left="0" w:firstLine="0"/>
        <w:contextualSpacing/>
        <w:jc w:val="both"/>
        <w:rPr>
          <w:rFonts w:ascii="Palatino Linotype" w:hAnsi="Palatino Linotype"/>
          <w:color w:val="000000" w:themeColor="text1"/>
        </w:rPr>
      </w:pPr>
      <w:r w:rsidRPr="00B07D19">
        <w:rPr>
          <w:rFonts w:ascii="Palatino Linotype" w:hAnsi="Palatino Linotype"/>
          <w:color w:val="000000" w:themeColor="text1"/>
        </w:rPr>
        <w:t xml:space="preserve">Por </w:t>
      </w:r>
      <w:r w:rsidRPr="00B07D19">
        <w:rPr>
          <w:rFonts w:ascii="Palatino Linotype" w:hAnsi="Palatino Linotype"/>
          <w:color w:val="000000" w:themeColor="text1"/>
          <w:lang w:val="es-MX"/>
        </w:rPr>
        <w:t xml:space="preserve">lo anterior, se deduce que el derecho de acceso a la información pública es un </w:t>
      </w:r>
      <w:r w:rsidRPr="00B07D19">
        <w:rPr>
          <w:rFonts w:ascii="Palatino Linotype" w:hAnsi="Palatino Linotype"/>
          <w:color w:val="000000" w:themeColor="text1"/>
        </w:rPr>
        <w:t>derecho</w:t>
      </w:r>
      <w:r w:rsidRPr="00B07D19">
        <w:rPr>
          <w:rFonts w:ascii="Palatino Linotype" w:hAnsi="Palatino Linotype"/>
          <w:color w:val="000000" w:themeColor="text1"/>
          <w:lang w:val="es-MX"/>
        </w:rPr>
        <w:t xml:space="preserve"> humano convencional y constitucionalmente reconocido; en </w:t>
      </w:r>
      <w:r w:rsidRPr="00B07D19">
        <w:rPr>
          <w:rFonts w:ascii="Palatino Linotype" w:hAnsi="Palatino Linotype"/>
          <w:color w:val="000000" w:themeColor="text1"/>
          <w:lang w:val="es-MX"/>
        </w:rPr>
        <w:lastRenderedPageBreak/>
        <w:t>consecuencia, todas las autoridades en el ámbito de sus competencias, funciones y atribuciones tienen la obligación de respetarlo, protegerlo y garantizarlo.</w:t>
      </w:r>
    </w:p>
    <w:p w14:paraId="5FB24242" w14:textId="77777777" w:rsidR="00FE32FF" w:rsidRPr="00B07D19" w:rsidRDefault="00FE32FF" w:rsidP="00FE32FF">
      <w:pPr>
        <w:pStyle w:val="Prrafodelista"/>
        <w:rPr>
          <w:rFonts w:ascii="Palatino Linotype" w:hAnsi="Palatino Linotype"/>
          <w:color w:val="000000" w:themeColor="text1"/>
        </w:rPr>
      </w:pPr>
    </w:p>
    <w:p w14:paraId="54A4CF58" w14:textId="77777777" w:rsidR="00FE32FF" w:rsidRPr="00B07D19" w:rsidRDefault="00FE32FF" w:rsidP="00FE32FF">
      <w:pPr>
        <w:numPr>
          <w:ilvl w:val="0"/>
          <w:numId w:val="15"/>
        </w:numPr>
        <w:spacing w:line="360" w:lineRule="auto"/>
        <w:ind w:left="0" w:firstLine="0"/>
        <w:contextualSpacing/>
        <w:jc w:val="both"/>
        <w:rPr>
          <w:rFonts w:ascii="Palatino Linotype" w:hAnsi="Palatino Linotype"/>
          <w:color w:val="000000" w:themeColor="text1"/>
        </w:rPr>
      </w:pPr>
      <w:r w:rsidRPr="00B07D19">
        <w:rPr>
          <w:rFonts w:ascii="Palatino Linotype" w:hAnsi="Palatino Linotype"/>
          <w:color w:val="000000" w:themeColor="text1"/>
        </w:rPr>
        <w:t xml:space="preserve">Así las cosas, </w:t>
      </w:r>
      <w:r w:rsidRPr="00B07D19">
        <w:rPr>
          <w:rFonts w:ascii="Palatino Linotype" w:hAnsi="Palatino Linotype"/>
          <w:color w:val="000000" w:themeColor="text1"/>
          <w:lang w:val="es-MX"/>
        </w:rPr>
        <w:t xml:space="preserve">podemos definir el Derecho de Acceso a la Información Pública como: </w:t>
      </w:r>
      <w:r w:rsidRPr="00B07D19">
        <w:rPr>
          <w:rFonts w:ascii="Palatino Linotype" w:hAnsi="Palatino Linotype"/>
          <w:i/>
          <w:color w:val="000000" w:themeColor="text1"/>
          <w:lang w:val="es-MX"/>
        </w:rPr>
        <w:t>La igualdad de oportunidades para recibir, buscar e impartir información</w:t>
      </w:r>
      <w:r w:rsidRPr="00B07D19">
        <w:rPr>
          <w:rFonts w:ascii="Palatino Linotype" w:hAnsi="Palatino Linotype"/>
          <w:i/>
          <w:color w:val="000000" w:themeColor="text1"/>
          <w:vertAlign w:val="superscript"/>
          <w:lang w:val="es-MX"/>
        </w:rPr>
        <w:footnoteReference w:id="1"/>
      </w:r>
      <w:r w:rsidRPr="00B07D19">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7D19">
        <w:rPr>
          <w:rFonts w:ascii="Palatino Linotype" w:hAnsi="Palatino Linotype"/>
          <w:i/>
          <w:color w:val="000000" w:themeColor="text1"/>
          <w:vertAlign w:val="superscript"/>
          <w:lang w:val="es-MX"/>
        </w:rPr>
        <w:footnoteReference w:id="2"/>
      </w:r>
      <w:r w:rsidRPr="00B07D19">
        <w:rPr>
          <w:rFonts w:ascii="Palatino Linotype" w:hAnsi="Palatino Linotype"/>
          <w:color w:val="000000" w:themeColor="text1"/>
          <w:lang w:val="es-MX"/>
        </w:rPr>
        <w:t>que se constituye como una herramienta fundamental para ejercer</w:t>
      </w:r>
      <w:r w:rsidRPr="00B07D19">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B07D19">
        <w:rPr>
          <w:rFonts w:ascii="Palatino Linotype" w:hAnsi="Palatino Linotype"/>
          <w:i/>
          <w:color w:val="000000" w:themeColor="text1"/>
          <w:vertAlign w:val="superscript"/>
          <w:lang w:val="es-MX"/>
        </w:rPr>
        <w:footnoteReference w:id="3"/>
      </w:r>
      <w:r w:rsidRPr="00B07D19">
        <w:rPr>
          <w:rFonts w:ascii="Palatino Linotype" w:hAnsi="Palatino Linotype"/>
          <w:i/>
          <w:color w:val="000000" w:themeColor="text1"/>
          <w:lang w:val="es-MX"/>
        </w:rPr>
        <w:t xml:space="preserve"> </w:t>
      </w:r>
      <w:r w:rsidRPr="00B07D19">
        <w:rPr>
          <w:rFonts w:ascii="Palatino Linotype" w:hAnsi="Palatino Linotype"/>
          <w:color w:val="000000" w:themeColor="text1"/>
          <w:lang w:val="es-MX"/>
        </w:rPr>
        <w:t>fomentando</w:t>
      </w:r>
      <w:r w:rsidRPr="00B07D19">
        <w:rPr>
          <w:rFonts w:ascii="Palatino Linotype" w:hAnsi="Palatino Linotype"/>
          <w:i/>
          <w:color w:val="000000" w:themeColor="text1"/>
          <w:lang w:val="es-MX"/>
        </w:rPr>
        <w:t xml:space="preserve"> la transparencia de las actividades estatales y </w:t>
      </w:r>
      <w:r w:rsidRPr="00B07D19">
        <w:rPr>
          <w:rFonts w:ascii="Palatino Linotype" w:hAnsi="Palatino Linotype"/>
          <w:color w:val="000000" w:themeColor="text1"/>
          <w:lang w:val="es-MX"/>
        </w:rPr>
        <w:t>promoviendo</w:t>
      </w:r>
      <w:r w:rsidRPr="00B07D19">
        <w:rPr>
          <w:rFonts w:ascii="Palatino Linotype" w:hAnsi="Palatino Linotype"/>
          <w:i/>
          <w:color w:val="000000" w:themeColor="text1"/>
          <w:lang w:val="es-MX"/>
        </w:rPr>
        <w:t xml:space="preserve"> la responsabilidad de los funcionarios sobre su gestión pública,</w:t>
      </w:r>
      <w:r w:rsidRPr="00B07D19">
        <w:rPr>
          <w:rFonts w:ascii="Palatino Linotype" w:hAnsi="Palatino Linotype"/>
          <w:i/>
          <w:color w:val="000000" w:themeColor="text1"/>
          <w:vertAlign w:val="superscript"/>
          <w:lang w:val="es-MX"/>
        </w:rPr>
        <w:footnoteReference w:id="4"/>
      </w:r>
      <w:r w:rsidRPr="00B07D19">
        <w:rPr>
          <w:rFonts w:ascii="Palatino Linotype" w:hAnsi="Palatino Linotype"/>
          <w:color w:val="000000" w:themeColor="text1"/>
          <w:lang w:val="es-MX"/>
        </w:rPr>
        <w:t>que permite</w:t>
      </w:r>
      <w:r w:rsidRPr="00B07D19">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51B335FD" w14:textId="77777777" w:rsidR="00B92F7F" w:rsidRPr="00B07D19" w:rsidRDefault="00B92F7F" w:rsidP="00B92F7F">
      <w:pPr>
        <w:pStyle w:val="Prrafodelista"/>
        <w:rPr>
          <w:rFonts w:ascii="Palatino Linotype" w:hAnsi="Palatino Linotype"/>
          <w:color w:val="000000" w:themeColor="text1"/>
        </w:rPr>
      </w:pPr>
    </w:p>
    <w:p w14:paraId="632B0EA3" w14:textId="77777777" w:rsidR="00FE32FF" w:rsidRPr="00B07D19" w:rsidRDefault="00FE32FF" w:rsidP="00FE32FF">
      <w:pPr>
        <w:numPr>
          <w:ilvl w:val="0"/>
          <w:numId w:val="15"/>
        </w:numPr>
        <w:spacing w:line="360" w:lineRule="auto"/>
        <w:ind w:left="0" w:firstLine="0"/>
        <w:contextualSpacing/>
        <w:jc w:val="both"/>
        <w:rPr>
          <w:rFonts w:ascii="Palatino Linotype" w:hAnsi="Palatino Linotype"/>
          <w:color w:val="000000" w:themeColor="text1"/>
        </w:rPr>
      </w:pPr>
      <w:r w:rsidRPr="00B07D19">
        <w:rPr>
          <w:rFonts w:ascii="Palatino Linotype" w:hAnsi="Palatino Linotype"/>
          <w:color w:val="000000" w:themeColor="text1"/>
        </w:rPr>
        <w:t xml:space="preserve">Por otro lado, </w:t>
      </w:r>
      <w:r w:rsidRPr="00B07D19">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w:t>
      </w:r>
      <w:r w:rsidRPr="00B07D19">
        <w:rPr>
          <w:rFonts w:ascii="Palatino Linotype" w:hAnsi="Palatino Linotype"/>
          <w:color w:val="000000" w:themeColor="text1"/>
        </w:rPr>
        <w:t>procedimientos</w:t>
      </w:r>
      <w:r w:rsidRPr="00B07D19">
        <w:rPr>
          <w:rFonts w:ascii="Palatino Linotype" w:hAnsi="Palatino Linotype"/>
          <w:color w:val="000000" w:themeColor="text1"/>
          <w:lang w:val="es-MX"/>
        </w:rPr>
        <w:t xml:space="preserve"> para tutelar y garantizar la transparencia y el derecho humano de acceso a la información pública en posesión de los sujetos obligados; en su artículo 176 establece que el recurso de revisión es la garantía secundaria mediante la cual se </w:t>
      </w:r>
      <w:r w:rsidRPr="00B07D19">
        <w:rPr>
          <w:rFonts w:ascii="Palatino Linotype" w:hAnsi="Palatino Linotype"/>
          <w:color w:val="000000" w:themeColor="text1"/>
          <w:lang w:val="es-MX"/>
        </w:rPr>
        <w:lastRenderedPageBreak/>
        <w:t>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5DD7A5B" w14:textId="77777777" w:rsidR="00FE32FF" w:rsidRPr="00B07D19" w:rsidRDefault="00FE32FF" w:rsidP="00FE32FF">
      <w:pPr>
        <w:pStyle w:val="Prrafodelista"/>
        <w:spacing w:line="360" w:lineRule="auto"/>
        <w:ind w:left="0"/>
        <w:jc w:val="both"/>
        <w:rPr>
          <w:rFonts w:ascii="Palatino Linotype" w:eastAsia="MS Mincho" w:hAnsi="Palatino Linotype" w:cs="Arial"/>
        </w:rPr>
      </w:pPr>
    </w:p>
    <w:p w14:paraId="1CABA132" w14:textId="77777777" w:rsidR="00B92F7F" w:rsidRPr="00B07D19" w:rsidRDefault="00FE32FF" w:rsidP="00FE32FF">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color w:val="000000"/>
        </w:rPr>
        <w:t xml:space="preserve">Acotado lo </w:t>
      </w:r>
      <w:r w:rsidRPr="00B07D19">
        <w:rPr>
          <w:rFonts w:ascii="Palatino Linotype" w:hAnsi="Palatino Linotype"/>
          <w:color w:val="000000" w:themeColor="text1"/>
        </w:rPr>
        <w:t>anterior</w:t>
      </w:r>
      <w:r w:rsidRPr="00B07D19">
        <w:rPr>
          <w:rFonts w:ascii="Palatino Linotype" w:hAnsi="Palatino Linotype"/>
          <w:color w:val="000000"/>
        </w:rPr>
        <w:t xml:space="preserve">, es dable primeramente señalar, que como se desprende del </w:t>
      </w:r>
      <w:r w:rsidRPr="00B07D19">
        <w:rPr>
          <w:rFonts w:ascii="Palatino Linotype" w:hAnsi="Palatino Linotype"/>
          <w:color w:val="000000" w:themeColor="text1"/>
        </w:rPr>
        <w:t>planteamiento</w:t>
      </w:r>
      <w:r w:rsidRPr="00B07D19">
        <w:rPr>
          <w:rFonts w:ascii="Palatino Linotype" w:hAnsi="Palatino Linotype"/>
          <w:color w:val="000000"/>
        </w:rPr>
        <w:t xml:space="preserve"> de la </w:t>
      </w:r>
      <w:r w:rsidRPr="00B07D19">
        <w:rPr>
          <w:rFonts w:ascii="Palatino Linotype" w:hAnsi="Palatino Linotype"/>
          <w:i/>
        </w:rPr>
        <w:t>Litis</w:t>
      </w:r>
      <w:r w:rsidRPr="00B07D19">
        <w:rPr>
          <w:rFonts w:ascii="Palatino Linotype" w:hAnsi="Palatino Linotype"/>
          <w:i/>
          <w:color w:val="000000"/>
        </w:rPr>
        <w:t xml:space="preserve">, </w:t>
      </w:r>
      <w:r w:rsidRPr="00B07D19">
        <w:rPr>
          <w:rFonts w:ascii="Palatino Linotype" w:hAnsi="Palatino Linotype"/>
          <w:color w:val="000000"/>
        </w:rPr>
        <w:t xml:space="preserve">el hoy </w:t>
      </w:r>
      <w:r w:rsidRPr="00B07D19">
        <w:rPr>
          <w:rFonts w:ascii="Palatino Linotype" w:hAnsi="Palatino Linotype"/>
          <w:b/>
          <w:color w:val="000000"/>
        </w:rPr>
        <w:t>RECURRENTE</w:t>
      </w:r>
      <w:r w:rsidRPr="00B07D19">
        <w:rPr>
          <w:rFonts w:ascii="Palatino Linotype" w:hAnsi="Palatino Linotype"/>
          <w:color w:val="000000"/>
        </w:rPr>
        <w:t xml:space="preserve">, se inconforma por la </w:t>
      </w:r>
      <w:r w:rsidR="00B92F7F" w:rsidRPr="00B07D19">
        <w:rPr>
          <w:rFonts w:ascii="Palatino Linotype" w:hAnsi="Palatino Linotype"/>
          <w:color w:val="000000"/>
        </w:rPr>
        <w:t xml:space="preserve">falta de respuesta a su solicitud de información; contexto que se advierte procedente y fundado, en virtud que de las constancias que obran en el expediente electrónico en que se actúa, se desprende que ciertamente el </w:t>
      </w:r>
      <w:r w:rsidR="00B92F7F" w:rsidRPr="00B07D19">
        <w:rPr>
          <w:rFonts w:ascii="Palatino Linotype" w:hAnsi="Palatino Linotype"/>
          <w:b/>
          <w:color w:val="000000"/>
        </w:rPr>
        <w:t>SUJETO OBLIGADO</w:t>
      </w:r>
      <w:r w:rsidR="00B92F7F" w:rsidRPr="00B07D19">
        <w:rPr>
          <w:rFonts w:ascii="Palatino Linotype" w:hAnsi="Palatino Linotype"/>
          <w:color w:val="000000"/>
        </w:rPr>
        <w:t xml:space="preserve"> fue omiso en emitir una contestación.</w:t>
      </w:r>
    </w:p>
    <w:p w14:paraId="7F53AE1D" w14:textId="77777777" w:rsidR="00B92F7F" w:rsidRPr="00B07D19" w:rsidRDefault="00B92F7F" w:rsidP="00B92F7F">
      <w:pPr>
        <w:pStyle w:val="Prrafodelista"/>
        <w:rPr>
          <w:rFonts w:ascii="Palatino Linotype" w:hAnsi="Palatino Linotype"/>
          <w:color w:val="000000"/>
        </w:rPr>
      </w:pPr>
    </w:p>
    <w:p w14:paraId="484B7C28" w14:textId="77777777" w:rsidR="00B92F7F" w:rsidRPr="00B07D19" w:rsidRDefault="00B92F7F" w:rsidP="00B92F7F">
      <w:pPr>
        <w:pStyle w:val="Prrafodelista"/>
        <w:numPr>
          <w:ilvl w:val="0"/>
          <w:numId w:val="15"/>
        </w:numPr>
        <w:spacing w:line="360" w:lineRule="auto"/>
        <w:ind w:left="0" w:firstLine="0"/>
        <w:jc w:val="both"/>
        <w:rPr>
          <w:rFonts w:ascii="Palatino Linotype" w:hAnsi="Palatino Linotype"/>
        </w:rPr>
      </w:pPr>
      <w:r w:rsidRPr="00B07D19">
        <w:rPr>
          <w:rFonts w:ascii="Palatino Linotype" w:hAnsi="Palatino Linotype"/>
        </w:rPr>
        <w:t>En esa tesitura,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2E6DA7C" w14:textId="77777777" w:rsidR="00B92F7F" w:rsidRPr="00B07D19" w:rsidRDefault="00B92F7F" w:rsidP="00B92F7F">
      <w:pPr>
        <w:pStyle w:val="Prrafodelista"/>
        <w:spacing w:line="360" w:lineRule="auto"/>
        <w:ind w:left="360"/>
        <w:jc w:val="both"/>
        <w:rPr>
          <w:rFonts w:ascii="Palatino Linotype" w:hAnsi="Palatino Linotype"/>
          <w:b/>
          <w:i/>
        </w:rPr>
      </w:pPr>
    </w:p>
    <w:p w14:paraId="3D587341" w14:textId="77777777" w:rsidR="00B92F7F" w:rsidRPr="00B07D19" w:rsidRDefault="00B92F7F" w:rsidP="00B92F7F">
      <w:pPr>
        <w:pStyle w:val="Prrafodelista"/>
        <w:spacing w:line="360" w:lineRule="auto"/>
        <w:ind w:left="851" w:right="567"/>
        <w:jc w:val="both"/>
        <w:rPr>
          <w:rFonts w:ascii="Palatino Linotype" w:hAnsi="Palatino Linotype"/>
          <w:b/>
          <w:i/>
        </w:rPr>
      </w:pPr>
      <w:r w:rsidRPr="00B07D19">
        <w:rPr>
          <w:rFonts w:ascii="Palatino Linotype" w:hAnsi="Palatino Linotype"/>
          <w:i/>
        </w:rPr>
        <w:t>“</w:t>
      </w:r>
      <w:r w:rsidRPr="00B07D19">
        <w:rPr>
          <w:rFonts w:ascii="Palatino Linotype" w:hAnsi="Palatino Linotype"/>
          <w:b/>
          <w:i/>
        </w:rPr>
        <w:t>Artículo 163.</w:t>
      </w:r>
      <w:r w:rsidRPr="00B07D19">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054A64E6" w14:textId="77777777" w:rsidR="00B92F7F" w:rsidRPr="00B07D19" w:rsidRDefault="00B92F7F" w:rsidP="00B92F7F">
      <w:pPr>
        <w:pStyle w:val="Prrafodelista"/>
        <w:spacing w:line="360" w:lineRule="auto"/>
        <w:ind w:left="851" w:right="567"/>
        <w:jc w:val="both"/>
        <w:rPr>
          <w:rFonts w:ascii="Palatino Linotype" w:hAnsi="Palatino Linotype"/>
          <w:i/>
        </w:rPr>
      </w:pPr>
      <w:r w:rsidRPr="00B07D19">
        <w:rPr>
          <w:rFonts w:ascii="Palatino Linotype" w:hAnsi="Palatino Linotype"/>
          <w:i/>
        </w:rPr>
        <w:t>(…)”</w:t>
      </w:r>
    </w:p>
    <w:p w14:paraId="120D8EB2" w14:textId="77777777" w:rsidR="00B92F7F" w:rsidRPr="00B07D19" w:rsidRDefault="00B92F7F" w:rsidP="00B92F7F">
      <w:pPr>
        <w:pStyle w:val="Prrafodelista"/>
        <w:spacing w:line="360" w:lineRule="auto"/>
        <w:ind w:left="851" w:right="567"/>
        <w:jc w:val="both"/>
        <w:rPr>
          <w:rFonts w:ascii="Palatino Linotype" w:hAnsi="Palatino Linotype"/>
          <w:b/>
          <w:i/>
        </w:rPr>
      </w:pPr>
    </w:p>
    <w:p w14:paraId="2D27EC8D" w14:textId="77777777" w:rsidR="00B92F7F" w:rsidRPr="00B07D19" w:rsidRDefault="00B92F7F" w:rsidP="00B92F7F">
      <w:pPr>
        <w:pStyle w:val="Prrafodelista"/>
        <w:spacing w:line="360" w:lineRule="auto"/>
        <w:ind w:left="851" w:right="567"/>
        <w:jc w:val="both"/>
        <w:rPr>
          <w:rFonts w:ascii="Palatino Linotype" w:hAnsi="Palatino Linotype"/>
          <w:i/>
        </w:rPr>
      </w:pPr>
      <w:r w:rsidRPr="00B07D19">
        <w:rPr>
          <w:rFonts w:ascii="Palatino Linotype" w:hAnsi="Palatino Linotype"/>
          <w:i/>
        </w:rPr>
        <w:lastRenderedPageBreak/>
        <w:t>“</w:t>
      </w:r>
      <w:r w:rsidRPr="00B07D19">
        <w:rPr>
          <w:rFonts w:ascii="Palatino Linotype" w:hAnsi="Palatino Linotype"/>
          <w:b/>
          <w:i/>
        </w:rPr>
        <w:t>Artículo 166.</w:t>
      </w:r>
      <w:r w:rsidRPr="00B07D19">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6FAAA54D" w14:textId="77777777" w:rsidR="00B92F7F" w:rsidRPr="00B07D19" w:rsidRDefault="00B92F7F" w:rsidP="00B92F7F">
      <w:pPr>
        <w:spacing w:line="360" w:lineRule="auto"/>
        <w:contextualSpacing/>
        <w:jc w:val="both"/>
        <w:rPr>
          <w:rFonts w:ascii="Palatino Linotype" w:hAnsi="Palatino Linotype" w:cs="Arial"/>
        </w:rPr>
      </w:pPr>
    </w:p>
    <w:p w14:paraId="00947124" w14:textId="77777777" w:rsidR="00B92F7F" w:rsidRPr="00B07D19" w:rsidRDefault="00B92F7F" w:rsidP="00B92F7F">
      <w:pPr>
        <w:numPr>
          <w:ilvl w:val="0"/>
          <w:numId w:val="15"/>
        </w:numPr>
        <w:spacing w:line="360" w:lineRule="auto"/>
        <w:ind w:left="0" w:firstLine="0"/>
        <w:contextualSpacing/>
        <w:jc w:val="both"/>
        <w:rPr>
          <w:rFonts w:ascii="Palatino Linotype" w:hAnsi="Palatino Linotype" w:cs="Arial"/>
        </w:rPr>
      </w:pPr>
      <w:r w:rsidRPr="00B07D19">
        <w:rPr>
          <w:rFonts w:ascii="Palatino Linotype" w:hAnsi="Palatino Linotype" w:cs="Arial"/>
        </w:rPr>
        <w:t xml:space="preserve">En este caso, la solicitud de información que formuló la particular como parte de su derecho de acceso a la información pública, no fue atendida, dado que –se insiste– el </w:t>
      </w:r>
      <w:r w:rsidRPr="00B07D19">
        <w:rPr>
          <w:rFonts w:ascii="Palatino Linotype" w:hAnsi="Palatino Linotype" w:cs="Arial"/>
          <w:b/>
        </w:rPr>
        <w:t>SUJETO OBLIGADO</w:t>
      </w:r>
      <w:r w:rsidRPr="00B07D19">
        <w:rPr>
          <w:rFonts w:ascii="Palatino Linotype" w:hAnsi="Palatino Linotype" w:cs="Arial"/>
        </w:rPr>
        <w:t xml:space="preserve"> fue omiso en emitir una respuesta.</w:t>
      </w:r>
    </w:p>
    <w:p w14:paraId="59C5106C" w14:textId="77777777" w:rsidR="00B92F7F" w:rsidRPr="00B07D19" w:rsidRDefault="00B92F7F" w:rsidP="00B92F7F">
      <w:pPr>
        <w:spacing w:line="360" w:lineRule="auto"/>
        <w:contextualSpacing/>
        <w:jc w:val="both"/>
        <w:rPr>
          <w:rFonts w:ascii="Palatino Linotype" w:hAnsi="Palatino Linotype" w:cs="Arial"/>
        </w:rPr>
      </w:pPr>
    </w:p>
    <w:p w14:paraId="7813EEBA" w14:textId="77777777" w:rsidR="00B92F7F" w:rsidRPr="00B07D19" w:rsidRDefault="00B92F7F" w:rsidP="00B92F7F">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cs="Arial"/>
        </w:rPr>
        <w:t xml:space="preserve">Por tanto, en cumplimiento a las obligaciones que la Constitución Federal , la Constitución Estatal y la Ley de la materia el </w:t>
      </w:r>
      <w:r w:rsidRPr="00B07D19">
        <w:rPr>
          <w:rFonts w:ascii="Palatino Linotype" w:hAnsi="Palatino Linotype" w:cs="Arial"/>
          <w:b/>
        </w:rPr>
        <w:t>SUJETO OBLIGADO</w:t>
      </w:r>
      <w:r w:rsidRPr="00B07D19">
        <w:rPr>
          <w:rFonts w:ascii="Palatino Linotype" w:hAnsi="Palatino Linotype" w:cs="Arial"/>
        </w:rPr>
        <w:t xml:space="preserve"> está constreñido a dar atención a las solicitudes de información que a través del </w:t>
      </w:r>
      <w:r w:rsidRPr="00B07D19">
        <w:rPr>
          <w:rFonts w:ascii="Palatino Linotype" w:hAnsi="Palatino Linotype" w:cs="Arial"/>
          <w:b/>
        </w:rPr>
        <w:t>SAIMEX</w:t>
      </w:r>
      <w:r w:rsidRPr="00B07D19">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B07D19">
        <w:rPr>
          <w:rFonts w:ascii="Palatino Linotype" w:hAnsi="Palatino Linotype" w:cs="Arial"/>
          <w:b/>
        </w:rPr>
        <w:t>SAIME</w:t>
      </w:r>
      <w:r w:rsidRPr="00B07D19">
        <w:rPr>
          <w:rFonts w:ascii="Palatino Linotype" w:hAnsi="Palatino Linotype" w:cs="Arial"/>
        </w:rPr>
        <w:t xml:space="preserve">X, el </w:t>
      </w:r>
      <w:r w:rsidRPr="00B07D19">
        <w:rPr>
          <w:rFonts w:ascii="Palatino Linotype" w:hAnsi="Palatino Linotype" w:cs="Arial"/>
          <w:b/>
        </w:rPr>
        <w:t>SUJETO OBLIGADO</w:t>
      </w:r>
      <w:r w:rsidRPr="00B07D19">
        <w:rPr>
          <w:rFonts w:ascii="Palatino Linotype" w:hAnsi="Palatino Linotype" w:cs="Arial"/>
        </w:rPr>
        <w:t xml:space="preserve"> fue omiso en dar respuesta a las solicitud</w:t>
      </w:r>
    </w:p>
    <w:p w14:paraId="2FBA45AA" w14:textId="77777777" w:rsidR="00B92F7F" w:rsidRPr="00B07D19" w:rsidRDefault="00B92F7F" w:rsidP="00B92F7F">
      <w:pPr>
        <w:pStyle w:val="Prrafodelista"/>
        <w:rPr>
          <w:rFonts w:ascii="Palatino Linotype" w:hAnsi="Palatino Linotype"/>
          <w:color w:val="000000"/>
        </w:rPr>
      </w:pPr>
    </w:p>
    <w:p w14:paraId="180F5A69" w14:textId="77777777" w:rsidR="00B92F7F" w:rsidRPr="00B07D19" w:rsidRDefault="00B92F7F" w:rsidP="00FE32FF">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rPr>
        <w:t xml:space="preserve">No obstante, lo anterior, en un hecho posterior a la interposición del recurso de revisión, como lo es la etapa de manifestaciones, el </w:t>
      </w:r>
      <w:r w:rsidRPr="00B07D19">
        <w:rPr>
          <w:rFonts w:ascii="Palatino Linotype" w:hAnsi="Palatino Linotype"/>
          <w:b/>
        </w:rPr>
        <w:t>SUJETO OBLIGADO</w:t>
      </w:r>
      <w:r w:rsidRPr="00B07D19">
        <w:rPr>
          <w:rFonts w:ascii="Palatino Linotype" w:hAnsi="Palatino Linotype"/>
        </w:rPr>
        <w:t xml:space="preserve"> </w:t>
      </w:r>
      <w:r w:rsidR="002F00B0" w:rsidRPr="00B07D19">
        <w:rPr>
          <w:rFonts w:ascii="Palatino Linotype" w:hAnsi="Palatino Linotype"/>
        </w:rPr>
        <w:t>emitió el informe justificado correspondiente, por lo que anuló el silencio administrativo en el que estaba incurriendo.</w:t>
      </w:r>
    </w:p>
    <w:p w14:paraId="200C24D8" w14:textId="77777777" w:rsidR="002F00B0" w:rsidRPr="00B07D19" w:rsidRDefault="002F00B0" w:rsidP="002F00B0">
      <w:pPr>
        <w:pStyle w:val="Prrafodelista"/>
        <w:rPr>
          <w:rFonts w:ascii="Palatino Linotype" w:hAnsi="Palatino Linotype"/>
        </w:rPr>
      </w:pPr>
    </w:p>
    <w:p w14:paraId="0CEE3CE0" w14:textId="77777777" w:rsidR="002F00B0" w:rsidRPr="00B07D19" w:rsidRDefault="002F00B0" w:rsidP="00FE32FF">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rPr>
        <w:t>En el</w:t>
      </w:r>
      <w:r w:rsidR="00777D7E" w:rsidRPr="00B07D19">
        <w:rPr>
          <w:rFonts w:ascii="Palatino Linotype" w:hAnsi="Palatino Linotype"/>
        </w:rPr>
        <w:t xml:space="preserve"> informe de referencia, el </w:t>
      </w:r>
      <w:r w:rsidR="00777D7E" w:rsidRPr="00B07D19">
        <w:rPr>
          <w:rFonts w:ascii="Palatino Linotype" w:hAnsi="Palatino Linotype"/>
          <w:b/>
        </w:rPr>
        <w:t>SUJETO OBLIGADO</w:t>
      </w:r>
      <w:r w:rsidR="00777D7E" w:rsidRPr="00B07D19">
        <w:rPr>
          <w:rFonts w:ascii="Palatino Linotype" w:hAnsi="Palatino Linotype"/>
        </w:rPr>
        <w:t xml:space="preserve"> tuvo a bien pronunciarse respecto a la información requerida en el siguiente sentido:</w:t>
      </w:r>
    </w:p>
    <w:p w14:paraId="2AA21F04" w14:textId="77777777" w:rsidR="00777D7E" w:rsidRPr="00B07D19" w:rsidRDefault="00777D7E" w:rsidP="00777D7E">
      <w:pPr>
        <w:pStyle w:val="Prrafodelista"/>
        <w:rPr>
          <w:rFonts w:ascii="Palatino Linotype" w:hAnsi="Palatino Linotype"/>
        </w:rPr>
      </w:pPr>
    </w:p>
    <w:p w14:paraId="288C946D" w14:textId="77777777" w:rsidR="00777D7E" w:rsidRPr="00B07D19" w:rsidRDefault="00777D7E" w:rsidP="00777D7E">
      <w:pPr>
        <w:spacing w:line="360" w:lineRule="auto"/>
        <w:contextualSpacing/>
        <w:jc w:val="center"/>
        <w:rPr>
          <w:rFonts w:ascii="Palatino Linotype" w:hAnsi="Palatino Linotype"/>
        </w:rPr>
      </w:pPr>
      <w:r w:rsidRPr="00B07D19">
        <w:rPr>
          <w:rFonts w:ascii="Palatino Linotype" w:hAnsi="Palatino Linotype"/>
          <w:noProof/>
          <w:lang w:val="es-MX" w:eastAsia="es-MX"/>
        </w:rPr>
        <w:lastRenderedPageBreak/>
        <w:drawing>
          <wp:inline distT="0" distB="0" distL="0" distR="0" wp14:anchorId="340E3AC8" wp14:editId="20F1E0C0">
            <wp:extent cx="5243209" cy="4552735"/>
            <wp:effectExtent l="19050" t="19050" r="14605"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971" cy="4553397"/>
                    </a:xfrm>
                    <a:prstGeom prst="rect">
                      <a:avLst/>
                    </a:prstGeom>
                    <a:noFill/>
                    <a:ln>
                      <a:solidFill>
                        <a:schemeClr val="tx1"/>
                      </a:solidFill>
                    </a:ln>
                  </pic:spPr>
                </pic:pic>
              </a:graphicData>
            </a:graphic>
          </wp:inline>
        </w:drawing>
      </w:r>
    </w:p>
    <w:p w14:paraId="3426E760" w14:textId="77777777" w:rsidR="00B92F7F" w:rsidRPr="00B07D19" w:rsidRDefault="00B92F7F" w:rsidP="00B92F7F">
      <w:pPr>
        <w:spacing w:line="360" w:lineRule="auto"/>
        <w:contextualSpacing/>
        <w:jc w:val="both"/>
        <w:rPr>
          <w:rFonts w:ascii="Palatino Linotype" w:hAnsi="Palatino Linotype"/>
        </w:rPr>
      </w:pPr>
    </w:p>
    <w:p w14:paraId="5387162E" w14:textId="112E70DF" w:rsidR="00777D7E" w:rsidRPr="00B07D19" w:rsidRDefault="00777D7E" w:rsidP="00777D7E">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rPr>
        <w:t xml:space="preserve">De la </w:t>
      </w:r>
      <w:r w:rsidR="0014656A" w:rsidRPr="00B07D19">
        <w:rPr>
          <w:rFonts w:ascii="Palatino Linotype" w:hAnsi="Palatino Linotype"/>
        </w:rPr>
        <w:t xml:space="preserve">información </w:t>
      </w:r>
      <w:r w:rsidRPr="00B07D19">
        <w:rPr>
          <w:rFonts w:ascii="Palatino Linotype" w:hAnsi="Palatino Linotype"/>
        </w:rPr>
        <w:t xml:space="preserve"> de referencia, se desprenden diversos aspectos, el primero de ellos que fue emitida por un servidor público habilitado competente, asimismo que se abarca la temporalidad establecida por el particular; es decir de los meses de enero a junio de 2022, por otro lado, la cifra </w:t>
      </w:r>
      <w:r w:rsidR="00853E3C" w:rsidRPr="00B07D19">
        <w:rPr>
          <w:rFonts w:ascii="Palatino Linotype" w:hAnsi="Palatino Linotype"/>
        </w:rPr>
        <w:t xml:space="preserve">refiere que </w:t>
      </w:r>
      <w:r w:rsidRPr="00B07D19">
        <w:rPr>
          <w:rFonts w:ascii="Palatino Linotype" w:hAnsi="Palatino Linotype"/>
        </w:rPr>
        <w:t>corresponde al monto total. Por lo que en relatadas circunstancias se concluye que la respuesta abarca los extremos de la solicitud de información, consecuen</w:t>
      </w:r>
      <w:r w:rsidR="00853E3C" w:rsidRPr="00B07D19">
        <w:rPr>
          <w:rFonts w:ascii="Palatino Linotype" w:hAnsi="Palatino Linotype"/>
        </w:rPr>
        <w:t>temente esta ha quedado colmada, extinguiendo los motivos de inconformidad.</w:t>
      </w:r>
    </w:p>
    <w:p w14:paraId="006AC76B" w14:textId="77777777" w:rsidR="00BF1269" w:rsidRPr="00B07D19" w:rsidRDefault="00BF1269" w:rsidP="00BF1269">
      <w:pPr>
        <w:spacing w:line="360" w:lineRule="auto"/>
        <w:contextualSpacing/>
        <w:jc w:val="both"/>
        <w:rPr>
          <w:rFonts w:ascii="Palatino Linotype" w:hAnsi="Palatino Linotype"/>
        </w:rPr>
      </w:pPr>
    </w:p>
    <w:p w14:paraId="1B710C25" w14:textId="77777777" w:rsidR="00A0321E" w:rsidRPr="00B07D19" w:rsidRDefault="00BF1269" w:rsidP="00A0321E">
      <w:pPr>
        <w:numPr>
          <w:ilvl w:val="0"/>
          <w:numId w:val="15"/>
        </w:numPr>
        <w:spacing w:line="360" w:lineRule="auto"/>
        <w:ind w:left="0" w:firstLine="0"/>
        <w:contextualSpacing/>
        <w:jc w:val="both"/>
        <w:rPr>
          <w:rFonts w:ascii="Palatino Linotype" w:hAnsi="Palatino Linotype" w:cs="Arial"/>
          <w:i/>
          <w:lang w:eastAsia="es-MX"/>
        </w:rPr>
      </w:pPr>
      <w:r w:rsidRPr="00B07D19">
        <w:rPr>
          <w:rFonts w:ascii="Palatino Linotype" w:hAnsi="Palatino Linotype"/>
        </w:rPr>
        <w:lastRenderedPageBreak/>
        <w:t xml:space="preserve">Si bien es cierto, el derecho de acceso a la información pública es un derecho que versa sobre documentos y que este se colma con la entrega del soporte documental donde conste o se advierta la información solicitada, que se haya generado, poseído o administrado por los sujetos obligados previo a la interposición de las solicitudes de información, sin tener la obligación de generar </w:t>
      </w:r>
      <w:r w:rsidR="00A0321E" w:rsidRPr="00B07D19">
        <w:rPr>
          <w:rFonts w:ascii="Palatino Linotype" w:hAnsi="Palatino Linotype"/>
        </w:rPr>
        <w:t xml:space="preserve">nuevos </w:t>
      </w:r>
      <w:r w:rsidRPr="00B07D19">
        <w:rPr>
          <w:rFonts w:ascii="Palatino Linotype" w:hAnsi="Palatino Linotype"/>
        </w:rPr>
        <w:t xml:space="preserve">documentos </w:t>
      </w:r>
      <w:r w:rsidRPr="00B07D19">
        <w:rPr>
          <w:rFonts w:ascii="Palatino Linotype" w:hAnsi="Palatino Linotype"/>
          <w:i/>
        </w:rPr>
        <w:t>ad hoc</w:t>
      </w:r>
      <w:r w:rsidRPr="00B07D19">
        <w:rPr>
          <w:rFonts w:ascii="Palatino Linotype" w:hAnsi="Palatino Linotype"/>
        </w:rPr>
        <w:t xml:space="preserve">, </w:t>
      </w:r>
      <w:r w:rsidR="00A0321E" w:rsidRPr="00B07D19">
        <w:rPr>
          <w:rFonts w:ascii="Palatino Linotype" w:hAnsi="Palatino Linotype"/>
          <w:color w:val="000000" w:themeColor="text1"/>
        </w:rPr>
        <w:t xml:space="preserve">con la finalidad de satisfacer las pretensiones particulares de los solicitantes, </w:t>
      </w:r>
      <w:r w:rsidR="00A0321E" w:rsidRPr="00B07D19">
        <w:rPr>
          <w:rFonts w:ascii="Palatino Linotype" w:eastAsia="MS Mincho" w:hAnsi="Palatino Linotype" w:cs="Arial"/>
        </w:rPr>
        <w:t>sirviendo</w:t>
      </w:r>
      <w:r w:rsidR="00A0321E" w:rsidRPr="00B07D19">
        <w:rPr>
          <w:rFonts w:ascii="Palatino Linotype" w:hAnsi="Palatino Linotype" w:cs="Arial"/>
        </w:rPr>
        <w:t xml:space="preserve"> apoyo a lo anterior, es aplicable por analogía el </w:t>
      </w:r>
      <w:r w:rsidR="00A0321E" w:rsidRPr="00B07D19">
        <w:rPr>
          <w:rFonts w:ascii="Palatino Linotype" w:hAnsi="Palatino Linotype" w:cs="Arial"/>
          <w:b/>
        </w:rPr>
        <w:t>Criterio 03/17</w:t>
      </w:r>
      <w:r w:rsidR="00A0321E" w:rsidRPr="00B07D19">
        <w:rPr>
          <w:rFonts w:ascii="Palatino Linotype" w:hAnsi="Palatino Linotype" w:cs="Arial"/>
        </w:rPr>
        <w:t>, emitido por el Pleno del Instituto Nacional de Transparencia, Acceso a la Información y Protección de Datos Personales (INAI)</w:t>
      </w:r>
      <w:r w:rsidR="00A0321E" w:rsidRPr="00B07D19">
        <w:rPr>
          <w:rFonts w:ascii="Palatino Linotype" w:hAnsi="Palatino Linotype" w:cs="Arial"/>
          <w:bCs/>
        </w:rPr>
        <w:t>, que a la letra dice:</w:t>
      </w:r>
    </w:p>
    <w:p w14:paraId="5AEBAABA" w14:textId="77777777" w:rsidR="00A0321E" w:rsidRPr="00B07D19" w:rsidRDefault="00A0321E" w:rsidP="00A0321E">
      <w:pPr>
        <w:pStyle w:val="Prrafodelista"/>
        <w:spacing w:line="360" w:lineRule="auto"/>
        <w:rPr>
          <w:rFonts w:ascii="Palatino Linotype" w:hAnsi="Palatino Linotype" w:cs="Arial"/>
          <w:i/>
          <w:lang w:eastAsia="es-MX"/>
        </w:rPr>
      </w:pPr>
    </w:p>
    <w:p w14:paraId="1E018B42" w14:textId="77777777" w:rsidR="00A0321E" w:rsidRPr="00B07D19" w:rsidRDefault="00A0321E" w:rsidP="00A0321E">
      <w:pPr>
        <w:pStyle w:val="Prrafodelista"/>
        <w:spacing w:line="360" w:lineRule="auto"/>
        <w:ind w:left="567" w:right="616"/>
        <w:jc w:val="both"/>
        <w:rPr>
          <w:rFonts w:ascii="Palatino Linotype" w:hAnsi="Palatino Linotype" w:cs="Arial"/>
          <w:bCs/>
          <w:i/>
        </w:rPr>
      </w:pPr>
      <w:r w:rsidRPr="00B07D19">
        <w:rPr>
          <w:rFonts w:ascii="Palatino Linotype" w:hAnsi="Palatino Linotype" w:cs="Arial"/>
          <w:b/>
          <w:bCs/>
          <w:i/>
        </w:rPr>
        <w:t xml:space="preserve">“No existe obligación de elaborar documentos ad hoc para atender las solicitudes de acceso a la información. </w:t>
      </w:r>
      <w:r w:rsidRPr="00B07D19">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483181" w14:textId="77777777" w:rsidR="00A0321E" w:rsidRPr="00B07D19" w:rsidRDefault="00A0321E" w:rsidP="00A0321E">
      <w:pPr>
        <w:pStyle w:val="Prrafodelista"/>
        <w:spacing w:line="360" w:lineRule="auto"/>
        <w:ind w:left="567" w:right="616"/>
        <w:jc w:val="both"/>
        <w:rPr>
          <w:rFonts w:ascii="Palatino Linotype" w:hAnsi="Palatino Linotype" w:cs="Arial"/>
          <w:bCs/>
          <w:i/>
        </w:rPr>
      </w:pPr>
    </w:p>
    <w:p w14:paraId="389FE320" w14:textId="77777777" w:rsidR="00A0321E" w:rsidRPr="00B07D19" w:rsidRDefault="00A0321E" w:rsidP="00A0321E">
      <w:pPr>
        <w:pStyle w:val="Prrafodelista"/>
        <w:spacing w:line="360" w:lineRule="auto"/>
        <w:ind w:left="567" w:right="616"/>
        <w:jc w:val="both"/>
        <w:rPr>
          <w:rFonts w:ascii="Palatino Linotype" w:hAnsi="Palatino Linotype" w:cs="Arial"/>
          <w:b/>
          <w:bCs/>
          <w:i/>
        </w:rPr>
      </w:pPr>
      <w:r w:rsidRPr="00B07D19">
        <w:rPr>
          <w:rFonts w:ascii="Palatino Linotype" w:hAnsi="Palatino Linotype" w:cs="Arial"/>
          <w:b/>
          <w:bCs/>
          <w:i/>
        </w:rPr>
        <w:t>Resoluciones:</w:t>
      </w:r>
    </w:p>
    <w:p w14:paraId="68D9247B" w14:textId="77777777" w:rsidR="00A0321E" w:rsidRPr="00B07D19" w:rsidRDefault="00A0321E" w:rsidP="00A0321E">
      <w:pPr>
        <w:pStyle w:val="Prrafodelista"/>
        <w:spacing w:line="360" w:lineRule="auto"/>
        <w:ind w:left="567" w:right="618"/>
        <w:jc w:val="both"/>
        <w:rPr>
          <w:rFonts w:ascii="Palatino Linotype" w:hAnsi="Palatino Linotype" w:cs="Arial"/>
          <w:bCs/>
          <w:i/>
        </w:rPr>
      </w:pPr>
      <w:r w:rsidRPr="00B07D19">
        <w:rPr>
          <w:rFonts w:ascii="Palatino Linotype" w:hAnsi="Palatino Linotype" w:cs="Arial"/>
          <w:bCs/>
          <w:i/>
        </w:rPr>
        <w:lastRenderedPageBreak/>
        <w:t>RRA 0050/16. Instituto Nacional para la Evaluación de la Educación. 13 julio de 2016. Por unanimidad. Comisionado Ponente: Francisco Javier Acuña Llamas.</w:t>
      </w:r>
    </w:p>
    <w:p w14:paraId="6D596510" w14:textId="77777777" w:rsidR="00A0321E" w:rsidRPr="00B07D19" w:rsidRDefault="00A0321E" w:rsidP="00A0321E">
      <w:pPr>
        <w:pStyle w:val="Prrafodelista"/>
        <w:spacing w:line="360" w:lineRule="auto"/>
        <w:ind w:left="567" w:right="618"/>
        <w:jc w:val="both"/>
        <w:rPr>
          <w:rFonts w:ascii="Palatino Linotype" w:hAnsi="Palatino Linotype" w:cs="Arial"/>
          <w:bCs/>
          <w:i/>
        </w:rPr>
      </w:pPr>
      <w:r w:rsidRPr="00B07D19">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1987039C" w14:textId="77777777" w:rsidR="00A0321E" w:rsidRPr="00B07D19" w:rsidRDefault="00A0321E" w:rsidP="00A0321E">
      <w:pPr>
        <w:pStyle w:val="Prrafodelista"/>
        <w:spacing w:line="360" w:lineRule="auto"/>
        <w:ind w:left="567" w:right="618"/>
        <w:jc w:val="both"/>
        <w:rPr>
          <w:rFonts w:ascii="Palatino Linotype" w:hAnsi="Palatino Linotype" w:cs="Arial"/>
          <w:bCs/>
          <w:i/>
        </w:rPr>
      </w:pPr>
      <w:r w:rsidRPr="00B07D19">
        <w:rPr>
          <w:rFonts w:ascii="Palatino Linotype" w:hAnsi="Palatino Linotype" w:cs="Arial"/>
          <w:bCs/>
          <w:i/>
        </w:rPr>
        <w:t>RRA 1889/16. Secretaría de Hacienda y Crédito Público. 05 de octubre de 2016. Por unanimidad. Comisionada Ponente. Ximena Puente de la Mora.”</w:t>
      </w:r>
    </w:p>
    <w:p w14:paraId="6BA2479E" w14:textId="77777777" w:rsidR="00A0321E" w:rsidRPr="00B07D19" w:rsidRDefault="00A0321E" w:rsidP="00A0321E">
      <w:pPr>
        <w:pStyle w:val="Prrafodelista"/>
        <w:spacing w:line="360" w:lineRule="auto"/>
        <w:ind w:left="567" w:right="618"/>
        <w:jc w:val="both"/>
        <w:rPr>
          <w:rFonts w:ascii="Palatino Linotype" w:hAnsi="Palatino Linotype" w:cs="Arial"/>
          <w:bCs/>
          <w:i/>
        </w:rPr>
      </w:pPr>
    </w:p>
    <w:p w14:paraId="4BA27155" w14:textId="77777777" w:rsidR="00BF1269" w:rsidRPr="00B07D19" w:rsidRDefault="00A0321E" w:rsidP="00777D7E">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rPr>
        <w:t xml:space="preserve">También lo es que no existe ningún precepto legal que lo impida, en esa tesitura, si bien es cierto en el presente asunto se advierte que con la finalidad de atender la solicitud de información se generó un documento </w:t>
      </w:r>
      <w:r w:rsidRPr="00B07D19">
        <w:rPr>
          <w:rFonts w:ascii="Palatino Linotype" w:hAnsi="Palatino Linotype"/>
          <w:i/>
        </w:rPr>
        <w:t>ad hoc</w:t>
      </w:r>
      <w:r w:rsidRPr="00B07D19">
        <w:rPr>
          <w:rFonts w:ascii="Palatino Linotype" w:hAnsi="Palatino Linotype"/>
        </w:rPr>
        <w:t>, si puede ser tomado en consideración para tener por cumplida la solicitud de información.</w:t>
      </w:r>
    </w:p>
    <w:p w14:paraId="31E2AA50" w14:textId="77777777" w:rsidR="00A0321E" w:rsidRPr="00B07D19" w:rsidRDefault="00A0321E" w:rsidP="00A0321E">
      <w:pPr>
        <w:spacing w:line="360" w:lineRule="auto"/>
        <w:contextualSpacing/>
        <w:jc w:val="both"/>
        <w:rPr>
          <w:rFonts w:ascii="Palatino Linotype" w:hAnsi="Palatino Linotype"/>
        </w:rPr>
      </w:pPr>
    </w:p>
    <w:p w14:paraId="5FAC9022" w14:textId="77777777" w:rsidR="00A0321E" w:rsidRPr="00B07D19" w:rsidRDefault="00A0321E" w:rsidP="00A0321E">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rPr>
        <w:t xml:space="preserve">Por otro lado, respecto a las cifras entregadas, es de señalar que </w:t>
      </w:r>
      <w:r w:rsidRPr="00B07D19">
        <w:rPr>
          <w:rFonts w:ascii="Palatino Linotype" w:eastAsia="Palatino Linotype" w:hAnsi="Palatino Linotype" w:cs="Palatino Linotype"/>
          <w:color w:val="000000"/>
        </w:rPr>
        <w:t xml:space="preserve">este </w:t>
      </w:r>
      <w:r w:rsidRPr="00B07D19">
        <w:rPr>
          <w:rFonts w:ascii="Palatino Linotype" w:eastAsia="MS Mincho" w:hAnsi="Palatino Linotype" w:cs="Arial"/>
        </w:rPr>
        <w:t>Instituto</w:t>
      </w:r>
      <w:r w:rsidRPr="00B07D19">
        <w:rPr>
          <w:rFonts w:ascii="Palatino Linotype" w:eastAsia="Palatino Linotype" w:hAnsi="Palatino Linotype" w:cs="Palatino Linotype"/>
          <w:color w:val="000000"/>
        </w:rPr>
        <w:t xml:space="preserve"> no está facultado para dudar de la veracidad de la </w:t>
      </w:r>
      <w:r w:rsidRPr="00B07D19">
        <w:rPr>
          <w:rFonts w:ascii="Palatino Linotype" w:eastAsia="MS Mincho" w:hAnsi="Palatino Linotype" w:cs="Arial"/>
        </w:rPr>
        <w:t>información</w:t>
      </w:r>
      <w:r w:rsidRPr="00B07D19">
        <w:rPr>
          <w:rFonts w:ascii="Palatino Linotype" w:eastAsia="Palatino Linotype" w:hAnsi="Palatino Linotype" w:cs="Palatino Linotype"/>
          <w:color w:val="000000"/>
        </w:rPr>
        <w:t xml:space="preserve"> que le fue entregada a</w:t>
      </w:r>
      <w:r w:rsidR="00853E3C" w:rsidRPr="00B07D19">
        <w:rPr>
          <w:rFonts w:ascii="Palatino Linotype" w:eastAsia="Palatino Linotype" w:hAnsi="Palatino Linotype" w:cs="Palatino Linotype"/>
          <w:color w:val="000000"/>
        </w:rPr>
        <w:t xml:space="preserve"> </w:t>
      </w:r>
      <w:r w:rsidRPr="00B07D19">
        <w:rPr>
          <w:rFonts w:ascii="Palatino Linotype" w:eastAsia="Palatino Linotype" w:hAnsi="Palatino Linotype" w:cs="Palatino Linotype"/>
          <w:color w:val="000000"/>
        </w:rPr>
        <w:t>l</w:t>
      </w:r>
      <w:r w:rsidR="00853E3C" w:rsidRPr="00B07D19">
        <w:rPr>
          <w:rFonts w:ascii="Palatino Linotype" w:eastAsia="Palatino Linotype" w:hAnsi="Palatino Linotype" w:cs="Palatino Linotype"/>
          <w:color w:val="000000"/>
        </w:rPr>
        <w:t>a</w:t>
      </w:r>
      <w:r w:rsidRPr="00B07D19">
        <w:rPr>
          <w:rFonts w:ascii="Palatino Linotype" w:eastAsia="Palatino Linotype" w:hAnsi="Palatino Linotype" w:cs="Palatino Linotype"/>
          <w:color w:val="000000"/>
        </w:rPr>
        <w:t xml:space="preserve"> hoy </w:t>
      </w:r>
      <w:r w:rsidRPr="00B07D19">
        <w:rPr>
          <w:rFonts w:ascii="Palatino Linotype" w:eastAsia="Palatino Linotype" w:hAnsi="Palatino Linotype" w:cs="Palatino Linotype"/>
          <w:b/>
          <w:color w:val="000000"/>
        </w:rPr>
        <w:t>RECURRENTE</w:t>
      </w:r>
      <w:r w:rsidRPr="00B07D19">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B07D19">
        <w:rPr>
          <w:rFonts w:ascii="Palatino Linotype" w:hAnsi="Palatino Linotype" w:cs="Arial"/>
        </w:rPr>
        <w:t xml:space="preserve">situación que se aleja de las atribuciones de este Instituto </w:t>
      </w:r>
      <w:r w:rsidRPr="00B07D19">
        <w:rPr>
          <w:rFonts w:ascii="Palatino Linotype" w:hAnsi="Palatino Linotype"/>
          <w:i/>
          <w:color w:val="000000"/>
        </w:rPr>
        <w:t>máxime</w:t>
      </w:r>
      <w:r w:rsidRPr="00B07D19">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7A2256B8" w14:textId="77777777" w:rsidR="00A0321E" w:rsidRPr="00B07D19" w:rsidRDefault="00A0321E" w:rsidP="00A0321E">
      <w:pPr>
        <w:pStyle w:val="Prrafodelista"/>
        <w:spacing w:line="360" w:lineRule="auto"/>
        <w:ind w:left="0"/>
        <w:contextualSpacing w:val="0"/>
        <w:jc w:val="both"/>
        <w:rPr>
          <w:rFonts w:ascii="Palatino Linotype" w:hAnsi="Palatino Linotype"/>
        </w:rPr>
      </w:pPr>
    </w:p>
    <w:p w14:paraId="1265C00A" w14:textId="77777777" w:rsidR="00A0321E" w:rsidRPr="00B07D19" w:rsidRDefault="00A0321E" w:rsidP="00A0321E">
      <w:pPr>
        <w:numPr>
          <w:ilvl w:val="0"/>
          <w:numId w:val="15"/>
        </w:numPr>
        <w:spacing w:line="360" w:lineRule="auto"/>
        <w:ind w:left="0" w:firstLine="0"/>
        <w:contextualSpacing/>
        <w:jc w:val="both"/>
        <w:rPr>
          <w:rFonts w:ascii="Palatino Linotype" w:hAnsi="Palatino Linotype"/>
        </w:rPr>
      </w:pPr>
      <w:r w:rsidRPr="00B07D19">
        <w:rPr>
          <w:rFonts w:ascii="Palatino Linotype" w:eastAsia="Palatino Linotype" w:hAnsi="Palatino Linotype" w:cs="Palatino Linotype"/>
          <w:color w:val="000000"/>
        </w:rPr>
        <w:lastRenderedPageBreak/>
        <w:t>Sirviendo</w:t>
      </w:r>
      <w:r w:rsidRPr="00B07D19">
        <w:rPr>
          <w:rFonts w:ascii="Palatino Linotype" w:hAnsi="Palatino Linotype"/>
        </w:rPr>
        <w:t xml:space="preserve"> de apoyo a lo anterior por analogía, el criterio 31-10 emitido por el ahora </w:t>
      </w:r>
      <w:r w:rsidRPr="00B07D19">
        <w:rPr>
          <w:rFonts w:ascii="Palatino Linotype" w:eastAsia="MS Mincho" w:hAnsi="Palatino Linotype" w:cs="Arial"/>
        </w:rPr>
        <w:t>Instituto</w:t>
      </w:r>
      <w:r w:rsidRPr="00B07D19">
        <w:rPr>
          <w:rFonts w:ascii="Palatino Linotype" w:hAnsi="Palatino Linotype"/>
        </w:rPr>
        <w:t xml:space="preserve"> </w:t>
      </w:r>
      <w:r w:rsidRPr="00B07D19">
        <w:rPr>
          <w:rFonts w:ascii="Palatino Linotype" w:eastAsia="Palatino Linotype" w:hAnsi="Palatino Linotype" w:cs="Palatino Linotype"/>
          <w:color w:val="000000"/>
        </w:rPr>
        <w:t>Nacional</w:t>
      </w:r>
      <w:r w:rsidRPr="00B07D19">
        <w:rPr>
          <w:rFonts w:ascii="Palatino Linotype" w:hAnsi="Palatino Linotype"/>
        </w:rPr>
        <w:t xml:space="preserve"> de Transparencia, Acceso a la Información y Protección de Datos Personales, que a la letra dice:</w:t>
      </w:r>
    </w:p>
    <w:p w14:paraId="64850863" w14:textId="77777777" w:rsidR="00A0321E" w:rsidRPr="00B07D19" w:rsidRDefault="00A0321E" w:rsidP="00A0321E">
      <w:pPr>
        <w:pStyle w:val="Prrafodelista"/>
        <w:rPr>
          <w:rFonts w:ascii="Palatino Linotype" w:hAnsi="Palatino Linotype"/>
        </w:rPr>
      </w:pPr>
    </w:p>
    <w:p w14:paraId="5E9FA61D" w14:textId="77777777" w:rsidR="00A0321E" w:rsidRPr="00B07D19" w:rsidRDefault="00A0321E" w:rsidP="00A0321E">
      <w:pPr>
        <w:pStyle w:val="Default"/>
        <w:spacing w:line="360" w:lineRule="auto"/>
        <w:ind w:left="851" w:right="850"/>
        <w:jc w:val="both"/>
        <w:rPr>
          <w:rFonts w:ascii="Palatino Linotype" w:hAnsi="Palatino Linotype"/>
          <w:i/>
        </w:rPr>
      </w:pPr>
      <w:r w:rsidRPr="00B07D19">
        <w:rPr>
          <w:rFonts w:ascii="Palatino Linotype" w:hAnsi="Palatino Linotype"/>
          <w:i/>
        </w:rPr>
        <w:t xml:space="preserve">“El Instituto Federal de Acceso a la Información y Protección de Datos </w:t>
      </w:r>
      <w:r w:rsidRPr="00B07D19">
        <w:rPr>
          <w:rFonts w:ascii="Palatino Linotype" w:hAnsi="Palatino Linotype"/>
          <w:b/>
          <w:i/>
        </w:rPr>
        <w:t>no cuenta con facultades para pronunciarse respecto de la veracidad de los documentos proporcionados por los sujetos obligados.</w:t>
      </w:r>
      <w:r w:rsidRPr="00B07D19">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B492CF" w14:textId="77777777" w:rsidR="00A0321E" w:rsidRPr="00B07D19" w:rsidRDefault="00A0321E" w:rsidP="00A0321E">
      <w:pPr>
        <w:pStyle w:val="Default"/>
        <w:spacing w:line="360" w:lineRule="auto"/>
        <w:ind w:left="851" w:right="850"/>
        <w:jc w:val="both"/>
        <w:rPr>
          <w:rFonts w:ascii="Palatino Linotype" w:hAnsi="Palatino Linotype"/>
          <w:i/>
        </w:rPr>
      </w:pPr>
    </w:p>
    <w:p w14:paraId="0370D4BD" w14:textId="77777777" w:rsidR="00A0321E" w:rsidRPr="00B07D19" w:rsidRDefault="00A0321E" w:rsidP="00A0321E">
      <w:pPr>
        <w:numPr>
          <w:ilvl w:val="0"/>
          <w:numId w:val="15"/>
        </w:numPr>
        <w:spacing w:line="360" w:lineRule="auto"/>
        <w:ind w:left="0" w:firstLine="0"/>
        <w:contextualSpacing/>
        <w:jc w:val="both"/>
        <w:rPr>
          <w:rFonts w:ascii="Palatino Linotype" w:hAnsi="Palatino Linotype"/>
          <w:i/>
        </w:rPr>
      </w:pPr>
      <w:r w:rsidRPr="00B07D19">
        <w:rPr>
          <w:rFonts w:ascii="Palatino Linotype" w:hAnsi="Palatino Linotype" w:cs="Arial"/>
        </w:rPr>
        <w:t>Así como lo dispuesto por</w:t>
      </w:r>
      <w:r w:rsidRPr="00B07D19">
        <w:rPr>
          <w:rFonts w:ascii="Palatino Linotype" w:hAnsi="Palatino Linotype"/>
        </w:rPr>
        <w:t xml:space="preserve"> la </w:t>
      </w:r>
      <w:r w:rsidRPr="00B07D19">
        <w:rPr>
          <w:rFonts w:ascii="Palatino Linotype" w:hAnsi="Palatino Linotype"/>
          <w:b/>
        </w:rPr>
        <w:t xml:space="preserve">Ley de Transparencia y Acceso a la Información Pública del </w:t>
      </w:r>
      <w:r w:rsidRPr="00B07D19">
        <w:rPr>
          <w:rFonts w:ascii="Palatino Linotype" w:eastAsia="Palatino Linotype" w:hAnsi="Palatino Linotype" w:cs="Palatino Linotype"/>
          <w:color w:val="000000"/>
        </w:rPr>
        <w:t>Estado</w:t>
      </w:r>
      <w:r w:rsidRPr="00B07D19">
        <w:rPr>
          <w:rFonts w:ascii="Palatino Linotype" w:hAnsi="Palatino Linotype"/>
          <w:b/>
        </w:rPr>
        <w:t xml:space="preserve"> de México y Municipios</w:t>
      </w:r>
      <w:r w:rsidRPr="00B07D19">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w:t>
      </w:r>
      <w:r w:rsidRPr="00B07D19">
        <w:rPr>
          <w:rFonts w:ascii="Palatino Linotype" w:hAnsi="Palatino Linotype"/>
        </w:rPr>
        <w:lastRenderedPageBreak/>
        <w:t>persona, privilegiando el principio de máxima publicidad de la información, por lo que deberán apegarse en todo momento a los criterios de publicidad, veracidad, oportunidad entre otros, numeral en comento que a la letra señala:</w:t>
      </w:r>
    </w:p>
    <w:p w14:paraId="1A9DF95B" w14:textId="77777777" w:rsidR="00A0321E" w:rsidRPr="00B07D19" w:rsidRDefault="00A0321E" w:rsidP="00A0321E">
      <w:pPr>
        <w:pStyle w:val="Prrafodelista"/>
        <w:spacing w:line="360" w:lineRule="auto"/>
        <w:ind w:left="0"/>
        <w:jc w:val="both"/>
        <w:rPr>
          <w:rFonts w:ascii="Palatino Linotype" w:hAnsi="Palatino Linotype"/>
          <w:i/>
        </w:rPr>
      </w:pPr>
    </w:p>
    <w:p w14:paraId="3973CF5B" w14:textId="77777777" w:rsidR="00A0321E" w:rsidRPr="00B07D19" w:rsidRDefault="00A0321E" w:rsidP="00A0321E">
      <w:pPr>
        <w:pStyle w:val="Prrafodelista"/>
        <w:spacing w:line="360" w:lineRule="auto"/>
        <w:ind w:left="567" w:right="680"/>
        <w:jc w:val="both"/>
        <w:rPr>
          <w:rFonts w:ascii="Palatino Linotype" w:hAnsi="Palatino Linotype" w:cs="Arial"/>
          <w:b/>
          <w:i/>
        </w:rPr>
      </w:pPr>
      <w:r w:rsidRPr="00B07D19">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07D19">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2AE6B1D9" w14:textId="77777777" w:rsidR="00A0321E" w:rsidRPr="00B07D19" w:rsidRDefault="00A0321E" w:rsidP="00A0321E">
      <w:pPr>
        <w:spacing w:line="360" w:lineRule="auto"/>
        <w:ind w:right="902"/>
        <w:jc w:val="both"/>
        <w:rPr>
          <w:rFonts w:ascii="Palatino Linotype" w:hAnsi="Palatino Linotype" w:cs="Arial"/>
          <w:b/>
        </w:rPr>
      </w:pPr>
    </w:p>
    <w:p w14:paraId="6F4198DD" w14:textId="77777777" w:rsidR="00A0321E" w:rsidRPr="00B07D19" w:rsidRDefault="00A0321E" w:rsidP="00A0321E">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B07D19">
        <w:rPr>
          <w:rFonts w:ascii="Palatino Linotype" w:hAnsi="Palatino Linotype" w:cs="Arial"/>
        </w:rPr>
        <w:t>Numerales</w:t>
      </w:r>
      <w:r w:rsidRPr="00B07D19">
        <w:rPr>
          <w:rFonts w:ascii="Palatino Linotype" w:hAnsi="Palatino Linotype" w:cs="Arial"/>
          <w:noProof/>
          <w:lang w:eastAsia="es-MX"/>
        </w:rPr>
        <w:t xml:space="preserve"> que compelen al </w:t>
      </w:r>
      <w:r w:rsidRPr="00B07D19">
        <w:rPr>
          <w:rFonts w:ascii="Palatino Linotype" w:hAnsi="Palatino Linotype" w:cs="Arial"/>
          <w:b/>
          <w:noProof/>
          <w:lang w:eastAsia="es-MX"/>
        </w:rPr>
        <w:t>SUJETO OBLIGADO</w:t>
      </w:r>
      <w:r w:rsidRPr="00B07D19">
        <w:rPr>
          <w:rFonts w:ascii="Palatino Linotype" w:hAnsi="Palatino Linotype" w:cs="Arial"/>
          <w:noProof/>
          <w:lang w:eastAsia="es-MX"/>
        </w:rPr>
        <w:t xml:space="preserve"> apegarse en todo momento a los </w:t>
      </w:r>
      <w:r w:rsidRPr="00B07D19">
        <w:rPr>
          <w:rFonts w:ascii="Palatino Linotype" w:hAnsi="Palatino Linotype" w:cs="Arial"/>
        </w:rPr>
        <w:t>criterios</w:t>
      </w:r>
      <w:r w:rsidRPr="00B07D19">
        <w:rPr>
          <w:rFonts w:ascii="Palatino Linotype" w:hAnsi="Palatino Linotype" w:cs="Arial"/>
          <w:noProof/>
          <w:lang w:eastAsia="es-MX"/>
        </w:rPr>
        <w:t xml:space="preserve"> ya expuestos, impidiendo a este Órgano Colegiado cuestionar la veracidad de la información;</w:t>
      </w:r>
      <w:r w:rsidRPr="00B07D19">
        <w:rPr>
          <w:rFonts w:ascii="Palatino Linotype" w:eastAsia="Palatino Linotype" w:hAnsi="Palatino Linotype" w:cs="Palatino Linotype"/>
          <w:color w:val="000000"/>
        </w:rPr>
        <w:t xml:space="preserve"> luego entonces, se reitera que se tienen por colmada la solicitud de información objeto del presente análisis.</w:t>
      </w:r>
    </w:p>
    <w:p w14:paraId="4292379E" w14:textId="77777777" w:rsidR="00A0321E" w:rsidRPr="00B07D19" w:rsidRDefault="00A0321E" w:rsidP="00A0321E">
      <w:pPr>
        <w:spacing w:line="360" w:lineRule="auto"/>
        <w:contextualSpacing/>
        <w:jc w:val="both"/>
        <w:rPr>
          <w:rFonts w:ascii="Palatino Linotype" w:eastAsia="Palatino Linotype" w:hAnsi="Palatino Linotype" w:cs="Palatino Linotype"/>
          <w:color w:val="000000"/>
        </w:rPr>
      </w:pPr>
    </w:p>
    <w:p w14:paraId="7E6C8070" w14:textId="77777777" w:rsidR="00A0321E" w:rsidRPr="00B07D19" w:rsidRDefault="00A0321E" w:rsidP="00A0321E">
      <w:pPr>
        <w:numPr>
          <w:ilvl w:val="0"/>
          <w:numId w:val="15"/>
        </w:numPr>
        <w:spacing w:line="360" w:lineRule="auto"/>
        <w:ind w:left="0" w:firstLine="0"/>
        <w:contextualSpacing/>
        <w:jc w:val="both"/>
        <w:rPr>
          <w:rFonts w:ascii="Palatino Linotype" w:hAnsi="Palatino Linotype" w:cs="Arial"/>
          <w:i/>
          <w:color w:val="000000" w:themeColor="text1"/>
        </w:rPr>
      </w:pPr>
      <w:r w:rsidRPr="00B07D19">
        <w:rPr>
          <w:rFonts w:ascii="Palatino Linotype" w:hAnsi="Palatino Linotype"/>
        </w:rPr>
        <w:t xml:space="preserve">De modo tal, que se reitera, ha quedado satisfecho el derecho de acceso a la información pública del </w:t>
      </w:r>
      <w:r w:rsidRPr="00B07D19">
        <w:rPr>
          <w:rFonts w:ascii="Palatino Linotype" w:hAnsi="Palatino Linotype" w:cs="Arial"/>
        </w:rPr>
        <w:t>solicitante</w:t>
      </w:r>
      <w:r w:rsidRPr="00B07D19">
        <w:rPr>
          <w:rFonts w:ascii="Palatino Linotype" w:hAnsi="Palatino Linotype"/>
        </w:rPr>
        <w:t xml:space="preserve"> con la entrega de dicho soporte documental; en ese sentido p</w:t>
      </w:r>
      <w:r w:rsidRPr="00B07D19">
        <w:rPr>
          <w:rFonts w:ascii="Palatino Linotype" w:hAnsi="Palatino Linotype" w:cs="Arial"/>
        </w:rPr>
        <w:t xml:space="preserve">ara entender los alcances de la información pública se considera importante citar el </w:t>
      </w:r>
      <w:r w:rsidRPr="00B07D19">
        <w:rPr>
          <w:rFonts w:ascii="Palatino Linotype" w:hAnsi="Palatino Linotype"/>
        </w:rPr>
        <w:t>Criterio</w:t>
      </w:r>
      <w:r w:rsidRPr="00B07D19">
        <w:rPr>
          <w:rFonts w:ascii="Palatino Linotype" w:hAnsi="Palatino Linotype" w:cs="Arial"/>
        </w:rPr>
        <w:t xml:space="preserve"> </w:t>
      </w:r>
      <w:r w:rsidRPr="00B07D19">
        <w:rPr>
          <w:rFonts w:ascii="Palatino Linotype" w:hAnsi="Palatino Linotype" w:cs="Arial"/>
          <w:bCs/>
          <w:lang w:val="es-MX" w:eastAsia="es-MX"/>
        </w:rPr>
        <w:t xml:space="preserve">de interpretación en el orden administrativo número 0002-11, emitido </w:t>
      </w:r>
      <w:r w:rsidRPr="00B07D19">
        <w:rPr>
          <w:rFonts w:ascii="Palatino Linotype" w:hAnsi="Palatino Linotype"/>
        </w:rPr>
        <w:t>por</w:t>
      </w:r>
      <w:r w:rsidRPr="00B07D19">
        <w:rPr>
          <w:rFonts w:ascii="Palatino Linotype" w:hAnsi="Palatino Linotype" w:cs="Arial"/>
          <w:bCs/>
          <w:lang w:val="es-MX" w:eastAsia="es-MX"/>
        </w:rPr>
        <w:t xml:space="preserve"> Acuerdo del Pleno de este Instituto de Transparencia y Acceso a la Información Pública del Estado de México y Municipios, publicado en el </w:t>
      </w:r>
      <w:r w:rsidRPr="00B07D19">
        <w:rPr>
          <w:rFonts w:ascii="Palatino Linotype" w:hAnsi="Palatino Linotype" w:cs="Arial"/>
          <w:bCs/>
          <w:lang w:val="es-MX" w:eastAsia="es-MX"/>
        </w:rPr>
        <w:lastRenderedPageBreak/>
        <w:t xml:space="preserve">Periódico Oficial del Gobierno del Estado Libre y Soberano de México “Gaceta del Gobierno” el diecinueve de octubre de dos mil once, </w:t>
      </w:r>
      <w:r w:rsidRPr="00B07D19">
        <w:rPr>
          <w:rFonts w:ascii="Palatino Linotype" w:hAnsi="Palatino Linotype" w:cs="Arial"/>
        </w:rPr>
        <w:t>cuyo rubro y texto dispone:</w:t>
      </w:r>
    </w:p>
    <w:p w14:paraId="238832F0" w14:textId="77777777" w:rsidR="00A0321E" w:rsidRPr="00B07D19" w:rsidRDefault="00A0321E" w:rsidP="00A0321E">
      <w:pPr>
        <w:pStyle w:val="Prrafodelista"/>
        <w:spacing w:line="360" w:lineRule="auto"/>
        <w:rPr>
          <w:rFonts w:ascii="Palatino Linotype" w:hAnsi="Palatino Linotype" w:cs="Arial"/>
          <w:i/>
          <w:color w:val="000000" w:themeColor="text1"/>
        </w:rPr>
      </w:pPr>
    </w:p>
    <w:p w14:paraId="3B16EA8B"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Arial"/>
          <w:b/>
          <w:i/>
        </w:rPr>
      </w:pPr>
      <w:r w:rsidRPr="00B07D19">
        <w:rPr>
          <w:rFonts w:ascii="Palatino Linotype" w:hAnsi="Palatino Linotype" w:cs="Arial"/>
          <w:b/>
          <w:i/>
        </w:rPr>
        <w:t>“CRITERIO 0002-11</w:t>
      </w:r>
    </w:p>
    <w:p w14:paraId="7930A9AA"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Arial"/>
          <w:i/>
        </w:rPr>
      </w:pPr>
      <w:r w:rsidRPr="00B07D19">
        <w:rPr>
          <w:rFonts w:ascii="Palatino Linotype" w:hAnsi="Palatino Linotype" w:cs="Arial"/>
          <w:b/>
          <w:i/>
        </w:rPr>
        <w:t xml:space="preserve">INFORMACIÓN PÚBLICA, CONCEPTO DE, EN MATERIA DE TRANSPARENCIA. INTERPRETACIÓN TEMÁTICA DE LOS ARTÍCULOS 2, FRACCIÓN </w:t>
      </w:r>
      <w:r w:rsidRPr="00B07D19">
        <w:rPr>
          <w:rFonts w:ascii="Palatino Linotype" w:hAnsi="Palatino Linotype" w:cs="Arial"/>
          <w:b/>
          <w:bCs/>
          <w:i/>
        </w:rPr>
        <w:t xml:space="preserve">V, XV, Y XVI, </w:t>
      </w:r>
      <w:r w:rsidRPr="00B07D19">
        <w:rPr>
          <w:rFonts w:ascii="Palatino Linotype" w:hAnsi="Palatino Linotype" w:cs="Arial"/>
          <w:b/>
          <w:i/>
        </w:rPr>
        <w:t>3, 4,11 Y 41.</w:t>
      </w:r>
      <w:r w:rsidRPr="00B07D19">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E9D06C"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Arial"/>
          <w:i/>
        </w:rPr>
      </w:pPr>
      <w:r w:rsidRPr="00B07D19">
        <w:rPr>
          <w:rFonts w:ascii="Palatino Linotype" w:hAnsi="Palatino Linotype" w:cs="Arial"/>
          <w:i/>
        </w:rPr>
        <w:t>En consecuencia el acceso a la información se refiere a que se cumplan cualquiera de los siguientes tres supuestos:</w:t>
      </w:r>
    </w:p>
    <w:p w14:paraId="56EDAE34"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Arial"/>
          <w:i/>
        </w:rPr>
      </w:pPr>
      <w:r w:rsidRPr="00B07D19">
        <w:rPr>
          <w:rFonts w:ascii="Palatino Linotype" w:hAnsi="Palatino Linotype" w:cs="Arial"/>
          <w:i/>
        </w:rPr>
        <w:t>Que se trate de información registrada en cualquier soporte documental, que en ejercicio de las atribuciones conferidas, sea generada por los Sujetos Obligados;</w:t>
      </w:r>
    </w:p>
    <w:p w14:paraId="7740DB1A"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Arial"/>
          <w:i/>
        </w:rPr>
      </w:pPr>
      <w:r w:rsidRPr="00B07D19">
        <w:rPr>
          <w:rFonts w:ascii="Palatino Linotype" w:hAnsi="Palatino Linotype" w:cs="Arial"/>
          <w:i/>
        </w:rPr>
        <w:t>Que se trate de información registrada en cualquier soporte documental, que en ejercicio de las atribuciones conferidas, sea administrada por los Sujetos Obligados, y</w:t>
      </w:r>
    </w:p>
    <w:p w14:paraId="0E2268F6" w14:textId="77777777" w:rsidR="00A0321E" w:rsidRPr="00B07D19" w:rsidRDefault="00A0321E" w:rsidP="00A0321E">
      <w:pPr>
        <w:spacing w:line="360" w:lineRule="auto"/>
        <w:ind w:left="567" w:right="567"/>
        <w:jc w:val="both"/>
        <w:rPr>
          <w:rFonts w:ascii="Palatino Linotype" w:hAnsi="Palatino Linotype" w:cs="Arial"/>
          <w:i/>
        </w:rPr>
      </w:pPr>
      <w:r w:rsidRPr="00B07D19">
        <w:rPr>
          <w:rFonts w:ascii="Palatino Linotype" w:hAnsi="Palatino Linotype" w:cs="Arial"/>
          <w:i/>
        </w:rPr>
        <w:t>Que se trate de información registrada en cualquier soporte documental, que en ejercicio de las atribuciones conferidas, se encuentre en posesión de los Sujetos Obligados.”</w:t>
      </w:r>
    </w:p>
    <w:p w14:paraId="59216A3A" w14:textId="77777777" w:rsidR="00A0321E" w:rsidRPr="00B07D19" w:rsidRDefault="00A0321E" w:rsidP="00A0321E">
      <w:pPr>
        <w:spacing w:line="360" w:lineRule="auto"/>
        <w:ind w:left="567" w:right="567"/>
        <w:jc w:val="both"/>
        <w:rPr>
          <w:rFonts w:ascii="Palatino Linotype" w:hAnsi="Palatino Linotype" w:cs="Arial"/>
          <w:i/>
          <w:color w:val="000000" w:themeColor="text1"/>
        </w:rPr>
      </w:pPr>
    </w:p>
    <w:p w14:paraId="71F50A22" w14:textId="77777777" w:rsidR="00A0321E" w:rsidRPr="00B07D19" w:rsidRDefault="00A0321E" w:rsidP="00A0321E">
      <w:pPr>
        <w:numPr>
          <w:ilvl w:val="0"/>
          <w:numId w:val="15"/>
        </w:numPr>
        <w:spacing w:line="360" w:lineRule="auto"/>
        <w:ind w:left="0" w:firstLine="0"/>
        <w:contextualSpacing/>
        <w:jc w:val="both"/>
        <w:rPr>
          <w:rFonts w:ascii="Palatino Linotype" w:hAnsi="Palatino Linotype" w:cs="Arial"/>
        </w:rPr>
      </w:pPr>
      <w:r w:rsidRPr="00B07D19">
        <w:rPr>
          <w:rFonts w:ascii="Palatino Linotype" w:hAnsi="Palatino Linotype"/>
        </w:rPr>
        <w:lastRenderedPageBreak/>
        <w:t xml:space="preserve">El </w:t>
      </w:r>
      <w:r w:rsidRPr="00B07D19">
        <w:rPr>
          <w:rFonts w:ascii="Palatino Linotype" w:hAnsi="Palatino Linotype" w:cs="Arial"/>
        </w:rPr>
        <w:t>derecho</w:t>
      </w:r>
      <w:r w:rsidRPr="00B07D19">
        <w:rPr>
          <w:rFonts w:ascii="Palatino Linotype" w:hAnsi="Palatino Linotype"/>
        </w:rPr>
        <w:t xml:space="preserve"> de acceso a la información encuentra su materia elemental en los documentos, y la Ley de Transparencia local nos brinda el siguiente concepto, para darnos un mejor panorama:</w:t>
      </w:r>
    </w:p>
    <w:p w14:paraId="6092BD1A" w14:textId="77777777" w:rsidR="00A0321E" w:rsidRPr="00B07D19" w:rsidRDefault="00A0321E" w:rsidP="00A0321E">
      <w:pPr>
        <w:pStyle w:val="Prrafodelista"/>
        <w:spacing w:line="360" w:lineRule="auto"/>
        <w:ind w:left="0"/>
        <w:jc w:val="both"/>
        <w:rPr>
          <w:rFonts w:ascii="Palatino Linotype" w:hAnsi="Palatino Linotype" w:cs="Arial"/>
        </w:rPr>
      </w:pPr>
    </w:p>
    <w:p w14:paraId="786D66EF" w14:textId="77777777" w:rsidR="00A0321E" w:rsidRPr="00B07D19" w:rsidRDefault="00A0321E" w:rsidP="00A0321E">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B07D19">
        <w:rPr>
          <w:rFonts w:ascii="Palatino Linotype" w:eastAsiaTheme="minorHAnsi" w:hAnsi="Palatino Linotype" w:cs="Bookman Old Style,Bold"/>
          <w:b/>
          <w:bCs/>
          <w:i/>
          <w:lang w:eastAsia="en-US"/>
        </w:rPr>
        <w:t xml:space="preserve">XI. Documento: </w:t>
      </w:r>
      <w:r w:rsidRPr="00B07D19">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812CC86" w14:textId="77777777" w:rsidR="00A0321E" w:rsidRPr="00B07D19" w:rsidRDefault="00A0321E" w:rsidP="00A0321E">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243CE129" w14:textId="77777777" w:rsidR="00A0321E" w:rsidRPr="00B07D19" w:rsidRDefault="00A0321E" w:rsidP="00A0321E">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E96A960" w14:textId="77777777" w:rsidR="00A0321E" w:rsidRPr="00B07D19" w:rsidRDefault="00A0321E" w:rsidP="00A0321E">
      <w:pPr>
        <w:pStyle w:val="Prrafodelista"/>
        <w:spacing w:line="360" w:lineRule="auto"/>
        <w:ind w:left="0"/>
        <w:jc w:val="both"/>
        <w:rPr>
          <w:rFonts w:ascii="Palatino Linotype" w:hAnsi="Palatino Linotype"/>
        </w:rPr>
      </w:pPr>
    </w:p>
    <w:p w14:paraId="04ECACA8" w14:textId="77777777" w:rsidR="00A0321E" w:rsidRPr="00B07D19" w:rsidRDefault="00A0321E" w:rsidP="00A0321E">
      <w:pPr>
        <w:numPr>
          <w:ilvl w:val="0"/>
          <w:numId w:val="15"/>
        </w:numPr>
        <w:spacing w:line="360" w:lineRule="auto"/>
        <w:ind w:left="0" w:firstLine="0"/>
        <w:contextualSpacing/>
        <w:jc w:val="both"/>
        <w:rPr>
          <w:rFonts w:ascii="Palatino Linotype" w:eastAsia="Calibri" w:hAnsi="Palatino Linotype" w:cs="Arial"/>
        </w:rPr>
      </w:pPr>
      <w:r w:rsidRPr="00B07D19">
        <w:rPr>
          <w:rFonts w:ascii="Palatino Linotype" w:hAnsi="Palatino Linotype"/>
        </w:rPr>
        <w:t>Además</w:t>
      </w:r>
      <w:r w:rsidRPr="00B07D19">
        <w:rPr>
          <w:rFonts w:ascii="Palatino Linotype" w:hAnsi="Palatino Linotype" w:cs="Arial"/>
          <w:color w:val="000000"/>
        </w:rPr>
        <w:t xml:space="preserve">, debemos tomar en cuenta los artículos 4 y 12, de la Ley de </w:t>
      </w:r>
      <w:r w:rsidRPr="00B07D19">
        <w:rPr>
          <w:rFonts w:ascii="Palatino Linotype" w:hAnsi="Palatino Linotype"/>
        </w:rPr>
        <w:t>Transparencia</w:t>
      </w:r>
      <w:r w:rsidRPr="00B07D19">
        <w:rPr>
          <w:rFonts w:ascii="Palatino Linotype" w:hAnsi="Palatino Linotype" w:cs="Arial"/>
          <w:color w:val="000000"/>
        </w:rPr>
        <w:t xml:space="preserve"> y Acceso a la Información Pública del Estado de México y Municipios, los cuales establecen lo siguiente:</w:t>
      </w:r>
    </w:p>
    <w:p w14:paraId="06A86846" w14:textId="77777777" w:rsidR="00A0321E" w:rsidRPr="00B07D19" w:rsidRDefault="00A0321E" w:rsidP="00A0321E">
      <w:pPr>
        <w:pStyle w:val="Prrafodelista"/>
        <w:rPr>
          <w:rFonts w:ascii="Palatino Linotype" w:eastAsia="Calibri" w:hAnsi="Palatino Linotype" w:cs="Arial"/>
        </w:rPr>
      </w:pPr>
    </w:p>
    <w:p w14:paraId="05B50499"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Bookman Old Style"/>
          <w:i/>
        </w:rPr>
      </w:pPr>
      <w:r w:rsidRPr="00B07D19">
        <w:rPr>
          <w:rFonts w:ascii="Palatino Linotype" w:hAnsi="Palatino Linotype" w:cs="Bookman Old Style,Bold"/>
          <w:b/>
          <w:bCs/>
          <w:i/>
        </w:rPr>
        <w:t xml:space="preserve">Artículo 4. </w:t>
      </w:r>
      <w:r w:rsidRPr="00B07D19">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0C7E19C8"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Bookman Old Style"/>
          <w:i/>
        </w:rPr>
      </w:pPr>
      <w:r w:rsidRPr="00B07D19">
        <w:rPr>
          <w:rFonts w:ascii="Palatino Linotype" w:hAnsi="Palatino Linotype" w:cs="Bookman Old Style"/>
          <w:i/>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AFC9F9"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Bookman Old Style"/>
          <w:i/>
        </w:rPr>
      </w:pPr>
    </w:p>
    <w:p w14:paraId="5EE437C3"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Bookman Old Style"/>
          <w:i/>
        </w:rPr>
      </w:pPr>
      <w:r w:rsidRPr="00B07D19">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43C19AA" w14:textId="77777777" w:rsidR="00A0321E" w:rsidRPr="00B07D19" w:rsidRDefault="00A0321E" w:rsidP="00A0321E">
      <w:pPr>
        <w:autoSpaceDE w:val="0"/>
        <w:autoSpaceDN w:val="0"/>
        <w:adjustRightInd w:val="0"/>
        <w:spacing w:line="360" w:lineRule="auto"/>
        <w:ind w:right="567"/>
        <w:jc w:val="both"/>
        <w:rPr>
          <w:rFonts w:ascii="Palatino Linotype" w:hAnsi="Palatino Linotype" w:cs="Bookman Old Style"/>
          <w:i/>
        </w:rPr>
      </w:pPr>
    </w:p>
    <w:p w14:paraId="40B18931"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Bookman Old Style"/>
          <w:i/>
        </w:rPr>
      </w:pPr>
      <w:r w:rsidRPr="00B07D19">
        <w:rPr>
          <w:rFonts w:ascii="Palatino Linotype" w:hAnsi="Palatino Linotype" w:cs="Bookman Old Style,Bold"/>
          <w:b/>
          <w:bCs/>
          <w:i/>
        </w:rPr>
        <w:t xml:space="preserve">Artículo 12. </w:t>
      </w:r>
      <w:r w:rsidRPr="00B07D19">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75E8EF25"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Bookman Old Style"/>
          <w:i/>
        </w:rPr>
      </w:pPr>
    </w:p>
    <w:p w14:paraId="042B5030" w14:textId="77777777" w:rsidR="00A0321E" w:rsidRPr="00B07D19" w:rsidRDefault="00A0321E" w:rsidP="00A0321E">
      <w:pPr>
        <w:autoSpaceDE w:val="0"/>
        <w:autoSpaceDN w:val="0"/>
        <w:adjustRightInd w:val="0"/>
        <w:spacing w:line="360" w:lineRule="auto"/>
        <w:ind w:left="567" w:right="567"/>
        <w:jc w:val="both"/>
        <w:rPr>
          <w:rFonts w:ascii="Palatino Linotype" w:hAnsi="Palatino Linotype" w:cs="Bookman Old Style"/>
          <w:i/>
        </w:rPr>
      </w:pPr>
      <w:r w:rsidRPr="00B07D19">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B07D19">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0CAFEABA" w14:textId="77777777" w:rsidR="00A0321E" w:rsidRPr="00B07D19" w:rsidRDefault="00A0321E" w:rsidP="00A0321E">
      <w:pPr>
        <w:numPr>
          <w:ilvl w:val="0"/>
          <w:numId w:val="15"/>
        </w:numPr>
        <w:spacing w:line="360" w:lineRule="auto"/>
        <w:ind w:left="0" w:firstLine="0"/>
        <w:contextualSpacing/>
        <w:jc w:val="both"/>
        <w:rPr>
          <w:rFonts w:ascii="Palatino Linotype" w:hAnsi="Palatino Linotype"/>
        </w:rPr>
      </w:pPr>
      <w:r w:rsidRPr="00B07D19">
        <w:rPr>
          <w:rFonts w:ascii="Palatino Linotype" w:hAnsi="Palatino Linotype"/>
        </w:rPr>
        <w:lastRenderedPageBreak/>
        <w:t xml:space="preserve">Es así </w:t>
      </w:r>
      <w:r w:rsidRPr="00B07D19">
        <w:rPr>
          <w:rFonts w:ascii="Palatino Linotype" w:hAnsi="Palatino Linotype"/>
          <w:color w:val="000000" w:themeColor="text1"/>
        </w:rPr>
        <w:t>que</w:t>
      </w:r>
      <w:r w:rsidRPr="00B07D19">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07D19">
        <w:rPr>
          <w:rStyle w:val="Refdenotaalpie"/>
          <w:rFonts w:ascii="Palatino Linotype" w:hAnsi="Palatino Linotype"/>
        </w:rPr>
        <w:footnoteReference w:id="5"/>
      </w:r>
      <w:r w:rsidRPr="00B07D19">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3CC9844" w14:textId="77777777" w:rsidR="00A0321E" w:rsidRPr="00B07D19" w:rsidRDefault="00A0321E" w:rsidP="00A0321E">
      <w:pPr>
        <w:spacing w:line="360" w:lineRule="auto"/>
        <w:contextualSpacing/>
        <w:jc w:val="both"/>
        <w:rPr>
          <w:rFonts w:ascii="Palatino Linotype" w:hAnsi="Palatino Linotype"/>
        </w:rPr>
      </w:pPr>
    </w:p>
    <w:p w14:paraId="6AFA5978" w14:textId="78521955" w:rsidR="00A0321E" w:rsidRPr="00B07D19" w:rsidRDefault="00A0321E" w:rsidP="00A0321E">
      <w:pPr>
        <w:numPr>
          <w:ilvl w:val="0"/>
          <w:numId w:val="15"/>
        </w:numPr>
        <w:spacing w:line="360" w:lineRule="auto"/>
        <w:ind w:left="0" w:firstLine="0"/>
        <w:contextualSpacing/>
        <w:jc w:val="both"/>
        <w:rPr>
          <w:rFonts w:ascii="Palatino Linotype" w:hAnsi="Palatino Linotype"/>
          <w:color w:val="000000" w:themeColor="text1"/>
        </w:rPr>
      </w:pPr>
      <w:r w:rsidRPr="00B07D19">
        <w:rPr>
          <w:rFonts w:ascii="Palatino Linotype" w:hAnsi="Palatino Linotype" w:cs="Arial"/>
          <w:noProof/>
          <w:color w:val="000000" w:themeColor="text1"/>
          <w:lang w:eastAsia="es-MX"/>
        </w:rPr>
        <w:t xml:space="preserve">Así las </w:t>
      </w:r>
      <w:r w:rsidRPr="00B07D19">
        <w:rPr>
          <w:rFonts w:ascii="Palatino Linotype" w:eastAsia="Batang" w:hAnsi="Palatino Linotype" w:cs="Arial"/>
          <w:color w:val="000000" w:themeColor="text1"/>
        </w:rPr>
        <w:t>cosas</w:t>
      </w:r>
      <w:r w:rsidRPr="00B07D19">
        <w:rPr>
          <w:rFonts w:ascii="Palatino Linotype" w:hAnsi="Palatino Linotype" w:cs="Arial"/>
          <w:noProof/>
          <w:color w:val="000000" w:themeColor="text1"/>
          <w:lang w:eastAsia="es-MX"/>
        </w:rPr>
        <w:t xml:space="preserve">, como quedó demostrado, si bien es cierto no se atendió inicialmente </w:t>
      </w:r>
      <w:r w:rsidRPr="00B07D19">
        <w:rPr>
          <w:rFonts w:ascii="Palatino Linotype" w:hAnsi="Palatino Linotype"/>
        </w:rPr>
        <w:t xml:space="preserve">la solicitud de información; también lo es que el SUJETO OBLIGADO via informe justificado, </w:t>
      </w:r>
      <w:r w:rsidR="0014656A" w:rsidRPr="00B07D19">
        <w:rPr>
          <w:rFonts w:ascii="Palatino Linotype" w:hAnsi="Palatino Linotype"/>
        </w:rPr>
        <w:t xml:space="preserve">entregó el soporte documental donde consta la información solicitada, quedando sin materia el recurso y por ende </w:t>
      </w:r>
      <w:r w:rsidRPr="00B07D19">
        <w:rPr>
          <w:rFonts w:ascii="Palatino Linotype" w:hAnsi="Palatino Linotype"/>
        </w:rPr>
        <w:t xml:space="preserve">actualizandose la fracción </w:t>
      </w:r>
      <w:r w:rsidR="0014656A" w:rsidRPr="00B07D19">
        <w:rPr>
          <w:rFonts w:ascii="Palatino Linotype" w:hAnsi="Palatino Linotype"/>
        </w:rPr>
        <w:t xml:space="preserve">V </w:t>
      </w:r>
      <w:r w:rsidRPr="00B07D19">
        <w:rPr>
          <w:rFonts w:ascii="Palatino Linotype" w:hAnsi="Palatino Linotype"/>
        </w:rPr>
        <w:t>del artículo 192 de</w:t>
      </w:r>
      <w:r w:rsidRPr="00B07D19">
        <w:rPr>
          <w:rFonts w:ascii="Palatino Linotype" w:eastAsia="Batang" w:hAnsi="Palatino Linotype" w:cs="Arial"/>
          <w:color w:val="000000" w:themeColor="text1"/>
        </w:rPr>
        <w:t xml:space="preserve"> la </w:t>
      </w:r>
      <w:r w:rsidRPr="00B07D19">
        <w:rPr>
          <w:rFonts w:ascii="Palatino Linotype" w:eastAsia="Batang" w:hAnsi="Palatino Linotype" w:cs="Arial"/>
          <w:b/>
          <w:color w:val="000000" w:themeColor="text1"/>
        </w:rPr>
        <w:t>Ley de Transparencia y Acceso a la Información Pública del Estado de México y Municipios</w:t>
      </w:r>
      <w:r w:rsidRPr="00B07D19">
        <w:rPr>
          <w:rFonts w:ascii="Palatino Linotype" w:eastAsia="Batang" w:hAnsi="Palatino Linotype" w:cs="Arial"/>
          <w:color w:val="000000" w:themeColor="text1"/>
        </w:rPr>
        <w:t>, resultando dable sobreseer el asunto.</w:t>
      </w:r>
    </w:p>
    <w:p w14:paraId="21473899" w14:textId="77777777" w:rsidR="00A0321E" w:rsidRPr="00B07D19" w:rsidRDefault="00A0321E" w:rsidP="00A0321E">
      <w:pPr>
        <w:pStyle w:val="Prrafodelista"/>
        <w:rPr>
          <w:rFonts w:ascii="Palatino Linotype" w:hAnsi="Palatino Linotype" w:cs="Arial"/>
          <w:color w:val="000000" w:themeColor="text1"/>
          <w:lang w:val="es-CO"/>
        </w:rPr>
      </w:pPr>
    </w:p>
    <w:p w14:paraId="4452FD8E" w14:textId="77777777" w:rsidR="00A0321E" w:rsidRPr="00B07D19" w:rsidRDefault="00A0321E" w:rsidP="00853E3C">
      <w:pPr>
        <w:numPr>
          <w:ilvl w:val="0"/>
          <w:numId w:val="15"/>
        </w:numPr>
        <w:spacing w:line="360" w:lineRule="auto"/>
        <w:ind w:left="0" w:firstLine="0"/>
        <w:contextualSpacing/>
        <w:jc w:val="both"/>
        <w:rPr>
          <w:rFonts w:ascii="Palatino Linotype" w:hAnsi="Palatino Linotype"/>
          <w:color w:val="000000" w:themeColor="text1"/>
        </w:rPr>
      </w:pPr>
      <w:r w:rsidRPr="00B07D19">
        <w:rPr>
          <w:rFonts w:ascii="Palatino Linotype" w:hAnsi="Palatino Linotype" w:cs="Arial"/>
          <w:color w:val="000000" w:themeColor="text1"/>
          <w:lang w:eastAsia="es-MX"/>
        </w:rPr>
        <w:t xml:space="preserve">Por lo anteriormente expuesto y fundado, este </w:t>
      </w:r>
      <w:r w:rsidRPr="00B07D19">
        <w:rPr>
          <w:rFonts w:ascii="Palatino Linotype" w:hAnsi="Palatino Linotype" w:cs="Arial"/>
          <w:b/>
          <w:bCs/>
          <w:color w:val="000000" w:themeColor="text1"/>
          <w:lang w:eastAsia="es-MX"/>
        </w:rPr>
        <w:t>ÓRGANO GARANTE</w:t>
      </w:r>
      <w:r w:rsidRPr="00B07D19">
        <w:rPr>
          <w:rFonts w:ascii="Palatino Linotype" w:hAnsi="Palatino Linotype" w:cs="Arial"/>
          <w:color w:val="000000" w:themeColor="text1"/>
          <w:lang w:eastAsia="es-MX"/>
        </w:rPr>
        <w:t xml:space="preserve"> emite los siguientes:</w:t>
      </w:r>
    </w:p>
    <w:p w14:paraId="3ED5FE5D" w14:textId="77777777" w:rsidR="00FE32FF" w:rsidRPr="00B07D19" w:rsidRDefault="00FE32FF" w:rsidP="00FE32FF">
      <w:pPr>
        <w:pStyle w:val="Prrafodelista"/>
        <w:spacing w:line="360" w:lineRule="auto"/>
        <w:ind w:left="0" w:right="34"/>
        <w:jc w:val="both"/>
        <w:rPr>
          <w:rFonts w:ascii="Palatino Linotype" w:hAnsi="Palatino Linotype"/>
          <w:color w:val="000000" w:themeColor="text1"/>
        </w:rPr>
      </w:pPr>
    </w:p>
    <w:p w14:paraId="328BFE18" w14:textId="77777777" w:rsidR="00FE32FF" w:rsidRPr="00B07D19" w:rsidRDefault="00FE32FF" w:rsidP="00FE32FF">
      <w:pPr>
        <w:pStyle w:val="Ttulo1"/>
        <w:spacing w:before="0" w:line="360" w:lineRule="auto"/>
        <w:jc w:val="center"/>
        <w:rPr>
          <w:rFonts w:ascii="Palatino Linotype" w:eastAsia="Calibri" w:hAnsi="Palatino Linotype"/>
          <w:b/>
          <w:color w:val="000000" w:themeColor="text1"/>
          <w:sz w:val="24"/>
          <w:szCs w:val="24"/>
          <w:lang w:val="es-ES"/>
        </w:rPr>
      </w:pPr>
      <w:bookmarkStart w:id="14" w:name="_Toc86848773"/>
      <w:bookmarkStart w:id="15" w:name="_Toc51259595"/>
      <w:bookmarkStart w:id="16" w:name="_Toc34819440"/>
      <w:bookmarkStart w:id="17" w:name="_Toc2248738"/>
      <w:bookmarkStart w:id="18" w:name="_Toc534742545"/>
      <w:bookmarkStart w:id="19" w:name="_Toc504500693"/>
      <w:r w:rsidRPr="00B07D19">
        <w:rPr>
          <w:rFonts w:ascii="Palatino Linotype" w:eastAsia="Calibri" w:hAnsi="Palatino Linotype"/>
          <w:b/>
          <w:color w:val="000000" w:themeColor="text1"/>
          <w:sz w:val="24"/>
          <w:szCs w:val="24"/>
          <w:lang w:val="es-ES"/>
        </w:rPr>
        <w:t>R E S O L U T I V O S</w:t>
      </w:r>
      <w:bookmarkEnd w:id="14"/>
      <w:bookmarkEnd w:id="15"/>
      <w:bookmarkEnd w:id="16"/>
      <w:bookmarkEnd w:id="17"/>
      <w:bookmarkEnd w:id="18"/>
      <w:bookmarkEnd w:id="19"/>
      <w:r w:rsidRPr="00B07D19">
        <w:rPr>
          <w:rFonts w:ascii="Palatino Linotype" w:eastAsia="Calibri" w:hAnsi="Palatino Linotype"/>
          <w:b/>
          <w:color w:val="000000" w:themeColor="text1"/>
          <w:sz w:val="24"/>
          <w:szCs w:val="24"/>
          <w:lang w:val="es-ES"/>
        </w:rPr>
        <w:t xml:space="preserve"> </w:t>
      </w:r>
    </w:p>
    <w:p w14:paraId="3F9F9D0F" w14:textId="77777777" w:rsidR="00FE32FF" w:rsidRPr="00B07D19" w:rsidRDefault="00FE32FF" w:rsidP="00FE32FF">
      <w:pPr>
        <w:spacing w:line="360" w:lineRule="auto"/>
        <w:rPr>
          <w:lang w:val="es-ES"/>
        </w:rPr>
      </w:pPr>
    </w:p>
    <w:p w14:paraId="69592715" w14:textId="7228180D" w:rsidR="00512D26" w:rsidRPr="00B07D19" w:rsidRDefault="00512D26" w:rsidP="00512D26">
      <w:pPr>
        <w:pStyle w:val="Sinespaciado"/>
        <w:spacing w:line="360" w:lineRule="auto"/>
        <w:jc w:val="both"/>
        <w:rPr>
          <w:rFonts w:ascii="Palatino Linotype" w:hAnsi="Palatino Linotype"/>
        </w:rPr>
      </w:pPr>
      <w:r w:rsidRPr="00B07D19">
        <w:rPr>
          <w:rFonts w:ascii="Palatino Linotype" w:hAnsi="Palatino Linotype"/>
          <w:b/>
        </w:rPr>
        <w:lastRenderedPageBreak/>
        <w:t xml:space="preserve">PRIMERO. </w:t>
      </w:r>
      <w:r w:rsidRPr="00B07D19">
        <w:rPr>
          <w:rFonts w:ascii="Palatino Linotype" w:hAnsi="Palatino Linotype"/>
        </w:rPr>
        <w:t xml:space="preserve">Se </w:t>
      </w:r>
      <w:r w:rsidRPr="00B07D19">
        <w:rPr>
          <w:rFonts w:ascii="Palatino Linotype" w:hAnsi="Palatino Linotype"/>
          <w:b/>
        </w:rPr>
        <w:t>SOBRESEE</w:t>
      </w:r>
      <w:r w:rsidRPr="00B07D19">
        <w:rPr>
          <w:rFonts w:ascii="Palatino Linotype" w:hAnsi="Palatino Linotype"/>
        </w:rPr>
        <w:t xml:space="preserve"> el recurso de revisión número </w:t>
      </w:r>
      <w:r w:rsidR="003F3D13" w:rsidRPr="00B07D19">
        <w:rPr>
          <w:rFonts w:ascii="Palatino Linotype" w:hAnsi="Palatino Linotype" w:cs="Arial"/>
          <w:b/>
          <w:bCs/>
        </w:rPr>
        <w:t>13953/INFOEM/IP/RR/2022</w:t>
      </w:r>
      <w:r w:rsidRPr="00B07D19">
        <w:rPr>
          <w:rFonts w:ascii="Palatino Linotype" w:hAnsi="Palatino Linotype"/>
        </w:rPr>
        <w:t>,</w:t>
      </w:r>
      <w:r w:rsidR="00D93691" w:rsidRPr="00B07D19">
        <w:rPr>
          <w:rFonts w:ascii="Palatino Linotype" w:hAnsi="Palatino Linotype" w:cs="Arial"/>
          <w:color w:val="000000" w:themeColor="text1"/>
        </w:rPr>
        <w:t xml:space="preserve"> co</w:t>
      </w:r>
      <w:r w:rsidR="0014656A" w:rsidRPr="00B07D19">
        <w:rPr>
          <w:rFonts w:ascii="Palatino Linotype" w:hAnsi="Palatino Linotype" w:cs="Arial"/>
          <w:color w:val="000000" w:themeColor="text1"/>
        </w:rPr>
        <w:t xml:space="preserve">n fundamento en la fracción V </w:t>
      </w:r>
      <w:r w:rsidR="00D93691" w:rsidRPr="00B07D19">
        <w:rPr>
          <w:rFonts w:ascii="Palatino Linotype" w:hAnsi="Palatino Linotype" w:cs="Arial"/>
          <w:color w:val="000000" w:themeColor="text1"/>
        </w:rPr>
        <w:t xml:space="preserve">del artículo 192 </w:t>
      </w:r>
      <w:r w:rsidR="00D93691" w:rsidRPr="00B07D19">
        <w:rPr>
          <w:rFonts w:ascii="Palatino Linotype" w:eastAsia="Batang" w:hAnsi="Palatino Linotype" w:cs="Arial"/>
          <w:color w:val="000000" w:themeColor="text1"/>
        </w:rPr>
        <w:t xml:space="preserve">de la </w:t>
      </w:r>
      <w:r w:rsidR="00D93691" w:rsidRPr="00B07D19">
        <w:rPr>
          <w:rFonts w:ascii="Palatino Linotype" w:eastAsia="Batang" w:hAnsi="Palatino Linotype" w:cs="Arial"/>
          <w:bCs/>
          <w:color w:val="000000" w:themeColor="text1"/>
        </w:rPr>
        <w:t>Ley de Transparencia y Acceso a la Información Pública del Estado de México y Municipios</w:t>
      </w:r>
      <w:r w:rsidR="00D93691" w:rsidRPr="00B07D19">
        <w:rPr>
          <w:rFonts w:ascii="Palatino Linotype" w:eastAsia="Batang" w:hAnsi="Palatino Linotype" w:cs="Arial"/>
          <w:b/>
          <w:color w:val="000000" w:themeColor="text1"/>
        </w:rPr>
        <w:t xml:space="preserve">, </w:t>
      </w:r>
      <w:r w:rsidRPr="00B07D19">
        <w:rPr>
          <w:rFonts w:ascii="Palatino Linotype" w:hAnsi="Palatino Linotype"/>
        </w:rPr>
        <w:t xml:space="preserve"> porque el recurso de revisión quedó sin materia en términos del </w:t>
      </w:r>
      <w:r w:rsidRPr="00B07D19">
        <w:rPr>
          <w:rFonts w:ascii="Palatino Linotype" w:hAnsi="Palatino Linotype"/>
          <w:b/>
        </w:rPr>
        <w:t xml:space="preserve">Considerando </w:t>
      </w:r>
      <w:r w:rsidR="00853E3C" w:rsidRPr="00B07D19">
        <w:rPr>
          <w:rFonts w:ascii="Palatino Linotype" w:hAnsi="Palatino Linotype"/>
          <w:b/>
        </w:rPr>
        <w:t>Tercer</w:t>
      </w:r>
      <w:r w:rsidRPr="00B07D19">
        <w:rPr>
          <w:rFonts w:ascii="Palatino Linotype" w:hAnsi="Palatino Linotype"/>
          <w:b/>
        </w:rPr>
        <w:t>o</w:t>
      </w:r>
      <w:r w:rsidRPr="00B07D19">
        <w:rPr>
          <w:rFonts w:ascii="Palatino Linotype" w:hAnsi="Palatino Linotype"/>
        </w:rPr>
        <w:t xml:space="preserve"> de la presente resolución</w:t>
      </w:r>
    </w:p>
    <w:p w14:paraId="1C3D3A48" w14:textId="77777777" w:rsidR="00512D26" w:rsidRPr="00B07D19" w:rsidRDefault="00512D26" w:rsidP="00512D26">
      <w:pPr>
        <w:pStyle w:val="Sinespaciado"/>
        <w:spacing w:line="360" w:lineRule="auto"/>
        <w:jc w:val="both"/>
        <w:rPr>
          <w:rFonts w:ascii="Palatino Linotype" w:hAnsi="Palatino Linotype"/>
        </w:rPr>
      </w:pPr>
    </w:p>
    <w:p w14:paraId="73F193FA" w14:textId="77777777" w:rsidR="00512D26" w:rsidRPr="00B07D19" w:rsidRDefault="00512D26" w:rsidP="00512D26">
      <w:pPr>
        <w:pStyle w:val="Sinespaciado"/>
        <w:spacing w:line="360" w:lineRule="auto"/>
        <w:jc w:val="both"/>
        <w:rPr>
          <w:rFonts w:ascii="Palatino Linotype" w:eastAsia="Calibri" w:hAnsi="Palatino Linotype" w:cs="Arial"/>
          <w:b/>
          <w:bCs/>
          <w:lang w:val="es-ES"/>
        </w:rPr>
      </w:pPr>
      <w:r w:rsidRPr="00B07D19">
        <w:rPr>
          <w:rFonts w:ascii="Palatino Linotype" w:eastAsia="Calibri" w:hAnsi="Palatino Linotype" w:cs="Arial"/>
          <w:b/>
          <w:bCs/>
          <w:lang w:val="es-ES"/>
        </w:rPr>
        <w:t xml:space="preserve">SEGUNDO. </w:t>
      </w:r>
      <w:r w:rsidRPr="00B07D19">
        <w:rPr>
          <w:rFonts w:ascii="Palatino Linotype" w:hAnsi="Palatino Linotype"/>
          <w:b/>
          <w:bCs/>
          <w:color w:val="222222"/>
          <w:lang w:val="es-ES"/>
        </w:rPr>
        <w:t>Notifíquese</w:t>
      </w:r>
      <w:r w:rsidRPr="00B07D19">
        <w:rPr>
          <w:rFonts w:ascii="Palatino Linotype" w:eastAsia="Calibri" w:hAnsi="Palatino Linotype" w:cs="Arial"/>
          <w:b/>
          <w:bCs/>
          <w:lang w:val="es-ES"/>
        </w:rPr>
        <w:t xml:space="preserve"> </w:t>
      </w:r>
      <w:r w:rsidRPr="00B07D19">
        <w:rPr>
          <w:rFonts w:ascii="Palatino Linotype" w:eastAsia="Calibri" w:hAnsi="Palatino Linotype" w:cs="Arial"/>
          <w:bCs/>
          <w:lang w:val="es-ES"/>
        </w:rPr>
        <w:t xml:space="preserve">a través del Sistema de Acceso a la Información Mexiquense </w:t>
      </w:r>
      <w:r w:rsidRPr="00B07D19">
        <w:rPr>
          <w:rFonts w:ascii="Palatino Linotype" w:eastAsia="Calibri" w:hAnsi="Palatino Linotype" w:cs="Arial"/>
          <w:b/>
          <w:bCs/>
          <w:lang w:val="es-ES"/>
        </w:rPr>
        <w:t xml:space="preserve">(SAIMEX) </w:t>
      </w:r>
      <w:r w:rsidRPr="00B07D19">
        <w:rPr>
          <w:rFonts w:ascii="Palatino Linotype" w:eastAsia="Calibri" w:hAnsi="Palatino Linotype" w:cs="Arial"/>
          <w:bCs/>
          <w:lang w:val="es-ES"/>
        </w:rPr>
        <w:t>la presente resolución al Titular de la Unidad de Transparencia del</w:t>
      </w:r>
      <w:r w:rsidRPr="00B07D19">
        <w:rPr>
          <w:rFonts w:ascii="Palatino Linotype" w:eastAsia="Calibri" w:hAnsi="Palatino Linotype" w:cs="Arial"/>
          <w:b/>
          <w:bCs/>
          <w:lang w:val="es-ES"/>
        </w:rPr>
        <w:t xml:space="preserve"> SUJETO OBLIGADO. </w:t>
      </w:r>
    </w:p>
    <w:p w14:paraId="15C6C407" w14:textId="77777777" w:rsidR="00512D26" w:rsidRPr="00B07D19" w:rsidRDefault="00512D26" w:rsidP="00512D26">
      <w:pPr>
        <w:pStyle w:val="Sinespaciado"/>
        <w:spacing w:line="360" w:lineRule="auto"/>
        <w:jc w:val="both"/>
        <w:rPr>
          <w:rFonts w:ascii="Palatino Linotype" w:eastAsia="Palatino Linotype" w:hAnsi="Palatino Linotype" w:cs="Palatino Linotype"/>
          <w:b/>
        </w:rPr>
      </w:pPr>
    </w:p>
    <w:p w14:paraId="055AEABB" w14:textId="77777777" w:rsidR="00512D26" w:rsidRPr="00B07D19" w:rsidRDefault="00512D26" w:rsidP="00512D26">
      <w:pPr>
        <w:pStyle w:val="Sinespaciado"/>
        <w:spacing w:line="360" w:lineRule="auto"/>
        <w:jc w:val="both"/>
        <w:rPr>
          <w:rFonts w:ascii="Palatino Linotype" w:hAnsi="Palatino Linotype"/>
          <w:color w:val="222222"/>
          <w:lang w:val="es-ES" w:eastAsia="es-MX"/>
        </w:rPr>
      </w:pPr>
      <w:r w:rsidRPr="00B07D19">
        <w:rPr>
          <w:rFonts w:ascii="Palatino Linotype" w:hAnsi="Palatino Linotype" w:cs="Arial"/>
          <w:b/>
        </w:rPr>
        <w:t xml:space="preserve">TERCERO. </w:t>
      </w:r>
      <w:r w:rsidRPr="00B07D19">
        <w:rPr>
          <w:rFonts w:ascii="Palatino Linotype" w:hAnsi="Palatino Linotype"/>
          <w:b/>
          <w:bCs/>
          <w:color w:val="222222"/>
          <w:lang w:val="es-ES"/>
        </w:rPr>
        <w:t xml:space="preserve">Notifíquese </w:t>
      </w:r>
      <w:r w:rsidRPr="00B07D19">
        <w:rPr>
          <w:rFonts w:ascii="Palatino Linotype" w:hAnsi="Palatino Linotype"/>
          <w:bCs/>
          <w:color w:val="222222"/>
          <w:lang w:val="es-ES"/>
        </w:rPr>
        <w:t xml:space="preserve">a la </w:t>
      </w:r>
      <w:r w:rsidRPr="00B07D19">
        <w:rPr>
          <w:rFonts w:ascii="Palatino Linotype" w:hAnsi="Palatino Linotype"/>
          <w:b/>
        </w:rPr>
        <w:t xml:space="preserve">RECURRENTE </w:t>
      </w:r>
      <w:r w:rsidRPr="00B07D19">
        <w:rPr>
          <w:rFonts w:ascii="Palatino Linotype" w:hAnsi="Palatino Linotype"/>
          <w:color w:val="222222"/>
          <w:lang w:val="es-ES" w:eastAsia="es-MX"/>
        </w:rPr>
        <w:t xml:space="preserve">la presente resolución, vía </w:t>
      </w:r>
      <w:r w:rsidRPr="00B07D19">
        <w:rPr>
          <w:rFonts w:ascii="Palatino Linotype" w:hAnsi="Palatino Linotype"/>
          <w:b/>
          <w:color w:val="222222"/>
          <w:lang w:val="es-ES" w:eastAsia="es-MX"/>
        </w:rPr>
        <w:t>SAIMEX</w:t>
      </w:r>
      <w:r w:rsidRPr="00B07D19">
        <w:rPr>
          <w:rFonts w:ascii="Palatino Linotype" w:hAnsi="Palatino Linotype"/>
          <w:color w:val="222222"/>
          <w:lang w:val="es-ES" w:eastAsia="es-MX"/>
        </w:rPr>
        <w:t>.</w:t>
      </w:r>
    </w:p>
    <w:p w14:paraId="0BEBC587" w14:textId="77777777" w:rsidR="00512D26" w:rsidRPr="00B07D19" w:rsidRDefault="00512D26" w:rsidP="00512D26">
      <w:pPr>
        <w:pStyle w:val="Sinespaciado"/>
        <w:spacing w:line="360" w:lineRule="auto"/>
        <w:jc w:val="both"/>
        <w:rPr>
          <w:rFonts w:ascii="Palatino Linotype" w:hAnsi="Palatino Linotype"/>
          <w:color w:val="222222"/>
          <w:lang w:val="es-ES" w:eastAsia="es-MX"/>
        </w:rPr>
      </w:pPr>
    </w:p>
    <w:p w14:paraId="6F058B5B" w14:textId="77777777" w:rsidR="00512D26" w:rsidRPr="00B07D19" w:rsidRDefault="00512D26" w:rsidP="00512D26">
      <w:pPr>
        <w:shd w:val="clear" w:color="auto" w:fill="FFFFFF"/>
        <w:spacing w:line="360" w:lineRule="auto"/>
        <w:jc w:val="both"/>
        <w:rPr>
          <w:rFonts w:ascii="Palatino Linotype" w:eastAsia="MS Mincho" w:hAnsi="Palatino Linotype"/>
          <w:lang w:val="es-ES"/>
        </w:rPr>
      </w:pPr>
      <w:r w:rsidRPr="00B07D19">
        <w:rPr>
          <w:rFonts w:ascii="Palatino Linotype" w:eastAsia="MS Mincho" w:hAnsi="Palatino Linotype"/>
          <w:b/>
        </w:rPr>
        <w:t>CUARTO.</w:t>
      </w:r>
      <w:r w:rsidRPr="00B07D19">
        <w:rPr>
          <w:rFonts w:ascii="Palatino Linotype" w:eastAsia="MS Mincho" w:hAnsi="Palatino Linotype"/>
        </w:rPr>
        <w:t xml:space="preserve"> </w:t>
      </w:r>
      <w:r w:rsidRPr="00B07D19">
        <w:rPr>
          <w:rFonts w:ascii="Palatino Linotype" w:eastAsia="MS Mincho" w:hAnsi="Palatino Linotype"/>
          <w:lang w:val="es-ES"/>
        </w:rPr>
        <w:t xml:space="preserve">Se hace del conocimiento de la </w:t>
      </w:r>
      <w:r w:rsidRPr="00B07D19">
        <w:rPr>
          <w:rFonts w:ascii="Palatino Linotype" w:hAnsi="Palatino Linotype"/>
          <w:b/>
        </w:rPr>
        <w:t xml:space="preserve">RECURRENTE </w:t>
      </w:r>
      <w:r w:rsidRPr="00B07D19">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07D19">
        <w:rPr>
          <w:rFonts w:ascii="Palatino Linotype" w:eastAsia="MS Mincho" w:hAnsi="Palatino Linotype"/>
          <w:bCs/>
          <w:lang w:val="es-ES"/>
        </w:rPr>
        <w:t>vía juicio de amparo</w:t>
      </w:r>
      <w:r w:rsidRPr="00B07D19">
        <w:rPr>
          <w:rFonts w:ascii="Palatino Linotype" w:eastAsia="MS Mincho" w:hAnsi="Palatino Linotype"/>
          <w:lang w:val="es-ES"/>
        </w:rPr>
        <w:t xml:space="preserve"> en los términos de las leyes aplicables.</w:t>
      </w:r>
    </w:p>
    <w:p w14:paraId="42C00E8E" w14:textId="77777777" w:rsidR="00FE32FF" w:rsidRPr="00B07D19" w:rsidRDefault="00FE32FF" w:rsidP="00FE32FF">
      <w:pPr>
        <w:tabs>
          <w:tab w:val="left" w:pos="0"/>
        </w:tabs>
        <w:spacing w:line="360" w:lineRule="auto"/>
        <w:ind w:right="49"/>
        <w:jc w:val="both"/>
        <w:rPr>
          <w:rFonts w:ascii="Palatino Linotype" w:hAnsi="Palatino Linotype" w:cs="Arial"/>
        </w:rPr>
      </w:pPr>
    </w:p>
    <w:p w14:paraId="6E1E0033" w14:textId="77777777" w:rsidR="00A640CA" w:rsidRDefault="00A640CA" w:rsidP="00A640CA">
      <w:pPr>
        <w:spacing w:before="240" w:after="240" w:line="360" w:lineRule="auto"/>
        <w:jc w:val="both"/>
        <w:rPr>
          <w:rFonts w:ascii="Palatino Linotype" w:hAnsi="Palatino Linotype"/>
        </w:rPr>
      </w:pPr>
      <w:r w:rsidRPr="00B07D1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B07D19">
        <w:rPr>
          <w:rFonts w:ascii="Palatino Linotype" w:hAnsi="Palatino Linotype"/>
        </w:rPr>
        <w:lastRenderedPageBreak/>
        <w:t>RAMÍREZ PEÑA EN LA TRIGÉSIMA QUINTA SESIÓN ORDINARIA CELEBRADA EL VEINTIOCHO (28) DE SEPTIEMBRE DE DOS MIL VEINTIDÓS, ANTE EL SECRETARIO TÉCNICO DEL PLENO ALEXIS TAPIA RAMÍREZ.</w:t>
      </w:r>
      <w:bookmarkStart w:id="20" w:name="_GoBack"/>
      <w:bookmarkEnd w:id="20"/>
      <w:r w:rsidRPr="00624AAD">
        <w:rPr>
          <w:rFonts w:ascii="Palatino Linotype" w:hAnsi="Palatino Linotype"/>
        </w:rPr>
        <w:t xml:space="preserve"> </w:t>
      </w:r>
    </w:p>
    <w:p w14:paraId="2CA1213D" w14:textId="77777777" w:rsidR="009F09BC" w:rsidRDefault="009F09BC" w:rsidP="00CE7B83">
      <w:pPr>
        <w:spacing w:line="360" w:lineRule="auto"/>
        <w:jc w:val="both"/>
        <w:rPr>
          <w:rFonts w:ascii="Palatino Linotype" w:hAnsi="Palatino Linotype"/>
        </w:rPr>
      </w:pPr>
    </w:p>
    <w:p w14:paraId="3C84D995" w14:textId="77777777" w:rsidR="009F09BC" w:rsidRDefault="009F09BC" w:rsidP="009F09BC">
      <w:pPr>
        <w:spacing w:line="360" w:lineRule="auto"/>
        <w:jc w:val="both"/>
        <w:rPr>
          <w:rFonts w:ascii="Palatino Linotype" w:hAnsi="Palatino Linotype"/>
        </w:rPr>
      </w:pPr>
    </w:p>
    <w:p w14:paraId="4F9BFA5A" w14:textId="77777777" w:rsidR="009F09BC" w:rsidRDefault="009F09BC" w:rsidP="009F09BC">
      <w:pPr>
        <w:spacing w:line="360" w:lineRule="auto"/>
        <w:jc w:val="both"/>
        <w:rPr>
          <w:rFonts w:ascii="Palatino Linotype" w:hAnsi="Palatino Linotype"/>
        </w:rPr>
      </w:pPr>
    </w:p>
    <w:p w14:paraId="2DE024A4" w14:textId="77777777" w:rsidR="009F09BC" w:rsidRDefault="009F09BC" w:rsidP="009F09BC">
      <w:pPr>
        <w:spacing w:line="360" w:lineRule="auto"/>
        <w:jc w:val="both"/>
        <w:rPr>
          <w:rFonts w:ascii="Palatino Linotype" w:hAnsi="Palatino Linotype"/>
        </w:rPr>
      </w:pPr>
    </w:p>
    <w:p w14:paraId="0AEA682B" w14:textId="77777777" w:rsidR="009F09BC" w:rsidRDefault="009F09BC" w:rsidP="009F09BC">
      <w:pPr>
        <w:spacing w:line="360" w:lineRule="auto"/>
        <w:jc w:val="both"/>
        <w:rPr>
          <w:rFonts w:ascii="Palatino Linotype" w:hAnsi="Palatino Linotype"/>
        </w:rPr>
      </w:pPr>
    </w:p>
    <w:p w14:paraId="5DAB0320" w14:textId="77777777" w:rsidR="009F09BC" w:rsidRDefault="009F09BC" w:rsidP="009F09BC">
      <w:pPr>
        <w:spacing w:line="360" w:lineRule="auto"/>
        <w:jc w:val="both"/>
        <w:rPr>
          <w:rFonts w:ascii="Palatino Linotype" w:hAnsi="Palatino Linotype"/>
        </w:rPr>
      </w:pPr>
    </w:p>
    <w:p w14:paraId="04A3C3BC" w14:textId="77777777" w:rsidR="009F09BC" w:rsidRDefault="009F09BC" w:rsidP="009F09BC">
      <w:pPr>
        <w:spacing w:line="360" w:lineRule="auto"/>
        <w:jc w:val="both"/>
        <w:rPr>
          <w:rFonts w:ascii="Palatino Linotype" w:hAnsi="Palatino Linotype"/>
        </w:rPr>
      </w:pPr>
    </w:p>
    <w:p w14:paraId="1998C65C" w14:textId="77777777" w:rsidR="009F09BC" w:rsidRDefault="009F09BC" w:rsidP="009F09BC">
      <w:pPr>
        <w:spacing w:line="360" w:lineRule="auto"/>
        <w:jc w:val="both"/>
        <w:rPr>
          <w:rFonts w:ascii="Palatino Linotype" w:hAnsi="Palatino Linotype"/>
        </w:rPr>
      </w:pPr>
    </w:p>
    <w:p w14:paraId="14FE80B4" w14:textId="77777777" w:rsidR="009F09BC" w:rsidRDefault="009F09BC" w:rsidP="009F09BC">
      <w:pPr>
        <w:spacing w:line="360" w:lineRule="auto"/>
        <w:jc w:val="both"/>
        <w:rPr>
          <w:rFonts w:ascii="Palatino Linotype" w:hAnsi="Palatino Linotype"/>
        </w:rPr>
      </w:pPr>
    </w:p>
    <w:p w14:paraId="029C4599" w14:textId="77777777" w:rsidR="009F09BC" w:rsidRDefault="009F09BC" w:rsidP="009F09BC">
      <w:pPr>
        <w:spacing w:line="360" w:lineRule="auto"/>
        <w:jc w:val="both"/>
        <w:rPr>
          <w:rFonts w:ascii="Palatino Linotype" w:hAnsi="Palatino Linotype"/>
        </w:rPr>
      </w:pPr>
    </w:p>
    <w:p w14:paraId="4026A7A5" w14:textId="77777777" w:rsidR="009F09BC" w:rsidRDefault="009F09BC" w:rsidP="009F09BC"/>
    <w:p w14:paraId="25FA2D1A" w14:textId="77777777" w:rsidR="009F09BC" w:rsidRPr="009F09BC" w:rsidRDefault="009F09BC" w:rsidP="009F09BC"/>
    <w:p w14:paraId="09A105DB" w14:textId="77777777" w:rsidR="009F09BC" w:rsidRPr="009F09BC" w:rsidRDefault="009F09BC" w:rsidP="009F09BC"/>
    <w:p w14:paraId="016A5A02" w14:textId="77777777" w:rsidR="009F09BC" w:rsidRPr="009F09BC" w:rsidRDefault="009F09BC" w:rsidP="009F09BC"/>
    <w:p w14:paraId="680BC216" w14:textId="77777777" w:rsidR="009F09BC" w:rsidRPr="009F09BC" w:rsidRDefault="009F09BC" w:rsidP="009F09BC"/>
    <w:p w14:paraId="2621AB26" w14:textId="77777777" w:rsidR="009F09BC" w:rsidRPr="009F09BC" w:rsidRDefault="009F09BC" w:rsidP="009F09BC"/>
    <w:p w14:paraId="74AF97FC" w14:textId="77777777" w:rsidR="009F09BC" w:rsidRDefault="009F09BC" w:rsidP="009F09BC"/>
    <w:p w14:paraId="0F668DD2" w14:textId="77777777" w:rsidR="009F09BC" w:rsidRDefault="009F09BC" w:rsidP="009F09BC">
      <w:pPr>
        <w:tabs>
          <w:tab w:val="left" w:pos="3374"/>
        </w:tabs>
      </w:pPr>
      <w:r>
        <w:tab/>
      </w:r>
    </w:p>
    <w:p w14:paraId="6C5B5AB9" w14:textId="77777777" w:rsidR="0074110E" w:rsidRDefault="0074110E" w:rsidP="009F09BC">
      <w:pPr>
        <w:tabs>
          <w:tab w:val="left" w:pos="3374"/>
        </w:tabs>
      </w:pPr>
    </w:p>
    <w:p w14:paraId="07B45635" w14:textId="77777777" w:rsidR="0074110E" w:rsidRDefault="0074110E" w:rsidP="009F09BC">
      <w:pPr>
        <w:tabs>
          <w:tab w:val="left" w:pos="3374"/>
        </w:tabs>
      </w:pPr>
    </w:p>
    <w:p w14:paraId="2C5BF16B" w14:textId="77777777" w:rsidR="0074110E" w:rsidRDefault="0074110E" w:rsidP="009F09BC">
      <w:pPr>
        <w:tabs>
          <w:tab w:val="left" w:pos="3374"/>
        </w:tabs>
      </w:pPr>
    </w:p>
    <w:p w14:paraId="5E495842" w14:textId="77777777" w:rsidR="0074110E" w:rsidRDefault="0074110E" w:rsidP="009F09BC">
      <w:pPr>
        <w:tabs>
          <w:tab w:val="left" w:pos="3374"/>
        </w:tabs>
      </w:pPr>
    </w:p>
    <w:p w14:paraId="3ECBB345" w14:textId="77777777" w:rsidR="0074110E" w:rsidRDefault="0074110E" w:rsidP="009F09BC">
      <w:pPr>
        <w:tabs>
          <w:tab w:val="left" w:pos="3374"/>
        </w:tabs>
      </w:pPr>
    </w:p>
    <w:p w14:paraId="27A928FF" w14:textId="77777777" w:rsidR="0074110E" w:rsidRDefault="0074110E" w:rsidP="009F09BC">
      <w:pPr>
        <w:tabs>
          <w:tab w:val="left" w:pos="3374"/>
        </w:tabs>
      </w:pPr>
    </w:p>
    <w:p w14:paraId="1F968AB1" w14:textId="77777777" w:rsidR="0074110E" w:rsidRDefault="0074110E" w:rsidP="009F09BC">
      <w:pPr>
        <w:tabs>
          <w:tab w:val="left" w:pos="3374"/>
        </w:tabs>
      </w:pPr>
    </w:p>
    <w:p w14:paraId="6D5369C9" w14:textId="77777777" w:rsidR="0074110E" w:rsidRPr="009F09BC" w:rsidRDefault="0074110E" w:rsidP="009F09BC">
      <w:pPr>
        <w:tabs>
          <w:tab w:val="left" w:pos="3374"/>
        </w:tabs>
      </w:pPr>
    </w:p>
    <w:sectPr w:rsidR="0074110E" w:rsidRPr="009F09BC" w:rsidSect="00E61C13">
      <w:headerReference w:type="even" r:id="rId9"/>
      <w:headerReference w:type="default" r:id="rId10"/>
      <w:footerReference w:type="default" r:id="rId11"/>
      <w:headerReference w:type="first" r:id="rId12"/>
      <w:footerReference w:type="first" r:id="rId13"/>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51AD6" w14:textId="77777777" w:rsidR="004D2A72" w:rsidRDefault="004D2A72" w:rsidP="003B7751">
      <w:r>
        <w:separator/>
      </w:r>
    </w:p>
  </w:endnote>
  <w:endnote w:type="continuationSeparator" w:id="0">
    <w:p w14:paraId="4E5D4B0D" w14:textId="77777777" w:rsidR="004D2A72" w:rsidRDefault="004D2A7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F7D95F7" w14:textId="77777777" w:rsidR="00650964" w:rsidRPr="002D6DD8" w:rsidRDefault="0065096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7D1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7D19">
              <w:rPr>
                <w:rFonts w:ascii="Palatino Linotype" w:hAnsi="Palatino Linotype"/>
                <w:bCs/>
                <w:noProof/>
                <w:sz w:val="20"/>
              </w:rPr>
              <w:t>21</w:t>
            </w:r>
            <w:r>
              <w:rPr>
                <w:rFonts w:ascii="Palatino Linotype" w:hAnsi="Palatino Linotype"/>
                <w:bCs/>
                <w:noProof/>
                <w:sz w:val="20"/>
              </w:rPr>
              <w:fldChar w:fldCharType="end"/>
            </w:r>
          </w:p>
        </w:sdtContent>
      </w:sdt>
    </w:sdtContent>
  </w:sdt>
  <w:p w14:paraId="1FEEFF65" w14:textId="77777777" w:rsidR="00650964" w:rsidRDefault="006509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D7CE8" w14:textId="77777777" w:rsidR="00650964" w:rsidRPr="000B69FA" w:rsidRDefault="0065096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7D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7D19">
      <w:rPr>
        <w:rFonts w:ascii="Palatino Linotype" w:hAnsi="Palatino Linotype"/>
        <w:bCs/>
        <w:noProof/>
        <w:sz w:val="20"/>
      </w:rPr>
      <w:t>21</w:t>
    </w:r>
    <w:r>
      <w:rPr>
        <w:rFonts w:ascii="Palatino Linotype" w:hAnsi="Palatino Linotype"/>
        <w:bCs/>
        <w:noProof/>
        <w:sz w:val="20"/>
      </w:rPr>
      <w:fldChar w:fldCharType="end"/>
    </w:r>
  </w:p>
  <w:p w14:paraId="5E7DC2D8" w14:textId="77777777" w:rsidR="00650964" w:rsidRDefault="006509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88A3" w14:textId="77777777" w:rsidR="004D2A72" w:rsidRDefault="004D2A72" w:rsidP="003B7751">
      <w:r>
        <w:separator/>
      </w:r>
    </w:p>
  </w:footnote>
  <w:footnote w:type="continuationSeparator" w:id="0">
    <w:p w14:paraId="52DB8E41" w14:textId="77777777" w:rsidR="004D2A72" w:rsidRDefault="004D2A72" w:rsidP="003B7751">
      <w:r>
        <w:continuationSeparator/>
      </w:r>
    </w:p>
  </w:footnote>
  <w:footnote w:id="1">
    <w:p w14:paraId="1BB95C07" w14:textId="77777777" w:rsidR="00FE32FF" w:rsidRPr="009C43C2" w:rsidRDefault="00FE32FF" w:rsidP="00FE32FF">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10C3C0E" w14:textId="77777777" w:rsidR="00FE32FF" w:rsidRPr="009C43C2" w:rsidRDefault="00FE32FF" w:rsidP="00FE32FF">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3D68B1D0" w14:textId="77777777" w:rsidR="00FE32FF" w:rsidRPr="009C43C2" w:rsidRDefault="00FE32FF" w:rsidP="00FE32FF">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47A5266" w14:textId="77777777" w:rsidR="00FE32FF" w:rsidRDefault="00FE32FF" w:rsidP="00FE32FF">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13B80B18" w14:textId="77777777" w:rsidR="00A0321E" w:rsidRDefault="00A0321E" w:rsidP="00A0321E">
      <w:pPr>
        <w:pStyle w:val="Textonotapie"/>
      </w:pPr>
      <w:r>
        <w:rPr>
          <w:rStyle w:val="Refdenotaalpie"/>
        </w:rPr>
        <w:footnoteRef/>
      </w:r>
      <w:r>
        <w:t xml:space="preserve"> Ley de Transparencia y Acceso a la Información Pública del Estado de México y Municipios. Artículo 9. …</w:t>
      </w:r>
    </w:p>
    <w:p w14:paraId="168E4AE6" w14:textId="77777777" w:rsidR="00A0321E" w:rsidRDefault="00A0321E" w:rsidP="00A0321E">
      <w:pPr>
        <w:pStyle w:val="Textonotapie"/>
      </w:pPr>
      <w:r>
        <w:t>II. Eficacia: Obligación del Instituto para tutelar, de manera efectiva, el derecho de acceso a la información;</w:t>
      </w:r>
    </w:p>
    <w:p w14:paraId="6BDC0F5A" w14:textId="77777777" w:rsidR="00A0321E" w:rsidRDefault="00A0321E" w:rsidP="00A0321E">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1F12" w14:textId="77777777" w:rsidR="00650964" w:rsidRDefault="004D2A72">
    <w:pPr>
      <w:pStyle w:val="Encabezado"/>
    </w:pPr>
    <w:r>
      <w:rPr>
        <w:noProof/>
        <w:lang w:eastAsia="es-MX"/>
      </w:rPr>
      <w:pict w14:anchorId="47762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50964" w14:paraId="2C78BEB5" w14:textId="77777777" w:rsidTr="006A04B6">
      <w:trPr>
        <w:trHeight w:val="227"/>
      </w:trPr>
      <w:tc>
        <w:tcPr>
          <w:tcW w:w="2976" w:type="dxa"/>
          <w:vAlign w:val="center"/>
          <w:hideMark/>
        </w:tcPr>
        <w:p w14:paraId="0782DAA5" w14:textId="77777777" w:rsidR="00650964" w:rsidRPr="00674A46" w:rsidRDefault="00650964"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420A9EBE" w14:textId="77777777" w:rsidR="00650964" w:rsidRPr="00485ED8" w:rsidRDefault="003F3D13" w:rsidP="00964F2A">
          <w:pPr>
            <w:pStyle w:val="Encabezado"/>
            <w:rPr>
              <w:rFonts w:ascii="Palatino Linotype" w:hAnsi="Palatino Linotype"/>
              <w:b/>
              <w:sz w:val="22"/>
              <w:szCs w:val="22"/>
            </w:rPr>
          </w:pPr>
          <w:r w:rsidRPr="003F3D13">
            <w:rPr>
              <w:rFonts w:ascii="Palatino Linotype" w:hAnsi="Palatino Linotype" w:cs="Arial"/>
              <w:b/>
              <w:bCs/>
              <w:sz w:val="22"/>
              <w:szCs w:val="22"/>
              <w:lang w:eastAsia="es-MX"/>
            </w:rPr>
            <w:t>13953</w:t>
          </w:r>
          <w:r w:rsidRPr="00DE2F5A">
            <w:rPr>
              <w:rFonts w:ascii="Palatino Linotype" w:hAnsi="Palatino Linotype" w:cs="Arial"/>
              <w:b/>
              <w:bCs/>
              <w:sz w:val="22"/>
              <w:szCs w:val="22"/>
              <w:lang w:eastAsia="es-MX"/>
            </w:rPr>
            <w:t>/INFOEM/IP/RR/2022</w:t>
          </w:r>
        </w:p>
      </w:tc>
    </w:tr>
    <w:tr w:rsidR="00650964" w14:paraId="405CEFBC" w14:textId="77777777" w:rsidTr="006A04B6">
      <w:trPr>
        <w:trHeight w:val="242"/>
      </w:trPr>
      <w:tc>
        <w:tcPr>
          <w:tcW w:w="2976" w:type="dxa"/>
          <w:vAlign w:val="center"/>
          <w:hideMark/>
        </w:tcPr>
        <w:p w14:paraId="2F38FDDF" w14:textId="77777777" w:rsidR="00650964" w:rsidRPr="00674A46" w:rsidRDefault="00650964"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38701EDE" w14:textId="77777777" w:rsidR="00650964" w:rsidRPr="00485ED8" w:rsidRDefault="003F3D13" w:rsidP="009F09BC">
          <w:pPr>
            <w:pStyle w:val="Encabezado"/>
            <w:jc w:val="both"/>
            <w:rPr>
              <w:rFonts w:ascii="Palatino Linotype" w:hAnsi="Palatino Linotype"/>
              <w:b/>
              <w:sz w:val="22"/>
              <w:szCs w:val="22"/>
            </w:rPr>
          </w:pPr>
          <w:r w:rsidRPr="003F3D13">
            <w:rPr>
              <w:rFonts w:ascii="Palatino Linotype" w:hAnsi="Palatino Linotype"/>
              <w:b/>
              <w:bCs/>
              <w:color w:val="000000"/>
              <w:sz w:val="22"/>
              <w:szCs w:val="22"/>
            </w:rPr>
            <w:t>Ayuntamiento de Ixtapaluca</w:t>
          </w:r>
        </w:p>
      </w:tc>
    </w:tr>
    <w:tr w:rsidR="00650964" w14:paraId="40F431E0" w14:textId="77777777" w:rsidTr="006A04B6">
      <w:trPr>
        <w:trHeight w:val="342"/>
      </w:trPr>
      <w:tc>
        <w:tcPr>
          <w:tcW w:w="2976" w:type="dxa"/>
          <w:vAlign w:val="center"/>
          <w:hideMark/>
        </w:tcPr>
        <w:p w14:paraId="4865C4E8" w14:textId="77777777" w:rsidR="00650964" w:rsidRPr="00674A46" w:rsidRDefault="00C31CF5" w:rsidP="009F09BC">
          <w:pPr>
            <w:ind w:right="34"/>
            <w:jc w:val="right"/>
            <w:rPr>
              <w:rFonts w:ascii="Palatino Linotype" w:hAnsi="Palatino Linotype"/>
              <w:b/>
              <w:sz w:val="22"/>
              <w:szCs w:val="22"/>
            </w:rPr>
          </w:pPr>
          <w:r>
            <w:rPr>
              <w:rFonts w:ascii="Palatino Linotype" w:hAnsi="Palatino Linotype"/>
              <w:b/>
              <w:sz w:val="22"/>
              <w:szCs w:val="22"/>
            </w:rPr>
            <w:t>Comisionada</w:t>
          </w:r>
          <w:r w:rsidR="00650964" w:rsidRPr="00674A46">
            <w:rPr>
              <w:rFonts w:ascii="Palatino Linotype" w:hAnsi="Palatino Linotype"/>
              <w:b/>
              <w:sz w:val="22"/>
              <w:szCs w:val="22"/>
            </w:rPr>
            <w:t xml:space="preserve"> Ponente:</w:t>
          </w:r>
        </w:p>
      </w:tc>
      <w:tc>
        <w:tcPr>
          <w:tcW w:w="3543" w:type="dxa"/>
          <w:vAlign w:val="center"/>
          <w:hideMark/>
        </w:tcPr>
        <w:p w14:paraId="033FC84F" w14:textId="77777777" w:rsidR="00650964" w:rsidRPr="00485ED8" w:rsidRDefault="00650964"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732A3A89" w14:textId="77777777" w:rsidR="00650964" w:rsidRPr="00AE046A" w:rsidRDefault="004D2A72" w:rsidP="003B7751">
    <w:pPr>
      <w:pStyle w:val="Encabezado"/>
      <w:tabs>
        <w:tab w:val="clear" w:pos="4419"/>
        <w:tab w:val="clear" w:pos="8838"/>
        <w:tab w:val="left" w:pos="6005"/>
      </w:tabs>
      <w:rPr>
        <w:sz w:val="14"/>
      </w:rPr>
    </w:pPr>
    <w:r>
      <w:rPr>
        <w:noProof/>
        <w:sz w:val="14"/>
        <w:lang w:eastAsia="es-MX"/>
      </w:rPr>
      <w:pict w14:anchorId="1B144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50964" w14:paraId="6F0822F3" w14:textId="77777777" w:rsidTr="006A04B6">
      <w:trPr>
        <w:trHeight w:val="227"/>
      </w:trPr>
      <w:tc>
        <w:tcPr>
          <w:tcW w:w="2977" w:type="dxa"/>
          <w:vAlign w:val="center"/>
          <w:hideMark/>
        </w:tcPr>
        <w:p w14:paraId="6060C44D" w14:textId="77777777" w:rsidR="00650964" w:rsidRPr="00674A46" w:rsidRDefault="00650964"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7B57B6AE" w14:textId="77777777" w:rsidR="00650964" w:rsidRPr="00485ED8" w:rsidRDefault="003F3D13" w:rsidP="00964F2A">
          <w:pPr>
            <w:pStyle w:val="Encabezado"/>
            <w:rPr>
              <w:rFonts w:ascii="Palatino Linotype" w:hAnsi="Palatino Linotype"/>
              <w:b/>
              <w:sz w:val="22"/>
              <w:szCs w:val="22"/>
            </w:rPr>
          </w:pPr>
          <w:r w:rsidRPr="003F3D13">
            <w:rPr>
              <w:rFonts w:ascii="Palatino Linotype" w:hAnsi="Palatino Linotype" w:cs="Arial"/>
              <w:b/>
              <w:bCs/>
              <w:sz w:val="22"/>
              <w:szCs w:val="22"/>
              <w:lang w:eastAsia="es-MX"/>
            </w:rPr>
            <w:t>13953</w:t>
          </w:r>
          <w:r w:rsidR="00650964" w:rsidRPr="00DE2F5A">
            <w:rPr>
              <w:rFonts w:ascii="Palatino Linotype" w:hAnsi="Palatino Linotype" w:cs="Arial"/>
              <w:b/>
              <w:bCs/>
              <w:sz w:val="22"/>
              <w:szCs w:val="22"/>
              <w:lang w:eastAsia="es-MX"/>
            </w:rPr>
            <w:t>/INFOEM/IP/RR/2022</w:t>
          </w:r>
        </w:p>
      </w:tc>
    </w:tr>
    <w:tr w:rsidR="00650964" w14:paraId="7A563F2F" w14:textId="77777777" w:rsidTr="006A04B6">
      <w:trPr>
        <w:trHeight w:val="242"/>
      </w:trPr>
      <w:tc>
        <w:tcPr>
          <w:tcW w:w="2977" w:type="dxa"/>
          <w:vAlign w:val="center"/>
          <w:hideMark/>
        </w:tcPr>
        <w:p w14:paraId="2631BA4B" w14:textId="77777777" w:rsidR="00650964" w:rsidRPr="00674A46" w:rsidRDefault="00650964"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CC48604" w14:textId="4CFCBA3C" w:rsidR="00650964" w:rsidRPr="00B75F20" w:rsidRDefault="00B07D19"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XXXXX XXXXX</w:t>
          </w:r>
        </w:p>
      </w:tc>
    </w:tr>
    <w:tr w:rsidR="00650964" w14:paraId="1CA35AD8" w14:textId="77777777" w:rsidTr="006A04B6">
      <w:trPr>
        <w:trHeight w:val="342"/>
      </w:trPr>
      <w:tc>
        <w:tcPr>
          <w:tcW w:w="2977" w:type="dxa"/>
          <w:vAlign w:val="center"/>
        </w:tcPr>
        <w:p w14:paraId="59C2F851" w14:textId="77777777" w:rsidR="00650964" w:rsidRPr="00674A46" w:rsidRDefault="00650964"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27BD1A36" w14:textId="77777777" w:rsidR="00650964" w:rsidRPr="00674A46" w:rsidRDefault="003F3D13" w:rsidP="009F09BC">
          <w:pPr>
            <w:pStyle w:val="Encabezado"/>
            <w:jc w:val="both"/>
            <w:rPr>
              <w:rFonts w:ascii="Palatino Linotype" w:hAnsi="Palatino Linotype"/>
              <w:b/>
              <w:sz w:val="22"/>
              <w:szCs w:val="22"/>
            </w:rPr>
          </w:pPr>
          <w:r w:rsidRPr="003F3D13">
            <w:rPr>
              <w:rFonts w:ascii="Palatino Linotype" w:hAnsi="Palatino Linotype"/>
              <w:b/>
              <w:bCs/>
              <w:color w:val="000000"/>
              <w:sz w:val="22"/>
              <w:szCs w:val="22"/>
            </w:rPr>
            <w:t>Ayuntamiento de Ixtapaluca</w:t>
          </w:r>
        </w:p>
      </w:tc>
    </w:tr>
    <w:tr w:rsidR="00650964" w14:paraId="05388D92" w14:textId="77777777" w:rsidTr="006A04B6">
      <w:trPr>
        <w:trHeight w:val="342"/>
      </w:trPr>
      <w:tc>
        <w:tcPr>
          <w:tcW w:w="2977" w:type="dxa"/>
          <w:vAlign w:val="center"/>
        </w:tcPr>
        <w:p w14:paraId="41E0C00C" w14:textId="77777777" w:rsidR="00650964" w:rsidRPr="00674A46" w:rsidRDefault="00650964"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6634734F" w14:textId="77777777" w:rsidR="00650964" w:rsidRPr="00674A46" w:rsidRDefault="00650964"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659BD4C8" w14:textId="77777777" w:rsidR="00650964" w:rsidRPr="00C222C0" w:rsidRDefault="004D2A72">
    <w:pPr>
      <w:pStyle w:val="Encabezado"/>
      <w:rPr>
        <w:sz w:val="16"/>
      </w:rPr>
    </w:pPr>
    <w:r>
      <w:rPr>
        <w:noProof/>
        <w:sz w:val="16"/>
        <w:lang w:eastAsia="es-MX"/>
      </w:rPr>
      <w:pict w14:anchorId="748B3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BCE18AB"/>
    <w:multiLevelType w:val="multilevel"/>
    <w:tmpl w:val="05BE9020"/>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842D00"/>
    <w:multiLevelType w:val="hybridMultilevel"/>
    <w:tmpl w:val="0414B8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38E4E5B4"/>
    <w:lvl w:ilvl="0" w:tplc="DB1C5A80">
      <w:start w:val="1"/>
      <w:numFmt w:val="lowerLetter"/>
      <w:lvlText w:val="%1)"/>
      <w:lvlJc w:val="left"/>
      <w:pPr>
        <w:ind w:left="1440" w:hanging="360"/>
      </w:pPr>
      <w:rPr>
        <w:rFonts w:eastAsia="Calibri" w:hint="default"/>
        <w:b/>
        <w:i w:val="0"/>
        <w:u w:val="none"/>
      </w:rPr>
    </w:lvl>
    <w:lvl w:ilvl="1" w:tplc="0C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3"/>
  </w:num>
  <w:num w:numId="10">
    <w:abstractNumId w:val="21"/>
  </w:num>
  <w:num w:numId="11">
    <w:abstractNumId w:val="15"/>
  </w:num>
  <w:num w:numId="12">
    <w:abstractNumId w:val="25"/>
  </w:num>
  <w:num w:numId="13">
    <w:abstractNumId w:val="35"/>
  </w:num>
  <w:num w:numId="14">
    <w:abstractNumId w:val="5"/>
  </w:num>
  <w:num w:numId="15">
    <w:abstractNumId w:val="18"/>
  </w:num>
  <w:num w:numId="16">
    <w:abstractNumId w:val="30"/>
  </w:num>
  <w:num w:numId="17">
    <w:abstractNumId w:val="11"/>
  </w:num>
  <w:num w:numId="18">
    <w:abstractNumId w:val="27"/>
  </w:num>
  <w:num w:numId="19">
    <w:abstractNumId w:val="36"/>
  </w:num>
  <w:num w:numId="20">
    <w:abstractNumId w:val="19"/>
  </w:num>
  <w:num w:numId="21">
    <w:abstractNumId w:val="23"/>
  </w:num>
  <w:num w:numId="22">
    <w:abstractNumId w:val="16"/>
  </w:num>
  <w:num w:numId="23">
    <w:abstractNumId w:val="39"/>
  </w:num>
  <w:num w:numId="24">
    <w:abstractNumId w:val="9"/>
  </w:num>
  <w:num w:numId="25">
    <w:abstractNumId w:val="31"/>
  </w:num>
  <w:num w:numId="26">
    <w:abstractNumId w:val="22"/>
  </w:num>
  <w:num w:numId="27">
    <w:abstractNumId w:val="7"/>
  </w:num>
  <w:num w:numId="28">
    <w:abstractNumId w:val="32"/>
  </w:num>
  <w:num w:numId="29">
    <w:abstractNumId w:val="29"/>
  </w:num>
  <w:num w:numId="30">
    <w:abstractNumId w:val="26"/>
  </w:num>
  <w:num w:numId="31">
    <w:abstractNumId w:val="38"/>
  </w:num>
  <w:num w:numId="32">
    <w:abstractNumId w:val="20"/>
  </w:num>
  <w:num w:numId="33">
    <w:abstractNumId w:val="10"/>
  </w:num>
  <w:num w:numId="34">
    <w:abstractNumId w:val="14"/>
  </w:num>
  <w:num w:numId="35">
    <w:abstractNumId w:val="8"/>
  </w:num>
  <w:num w:numId="36">
    <w:abstractNumId w:val="37"/>
  </w:num>
  <w:num w:numId="37">
    <w:abstractNumId w:val="28"/>
  </w:num>
  <w:num w:numId="38">
    <w:abstractNumId w:val="2"/>
  </w:num>
  <w:num w:numId="39">
    <w:abstractNumId w:val="34"/>
  </w:num>
  <w:num w:numId="40">
    <w:abstractNumId w:val="40"/>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674C"/>
    <w:rsid w:val="00020780"/>
    <w:rsid w:val="00025C53"/>
    <w:rsid w:val="00030FBC"/>
    <w:rsid w:val="000373F6"/>
    <w:rsid w:val="00051287"/>
    <w:rsid w:val="0008243D"/>
    <w:rsid w:val="000A03DD"/>
    <w:rsid w:val="000A61B3"/>
    <w:rsid w:val="000E1A02"/>
    <w:rsid w:val="000E35D8"/>
    <w:rsid w:val="000E4891"/>
    <w:rsid w:val="00102C41"/>
    <w:rsid w:val="00114502"/>
    <w:rsid w:val="001352F5"/>
    <w:rsid w:val="0014226C"/>
    <w:rsid w:val="0014656A"/>
    <w:rsid w:val="00171C44"/>
    <w:rsid w:val="0019500C"/>
    <w:rsid w:val="001A18E7"/>
    <w:rsid w:val="001B32AB"/>
    <w:rsid w:val="001B6F8F"/>
    <w:rsid w:val="001C4290"/>
    <w:rsid w:val="001D0782"/>
    <w:rsid w:val="001D23C1"/>
    <w:rsid w:val="001D373F"/>
    <w:rsid w:val="001D5404"/>
    <w:rsid w:val="001D630C"/>
    <w:rsid w:val="001F1124"/>
    <w:rsid w:val="001F39FC"/>
    <w:rsid w:val="002121EE"/>
    <w:rsid w:val="00215B39"/>
    <w:rsid w:val="00223C06"/>
    <w:rsid w:val="00230DBE"/>
    <w:rsid w:val="00237FA4"/>
    <w:rsid w:val="00264C9A"/>
    <w:rsid w:val="002650A0"/>
    <w:rsid w:val="00272CA2"/>
    <w:rsid w:val="00277FAC"/>
    <w:rsid w:val="00283E6C"/>
    <w:rsid w:val="002901F4"/>
    <w:rsid w:val="00291500"/>
    <w:rsid w:val="002A1BEC"/>
    <w:rsid w:val="002A3B71"/>
    <w:rsid w:val="002A6E1F"/>
    <w:rsid w:val="002B371B"/>
    <w:rsid w:val="002C0D3C"/>
    <w:rsid w:val="002C4997"/>
    <w:rsid w:val="002D36AD"/>
    <w:rsid w:val="002F00B0"/>
    <w:rsid w:val="0030094A"/>
    <w:rsid w:val="00312281"/>
    <w:rsid w:val="00321DFC"/>
    <w:rsid w:val="00323FFD"/>
    <w:rsid w:val="00337449"/>
    <w:rsid w:val="003437D9"/>
    <w:rsid w:val="00353F1D"/>
    <w:rsid w:val="00360B64"/>
    <w:rsid w:val="0036206D"/>
    <w:rsid w:val="003833B3"/>
    <w:rsid w:val="003933C4"/>
    <w:rsid w:val="00393C96"/>
    <w:rsid w:val="003A15C8"/>
    <w:rsid w:val="003B7751"/>
    <w:rsid w:val="003C13F1"/>
    <w:rsid w:val="003D6DCE"/>
    <w:rsid w:val="003E66D2"/>
    <w:rsid w:val="003F3D13"/>
    <w:rsid w:val="00403D64"/>
    <w:rsid w:val="00407FDA"/>
    <w:rsid w:val="004118FA"/>
    <w:rsid w:val="00416EB9"/>
    <w:rsid w:val="00425842"/>
    <w:rsid w:val="00437672"/>
    <w:rsid w:val="00456CFF"/>
    <w:rsid w:val="00471EB5"/>
    <w:rsid w:val="00493963"/>
    <w:rsid w:val="004D2A72"/>
    <w:rsid w:val="004E4EE6"/>
    <w:rsid w:val="004E6CE4"/>
    <w:rsid w:val="004F34D1"/>
    <w:rsid w:val="00512D26"/>
    <w:rsid w:val="005202C9"/>
    <w:rsid w:val="005331D8"/>
    <w:rsid w:val="005432D0"/>
    <w:rsid w:val="00546076"/>
    <w:rsid w:val="00547ACE"/>
    <w:rsid w:val="005507B0"/>
    <w:rsid w:val="00554A21"/>
    <w:rsid w:val="00556E0A"/>
    <w:rsid w:val="00563F2E"/>
    <w:rsid w:val="00572483"/>
    <w:rsid w:val="0057514F"/>
    <w:rsid w:val="00583A39"/>
    <w:rsid w:val="00583F4B"/>
    <w:rsid w:val="0059042C"/>
    <w:rsid w:val="005A46DE"/>
    <w:rsid w:val="005B076D"/>
    <w:rsid w:val="005C5021"/>
    <w:rsid w:val="005D2F1C"/>
    <w:rsid w:val="005D4C57"/>
    <w:rsid w:val="005F79B4"/>
    <w:rsid w:val="0060795F"/>
    <w:rsid w:val="0062406B"/>
    <w:rsid w:val="00636BD4"/>
    <w:rsid w:val="00647F7C"/>
    <w:rsid w:val="00650964"/>
    <w:rsid w:val="00657639"/>
    <w:rsid w:val="006672E1"/>
    <w:rsid w:val="006808CB"/>
    <w:rsid w:val="00693511"/>
    <w:rsid w:val="006941C1"/>
    <w:rsid w:val="006A04B6"/>
    <w:rsid w:val="006A6390"/>
    <w:rsid w:val="006B3C31"/>
    <w:rsid w:val="006D15D0"/>
    <w:rsid w:val="006D6CC1"/>
    <w:rsid w:val="006E7397"/>
    <w:rsid w:val="006E7C94"/>
    <w:rsid w:val="006F4B3B"/>
    <w:rsid w:val="00711062"/>
    <w:rsid w:val="007142AB"/>
    <w:rsid w:val="007142D6"/>
    <w:rsid w:val="00716BCA"/>
    <w:rsid w:val="00720371"/>
    <w:rsid w:val="007237FE"/>
    <w:rsid w:val="0074110E"/>
    <w:rsid w:val="00742823"/>
    <w:rsid w:val="00745CD3"/>
    <w:rsid w:val="00775EB2"/>
    <w:rsid w:val="00777D7E"/>
    <w:rsid w:val="00782A12"/>
    <w:rsid w:val="007851DB"/>
    <w:rsid w:val="00790FED"/>
    <w:rsid w:val="007A460E"/>
    <w:rsid w:val="007A6A1A"/>
    <w:rsid w:val="007D0427"/>
    <w:rsid w:val="007E6A85"/>
    <w:rsid w:val="007E7341"/>
    <w:rsid w:val="007F03C0"/>
    <w:rsid w:val="007F4B32"/>
    <w:rsid w:val="008227A9"/>
    <w:rsid w:val="008526F4"/>
    <w:rsid w:val="00853E3C"/>
    <w:rsid w:val="008563C8"/>
    <w:rsid w:val="008573BF"/>
    <w:rsid w:val="0086792A"/>
    <w:rsid w:val="00873EB6"/>
    <w:rsid w:val="008A699B"/>
    <w:rsid w:val="008B0637"/>
    <w:rsid w:val="008B586A"/>
    <w:rsid w:val="008C1ED7"/>
    <w:rsid w:val="008D62B5"/>
    <w:rsid w:val="008E330F"/>
    <w:rsid w:val="008E5F55"/>
    <w:rsid w:val="008E6388"/>
    <w:rsid w:val="008E6574"/>
    <w:rsid w:val="008F6D18"/>
    <w:rsid w:val="00911A75"/>
    <w:rsid w:val="009126F1"/>
    <w:rsid w:val="00912E8F"/>
    <w:rsid w:val="009335F9"/>
    <w:rsid w:val="00945135"/>
    <w:rsid w:val="00964F2A"/>
    <w:rsid w:val="009971AC"/>
    <w:rsid w:val="009972BB"/>
    <w:rsid w:val="009A17B7"/>
    <w:rsid w:val="009A2251"/>
    <w:rsid w:val="009D5A32"/>
    <w:rsid w:val="009F09BC"/>
    <w:rsid w:val="00A0321E"/>
    <w:rsid w:val="00A03690"/>
    <w:rsid w:val="00A23E82"/>
    <w:rsid w:val="00A43709"/>
    <w:rsid w:val="00A5742F"/>
    <w:rsid w:val="00A626EB"/>
    <w:rsid w:val="00A640CA"/>
    <w:rsid w:val="00A80852"/>
    <w:rsid w:val="00A92BCB"/>
    <w:rsid w:val="00AD316E"/>
    <w:rsid w:val="00AD63B4"/>
    <w:rsid w:val="00AE7F47"/>
    <w:rsid w:val="00AF3CE9"/>
    <w:rsid w:val="00AF4BBC"/>
    <w:rsid w:val="00B07BF8"/>
    <w:rsid w:val="00B07D19"/>
    <w:rsid w:val="00B11CDD"/>
    <w:rsid w:val="00B40F88"/>
    <w:rsid w:val="00B41F55"/>
    <w:rsid w:val="00B56D88"/>
    <w:rsid w:val="00B8379F"/>
    <w:rsid w:val="00B86242"/>
    <w:rsid w:val="00B92F7F"/>
    <w:rsid w:val="00B95ABC"/>
    <w:rsid w:val="00BF1269"/>
    <w:rsid w:val="00BF3FB5"/>
    <w:rsid w:val="00BF5B66"/>
    <w:rsid w:val="00C01F12"/>
    <w:rsid w:val="00C03BA3"/>
    <w:rsid w:val="00C0715F"/>
    <w:rsid w:val="00C105CC"/>
    <w:rsid w:val="00C11FC1"/>
    <w:rsid w:val="00C14F2A"/>
    <w:rsid w:val="00C21FAE"/>
    <w:rsid w:val="00C31CF5"/>
    <w:rsid w:val="00C34C3E"/>
    <w:rsid w:val="00C41B2B"/>
    <w:rsid w:val="00C473EE"/>
    <w:rsid w:val="00C47C3D"/>
    <w:rsid w:val="00C52710"/>
    <w:rsid w:val="00C54D99"/>
    <w:rsid w:val="00C56C77"/>
    <w:rsid w:val="00C85E64"/>
    <w:rsid w:val="00C87396"/>
    <w:rsid w:val="00C90814"/>
    <w:rsid w:val="00C91F0F"/>
    <w:rsid w:val="00C93E8A"/>
    <w:rsid w:val="00CA1063"/>
    <w:rsid w:val="00CC4416"/>
    <w:rsid w:val="00CC5B2F"/>
    <w:rsid w:val="00CE7B83"/>
    <w:rsid w:val="00CF0D2B"/>
    <w:rsid w:val="00D021A5"/>
    <w:rsid w:val="00D159EB"/>
    <w:rsid w:val="00D16FC7"/>
    <w:rsid w:val="00D209DD"/>
    <w:rsid w:val="00D42E02"/>
    <w:rsid w:val="00D47231"/>
    <w:rsid w:val="00D6224B"/>
    <w:rsid w:val="00D674E7"/>
    <w:rsid w:val="00D81329"/>
    <w:rsid w:val="00D93691"/>
    <w:rsid w:val="00D96104"/>
    <w:rsid w:val="00DA635E"/>
    <w:rsid w:val="00DA6D37"/>
    <w:rsid w:val="00DB753F"/>
    <w:rsid w:val="00DC5D7D"/>
    <w:rsid w:val="00DE2F5A"/>
    <w:rsid w:val="00E118BA"/>
    <w:rsid w:val="00E16219"/>
    <w:rsid w:val="00E17429"/>
    <w:rsid w:val="00E56172"/>
    <w:rsid w:val="00E5636B"/>
    <w:rsid w:val="00E566C9"/>
    <w:rsid w:val="00E61C13"/>
    <w:rsid w:val="00E61DA9"/>
    <w:rsid w:val="00E92E04"/>
    <w:rsid w:val="00EA2FC3"/>
    <w:rsid w:val="00EB20A3"/>
    <w:rsid w:val="00ED1D6B"/>
    <w:rsid w:val="00ED3A35"/>
    <w:rsid w:val="00ED6E75"/>
    <w:rsid w:val="00F0627E"/>
    <w:rsid w:val="00F06962"/>
    <w:rsid w:val="00F24A04"/>
    <w:rsid w:val="00F35B0C"/>
    <w:rsid w:val="00F42ADB"/>
    <w:rsid w:val="00F7371C"/>
    <w:rsid w:val="00F86DDE"/>
    <w:rsid w:val="00F946B5"/>
    <w:rsid w:val="00FB6D42"/>
    <w:rsid w:val="00FB7EE1"/>
    <w:rsid w:val="00FD2FA4"/>
    <w:rsid w:val="00FE1391"/>
    <w:rsid w:val="00FE32FF"/>
    <w:rsid w:val="00FE3FBE"/>
    <w:rsid w:val="00FE4F02"/>
    <w:rsid w:val="00FE6761"/>
    <w:rsid w:val="00FF2A71"/>
    <w:rsid w:val="00FF62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052FC"/>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18FC-E868-414D-A792-A2EC4567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21</Pages>
  <Words>4316</Words>
  <Characters>23738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2022-09-14T17:58:00Z</dcterms:created>
  <dcterms:modified xsi:type="dcterms:W3CDTF">2022-10-18T15:10:00Z</dcterms:modified>
</cp:coreProperties>
</file>