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 fecha </w:t>
      </w:r>
      <w:r w:rsidRPr="00F62F4E">
        <w:rPr>
          <w:rFonts w:ascii="Palatino Linotype" w:eastAsia="Palatino Linotype" w:hAnsi="Palatino Linotype" w:cs="Palatino Linotype"/>
          <w:b/>
        </w:rPr>
        <w:t>doce de octubre del dos mil veintidós</w:t>
      </w:r>
      <w:r w:rsidRPr="00F62F4E">
        <w:rPr>
          <w:rFonts w:ascii="Palatino Linotype" w:eastAsia="Palatino Linotype" w:hAnsi="Palatino Linotype" w:cs="Palatino Linotype"/>
        </w:rPr>
        <w:t>.</w:t>
      </w:r>
    </w:p>
    <w:p w:rsidR="00446F68" w:rsidRPr="00F62F4E" w:rsidRDefault="00F434DD">
      <w:pPr>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b/>
        </w:rPr>
        <w:t>Visto</w:t>
      </w:r>
      <w:r w:rsidRPr="00F62F4E">
        <w:rPr>
          <w:rFonts w:ascii="Palatino Linotype" w:eastAsia="Palatino Linotype" w:hAnsi="Palatino Linotype" w:cs="Palatino Linotype"/>
        </w:rPr>
        <w:t xml:space="preserve"> el expediente formado con motivo del recurso de revisión </w:t>
      </w:r>
      <w:r w:rsidRPr="00F62F4E">
        <w:rPr>
          <w:rFonts w:ascii="Palatino Linotype" w:eastAsia="Palatino Linotype" w:hAnsi="Palatino Linotype" w:cs="Palatino Linotype"/>
          <w:b/>
        </w:rPr>
        <w:t>08444/INFOEM/IP/RR/2022</w:t>
      </w:r>
      <w:r w:rsidRPr="00F62F4E">
        <w:rPr>
          <w:rFonts w:ascii="Palatino Linotype" w:eastAsia="Palatino Linotype" w:hAnsi="Palatino Linotype" w:cs="Palatino Linotype"/>
        </w:rPr>
        <w:t>, interpuesto por el C.</w:t>
      </w:r>
      <w:r w:rsidR="000F56E3">
        <w:rPr>
          <w:rFonts w:ascii="Palatino Linotype" w:eastAsia="Palatino Linotype" w:hAnsi="Palatino Linotype" w:cs="Palatino Linotype"/>
          <w:b/>
        </w:rPr>
        <w:t xml:space="preserve"> XXXXXX XXXXXXXXX XXXXXX</w:t>
      </w:r>
      <w:r w:rsidRPr="00F62F4E">
        <w:rPr>
          <w:rFonts w:ascii="Palatino Linotype" w:eastAsia="Palatino Linotype" w:hAnsi="Palatino Linotype" w:cs="Palatino Linotype"/>
        </w:rPr>
        <w:t>,</w:t>
      </w:r>
      <w:r w:rsidRPr="00F62F4E">
        <w:rPr>
          <w:rFonts w:ascii="Palatino Linotype" w:eastAsia="Palatino Linotype" w:hAnsi="Palatino Linotype" w:cs="Palatino Linotype"/>
          <w:b/>
        </w:rPr>
        <w:t xml:space="preserve"> </w:t>
      </w:r>
      <w:r w:rsidRPr="00F62F4E">
        <w:rPr>
          <w:rFonts w:ascii="Palatino Linotype" w:eastAsia="Palatino Linotype" w:hAnsi="Palatino Linotype" w:cs="Palatino Linotype"/>
        </w:rPr>
        <w:t>en lo sucesivo</w:t>
      </w:r>
      <w:r w:rsidRPr="00F62F4E">
        <w:rPr>
          <w:rFonts w:ascii="Palatino Linotype" w:eastAsia="Palatino Linotype" w:hAnsi="Palatino Linotype" w:cs="Palatino Linotype"/>
          <w:b/>
        </w:rPr>
        <w:t xml:space="preserve"> </w:t>
      </w:r>
      <w:r w:rsidRPr="00F62F4E">
        <w:rPr>
          <w:rFonts w:ascii="Palatino Linotype" w:eastAsia="Palatino Linotype" w:hAnsi="Palatino Linotype" w:cs="Palatino Linotype"/>
        </w:rPr>
        <w:t xml:space="preserve">la parte </w:t>
      </w:r>
      <w:r w:rsidRPr="00F62F4E">
        <w:rPr>
          <w:rFonts w:ascii="Palatino Linotype" w:eastAsia="Palatino Linotype" w:hAnsi="Palatino Linotype" w:cs="Palatino Linotype"/>
          <w:b/>
        </w:rPr>
        <w:t>Recurrente,</w:t>
      </w:r>
      <w:r w:rsidRPr="00F62F4E">
        <w:rPr>
          <w:rFonts w:ascii="Palatino Linotype" w:eastAsia="Palatino Linotype" w:hAnsi="Palatino Linotype" w:cs="Palatino Linotype"/>
        </w:rPr>
        <w:t xml:space="preserve"> en contra de la respuesta del </w:t>
      </w:r>
      <w:r w:rsidRPr="00F62F4E">
        <w:rPr>
          <w:rFonts w:ascii="Palatino Linotype" w:eastAsia="Palatino Linotype" w:hAnsi="Palatino Linotype" w:cs="Palatino Linotype"/>
          <w:b/>
        </w:rPr>
        <w:t xml:space="preserve">Ayuntamiento de </w:t>
      </w:r>
      <w:proofErr w:type="spellStart"/>
      <w:r w:rsidRPr="00F62F4E">
        <w:rPr>
          <w:rFonts w:ascii="Palatino Linotype" w:eastAsia="Palatino Linotype" w:hAnsi="Palatino Linotype" w:cs="Palatino Linotype"/>
          <w:b/>
        </w:rPr>
        <w:t>Xonacatlán</w:t>
      </w:r>
      <w:proofErr w:type="spellEnd"/>
      <w:r w:rsidRPr="00F62F4E">
        <w:rPr>
          <w:rFonts w:ascii="Palatino Linotype" w:eastAsia="Palatino Linotype" w:hAnsi="Palatino Linotype" w:cs="Palatino Linotype"/>
          <w:b/>
        </w:rPr>
        <w:t xml:space="preserve">, </w:t>
      </w:r>
      <w:r w:rsidRPr="00F62F4E">
        <w:rPr>
          <w:rFonts w:ascii="Palatino Linotype" w:eastAsia="Palatino Linotype" w:hAnsi="Palatino Linotype" w:cs="Palatino Linotype"/>
        </w:rPr>
        <w:t xml:space="preserve">en lo sucesivo el </w:t>
      </w:r>
      <w:r w:rsidRPr="00F62F4E">
        <w:rPr>
          <w:rFonts w:ascii="Palatino Linotype" w:eastAsia="Palatino Linotype" w:hAnsi="Palatino Linotype" w:cs="Palatino Linotype"/>
          <w:b/>
        </w:rPr>
        <w:t xml:space="preserve">Sujeto Obligado, </w:t>
      </w:r>
      <w:r w:rsidRPr="00F62F4E">
        <w:rPr>
          <w:rFonts w:ascii="Palatino Linotype" w:eastAsia="Palatino Linotype" w:hAnsi="Palatino Linotype" w:cs="Palatino Linotype"/>
        </w:rPr>
        <w:t xml:space="preserve">se procede a dictar la presente resolución con base en los siguientes: </w:t>
      </w:r>
    </w:p>
    <w:p w:rsidR="00446F68" w:rsidRPr="00F62F4E" w:rsidRDefault="00F434DD">
      <w:pPr>
        <w:spacing w:before="240" w:after="240" w:line="360" w:lineRule="auto"/>
        <w:ind w:right="49"/>
        <w:jc w:val="center"/>
        <w:rPr>
          <w:rFonts w:ascii="Palatino Linotype" w:eastAsia="Palatino Linotype" w:hAnsi="Palatino Linotype" w:cs="Palatino Linotype"/>
          <w:b/>
          <w:sz w:val="28"/>
          <w:szCs w:val="28"/>
        </w:rPr>
      </w:pPr>
      <w:r w:rsidRPr="00F62F4E">
        <w:rPr>
          <w:rFonts w:ascii="Palatino Linotype" w:eastAsia="Palatino Linotype" w:hAnsi="Palatino Linotype" w:cs="Palatino Linotype"/>
          <w:b/>
        </w:rPr>
        <w:t>I. A N T E C E D E N T E S</w:t>
      </w:r>
    </w:p>
    <w:p w:rsidR="00446F68" w:rsidRPr="00F62F4E" w:rsidRDefault="00F434DD">
      <w:pPr>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b/>
        </w:rPr>
        <w:t>1. Solicitud de acceso a la información.</w:t>
      </w:r>
      <w:r w:rsidRPr="00F62F4E">
        <w:rPr>
          <w:rFonts w:ascii="Palatino Linotype" w:eastAsia="Palatino Linotype" w:hAnsi="Palatino Linotype" w:cs="Palatino Linotype"/>
        </w:rPr>
        <w:t xml:space="preserve"> En fecha </w:t>
      </w:r>
      <w:r w:rsidRPr="00F62F4E">
        <w:rPr>
          <w:rFonts w:ascii="Palatino Linotype" w:eastAsia="Palatino Linotype" w:hAnsi="Palatino Linotype" w:cs="Palatino Linotype"/>
          <w:b/>
        </w:rPr>
        <w:t xml:space="preserve">uno de abril de dos mil veintidós, </w:t>
      </w:r>
      <w:r w:rsidRPr="00F62F4E">
        <w:rPr>
          <w:rFonts w:ascii="Palatino Linotype" w:eastAsia="Palatino Linotype" w:hAnsi="Palatino Linotype" w:cs="Palatino Linotype"/>
        </w:rPr>
        <w:t>la parte</w:t>
      </w:r>
      <w:r w:rsidRPr="00F62F4E">
        <w:rPr>
          <w:rFonts w:ascii="Palatino Linotype" w:eastAsia="Palatino Linotype" w:hAnsi="Palatino Linotype" w:cs="Palatino Linotype"/>
          <w:b/>
        </w:rPr>
        <w:t xml:space="preserve"> Recurrente</w:t>
      </w:r>
      <w:r w:rsidRPr="00F62F4E">
        <w:rPr>
          <w:rFonts w:ascii="Palatino Linotype" w:eastAsia="Palatino Linotype" w:hAnsi="Palatino Linotype" w:cs="Palatino Linotype"/>
        </w:rPr>
        <w:t xml:space="preserve"> presentó a través del Sistema de Acceso a la Información Mexiquense, en lo subsecuente el </w:t>
      </w:r>
      <w:r w:rsidRPr="00F62F4E">
        <w:rPr>
          <w:rFonts w:ascii="Palatino Linotype" w:eastAsia="Palatino Linotype" w:hAnsi="Palatino Linotype" w:cs="Palatino Linotype"/>
          <w:b/>
        </w:rPr>
        <w:t>SAIMEX</w:t>
      </w:r>
      <w:r w:rsidRPr="00F62F4E">
        <w:rPr>
          <w:rFonts w:ascii="Palatino Linotype" w:eastAsia="Palatino Linotype" w:hAnsi="Palatino Linotype" w:cs="Palatino Linotype"/>
        </w:rPr>
        <w:t xml:space="preserve"> ante 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la solicitud de acceso a la información pública, a la que se le asignó el número</w:t>
      </w:r>
      <w:r w:rsidRPr="00F62F4E">
        <w:rPr>
          <w:rFonts w:ascii="Palatino Linotype" w:eastAsia="Palatino Linotype" w:hAnsi="Palatino Linotype" w:cs="Palatino Linotype"/>
          <w:b/>
        </w:rPr>
        <w:t xml:space="preserve">  00103/XONACAT/IP/2022, </w:t>
      </w:r>
      <w:r w:rsidRPr="00F62F4E">
        <w:rPr>
          <w:rFonts w:ascii="Palatino Linotype" w:eastAsia="Palatino Linotype" w:hAnsi="Palatino Linotype" w:cs="Palatino Linotype"/>
        </w:rPr>
        <w:t xml:space="preserve">mediante la cual requirió la información siguiente: </w:t>
      </w:r>
    </w:p>
    <w:p w:rsidR="00446F68" w:rsidRPr="00F62F4E" w:rsidRDefault="00F434DD">
      <w:pPr>
        <w:spacing w:before="240" w:after="240" w:line="276" w:lineRule="auto"/>
        <w:ind w:left="567" w:right="900"/>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i/>
          <w:sz w:val="22"/>
          <w:szCs w:val="22"/>
        </w:rPr>
        <w:t xml:space="preserve"> “Solicito a Ustedes respetuosamente me proporcionen copia del </w:t>
      </w:r>
      <w:r w:rsidRPr="00F62F4E">
        <w:rPr>
          <w:rFonts w:ascii="Palatino Linotype" w:eastAsia="Palatino Linotype" w:hAnsi="Palatino Linotype" w:cs="Palatino Linotype"/>
          <w:b/>
          <w:i/>
          <w:sz w:val="22"/>
          <w:szCs w:val="22"/>
          <w:u w:val="single"/>
        </w:rPr>
        <w:t xml:space="preserve">PLAN ANUAL DE OBRAS 2022 </w:t>
      </w:r>
      <w:r w:rsidRPr="00F62F4E">
        <w:rPr>
          <w:rFonts w:ascii="Palatino Linotype" w:eastAsia="Palatino Linotype" w:hAnsi="Palatino Linotype" w:cs="Palatino Linotype"/>
          <w:i/>
          <w:sz w:val="22"/>
          <w:szCs w:val="22"/>
        </w:rPr>
        <w:t>aprobado en la OCTAVA SESION EXTRAORDINARIA DE CABILDO celebrada en fecha 31 de marzo de 2022. (Sic)</w:t>
      </w:r>
    </w:p>
    <w:p w:rsidR="00446F68" w:rsidRPr="00F62F4E" w:rsidRDefault="00F434DD">
      <w:pPr>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b/>
        </w:rPr>
        <w:t>Modalidad de Entrega de la información:</w:t>
      </w:r>
      <w:r w:rsidRPr="00F62F4E">
        <w:rPr>
          <w:rFonts w:ascii="Palatino Linotype" w:eastAsia="Palatino Linotype" w:hAnsi="Palatino Linotype" w:cs="Palatino Linotype"/>
        </w:rPr>
        <w:t xml:space="preserve"> Copias simples con costo </w:t>
      </w:r>
    </w:p>
    <w:p w:rsidR="00446F68" w:rsidRPr="00F62F4E" w:rsidRDefault="00F434DD">
      <w:pPr>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b/>
        </w:rPr>
        <w:lastRenderedPageBreak/>
        <w:t xml:space="preserve">2. Respuesta a la solicitud de información. </w:t>
      </w:r>
      <w:r w:rsidRPr="00F62F4E">
        <w:rPr>
          <w:rFonts w:ascii="Palatino Linotype" w:eastAsia="Palatino Linotype" w:hAnsi="Palatino Linotype" w:cs="Palatino Linotype"/>
        </w:rPr>
        <w:t>En fecha</w:t>
      </w:r>
      <w:r w:rsidRPr="00F62F4E">
        <w:rPr>
          <w:rFonts w:ascii="Palatino Linotype" w:eastAsia="Palatino Linotype" w:hAnsi="Palatino Linotype" w:cs="Palatino Linotype"/>
          <w:b/>
        </w:rPr>
        <w:t xml:space="preserve"> veintiocho de abril de dos mil veintidós</w:t>
      </w:r>
      <w:r w:rsidRPr="00F62F4E">
        <w:rPr>
          <w:rFonts w:ascii="Palatino Linotype" w:eastAsia="Palatino Linotype" w:hAnsi="Palatino Linotype" w:cs="Palatino Linotype"/>
        </w:rPr>
        <w:t xml:space="preserve">, el </w:t>
      </w:r>
      <w:r w:rsidRPr="00F62F4E">
        <w:rPr>
          <w:rFonts w:ascii="Palatino Linotype" w:eastAsia="Palatino Linotype" w:hAnsi="Palatino Linotype" w:cs="Palatino Linotype"/>
          <w:b/>
        </w:rPr>
        <w:t xml:space="preserve">Sujeto Obligado </w:t>
      </w:r>
      <w:r w:rsidRPr="00F62F4E">
        <w:rPr>
          <w:rFonts w:ascii="Palatino Linotype" w:eastAsia="Palatino Linotype" w:hAnsi="Palatino Linotype" w:cs="Palatino Linotype"/>
        </w:rPr>
        <w:t xml:space="preserve">a través del SAIMEX notificó la respuesta a la solicitud de información sustancialmente en los siguientes términos: </w:t>
      </w:r>
    </w:p>
    <w:p w:rsidR="00446F68" w:rsidRPr="00F62F4E" w:rsidRDefault="00F434DD">
      <w:pPr>
        <w:spacing w:before="240" w:after="240" w:line="276" w:lineRule="auto"/>
        <w:ind w:left="567"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446F68" w:rsidRPr="00F62F4E" w:rsidRDefault="00F434DD">
      <w:pPr>
        <w:spacing w:before="240" w:after="240" w:line="276" w:lineRule="auto"/>
        <w:ind w:left="567"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Se da respuesta a la solicitud con el oficio con número de folio MXON/DOP/208/04/2020 signado por el C. </w:t>
      </w:r>
      <w:proofErr w:type="spellStart"/>
      <w:r w:rsidRPr="00F62F4E">
        <w:rPr>
          <w:rFonts w:ascii="Palatino Linotype" w:eastAsia="Palatino Linotype" w:hAnsi="Palatino Linotype" w:cs="Palatino Linotype"/>
          <w:i/>
          <w:sz w:val="22"/>
          <w:szCs w:val="22"/>
        </w:rPr>
        <w:t>Mizraim</w:t>
      </w:r>
      <w:proofErr w:type="spellEnd"/>
      <w:r w:rsidRPr="00F62F4E">
        <w:rPr>
          <w:rFonts w:ascii="Palatino Linotype" w:eastAsia="Palatino Linotype" w:hAnsi="Palatino Linotype" w:cs="Palatino Linotype"/>
          <w:i/>
          <w:sz w:val="22"/>
          <w:szCs w:val="22"/>
        </w:rPr>
        <w:t xml:space="preserve"> Dionisio Cortés Eduardo, Director de Obras Públicas, acta e información reservada.</w:t>
      </w:r>
    </w:p>
    <w:p w:rsidR="00446F68" w:rsidRPr="00F62F4E" w:rsidRDefault="00F434DD">
      <w:pPr>
        <w:spacing w:before="240" w:after="240" w:line="276" w:lineRule="auto"/>
        <w:ind w:left="567"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ATENTAMENTE</w:t>
      </w:r>
    </w:p>
    <w:p w:rsidR="00446F68" w:rsidRPr="00F62F4E" w:rsidRDefault="00F434DD">
      <w:pPr>
        <w:spacing w:before="240" w:after="240" w:line="276" w:lineRule="auto"/>
        <w:ind w:left="567"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P.L.L </w:t>
      </w:r>
      <w:proofErr w:type="spellStart"/>
      <w:r w:rsidRPr="00F62F4E">
        <w:rPr>
          <w:rFonts w:ascii="Palatino Linotype" w:eastAsia="Palatino Linotype" w:hAnsi="Palatino Linotype" w:cs="Palatino Linotype"/>
          <w:i/>
          <w:sz w:val="22"/>
          <w:szCs w:val="22"/>
        </w:rPr>
        <w:t>Nadab</w:t>
      </w:r>
      <w:proofErr w:type="spellEnd"/>
      <w:r w:rsidRPr="00F62F4E">
        <w:rPr>
          <w:rFonts w:ascii="Palatino Linotype" w:eastAsia="Palatino Linotype" w:hAnsi="Palatino Linotype" w:cs="Palatino Linotype"/>
          <w:i/>
          <w:sz w:val="22"/>
          <w:szCs w:val="22"/>
        </w:rPr>
        <w:t xml:space="preserve"> Arenas Sosa”</w:t>
      </w:r>
    </w:p>
    <w:p w:rsidR="00446F68" w:rsidRPr="00F62F4E" w:rsidRDefault="00F434DD">
      <w:pPr>
        <w:spacing w:before="240" w:after="240" w:line="360" w:lineRule="auto"/>
        <w:jc w:val="both"/>
        <w:rPr>
          <w:rFonts w:ascii="Palatino Linotype" w:eastAsia="Palatino Linotype" w:hAnsi="Palatino Linotype" w:cs="Palatino Linotype"/>
          <w:b/>
        </w:rPr>
      </w:pPr>
      <w:r w:rsidRPr="00F62F4E">
        <w:rPr>
          <w:rFonts w:ascii="Palatino Linotype" w:eastAsia="Palatino Linotype" w:hAnsi="Palatino Linotype" w:cs="Palatino Linotype"/>
        </w:rPr>
        <w:t xml:space="preserve">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adjuntó a su respuesta tres archivos electrónicos siguientes:</w:t>
      </w:r>
      <w:r w:rsidRPr="00F62F4E">
        <w:rPr>
          <w:rFonts w:ascii="Palatino Linotype" w:eastAsia="Palatino Linotype" w:hAnsi="Palatino Linotype" w:cs="Palatino Linotype"/>
          <w:b/>
        </w:rPr>
        <w:t xml:space="preserve"> </w:t>
      </w:r>
    </w:p>
    <w:p w:rsidR="00446F68" w:rsidRPr="00F62F4E" w:rsidRDefault="00F434DD">
      <w:pPr>
        <w:numPr>
          <w:ilvl w:val="0"/>
          <w:numId w:val="3"/>
        </w:numPr>
        <w:pBdr>
          <w:top w:val="nil"/>
          <w:left w:val="nil"/>
          <w:bottom w:val="nil"/>
          <w:right w:val="nil"/>
          <w:between w:val="nil"/>
        </w:pBdr>
        <w:spacing w:before="240" w:after="240" w:line="360" w:lineRule="auto"/>
        <w:ind w:right="900"/>
        <w:jc w:val="both"/>
        <w:rPr>
          <w:rFonts w:ascii="Palatino Linotype" w:eastAsia="Palatino Linotype" w:hAnsi="Palatino Linotype" w:cs="Palatino Linotype"/>
          <w:i/>
        </w:rPr>
      </w:pPr>
      <w:r w:rsidRPr="00F62F4E">
        <w:rPr>
          <w:rFonts w:ascii="Palatino Linotype" w:eastAsia="Palatino Linotype" w:hAnsi="Palatino Linotype" w:cs="Palatino Linotype"/>
          <w:b/>
          <w:i/>
        </w:rPr>
        <w:t xml:space="preserve">respuesta 103.pdf, </w:t>
      </w:r>
      <w:r w:rsidRPr="00F62F4E">
        <w:rPr>
          <w:rFonts w:ascii="Palatino Linotype" w:eastAsia="Palatino Linotype" w:hAnsi="Palatino Linotype" w:cs="Palatino Linotype"/>
        </w:rPr>
        <w:t>Oficio número XON/SA/188/2022 de fecha cuatro de abril de dos mil veintidós, suscrito y signado por el Secretario del Ayuntamiento, mediante el cual remite, el Plan Anual de Obras 2022, en versión pública, testando el monto asignado, como se muestra a continuación</w:t>
      </w:r>
      <w:r w:rsidRPr="00F62F4E">
        <w:rPr>
          <w:rFonts w:ascii="Palatino Linotype" w:eastAsia="Palatino Linotype" w:hAnsi="Palatino Linotype" w:cs="Palatino Linotype"/>
          <w:i/>
        </w:rPr>
        <w:t>:</w:t>
      </w:r>
    </w:p>
    <w:p w:rsidR="00446F68" w:rsidRPr="00F62F4E" w:rsidRDefault="00F434DD">
      <w:pPr>
        <w:pBdr>
          <w:top w:val="nil"/>
          <w:left w:val="nil"/>
          <w:bottom w:val="nil"/>
          <w:right w:val="nil"/>
          <w:between w:val="nil"/>
        </w:pBdr>
        <w:tabs>
          <w:tab w:val="left" w:pos="1134"/>
        </w:tabs>
        <w:spacing w:before="240" w:after="240" w:line="360" w:lineRule="auto"/>
        <w:jc w:val="center"/>
        <w:rPr>
          <w:rFonts w:ascii="Palatino Linotype" w:eastAsia="Palatino Linotype" w:hAnsi="Palatino Linotype" w:cs="Palatino Linotype"/>
          <w:i/>
        </w:rPr>
      </w:pPr>
      <w:r w:rsidRPr="00F62F4E">
        <w:rPr>
          <w:noProof/>
          <w:lang w:val="es-MX"/>
        </w:rPr>
        <w:lastRenderedPageBreak/>
        <w:drawing>
          <wp:inline distT="0" distB="0" distL="0" distR="0">
            <wp:extent cx="4836180" cy="6629478"/>
            <wp:effectExtent l="0" t="0" r="0" b="0"/>
            <wp:docPr id="4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l="25430" t="17901" r="44053" b="11103"/>
                    <a:stretch>
                      <a:fillRect/>
                    </a:stretch>
                  </pic:blipFill>
                  <pic:spPr>
                    <a:xfrm>
                      <a:off x="0" y="0"/>
                      <a:ext cx="4836180" cy="6629478"/>
                    </a:xfrm>
                    <a:prstGeom prst="rect">
                      <a:avLst/>
                    </a:prstGeom>
                    <a:ln/>
                  </pic:spPr>
                </pic:pic>
              </a:graphicData>
            </a:graphic>
          </wp:inline>
        </w:drawing>
      </w:r>
    </w:p>
    <w:p w:rsidR="00446F68" w:rsidRPr="00F62F4E" w:rsidRDefault="00446F68">
      <w:pPr>
        <w:spacing w:before="240" w:after="240" w:line="360" w:lineRule="auto"/>
        <w:ind w:right="900"/>
        <w:jc w:val="both"/>
        <w:rPr>
          <w:rFonts w:ascii="Palatino Linotype" w:eastAsia="Palatino Linotype" w:hAnsi="Palatino Linotype" w:cs="Palatino Linotype"/>
          <w:i/>
        </w:rPr>
      </w:pPr>
    </w:p>
    <w:p w:rsidR="00446F68" w:rsidRPr="00F62F4E" w:rsidRDefault="00F434DD">
      <w:pPr>
        <w:numPr>
          <w:ilvl w:val="0"/>
          <w:numId w:val="3"/>
        </w:numPr>
        <w:pBdr>
          <w:top w:val="nil"/>
          <w:left w:val="nil"/>
          <w:bottom w:val="nil"/>
          <w:right w:val="nil"/>
          <w:between w:val="nil"/>
        </w:pBdr>
        <w:spacing w:before="240" w:after="240" w:line="360" w:lineRule="auto"/>
        <w:ind w:right="900"/>
        <w:jc w:val="both"/>
        <w:rPr>
          <w:rFonts w:ascii="Palatino Linotype" w:eastAsia="Palatino Linotype" w:hAnsi="Palatino Linotype" w:cs="Palatino Linotype"/>
          <w:b/>
          <w:i/>
        </w:rPr>
      </w:pPr>
      <w:r w:rsidRPr="00F62F4E">
        <w:rPr>
          <w:rFonts w:ascii="Palatino Linotype" w:eastAsia="Palatino Linotype" w:hAnsi="Palatino Linotype" w:cs="Palatino Linotype"/>
          <w:b/>
          <w:i/>
        </w:rPr>
        <w:lastRenderedPageBreak/>
        <w:t xml:space="preserve">prueba de daño 103.pdf,  </w:t>
      </w:r>
      <w:r w:rsidRPr="00F62F4E">
        <w:rPr>
          <w:rFonts w:ascii="Palatino Linotype" w:eastAsia="Palatino Linotype" w:hAnsi="Palatino Linotype" w:cs="Palatino Linotype"/>
        </w:rPr>
        <w:t>Oficio número MXON/DOP/208/04/2020, de fecha ocho de abril de dos mil veintidós, suscrito y signado por el Director de Obras Públicas, mediante el cual, solicita se someta a consideración del Comité de Transparencia, la reserva parcial y temporal de información correspondiente al monto asignado a cada obra o acción, señalando lo siguiente:</w:t>
      </w:r>
    </w:p>
    <w:p w:rsidR="00446F68" w:rsidRPr="00F62F4E" w:rsidRDefault="00446F68">
      <w:pPr>
        <w:pBdr>
          <w:top w:val="nil"/>
          <w:left w:val="nil"/>
          <w:bottom w:val="nil"/>
          <w:right w:val="nil"/>
          <w:between w:val="nil"/>
        </w:pBdr>
        <w:spacing w:before="240" w:after="240" w:line="360" w:lineRule="auto"/>
        <w:ind w:left="1287" w:right="900"/>
        <w:jc w:val="both"/>
        <w:rPr>
          <w:rFonts w:ascii="Palatino Linotype" w:eastAsia="Palatino Linotype" w:hAnsi="Palatino Linotype" w:cs="Palatino Linotype"/>
          <w:b/>
          <w:i/>
        </w:rPr>
      </w:pPr>
    </w:p>
    <w:p w:rsidR="00446F68" w:rsidRPr="00F62F4E" w:rsidRDefault="00F434DD">
      <w:pPr>
        <w:spacing w:before="240" w:after="240" w:line="360" w:lineRule="auto"/>
        <w:rPr>
          <w:rFonts w:ascii="Palatino Linotype" w:eastAsia="Palatino Linotype" w:hAnsi="Palatino Linotype" w:cs="Palatino Linotype"/>
          <w:b/>
          <w:i/>
        </w:rPr>
      </w:pPr>
      <w:r w:rsidRPr="00F62F4E">
        <w:rPr>
          <w:noProof/>
          <w:lang w:val="es-MX"/>
        </w:rPr>
        <w:drawing>
          <wp:inline distT="0" distB="0" distL="0" distR="0">
            <wp:extent cx="5398378" cy="3190067"/>
            <wp:effectExtent l="0" t="0" r="0" b="0"/>
            <wp:docPr id="4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l="22699" t="38532" r="47263" b="36590"/>
                    <a:stretch>
                      <a:fillRect/>
                    </a:stretch>
                  </pic:blipFill>
                  <pic:spPr>
                    <a:xfrm>
                      <a:off x="0" y="0"/>
                      <a:ext cx="5398378" cy="3190067"/>
                    </a:xfrm>
                    <a:prstGeom prst="rect">
                      <a:avLst/>
                    </a:prstGeom>
                    <a:ln/>
                  </pic:spPr>
                </pic:pic>
              </a:graphicData>
            </a:graphic>
          </wp:inline>
        </w:drawing>
      </w:r>
    </w:p>
    <w:p w:rsidR="00446F68" w:rsidRPr="00F62F4E" w:rsidRDefault="00F434DD">
      <w:pPr>
        <w:spacing w:before="240" w:after="240" w:line="360" w:lineRule="auto"/>
        <w:ind w:left="567" w:right="900"/>
        <w:jc w:val="both"/>
        <w:rPr>
          <w:rFonts w:ascii="Palatino Linotype" w:eastAsia="Palatino Linotype" w:hAnsi="Palatino Linotype" w:cs="Palatino Linotype"/>
          <w:b/>
          <w:i/>
        </w:rPr>
      </w:pPr>
      <w:r w:rsidRPr="00F62F4E">
        <w:rPr>
          <w:noProof/>
          <w:lang w:val="es-MX"/>
        </w:rPr>
        <w:lastRenderedPageBreak/>
        <w:drawing>
          <wp:inline distT="0" distB="0" distL="0" distR="0">
            <wp:extent cx="5180749" cy="6445816"/>
            <wp:effectExtent l="0" t="0" r="0" b="0"/>
            <wp:docPr id="4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l="23213" t="20935" r="47432" b="14138"/>
                    <a:stretch>
                      <a:fillRect/>
                    </a:stretch>
                  </pic:blipFill>
                  <pic:spPr>
                    <a:xfrm>
                      <a:off x="0" y="0"/>
                      <a:ext cx="5180749" cy="6445816"/>
                    </a:xfrm>
                    <a:prstGeom prst="rect">
                      <a:avLst/>
                    </a:prstGeom>
                    <a:ln/>
                  </pic:spPr>
                </pic:pic>
              </a:graphicData>
            </a:graphic>
          </wp:inline>
        </w:drawing>
      </w:r>
    </w:p>
    <w:p w:rsidR="00446F68" w:rsidRPr="00F62F4E" w:rsidRDefault="00446F68">
      <w:pPr>
        <w:spacing w:before="240" w:after="240" w:line="360" w:lineRule="auto"/>
        <w:ind w:left="567" w:right="900"/>
        <w:jc w:val="both"/>
        <w:rPr>
          <w:rFonts w:ascii="Palatino Linotype" w:eastAsia="Palatino Linotype" w:hAnsi="Palatino Linotype" w:cs="Palatino Linotype"/>
          <w:b/>
          <w:i/>
        </w:rPr>
      </w:pPr>
    </w:p>
    <w:p w:rsidR="00446F68" w:rsidRPr="00F62F4E" w:rsidRDefault="00F434DD">
      <w:pPr>
        <w:spacing w:before="240" w:after="240" w:line="360" w:lineRule="auto"/>
        <w:ind w:left="567" w:right="900"/>
        <w:jc w:val="both"/>
        <w:rPr>
          <w:rFonts w:ascii="Palatino Linotype" w:eastAsia="Palatino Linotype" w:hAnsi="Palatino Linotype" w:cs="Palatino Linotype"/>
          <w:b/>
          <w:i/>
        </w:rPr>
      </w:pPr>
      <w:r w:rsidRPr="00F62F4E">
        <w:rPr>
          <w:noProof/>
          <w:lang w:val="es-MX"/>
        </w:rPr>
        <w:lastRenderedPageBreak/>
        <w:drawing>
          <wp:inline distT="0" distB="0" distL="0" distR="0">
            <wp:extent cx="5358702" cy="6660534"/>
            <wp:effectExtent l="0" t="0" r="0" b="0"/>
            <wp:docPr id="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l="22699" t="17293" r="47092" b="15960"/>
                    <a:stretch>
                      <a:fillRect/>
                    </a:stretch>
                  </pic:blipFill>
                  <pic:spPr>
                    <a:xfrm>
                      <a:off x="0" y="0"/>
                      <a:ext cx="5358702" cy="6660534"/>
                    </a:xfrm>
                    <a:prstGeom prst="rect">
                      <a:avLst/>
                    </a:prstGeom>
                    <a:ln/>
                  </pic:spPr>
                </pic:pic>
              </a:graphicData>
            </a:graphic>
          </wp:inline>
        </w:drawing>
      </w:r>
    </w:p>
    <w:p w:rsidR="00446F68" w:rsidRPr="00F62F4E" w:rsidRDefault="00F434DD">
      <w:pPr>
        <w:spacing w:before="240" w:after="240" w:line="360" w:lineRule="auto"/>
        <w:ind w:left="567" w:right="900"/>
        <w:jc w:val="both"/>
        <w:rPr>
          <w:rFonts w:ascii="Palatino Linotype" w:eastAsia="Palatino Linotype" w:hAnsi="Palatino Linotype" w:cs="Palatino Linotype"/>
          <w:b/>
          <w:i/>
        </w:rPr>
      </w:pPr>
      <w:r w:rsidRPr="00F62F4E">
        <w:rPr>
          <w:noProof/>
          <w:lang w:val="es-MX"/>
        </w:rPr>
        <w:lastRenderedPageBreak/>
        <w:drawing>
          <wp:inline distT="0" distB="0" distL="0" distR="0">
            <wp:extent cx="5425417" cy="6650498"/>
            <wp:effectExtent l="0" t="0" r="0" b="0"/>
            <wp:docPr id="4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a:srcRect l="22659" t="17925" r="47304" b="16620"/>
                    <a:stretch>
                      <a:fillRect/>
                    </a:stretch>
                  </pic:blipFill>
                  <pic:spPr>
                    <a:xfrm>
                      <a:off x="0" y="0"/>
                      <a:ext cx="5425417" cy="6650498"/>
                    </a:xfrm>
                    <a:prstGeom prst="rect">
                      <a:avLst/>
                    </a:prstGeom>
                    <a:ln/>
                  </pic:spPr>
                </pic:pic>
              </a:graphicData>
            </a:graphic>
          </wp:inline>
        </w:drawing>
      </w:r>
    </w:p>
    <w:p w:rsidR="00446F68" w:rsidRPr="00F62F4E" w:rsidRDefault="00F434DD">
      <w:pPr>
        <w:spacing w:before="240" w:after="240" w:line="360" w:lineRule="auto"/>
        <w:ind w:left="567" w:right="900"/>
        <w:jc w:val="both"/>
        <w:rPr>
          <w:rFonts w:ascii="Palatino Linotype" w:eastAsia="Palatino Linotype" w:hAnsi="Palatino Linotype" w:cs="Palatino Linotype"/>
          <w:b/>
          <w:i/>
        </w:rPr>
      </w:pPr>
      <w:r w:rsidRPr="00F62F4E">
        <w:rPr>
          <w:noProof/>
          <w:lang w:val="es-MX"/>
        </w:rPr>
        <w:lastRenderedPageBreak/>
        <w:drawing>
          <wp:inline distT="0" distB="0" distL="0" distR="0">
            <wp:extent cx="5522710" cy="5621920"/>
            <wp:effectExtent l="0" t="0" r="0" b="0"/>
            <wp:docPr id="4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l="23380" t="22755" r="48117" b="25666"/>
                    <a:stretch>
                      <a:fillRect/>
                    </a:stretch>
                  </pic:blipFill>
                  <pic:spPr>
                    <a:xfrm>
                      <a:off x="0" y="0"/>
                      <a:ext cx="5522710" cy="5621920"/>
                    </a:xfrm>
                    <a:prstGeom prst="rect">
                      <a:avLst/>
                    </a:prstGeom>
                    <a:ln/>
                  </pic:spPr>
                </pic:pic>
              </a:graphicData>
            </a:graphic>
          </wp:inline>
        </w:drawing>
      </w:r>
    </w:p>
    <w:p w:rsidR="00446F68" w:rsidRPr="00F62F4E" w:rsidRDefault="00F434DD">
      <w:pPr>
        <w:numPr>
          <w:ilvl w:val="0"/>
          <w:numId w:val="3"/>
        </w:numPr>
        <w:pBdr>
          <w:top w:val="nil"/>
          <w:left w:val="nil"/>
          <w:bottom w:val="nil"/>
          <w:right w:val="nil"/>
          <w:between w:val="nil"/>
        </w:pBdr>
        <w:spacing w:before="240" w:after="240" w:line="360" w:lineRule="auto"/>
        <w:ind w:right="900"/>
        <w:jc w:val="both"/>
        <w:rPr>
          <w:rFonts w:ascii="Palatino Linotype" w:eastAsia="Palatino Linotype" w:hAnsi="Palatino Linotype" w:cs="Palatino Linotype"/>
        </w:rPr>
      </w:pPr>
      <w:r w:rsidRPr="00F62F4E">
        <w:rPr>
          <w:rFonts w:ascii="Palatino Linotype" w:eastAsia="Palatino Linotype" w:hAnsi="Palatino Linotype" w:cs="Palatino Linotype"/>
          <w:b/>
          <w:i/>
        </w:rPr>
        <w:t xml:space="preserve">acta act_utext_003_2022.pdf, </w:t>
      </w:r>
      <w:r w:rsidRPr="00F62F4E">
        <w:rPr>
          <w:rFonts w:ascii="Palatino Linotype" w:eastAsia="Palatino Linotype" w:hAnsi="Palatino Linotype" w:cs="Palatino Linotype"/>
        </w:rPr>
        <w:t>Acta de la Tercera Sesión Extraordinaria del Comité de Transparencia del veintiuno de abril de dos mil veintidós, mediante el cual, presentan y aprueban la clasificación de la información reservada, destacando lo siguiente:</w:t>
      </w:r>
    </w:p>
    <w:p w:rsidR="00446F68" w:rsidRPr="00F62F4E" w:rsidRDefault="00F434DD">
      <w:pPr>
        <w:spacing w:before="240" w:after="240" w:line="360" w:lineRule="auto"/>
        <w:ind w:left="567" w:right="900"/>
        <w:jc w:val="both"/>
        <w:rPr>
          <w:rFonts w:ascii="Palatino Linotype" w:eastAsia="Palatino Linotype" w:hAnsi="Palatino Linotype" w:cs="Palatino Linotype"/>
          <w:b/>
          <w:i/>
        </w:rPr>
      </w:pPr>
      <w:r w:rsidRPr="00F62F4E">
        <w:rPr>
          <w:noProof/>
          <w:lang w:val="es-MX"/>
        </w:rPr>
        <w:lastRenderedPageBreak/>
        <w:drawing>
          <wp:inline distT="0" distB="0" distL="0" distR="0">
            <wp:extent cx="5179945" cy="3057017"/>
            <wp:effectExtent l="0" t="0" r="0" b="0"/>
            <wp:docPr id="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l="25258" t="37015" r="43509" b="30217"/>
                    <a:stretch>
                      <a:fillRect/>
                    </a:stretch>
                  </pic:blipFill>
                  <pic:spPr>
                    <a:xfrm>
                      <a:off x="0" y="0"/>
                      <a:ext cx="5179945" cy="3057017"/>
                    </a:xfrm>
                    <a:prstGeom prst="rect">
                      <a:avLst/>
                    </a:prstGeom>
                    <a:ln/>
                  </pic:spPr>
                </pic:pic>
              </a:graphicData>
            </a:graphic>
          </wp:inline>
        </w:drawing>
      </w:r>
    </w:p>
    <w:p w:rsidR="00446F68" w:rsidRPr="00F62F4E" w:rsidRDefault="00F434DD">
      <w:pPr>
        <w:spacing w:before="240" w:after="240" w:line="360" w:lineRule="auto"/>
        <w:jc w:val="both"/>
        <w:rPr>
          <w:rFonts w:ascii="Palatino Linotype" w:eastAsia="Palatino Linotype" w:hAnsi="Palatino Linotype" w:cs="Palatino Linotype"/>
          <w:b/>
          <w:i/>
        </w:rPr>
      </w:pPr>
      <w:r w:rsidRPr="00F62F4E">
        <w:rPr>
          <w:rFonts w:ascii="Palatino Linotype" w:eastAsia="Palatino Linotype" w:hAnsi="Palatino Linotype" w:cs="Palatino Linotype"/>
          <w:b/>
        </w:rPr>
        <w:t xml:space="preserve">3. Interposición del recurso de revisión. </w:t>
      </w:r>
      <w:r w:rsidRPr="00F62F4E">
        <w:rPr>
          <w:rFonts w:ascii="Palatino Linotype" w:eastAsia="Palatino Linotype" w:hAnsi="Palatino Linotype" w:cs="Palatino Linotype"/>
        </w:rPr>
        <w:t xml:space="preserve">Inconforme con la respuesta, </w:t>
      </w:r>
      <w:r w:rsidRPr="00F62F4E">
        <w:rPr>
          <w:rFonts w:ascii="Palatino Linotype" w:eastAsia="Palatino Linotype" w:hAnsi="Palatino Linotype" w:cs="Palatino Linotype"/>
          <w:b/>
        </w:rPr>
        <w:t>la parte Recurrente</w:t>
      </w:r>
      <w:r w:rsidRPr="00F62F4E">
        <w:rPr>
          <w:rFonts w:ascii="Palatino Linotype" w:eastAsia="Palatino Linotype" w:hAnsi="Palatino Linotype" w:cs="Palatino Linotype"/>
        </w:rPr>
        <w:t xml:space="preserve"> interpuso el recurso de revisión materia del presente estudio el día </w:t>
      </w:r>
      <w:r w:rsidRPr="00F62F4E">
        <w:rPr>
          <w:rFonts w:ascii="Palatino Linotype" w:eastAsia="Palatino Linotype" w:hAnsi="Palatino Linotype" w:cs="Palatino Linotype"/>
          <w:b/>
        </w:rPr>
        <w:t>dieciocho de mayo de dos mil veintidós</w:t>
      </w:r>
      <w:r w:rsidRPr="00F62F4E">
        <w:rPr>
          <w:rFonts w:ascii="Palatino Linotype" w:eastAsia="Palatino Linotype" w:hAnsi="Palatino Linotype" w:cs="Palatino Linotype"/>
        </w:rPr>
        <w:t>,</w:t>
      </w:r>
      <w:r w:rsidRPr="00F62F4E">
        <w:rPr>
          <w:rFonts w:ascii="Palatino Linotype" w:eastAsia="Palatino Linotype" w:hAnsi="Palatino Linotype" w:cs="Palatino Linotype"/>
          <w:b/>
        </w:rPr>
        <w:t xml:space="preserve"> </w:t>
      </w:r>
      <w:r w:rsidRPr="00F62F4E">
        <w:rPr>
          <w:rFonts w:ascii="Palatino Linotype" w:eastAsia="Palatino Linotype" w:hAnsi="Palatino Linotype" w:cs="Palatino Linotype"/>
        </w:rPr>
        <w:t xml:space="preserve">en el que expresó lo siguiente: </w:t>
      </w:r>
    </w:p>
    <w:p w:rsidR="00446F68" w:rsidRPr="00F62F4E" w:rsidRDefault="00F434DD">
      <w:pPr>
        <w:spacing w:before="240" w:after="240" w:line="360" w:lineRule="auto"/>
        <w:ind w:left="567" w:right="567"/>
        <w:jc w:val="both"/>
        <w:rPr>
          <w:rFonts w:ascii="Palatino Linotype" w:eastAsia="Palatino Linotype" w:hAnsi="Palatino Linotype" w:cs="Palatino Linotype"/>
        </w:rPr>
      </w:pPr>
      <w:r w:rsidRPr="00F62F4E">
        <w:rPr>
          <w:rFonts w:ascii="Palatino Linotype" w:eastAsia="Palatino Linotype" w:hAnsi="Palatino Linotype" w:cs="Palatino Linotype"/>
          <w:b/>
        </w:rPr>
        <w:t xml:space="preserve">a) Acto impugnado: </w:t>
      </w:r>
    </w:p>
    <w:p w:rsidR="00446F68" w:rsidRPr="00F62F4E" w:rsidRDefault="00F434DD">
      <w:pPr>
        <w:spacing w:before="240" w:after="240" w:line="360" w:lineRule="auto"/>
        <w:ind w:left="567" w:right="567"/>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“SE RECURRE LA RESPUESTA A LA SOLICITUD DE INFORMACIÓN 00103/XONACAT/IP/2022.” (Sic)</w:t>
      </w:r>
    </w:p>
    <w:p w:rsidR="00446F68" w:rsidRPr="00F62F4E" w:rsidRDefault="00F434DD">
      <w:pPr>
        <w:spacing w:before="240" w:after="240" w:line="360" w:lineRule="auto"/>
        <w:ind w:left="567" w:right="851"/>
        <w:jc w:val="both"/>
        <w:rPr>
          <w:rFonts w:ascii="Palatino Linotype" w:eastAsia="Palatino Linotype" w:hAnsi="Palatino Linotype" w:cs="Palatino Linotype"/>
        </w:rPr>
      </w:pPr>
      <w:r w:rsidRPr="00F62F4E">
        <w:rPr>
          <w:rFonts w:ascii="Palatino Linotype" w:eastAsia="Palatino Linotype" w:hAnsi="Palatino Linotype" w:cs="Palatino Linotype"/>
          <w:b/>
        </w:rPr>
        <w:t>b) Razones o motivos de inconformidad</w:t>
      </w:r>
      <w:r w:rsidRPr="00F62F4E">
        <w:rPr>
          <w:rFonts w:ascii="Palatino Linotype" w:eastAsia="Palatino Linotype" w:hAnsi="Palatino Linotype" w:cs="Palatino Linotype"/>
        </w:rPr>
        <w:t xml:space="preserve">: </w:t>
      </w:r>
    </w:p>
    <w:p w:rsidR="00446F68" w:rsidRPr="00F62F4E" w:rsidRDefault="00F434DD">
      <w:pPr>
        <w:spacing w:before="240" w:after="240" w:line="276" w:lineRule="auto"/>
        <w:ind w:left="567"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“Se anexa escrito RECURSO OBRAS PUBLICAS.PDF.” (Sic) </w:t>
      </w:r>
    </w:p>
    <w:p w:rsidR="00446F68" w:rsidRPr="00F62F4E" w:rsidRDefault="00F434DD">
      <w:pPr>
        <w:spacing w:before="240" w:after="240" w:line="276" w:lineRule="auto"/>
        <w:ind w:right="851"/>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rPr>
        <w:t>Agrega cinco archivos adjuntos, que se describen a continuación</w:t>
      </w:r>
      <w:r w:rsidRPr="00F62F4E">
        <w:rPr>
          <w:rFonts w:ascii="Palatino Linotype" w:eastAsia="Palatino Linotype" w:hAnsi="Palatino Linotype" w:cs="Palatino Linotype"/>
          <w:b/>
          <w:i/>
          <w:sz w:val="22"/>
          <w:szCs w:val="22"/>
        </w:rPr>
        <w:t>:</w:t>
      </w:r>
    </w:p>
    <w:p w:rsidR="00446F68" w:rsidRPr="00F62F4E" w:rsidRDefault="00F434DD">
      <w:pPr>
        <w:numPr>
          <w:ilvl w:val="0"/>
          <w:numId w:val="5"/>
        </w:numPr>
        <w:pBdr>
          <w:top w:val="nil"/>
          <w:left w:val="nil"/>
          <w:bottom w:val="nil"/>
          <w:right w:val="nil"/>
          <w:between w:val="nil"/>
        </w:pBdr>
        <w:spacing w:before="240" w:after="240" w:line="276" w:lineRule="auto"/>
        <w:ind w:right="851"/>
        <w:jc w:val="both"/>
        <w:rPr>
          <w:rFonts w:ascii="Palatino Linotype" w:eastAsia="Palatino Linotype" w:hAnsi="Palatino Linotype" w:cs="Palatino Linotype"/>
          <w:sz w:val="22"/>
          <w:szCs w:val="22"/>
        </w:rPr>
      </w:pPr>
      <w:r w:rsidRPr="00F62F4E">
        <w:rPr>
          <w:rFonts w:ascii="Palatino Linotype" w:eastAsia="Palatino Linotype" w:hAnsi="Palatino Linotype" w:cs="Palatino Linotype"/>
          <w:b/>
          <w:i/>
          <w:sz w:val="22"/>
          <w:szCs w:val="22"/>
        </w:rPr>
        <w:t xml:space="preserve">respuesta transparencia municipal.pdf, </w:t>
      </w:r>
      <w:r w:rsidRPr="00F62F4E">
        <w:rPr>
          <w:rFonts w:ascii="Palatino Linotype" w:eastAsia="Palatino Linotype" w:hAnsi="Palatino Linotype" w:cs="Palatino Linotype"/>
          <w:sz w:val="22"/>
          <w:szCs w:val="22"/>
        </w:rPr>
        <w:t>respuesta proporcionada por el Responsable de la Unidad de Información, que se encuentra en SAIMEX.</w:t>
      </w:r>
    </w:p>
    <w:p w:rsidR="00446F68" w:rsidRPr="00F62F4E" w:rsidRDefault="00446F68">
      <w:pPr>
        <w:pBdr>
          <w:top w:val="nil"/>
          <w:left w:val="nil"/>
          <w:bottom w:val="nil"/>
          <w:right w:val="nil"/>
          <w:between w:val="nil"/>
        </w:pBdr>
        <w:spacing w:before="240" w:after="240" w:line="276" w:lineRule="auto"/>
        <w:ind w:left="720" w:right="851"/>
        <w:jc w:val="both"/>
        <w:rPr>
          <w:rFonts w:ascii="Palatino Linotype" w:eastAsia="Palatino Linotype" w:hAnsi="Palatino Linotype" w:cs="Palatino Linotype"/>
          <w:b/>
          <w:i/>
          <w:sz w:val="22"/>
          <w:szCs w:val="22"/>
        </w:rPr>
      </w:pPr>
    </w:p>
    <w:p w:rsidR="00446F68" w:rsidRPr="00F62F4E" w:rsidRDefault="00F434DD">
      <w:pPr>
        <w:numPr>
          <w:ilvl w:val="0"/>
          <w:numId w:val="5"/>
        </w:numPr>
        <w:pBdr>
          <w:top w:val="nil"/>
          <w:left w:val="nil"/>
          <w:bottom w:val="nil"/>
          <w:right w:val="nil"/>
          <w:between w:val="nil"/>
        </w:pBdr>
        <w:spacing w:before="240" w:after="240" w:line="276" w:lineRule="auto"/>
        <w:ind w:right="851"/>
        <w:jc w:val="both"/>
        <w:rPr>
          <w:rFonts w:ascii="Palatino Linotype" w:eastAsia="Palatino Linotype" w:hAnsi="Palatino Linotype" w:cs="Palatino Linotype"/>
          <w:sz w:val="22"/>
          <w:szCs w:val="22"/>
        </w:rPr>
      </w:pPr>
      <w:r w:rsidRPr="00F62F4E">
        <w:rPr>
          <w:rFonts w:ascii="Palatino Linotype" w:eastAsia="Palatino Linotype" w:hAnsi="Palatino Linotype" w:cs="Palatino Linotype"/>
          <w:b/>
          <w:i/>
          <w:sz w:val="22"/>
          <w:szCs w:val="22"/>
        </w:rPr>
        <w:t xml:space="preserve">prueba de daño 103.pdf, </w:t>
      </w:r>
      <w:r w:rsidRPr="00F62F4E">
        <w:rPr>
          <w:rFonts w:ascii="Palatino Linotype" w:eastAsia="Palatino Linotype" w:hAnsi="Palatino Linotype" w:cs="Palatino Linotype"/>
          <w:sz w:val="22"/>
          <w:szCs w:val="22"/>
        </w:rPr>
        <w:t>Oficio número MXON/DOP/208/04/2020, de fecha ocho de abril de dos mil veintidós, suscrito y signado por el Director de Obras Públicas.</w:t>
      </w:r>
    </w:p>
    <w:p w:rsidR="00446F68" w:rsidRPr="00F62F4E" w:rsidRDefault="00F434DD">
      <w:pPr>
        <w:numPr>
          <w:ilvl w:val="0"/>
          <w:numId w:val="5"/>
        </w:numPr>
        <w:pBdr>
          <w:top w:val="nil"/>
          <w:left w:val="nil"/>
          <w:bottom w:val="nil"/>
          <w:right w:val="nil"/>
          <w:between w:val="nil"/>
        </w:pBdr>
        <w:spacing w:before="240" w:after="240" w:line="276" w:lineRule="auto"/>
        <w:ind w:right="851"/>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i/>
          <w:sz w:val="22"/>
          <w:szCs w:val="22"/>
        </w:rPr>
        <w:t xml:space="preserve">acta act_utext_003_2022.pdf, </w:t>
      </w:r>
      <w:r w:rsidRPr="00F62F4E">
        <w:rPr>
          <w:rFonts w:ascii="Palatino Linotype" w:eastAsia="Palatino Linotype" w:hAnsi="Palatino Linotype" w:cs="Palatino Linotype"/>
          <w:sz w:val="22"/>
          <w:szCs w:val="22"/>
        </w:rPr>
        <w:t>Acta de la Tercera Sesión Extraordinaria del Comité de Transparencia del veintiuno de abril de dos mil veintidós.</w:t>
      </w:r>
    </w:p>
    <w:p w:rsidR="00446F68" w:rsidRPr="00F62F4E" w:rsidRDefault="00F434DD">
      <w:pPr>
        <w:numPr>
          <w:ilvl w:val="0"/>
          <w:numId w:val="5"/>
        </w:numPr>
        <w:pBdr>
          <w:top w:val="nil"/>
          <w:left w:val="nil"/>
          <w:bottom w:val="nil"/>
          <w:right w:val="nil"/>
          <w:between w:val="nil"/>
        </w:pBdr>
        <w:spacing w:before="240" w:after="240" w:line="276" w:lineRule="auto"/>
        <w:ind w:right="851"/>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i/>
          <w:sz w:val="22"/>
          <w:szCs w:val="22"/>
        </w:rPr>
        <w:t xml:space="preserve">recurso obras publicas.pdf, </w:t>
      </w:r>
      <w:r w:rsidRPr="00F62F4E">
        <w:rPr>
          <w:rFonts w:ascii="Palatino Linotype" w:eastAsia="Palatino Linotype" w:hAnsi="Palatino Linotype" w:cs="Palatino Linotype"/>
          <w:sz w:val="22"/>
          <w:szCs w:val="22"/>
        </w:rPr>
        <w:t>escrito de la parte Recurrente, por medio de la cual da a conocer a detalle, los motivos de su  inconformidad, la cual se muestra a continuación:</w:t>
      </w:r>
    </w:p>
    <w:p w:rsidR="00446F68" w:rsidRPr="00F62F4E" w:rsidRDefault="00F434DD">
      <w:pPr>
        <w:spacing w:before="240" w:after="240" w:line="276" w:lineRule="auto"/>
        <w:ind w:left="360" w:right="851"/>
        <w:jc w:val="both"/>
        <w:rPr>
          <w:rFonts w:ascii="Palatino Linotype" w:eastAsia="Palatino Linotype" w:hAnsi="Palatino Linotype" w:cs="Palatino Linotype"/>
          <w:b/>
          <w:i/>
          <w:sz w:val="22"/>
          <w:szCs w:val="22"/>
        </w:rPr>
      </w:pPr>
      <w:r w:rsidRPr="00F62F4E">
        <w:rPr>
          <w:noProof/>
          <w:lang w:val="es-MX"/>
        </w:rPr>
        <w:drawing>
          <wp:inline distT="0" distB="0" distL="0" distR="0">
            <wp:extent cx="4902180" cy="3209601"/>
            <wp:effectExtent l="0" t="0" r="0" b="0"/>
            <wp:docPr id="4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l="25152" t="51075" r="46275" b="15668"/>
                    <a:stretch>
                      <a:fillRect/>
                    </a:stretch>
                  </pic:blipFill>
                  <pic:spPr>
                    <a:xfrm>
                      <a:off x="0" y="0"/>
                      <a:ext cx="4902180" cy="3209601"/>
                    </a:xfrm>
                    <a:prstGeom prst="rect">
                      <a:avLst/>
                    </a:prstGeom>
                    <a:ln/>
                  </pic:spPr>
                </pic:pic>
              </a:graphicData>
            </a:graphic>
          </wp:inline>
        </w:drawing>
      </w:r>
    </w:p>
    <w:p w:rsidR="00446F68" w:rsidRPr="00F62F4E" w:rsidRDefault="00446F68">
      <w:pPr>
        <w:spacing w:before="240" w:after="240" w:line="276" w:lineRule="auto"/>
        <w:ind w:left="360" w:right="851"/>
        <w:jc w:val="both"/>
        <w:rPr>
          <w:rFonts w:ascii="Palatino Linotype" w:eastAsia="Palatino Linotype" w:hAnsi="Palatino Linotype" w:cs="Palatino Linotype"/>
          <w:b/>
          <w:i/>
          <w:sz w:val="22"/>
          <w:szCs w:val="22"/>
        </w:rPr>
      </w:pPr>
    </w:p>
    <w:p w:rsidR="00446F68" w:rsidRPr="00F62F4E" w:rsidRDefault="00F434DD">
      <w:pPr>
        <w:spacing w:before="240" w:after="240" w:line="276" w:lineRule="auto"/>
        <w:ind w:left="360" w:right="851"/>
        <w:jc w:val="both"/>
        <w:rPr>
          <w:rFonts w:ascii="Palatino Linotype" w:eastAsia="Palatino Linotype" w:hAnsi="Palatino Linotype" w:cs="Palatino Linotype"/>
          <w:b/>
          <w:i/>
          <w:sz w:val="22"/>
          <w:szCs w:val="22"/>
        </w:rPr>
      </w:pPr>
      <w:r w:rsidRPr="00F62F4E">
        <w:rPr>
          <w:noProof/>
          <w:lang w:val="es-MX"/>
        </w:rPr>
        <w:lastRenderedPageBreak/>
        <w:drawing>
          <wp:inline distT="0" distB="0" distL="0" distR="0">
            <wp:extent cx="4949296" cy="6567526"/>
            <wp:effectExtent l="0" t="0" r="0" b="0"/>
            <wp:docPr id="4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
                    <a:srcRect l="24772" t="19986" r="46086" b="11267"/>
                    <a:stretch>
                      <a:fillRect/>
                    </a:stretch>
                  </pic:blipFill>
                  <pic:spPr>
                    <a:xfrm>
                      <a:off x="0" y="0"/>
                      <a:ext cx="4949296" cy="6567526"/>
                    </a:xfrm>
                    <a:prstGeom prst="rect">
                      <a:avLst/>
                    </a:prstGeom>
                    <a:ln/>
                  </pic:spPr>
                </pic:pic>
              </a:graphicData>
            </a:graphic>
          </wp:inline>
        </w:drawing>
      </w:r>
    </w:p>
    <w:p w:rsidR="00446F68" w:rsidRPr="00F62F4E" w:rsidRDefault="00446F68">
      <w:pPr>
        <w:spacing w:before="240" w:after="240" w:line="276" w:lineRule="auto"/>
        <w:ind w:left="360" w:right="851"/>
        <w:jc w:val="both"/>
        <w:rPr>
          <w:rFonts w:ascii="Palatino Linotype" w:eastAsia="Palatino Linotype" w:hAnsi="Palatino Linotype" w:cs="Palatino Linotype"/>
          <w:b/>
          <w:i/>
          <w:sz w:val="22"/>
          <w:szCs w:val="22"/>
        </w:rPr>
      </w:pPr>
    </w:p>
    <w:p w:rsidR="00446F68" w:rsidRPr="00F62F4E" w:rsidRDefault="00F434DD">
      <w:pPr>
        <w:spacing w:before="240" w:after="240" w:line="276" w:lineRule="auto"/>
        <w:ind w:left="360" w:right="851"/>
        <w:jc w:val="both"/>
        <w:rPr>
          <w:rFonts w:ascii="Palatino Linotype" w:eastAsia="Palatino Linotype" w:hAnsi="Palatino Linotype" w:cs="Palatino Linotype"/>
          <w:b/>
          <w:i/>
          <w:sz w:val="22"/>
          <w:szCs w:val="22"/>
        </w:rPr>
      </w:pPr>
      <w:r w:rsidRPr="00F62F4E">
        <w:rPr>
          <w:noProof/>
          <w:lang w:val="es-MX"/>
        </w:rPr>
        <w:lastRenderedPageBreak/>
        <w:drawing>
          <wp:inline distT="0" distB="0" distL="0" distR="0">
            <wp:extent cx="5259213" cy="7071112"/>
            <wp:effectExtent l="0" t="0" r="0" b="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l="25152" t="17614" r="46085" b="13636"/>
                    <a:stretch>
                      <a:fillRect/>
                    </a:stretch>
                  </pic:blipFill>
                  <pic:spPr>
                    <a:xfrm>
                      <a:off x="0" y="0"/>
                      <a:ext cx="5259213" cy="7071112"/>
                    </a:xfrm>
                    <a:prstGeom prst="rect">
                      <a:avLst/>
                    </a:prstGeom>
                    <a:ln/>
                  </pic:spPr>
                </pic:pic>
              </a:graphicData>
            </a:graphic>
          </wp:inline>
        </w:drawing>
      </w:r>
    </w:p>
    <w:p w:rsidR="00446F68" w:rsidRPr="00F62F4E" w:rsidRDefault="00F434DD">
      <w:pPr>
        <w:spacing w:before="240" w:after="240" w:line="276" w:lineRule="auto"/>
        <w:ind w:left="360" w:right="851"/>
        <w:jc w:val="both"/>
        <w:rPr>
          <w:rFonts w:ascii="Palatino Linotype" w:eastAsia="Palatino Linotype" w:hAnsi="Palatino Linotype" w:cs="Palatino Linotype"/>
          <w:b/>
          <w:i/>
          <w:sz w:val="22"/>
          <w:szCs w:val="22"/>
        </w:rPr>
      </w:pPr>
      <w:r w:rsidRPr="00F62F4E">
        <w:rPr>
          <w:noProof/>
          <w:lang w:val="es-MX"/>
        </w:rPr>
        <w:lastRenderedPageBreak/>
        <w:drawing>
          <wp:inline distT="0" distB="0" distL="0" distR="0">
            <wp:extent cx="5349447" cy="6659400"/>
            <wp:effectExtent l="0" t="0" r="0" b="0"/>
            <wp:docPr id="5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l="25724" t="25745" r="47037" b="13976"/>
                    <a:stretch>
                      <a:fillRect/>
                    </a:stretch>
                  </pic:blipFill>
                  <pic:spPr>
                    <a:xfrm>
                      <a:off x="0" y="0"/>
                      <a:ext cx="5349447" cy="6659400"/>
                    </a:xfrm>
                    <a:prstGeom prst="rect">
                      <a:avLst/>
                    </a:prstGeom>
                    <a:ln/>
                  </pic:spPr>
                </pic:pic>
              </a:graphicData>
            </a:graphic>
          </wp:inline>
        </w:drawing>
      </w:r>
    </w:p>
    <w:p w:rsidR="00446F68" w:rsidRPr="00F62F4E" w:rsidRDefault="00F434DD">
      <w:pPr>
        <w:numPr>
          <w:ilvl w:val="0"/>
          <w:numId w:val="5"/>
        </w:numPr>
        <w:pBdr>
          <w:top w:val="nil"/>
          <w:left w:val="nil"/>
          <w:bottom w:val="nil"/>
          <w:right w:val="nil"/>
          <w:between w:val="nil"/>
        </w:pBdr>
        <w:spacing w:before="240" w:after="240" w:line="276" w:lineRule="auto"/>
        <w:ind w:right="851"/>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i/>
          <w:sz w:val="22"/>
          <w:szCs w:val="22"/>
        </w:rPr>
        <w:lastRenderedPageBreak/>
        <w:t>respuesta 103 (1).</w:t>
      </w:r>
      <w:proofErr w:type="spellStart"/>
      <w:r w:rsidRPr="00F62F4E">
        <w:rPr>
          <w:rFonts w:ascii="Palatino Linotype" w:eastAsia="Palatino Linotype" w:hAnsi="Palatino Linotype" w:cs="Palatino Linotype"/>
          <w:b/>
          <w:i/>
          <w:sz w:val="22"/>
          <w:szCs w:val="22"/>
        </w:rPr>
        <w:t>pdf</w:t>
      </w:r>
      <w:proofErr w:type="spellEnd"/>
      <w:r w:rsidRPr="00F62F4E">
        <w:rPr>
          <w:rFonts w:ascii="Palatino Linotype" w:eastAsia="Palatino Linotype" w:hAnsi="Palatino Linotype" w:cs="Palatino Linotype"/>
          <w:b/>
          <w:i/>
          <w:sz w:val="22"/>
          <w:szCs w:val="22"/>
        </w:rPr>
        <w:t xml:space="preserve">, </w:t>
      </w:r>
      <w:r w:rsidRPr="00F62F4E">
        <w:rPr>
          <w:rFonts w:ascii="Palatino Linotype" w:eastAsia="Palatino Linotype" w:hAnsi="Palatino Linotype" w:cs="Palatino Linotype"/>
          <w:sz w:val="22"/>
          <w:szCs w:val="22"/>
        </w:rPr>
        <w:t>Oficio número XON/SA/188/2022 de fecha cuatro de abril de dos mil veintidós, suscrito y signado por el Secretario del Ayuntamiento</w:t>
      </w:r>
    </w:p>
    <w:p w:rsidR="00446F68" w:rsidRPr="00F62F4E" w:rsidRDefault="00F434DD">
      <w:pPr>
        <w:widowControl w:val="0"/>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b/>
        </w:rPr>
        <w:t>4. Turno</w:t>
      </w:r>
      <w:r w:rsidRPr="00F62F4E">
        <w:rPr>
          <w:rFonts w:ascii="Palatino Linotype" w:eastAsia="Palatino Linotype" w:hAnsi="Palatino Linotype" w:cs="Palatino Linotype"/>
          <w:b/>
          <w:sz w:val="28"/>
          <w:szCs w:val="28"/>
        </w:rPr>
        <w:t xml:space="preserve">. </w:t>
      </w:r>
      <w:r w:rsidRPr="00F62F4E">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w:t>
      </w:r>
      <w:r w:rsidRPr="00F62F4E">
        <w:rPr>
          <w:rFonts w:ascii="Palatino Linotype" w:eastAsia="Palatino Linotype" w:hAnsi="Palatino Linotype" w:cs="Palatino Linotype"/>
          <w:b/>
        </w:rPr>
        <w:t>Comisionada</w:t>
      </w:r>
      <w:r w:rsidRPr="00F62F4E">
        <w:rPr>
          <w:rFonts w:ascii="Palatino Linotype" w:eastAsia="Palatino Linotype" w:hAnsi="Palatino Linotype" w:cs="Palatino Linotype"/>
        </w:rPr>
        <w:t xml:space="preserve"> </w:t>
      </w:r>
      <w:r w:rsidRPr="00F62F4E">
        <w:rPr>
          <w:rFonts w:ascii="Palatino Linotype" w:eastAsia="Palatino Linotype" w:hAnsi="Palatino Linotype" w:cs="Palatino Linotype"/>
          <w:b/>
        </w:rPr>
        <w:t>Guadalupe Ramírez Peña</w:t>
      </w:r>
      <w:r w:rsidRPr="00F62F4E">
        <w:rPr>
          <w:rFonts w:ascii="Palatino Linotype" w:eastAsia="Palatino Linotype" w:hAnsi="Palatino Linotype" w:cs="Palatino Linotype"/>
        </w:rPr>
        <w:t xml:space="preserve"> para su análisis, estudio, elaboración del proyecto y presentación ante el Pleno de este Instituto.</w:t>
      </w:r>
    </w:p>
    <w:p w:rsidR="00446F68" w:rsidRPr="00F62F4E" w:rsidRDefault="00F434DD">
      <w:pPr>
        <w:widowControl w:val="0"/>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b/>
        </w:rPr>
        <w:t>5.</w:t>
      </w:r>
      <w:r w:rsidRPr="00F62F4E">
        <w:rPr>
          <w:rFonts w:ascii="Palatino Linotype" w:eastAsia="Palatino Linotype" w:hAnsi="Palatino Linotype" w:cs="Palatino Linotype"/>
          <w:b/>
          <w:i/>
        </w:rPr>
        <w:t xml:space="preserve"> </w:t>
      </w:r>
      <w:r w:rsidRPr="00F62F4E">
        <w:rPr>
          <w:rFonts w:ascii="Palatino Linotype" w:eastAsia="Palatino Linotype" w:hAnsi="Palatino Linotype" w:cs="Palatino Linotype"/>
          <w:b/>
        </w:rPr>
        <w:t>Admisión del Recurso.</w:t>
      </w:r>
      <w:r w:rsidRPr="00F62F4E">
        <w:rPr>
          <w:rFonts w:ascii="Palatino Linotype" w:eastAsia="Palatino Linotype" w:hAnsi="Palatino Linotype" w:cs="Palatino Linotype"/>
        </w:rPr>
        <w:t xml:space="preserve"> El día</w:t>
      </w:r>
      <w:r w:rsidRPr="00F62F4E">
        <w:rPr>
          <w:rFonts w:ascii="Palatino Linotype" w:eastAsia="Palatino Linotype" w:hAnsi="Palatino Linotype" w:cs="Palatino Linotype"/>
          <w:b/>
        </w:rPr>
        <w:t xml:space="preserve"> veinticuatro de mayo de dos mil veintidós </w:t>
      </w:r>
      <w:r w:rsidRPr="00F62F4E">
        <w:rPr>
          <w:rFonts w:ascii="Palatino Linotype" w:eastAsia="Palatino Linotype" w:hAnsi="Palatino Linotype" w:cs="Palatino Linotype"/>
        </w:rPr>
        <w:t>se admitió a trámite el presente recurso de revisión a efecto de integrar el expediente respectivo; fue puesto a disposición de las partes por siete días hábiles para que ofrecieran pruebas y manifestaran lo que a su derecho convenga.</w:t>
      </w:r>
    </w:p>
    <w:p w:rsidR="00446F68" w:rsidRPr="00F62F4E" w:rsidRDefault="00F434DD">
      <w:pPr>
        <w:widowControl w:val="0"/>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b/>
        </w:rPr>
        <w:t>6. Manifestaciones</w:t>
      </w:r>
      <w:r w:rsidRPr="00F62F4E">
        <w:rPr>
          <w:rFonts w:ascii="Palatino Linotype" w:eastAsia="Palatino Linotype" w:hAnsi="Palatino Linotype" w:cs="Palatino Linotype"/>
        </w:rPr>
        <w:t xml:space="preserve">. De constancias del expediente electrónico del SAIMEX, se observa que tanto la parte </w:t>
      </w:r>
      <w:r w:rsidRPr="00F62F4E">
        <w:rPr>
          <w:rFonts w:ascii="Palatino Linotype" w:eastAsia="Palatino Linotype" w:hAnsi="Palatino Linotype" w:cs="Palatino Linotype"/>
          <w:b/>
        </w:rPr>
        <w:t>Recurrente</w:t>
      </w:r>
      <w:r w:rsidRPr="00F62F4E">
        <w:rPr>
          <w:rFonts w:ascii="Palatino Linotype" w:eastAsia="Palatino Linotype" w:hAnsi="Palatino Linotype" w:cs="Palatino Linotype"/>
        </w:rPr>
        <w:t xml:space="preserve"> como 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fueron omisos en presentar manifestaciones, alegatos o pronunciamiento alguno, y en su caso informe justificado, como se muestra en la siguiente captura de pantalla:</w:t>
      </w:r>
    </w:p>
    <w:p w:rsidR="00446F68" w:rsidRPr="00F62F4E" w:rsidRDefault="00F434DD">
      <w:pPr>
        <w:widowControl w:val="0"/>
        <w:spacing w:before="240" w:after="240" w:line="360" w:lineRule="auto"/>
        <w:ind w:right="49"/>
        <w:jc w:val="both"/>
        <w:rPr>
          <w:rFonts w:ascii="Palatino Linotype" w:eastAsia="Palatino Linotype" w:hAnsi="Palatino Linotype" w:cs="Palatino Linotype"/>
        </w:rPr>
      </w:pPr>
      <w:r w:rsidRPr="00F62F4E">
        <w:rPr>
          <w:noProof/>
          <w:lang w:val="es-MX"/>
        </w:rPr>
        <w:lastRenderedPageBreak/>
        <w:drawing>
          <wp:inline distT="0" distB="0" distL="0" distR="0">
            <wp:extent cx="5365282" cy="1648520"/>
            <wp:effectExtent l="0" t="0" r="0" b="0"/>
            <wp:docPr id="5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l="6288" t="24053" r="52181" b="53263"/>
                    <a:stretch>
                      <a:fillRect/>
                    </a:stretch>
                  </pic:blipFill>
                  <pic:spPr>
                    <a:xfrm>
                      <a:off x="0" y="0"/>
                      <a:ext cx="5365282" cy="1648520"/>
                    </a:xfrm>
                    <a:prstGeom prst="rect">
                      <a:avLst/>
                    </a:prstGeom>
                    <a:ln/>
                  </pic:spPr>
                </pic:pic>
              </a:graphicData>
            </a:graphic>
          </wp:inline>
        </w:drawing>
      </w:r>
      <w:r w:rsidRPr="00F62F4E">
        <w:rPr>
          <w:rFonts w:ascii="Palatino Linotype" w:eastAsia="Palatino Linotype" w:hAnsi="Palatino Linotype" w:cs="Palatino Linotype"/>
        </w:rPr>
        <w:t xml:space="preserve"> </w:t>
      </w:r>
    </w:p>
    <w:p w:rsidR="00446F68" w:rsidRPr="00F62F4E" w:rsidRDefault="00F434DD">
      <w:pPr>
        <w:spacing w:before="240" w:after="240" w:line="360" w:lineRule="auto"/>
        <w:jc w:val="both"/>
        <w:rPr>
          <w:rFonts w:ascii="Palatino Linotype" w:eastAsia="Palatino Linotype" w:hAnsi="Palatino Linotype" w:cs="Palatino Linotype"/>
          <w:b/>
        </w:rPr>
      </w:pPr>
      <w:r w:rsidRPr="00F62F4E">
        <w:rPr>
          <w:rFonts w:ascii="Palatino Linotype" w:eastAsia="Palatino Linotype" w:hAnsi="Palatino Linotype" w:cs="Palatino Linotype"/>
          <w:b/>
        </w:rPr>
        <w:t xml:space="preserve">7.- Cierre de Instrucción. </w:t>
      </w:r>
      <w:r w:rsidRPr="00F62F4E">
        <w:rPr>
          <w:rFonts w:ascii="Palatino Linotype" w:eastAsia="Palatino Linotype" w:hAnsi="Palatino Linotype" w:cs="Palatino Linotype"/>
        </w:rPr>
        <w:t xml:space="preserve">Una vez transcurrido el plazo otorgado para que las partes manifestaran lo que a su derecho conviniera, y siguiendo los trámites correspondientes con fundamento en el artículo 185 fracción VI de la Ley de Transparencia y Acceso a la Información Pública del Estado de México y Municipios, el </w:t>
      </w:r>
      <w:r w:rsidRPr="00F62F4E">
        <w:rPr>
          <w:rFonts w:ascii="Palatino Linotype" w:eastAsia="Palatino Linotype" w:hAnsi="Palatino Linotype" w:cs="Palatino Linotype"/>
          <w:b/>
        </w:rPr>
        <w:t>diecisiete de junio de dos mil veintidós</w:t>
      </w:r>
      <w:r w:rsidRPr="00F62F4E">
        <w:rPr>
          <w:rFonts w:ascii="Palatino Linotype" w:eastAsia="Palatino Linotype" w:hAnsi="Palatino Linotype" w:cs="Palatino Linotype"/>
        </w:rPr>
        <w:t>, se procedió a decretar el cierre de instrucción respectivo y no existiendo diligencia pendiente de desahogo, se ordenó emitir la resolución que conforme a derecho proceda.</w:t>
      </w:r>
    </w:p>
    <w:p w:rsidR="00446F68" w:rsidRPr="00F62F4E" w:rsidRDefault="00F434DD">
      <w:pPr>
        <w:pBdr>
          <w:top w:val="nil"/>
          <w:left w:val="nil"/>
          <w:bottom w:val="nil"/>
          <w:right w:val="nil"/>
          <w:between w:val="nil"/>
        </w:pBdr>
        <w:spacing w:after="240" w:line="360" w:lineRule="auto"/>
        <w:jc w:val="both"/>
      </w:pPr>
      <w:r w:rsidRPr="00F62F4E">
        <w:rPr>
          <w:rFonts w:ascii="Palatino Linotype" w:eastAsia="Palatino Linotype" w:hAnsi="Palatino Linotype" w:cs="Palatino Linotype"/>
          <w:b/>
        </w:rPr>
        <w:t>8. Ampliación del plazo.</w:t>
      </w:r>
      <w:r w:rsidRPr="00F62F4E">
        <w:rPr>
          <w:rFonts w:ascii="Palatino Linotype" w:eastAsia="Palatino Linotype" w:hAnsi="Palatino Linotype" w:cs="Palatino Linotype"/>
        </w:rPr>
        <w:t xml:space="preserve"> En fecha </w:t>
      </w:r>
      <w:r w:rsidRPr="00F62F4E">
        <w:rPr>
          <w:rFonts w:ascii="Palatino Linotype" w:eastAsia="Palatino Linotype" w:hAnsi="Palatino Linotype" w:cs="Palatino Linotype"/>
          <w:b/>
        </w:rPr>
        <w:t>once de agosto del año dos mil veintidós</w:t>
      </w:r>
      <w:r w:rsidRPr="00F62F4E">
        <w:rPr>
          <w:rFonts w:ascii="Palatino Linotype" w:eastAsia="Palatino Linotype" w:hAnsi="Palatino Linotype" w:cs="Palatino Linotype"/>
        </w:rPr>
        <w:t>, con fundamento en el artículo 181, párrafo tercero de la Ley de Transparencia y Acceso a la Información Pública del Estado de México y Municipios, se acordó la ampliación del plazo para su resolución.</w:t>
      </w: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 xml:space="preserve">Este organismo garante no pasa por alto justificar, que el plazo para emitir la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w:t>
      </w:r>
      <w:r w:rsidRPr="00F62F4E">
        <w:rPr>
          <w:rFonts w:ascii="Palatino Linotype" w:eastAsia="Palatino Linotype" w:hAnsi="Palatino Linotype" w:cs="Palatino Linotype"/>
        </w:rPr>
        <w:lastRenderedPageBreak/>
        <w:t>las capacidades técnicas y humanas del personal encargado de la proyección de las resoluciones a dichos medios de impugnación.</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Por ello, excepcionalmente, si un asunto es resuelto con posterioridad a los plazos señalados por la norma debe analizarse la razonabilidad del tiempo necesario para su resolución, atentos a los siguientes criterios: </w:t>
      </w:r>
    </w:p>
    <w:p w:rsidR="00446F68" w:rsidRPr="00F62F4E" w:rsidRDefault="00F434DD">
      <w:pPr>
        <w:spacing w:line="360" w:lineRule="auto"/>
      </w:pPr>
      <w:r w:rsidRPr="00F62F4E">
        <w:lastRenderedPageBreak/>
        <w:br/>
      </w:r>
    </w:p>
    <w:p w:rsidR="00446F68" w:rsidRPr="00F62F4E" w:rsidRDefault="00F434DD">
      <w:pPr>
        <w:numPr>
          <w:ilvl w:val="0"/>
          <w:numId w:val="4"/>
        </w:numPr>
        <w:pBdr>
          <w:top w:val="nil"/>
          <w:left w:val="nil"/>
          <w:bottom w:val="nil"/>
          <w:right w:val="nil"/>
          <w:between w:val="nil"/>
        </w:pBdr>
        <w:spacing w:line="360" w:lineRule="auto"/>
        <w:ind w:left="927"/>
        <w:jc w:val="both"/>
        <w:rPr>
          <w:rFonts w:ascii="Palatino Linotype" w:eastAsia="Palatino Linotype" w:hAnsi="Palatino Linotype" w:cs="Palatino Linotype"/>
        </w:rPr>
      </w:pPr>
      <w:r w:rsidRPr="00F62F4E">
        <w:rPr>
          <w:rFonts w:ascii="Palatino Linotype" w:eastAsia="Palatino Linotype" w:hAnsi="Palatino Linotype" w:cs="Palatino Linotype"/>
        </w:rPr>
        <w:t>Complejidad del Asunto: La complejidad de la prueba, la pluralidad de sujetos procesales, el tiempo transcurrido, las características y contexto del recurso. </w:t>
      </w:r>
    </w:p>
    <w:p w:rsidR="00446F68" w:rsidRPr="00F62F4E" w:rsidRDefault="00F434DD">
      <w:pPr>
        <w:numPr>
          <w:ilvl w:val="0"/>
          <w:numId w:val="4"/>
        </w:numPr>
        <w:pBdr>
          <w:top w:val="nil"/>
          <w:left w:val="nil"/>
          <w:bottom w:val="nil"/>
          <w:right w:val="nil"/>
          <w:between w:val="nil"/>
        </w:pBdr>
        <w:spacing w:line="360" w:lineRule="auto"/>
        <w:ind w:left="927"/>
        <w:jc w:val="both"/>
        <w:rPr>
          <w:rFonts w:ascii="Palatino Linotype" w:eastAsia="Palatino Linotype" w:hAnsi="Palatino Linotype" w:cs="Palatino Linotype"/>
        </w:rPr>
      </w:pPr>
      <w:r w:rsidRPr="00F62F4E">
        <w:rPr>
          <w:rFonts w:ascii="Palatino Linotype" w:eastAsia="Palatino Linotype" w:hAnsi="Palatino Linotype" w:cs="Palatino Linotype"/>
        </w:rPr>
        <w:t>Actividad Procesal del interesado. Acciones u omisiones del interesado.</w:t>
      </w:r>
    </w:p>
    <w:p w:rsidR="00446F68" w:rsidRPr="00F62F4E" w:rsidRDefault="00F434DD">
      <w:pPr>
        <w:numPr>
          <w:ilvl w:val="0"/>
          <w:numId w:val="4"/>
        </w:numPr>
        <w:pBdr>
          <w:top w:val="nil"/>
          <w:left w:val="nil"/>
          <w:bottom w:val="nil"/>
          <w:right w:val="nil"/>
          <w:between w:val="nil"/>
        </w:pBdr>
        <w:spacing w:line="360" w:lineRule="auto"/>
        <w:ind w:left="927"/>
        <w:jc w:val="both"/>
        <w:rPr>
          <w:rFonts w:ascii="Palatino Linotype" w:eastAsia="Palatino Linotype" w:hAnsi="Palatino Linotype" w:cs="Palatino Linotype"/>
        </w:rPr>
      </w:pPr>
      <w:r w:rsidRPr="00F62F4E">
        <w:rPr>
          <w:rFonts w:ascii="Palatino Linotype" w:eastAsia="Palatino Linotype" w:hAnsi="Palatino Linotype" w:cs="Palatino Linotype"/>
        </w:rPr>
        <w:t>Conducta de la Autoridad: Las Acciones u omisiones realizadas en el procedimiento. Así como si la autoridad actuó con la debida diligencia.</w:t>
      </w:r>
    </w:p>
    <w:p w:rsidR="00446F68" w:rsidRPr="00F62F4E" w:rsidRDefault="00F434DD">
      <w:pPr>
        <w:numPr>
          <w:ilvl w:val="0"/>
          <w:numId w:val="4"/>
        </w:numPr>
        <w:pBdr>
          <w:top w:val="nil"/>
          <w:left w:val="nil"/>
          <w:bottom w:val="nil"/>
          <w:right w:val="nil"/>
          <w:between w:val="nil"/>
        </w:pBdr>
        <w:spacing w:line="360" w:lineRule="auto"/>
        <w:ind w:left="927"/>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 La afectación generada en la situación jurídica de la persona involucrada en el proceso: Violación a sus derechos humanos.</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Argumento que encuentra sustento en la jurisprudencia P</w:t>
      </w:r>
      <w:proofErr w:type="gramStart"/>
      <w:r w:rsidRPr="00F62F4E">
        <w:rPr>
          <w:rFonts w:ascii="Palatino Linotype" w:eastAsia="Palatino Linotype" w:hAnsi="Palatino Linotype" w:cs="Palatino Linotype"/>
        </w:rPr>
        <w:t>./</w:t>
      </w:r>
      <w:proofErr w:type="gramEnd"/>
      <w:r w:rsidRPr="00F62F4E">
        <w:rPr>
          <w:rFonts w:ascii="Palatino Linotype" w:eastAsia="Palatino Linotype" w:hAnsi="Palatino Linotype" w:cs="Palatino Linotype"/>
        </w:rPr>
        <w:t xml:space="preserve">J. 32/92 emitida por el Pleno de la Suprema Corte de Justicia de la Nación de rubro </w:t>
      </w:r>
      <w:r w:rsidRPr="00F62F4E">
        <w:rPr>
          <w:rFonts w:ascii="Palatino Linotype" w:eastAsia="Palatino Linotype" w:hAnsi="Palatino Linotype" w:cs="Palatino Linotype"/>
          <w:i/>
        </w:rPr>
        <w:t xml:space="preserve">“TÉRMINOS PROCESALES. PARA DETERMINAR SI UN FUNCIONARIO JUDICIAL ACTUÓ INDEBIDAMENTE POR NO RESPETARLOS SE DEBE ATENDER AL PRESUPUESTO QUE CONSIDERÓ EL LEGISLADOR AL FIJARLOS Y LAS </w:t>
      </w:r>
      <w:r w:rsidRPr="00F62F4E">
        <w:rPr>
          <w:rFonts w:ascii="Palatino Linotype" w:eastAsia="Palatino Linotype" w:hAnsi="Palatino Linotype" w:cs="Palatino Linotype"/>
          <w:i/>
        </w:rPr>
        <w:lastRenderedPageBreak/>
        <w:t>CARACTERÍSTICAS DEL CASO.”</w:t>
      </w:r>
      <w:r w:rsidRPr="00F62F4E">
        <w:rPr>
          <w:rFonts w:ascii="Palatino Linotype" w:eastAsia="Palatino Linotype" w:hAnsi="Palatino Linotype" w:cs="Palatino Linotype"/>
        </w:rPr>
        <w:t>, visible en la Gaceta del Seminario Judicial de la Federación con el registro digital 205635.</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 </w:t>
      </w:r>
      <w:r w:rsidRPr="00F62F4E">
        <w:rPr>
          <w:rFonts w:ascii="Palatino Linotype" w:eastAsia="Palatino Linotype" w:hAnsi="Palatino Linotype" w:cs="Palatino Linotype"/>
          <w:i/>
        </w:rPr>
        <w:t>“PLAZO RAZONABLE PARA RESOLVER. DIMENSIÓN Y EFECTOS DE ESTE CONCEPTO CUANDO SE ADUCE EXCESIVA CARGA DE TRABAJO.”</w:t>
      </w:r>
      <w:r w:rsidRPr="00F62F4E">
        <w:rPr>
          <w:rFonts w:ascii="Palatino Linotype" w:eastAsia="Palatino Linotype" w:hAnsi="Palatino Linotype" w:cs="Palatino Linotype"/>
        </w:rPr>
        <w:t xml:space="preserve"> consultable en el Seminario Judicial de la Federación y su gaceta, con el registro digital 2002351.</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i/>
        </w:rPr>
        <w:t xml:space="preserve">“PLAZO RAZONABLE PARA RESOLVER. CONCEPTO Y ELEMENTOS QUE LO INTEGRAN A LA LUZ DEL DERECHO INTERNACIONAL DE LOS DERECHOS </w:t>
      </w:r>
      <w:r w:rsidRPr="00F62F4E">
        <w:rPr>
          <w:rFonts w:ascii="Palatino Linotype" w:eastAsia="Palatino Linotype" w:hAnsi="Palatino Linotype" w:cs="Palatino Linotype"/>
          <w:i/>
        </w:rPr>
        <w:lastRenderedPageBreak/>
        <w:t>HUMANOS.”</w:t>
      </w:r>
      <w:r w:rsidRPr="00F62F4E">
        <w:rPr>
          <w:rFonts w:ascii="Palatino Linotype" w:eastAsia="Palatino Linotype" w:hAnsi="Palatino Linotype" w:cs="Palatino Linotype"/>
        </w:rPr>
        <w:t>, visible en el Seminario Judicial de la Federación y su gaceta, con el registro digital 2002350.</w:t>
      </w:r>
    </w:p>
    <w:p w:rsidR="00446F68" w:rsidRPr="00F62F4E" w:rsidRDefault="00446F68">
      <w:pPr>
        <w:spacing w:line="360" w:lineRule="auto"/>
      </w:pP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Por ello, este organismo garante comprometido con la tutela de los derechos humanos confiados, señala que este exceso de plazo legal para resolver el presente asunto, resulta de carácter excepcional.</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rsidR="00446F68" w:rsidRPr="00F62F4E" w:rsidRDefault="00F434DD">
      <w:pPr>
        <w:spacing w:before="240" w:after="240" w:line="360" w:lineRule="auto"/>
        <w:ind w:right="49"/>
        <w:jc w:val="center"/>
        <w:rPr>
          <w:rFonts w:ascii="Palatino Linotype" w:eastAsia="Palatino Linotype" w:hAnsi="Palatino Linotype" w:cs="Palatino Linotype"/>
          <w:b/>
        </w:rPr>
      </w:pPr>
      <w:r w:rsidRPr="00F62F4E">
        <w:rPr>
          <w:rFonts w:ascii="Palatino Linotype" w:eastAsia="Palatino Linotype" w:hAnsi="Palatino Linotype" w:cs="Palatino Linotype"/>
          <w:b/>
        </w:rPr>
        <w:t>II. C O N S I D E R A N D O S</w:t>
      </w:r>
    </w:p>
    <w:p w:rsidR="00446F68" w:rsidRPr="00F62F4E" w:rsidRDefault="00F434DD">
      <w:pPr>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b/>
        </w:rPr>
        <w:t>Primero.</w:t>
      </w:r>
      <w:r w:rsidRPr="00F62F4E">
        <w:rPr>
          <w:rFonts w:ascii="Palatino Linotype" w:eastAsia="Palatino Linotype" w:hAnsi="Palatino Linotype" w:cs="Palatino Linotype"/>
        </w:rPr>
        <w:t xml:space="preserve"> </w:t>
      </w:r>
      <w:r w:rsidRPr="00F62F4E">
        <w:rPr>
          <w:rFonts w:ascii="Palatino Linotype" w:eastAsia="Palatino Linotype" w:hAnsi="Palatino Linotype" w:cs="Palatino Linotype"/>
          <w:b/>
        </w:rPr>
        <w:t>Competencia.</w:t>
      </w:r>
      <w:r w:rsidRPr="00F62F4E">
        <w:rPr>
          <w:rFonts w:ascii="Palatino Linotype" w:eastAsia="Palatino Linotype" w:hAnsi="Palatino Linotype" w:cs="Palatino Linotype"/>
          <w:b/>
          <w:sz w:val="22"/>
          <w:szCs w:val="22"/>
        </w:rPr>
        <w:t xml:space="preserve"> </w:t>
      </w:r>
      <w:r w:rsidRPr="00F62F4E">
        <w:rPr>
          <w:rFonts w:ascii="Palatino Linotype" w:eastAsia="Palatino Linotype" w:hAnsi="Palatino Linotype" w:cs="Palatino Linotype"/>
        </w:rPr>
        <w:t>El Instituto de Transparencia, Acceso a la Información Pública y Protección de Datos Personales del Estado de México y Municipios, es competente para conocer y resolver el presente recurso de revisión interpuesto por la parte</w:t>
      </w:r>
      <w:r w:rsidRPr="00F62F4E">
        <w:rPr>
          <w:rFonts w:ascii="Palatino Linotype" w:eastAsia="Palatino Linotype" w:hAnsi="Palatino Linotype" w:cs="Palatino Linotype"/>
          <w:b/>
        </w:rPr>
        <w:t xml:space="preserve"> Recurrente</w:t>
      </w:r>
      <w:r w:rsidRPr="00F62F4E">
        <w:rPr>
          <w:rFonts w:ascii="Palatino Linotype" w:eastAsia="Palatino Linotype" w:hAnsi="Palatino Linotype" w:cs="Palatino Linotype"/>
        </w:rPr>
        <w:t>, conforme a lo dispuesto en los artículos 6, apartado A de la Constitución Política de los Estados Unidos Mexicanos; 5, párrafos trigésimo, trigésimo primero y trigésimo segundo; de la Constitución Política del Estado Libre y Soberano de México; 1, 2, fracción II; 13,  29, 36, fracciones I y II; 176, 178, 179, 181 párrafo tercero y 185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b/>
        </w:rPr>
        <w:lastRenderedPageBreak/>
        <w:t xml:space="preserve">Segundo. Oportunidad y </w:t>
      </w:r>
      <w:proofErr w:type="spellStart"/>
      <w:r w:rsidRPr="00F62F4E">
        <w:rPr>
          <w:rFonts w:ascii="Palatino Linotype" w:eastAsia="Palatino Linotype" w:hAnsi="Palatino Linotype" w:cs="Palatino Linotype"/>
          <w:b/>
        </w:rPr>
        <w:t>Procedibilidad</w:t>
      </w:r>
      <w:proofErr w:type="spellEnd"/>
      <w:r w:rsidRPr="00F62F4E">
        <w:rPr>
          <w:rFonts w:ascii="Palatino Linotype" w:eastAsia="Palatino Linotype" w:hAnsi="Palatino Linotype" w:cs="Palatino Linotype"/>
          <w:b/>
        </w:rPr>
        <w:t xml:space="preserve">. </w:t>
      </w:r>
      <w:r w:rsidRPr="00F62F4E">
        <w:rPr>
          <w:rFonts w:ascii="Palatino Linotype" w:eastAsia="Palatino Linotype" w:hAnsi="Palatino Linotype" w:cs="Palatino Linotype"/>
        </w:rPr>
        <w:t xml:space="preserve">De conformidad con los requisitos de Oportunidad y </w:t>
      </w:r>
      <w:proofErr w:type="spellStart"/>
      <w:r w:rsidRPr="00F62F4E">
        <w:rPr>
          <w:rFonts w:ascii="Palatino Linotype" w:eastAsia="Palatino Linotype" w:hAnsi="Palatino Linotype" w:cs="Palatino Linotype"/>
        </w:rPr>
        <w:t>Procedibilidad</w:t>
      </w:r>
      <w:proofErr w:type="spellEnd"/>
      <w:r w:rsidRPr="00F62F4E">
        <w:rPr>
          <w:rFonts w:ascii="Palatino Linotype" w:eastAsia="Palatino Linotype" w:hAnsi="Palatino Linotype" w:cs="Palatino Linotype"/>
        </w:rPr>
        <w:t xml:space="preserve"> que debe reunir el recurso de revisión interpuesto, previstos en los artículos 178 y 180 de la Ley de Transparencia y Acceso a la Información Pública del Estado de México y Municipios; en la especie se advierte que el presente medio de impugnación fue interpuesto dentro del plazo de quince días previsto en el primer artículo de referencia; toda vez que 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emitió su respuesta a la solicitud planteada por el solicitante en fecha </w:t>
      </w:r>
      <w:r w:rsidRPr="00F62F4E">
        <w:rPr>
          <w:rFonts w:ascii="Palatino Linotype" w:eastAsia="Palatino Linotype" w:hAnsi="Palatino Linotype" w:cs="Palatino Linotype"/>
          <w:b/>
        </w:rPr>
        <w:t>veintiocho de abril del año dos mil veintidós</w:t>
      </w:r>
      <w:r w:rsidRPr="00F62F4E">
        <w:rPr>
          <w:rFonts w:ascii="Palatino Linotype" w:eastAsia="Palatino Linotype" w:hAnsi="Palatino Linotype" w:cs="Palatino Linotype"/>
        </w:rPr>
        <w:t xml:space="preserve"> y </w:t>
      </w:r>
      <w:r w:rsidRPr="00F62F4E">
        <w:rPr>
          <w:rFonts w:ascii="Palatino Linotype" w:eastAsia="Palatino Linotype" w:hAnsi="Palatino Linotype" w:cs="Palatino Linotype"/>
          <w:b/>
        </w:rPr>
        <w:t>el Recurrente</w:t>
      </w:r>
      <w:r w:rsidRPr="00F62F4E">
        <w:rPr>
          <w:rFonts w:ascii="Palatino Linotype" w:eastAsia="Palatino Linotype" w:hAnsi="Palatino Linotype" w:cs="Palatino Linotype"/>
        </w:rPr>
        <w:t xml:space="preserve"> presentó su recurso de revisión el </w:t>
      </w:r>
      <w:r w:rsidRPr="00F62F4E">
        <w:rPr>
          <w:rFonts w:ascii="Palatino Linotype" w:eastAsia="Palatino Linotype" w:hAnsi="Palatino Linotype" w:cs="Palatino Linotype"/>
          <w:b/>
        </w:rPr>
        <w:t>dieciocho de mayo  de dos mil veintidós</w:t>
      </w:r>
      <w:r w:rsidRPr="00F62F4E">
        <w:rPr>
          <w:rFonts w:ascii="Palatino Linotype" w:eastAsia="Palatino Linotype" w:hAnsi="Palatino Linotype" w:cs="Palatino Linotype"/>
        </w:rPr>
        <w:t>, esto es al décimo tercer día hábil en el que tuvo conocimiento de la respuesta.</w:t>
      </w:r>
    </w:p>
    <w:p w:rsidR="00446F68" w:rsidRPr="00F62F4E" w:rsidRDefault="00F434DD">
      <w:pPr>
        <w:spacing w:before="240" w:after="240" w:line="360" w:lineRule="auto"/>
        <w:ind w:right="-93"/>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Así las cosas, por cuanto hace a la </w:t>
      </w:r>
      <w:proofErr w:type="spellStart"/>
      <w:r w:rsidRPr="00F62F4E">
        <w:rPr>
          <w:rFonts w:ascii="Palatino Linotype" w:eastAsia="Palatino Linotype" w:hAnsi="Palatino Linotype" w:cs="Palatino Linotype"/>
        </w:rPr>
        <w:t>procedibilidad</w:t>
      </w:r>
      <w:proofErr w:type="spellEnd"/>
      <w:r w:rsidRPr="00F62F4E">
        <w:rPr>
          <w:rFonts w:ascii="Palatino Linotype" w:eastAsia="Palatino Linotype" w:hAnsi="Palatino Linotype" w:cs="Palatino Linotype"/>
        </w:rPr>
        <w:t xml:space="preserve"> del recurso de revisión, una vez realizado el análisis del formato de interposición del mismo,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Finalmente, se advierte que resulta procedente la interposición del recurso, según lo manifestado por </w:t>
      </w:r>
      <w:r w:rsidRPr="00F62F4E">
        <w:rPr>
          <w:rFonts w:ascii="Palatino Linotype" w:eastAsia="Palatino Linotype" w:hAnsi="Palatino Linotype" w:cs="Palatino Linotype"/>
          <w:b/>
        </w:rPr>
        <w:t>la parte Recurrente</w:t>
      </w:r>
      <w:r w:rsidRPr="00F62F4E">
        <w:rPr>
          <w:rFonts w:ascii="Palatino Linotype" w:eastAsia="Palatino Linotype" w:hAnsi="Palatino Linotype" w:cs="Palatino Linotype"/>
        </w:rPr>
        <w:t xml:space="preserve"> en sus motivos de inconformidad, de acuerdo al artículo 179, fracciones I y II del ordenamiento legal citado, que a la letra dice: </w:t>
      </w:r>
    </w:p>
    <w:p w:rsidR="00446F68" w:rsidRPr="00F62F4E" w:rsidRDefault="00F434DD">
      <w:pPr>
        <w:spacing w:before="240" w:after="240"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“Artículo 179.</w:t>
      </w:r>
      <w:r w:rsidRPr="00F62F4E">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 </w:t>
      </w:r>
    </w:p>
    <w:p w:rsidR="00446F68" w:rsidRPr="00F62F4E" w:rsidRDefault="00F434DD">
      <w:pPr>
        <w:numPr>
          <w:ilvl w:val="0"/>
          <w:numId w:val="6"/>
        </w:numPr>
        <w:pBdr>
          <w:top w:val="nil"/>
          <w:left w:val="nil"/>
          <w:bottom w:val="nil"/>
          <w:right w:val="nil"/>
          <w:between w:val="nil"/>
        </w:pBdr>
        <w:spacing w:before="240" w:after="240" w:line="276" w:lineRule="auto"/>
        <w:ind w:left="1134" w:right="900" w:firstLine="0"/>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i/>
          <w:sz w:val="22"/>
          <w:szCs w:val="22"/>
        </w:rPr>
        <w:lastRenderedPageBreak/>
        <w:t>La negativa a la información solicitada;</w:t>
      </w:r>
    </w:p>
    <w:p w:rsidR="00446F68" w:rsidRPr="00F62F4E" w:rsidRDefault="00F434DD">
      <w:pPr>
        <w:numPr>
          <w:ilvl w:val="0"/>
          <w:numId w:val="6"/>
        </w:numPr>
        <w:pBdr>
          <w:top w:val="nil"/>
          <w:left w:val="nil"/>
          <w:bottom w:val="nil"/>
          <w:right w:val="nil"/>
          <w:between w:val="nil"/>
        </w:pBdr>
        <w:spacing w:before="240" w:after="240" w:line="276" w:lineRule="auto"/>
        <w:ind w:left="1134" w:right="900" w:firstLine="0"/>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i/>
          <w:sz w:val="22"/>
          <w:szCs w:val="22"/>
        </w:rPr>
        <w:t>La clasificación de la información;</w:t>
      </w:r>
    </w:p>
    <w:p w:rsidR="00446F68" w:rsidRPr="00F62F4E" w:rsidRDefault="00F434DD">
      <w:pPr>
        <w:spacing w:before="240" w:after="240" w:line="276" w:lineRule="auto"/>
        <w:ind w:left="1134" w:right="900"/>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i/>
          <w:sz w:val="22"/>
          <w:szCs w:val="22"/>
        </w:rPr>
        <w:t>”   (Énfasis añadido)</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b/>
        </w:rPr>
        <w:t xml:space="preserve">Tercero. Materia de la revisión. </w:t>
      </w:r>
      <w:r w:rsidRPr="00F62F4E">
        <w:rPr>
          <w:rFonts w:ascii="Palatino Linotype" w:eastAsia="Palatino Linotype" w:hAnsi="Palatino Linotype" w:cs="Palatino Linotype"/>
        </w:rPr>
        <w:t xml:space="preserve">De la revisión a las constancias y documentos que obran en el expediente electrónico se advierte, que el tema sobre el que este Organismo Garante de Transparencia y Acceso a la Información se pronunciará será: </w:t>
      </w:r>
      <w:r w:rsidRPr="00F62F4E">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sidRPr="00F62F4E">
        <w:rPr>
          <w:rFonts w:ascii="Palatino Linotype" w:eastAsia="Palatino Linotype" w:hAnsi="Palatino Linotype" w:cs="Palatino Linotype"/>
        </w:rPr>
        <w:t>de la parte Recurrente, o en su defecto, en caso de ser procedente, ordenar la entrega de información oportuna.</w:t>
      </w:r>
    </w:p>
    <w:p w:rsidR="00446F68" w:rsidRPr="00F62F4E" w:rsidRDefault="00F434DD">
      <w:pPr>
        <w:spacing w:before="240" w:after="240" w:line="360" w:lineRule="auto"/>
        <w:jc w:val="both"/>
        <w:rPr>
          <w:rFonts w:ascii="Palatino Linotype" w:eastAsia="Palatino Linotype" w:hAnsi="Palatino Linotype" w:cs="Palatino Linotype"/>
          <w:b/>
        </w:rPr>
      </w:pPr>
      <w:r w:rsidRPr="00F62F4E">
        <w:rPr>
          <w:rFonts w:ascii="Palatino Linotype" w:eastAsia="Palatino Linotype" w:hAnsi="Palatino Linotype" w:cs="Palatino Linotype"/>
          <w:b/>
        </w:rPr>
        <w:t xml:space="preserve">Cuarto. Estudio del asunto. </w:t>
      </w:r>
      <w:r w:rsidRPr="00F62F4E">
        <w:rPr>
          <w:rFonts w:ascii="Palatino Linotype" w:eastAsia="Palatino Linotype" w:hAnsi="Palatino Linotype" w:cs="Palatino Linotype"/>
        </w:rPr>
        <w:t xml:space="preserve">Antes de entrar al análisis de los pronunciamientos del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en la respuesta proporcionada, es necesario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rsidR="00446F68" w:rsidRPr="00F62F4E" w:rsidRDefault="00F434DD">
      <w:pPr>
        <w:tabs>
          <w:tab w:val="left" w:pos="709"/>
        </w:tabs>
        <w:spacing w:before="240" w:after="240" w:line="276" w:lineRule="auto"/>
        <w:ind w:left="851" w:right="85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u w:val="single"/>
        </w:rPr>
        <w:t>Artículo 1o. En los Estados Unidos Mexicanos todas las personas gozarán de los derechos humanos reconocidos en esta Constitución y en los tratados internacionales de los que el Estado Mexicano sea parte</w:t>
      </w:r>
      <w:r w:rsidRPr="00F62F4E">
        <w:rPr>
          <w:rFonts w:ascii="Palatino Linotype" w:eastAsia="Palatino Linotype" w:hAnsi="Palatino Linotype" w:cs="Palatino Linotype"/>
          <w:i/>
          <w:sz w:val="22"/>
          <w:szCs w:val="22"/>
        </w:rPr>
        <w:t>, así como de las garantías para su protección, cuyo ejercicio no podrá restringirse ni suspenderse, salvo en los casos y bajo las condiciones que esta Constitución establece.</w:t>
      </w:r>
    </w:p>
    <w:p w:rsidR="00446F68" w:rsidRPr="00F62F4E" w:rsidRDefault="00F434DD">
      <w:pPr>
        <w:tabs>
          <w:tab w:val="left" w:pos="709"/>
        </w:tabs>
        <w:spacing w:before="240" w:after="240" w:line="276" w:lineRule="auto"/>
        <w:ind w:left="851" w:right="850"/>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i/>
          <w:sz w:val="22"/>
          <w:szCs w:val="22"/>
        </w:rPr>
        <w:lastRenderedPageBreak/>
        <w:t>Las normas relativas a los derechos humanos se interpretarán de conformidad con esta Constitución y con los tratados internacionales de la materia favoreciendo en todo tiempo a las personas la protección más amplia.</w:t>
      </w:r>
    </w:p>
    <w:p w:rsidR="00446F68" w:rsidRPr="00F62F4E" w:rsidRDefault="00F434DD">
      <w:pPr>
        <w:tabs>
          <w:tab w:val="left" w:pos="709"/>
        </w:tabs>
        <w:spacing w:before="240" w:after="240" w:line="276" w:lineRule="auto"/>
        <w:ind w:left="851" w:right="85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sidRPr="00F62F4E">
        <w:rPr>
          <w:rFonts w:ascii="Palatino Linotype" w:eastAsia="Palatino Linotype" w:hAnsi="Palatino Linotype" w:cs="Palatino Linotype"/>
          <w:i/>
          <w:sz w:val="22"/>
          <w:szCs w:val="22"/>
        </w:rPr>
        <w:t xml:space="preserve"> En consecuencia, el Estado deberá prevenir, investigar, sancionar y reparar las violaciones a los derechos humanos, en los términos que establezca la ley</w:t>
      </w:r>
    </w:p>
    <w:p w:rsidR="00446F68" w:rsidRPr="00F62F4E" w:rsidRDefault="00F434DD">
      <w:pPr>
        <w:tabs>
          <w:tab w:val="left" w:pos="709"/>
        </w:tabs>
        <w:spacing w:before="240" w:after="240" w:line="276" w:lineRule="auto"/>
        <w:ind w:left="851" w:right="85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spacing w:before="240" w:after="240" w:line="276" w:lineRule="auto"/>
        <w:ind w:left="851" w:right="90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“Artículo 6o.</w:t>
      </w:r>
    </w:p>
    <w:p w:rsidR="00446F68" w:rsidRPr="00F62F4E" w:rsidRDefault="00F434DD">
      <w:pPr>
        <w:spacing w:before="240" w:after="240" w:line="276" w:lineRule="auto"/>
        <w:ind w:left="851" w:right="90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spacing w:before="240" w:after="240" w:line="276" w:lineRule="auto"/>
        <w:ind w:left="851"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 xml:space="preserve">A. Para el ejercicio del derecho de acceso a la información, la Federación y </w:t>
      </w:r>
      <w:r w:rsidRPr="00F62F4E">
        <w:rPr>
          <w:rFonts w:ascii="Palatino Linotype" w:eastAsia="Palatino Linotype" w:hAnsi="Palatino Linotype" w:cs="Palatino Linotype"/>
          <w:b/>
          <w:i/>
          <w:sz w:val="22"/>
          <w:szCs w:val="22"/>
          <w:u w:val="single"/>
        </w:rPr>
        <w:t>las entidades federativas</w:t>
      </w:r>
      <w:r w:rsidRPr="00F62F4E">
        <w:rPr>
          <w:rFonts w:ascii="Palatino Linotype" w:eastAsia="Palatino Linotype" w:hAnsi="Palatino Linotype" w:cs="Palatino Linotype"/>
          <w:b/>
          <w:i/>
          <w:sz w:val="22"/>
          <w:szCs w:val="22"/>
        </w:rPr>
        <w:t>,</w:t>
      </w:r>
      <w:r w:rsidRPr="00F62F4E">
        <w:rPr>
          <w:rFonts w:ascii="Palatino Linotype" w:eastAsia="Palatino Linotype" w:hAnsi="Palatino Linotype" w:cs="Palatino Linotype"/>
          <w:i/>
          <w:sz w:val="22"/>
          <w:szCs w:val="22"/>
        </w:rPr>
        <w:t xml:space="preserve"> en el ámbito de sus respectivas competencias, se regirán por los siguientes principios y bases:</w:t>
      </w:r>
    </w:p>
    <w:p w:rsidR="00446F68" w:rsidRPr="00F62F4E" w:rsidRDefault="00F434DD">
      <w:pPr>
        <w:spacing w:before="240" w:after="240" w:line="276" w:lineRule="auto"/>
        <w:ind w:left="851"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w:t>
      </w:r>
      <w:r w:rsidRPr="00F62F4E">
        <w:rPr>
          <w:rFonts w:ascii="Palatino Linotype" w:eastAsia="Palatino Linotype" w:hAnsi="Palatino Linotype" w:cs="Palatino Linotype"/>
          <w:b/>
          <w:i/>
          <w:sz w:val="22"/>
          <w:szCs w:val="22"/>
        </w:rPr>
        <w:t xml:space="preserve">I. </w:t>
      </w:r>
      <w:r w:rsidRPr="00F62F4E">
        <w:rPr>
          <w:rFonts w:ascii="Palatino Linotype" w:eastAsia="Palatino Linotype" w:hAnsi="Palatino Linotype" w:cs="Palatino Linotype"/>
          <w:b/>
          <w:i/>
          <w:sz w:val="22"/>
          <w:szCs w:val="22"/>
          <w:u w:val="single"/>
        </w:rPr>
        <w:t>Toda la información en posesión de cualquier autoridad, entidad, órgano y organismo de los Poderes</w:t>
      </w:r>
      <w:r w:rsidRPr="00F62F4E">
        <w:rPr>
          <w:rFonts w:ascii="Palatino Linotype" w:eastAsia="Palatino Linotype" w:hAnsi="Palatino Linotype" w:cs="Palatino Linotype"/>
          <w:i/>
          <w:sz w:val="22"/>
          <w:szCs w:val="22"/>
        </w:rPr>
        <w:t xml:space="preserve"> Ejecutivo, Legislativo </w:t>
      </w:r>
      <w:r w:rsidRPr="00F62F4E">
        <w:rPr>
          <w:rFonts w:ascii="Palatino Linotype" w:eastAsia="Palatino Linotype" w:hAnsi="Palatino Linotype" w:cs="Palatino Linotype"/>
          <w:b/>
          <w:i/>
          <w:sz w:val="22"/>
          <w:szCs w:val="22"/>
          <w:u w:val="single"/>
        </w:rPr>
        <w:t>y Judicial</w:t>
      </w:r>
      <w:r w:rsidRPr="00F62F4E">
        <w:rPr>
          <w:rFonts w:ascii="Palatino Linotype" w:eastAsia="Palatino Linotype" w:hAnsi="Palatino Linotype" w:cs="Palatino Linotype"/>
          <w:i/>
          <w:sz w:val="22"/>
          <w:szCs w:val="22"/>
        </w:rPr>
        <w:t xml:space="preserve">, órganos autónomos, partidos políticos, fideicomisos y fondos públicos, así como de cualquier persona física, moral o sindicato que reciba y ejerza recursos públicos o realice actos de autoridad en el ámbito federal, estatal y municipal, </w:t>
      </w:r>
      <w:r w:rsidRPr="00F62F4E">
        <w:rPr>
          <w:rFonts w:ascii="Palatino Linotype" w:eastAsia="Palatino Linotype" w:hAnsi="Palatino Linotype" w:cs="Palatino Linotype"/>
          <w:b/>
          <w:i/>
          <w:sz w:val="22"/>
          <w:szCs w:val="22"/>
        </w:rPr>
        <w:t>es pública y sólo podrá ser reservada temporalmente por razones de interés público y seguridad nacional,</w:t>
      </w:r>
      <w:r w:rsidRPr="00F62F4E">
        <w:rPr>
          <w:rFonts w:ascii="Palatino Linotype" w:eastAsia="Palatino Linotype" w:hAnsi="Palatino Linotype" w:cs="Palatino Linotype"/>
          <w:i/>
          <w:sz w:val="22"/>
          <w:szCs w:val="22"/>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446F68" w:rsidRPr="00F62F4E" w:rsidRDefault="00F434DD">
      <w:pPr>
        <w:spacing w:before="240" w:after="240" w:line="276" w:lineRule="auto"/>
        <w:ind w:left="851" w:right="851"/>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i/>
          <w:sz w:val="22"/>
          <w:szCs w:val="22"/>
        </w:rPr>
        <w:t> </w:t>
      </w:r>
      <w:r w:rsidRPr="00F62F4E">
        <w:rPr>
          <w:rFonts w:ascii="Palatino Linotype" w:eastAsia="Palatino Linotype" w:hAnsi="Palatino Linotype" w:cs="Palatino Linotype"/>
          <w:b/>
          <w:i/>
          <w:sz w:val="22"/>
          <w:szCs w:val="22"/>
        </w:rPr>
        <w:t>II. La información que se refiere a la vida privada y los datos personales será protegida en los términos y con las excepciones que fijen las leyes.</w:t>
      </w:r>
    </w:p>
    <w:p w:rsidR="00446F68" w:rsidRPr="00F62F4E" w:rsidRDefault="00F434DD">
      <w:pPr>
        <w:spacing w:before="240" w:after="240" w:line="276" w:lineRule="auto"/>
        <w:ind w:left="851"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lastRenderedPageBreak/>
        <w:t> </w:t>
      </w:r>
      <w:r w:rsidRPr="00F62F4E">
        <w:rPr>
          <w:rFonts w:ascii="Palatino Linotype" w:eastAsia="Palatino Linotype" w:hAnsi="Palatino Linotype" w:cs="Palatino Linotype"/>
          <w:b/>
          <w:i/>
          <w:sz w:val="22"/>
          <w:szCs w:val="22"/>
        </w:rPr>
        <w:t xml:space="preserve">III. </w:t>
      </w:r>
      <w:r w:rsidRPr="00F62F4E">
        <w:rPr>
          <w:rFonts w:ascii="Palatino Linotype" w:eastAsia="Palatino Linotype" w:hAnsi="Palatino Linotype" w:cs="Palatino Linotype"/>
          <w:b/>
          <w:i/>
          <w:sz w:val="22"/>
          <w:szCs w:val="22"/>
          <w:u w:val="single"/>
        </w:rPr>
        <w:t>Toda persona, sin necesidad de acreditar interés alguno o justificar su utilización, tendrá acceso gratuito a la información pública,</w:t>
      </w:r>
      <w:r w:rsidRPr="00F62F4E">
        <w:rPr>
          <w:rFonts w:ascii="Palatino Linotype" w:eastAsia="Palatino Linotype" w:hAnsi="Palatino Linotype" w:cs="Palatino Linotype"/>
          <w:i/>
          <w:sz w:val="22"/>
          <w:szCs w:val="22"/>
        </w:rPr>
        <w:t xml:space="preserve"> a sus datos personales o a la rectificación de éstos.</w:t>
      </w:r>
    </w:p>
    <w:p w:rsidR="00446F68" w:rsidRPr="00F62F4E" w:rsidRDefault="00F434DD">
      <w:pPr>
        <w:spacing w:before="240" w:after="240" w:line="276" w:lineRule="auto"/>
        <w:ind w:left="851"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w:t>
      </w:r>
      <w:r w:rsidRPr="00F62F4E">
        <w:rPr>
          <w:rFonts w:ascii="Palatino Linotype" w:eastAsia="Palatino Linotype" w:hAnsi="Palatino Linotype" w:cs="Palatino Linotype"/>
          <w:b/>
          <w:i/>
          <w:sz w:val="22"/>
          <w:szCs w:val="22"/>
        </w:rPr>
        <w:t xml:space="preserve">IV. </w:t>
      </w:r>
      <w:r w:rsidRPr="00F62F4E">
        <w:rPr>
          <w:rFonts w:ascii="Palatino Linotype" w:eastAsia="Palatino Linotype" w:hAnsi="Palatino Linotype" w:cs="Palatino Linotype"/>
          <w:i/>
          <w:sz w:val="22"/>
          <w:szCs w:val="22"/>
        </w:rPr>
        <w:t>Se establecerán mecanismos de acceso a la información y procedimientos de revisión expeditos que se sustanciarán ante los organismos autónomos especializados e imparciales que establece esta Constitución.</w:t>
      </w:r>
    </w:p>
    <w:p w:rsidR="00446F68" w:rsidRPr="00F62F4E" w:rsidRDefault="00F434DD">
      <w:pPr>
        <w:spacing w:before="240" w:after="240" w:line="276" w:lineRule="auto"/>
        <w:ind w:left="851"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 xml:space="preserve">V. </w:t>
      </w:r>
      <w:r w:rsidRPr="00F62F4E">
        <w:rPr>
          <w:rFonts w:ascii="Palatino Linotype" w:eastAsia="Palatino Linotype" w:hAnsi="Palatino Linotype" w:cs="Palatino Linotype"/>
          <w:i/>
          <w:sz w:val="22"/>
          <w:szCs w:val="22"/>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446F68" w:rsidRPr="00F62F4E" w:rsidRDefault="00F434DD">
      <w:pPr>
        <w:spacing w:before="240" w:after="240" w:line="276" w:lineRule="auto"/>
        <w:ind w:left="851"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w:t>
      </w:r>
      <w:r w:rsidRPr="00F62F4E">
        <w:rPr>
          <w:rFonts w:ascii="Palatino Linotype" w:eastAsia="Palatino Linotype" w:hAnsi="Palatino Linotype" w:cs="Palatino Linotype"/>
          <w:b/>
          <w:i/>
          <w:sz w:val="22"/>
          <w:szCs w:val="22"/>
        </w:rPr>
        <w:t xml:space="preserve">VI. </w:t>
      </w:r>
      <w:r w:rsidRPr="00F62F4E">
        <w:rPr>
          <w:rFonts w:ascii="Palatino Linotype" w:eastAsia="Palatino Linotype" w:hAnsi="Palatino Linotype" w:cs="Palatino Linotype"/>
          <w:i/>
          <w:sz w:val="22"/>
          <w:szCs w:val="22"/>
        </w:rPr>
        <w:t>Las leyes determinarán la manera en que los sujetos obligados deberán hacer pública la información relativa a los recursos públicos que entreguen a personas físicas o morales.</w:t>
      </w:r>
    </w:p>
    <w:p w:rsidR="00446F68" w:rsidRPr="00F62F4E" w:rsidRDefault="00F434DD">
      <w:pPr>
        <w:spacing w:before="240" w:after="240" w:line="276" w:lineRule="auto"/>
        <w:ind w:left="851"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w:t>
      </w:r>
      <w:r w:rsidRPr="00F62F4E">
        <w:rPr>
          <w:rFonts w:ascii="Palatino Linotype" w:eastAsia="Palatino Linotype" w:hAnsi="Palatino Linotype" w:cs="Palatino Linotype"/>
          <w:b/>
          <w:i/>
          <w:sz w:val="22"/>
          <w:szCs w:val="22"/>
        </w:rPr>
        <w:t xml:space="preserve">VII. </w:t>
      </w:r>
      <w:r w:rsidRPr="00F62F4E">
        <w:rPr>
          <w:rFonts w:ascii="Palatino Linotype" w:eastAsia="Palatino Linotype" w:hAnsi="Palatino Linotype" w:cs="Palatino Linotype"/>
          <w:i/>
          <w:sz w:val="22"/>
          <w:szCs w:val="22"/>
        </w:rPr>
        <w:t>La inobservancia a las disposiciones en materia de acceso a la información pública será sancionada en los términos que dispongan las leyes. [...]</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Esto es, que cualquier persona tiene el derecho al acceso de la información pública, información que consiste en aquella que sea generada, obtenida, adquirida, transformada, administrada o en posesión de los Sujetos Obligados, como así también lo señala la Ley de Transparencia y Acceso a la Información Pública del Estado de México y Municipios en su artículo 4,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rsidR="00446F68" w:rsidRPr="00F62F4E" w:rsidRDefault="00F434DD">
      <w:pPr>
        <w:spacing w:before="240" w:after="240" w:line="276" w:lineRule="auto"/>
        <w:ind w:left="709" w:right="76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lastRenderedPageBreak/>
        <w:t>“</w:t>
      </w:r>
      <w:r w:rsidRPr="00F62F4E">
        <w:rPr>
          <w:rFonts w:ascii="Palatino Linotype" w:eastAsia="Palatino Linotype" w:hAnsi="Palatino Linotype" w:cs="Palatino Linotype"/>
          <w:b/>
          <w:i/>
          <w:sz w:val="22"/>
          <w:szCs w:val="22"/>
        </w:rPr>
        <w:t>Artículo 4</w:t>
      </w:r>
      <w:r w:rsidRPr="00F62F4E">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446F68" w:rsidRPr="00F62F4E" w:rsidRDefault="00F434DD">
      <w:pPr>
        <w:spacing w:before="240" w:after="240" w:line="276" w:lineRule="auto"/>
        <w:ind w:left="709" w:right="760"/>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446F68" w:rsidRPr="00F62F4E" w:rsidRDefault="00F434DD">
      <w:pPr>
        <w:spacing w:before="240" w:after="240" w:line="276" w:lineRule="auto"/>
        <w:ind w:left="709" w:right="76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Los sujetos obligados deben poner en práctica, políticas y programas de acceso a la información que se apeguen a criterios de publicidad, veracidad, oportunidad, precisión y suficiencia en beneficio de los solicitantes.”(Sic)</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De lo precedente, se desprende que los Sujetos Obligados tiene la obligación o deber de atender las solicitudes de acceso a la información pública que se les hagan de su conocimiento y proporcionar la información pública que obren en su poder como así lo establece el artículo 12 de la Ley de Transparencia y Acceso a la Información Pública del Estado de México y Municipios, el cual a la letra dice:</w:t>
      </w:r>
    </w:p>
    <w:p w:rsidR="00446F68" w:rsidRPr="00F62F4E" w:rsidRDefault="00F434DD">
      <w:pPr>
        <w:spacing w:before="240" w:after="240" w:line="276" w:lineRule="auto"/>
        <w:ind w:left="567" w:right="758"/>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r w:rsidRPr="00F62F4E">
        <w:rPr>
          <w:rFonts w:ascii="Palatino Linotype" w:eastAsia="Palatino Linotype" w:hAnsi="Palatino Linotype" w:cs="Palatino Linotype"/>
          <w:b/>
          <w:i/>
          <w:sz w:val="22"/>
          <w:szCs w:val="22"/>
        </w:rPr>
        <w:t>Artículo 12</w:t>
      </w:r>
      <w:r w:rsidRPr="00F62F4E">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rsidR="00446F68" w:rsidRPr="00F62F4E" w:rsidRDefault="00F434DD">
      <w:pPr>
        <w:spacing w:before="240" w:after="240" w:line="276" w:lineRule="auto"/>
        <w:ind w:left="567" w:right="758"/>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Los sujetos obligados sólo proporcionarán la información pública que se les requiera y que obre en sus archivos y en el estado en que ésta se encuentre. La obligación de </w:t>
      </w:r>
      <w:r w:rsidRPr="00F62F4E">
        <w:rPr>
          <w:rFonts w:ascii="Palatino Linotype" w:eastAsia="Palatino Linotype" w:hAnsi="Palatino Linotype" w:cs="Palatino Linotype"/>
          <w:i/>
          <w:sz w:val="22"/>
          <w:szCs w:val="22"/>
        </w:rPr>
        <w:lastRenderedPageBreak/>
        <w:t>proporcionar información no comprende el procesamiento de la misma, ni el presentarla conforme al interés del solicitante; no estarán obligados a generarla, resumirla, efectuar cálculos o practicar investigaciones.” (Sic)</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Es decir, que el derecho de acceso a la información pública se satisface en aquellos casos en que se entregue documento en que conste la información requerida, toda vez que, los Sujetos Obligados</w:t>
      </w:r>
      <w:r w:rsidRPr="00F62F4E">
        <w:rPr>
          <w:rFonts w:ascii="Palatino Linotype" w:eastAsia="Palatino Linotype" w:hAnsi="Palatino Linotype" w:cs="Palatino Linotype"/>
          <w:b/>
        </w:rPr>
        <w:t xml:space="preserve"> </w:t>
      </w:r>
      <w:r w:rsidRPr="00F62F4E">
        <w:rPr>
          <w:rFonts w:ascii="Palatino Linotype" w:eastAsia="Palatino Linotype" w:hAnsi="Palatino Linotype" w:cs="Palatino Linotype"/>
        </w:rPr>
        <w:t xml:space="preserve">no tienen el deber de generar, poseer o administrar la información pública con el grado de detalle solicitado; esto es, que no tienen el deber de generar un documento </w:t>
      </w:r>
      <w:r w:rsidRPr="00F62F4E">
        <w:rPr>
          <w:rFonts w:ascii="Palatino Linotype" w:eastAsia="Palatino Linotype" w:hAnsi="Palatino Linotype" w:cs="Palatino Linotype"/>
          <w:i/>
        </w:rPr>
        <w:t>ad hoc</w:t>
      </w:r>
      <w:r w:rsidRPr="00F62F4E">
        <w:rPr>
          <w:rFonts w:ascii="Palatino Linotype" w:eastAsia="Palatino Linotype" w:hAnsi="Palatino Linotype" w:cs="Palatino Linotype"/>
        </w:rPr>
        <w:t>, para satisfacer el derecho de acceso a la información pública, como así lo establece el criterio 03/17 emitido por el Instituto Nacional de Transparencia, Acceso a la Información Pública y Protección de Datos Personales, el cual señala lo siguiente:</w:t>
      </w:r>
    </w:p>
    <w:p w:rsidR="00446F68" w:rsidRPr="00F62F4E" w:rsidRDefault="00F434DD">
      <w:pPr>
        <w:spacing w:before="240" w:after="240" w:line="276" w:lineRule="auto"/>
        <w:ind w:left="567" w:right="567"/>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i/>
          <w:sz w:val="22"/>
          <w:szCs w:val="22"/>
        </w:rPr>
        <w:t>03/17</w:t>
      </w:r>
    </w:p>
    <w:p w:rsidR="00446F68" w:rsidRPr="00F62F4E" w:rsidRDefault="00F434DD">
      <w:pPr>
        <w:spacing w:before="240" w:after="240" w:line="276" w:lineRule="auto"/>
        <w:ind w:left="567" w:right="567"/>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i/>
          <w:sz w:val="22"/>
          <w:szCs w:val="22"/>
        </w:rPr>
        <w:t>“NO EXISTE OBLIGACIÓN DE ELABORAR DOCUMENTOS AD HOC PARA ATENDER LAS SOLICITUDES DE ACCESO A LA INFORMACIÓN.</w:t>
      </w:r>
    </w:p>
    <w:p w:rsidR="00446F68" w:rsidRPr="00F62F4E" w:rsidRDefault="00F434DD">
      <w:pPr>
        <w:spacing w:before="240" w:after="240" w:line="276" w:lineRule="auto"/>
        <w:ind w:left="567" w:right="567"/>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información."(Sic)</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Por otra parte, y aunado a lo antepuesto, el último párrafo del artículo 24 de la Ley de la materia, dispone que los Sujetos Obligados sólo proporcionarán la información </w:t>
      </w:r>
      <w:r w:rsidRPr="00F62F4E">
        <w:rPr>
          <w:rFonts w:ascii="Palatino Linotype" w:eastAsia="Palatino Linotype" w:hAnsi="Palatino Linotype" w:cs="Palatino Linotype"/>
        </w:rPr>
        <w:lastRenderedPageBreak/>
        <w:t>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446F68" w:rsidRPr="00F62F4E" w:rsidRDefault="00F434DD">
      <w:pPr>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446F68" w:rsidRPr="00F62F4E" w:rsidRDefault="00F434DD">
      <w:pPr>
        <w:spacing w:before="240" w:after="240" w:line="276" w:lineRule="auto"/>
        <w:ind w:left="567" w:right="567"/>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r w:rsidRPr="00F62F4E">
        <w:rPr>
          <w:rFonts w:ascii="Palatino Linotype" w:eastAsia="Palatino Linotype" w:hAnsi="Palatino Linotype" w:cs="Palatino Linotype"/>
          <w:b/>
          <w:i/>
          <w:sz w:val="22"/>
          <w:szCs w:val="22"/>
        </w:rPr>
        <w:t xml:space="preserve">Artículo 3. </w:t>
      </w:r>
      <w:r w:rsidRPr="00F62F4E">
        <w:rPr>
          <w:rFonts w:ascii="Palatino Linotype" w:eastAsia="Palatino Linotype" w:hAnsi="Palatino Linotype" w:cs="Palatino Linotype"/>
          <w:i/>
          <w:sz w:val="22"/>
          <w:szCs w:val="22"/>
        </w:rPr>
        <w:t>Para los efectos de la presente Ley se entenderá por:</w:t>
      </w:r>
    </w:p>
    <w:p w:rsidR="00446F68" w:rsidRPr="00F62F4E" w:rsidRDefault="00F434DD">
      <w:pPr>
        <w:spacing w:before="240" w:after="240" w:line="276" w:lineRule="auto"/>
        <w:ind w:left="567" w:right="567"/>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spacing w:before="240" w:after="240" w:line="276" w:lineRule="auto"/>
        <w:ind w:left="567" w:right="567"/>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lastRenderedPageBreak/>
        <w:t>XI. Documento:</w:t>
      </w:r>
      <w:r w:rsidRPr="00F62F4E">
        <w:rPr>
          <w:rFonts w:ascii="Palatino Linotype" w:eastAsia="Palatino Linotype" w:hAnsi="Palatino Linotype" w:cs="Palatino Linotype"/>
          <w:i/>
          <w:sz w:val="22"/>
          <w:szCs w:val="22"/>
        </w:rPr>
        <w:t xml:space="preserve"> Los expedientes, reportes, estudios, </w:t>
      </w:r>
      <w:r w:rsidRPr="00F62F4E">
        <w:rPr>
          <w:rFonts w:ascii="Palatino Linotype" w:eastAsia="Palatino Linotype" w:hAnsi="Palatino Linotype" w:cs="Palatino Linotype"/>
          <w:b/>
          <w:i/>
          <w:sz w:val="22"/>
          <w:szCs w:val="22"/>
        </w:rPr>
        <w:t>actas,</w:t>
      </w:r>
      <w:r w:rsidRPr="00F62F4E">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r w:rsidRPr="00F62F4E">
        <w:rPr>
          <w:rFonts w:ascii="Palatino Linotype" w:eastAsia="Palatino Linotype" w:hAnsi="Palatino Linotype" w:cs="Palatino Linotype"/>
          <w:b/>
          <w:i/>
          <w:sz w:val="22"/>
          <w:szCs w:val="22"/>
        </w:rPr>
        <w:t>…</w:t>
      </w:r>
      <w:r w:rsidRPr="00F62F4E">
        <w:rPr>
          <w:rFonts w:ascii="Palatino Linotype" w:eastAsia="Palatino Linotype" w:hAnsi="Palatino Linotype" w:cs="Palatino Linotype"/>
          <w:i/>
          <w:sz w:val="22"/>
          <w:szCs w:val="22"/>
        </w:rPr>
        <w:t>” (Sic)</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446F68" w:rsidRPr="00F62F4E" w:rsidRDefault="00F434DD">
      <w:pPr>
        <w:spacing w:before="240" w:after="240" w:line="276" w:lineRule="auto"/>
        <w:ind w:left="567" w:right="567"/>
        <w:jc w:val="both"/>
        <w:rPr>
          <w:rFonts w:ascii="Palatino Linotype" w:eastAsia="Palatino Linotype" w:hAnsi="Palatino Linotype" w:cs="Palatino Linotype"/>
          <w:b/>
          <w:i/>
          <w:sz w:val="22"/>
          <w:szCs w:val="22"/>
        </w:rPr>
      </w:pPr>
      <w:r w:rsidRPr="00F62F4E">
        <w:rPr>
          <w:rFonts w:ascii="Palatino Linotype" w:eastAsia="Palatino Linotype" w:hAnsi="Palatino Linotype" w:cs="Palatino Linotype"/>
          <w:b/>
          <w:sz w:val="22"/>
          <w:szCs w:val="22"/>
        </w:rPr>
        <w:t>“</w:t>
      </w:r>
      <w:r w:rsidRPr="00F62F4E">
        <w:rPr>
          <w:rFonts w:ascii="Palatino Linotype" w:eastAsia="Palatino Linotype" w:hAnsi="Palatino Linotype" w:cs="Palatino Linotype"/>
          <w:b/>
          <w:i/>
          <w:sz w:val="22"/>
          <w:szCs w:val="22"/>
        </w:rPr>
        <w:t>CRITERIO 0002-11</w:t>
      </w:r>
    </w:p>
    <w:p w:rsidR="00446F68" w:rsidRPr="00F62F4E" w:rsidRDefault="00F434DD">
      <w:pPr>
        <w:spacing w:before="240" w:after="240" w:line="276" w:lineRule="auto"/>
        <w:ind w:left="567" w:right="567"/>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sidRPr="00F62F4E">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446F68" w:rsidRPr="00F62F4E" w:rsidRDefault="00F434DD">
      <w:pPr>
        <w:spacing w:before="240" w:after="240" w:line="276" w:lineRule="auto"/>
        <w:ind w:left="567" w:right="567"/>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En consecuencia el acceso a la información se refiere a que se cumplan cualquiera de los siguientes tres supuestos:</w:t>
      </w:r>
    </w:p>
    <w:p w:rsidR="00446F68" w:rsidRPr="00F62F4E" w:rsidRDefault="00F434DD">
      <w:pPr>
        <w:numPr>
          <w:ilvl w:val="0"/>
          <w:numId w:val="1"/>
        </w:numPr>
        <w:pBdr>
          <w:top w:val="nil"/>
          <w:left w:val="nil"/>
          <w:bottom w:val="nil"/>
          <w:right w:val="nil"/>
          <w:between w:val="nil"/>
        </w:pBdr>
        <w:spacing w:before="240" w:after="240" w:line="276" w:lineRule="auto"/>
        <w:ind w:left="567" w:right="567"/>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Que se trate de información registrada en cualquier soporte documental, que en ejercicio de las atribuciones conferidas, sea generada por los Sujetos Obligados;</w:t>
      </w:r>
    </w:p>
    <w:p w:rsidR="00446F68" w:rsidRPr="00F62F4E" w:rsidRDefault="00F434DD">
      <w:pPr>
        <w:numPr>
          <w:ilvl w:val="0"/>
          <w:numId w:val="1"/>
        </w:numPr>
        <w:pBdr>
          <w:top w:val="nil"/>
          <w:left w:val="nil"/>
          <w:bottom w:val="nil"/>
          <w:right w:val="nil"/>
          <w:between w:val="nil"/>
        </w:pBdr>
        <w:spacing w:before="240" w:after="240" w:line="276" w:lineRule="auto"/>
        <w:ind w:left="567" w:right="567"/>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lastRenderedPageBreak/>
        <w:t>Que se trate de información registrada en cualquier soporte documental, que en ejercicio de las atribuciones conferidas, sea administrada por los Sujetos Obligados, y</w:t>
      </w:r>
    </w:p>
    <w:p w:rsidR="00446F68" w:rsidRPr="00F62F4E" w:rsidRDefault="00F434DD">
      <w:pPr>
        <w:spacing w:before="240" w:after="240" w:line="276" w:lineRule="auto"/>
        <w:ind w:left="567" w:right="567" w:hanging="284"/>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3) </w:t>
      </w:r>
      <w:r w:rsidRPr="00F62F4E">
        <w:rPr>
          <w:rFonts w:ascii="Palatino Linotype" w:eastAsia="Palatino Linotype" w:hAnsi="Palatino Linotype" w:cs="Palatino Linotype"/>
          <w:b/>
          <w:i/>
          <w:sz w:val="22"/>
          <w:szCs w:val="22"/>
        </w:rPr>
        <w:t>Que se trate de información registrada en cualquier soporte documental, que en ejercicio de las atribuciones conferidas, se encuentre en posesión de los Sujetos Obligados.” (Sic)</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De ahí que 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cuenta con el deber de satisfacer las solicitudes de acceso a la información que le sean formuladas y entregar la información pública que obre en sus archivos; más aún si la misma se trata de información pública de oficio la cual se relaciona con aquella que se genere de acuerdo con sus facultades, atribuciones señaladas por la Ley en la materia</w:t>
      </w:r>
      <w:r w:rsidRPr="00F62F4E">
        <w:rPr>
          <w:rFonts w:ascii="Palatino Linotype" w:eastAsia="Palatino Linotype" w:hAnsi="Palatino Linotype" w:cs="Palatino Linotype"/>
          <w:vertAlign w:val="superscript"/>
        </w:rPr>
        <w:footnoteReference w:id="1"/>
      </w:r>
      <w:r w:rsidRPr="00F62F4E">
        <w:rPr>
          <w:rFonts w:ascii="Palatino Linotype" w:eastAsia="Palatino Linotype" w:hAnsi="Palatino Linotype" w:cs="Palatino Linotype"/>
        </w:rPr>
        <w:t>, así como de interés público, es decir, aquella que resulta relevante o beneficiosa para la sociedad y no simplemente de interés individual, y cuya divulgación resulta útil para que el público comprenda las actividades que llevan a cabo los Sujetos Obligados</w:t>
      </w:r>
      <w:r w:rsidRPr="00F62F4E">
        <w:rPr>
          <w:rFonts w:ascii="Palatino Linotype" w:eastAsia="Palatino Linotype" w:hAnsi="Palatino Linotype" w:cs="Palatino Linotype"/>
          <w:vertAlign w:val="superscript"/>
        </w:rPr>
        <w:footnoteReference w:id="2"/>
      </w:r>
      <w:r w:rsidRPr="00F62F4E">
        <w:rPr>
          <w:rFonts w:ascii="Palatino Linotype" w:eastAsia="Palatino Linotype" w:hAnsi="Palatino Linotype" w:cs="Palatino Linotype"/>
        </w:rPr>
        <w:t>.</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Ahora bien, para profundizar en el estudio del presente asunto, es conveniente recordar que la parte solicitante requirió al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le proporcionara lo siguiente:</w:t>
      </w:r>
    </w:p>
    <w:p w:rsidR="00446F68" w:rsidRPr="00F62F4E" w:rsidRDefault="00F434DD">
      <w:pPr>
        <w:numPr>
          <w:ilvl w:val="0"/>
          <w:numId w:val="3"/>
        </w:numPr>
        <w:pBdr>
          <w:top w:val="nil"/>
          <w:left w:val="nil"/>
          <w:bottom w:val="nil"/>
          <w:right w:val="nil"/>
          <w:between w:val="nil"/>
        </w:pBdr>
        <w:tabs>
          <w:tab w:val="left" w:pos="7513"/>
        </w:tabs>
        <w:spacing w:before="240" w:after="240" w:line="360" w:lineRule="auto"/>
        <w:ind w:right="49"/>
        <w:jc w:val="both"/>
        <w:rPr>
          <w:rFonts w:ascii="Palatino Linotype" w:eastAsia="Palatino Linotype" w:hAnsi="Palatino Linotype" w:cs="Palatino Linotype"/>
          <w:b/>
        </w:rPr>
      </w:pPr>
      <w:r w:rsidRPr="00F62F4E">
        <w:rPr>
          <w:rFonts w:ascii="Palatino Linotype" w:eastAsia="Palatino Linotype" w:hAnsi="Palatino Linotype" w:cs="Palatino Linotype"/>
          <w:b/>
        </w:rPr>
        <w:t>PLAN ANUAL DE OBRAS 2022.</w:t>
      </w:r>
    </w:p>
    <w:p w:rsidR="00446F68" w:rsidRPr="00F62F4E" w:rsidRDefault="00F434DD">
      <w:pPr>
        <w:tabs>
          <w:tab w:val="left" w:pos="7513"/>
        </w:tabs>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rPr>
        <w:lastRenderedPageBreak/>
        <w:t xml:space="preserve">Al respecto, 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manifestó por conducto del Director de Desarrollo Urbano y del Secretario del Ayuntamiento la entrega del </w:t>
      </w:r>
      <w:r w:rsidRPr="00F62F4E">
        <w:rPr>
          <w:rFonts w:ascii="Palatino Linotype" w:eastAsia="Palatino Linotype" w:hAnsi="Palatino Linotype" w:cs="Palatino Linotype"/>
          <w:b/>
        </w:rPr>
        <w:t>Plan Anual de Obras 2022</w:t>
      </w:r>
      <w:r w:rsidRPr="00F62F4E">
        <w:rPr>
          <w:rFonts w:ascii="Palatino Linotype" w:eastAsia="Palatino Linotype" w:hAnsi="Palatino Linotype" w:cs="Palatino Linotype"/>
        </w:rPr>
        <w:t>, en versión pública, testando el monto asignado, como se muestra a continuación:</w:t>
      </w:r>
    </w:p>
    <w:p w:rsidR="00446F68" w:rsidRPr="00F62F4E" w:rsidRDefault="00F434DD">
      <w:pPr>
        <w:tabs>
          <w:tab w:val="left" w:pos="7513"/>
        </w:tabs>
        <w:spacing w:before="240" w:after="240" w:line="360" w:lineRule="auto"/>
        <w:ind w:right="49"/>
        <w:jc w:val="center"/>
        <w:rPr>
          <w:rFonts w:ascii="Palatino Linotype" w:eastAsia="Palatino Linotype" w:hAnsi="Palatino Linotype" w:cs="Palatino Linotype"/>
        </w:rPr>
      </w:pPr>
      <w:r w:rsidRPr="00F62F4E">
        <w:rPr>
          <w:noProof/>
          <w:lang w:val="es-MX"/>
        </w:rPr>
        <w:drawing>
          <wp:inline distT="0" distB="0" distL="0" distR="0">
            <wp:extent cx="4910665" cy="3093853"/>
            <wp:effectExtent l="0" t="0" r="0" b="0"/>
            <wp:docPr id="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l="25430" t="17900" r="44053" b="40364"/>
                    <a:stretch>
                      <a:fillRect/>
                    </a:stretch>
                  </pic:blipFill>
                  <pic:spPr>
                    <a:xfrm>
                      <a:off x="0" y="0"/>
                      <a:ext cx="4910665" cy="3093853"/>
                    </a:xfrm>
                    <a:prstGeom prst="rect">
                      <a:avLst/>
                    </a:prstGeom>
                    <a:ln/>
                  </pic:spPr>
                </pic:pic>
              </a:graphicData>
            </a:graphic>
          </wp:inline>
        </w:drawing>
      </w:r>
    </w:p>
    <w:p w:rsidR="00446F68" w:rsidRPr="00F62F4E" w:rsidRDefault="00F434DD">
      <w:pPr>
        <w:tabs>
          <w:tab w:val="left" w:pos="7513"/>
        </w:tabs>
        <w:spacing w:before="240" w:after="240" w:line="360" w:lineRule="auto"/>
        <w:ind w:right="49"/>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Agrega también a la respuesta, la prueba de daño signada por el Director de Obras Públicas, mediante el cual, solicita se someta a consideración del Comité de Transparencia, la reserva parcial y temporal de información correspondiente al monto asignado a cada obra o acción y el Acta de la Tercera Sesión Extraordinaria del Comité de Transparencia del veintiuno de abril de dos mil veintidós, mediante el cual presentan y aprueban la clasificación de la información reservada, documentos que quedaron referidos en los antecedentes. </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lastRenderedPageBreak/>
        <w:t xml:space="preserve">Conocida la respuesta a la solicitud de información, el particular, al no estar conforme con los términos de la misma, interpuso el recurso de revisión que nos ocupa, donde señaló como motivos de inconformidad: </w:t>
      </w:r>
      <w:r w:rsidRPr="00F62F4E">
        <w:rPr>
          <w:rFonts w:ascii="Palatino Linotype" w:eastAsia="Palatino Linotype" w:hAnsi="Palatino Linotype" w:cs="Palatino Linotype"/>
          <w:b/>
        </w:rPr>
        <w:t xml:space="preserve">La clasificación de la información solicitada y la ausencia de fundamentación y motivación de la respuesta, </w:t>
      </w:r>
      <w:r w:rsidRPr="00F62F4E">
        <w:rPr>
          <w:rFonts w:ascii="Palatino Linotype" w:eastAsia="Palatino Linotype" w:hAnsi="Palatino Linotype" w:cs="Palatino Linotype"/>
        </w:rPr>
        <w:t xml:space="preserve">en el documento que adjunta a su formato de recurso de revisión, denominado: </w:t>
      </w:r>
      <w:r w:rsidRPr="00F62F4E">
        <w:rPr>
          <w:rFonts w:ascii="Palatino Linotype" w:eastAsia="Palatino Linotype" w:hAnsi="Palatino Linotype" w:cs="Palatino Linotype"/>
          <w:b/>
          <w:i/>
        </w:rPr>
        <w:t>recurso obras publicas.pdf</w:t>
      </w:r>
      <w:r w:rsidRPr="00F62F4E">
        <w:rPr>
          <w:rFonts w:ascii="Palatino Linotype" w:eastAsia="Palatino Linotype" w:hAnsi="Palatino Linotype" w:cs="Palatino Linotype"/>
        </w:rPr>
        <w:t xml:space="preserve">, descrito en los antecedentes. </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Así las cosas, durante la etapa de manifestaciones, 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n o rindió informe justificado, asimismo se tiene que </w:t>
      </w:r>
      <w:r w:rsidRPr="00F62F4E">
        <w:rPr>
          <w:rFonts w:ascii="Palatino Linotype" w:eastAsia="Palatino Linotype" w:hAnsi="Palatino Linotype" w:cs="Palatino Linotype"/>
          <w:b/>
        </w:rPr>
        <w:t>la parte Recurrente</w:t>
      </w:r>
      <w:r w:rsidRPr="00F62F4E">
        <w:rPr>
          <w:rFonts w:ascii="Palatino Linotype" w:eastAsia="Palatino Linotype" w:hAnsi="Palatino Linotype" w:cs="Palatino Linotype"/>
        </w:rPr>
        <w:t xml:space="preserve"> no emitió alegatos, manifestaciones o pronunciamiento alguno que a su derecho conviniera, luego entonces, se tiene por </w:t>
      </w:r>
      <w:proofErr w:type="spellStart"/>
      <w:r w:rsidRPr="00F62F4E">
        <w:rPr>
          <w:rFonts w:ascii="Palatino Linotype" w:eastAsia="Palatino Linotype" w:hAnsi="Palatino Linotype" w:cs="Palatino Linotype"/>
        </w:rPr>
        <w:t>precluido</w:t>
      </w:r>
      <w:proofErr w:type="spellEnd"/>
      <w:r w:rsidRPr="00F62F4E">
        <w:rPr>
          <w:rFonts w:ascii="Palatino Linotype" w:eastAsia="Palatino Linotype" w:hAnsi="Palatino Linotype" w:cs="Palatino Linotype"/>
        </w:rPr>
        <w:t xml:space="preserve"> su derecho para tal efecto.</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Ahora bien, a efecto de garantizar el efectivo ejercicio del derecho de acceso a la información pública que asiste al particular, resulta conveniente entrar al estudio de las siguientes consideraciones de hecho y derecho: </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De conformidad con lo previsto por los artículos 31, fracción XXI; 87, fracción III y 96 bis, fracción II de la Ley Orgánica Municipal del Estado de México, así como el artículo 92 del Bando Municipal vigente, los cuales son del tenor literal siguiente:</w:t>
      </w:r>
    </w:p>
    <w:p w:rsidR="00446F68" w:rsidRPr="00F62F4E" w:rsidRDefault="00F434DD">
      <w:pPr>
        <w:tabs>
          <w:tab w:val="left" w:pos="7797"/>
        </w:tabs>
        <w:spacing w:before="240" w:after="240" w:line="360" w:lineRule="auto"/>
        <w:ind w:left="1134" w:right="992"/>
        <w:jc w:val="center"/>
        <w:rPr>
          <w:rFonts w:ascii="Palatino Linotype" w:eastAsia="Palatino Linotype" w:hAnsi="Palatino Linotype" w:cs="Palatino Linotype"/>
          <w:b/>
          <w:sz w:val="22"/>
          <w:szCs w:val="22"/>
        </w:rPr>
      </w:pPr>
      <w:r w:rsidRPr="00F62F4E">
        <w:rPr>
          <w:rFonts w:ascii="Palatino Linotype" w:eastAsia="Palatino Linotype" w:hAnsi="Palatino Linotype" w:cs="Palatino Linotype"/>
          <w:b/>
          <w:sz w:val="22"/>
          <w:szCs w:val="22"/>
        </w:rPr>
        <w:t>Ley Orgánica Municipal</w:t>
      </w:r>
    </w:p>
    <w:p w:rsidR="00446F68" w:rsidRPr="00F62F4E" w:rsidRDefault="00F434DD">
      <w:pP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“Artículo 31.- Son </w:t>
      </w:r>
      <w:r w:rsidRPr="00F62F4E">
        <w:rPr>
          <w:rFonts w:ascii="Palatino Linotype" w:eastAsia="Palatino Linotype" w:hAnsi="Palatino Linotype" w:cs="Palatino Linotype"/>
          <w:b/>
          <w:i/>
          <w:sz w:val="22"/>
          <w:szCs w:val="22"/>
        </w:rPr>
        <w:t>atribuciones de los ayuntamientos</w:t>
      </w:r>
      <w:r w:rsidRPr="00F62F4E">
        <w:rPr>
          <w:rFonts w:ascii="Palatino Linotype" w:eastAsia="Palatino Linotype" w:hAnsi="Palatino Linotype" w:cs="Palatino Linotype"/>
          <w:i/>
          <w:sz w:val="22"/>
          <w:szCs w:val="22"/>
        </w:rPr>
        <w:t>:</w:t>
      </w:r>
    </w:p>
    <w:p w:rsidR="00446F68" w:rsidRPr="00F62F4E" w:rsidRDefault="00F434DD">
      <w:pP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pBdr>
          <w:top w:val="nil"/>
          <w:left w:val="nil"/>
          <w:bottom w:val="nil"/>
          <w:right w:val="nil"/>
          <w:between w:val="nil"/>
        </w:pBd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XXI. </w:t>
      </w:r>
      <w:r w:rsidRPr="00F62F4E">
        <w:rPr>
          <w:rFonts w:ascii="Palatino Linotype" w:eastAsia="Palatino Linotype" w:hAnsi="Palatino Linotype" w:cs="Palatino Linotype"/>
          <w:b/>
          <w:i/>
          <w:sz w:val="22"/>
          <w:szCs w:val="22"/>
        </w:rPr>
        <w:t>Formular, aprobar y ejecutar</w:t>
      </w:r>
      <w:r w:rsidRPr="00F62F4E">
        <w:rPr>
          <w:rFonts w:ascii="Palatino Linotype" w:eastAsia="Palatino Linotype" w:hAnsi="Palatino Linotype" w:cs="Palatino Linotype"/>
          <w:i/>
          <w:sz w:val="22"/>
          <w:szCs w:val="22"/>
        </w:rPr>
        <w:t xml:space="preserve"> los planes de desarrollo municipal y </w:t>
      </w:r>
      <w:r w:rsidRPr="00F62F4E">
        <w:rPr>
          <w:rFonts w:ascii="Palatino Linotype" w:eastAsia="Palatino Linotype" w:hAnsi="Palatino Linotype" w:cs="Palatino Linotype"/>
          <w:b/>
          <w:i/>
          <w:sz w:val="22"/>
          <w:szCs w:val="22"/>
        </w:rPr>
        <w:t>los Programas correspondientes</w:t>
      </w:r>
      <w:r w:rsidRPr="00F62F4E">
        <w:rPr>
          <w:rFonts w:ascii="Palatino Linotype" w:eastAsia="Palatino Linotype" w:hAnsi="Palatino Linotype" w:cs="Palatino Linotype"/>
          <w:i/>
          <w:sz w:val="22"/>
          <w:szCs w:val="22"/>
        </w:rPr>
        <w:t>;…”</w:t>
      </w:r>
    </w:p>
    <w:p w:rsidR="00446F68" w:rsidRPr="00F62F4E" w:rsidRDefault="00F434DD">
      <w:pPr>
        <w:pBdr>
          <w:top w:val="nil"/>
          <w:left w:val="nil"/>
          <w:bottom w:val="nil"/>
          <w:right w:val="nil"/>
          <w:between w:val="nil"/>
        </w:pBd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lastRenderedPageBreak/>
        <w:t xml:space="preserve">“Artículo 87.- Para el despacho, estudio y planeación de los diversos asuntos de la administración municipal, </w:t>
      </w:r>
      <w:r w:rsidRPr="00F62F4E">
        <w:rPr>
          <w:rFonts w:ascii="Palatino Linotype" w:eastAsia="Palatino Linotype" w:hAnsi="Palatino Linotype" w:cs="Palatino Linotype"/>
          <w:b/>
          <w:i/>
          <w:sz w:val="22"/>
          <w:szCs w:val="22"/>
        </w:rPr>
        <w:t>el ayuntamiento contará</w:t>
      </w:r>
      <w:r w:rsidRPr="00F62F4E">
        <w:rPr>
          <w:rFonts w:ascii="Palatino Linotype" w:eastAsia="Palatino Linotype" w:hAnsi="Palatino Linotype" w:cs="Palatino Linotype"/>
          <w:i/>
          <w:sz w:val="22"/>
          <w:szCs w:val="22"/>
        </w:rPr>
        <w:t xml:space="preserve"> por lo menos </w:t>
      </w:r>
      <w:r w:rsidRPr="00F62F4E">
        <w:rPr>
          <w:rFonts w:ascii="Palatino Linotype" w:eastAsia="Palatino Linotype" w:hAnsi="Palatino Linotype" w:cs="Palatino Linotype"/>
          <w:b/>
          <w:i/>
          <w:sz w:val="22"/>
          <w:szCs w:val="22"/>
        </w:rPr>
        <w:t>con</w:t>
      </w:r>
      <w:r w:rsidRPr="00F62F4E">
        <w:rPr>
          <w:rFonts w:ascii="Palatino Linotype" w:eastAsia="Palatino Linotype" w:hAnsi="Palatino Linotype" w:cs="Palatino Linotype"/>
          <w:i/>
          <w:sz w:val="22"/>
          <w:szCs w:val="22"/>
        </w:rPr>
        <w:t xml:space="preserve"> </w:t>
      </w:r>
      <w:r w:rsidRPr="00F62F4E">
        <w:rPr>
          <w:rFonts w:ascii="Palatino Linotype" w:eastAsia="Palatino Linotype" w:hAnsi="Palatino Linotype" w:cs="Palatino Linotype"/>
          <w:b/>
          <w:i/>
          <w:sz w:val="22"/>
          <w:szCs w:val="22"/>
        </w:rPr>
        <w:t>las siguientes Dependencias</w:t>
      </w:r>
      <w:r w:rsidRPr="00F62F4E">
        <w:rPr>
          <w:rFonts w:ascii="Palatino Linotype" w:eastAsia="Palatino Linotype" w:hAnsi="Palatino Linotype" w:cs="Palatino Linotype"/>
          <w:i/>
          <w:sz w:val="22"/>
          <w:szCs w:val="22"/>
        </w:rPr>
        <w:t>: (…)</w:t>
      </w:r>
    </w:p>
    <w:p w:rsidR="00446F68" w:rsidRPr="00F62F4E" w:rsidRDefault="00F434DD">
      <w:pPr>
        <w:pBdr>
          <w:top w:val="nil"/>
          <w:left w:val="nil"/>
          <w:bottom w:val="nil"/>
          <w:right w:val="nil"/>
          <w:between w:val="nil"/>
        </w:pBd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III. </w:t>
      </w:r>
      <w:r w:rsidRPr="00F62F4E">
        <w:rPr>
          <w:rFonts w:ascii="Palatino Linotype" w:eastAsia="Palatino Linotype" w:hAnsi="Palatino Linotype" w:cs="Palatino Linotype"/>
          <w:b/>
          <w:i/>
          <w:sz w:val="22"/>
          <w:szCs w:val="22"/>
        </w:rPr>
        <w:t>La Dirección de Obras Públicas o equivalente</w:t>
      </w:r>
      <w:r w:rsidRPr="00F62F4E">
        <w:rPr>
          <w:rFonts w:ascii="Palatino Linotype" w:eastAsia="Palatino Linotype" w:hAnsi="Palatino Linotype" w:cs="Palatino Linotype"/>
          <w:i/>
          <w:sz w:val="22"/>
          <w:szCs w:val="22"/>
        </w:rPr>
        <w:t>…”</w:t>
      </w:r>
    </w:p>
    <w:p w:rsidR="00446F68" w:rsidRPr="00F62F4E" w:rsidRDefault="00F434DD">
      <w:pPr>
        <w:pBdr>
          <w:top w:val="nil"/>
          <w:left w:val="nil"/>
          <w:bottom w:val="nil"/>
          <w:right w:val="nil"/>
          <w:between w:val="nil"/>
        </w:pBd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“Artículo 96. Bis.- El </w:t>
      </w:r>
      <w:r w:rsidRPr="00F62F4E">
        <w:rPr>
          <w:rFonts w:ascii="Palatino Linotype" w:eastAsia="Palatino Linotype" w:hAnsi="Palatino Linotype" w:cs="Palatino Linotype"/>
          <w:b/>
          <w:i/>
          <w:sz w:val="22"/>
          <w:szCs w:val="22"/>
        </w:rPr>
        <w:t>Director de Obras Públicas</w:t>
      </w:r>
      <w:r w:rsidRPr="00F62F4E">
        <w:rPr>
          <w:rFonts w:ascii="Palatino Linotype" w:eastAsia="Palatino Linotype" w:hAnsi="Palatino Linotype" w:cs="Palatino Linotype"/>
          <w:i/>
          <w:sz w:val="22"/>
          <w:szCs w:val="22"/>
        </w:rPr>
        <w:t xml:space="preserve"> o el Titular de la Unidad Administrativa equivalente, tiene las siguientes </w:t>
      </w:r>
      <w:r w:rsidRPr="00F62F4E">
        <w:rPr>
          <w:rFonts w:ascii="Palatino Linotype" w:eastAsia="Palatino Linotype" w:hAnsi="Palatino Linotype" w:cs="Palatino Linotype"/>
          <w:b/>
          <w:i/>
          <w:sz w:val="22"/>
          <w:szCs w:val="22"/>
        </w:rPr>
        <w:t>atribuciones</w:t>
      </w:r>
      <w:r w:rsidRPr="00F62F4E">
        <w:rPr>
          <w:rFonts w:ascii="Palatino Linotype" w:eastAsia="Palatino Linotype" w:hAnsi="Palatino Linotype" w:cs="Palatino Linotype"/>
          <w:i/>
          <w:sz w:val="22"/>
          <w:szCs w:val="22"/>
        </w:rPr>
        <w:t xml:space="preserve">: </w:t>
      </w:r>
    </w:p>
    <w:p w:rsidR="00446F68" w:rsidRPr="00F62F4E" w:rsidRDefault="00F434DD">
      <w:pPr>
        <w:pBdr>
          <w:top w:val="nil"/>
          <w:left w:val="nil"/>
          <w:bottom w:val="nil"/>
          <w:right w:val="nil"/>
          <w:between w:val="nil"/>
        </w:pBd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I. </w:t>
      </w:r>
      <w:r w:rsidRPr="00F62F4E">
        <w:rPr>
          <w:rFonts w:ascii="Palatino Linotype" w:eastAsia="Palatino Linotype" w:hAnsi="Palatino Linotype" w:cs="Palatino Linotype"/>
          <w:b/>
          <w:i/>
          <w:sz w:val="22"/>
          <w:szCs w:val="22"/>
        </w:rPr>
        <w:t>Realizar la programación y ejecución de las obras públicas y servicios relacionados</w:t>
      </w:r>
      <w:r w:rsidRPr="00F62F4E">
        <w:rPr>
          <w:rFonts w:ascii="Palatino Linotype" w:eastAsia="Palatino Linotype" w:hAnsi="Palatino Linotype" w:cs="Palatino Linotype"/>
          <w:i/>
          <w:sz w:val="22"/>
          <w:szCs w:val="22"/>
        </w:rPr>
        <w:t xml:space="preserve">, que por orden expresa del Ayuntamiento requieran prioridad </w:t>
      </w:r>
    </w:p>
    <w:p w:rsidR="00446F68" w:rsidRPr="00F62F4E" w:rsidRDefault="00F434DD">
      <w:pPr>
        <w:pBdr>
          <w:top w:val="nil"/>
          <w:left w:val="nil"/>
          <w:bottom w:val="nil"/>
          <w:right w:val="nil"/>
          <w:between w:val="nil"/>
        </w:pBd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II. </w:t>
      </w:r>
      <w:r w:rsidRPr="00F62F4E">
        <w:rPr>
          <w:rFonts w:ascii="Palatino Linotype" w:eastAsia="Palatino Linotype" w:hAnsi="Palatino Linotype" w:cs="Palatino Linotype"/>
          <w:b/>
          <w:i/>
          <w:sz w:val="22"/>
          <w:szCs w:val="22"/>
        </w:rPr>
        <w:t xml:space="preserve">Planear y coordinar los </w:t>
      </w:r>
      <w:r w:rsidRPr="00F62F4E">
        <w:rPr>
          <w:rFonts w:ascii="Palatino Linotype" w:eastAsia="Palatino Linotype" w:hAnsi="Palatino Linotype" w:cs="Palatino Linotype"/>
          <w:b/>
          <w:i/>
          <w:sz w:val="22"/>
          <w:szCs w:val="22"/>
          <w:u w:val="single"/>
        </w:rPr>
        <w:t>proyectos</w:t>
      </w:r>
      <w:r w:rsidRPr="00F62F4E">
        <w:rPr>
          <w:rFonts w:ascii="Palatino Linotype" w:eastAsia="Palatino Linotype" w:hAnsi="Palatino Linotype" w:cs="Palatino Linotype"/>
          <w:b/>
          <w:i/>
          <w:sz w:val="22"/>
          <w:szCs w:val="22"/>
        </w:rPr>
        <w:t xml:space="preserve"> de obras públicas y servicios relacionados con las mismas</w:t>
      </w:r>
      <w:r w:rsidRPr="00F62F4E">
        <w:rPr>
          <w:rFonts w:ascii="Palatino Linotype" w:eastAsia="Palatino Linotype" w:hAnsi="Palatino Linotype" w:cs="Palatino Linotype"/>
          <w:i/>
          <w:sz w:val="22"/>
          <w:szCs w:val="22"/>
        </w:rPr>
        <w:t xml:space="preserve"> que autorice el Ayuntamiento, una vez que se cumplan los requisitos de licitación y otros que determine la ley de la materia;</w:t>
      </w:r>
    </w:p>
    <w:p w:rsidR="00446F68" w:rsidRPr="00F62F4E" w:rsidRDefault="00F434DD">
      <w:pPr>
        <w:pBdr>
          <w:top w:val="nil"/>
          <w:left w:val="nil"/>
          <w:bottom w:val="nil"/>
          <w:right w:val="nil"/>
          <w:between w:val="nil"/>
        </w:pBd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pBdr>
          <w:top w:val="nil"/>
          <w:left w:val="nil"/>
          <w:bottom w:val="nil"/>
          <w:right w:val="nil"/>
          <w:between w:val="nil"/>
        </w:pBdr>
        <w:tabs>
          <w:tab w:val="left" w:pos="7797"/>
        </w:tabs>
        <w:spacing w:line="276" w:lineRule="auto"/>
        <w:ind w:left="1134" w:right="992"/>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XV. </w:t>
      </w:r>
      <w:r w:rsidRPr="00F62F4E">
        <w:rPr>
          <w:rFonts w:ascii="Palatino Linotype" w:eastAsia="Palatino Linotype" w:hAnsi="Palatino Linotype" w:cs="Palatino Linotype"/>
          <w:b/>
          <w:i/>
          <w:sz w:val="22"/>
          <w:szCs w:val="22"/>
          <w:u w:val="single"/>
        </w:rPr>
        <w:t>Proyectar, formular y proponer al Presidente Municipal, el Programa General de Obras Públicas</w:t>
      </w:r>
      <w:r w:rsidRPr="00F62F4E">
        <w:rPr>
          <w:rFonts w:ascii="Palatino Linotype" w:eastAsia="Palatino Linotype" w:hAnsi="Palatino Linotype" w:cs="Palatino Linotype"/>
          <w:i/>
          <w:sz w:val="22"/>
          <w:szCs w:val="22"/>
        </w:rPr>
        <w:t>, para la construcción y mejoramiento de las mismas, de acuerdo a la normatividad aplicable y en congruencia con el Plan de Desarrollo Municipal y con la política, objetivos y prioridades del Municipio y vigilar su ejecución;…”</w:t>
      </w:r>
    </w:p>
    <w:p w:rsidR="00446F68" w:rsidRPr="00F62F4E" w:rsidRDefault="00446F68">
      <w:pPr>
        <w:pBdr>
          <w:top w:val="nil"/>
          <w:left w:val="nil"/>
          <w:bottom w:val="nil"/>
          <w:right w:val="nil"/>
          <w:between w:val="nil"/>
        </w:pBdr>
        <w:spacing w:line="276" w:lineRule="auto"/>
        <w:ind w:right="900"/>
        <w:jc w:val="both"/>
        <w:rPr>
          <w:rFonts w:ascii="Palatino Linotype" w:eastAsia="Palatino Linotype" w:hAnsi="Palatino Linotype" w:cs="Palatino Linotype"/>
          <w:i/>
          <w:sz w:val="22"/>
          <w:szCs w:val="22"/>
        </w:rPr>
      </w:pPr>
    </w:p>
    <w:p w:rsidR="00446F68" w:rsidRPr="00F62F4E" w:rsidRDefault="00F434DD">
      <w:pPr>
        <w:spacing w:before="240" w:after="240" w:line="276" w:lineRule="auto"/>
        <w:ind w:left="567" w:right="851"/>
        <w:jc w:val="center"/>
        <w:rPr>
          <w:rFonts w:ascii="Palatino Linotype" w:eastAsia="Palatino Linotype" w:hAnsi="Palatino Linotype" w:cs="Palatino Linotype"/>
          <w:b/>
          <w:sz w:val="22"/>
          <w:szCs w:val="22"/>
        </w:rPr>
      </w:pPr>
      <w:r w:rsidRPr="00F62F4E">
        <w:rPr>
          <w:rFonts w:ascii="Palatino Linotype" w:eastAsia="Palatino Linotype" w:hAnsi="Palatino Linotype" w:cs="Palatino Linotype"/>
          <w:b/>
          <w:sz w:val="22"/>
          <w:szCs w:val="22"/>
        </w:rPr>
        <w:t xml:space="preserve">Bando Municipal de </w:t>
      </w:r>
      <w:proofErr w:type="spellStart"/>
      <w:r w:rsidRPr="00F62F4E">
        <w:rPr>
          <w:rFonts w:ascii="Palatino Linotype" w:eastAsia="Palatino Linotype" w:hAnsi="Palatino Linotype" w:cs="Palatino Linotype"/>
          <w:b/>
          <w:sz w:val="22"/>
          <w:szCs w:val="22"/>
        </w:rPr>
        <w:t>Xonacatlán</w:t>
      </w:r>
      <w:proofErr w:type="spellEnd"/>
      <w:r w:rsidRPr="00F62F4E">
        <w:rPr>
          <w:rFonts w:ascii="Palatino Linotype" w:eastAsia="Palatino Linotype" w:hAnsi="Palatino Linotype" w:cs="Palatino Linotype"/>
          <w:b/>
          <w:sz w:val="22"/>
          <w:szCs w:val="22"/>
        </w:rPr>
        <w:t xml:space="preserve"> 2022</w:t>
      </w:r>
    </w:p>
    <w:p w:rsidR="00446F68" w:rsidRPr="00F62F4E" w:rsidRDefault="00F434DD">
      <w:pPr>
        <w:spacing w:before="240" w:after="240" w:line="276" w:lineRule="auto"/>
        <w:ind w:left="567" w:right="851"/>
        <w:jc w:val="center"/>
        <w:rPr>
          <w:rFonts w:ascii="Palatino Linotype" w:eastAsia="Palatino Linotype" w:hAnsi="Palatino Linotype" w:cs="Palatino Linotype"/>
          <w:b/>
          <w:sz w:val="22"/>
          <w:szCs w:val="22"/>
        </w:rPr>
      </w:pPr>
      <w:r w:rsidRPr="00F62F4E">
        <w:rPr>
          <w:noProof/>
          <w:lang w:val="es-MX"/>
        </w:rPr>
        <w:drawing>
          <wp:inline distT="0" distB="0" distL="0" distR="0">
            <wp:extent cx="4782902" cy="1144941"/>
            <wp:effectExtent l="0" t="0" r="0" b="0"/>
            <wp:docPr id="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l="42872" t="28114" r="31142" b="60826"/>
                    <a:stretch>
                      <a:fillRect/>
                    </a:stretch>
                  </pic:blipFill>
                  <pic:spPr>
                    <a:xfrm>
                      <a:off x="0" y="0"/>
                      <a:ext cx="4782902" cy="1144941"/>
                    </a:xfrm>
                    <a:prstGeom prst="rect">
                      <a:avLst/>
                    </a:prstGeom>
                    <a:ln/>
                  </pic:spPr>
                </pic:pic>
              </a:graphicData>
            </a:graphic>
          </wp:inline>
        </w:drawing>
      </w:r>
    </w:p>
    <w:p w:rsidR="00446F68" w:rsidRPr="00F62F4E" w:rsidRDefault="00F434DD">
      <w:pPr>
        <w:spacing w:before="240" w:after="240" w:line="276" w:lineRule="auto"/>
        <w:ind w:left="567" w:right="851"/>
        <w:rPr>
          <w:rFonts w:ascii="Palatino Linotype" w:eastAsia="Palatino Linotype" w:hAnsi="Palatino Linotype" w:cs="Palatino Linotype"/>
          <w:b/>
          <w:sz w:val="22"/>
          <w:szCs w:val="22"/>
        </w:rPr>
      </w:pPr>
      <w:r w:rsidRPr="00F62F4E">
        <w:rPr>
          <w:rFonts w:ascii="Palatino Linotype" w:eastAsia="Palatino Linotype" w:hAnsi="Palatino Linotype" w:cs="Palatino Linotype"/>
          <w:b/>
          <w:sz w:val="22"/>
          <w:szCs w:val="22"/>
        </w:rPr>
        <w:t>…</w:t>
      </w:r>
    </w:p>
    <w:p w:rsidR="00446F68" w:rsidRPr="00F62F4E" w:rsidRDefault="00F434DD">
      <w:pPr>
        <w:spacing w:before="240" w:after="240" w:line="276" w:lineRule="auto"/>
        <w:ind w:left="567" w:right="851"/>
        <w:rPr>
          <w:rFonts w:ascii="Palatino Linotype" w:eastAsia="Palatino Linotype" w:hAnsi="Palatino Linotype" w:cs="Palatino Linotype"/>
          <w:b/>
          <w:sz w:val="22"/>
          <w:szCs w:val="22"/>
        </w:rPr>
      </w:pPr>
      <w:r w:rsidRPr="00F62F4E">
        <w:rPr>
          <w:noProof/>
          <w:lang w:val="es-MX"/>
        </w:rPr>
        <w:drawing>
          <wp:inline distT="0" distB="0" distL="0" distR="0">
            <wp:extent cx="4059484" cy="754219"/>
            <wp:effectExtent l="0" t="0" r="0" b="0"/>
            <wp:docPr id="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l="23058" t="35233" r="52752" b="56778"/>
                    <a:stretch>
                      <a:fillRect/>
                    </a:stretch>
                  </pic:blipFill>
                  <pic:spPr>
                    <a:xfrm>
                      <a:off x="0" y="0"/>
                      <a:ext cx="4059484" cy="754219"/>
                    </a:xfrm>
                    <a:prstGeom prst="rect">
                      <a:avLst/>
                    </a:prstGeom>
                    <a:ln/>
                  </pic:spPr>
                </pic:pic>
              </a:graphicData>
            </a:graphic>
          </wp:inline>
        </w:drawing>
      </w:r>
    </w:p>
    <w:p w:rsidR="00446F68" w:rsidRPr="00F62F4E" w:rsidRDefault="00F434DD">
      <w:pPr>
        <w:spacing w:before="240" w:after="240" w:line="276" w:lineRule="auto"/>
        <w:ind w:left="567" w:right="851"/>
        <w:jc w:val="both"/>
        <w:rPr>
          <w:rFonts w:ascii="Palatino Linotype" w:eastAsia="Palatino Linotype" w:hAnsi="Palatino Linotype" w:cs="Palatino Linotype"/>
          <w:i/>
          <w:sz w:val="22"/>
          <w:szCs w:val="22"/>
        </w:rPr>
      </w:pPr>
      <w:r w:rsidRPr="00F62F4E">
        <w:rPr>
          <w:noProof/>
          <w:lang w:val="es-MX"/>
        </w:rPr>
        <w:lastRenderedPageBreak/>
        <w:drawing>
          <wp:inline distT="0" distB="0" distL="0" distR="0">
            <wp:extent cx="4793036" cy="5237221"/>
            <wp:effectExtent l="0" t="0" r="0" b="0"/>
            <wp:docPr id="5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l="25152" t="21340" r="43989" b="18717"/>
                    <a:stretch>
                      <a:fillRect/>
                    </a:stretch>
                  </pic:blipFill>
                  <pic:spPr>
                    <a:xfrm>
                      <a:off x="0" y="0"/>
                      <a:ext cx="4793036" cy="5237221"/>
                    </a:xfrm>
                    <a:prstGeom prst="rect">
                      <a:avLst/>
                    </a:prstGeom>
                    <a:ln/>
                  </pic:spPr>
                </pic:pic>
              </a:graphicData>
            </a:graphic>
          </wp:inline>
        </w:drawing>
      </w:r>
    </w:p>
    <w:p w:rsidR="00446F68" w:rsidRPr="00F62F4E" w:rsidRDefault="00F434DD">
      <w:pPr>
        <w:spacing w:before="240" w:after="240" w:line="276" w:lineRule="auto"/>
        <w:ind w:left="567" w:right="851"/>
        <w:jc w:val="both"/>
        <w:rPr>
          <w:rFonts w:ascii="Palatino Linotype" w:eastAsia="Palatino Linotype" w:hAnsi="Palatino Linotype" w:cs="Palatino Linotype"/>
          <w:i/>
          <w:sz w:val="22"/>
          <w:szCs w:val="22"/>
        </w:rPr>
      </w:pPr>
      <w:r w:rsidRPr="00F62F4E">
        <w:rPr>
          <w:noProof/>
          <w:lang w:val="es-MX"/>
        </w:rPr>
        <w:lastRenderedPageBreak/>
        <w:drawing>
          <wp:inline distT="0" distB="0" distL="0" distR="0">
            <wp:extent cx="4994285" cy="4898866"/>
            <wp:effectExtent l="0" t="0" r="0" b="0"/>
            <wp:docPr id="5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l="26304" t="20330" r="43585" b="27168"/>
                    <a:stretch>
                      <a:fillRect/>
                    </a:stretch>
                  </pic:blipFill>
                  <pic:spPr>
                    <a:xfrm>
                      <a:off x="0" y="0"/>
                      <a:ext cx="4994285" cy="4898866"/>
                    </a:xfrm>
                    <a:prstGeom prst="rect">
                      <a:avLst/>
                    </a:prstGeom>
                    <a:ln/>
                  </pic:spPr>
                </pic:pic>
              </a:graphicData>
            </a:graphic>
          </wp:inline>
        </w:drawing>
      </w:r>
    </w:p>
    <w:p w:rsidR="00446F68" w:rsidRPr="00F62F4E" w:rsidRDefault="00F434DD">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De los preceptos anteriores se desprende que es atribución de los ayuntamientos la formulación, aprobación y ejecución de los planes de desarrollo municipal y  de los programas correspondientes;  además se denota que dentro de las dependencias con las que cuentan los Ayuntamientos para la realización de las atribuciones que las leyes les confieren, tienen a la </w:t>
      </w:r>
      <w:r w:rsidRPr="00F62F4E">
        <w:rPr>
          <w:rFonts w:ascii="Palatino Linotype" w:eastAsia="Palatino Linotype" w:hAnsi="Palatino Linotype" w:cs="Palatino Linotype"/>
          <w:b/>
        </w:rPr>
        <w:t>Dirección de Obras Públicas</w:t>
      </w:r>
      <w:r w:rsidRPr="00F62F4E">
        <w:rPr>
          <w:rFonts w:ascii="Palatino Linotype" w:eastAsia="Palatino Linotype" w:hAnsi="Palatino Linotype" w:cs="Palatino Linotype"/>
        </w:rPr>
        <w:t xml:space="preserve"> a quien dentro del Ayuntamiento, le corresponde entre otras cosas, realizar la programación de obras públicas que requieran prioridad; licitar, concursar o asignar en su caso, servicios </w:t>
      </w:r>
      <w:r w:rsidRPr="00F62F4E">
        <w:rPr>
          <w:rFonts w:ascii="Palatino Linotype" w:eastAsia="Palatino Linotype" w:hAnsi="Palatino Linotype" w:cs="Palatino Linotype"/>
        </w:rPr>
        <w:lastRenderedPageBreak/>
        <w:t>de obra y las obras públicas aprobadas en el programa anual, elaborar los contratos de obra pública y gestionar el pago de anticipos, así como los servicios que se encuentren relacionados con las mismas.</w:t>
      </w:r>
    </w:p>
    <w:p w:rsidR="00446F68" w:rsidRPr="00F62F4E" w:rsidRDefault="00F434DD">
      <w:pPr>
        <w:spacing w:after="28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Precisado lo anterior, conviene señalar que la Ley de Planeación del Estado de México y Municipios, se señala en lo relacionado, lo siguiente:</w:t>
      </w:r>
    </w:p>
    <w:p w:rsidR="00446F68" w:rsidRPr="00F62F4E" w:rsidRDefault="00F434DD">
      <w:pPr>
        <w:spacing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“Artículo 1.- La presente ley es de orden público e interés social y tiene por objeto, establecer las normas:</w:t>
      </w:r>
    </w:p>
    <w:p w:rsidR="00446F68" w:rsidRPr="00F62F4E" w:rsidRDefault="00F434DD">
      <w:pPr>
        <w:spacing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spacing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II. </w:t>
      </w:r>
      <w:r w:rsidRPr="00F62F4E">
        <w:rPr>
          <w:rFonts w:ascii="Palatino Linotype" w:eastAsia="Palatino Linotype" w:hAnsi="Palatino Linotype" w:cs="Palatino Linotype"/>
          <w:b/>
          <w:i/>
          <w:sz w:val="22"/>
          <w:szCs w:val="22"/>
        </w:rPr>
        <w:t>De la participación democrática de los habitantes del Estado de México, grupos y organizaciones sociales y privados en la elaboración, ejecución y evaluación</w:t>
      </w:r>
      <w:r w:rsidRPr="00F62F4E">
        <w:rPr>
          <w:rFonts w:ascii="Palatino Linotype" w:eastAsia="Palatino Linotype" w:hAnsi="Palatino Linotype" w:cs="Palatino Linotype"/>
          <w:i/>
          <w:sz w:val="22"/>
          <w:szCs w:val="22"/>
        </w:rPr>
        <w:t xml:space="preserve"> del Plan de Desarrollo del Estado de México y los planes de desarrollo municipales, así como </w:t>
      </w:r>
      <w:r w:rsidRPr="00F62F4E">
        <w:rPr>
          <w:rFonts w:ascii="Palatino Linotype" w:eastAsia="Palatino Linotype" w:hAnsi="Palatino Linotype" w:cs="Palatino Linotype"/>
          <w:b/>
          <w:i/>
          <w:sz w:val="22"/>
          <w:szCs w:val="22"/>
        </w:rPr>
        <w:t>de los programas a que se refiere esta ley</w:t>
      </w:r>
      <w:r w:rsidRPr="00F62F4E">
        <w:rPr>
          <w:rFonts w:ascii="Palatino Linotype" w:eastAsia="Palatino Linotype" w:hAnsi="Palatino Linotype" w:cs="Palatino Linotype"/>
          <w:i/>
          <w:sz w:val="22"/>
          <w:szCs w:val="22"/>
        </w:rPr>
        <w:t>;…”</w:t>
      </w:r>
    </w:p>
    <w:p w:rsidR="00446F68" w:rsidRPr="00F62F4E" w:rsidRDefault="00F434DD">
      <w:pPr>
        <w:spacing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“Artículo 10.- Para efectos de esta Ley, se entiende por:</w:t>
      </w:r>
    </w:p>
    <w:p w:rsidR="00446F68" w:rsidRPr="00F62F4E" w:rsidRDefault="00F434DD">
      <w:pPr>
        <w:spacing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spacing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u w:val="single"/>
        </w:rPr>
        <w:t>Programa</w:t>
      </w:r>
      <w:r w:rsidRPr="00F62F4E">
        <w:rPr>
          <w:rFonts w:ascii="Palatino Linotype" w:eastAsia="Palatino Linotype" w:hAnsi="Palatino Linotype" w:cs="Palatino Linotype"/>
          <w:i/>
          <w:sz w:val="22"/>
          <w:szCs w:val="22"/>
          <w:u w:val="single"/>
        </w:rPr>
        <w:t>.</w:t>
      </w:r>
      <w:r w:rsidRPr="00F62F4E">
        <w:rPr>
          <w:rFonts w:ascii="Palatino Linotype" w:eastAsia="Palatino Linotype" w:hAnsi="Palatino Linotype" w:cs="Palatino Linotype"/>
          <w:i/>
          <w:sz w:val="22"/>
          <w:szCs w:val="22"/>
        </w:rPr>
        <w:t xml:space="preserve"> </w:t>
      </w:r>
      <w:r w:rsidRPr="00F62F4E">
        <w:rPr>
          <w:rFonts w:ascii="Palatino Linotype" w:eastAsia="Palatino Linotype" w:hAnsi="Palatino Linotype" w:cs="Palatino Linotype"/>
          <w:b/>
          <w:i/>
          <w:sz w:val="22"/>
          <w:szCs w:val="22"/>
        </w:rPr>
        <w:t>Instrumento de los planes que ordena y vincula, cronológica, espacial, cuantitativa y técnicamente las acciones o actividades y los recursos necesarios para alcanzar una meta, que contribuirá a lograr los objetivos de los planes de desarrollo</w:t>
      </w:r>
      <w:r w:rsidRPr="00F62F4E">
        <w:rPr>
          <w:rFonts w:ascii="Palatino Linotype" w:eastAsia="Palatino Linotype" w:hAnsi="Palatino Linotype" w:cs="Palatino Linotype"/>
          <w:i/>
          <w:sz w:val="22"/>
          <w:szCs w:val="22"/>
        </w:rPr>
        <w:t>.</w:t>
      </w:r>
    </w:p>
    <w:p w:rsidR="00446F68" w:rsidRPr="00F62F4E" w:rsidRDefault="00F434DD">
      <w:pPr>
        <w:spacing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spacing w:after="240"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“Artículo 19.- Compete a los ayuntamientos</w:t>
      </w:r>
      <w:r w:rsidRPr="00F62F4E">
        <w:rPr>
          <w:rFonts w:ascii="Palatino Linotype" w:eastAsia="Palatino Linotype" w:hAnsi="Palatino Linotype" w:cs="Palatino Linotype"/>
          <w:i/>
          <w:sz w:val="22"/>
          <w:szCs w:val="22"/>
        </w:rPr>
        <w:t xml:space="preserve">, </w:t>
      </w:r>
      <w:r w:rsidRPr="00F62F4E">
        <w:rPr>
          <w:rFonts w:ascii="Palatino Linotype" w:eastAsia="Palatino Linotype" w:hAnsi="Palatino Linotype" w:cs="Palatino Linotype"/>
          <w:b/>
          <w:i/>
          <w:sz w:val="22"/>
          <w:szCs w:val="22"/>
        </w:rPr>
        <w:t>en materia de planeación democrática para el desarrollo</w:t>
      </w:r>
      <w:r w:rsidRPr="00F62F4E">
        <w:rPr>
          <w:rFonts w:ascii="Palatino Linotype" w:eastAsia="Palatino Linotype" w:hAnsi="Palatino Linotype" w:cs="Palatino Linotype"/>
          <w:i/>
          <w:sz w:val="22"/>
          <w:szCs w:val="22"/>
        </w:rPr>
        <w:t>:</w:t>
      </w:r>
    </w:p>
    <w:p w:rsidR="00446F68" w:rsidRPr="00F62F4E" w:rsidRDefault="00F434DD">
      <w:pPr>
        <w:numPr>
          <w:ilvl w:val="0"/>
          <w:numId w:val="2"/>
        </w:numPr>
        <w:pBdr>
          <w:top w:val="nil"/>
          <w:left w:val="nil"/>
          <w:bottom w:val="nil"/>
          <w:right w:val="nil"/>
          <w:between w:val="nil"/>
        </w:pBdr>
        <w:spacing w:line="276" w:lineRule="auto"/>
        <w:ind w:left="1134" w:right="900" w:firstLine="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 xml:space="preserve">Elaborar, aprobar, ejecutar, dar seguimiento, evaluar y el control del Plan de Desarrollo Municipal </w:t>
      </w:r>
      <w:r w:rsidRPr="00F62F4E">
        <w:rPr>
          <w:rFonts w:ascii="Palatino Linotype" w:eastAsia="Palatino Linotype" w:hAnsi="Palatino Linotype" w:cs="Palatino Linotype"/>
          <w:b/>
          <w:i/>
          <w:sz w:val="22"/>
          <w:szCs w:val="22"/>
          <w:u w:val="single"/>
        </w:rPr>
        <w:t>y sus programas</w:t>
      </w:r>
      <w:r w:rsidRPr="00F62F4E">
        <w:rPr>
          <w:rFonts w:ascii="Palatino Linotype" w:eastAsia="Palatino Linotype" w:hAnsi="Palatino Linotype" w:cs="Palatino Linotype"/>
          <w:i/>
          <w:sz w:val="22"/>
          <w:szCs w:val="22"/>
        </w:rPr>
        <w:t>;</w:t>
      </w:r>
    </w:p>
    <w:p w:rsidR="00446F68" w:rsidRPr="00F62F4E" w:rsidRDefault="00F434DD">
      <w:pPr>
        <w:pBdr>
          <w:top w:val="nil"/>
          <w:left w:val="nil"/>
          <w:bottom w:val="nil"/>
          <w:right w:val="nil"/>
          <w:between w:val="nil"/>
        </w:pBdr>
        <w:spacing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pBdr>
          <w:top w:val="nil"/>
          <w:left w:val="nil"/>
          <w:bottom w:val="nil"/>
          <w:right w:val="nil"/>
          <w:between w:val="nil"/>
        </w:pBdr>
        <w:spacing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VIII. </w:t>
      </w:r>
      <w:r w:rsidRPr="00F62F4E">
        <w:rPr>
          <w:rFonts w:ascii="Palatino Linotype" w:eastAsia="Palatino Linotype" w:hAnsi="Palatino Linotype" w:cs="Palatino Linotype"/>
          <w:b/>
          <w:i/>
          <w:sz w:val="22"/>
          <w:szCs w:val="22"/>
        </w:rPr>
        <w:t>Integrar y elaborar el presupuesto por programas para la ejecución de las acciones que correspondan</w:t>
      </w:r>
      <w:r w:rsidRPr="00F62F4E">
        <w:rPr>
          <w:rFonts w:ascii="Palatino Linotype" w:eastAsia="Palatino Linotype" w:hAnsi="Palatino Linotype" w:cs="Palatino Linotype"/>
          <w:i/>
          <w:sz w:val="22"/>
          <w:szCs w:val="22"/>
        </w:rPr>
        <w:t>, de acuerdo con las leyes, reglamentos y demás disposiciones;</w:t>
      </w:r>
    </w:p>
    <w:p w:rsidR="00446F68" w:rsidRPr="00F62F4E" w:rsidRDefault="00F434DD">
      <w:pPr>
        <w:pBdr>
          <w:top w:val="nil"/>
          <w:left w:val="nil"/>
          <w:bottom w:val="nil"/>
          <w:right w:val="nil"/>
          <w:between w:val="nil"/>
        </w:pBdr>
        <w:spacing w:after="240" w:line="276" w:lineRule="auto"/>
        <w:ind w:left="1134"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(Sic) (Énfasis añadido)</w:t>
      </w:r>
    </w:p>
    <w:p w:rsidR="00446F68" w:rsidRPr="00F62F4E" w:rsidRDefault="00F434DD">
      <w:pPr>
        <w:spacing w:before="28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lastRenderedPageBreak/>
        <w:t xml:space="preserve">Como se desprende de los preceptos anteriores, podemos advertir que la participación democrática de los habitantes del Estado de México se incluye en la elaboración, ejecución y evaluación de los programas relacionados con el Plan de Desarrollo Municipal que le compete a su vez elaborar, aprobar, ejecutar, dar seguimiento, evaluar y controlar a los ayuntamientos; entendiendo por programa al instrumento de los planes que ordena y circula, cronológica, espacial cuantitativa y técnicamente, las acciones o actividades y los recursos para alcanzar una meta. </w:t>
      </w:r>
    </w:p>
    <w:p w:rsidR="00446F68" w:rsidRPr="00F62F4E" w:rsidRDefault="00446F68">
      <w:pPr>
        <w:spacing w:after="240" w:line="360" w:lineRule="auto"/>
        <w:jc w:val="both"/>
        <w:rPr>
          <w:rFonts w:ascii="Palatino Linotype" w:eastAsia="Palatino Linotype" w:hAnsi="Palatino Linotype" w:cs="Palatino Linotype"/>
          <w:sz w:val="8"/>
          <w:szCs w:val="8"/>
        </w:rPr>
      </w:pPr>
    </w:p>
    <w:p w:rsidR="00446F68" w:rsidRPr="00F62F4E" w:rsidRDefault="00F434DD">
      <w:pPr>
        <w:spacing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En ese tenor, de la Ley Orgánica Municipal del Estado de México resulta de interés lo que señalan sus artículos 31, fracción XIX, 100 y 101, a saber:</w:t>
      </w: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sz w:val="22"/>
          <w:szCs w:val="22"/>
        </w:rPr>
        <w:t>“</w:t>
      </w:r>
      <w:r w:rsidRPr="00F62F4E">
        <w:rPr>
          <w:rFonts w:ascii="Palatino Linotype" w:eastAsia="Palatino Linotype" w:hAnsi="Palatino Linotype" w:cs="Palatino Linotype"/>
          <w:b/>
          <w:i/>
          <w:sz w:val="22"/>
          <w:szCs w:val="22"/>
        </w:rPr>
        <w:t>Artículo 31</w:t>
      </w:r>
      <w:r w:rsidRPr="00F62F4E">
        <w:rPr>
          <w:rFonts w:ascii="Palatino Linotype" w:eastAsia="Palatino Linotype" w:hAnsi="Palatino Linotype" w:cs="Palatino Linotype"/>
          <w:i/>
          <w:sz w:val="22"/>
          <w:szCs w:val="22"/>
        </w:rPr>
        <w:t>.- Son atribuciones de los ayuntamientos:</w:t>
      </w: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446F68">
      <w:pPr>
        <w:tabs>
          <w:tab w:val="left" w:pos="7513"/>
        </w:tabs>
        <w:ind w:left="851" w:right="900"/>
        <w:jc w:val="both"/>
        <w:rPr>
          <w:rFonts w:ascii="Palatino Linotype" w:eastAsia="Palatino Linotype" w:hAnsi="Palatino Linotype" w:cs="Palatino Linotype"/>
          <w:i/>
          <w:sz w:val="22"/>
          <w:szCs w:val="22"/>
        </w:rPr>
      </w:pP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XIX. </w:t>
      </w:r>
      <w:r w:rsidRPr="00F62F4E">
        <w:rPr>
          <w:rFonts w:ascii="Palatino Linotype" w:eastAsia="Palatino Linotype" w:hAnsi="Palatino Linotype" w:cs="Palatino Linotype"/>
          <w:b/>
          <w:i/>
          <w:sz w:val="22"/>
          <w:szCs w:val="22"/>
        </w:rPr>
        <w:t>A</w:t>
      </w:r>
      <w:r w:rsidRPr="00F62F4E">
        <w:rPr>
          <w:rFonts w:ascii="Palatino Linotype" w:eastAsia="Palatino Linotype" w:hAnsi="Palatino Linotype" w:cs="Palatino Linotype"/>
          <w:b/>
          <w:i/>
          <w:sz w:val="22"/>
          <w:szCs w:val="22"/>
          <w:u w:val="single"/>
        </w:rPr>
        <w:t>probar anualmente a más tardar el 20 de diciembre, su Presupuesto de Egresos, en base a los ingresos presupuestados para el ejercicio que corresponda</w:t>
      </w:r>
      <w:r w:rsidRPr="00F62F4E">
        <w:rPr>
          <w:rFonts w:ascii="Palatino Linotype" w:eastAsia="Palatino Linotype" w:hAnsi="Palatino Linotype" w:cs="Palatino Linotype"/>
          <w:i/>
          <w:sz w:val="22"/>
          <w:szCs w:val="22"/>
          <w:u w:val="single"/>
        </w:rPr>
        <w:t>,</w:t>
      </w:r>
      <w:r w:rsidRPr="00F62F4E">
        <w:rPr>
          <w:rFonts w:ascii="Palatino Linotype" w:eastAsia="Palatino Linotype" w:hAnsi="Palatino Linotype" w:cs="Palatino Linotype"/>
          <w:i/>
          <w:sz w:val="22"/>
          <w:szCs w:val="22"/>
        </w:rPr>
        <w:t xml:space="preserve"> el cual podrá ser adecuado en función de las implicaciones que deriven de la aprobación de la Ley de Ingresos Municipal que haga la Legislatura, así como por la asignación de las participaciones y aportaciones federales y estatales.</w:t>
      </w:r>
    </w:p>
    <w:p w:rsidR="00446F68" w:rsidRPr="00F62F4E" w:rsidRDefault="00446F68">
      <w:pPr>
        <w:tabs>
          <w:tab w:val="left" w:pos="7513"/>
        </w:tabs>
        <w:ind w:left="851" w:right="900"/>
        <w:jc w:val="both"/>
        <w:rPr>
          <w:rFonts w:ascii="Palatino Linotype" w:eastAsia="Palatino Linotype" w:hAnsi="Palatino Linotype" w:cs="Palatino Linotype"/>
          <w:i/>
        </w:rPr>
      </w:pP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446F68">
      <w:pPr>
        <w:tabs>
          <w:tab w:val="left" w:pos="7513"/>
        </w:tabs>
        <w:ind w:left="851" w:right="900"/>
        <w:jc w:val="both"/>
        <w:rPr>
          <w:rFonts w:ascii="Palatino Linotype" w:eastAsia="Palatino Linotype" w:hAnsi="Palatino Linotype" w:cs="Palatino Linotype"/>
          <w:i/>
          <w:sz w:val="22"/>
          <w:szCs w:val="22"/>
        </w:rPr>
      </w:pP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r w:rsidRPr="00F62F4E">
        <w:rPr>
          <w:rFonts w:ascii="Palatino Linotype" w:eastAsia="Palatino Linotype" w:hAnsi="Palatino Linotype" w:cs="Palatino Linotype"/>
          <w:b/>
          <w:i/>
          <w:sz w:val="22"/>
          <w:szCs w:val="22"/>
        </w:rPr>
        <w:t>Artículo 100.-</w:t>
      </w:r>
      <w:r w:rsidRPr="00F62F4E">
        <w:rPr>
          <w:rFonts w:ascii="Palatino Linotype" w:eastAsia="Palatino Linotype" w:hAnsi="Palatino Linotype" w:cs="Palatino Linotype"/>
          <w:i/>
          <w:sz w:val="22"/>
          <w:szCs w:val="22"/>
        </w:rPr>
        <w:t xml:space="preserve"> El presupuesto de egresos deberá contener las previsiones de gasto público que habrán de realizar los municipios.” </w:t>
      </w:r>
    </w:p>
    <w:p w:rsidR="00446F68" w:rsidRPr="00F62F4E" w:rsidRDefault="00446F68">
      <w:pPr>
        <w:tabs>
          <w:tab w:val="left" w:pos="7513"/>
        </w:tabs>
        <w:ind w:left="851" w:right="900"/>
        <w:jc w:val="both"/>
        <w:rPr>
          <w:rFonts w:ascii="Palatino Linotype" w:eastAsia="Palatino Linotype" w:hAnsi="Palatino Linotype" w:cs="Palatino Linotype"/>
          <w:i/>
          <w:sz w:val="22"/>
          <w:szCs w:val="22"/>
        </w:rPr>
      </w:pP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r w:rsidRPr="00F62F4E">
        <w:rPr>
          <w:rFonts w:ascii="Palatino Linotype" w:eastAsia="Palatino Linotype" w:hAnsi="Palatino Linotype" w:cs="Palatino Linotype"/>
          <w:b/>
          <w:i/>
          <w:sz w:val="22"/>
          <w:szCs w:val="22"/>
        </w:rPr>
        <w:t>Artículo 101.</w:t>
      </w:r>
      <w:r w:rsidRPr="00F62F4E">
        <w:rPr>
          <w:rFonts w:ascii="Palatino Linotype" w:eastAsia="Palatino Linotype" w:hAnsi="Palatino Linotype" w:cs="Palatino Linotype"/>
          <w:i/>
          <w:sz w:val="22"/>
          <w:szCs w:val="22"/>
        </w:rPr>
        <w:t>- El proyecto del presupuesto de egresos se integrará básicamente con:</w:t>
      </w:r>
    </w:p>
    <w:p w:rsidR="00446F68" w:rsidRPr="00F62F4E" w:rsidRDefault="00446F68">
      <w:pPr>
        <w:tabs>
          <w:tab w:val="left" w:pos="7513"/>
        </w:tabs>
        <w:ind w:left="851" w:right="900"/>
        <w:jc w:val="both"/>
        <w:rPr>
          <w:rFonts w:ascii="Palatino Linotype" w:eastAsia="Palatino Linotype" w:hAnsi="Palatino Linotype" w:cs="Palatino Linotype"/>
          <w:i/>
          <w:sz w:val="22"/>
          <w:szCs w:val="22"/>
        </w:rPr>
      </w:pP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I.</w:t>
      </w:r>
      <w:r w:rsidRPr="00F62F4E">
        <w:rPr>
          <w:rFonts w:ascii="Palatino Linotype" w:eastAsia="Palatino Linotype" w:hAnsi="Palatino Linotype" w:cs="Palatino Linotype"/>
          <w:i/>
          <w:sz w:val="22"/>
          <w:szCs w:val="22"/>
        </w:rPr>
        <w:t xml:space="preserve"> </w:t>
      </w:r>
      <w:r w:rsidRPr="00F62F4E">
        <w:rPr>
          <w:rFonts w:ascii="Palatino Linotype" w:eastAsia="Palatino Linotype" w:hAnsi="Palatino Linotype" w:cs="Palatino Linotype"/>
          <w:b/>
          <w:i/>
          <w:sz w:val="22"/>
          <w:szCs w:val="22"/>
          <w:u w:val="single"/>
        </w:rPr>
        <w:t>Los programas en que se señalen objetivos, metas y unidades responsables para su ejecución</w:t>
      </w:r>
      <w:r w:rsidRPr="00F62F4E">
        <w:rPr>
          <w:rFonts w:ascii="Palatino Linotype" w:eastAsia="Palatino Linotype" w:hAnsi="Palatino Linotype" w:cs="Palatino Linotype"/>
          <w:b/>
          <w:i/>
          <w:sz w:val="22"/>
          <w:szCs w:val="22"/>
        </w:rPr>
        <w:t>, así como la valuación estimada del programa</w:t>
      </w:r>
      <w:r w:rsidRPr="00F62F4E">
        <w:rPr>
          <w:rFonts w:ascii="Palatino Linotype" w:eastAsia="Palatino Linotype" w:hAnsi="Palatino Linotype" w:cs="Palatino Linotype"/>
          <w:i/>
          <w:sz w:val="22"/>
          <w:szCs w:val="22"/>
        </w:rPr>
        <w:t>;</w:t>
      </w:r>
    </w:p>
    <w:p w:rsidR="00446F68" w:rsidRPr="00F62F4E" w:rsidRDefault="00446F68">
      <w:pPr>
        <w:tabs>
          <w:tab w:val="left" w:pos="7513"/>
        </w:tabs>
        <w:ind w:left="851" w:right="900"/>
        <w:jc w:val="both"/>
        <w:rPr>
          <w:rFonts w:ascii="Palatino Linotype" w:eastAsia="Palatino Linotype" w:hAnsi="Palatino Linotype" w:cs="Palatino Linotype"/>
          <w:b/>
          <w:i/>
          <w:sz w:val="22"/>
          <w:szCs w:val="22"/>
        </w:rPr>
      </w:pP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II. Estimación de los ingresos y gastos del ejercicio fiscal calendarizados;</w:t>
      </w:r>
    </w:p>
    <w:p w:rsidR="00446F68" w:rsidRPr="00F62F4E" w:rsidRDefault="00446F68">
      <w:pPr>
        <w:tabs>
          <w:tab w:val="left" w:pos="7513"/>
        </w:tabs>
        <w:ind w:left="851" w:right="900"/>
        <w:jc w:val="both"/>
        <w:rPr>
          <w:rFonts w:ascii="Palatino Linotype" w:eastAsia="Palatino Linotype" w:hAnsi="Palatino Linotype" w:cs="Palatino Linotype"/>
          <w:i/>
          <w:sz w:val="22"/>
          <w:szCs w:val="22"/>
        </w:rPr>
      </w:pP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III. Situación de deuda pública.</w:t>
      </w:r>
    </w:p>
    <w:p w:rsidR="00446F68" w:rsidRPr="00F62F4E" w:rsidRDefault="00446F68">
      <w:pPr>
        <w:tabs>
          <w:tab w:val="left" w:pos="7513"/>
        </w:tabs>
        <w:ind w:left="851" w:right="900"/>
        <w:jc w:val="both"/>
        <w:rPr>
          <w:rFonts w:ascii="Palatino Linotype" w:eastAsia="Palatino Linotype" w:hAnsi="Palatino Linotype" w:cs="Palatino Linotype"/>
          <w:b/>
          <w:i/>
          <w:sz w:val="22"/>
          <w:szCs w:val="22"/>
        </w:rPr>
      </w:pPr>
    </w:p>
    <w:p w:rsidR="00446F68" w:rsidRPr="00F62F4E" w:rsidRDefault="00F434DD">
      <w:pPr>
        <w:tabs>
          <w:tab w:val="left" w:pos="7513"/>
        </w:tabs>
        <w:ind w:left="851" w:right="900"/>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El proyecto de presupuesto de egresos deberá realizarse con base en los criterios de proporcionalidad y equidad, considerando las necesidades básicas de las localidades que integran al municipio</w:t>
      </w:r>
      <w:r w:rsidRPr="00F62F4E">
        <w:rPr>
          <w:rFonts w:ascii="Palatino Linotype" w:eastAsia="Palatino Linotype" w:hAnsi="Palatino Linotype" w:cs="Palatino Linotype"/>
          <w:i/>
          <w:sz w:val="22"/>
          <w:szCs w:val="22"/>
        </w:rPr>
        <w:t>.”</w:t>
      </w:r>
    </w:p>
    <w:p w:rsidR="00446F68" w:rsidRPr="00F62F4E" w:rsidRDefault="00446F68">
      <w:pPr>
        <w:spacing w:before="280" w:line="360" w:lineRule="auto"/>
        <w:jc w:val="both"/>
        <w:rPr>
          <w:rFonts w:ascii="Palatino Linotype" w:eastAsia="Palatino Linotype" w:hAnsi="Palatino Linotype" w:cs="Palatino Linotype"/>
          <w:sz w:val="16"/>
          <w:szCs w:val="16"/>
        </w:rPr>
      </w:pPr>
    </w:p>
    <w:p w:rsidR="00446F68" w:rsidRPr="00F62F4E" w:rsidRDefault="00F434DD">
      <w:pPr>
        <w:spacing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En relación a este punto, el Código Administrativo del Estado de México señala en el mismo sentido que los artículos antes citados, específicamente en su artículo 12.15 que corresponde a los Ayuntamientos formular los programas de obra pública o de servicios relacionados con la misma, con base en las políticas, objetivos y prioridades de la planeación del desarrollo del Municipio</w:t>
      </w:r>
      <w:r w:rsidRPr="00F62F4E">
        <w:rPr>
          <w:rFonts w:ascii="Palatino Linotype" w:eastAsia="Palatino Linotype" w:hAnsi="Palatino Linotype" w:cs="Palatino Linotype"/>
          <w:vertAlign w:val="superscript"/>
        </w:rPr>
        <w:footnoteReference w:id="3"/>
      </w:r>
      <w:r w:rsidRPr="00F62F4E">
        <w:rPr>
          <w:rFonts w:ascii="Palatino Linotype" w:eastAsia="Palatino Linotype" w:hAnsi="Palatino Linotype" w:cs="Palatino Linotype"/>
        </w:rPr>
        <w:t xml:space="preserve">. </w:t>
      </w:r>
    </w:p>
    <w:p w:rsidR="00446F68" w:rsidRPr="00F62F4E" w:rsidRDefault="00446F68">
      <w:pPr>
        <w:jc w:val="both"/>
        <w:rPr>
          <w:rFonts w:ascii="Palatino Linotype" w:eastAsia="Palatino Linotype" w:hAnsi="Palatino Linotype" w:cs="Palatino Linotype"/>
        </w:rPr>
      </w:pPr>
    </w:p>
    <w:p w:rsidR="00446F68" w:rsidRPr="00F62F4E" w:rsidRDefault="00F434DD">
      <w:pPr>
        <w:tabs>
          <w:tab w:val="left" w:pos="2552"/>
        </w:tabs>
        <w:spacing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Aunado a lo anterior, el Manual para la Planeación, Programación y </w:t>
      </w:r>
      <w:proofErr w:type="spellStart"/>
      <w:r w:rsidRPr="00F62F4E">
        <w:rPr>
          <w:rFonts w:ascii="Palatino Linotype" w:eastAsia="Palatino Linotype" w:hAnsi="Palatino Linotype" w:cs="Palatino Linotype"/>
        </w:rPr>
        <w:t>Presupuestación</w:t>
      </w:r>
      <w:proofErr w:type="spellEnd"/>
      <w:r w:rsidRPr="00F62F4E">
        <w:rPr>
          <w:rFonts w:ascii="Palatino Linotype" w:eastAsia="Palatino Linotype" w:hAnsi="Palatino Linotype" w:cs="Palatino Linotype"/>
        </w:rPr>
        <w:t xml:space="preserve"> Municipal para el Ejercicio Fiscal 2022, el cual garantiza realizar la integración del proyecto de presupuesto de egresos municipal, que sustente programas y proyectos que se ejecutarán en el ejercicio fiscal, orientando éstos a la realización de acciones que den cumplimiento a objetivos preestablecidos en el Plan de Desarrollo Municipal (PDM), los cuales serán verificados a través de indicadores y metas previstas a alcanzar; además en el cual se determinan los formatos impresos que deben integrarse, como se ilustra a continuación:</w:t>
      </w:r>
    </w:p>
    <w:p w:rsidR="00446F68" w:rsidRPr="00F62F4E" w:rsidRDefault="00F434DD">
      <w:pPr>
        <w:jc w:val="both"/>
        <w:rPr>
          <w:rFonts w:ascii="Palatino Linotype" w:eastAsia="Palatino Linotype" w:hAnsi="Palatino Linotype" w:cs="Palatino Linotype"/>
        </w:rPr>
      </w:pPr>
      <w:r w:rsidRPr="00F62F4E">
        <w:rPr>
          <w:noProof/>
          <w:lang w:val="es-MX"/>
        </w:rPr>
        <w:lastRenderedPageBreak/>
        <w:drawing>
          <wp:inline distT="0" distB="0" distL="0" distR="0">
            <wp:extent cx="5526376" cy="4003865"/>
            <wp:effectExtent l="0" t="0" r="0" b="0"/>
            <wp:docPr id="5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l="32390" t="29805" r="30271" b="22104"/>
                    <a:stretch>
                      <a:fillRect/>
                    </a:stretch>
                  </pic:blipFill>
                  <pic:spPr>
                    <a:xfrm>
                      <a:off x="0" y="0"/>
                      <a:ext cx="5526376" cy="4003865"/>
                    </a:xfrm>
                    <a:prstGeom prst="rect">
                      <a:avLst/>
                    </a:prstGeom>
                    <a:ln/>
                  </pic:spPr>
                </pic:pic>
              </a:graphicData>
            </a:graphic>
          </wp:inline>
        </w:drawing>
      </w:r>
      <w:r w:rsidRPr="00F62F4E">
        <w:rPr>
          <w:noProof/>
          <w:lang w:val="es-MX"/>
        </w:rPr>
        <mc:AlternateContent>
          <mc:Choice Requires="wpg">
            <w:drawing>
              <wp:anchor distT="0" distB="0" distL="114300" distR="114300" simplePos="0" relativeHeight="251658240" behindDoc="0" locked="0" layoutInCell="1" hidden="0" allowOverlap="1">
                <wp:simplePos x="0" y="0"/>
                <wp:positionH relativeFrom="column">
                  <wp:posOffset>279400</wp:posOffset>
                </wp:positionH>
                <wp:positionV relativeFrom="paragraph">
                  <wp:posOffset>3416300</wp:posOffset>
                </wp:positionV>
                <wp:extent cx="2729244" cy="315654"/>
                <wp:effectExtent l="0" t="0" r="0" b="0"/>
                <wp:wrapNone/>
                <wp:docPr id="38" name="Rectángulo 38"/>
                <wp:cNvGraphicFramePr/>
                <a:graphic xmlns:a="http://schemas.openxmlformats.org/drawingml/2006/main">
                  <a:graphicData uri="http://schemas.microsoft.com/office/word/2010/wordprocessingShape">
                    <wps:wsp>
                      <wps:cNvSpPr/>
                      <wps:spPr>
                        <a:xfrm>
                          <a:off x="3995666" y="3636461"/>
                          <a:ext cx="2700669" cy="287079"/>
                        </a:xfrm>
                        <a:prstGeom prst="rect">
                          <a:avLst/>
                        </a:prstGeom>
                        <a:noFill/>
                        <a:ln w="28575" cap="flat" cmpd="sng">
                          <a:solidFill>
                            <a:srgbClr val="FF0000"/>
                          </a:solidFill>
                          <a:prstDash val="solid"/>
                          <a:round/>
                          <a:headEnd type="none" w="sm" len="sm"/>
                          <a:tailEnd type="none" w="sm" len="sm"/>
                        </a:ln>
                      </wps:spPr>
                      <wps:txbx>
                        <w:txbxContent>
                          <w:p w:rsidR="00446F68" w:rsidRDefault="00446F68">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279400</wp:posOffset>
                </wp:positionH>
                <wp:positionV relativeFrom="paragraph">
                  <wp:posOffset>3416300</wp:posOffset>
                </wp:positionV>
                <wp:extent cx="2729244" cy="315654"/>
                <wp:effectExtent b="0" l="0" r="0" t="0"/>
                <wp:wrapNone/>
                <wp:docPr id="38" name="image15.png"/>
                <a:graphic>
                  <a:graphicData uri="http://schemas.openxmlformats.org/drawingml/2006/picture">
                    <pic:pic>
                      <pic:nvPicPr>
                        <pic:cNvPr id="0" name="image15.png"/>
                        <pic:cNvPicPr preferRelativeResize="0"/>
                      </pic:nvPicPr>
                      <pic:blipFill>
                        <a:blip r:embed="rId25"/>
                        <a:srcRect/>
                        <a:stretch>
                          <a:fillRect/>
                        </a:stretch>
                      </pic:blipFill>
                      <pic:spPr>
                        <a:xfrm>
                          <a:off x="0" y="0"/>
                          <a:ext cx="2729244" cy="315654"/>
                        </a:xfrm>
                        <a:prstGeom prst="rect"/>
                        <a:ln/>
                      </pic:spPr>
                    </pic:pic>
                  </a:graphicData>
                </a:graphic>
              </wp:anchor>
            </w:drawing>
          </mc:Fallback>
        </mc:AlternateContent>
      </w:r>
    </w:p>
    <w:p w:rsidR="00446F68" w:rsidRPr="00F62F4E" w:rsidRDefault="00446F68">
      <w:pPr>
        <w:tabs>
          <w:tab w:val="left" w:pos="2552"/>
        </w:tabs>
        <w:spacing w:line="360" w:lineRule="auto"/>
        <w:jc w:val="both"/>
        <w:rPr>
          <w:rFonts w:ascii="Palatino Linotype" w:eastAsia="Palatino Linotype" w:hAnsi="Palatino Linotype" w:cs="Palatino Linotype"/>
        </w:rPr>
      </w:pPr>
    </w:p>
    <w:p w:rsidR="00446F68" w:rsidRPr="00F62F4E" w:rsidRDefault="00F434DD">
      <w:pPr>
        <w:tabs>
          <w:tab w:val="left" w:pos="2552"/>
        </w:tabs>
        <w:spacing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Mismo que se maneja con el formato siguiente:</w:t>
      </w:r>
    </w:p>
    <w:p w:rsidR="00446F68" w:rsidRPr="00F62F4E" w:rsidRDefault="00446F68">
      <w:pPr>
        <w:spacing w:line="360" w:lineRule="auto"/>
        <w:ind w:right="49"/>
        <w:jc w:val="both"/>
        <w:rPr>
          <w:rFonts w:ascii="Palatino Linotype" w:eastAsia="Palatino Linotype" w:hAnsi="Palatino Linotype" w:cs="Palatino Linotype"/>
        </w:rPr>
      </w:pPr>
    </w:p>
    <w:p w:rsidR="00446F68" w:rsidRPr="00F62F4E" w:rsidRDefault="00F434DD">
      <w:pPr>
        <w:spacing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noProof/>
          <w:lang w:val="es-MX"/>
        </w:rPr>
        <w:lastRenderedPageBreak/>
        <w:drawing>
          <wp:inline distT="0" distB="0" distL="0" distR="0">
            <wp:extent cx="5191125" cy="6334125"/>
            <wp:effectExtent l="0" t="0" r="0" b="0"/>
            <wp:docPr id="5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5191125" cy="6334125"/>
                    </a:xfrm>
                    <a:prstGeom prst="rect">
                      <a:avLst/>
                    </a:prstGeom>
                    <a:ln/>
                  </pic:spPr>
                </pic:pic>
              </a:graphicData>
            </a:graphic>
          </wp:inline>
        </w:drawing>
      </w:r>
    </w:p>
    <w:p w:rsidR="00446F68" w:rsidRPr="00F62F4E" w:rsidRDefault="00446F68">
      <w:pPr>
        <w:spacing w:line="360" w:lineRule="auto"/>
        <w:jc w:val="both"/>
        <w:rPr>
          <w:rFonts w:ascii="Palatino Linotype" w:eastAsia="Palatino Linotype" w:hAnsi="Palatino Linotype" w:cs="Palatino Linotype"/>
        </w:rPr>
      </w:pPr>
    </w:p>
    <w:p w:rsidR="00446F68" w:rsidRPr="00F62F4E" w:rsidRDefault="00F434DD">
      <w:pPr>
        <w:spacing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Como se ha expuesto en líneas anteriores, el Programa Anual de Obras, se encuentra vinculado con el Presupuesto de Egresos Municipal; para argumentar lo anterior, </w:t>
      </w:r>
      <w:r w:rsidRPr="00F62F4E">
        <w:rPr>
          <w:rFonts w:ascii="Palatino Linotype" w:eastAsia="Palatino Linotype" w:hAnsi="Palatino Linotype" w:cs="Palatino Linotype"/>
        </w:rPr>
        <w:lastRenderedPageBreak/>
        <w:t>es indispensable citar lo ordenado por el artículo 125 de la Constitución Política del Estado Libre y Soberano de México, que en su penúltimo párrafo establece que el</w:t>
      </w:r>
      <w:r w:rsidRPr="00F62F4E">
        <w:rPr>
          <w:rFonts w:ascii="Palatino Linotype" w:eastAsia="Palatino Linotype" w:hAnsi="Palatino Linotype" w:cs="Palatino Linotype"/>
          <w:b/>
          <w:i/>
        </w:rPr>
        <w:t xml:space="preserve"> </w:t>
      </w:r>
      <w:r w:rsidRPr="00F62F4E">
        <w:rPr>
          <w:rFonts w:ascii="Palatino Linotype" w:eastAsia="Palatino Linotype" w:hAnsi="Palatino Linotype" w:cs="Palatino Linotype"/>
        </w:rPr>
        <w:t>Presidente Municipal, promulgará y publicará el Presupuesto de Egresos Municipal, a más tardar el día 25 de febrero de cada año debiendo enviarlo al Órgano Superior de Fiscalización en la misma fecha</w:t>
      </w:r>
      <w:r w:rsidRPr="00F62F4E">
        <w:rPr>
          <w:rFonts w:ascii="Palatino Linotype" w:eastAsia="Palatino Linotype" w:hAnsi="Palatino Linotype" w:cs="Palatino Linotype"/>
          <w:b/>
          <w:i/>
        </w:rPr>
        <w:t xml:space="preserve">;  </w:t>
      </w:r>
      <w:r w:rsidRPr="00F62F4E">
        <w:rPr>
          <w:rFonts w:ascii="Palatino Linotype" w:eastAsia="Palatino Linotype" w:hAnsi="Palatino Linotype" w:cs="Palatino Linotype"/>
        </w:rPr>
        <w:t xml:space="preserve">de lo cual se colige que deberá presentar la propuesta correspondiente, a fin de que el día veinticinco de febrero de cada año pueda llevarse a cabo su promulgación y publicación e informar al Órgano Superior de Fiscalización del Estado de México. </w:t>
      </w:r>
    </w:p>
    <w:p w:rsidR="00446F68" w:rsidRPr="00F62F4E" w:rsidRDefault="00446F68">
      <w:pPr>
        <w:spacing w:line="360" w:lineRule="auto"/>
        <w:jc w:val="both"/>
        <w:rPr>
          <w:rFonts w:ascii="Palatino Linotype" w:eastAsia="Palatino Linotype" w:hAnsi="Palatino Linotype" w:cs="Palatino Linotype"/>
        </w:rPr>
      </w:pPr>
    </w:p>
    <w:p w:rsidR="00446F68" w:rsidRPr="00F62F4E" w:rsidRDefault="00F434DD">
      <w:pPr>
        <w:spacing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En atención a ello, es pertinente señalar que dicho Programa forma parte de la información pública de oficio, de conformidad con el artículo 92 fracción IV y 94 fracción I, Incisos a) y b), de la Ley de Transparencia vigente en la entidad, la cual señala:</w:t>
      </w:r>
    </w:p>
    <w:p w:rsidR="00446F68" w:rsidRPr="00F62F4E" w:rsidRDefault="00446F68">
      <w:pPr>
        <w:spacing w:line="360" w:lineRule="auto"/>
        <w:jc w:val="both"/>
        <w:rPr>
          <w:rFonts w:ascii="Palatino Linotype" w:eastAsia="Palatino Linotype" w:hAnsi="Palatino Linotype" w:cs="Palatino Linotype"/>
        </w:rPr>
      </w:pPr>
    </w:p>
    <w:p w:rsidR="00446F68" w:rsidRPr="00F62F4E" w:rsidRDefault="00F434DD">
      <w:pPr>
        <w:spacing w:line="276" w:lineRule="auto"/>
        <w:ind w:left="1134"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rPr>
        <w:t>“Artículo 92.</w:t>
      </w:r>
      <w:r w:rsidRPr="00F62F4E">
        <w:rPr>
          <w:rFonts w:ascii="Palatino Linotype" w:eastAsia="Palatino Linotype" w:hAnsi="Palatino Linotype" w:cs="Palatino Linotype"/>
          <w:i/>
          <w:sz w:val="22"/>
          <w:szCs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446F68" w:rsidRPr="00F62F4E" w:rsidRDefault="00F434DD">
      <w:pPr>
        <w:spacing w:line="276" w:lineRule="auto"/>
        <w:ind w:left="1134"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w:t>
      </w:r>
    </w:p>
    <w:p w:rsidR="00446F68" w:rsidRPr="00F62F4E" w:rsidRDefault="00F434DD">
      <w:pPr>
        <w:spacing w:line="276" w:lineRule="auto"/>
        <w:ind w:left="1134" w:right="851"/>
        <w:jc w:val="both"/>
        <w:rPr>
          <w:rFonts w:ascii="Palatino Linotype" w:eastAsia="Palatino Linotype" w:hAnsi="Palatino Linotype" w:cs="Palatino Linotype"/>
          <w:i/>
          <w:sz w:val="22"/>
          <w:szCs w:val="22"/>
        </w:rPr>
      </w:pPr>
      <w:r w:rsidRPr="00F62F4E">
        <w:rPr>
          <w:i/>
          <w:sz w:val="22"/>
          <w:szCs w:val="22"/>
        </w:rPr>
        <w:t xml:space="preserve"> </w:t>
      </w:r>
      <w:r w:rsidRPr="00F62F4E">
        <w:rPr>
          <w:rFonts w:ascii="Palatino Linotype" w:eastAsia="Palatino Linotype" w:hAnsi="Palatino Linotype" w:cs="Palatino Linotype"/>
          <w:i/>
          <w:sz w:val="22"/>
          <w:szCs w:val="22"/>
        </w:rPr>
        <w:t xml:space="preserve">IV. Las metas, </w:t>
      </w:r>
      <w:r w:rsidRPr="00F62F4E">
        <w:rPr>
          <w:rFonts w:ascii="Palatino Linotype" w:eastAsia="Palatino Linotype" w:hAnsi="Palatino Linotype" w:cs="Palatino Linotype"/>
          <w:b/>
          <w:i/>
          <w:sz w:val="22"/>
          <w:szCs w:val="22"/>
          <w:u w:val="single"/>
        </w:rPr>
        <w:t>objetivos</w:t>
      </w:r>
      <w:r w:rsidRPr="00F62F4E">
        <w:rPr>
          <w:rFonts w:ascii="Palatino Linotype" w:eastAsia="Palatino Linotype" w:hAnsi="Palatino Linotype" w:cs="Palatino Linotype"/>
          <w:i/>
          <w:sz w:val="22"/>
          <w:szCs w:val="22"/>
        </w:rPr>
        <w:t xml:space="preserve"> e indicadores de las áreas de los sujetos obligados de conformidad con los programas de trabajo e informes anuales de actividades de acuerdo con el Plan Estatal de Desarrollo, </w:t>
      </w:r>
      <w:r w:rsidRPr="00F62F4E">
        <w:rPr>
          <w:rFonts w:ascii="Palatino Linotype" w:eastAsia="Palatino Linotype" w:hAnsi="Palatino Linotype" w:cs="Palatino Linotype"/>
          <w:b/>
          <w:i/>
          <w:sz w:val="22"/>
          <w:szCs w:val="22"/>
          <w:u w:val="single"/>
        </w:rPr>
        <w:t>Plan de Desarrollo Municipal,</w:t>
      </w:r>
      <w:r w:rsidRPr="00F62F4E">
        <w:rPr>
          <w:rFonts w:ascii="Palatino Linotype" w:eastAsia="Palatino Linotype" w:hAnsi="Palatino Linotype" w:cs="Palatino Linotype"/>
          <w:i/>
          <w:sz w:val="22"/>
          <w:szCs w:val="22"/>
        </w:rPr>
        <w:t xml:space="preserve"> en su caso y demás ordenamientos aplicables;</w:t>
      </w:r>
    </w:p>
    <w:p w:rsidR="00446F68" w:rsidRPr="00F62F4E" w:rsidRDefault="00446F68">
      <w:pPr>
        <w:spacing w:line="276" w:lineRule="auto"/>
        <w:ind w:left="1134" w:right="851"/>
        <w:jc w:val="both"/>
        <w:rPr>
          <w:rFonts w:ascii="Palatino Linotype" w:eastAsia="Palatino Linotype" w:hAnsi="Palatino Linotype" w:cs="Palatino Linotype"/>
          <w:i/>
          <w:sz w:val="22"/>
          <w:szCs w:val="22"/>
        </w:rPr>
      </w:pPr>
    </w:p>
    <w:p w:rsidR="00446F68" w:rsidRPr="00F62F4E" w:rsidRDefault="00446F68">
      <w:pPr>
        <w:spacing w:line="276" w:lineRule="auto"/>
        <w:ind w:left="1134" w:right="851"/>
        <w:jc w:val="both"/>
        <w:rPr>
          <w:rFonts w:ascii="Palatino Linotype" w:eastAsia="Palatino Linotype" w:hAnsi="Palatino Linotype" w:cs="Palatino Linotype"/>
          <w:i/>
          <w:sz w:val="22"/>
          <w:szCs w:val="22"/>
        </w:rPr>
      </w:pPr>
    </w:p>
    <w:p w:rsidR="00446F68" w:rsidRPr="00F62F4E" w:rsidRDefault="00F434DD">
      <w:pPr>
        <w:spacing w:line="276" w:lineRule="auto"/>
        <w:ind w:left="1134"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Artículo 94. Además de las obligaciones de transparencia común a que se refiere el Capítulo II de este Título, los sujetos obligados del Poder Ejecutivo </w:t>
      </w:r>
      <w:r w:rsidRPr="00F62F4E">
        <w:rPr>
          <w:rFonts w:ascii="Palatino Linotype" w:eastAsia="Palatino Linotype" w:hAnsi="Palatino Linotype" w:cs="Palatino Linotype"/>
          <w:i/>
          <w:sz w:val="22"/>
          <w:szCs w:val="22"/>
        </w:rPr>
        <w:lastRenderedPageBreak/>
        <w:t>Local y municipales, deberán poner a disposición del público y actualizar la siguiente información:</w:t>
      </w:r>
    </w:p>
    <w:p w:rsidR="00446F68" w:rsidRPr="00F62F4E" w:rsidRDefault="00F434DD">
      <w:pPr>
        <w:spacing w:line="276" w:lineRule="auto"/>
        <w:ind w:left="1134"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i/>
          <w:sz w:val="22"/>
          <w:szCs w:val="22"/>
        </w:rPr>
        <w:t xml:space="preserve">I. En el caso del Poder Ejecutivo y </w:t>
      </w:r>
      <w:r w:rsidRPr="00F62F4E">
        <w:rPr>
          <w:rFonts w:ascii="Palatino Linotype" w:eastAsia="Palatino Linotype" w:hAnsi="Palatino Linotype" w:cs="Palatino Linotype"/>
          <w:b/>
          <w:i/>
          <w:sz w:val="22"/>
          <w:szCs w:val="22"/>
          <w:u w:val="single"/>
        </w:rPr>
        <w:t>los Municipios</w:t>
      </w:r>
      <w:r w:rsidRPr="00F62F4E">
        <w:rPr>
          <w:rFonts w:ascii="Palatino Linotype" w:eastAsia="Palatino Linotype" w:hAnsi="Palatino Linotype" w:cs="Palatino Linotype"/>
          <w:i/>
          <w:sz w:val="22"/>
          <w:szCs w:val="22"/>
        </w:rPr>
        <w:t>, en el ámbito de su competencia:</w:t>
      </w:r>
    </w:p>
    <w:p w:rsidR="00446F68" w:rsidRPr="00F62F4E" w:rsidRDefault="00F434DD">
      <w:pPr>
        <w:spacing w:line="276" w:lineRule="auto"/>
        <w:ind w:left="1134" w:right="851"/>
        <w:jc w:val="both"/>
        <w:rPr>
          <w:rFonts w:ascii="Palatino Linotype" w:eastAsia="Palatino Linotype" w:hAnsi="Palatino Linotype" w:cs="Palatino Linotype"/>
          <w:b/>
          <w:i/>
          <w:sz w:val="22"/>
          <w:szCs w:val="22"/>
          <w:u w:val="single"/>
        </w:rPr>
      </w:pPr>
      <w:r w:rsidRPr="00F62F4E">
        <w:rPr>
          <w:rFonts w:ascii="Palatino Linotype" w:eastAsia="Palatino Linotype" w:hAnsi="Palatino Linotype" w:cs="Palatino Linotype"/>
          <w:i/>
          <w:sz w:val="22"/>
          <w:szCs w:val="22"/>
        </w:rPr>
        <w:t xml:space="preserve">a) El </w:t>
      </w:r>
      <w:r w:rsidRPr="00F62F4E">
        <w:rPr>
          <w:rFonts w:ascii="Palatino Linotype" w:eastAsia="Palatino Linotype" w:hAnsi="Palatino Linotype" w:cs="Palatino Linotype"/>
          <w:b/>
          <w:i/>
          <w:sz w:val="22"/>
          <w:szCs w:val="22"/>
          <w:u w:val="single"/>
        </w:rPr>
        <w:t>Plan Estatal de Desarrollo y Plan de Desarrollo Municipal;</w:t>
      </w:r>
    </w:p>
    <w:p w:rsidR="00446F68" w:rsidRPr="00F62F4E" w:rsidRDefault="00F434DD">
      <w:pPr>
        <w:spacing w:line="276" w:lineRule="auto"/>
        <w:ind w:left="1134" w:right="851"/>
        <w:jc w:val="both"/>
        <w:rPr>
          <w:rFonts w:ascii="Palatino Linotype" w:eastAsia="Palatino Linotype" w:hAnsi="Palatino Linotype" w:cs="Palatino Linotype"/>
          <w:i/>
          <w:sz w:val="22"/>
          <w:szCs w:val="22"/>
        </w:rPr>
      </w:pPr>
      <w:r w:rsidRPr="00F62F4E">
        <w:rPr>
          <w:rFonts w:ascii="Palatino Linotype" w:eastAsia="Palatino Linotype" w:hAnsi="Palatino Linotype" w:cs="Palatino Linotype"/>
          <w:b/>
          <w:i/>
          <w:sz w:val="22"/>
          <w:szCs w:val="22"/>
          <w:u w:val="single"/>
        </w:rPr>
        <w:t>b) El presupuesto de egresos y las fórmulas de distribución de los recursos otorgados</w:t>
      </w:r>
      <w:r w:rsidRPr="00F62F4E">
        <w:rPr>
          <w:rFonts w:ascii="Palatino Linotype" w:eastAsia="Palatino Linotype" w:hAnsi="Palatino Linotype" w:cs="Palatino Linotype"/>
          <w:i/>
          <w:sz w:val="22"/>
          <w:szCs w:val="22"/>
        </w:rPr>
        <w:t>;”</w:t>
      </w:r>
    </w:p>
    <w:p w:rsidR="00446F68" w:rsidRPr="00F62F4E" w:rsidRDefault="00446F68">
      <w:pPr>
        <w:spacing w:line="276" w:lineRule="auto"/>
        <w:ind w:left="1134" w:right="851"/>
        <w:jc w:val="both"/>
        <w:rPr>
          <w:rFonts w:ascii="Palatino Linotype" w:eastAsia="Palatino Linotype" w:hAnsi="Palatino Linotype" w:cs="Palatino Linotype"/>
          <w:i/>
          <w:sz w:val="22"/>
          <w:szCs w:val="22"/>
        </w:rPr>
      </w:pPr>
    </w:p>
    <w:p w:rsidR="00446F68" w:rsidRPr="00F62F4E" w:rsidRDefault="00F434DD">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En este sentido, es pertinente señalar que la información que pretende proteger 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relacionados con montos asignados, son de naturaleza pública, los cuales tiene la obligación de transparentar en el ejercicio de sus funciones, por corresponder a información que se relaciona con el presupuesto de egresos,  por lo que las cantidades presupuestadas a cada obra abonan a la transparencia y a la rendición de cuentas en el actuar del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por cuanto hace a la administración de los recursos del erario público</w:t>
      </w:r>
    </w:p>
    <w:p w:rsidR="00446F68" w:rsidRPr="00F62F4E" w:rsidRDefault="00F434DD">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Por  lo que, no resulta procedente la clasificación del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al impedir al particular acceder al documento íntegro del Programa de Obra Pública 2022, por tal motivo lo procedente es ordenar la apertura de la información. </w:t>
      </w:r>
    </w:p>
    <w:p w:rsidR="00446F68" w:rsidRPr="00F62F4E" w:rsidRDefault="00F434DD">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 xml:space="preserve">Finalmente, no pasa inadvertido para Organismo Garante, que el particular requirió la información a que se refiere en su solicitud de acceso a la información pública, en copias simples, por lo que es necesario señalar que el propósito del Sistema de Acceso a la Información Mexiquense (SAIMEX), es que el particular tenga a su disposición la información solicitada en archivo digital o electrónico, la cual puede ser impresa a través de los equipos de cómputo correspondientes, lo que hace lo mismo de una copia simple, que de acuerdo artículo 3, fracción XXII y XV , de la </w:t>
      </w:r>
      <w:r w:rsidRPr="00F62F4E">
        <w:rPr>
          <w:rFonts w:ascii="Palatino Linotype" w:eastAsia="Palatino Linotype" w:hAnsi="Palatino Linotype" w:cs="Palatino Linotype"/>
        </w:rPr>
        <w:lastRenderedPageBreak/>
        <w:t xml:space="preserve">Ley de la Materia, son los documentos electrónicos generados en los procesos, trámites y servicios administrativos que lleva acabo 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por así disponérselo los ordenamientos legales conducentes.</w:t>
      </w:r>
    </w:p>
    <w:p w:rsidR="00446F68" w:rsidRPr="00F62F4E" w:rsidRDefault="00F434DD">
      <w:pPr>
        <w:pBdr>
          <w:top w:val="nil"/>
          <w:left w:val="nil"/>
          <w:bottom w:val="nil"/>
          <w:right w:val="nil"/>
          <w:between w:val="nil"/>
        </w:pBdr>
        <w:spacing w:line="360" w:lineRule="auto"/>
        <w:jc w:val="both"/>
      </w:pPr>
      <w:r w:rsidRPr="00F62F4E">
        <w:rPr>
          <w:rFonts w:ascii="Palatino Linotype" w:eastAsia="Palatino Linotype" w:hAnsi="Palatino Linotype" w:cs="Palatino Linotype"/>
        </w:rPr>
        <w:t>En mérito de lo expuesto en líneas anteriores resultan fundadas las razones o motivos de inconformidad que arguye la parte</w:t>
      </w:r>
      <w:r w:rsidRPr="00F62F4E">
        <w:rPr>
          <w:rFonts w:ascii="Palatino Linotype" w:eastAsia="Palatino Linotype" w:hAnsi="Palatino Linotype" w:cs="Palatino Linotype"/>
          <w:b/>
        </w:rPr>
        <w:t xml:space="preserve"> Recurrente</w:t>
      </w:r>
      <w:r w:rsidRPr="00F62F4E">
        <w:rPr>
          <w:rFonts w:ascii="Palatino Linotype" w:eastAsia="Palatino Linotype" w:hAnsi="Palatino Linotype" w:cs="Palatino Linotype"/>
        </w:rPr>
        <w:t xml:space="preserve">, por ello con fundamento en el artículo 124 fracción III de la Ley de Transparencia y Acceso a la Información Pública del Estado de México y Municipios, este Instituto </w:t>
      </w:r>
      <w:r w:rsidRPr="00F62F4E">
        <w:rPr>
          <w:rFonts w:ascii="Palatino Linotype" w:eastAsia="Palatino Linotype" w:hAnsi="Palatino Linotype" w:cs="Palatino Linotype"/>
          <w:b/>
        </w:rPr>
        <w:t>REVOCA</w:t>
      </w:r>
      <w:r w:rsidRPr="00F62F4E">
        <w:rPr>
          <w:rFonts w:ascii="Palatino Linotype" w:eastAsia="Palatino Linotype" w:hAnsi="Palatino Linotype" w:cs="Palatino Linotype"/>
        </w:rPr>
        <w:t xml:space="preserve"> la respuesta a la solicitud de información pública </w:t>
      </w:r>
      <w:r w:rsidRPr="00F62F4E">
        <w:rPr>
          <w:rFonts w:ascii="Palatino Linotype" w:eastAsia="Palatino Linotype" w:hAnsi="Palatino Linotype" w:cs="Palatino Linotype"/>
          <w:b/>
        </w:rPr>
        <w:t>00103/XONACAT/IP/2022</w:t>
      </w:r>
      <w:r w:rsidRPr="00F62F4E">
        <w:rPr>
          <w:rFonts w:ascii="Palatino Linotype" w:eastAsia="Palatino Linotype" w:hAnsi="Palatino Linotype" w:cs="Palatino Linotype"/>
        </w:rPr>
        <w:t>,</w:t>
      </w:r>
      <w:r w:rsidRPr="00F62F4E">
        <w:rPr>
          <w:rFonts w:ascii="Palatino Linotype" w:eastAsia="Palatino Linotype" w:hAnsi="Palatino Linotype" w:cs="Palatino Linotype"/>
          <w:b/>
        </w:rPr>
        <w:t xml:space="preserve"> </w:t>
      </w:r>
      <w:r w:rsidRPr="00F62F4E">
        <w:rPr>
          <w:rFonts w:ascii="Palatino Linotype" w:eastAsia="Palatino Linotype" w:hAnsi="Palatino Linotype" w:cs="Palatino Linotype"/>
        </w:rPr>
        <w:t>que han sido materia del presente fallo.</w:t>
      </w:r>
    </w:p>
    <w:p w:rsidR="00446F68" w:rsidRPr="00F62F4E" w:rsidRDefault="00F434DD">
      <w:pPr>
        <w:shd w:val="clear" w:color="auto" w:fill="FFFFFF"/>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rPr>
        <w:t>Así, con fundamento en lo prescrito en los artículos 5 párrafos trigésimo, trigésimo primero y trigésimo segundo fracciones IV y V de la Constitución Política del Estado Libre y Soberano de México; 2, fracción II; 29, 36 fracciones I y II; 176, 178, 179, fracción I, 181, 185 de la Ley de Transparencia y Acceso a la Información Pública del Estado de México y Municipios, este Pleno:</w:t>
      </w:r>
    </w:p>
    <w:p w:rsidR="00446F68" w:rsidRPr="00F62F4E" w:rsidRDefault="00F434DD">
      <w:pPr>
        <w:numPr>
          <w:ilvl w:val="0"/>
          <w:numId w:val="7"/>
        </w:numPr>
        <w:spacing w:before="240" w:after="240" w:line="360" w:lineRule="auto"/>
        <w:ind w:left="284" w:hanging="426"/>
        <w:jc w:val="center"/>
        <w:rPr>
          <w:rFonts w:ascii="Palatino Linotype" w:eastAsia="Palatino Linotype" w:hAnsi="Palatino Linotype" w:cs="Palatino Linotype"/>
          <w:b/>
        </w:rPr>
      </w:pPr>
      <w:r w:rsidRPr="00F62F4E">
        <w:rPr>
          <w:rFonts w:ascii="Palatino Linotype" w:eastAsia="Palatino Linotype" w:hAnsi="Palatino Linotype" w:cs="Palatino Linotype"/>
          <w:b/>
        </w:rPr>
        <w:t>R E S U E L V E</w:t>
      </w:r>
    </w:p>
    <w:p w:rsidR="00446F68" w:rsidRPr="00F62F4E" w:rsidRDefault="00F434DD">
      <w:pPr>
        <w:spacing w:before="240" w:after="240" w:line="360" w:lineRule="auto"/>
        <w:jc w:val="both"/>
        <w:rPr>
          <w:rFonts w:ascii="Palatino Linotype" w:eastAsia="Palatino Linotype" w:hAnsi="Palatino Linotype" w:cs="Palatino Linotype"/>
          <w:b/>
        </w:rPr>
      </w:pPr>
      <w:bookmarkStart w:id="0" w:name="_heading=h.30j0zll" w:colFirst="0" w:colLast="0"/>
      <w:bookmarkEnd w:id="0"/>
      <w:r w:rsidRPr="00F62F4E">
        <w:rPr>
          <w:rFonts w:ascii="Palatino Linotype" w:eastAsia="Palatino Linotype" w:hAnsi="Palatino Linotype" w:cs="Palatino Linotype"/>
          <w:b/>
        </w:rPr>
        <w:t xml:space="preserve">Primero. </w:t>
      </w:r>
      <w:r w:rsidRPr="00F62F4E">
        <w:rPr>
          <w:rFonts w:ascii="Palatino Linotype" w:eastAsia="Palatino Linotype" w:hAnsi="Palatino Linotype" w:cs="Palatino Linotype"/>
        </w:rPr>
        <w:t>Resultan</w:t>
      </w:r>
      <w:r w:rsidRPr="00F62F4E">
        <w:rPr>
          <w:rFonts w:ascii="Palatino Linotype" w:eastAsia="Palatino Linotype" w:hAnsi="Palatino Linotype" w:cs="Palatino Linotype"/>
          <w:b/>
        </w:rPr>
        <w:t xml:space="preserve"> fundados </w:t>
      </w:r>
      <w:r w:rsidRPr="00F62F4E">
        <w:rPr>
          <w:rFonts w:ascii="Palatino Linotype" w:eastAsia="Palatino Linotype" w:hAnsi="Palatino Linotype" w:cs="Palatino Linotype"/>
        </w:rPr>
        <w:t xml:space="preserve">los motivos de inconformidad hechos valer por </w:t>
      </w:r>
      <w:r w:rsidRPr="00F62F4E">
        <w:rPr>
          <w:rFonts w:ascii="Palatino Linotype" w:eastAsia="Palatino Linotype" w:hAnsi="Palatino Linotype" w:cs="Palatino Linotype"/>
          <w:b/>
        </w:rPr>
        <w:t>la parte Recurrente</w:t>
      </w:r>
      <w:r w:rsidRPr="00F62F4E">
        <w:rPr>
          <w:rFonts w:ascii="Palatino Linotype" w:eastAsia="Palatino Linotype" w:hAnsi="Palatino Linotype" w:cs="Palatino Linotype"/>
        </w:rPr>
        <w:t xml:space="preserve"> en el recurso de revisión</w:t>
      </w:r>
      <w:r w:rsidRPr="00F62F4E">
        <w:rPr>
          <w:rFonts w:ascii="Palatino Linotype" w:eastAsia="Palatino Linotype" w:hAnsi="Palatino Linotype" w:cs="Palatino Linotype"/>
          <w:b/>
        </w:rPr>
        <w:t xml:space="preserve"> 08444/INFOEM/IP/RR/2022, </w:t>
      </w:r>
      <w:r w:rsidRPr="00F62F4E">
        <w:rPr>
          <w:rFonts w:ascii="Palatino Linotype" w:eastAsia="Palatino Linotype" w:hAnsi="Palatino Linotype" w:cs="Palatino Linotype"/>
        </w:rPr>
        <w:t>por lo que, en términos del</w:t>
      </w:r>
      <w:r w:rsidRPr="00F62F4E">
        <w:rPr>
          <w:rFonts w:ascii="Palatino Linotype" w:eastAsia="Palatino Linotype" w:hAnsi="Palatino Linotype" w:cs="Palatino Linotype"/>
          <w:b/>
        </w:rPr>
        <w:t xml:space="preserve"> Considerando Cuarto </w:t>
      </w:r>
      <w:r w:rsidRPr="00F62F4E">
        <w:rPr>
          <w:rFonts w:ascii="Palatino Linotype" w:eastAsia="Palatino Linotype" w:hAnsi="Palatino Linotype" w:cs="Palatino Linotype"/>
        </w:rPr>
        <w:t xml:space="preserve">de la presente resolución, se </w:t>
      </w:r>
      <w:r w:rsidRPr="00F62F4E">
        <w:rPr>
          <w:rFonts w:ascii="Palatino Linotype" w:eastAsia="Palatino Linotype" w:hAnsi="Palatino Linotype" w:cs="Palatino Linotype"/>
          <w:b/>
        </w:rPr>
        <w:t xml:space="preserve">REVOCA </w:t>
      </w:r>
      <w:r w:rsidRPr="00F62F4E">
        <w:rPr>
          <w:rFonts w:ascii="Palatino Linotype" w:eastAsia="Palatino Linotype" w:hAnsi="Palatino Linotype" w:cs="Palatino Linotype"/>
        </w:rPr>
        <w:t>la respuesta emitida por el</w:t>
      </w:r>
      <w:r w:rsidRPr="00F62F4E">
        <w:rPr>
          <w:rFonts w:ascii="Palatino Linotype" w:eastAsia="Palatino Linotype" w:hAnsi="Palatino Linotype" w:cs="Palatino Linotype"/>
          <w:b/>
        </w:rPr>
        <w:t xml:space="preserve"> Sujeto Obligado.</w:t>
      </w:r>
    </w:p>
    <w:p w:rsidR="00446F68" w:rsidRPr="00F62F4E" w:rsidRDefault="00F434DD">
      <w:pPr>
        <w:spacing w:before="240" w:after="240" w:line="360" w:lineRule="auto"/>
        <w:jc w:val="both"/>
        <w:rPr>
          <w:rFonts w:ascii="Palatino Linotype" w:eastAsia="Palatino Linotype" w:hAnsi="Palatino Linotype" w:cs="Palatino Linotype"/>
          <w:b/>
        </w:rPr>
      </w:pPr>
      <w:r w:rsidRPr="00F62F4E">
        <w:rPr>
          <w:rFonts w:ascii="Palatino Linotype" w:eastAsia="Palatino Linotype" w:hAnsi="Palatino Linotype" w:cs="Palatino Linotype"/>
          <w:b/>
        </w:rPr>
        <w:t xml:space="preserve">Segundo. </w:t>
      </w:r>
      <w:r w:rsidRPr="00F62F4E">
        <w:rPr>
          <w:rFonts w:ascii="Palatino Linotype" w:eastAsia="Palatino Linotype" w:hAnsi="Palatino Linotype" w:cs="Palatino Linotype"/>
        </w:rPr>
        <w:t xml:space="preserve">Se Ordena al </w:t>
      </w:r>
      <w:r w:rsidRPr="00F62F4E">
        <w:rPr>
          <w:rFonts w:ascii="Palatino Linotype" w:eastAsia="Palatino Linotype" w:hAnsi="Palatino Linotype" w:cs="Palatino Linotype"/>
          <w:b/>
        </w:rPr>
        <w:t xml:space="preserve">Sujeto Obligado, </w:t>
      </w:r>
      <w:r w:rsidRPr="00F62F4E">
        <w:rPr>
          <w:rFonts w:ascii="Palatino Linotype" w:eastAsia="Palatino Linotype" w:hAnsi="Palatino Linotype" w:cs="Palatino Linotype"/>
        </w:rPr>
        <w:t xml:space="preserve">que en términos del </w:t>
      </w:r>
      <w:r w:rsidRPr="00F62F4E">
        <w:rPr>
          <w:rFonts w:ascii="Palatino Linotype" w:eastAsia="Palatino Linotype" w:hAnsi="Palatino Linotype" w:cs="Palatino Linotype"/>
          <w:b/>
        </w:rPr>
        <w:t xml:space="preserve">Considerando Cuarto </w:t>
      </w:r>
      <w:r w:rsidRPr="00F62F4E">
        <w:rPr>
          <w:rFonts w:ascii="Palatino Linotype" w:eastAsia="Palatino Linotype" w:hAnsi="Palatino Linotype" w:cs="Palatino Linotype"/>
        </w:rPr>
        <w:t>de esta resolución, haga entrega</w:t>
      </w:r>
      <w:r w:rsidRPr="00F62F4E">
        <w:rPr>
          <w:rFonts w:ascii="Palatino Linotype" w:eastAsia="Palatino Linotype" w:hAnsi="Palatino Linotype" w:cs="Palatino Linotype"/>
          <w:b/>
        </w:rPr>
        <w:t xml:space="preserve"> </w:t>
      </w:r>
      <w:r w:rsidRPr="00F62F4E">
        <w:rPr>
          <w:rFonts w:ascii="Palatino Linotype" w:eastAsia="Palatino Linotype" w:hAnsi="Palatino Linotype" w:cs="Palatino Linotype"/>
        </w:rPr>
        <w:t xml:space="preserve">vía </w:t>
      </w:r>
      <w:r w:rsidRPr="00F62F4E">
        <w:rPr>
          <w:rFonts w:ascii="Palatino Linotype" w:eastAsia="Palatino Linotype" w:hAnsi="Palatino Linotype" w:cs="Palatino Linotype"/>
          <w:b/>
        </w:rPr>
        <w:t>SAIMEX</w:t>
      </w:r>
      <w:r w:rsidRPr="00F62F4E">
        <w:rPr>
          <w:rFonts w:ascii="Palatino Linotype" w:eastAsia="Palatino Linotype" w:hAnsi="Palatino Linotype" w:cs="Palatino Linotype"/>
          <w:sz w:val="32"/>
          <w:szCs w:val="32"/>
        </w:rPr>
        <w:t xml:space="preserve"> </w:t>
      </w:r>
      <w:r w:rsidRPr="00F62F4E">
        <w:rPr>
          <w:rFonts w:ascii="Palatino Linotype" w:eastAsia="Palatino Linotype" w:hAnsi="Palatino Linotype" w:cs="Palatino Linotype"/>
        </w:rPr>
        <w:t>de lo siguiente:</w:t>
      </w:r>
      <w:r w:rsidRPr="00F62F4E">
        <w:rPr>
          <w:rFonts w:ascii="Palatino Linotype" w:eastAsia="Palatino Linotype" w:hAnsi="Palatino Linotype" w:cs="Palatino Linotype"/>
          <w:b/>
        </w:rPr>
        <w:t xml:space="preserve"> </w:t>
      </w:r>
    </w:p>
    <w:p w:rsidR="00446F68" w:rsidRPr="00F62F4E" w:rsidRDefault="00F434DD">
      <w:pPr>
        <w:numPr>
          <w:ilvl w:val="0"/>
          <w:numId w:val="3"/>
        </w:numPr>
        <w:pBdr>
          <w:top w:val="nil"/>
          <w:left w:val="nil"/>
          <w:bottom w:val="nil"/>
          <w:right w:val="nil"/>
          <w:between w:val="nil"/>
        </w:pBdr>
        <w:spacing w:before="240" w:after="240"/>
        <w:ind w:right="851"/>
        <w:jc w:val="both"/>
        <w:rPr>
          <w:rFonts w:ascii="Palatino Linotype" w:eastAsia="Palatino Linotype" w:hAnsi="Palatino Linotype" w:cs="Palatino Linotype"/>
        </w:rPr>
      </w:pPr>
      <w:r w:rsidRPr="00F62F4E">
        <w:rPr>
          <w:rFonts w:ascii="Palatino Linotype" w:eastAsia="Palatino Linotype" w:hAnsi="Palatino Linotype" w:cs="Palatino Linotype"/>
        </w:rPr>
        <w:lastRenderedPageBreak/>
        <w:t>Programa Anual de Obras para el ejercicio fiscal  2022.</w:t>
      </w:r>
      <w:r w:rsidRPr="00F62F4E">
        <w:rPr>
          <w:rFonts w:ascii="Palatino Linotype" w:eastAsia="Palatino Linotype" w:hAnsi="Palatino Linotype" w:cs="Palatino Linotype"/>
          <w:sz w:val="20"/>
          <w:szCs w:val="20"/>
        </w:rPr>
        <w:t xml:space="preserve"> </w:t>
      </w:r>
    </w:p>
    <w:p w:rsidR="00446F68" w:rsidRPr="00F62F4E" w:rsidRDefault="00446F68">
      <w:pPr>
        <w:pBdr>
          <w:top w:val="nil"/>
          <w:left w:val="nil"/>
          <w:bottom w:val="nil"/>
          <w:right w:val="nil"/>
          <w:between w:val="nil"/>
        </w:pBdr>
        <w:spacing w:before="240" w:after="240"/>
        <w:ind w:left="1287" w:right="851"/>
        <w:jc w:val="both"/>
        <w:rPr>
          <w:rFonts w:ascii="Palatino Linotype" w:eastAsia="Palatino Linotype" w:hAnsi="Palatino Linotype" w:cs="Palatino Linotype"/>
        </w:rPr>
      </w:pPr>
      <w:bookmarkStart w:id="1" w:name="_heading=h.gjdgxs" w:colFirst="0" w:colLast="0"/>
      <w:bookmarkEnd w:id="1"/>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b/>
        </w:rPr>
        <w:t xml:space="preserve">Tercero. </w:t>
      </w:r>
      <w:r w:rsidRPr="00F62F4E">
        <w:rPr>
          <w:rFonts w:ascii="Palatino Linotype" w:eastAsia="Palatino Linotype" w:hAnsi="Palatino Linotype" w:cs="Palatino Linotype"/>
        </w:rPr>
        <w:t>Notifíquese vía</w:t>
      </w:r>
      <w:r w:rsidRPr="00F62F4E">
        <w:rPr>
          <w:rFonts w:ascii="Palatino Linotype" w:eastAsia="Palatino Linotype" w:hAnsi="Palatino Linotype" w:cs="Palatino Linotype"/>
          <w:b/>
        </w:rPr>
        <w:t xml:space="preserve"> SAIMEX, </w:t>
      </w:r>
      <w:r w:rsidRPr="00F62F4E">
        <w:rPr>
          <w:rFonts w:ascii="Palatino Linotype" w:eastAsia="Palatino Linotype" w:hAnsi="Palatino Linotype" w:cs="Palatino Linotype"/>
        </w:rPr>
        <w:t xml:space="preserve">al Responsable de la Unidad de Transparencia del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la presente resolución, para que conforme a los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misma.</w:t>
      </w:r>
    </w:p>
    <w:p w:rsidR="00446F68" w:rsidRPr="00F62F4E" w:rsidRDefault="00F434DD">
      <w:pPr>
        <w:spacing w:before="240" w:after="240" w:line="360" w:lineRule="auto"/>
        <w:jc w:val="both"/>
        <w:rPr>
          <w:rFonts w:ascii="Palatino Linotype" w:eastAsia="Palatino Linotype" w:hAnsi="Palatino Linotype" w:cs="Palatino Linotype"/>
        </w:rPr>
      </w:pPr>
      <w:r w:rsidRPr="00F62F4E">
        <w:rPr>
          <w:rFonts w:ascii="Palatino Linotype" w:eastAsia="Palatino Linotype" w:hAnsi="Palatino Linotype" w:cs="Palatino Linotype"/>
          <w:b/>
        </w:rPr>
        <w:t xml:space="preserve">Cuarto. </w:t>
      </w:r>
      <w:r w:rsidRPr="00F62F4E">
        <w:rPr>
          <w:rFonts w:ascii="Palatino Linotype" w:eastAsia="Palatino Linotype" w:hAnsi="Palatino Linotype" w:cs="Palatino Linotype"/>
        </w:rPr>
        <w:t xml:space="preserve">De conformidad con el artículo 198 de la Ley de Transparencia y Acceso a la Información Pública del Estado de México y Municipios, de considerarlo procedente, el </w:t>
      </w:r>
      <w:r w:rsidRPr="00F62F4E">
        <w:rPr>
          <w:rFonts w:ascii="Palatino Linotype" w:eastAsia="Palatino Linotype" w:hAnsi="Palatino Linotype" w:cs="Palatino Linotype"/>
          <w:b/>
        </w:rPr>
        <w:t>Sujeto Obligado</w:t>
      </w:r>
      <w:r w:rsidRPr="00F62F4E">
        <w:rPr>
          <w:rFonts w:ascii="Palatino Linotype" w:eastAsia="Palatino Linotype" w:hAnsi="Palatino Linotype" w:cs="Palatino Linotype"/>
        </w:rPr>
        <w:t xml:space="preserve"> de manera fundada y motivada, podrá solicitar una ampliación de plazo para el cumplimiento de la presente resolución.</w:t>
      </w:r>
    </w:p>
    <w:p w:rsidR="00446F68" w:rsidRPr="00F62F4E" w:rsidRDefault="00F434DD">
      <w:pPr>
        <w:spacing w:before="240" w:after="240" w:line="360" w:lineRule="auto"/>
        <w:jc w:val="both"/>
        <w:rPr>
          <w:rFonts w:ascii="Palatino Linotype" w:eastAsia="Palatino Linotype" w:hAnsi="Palatino Linotype" w:cs="Palatino Linotype"/>
          <w:b/>
        </w:rPr>
      </w:pPr>
      <w:r w:rsidRPr="00F62F4E">
        <w:rPr>
          <w:rFonts w:ascii="Palatino Linotype" w:eastAsia="Palatino Linotype" w:hAnsi="Palatino Linotype" w:cs="Palatino Linotype"/>
          <w:b/>
        </w:rPr>
        <w:t xml:space="preserve">Quinto.  Notifíquese, </w:t>
      </w:r>
      <w:r w:rsidRPr="00F62F4E">
        <w:rPr>
          <w:rFonts w:ascii="Palatino Linotype" w:eastAsia="Palatino Linotype" w:hAnsi="Palatino Linotype" w:cs="Palatino Linotype"/>
        </w:rPr>
        <w:t>a la</w:t>
      </w:r>
      <w:r w:rsidRPr="00F62F4E">
        <w:rPr>
          <w:rFonts w:ascii="Palatino Linotype" w:eastAsia="Palatino Linotype" w:hAnsi="Palatino Linotype" w:cs="Palatino Linotype"/>
          <w:b/>
        </w:rPr>
        <w:t xml:space="preserve"> parte Recurrente</w:t>
      </w:r>
      <w:r w:rsidRPr="00F62F4E">
        <w:rPr>
          <w:rFonts w:ascii="Palatino Linotype" w:eastAsia="Palatino Linotype" w:hAnsi="Palatino Linotype" w:cs="Palatino Linotype"/>
        </w:rPr>
        <w:t xml:space="preserve"> vía</w:t>
      </w:r>
      <w:r w:rsidRPr="00F62F4E">
        <w:rPr>
          <w:rFonts w:ascii="Palatino Linotype" w:eastAsia="Palatino Linotype" w:hAnsi="Palatino Linotype" w:cs="Palatino Linotype"/>
          <w:b/>
        </w:rPr>
        <w:t xml:space="preserve"> SAIMEX, </w:t>
      </w:r>
      <w:r w:rsidRPr="00F62F4E">
        <w:rPr>
          <w:rFonts w:ascii="Palatino Linotype" w:eastAsia="Palatino Linotype" w:hAnsi="Palatino Linotype" w:cs="Palatino Linotype"/>
        </w:rPr>
        <w:t>la presente resolución, así como, que de conformidad con lo establecido en el artículo 196 de la Ley de Transparencia y Acceso a la Información Pública del Estado de México y Municipios, en caso de que considere que le causa algún perjuicio podrá impugnarla vía Juicio de Amparo en los términ</w:t>
      </w:r>
      <w:bookmarkStart w:id="2" w:name="_GoBack"/>
      <w:bookmarkEnd w:id="2"/>
      <w:r w:rsidRPr="00F62F4E">
        <w:rPr>
          <w:rFonts w:ascii="Palatino Linotype" w:eastAsia="Palatino Linotype" w:hAnsi="Palatino Linotype" w:cs="Palatino Linotype"/>
        </w:rPr>
        <w:t>os de las leyes aplicables</w:t>
      </w:r>
      <w:r w:rsidRPr="00F62F4E">
        <w:rPr>
          <w:rFonts w:ascii="Palatino Linotype" w:eastAsia="Palatino Linotype" w:hAnsi="Palatino Linotype" w:cs="Palatino Linotype"/>
          <w:b/>
        </w:rPr>
        <w:t>.</w:t>
      </w:r>
    </w:p>
    <w:p w:rsidR="00446F68" w:rsidRDefault="00F434DD">
      <w:pPr>
        <w:spacing w:before="240" w:after="240" w:line="360" w:lineRule="auto"/>
        <w:jc w:val="both"/>
        <w:rPr>
          <w:rFonts w:ascii="Palatino Linotype" w:eastAsia="Palatino Linotype" w:hAnsi="Palatino Linotype" w:cs="Palatino Linotype"/>
        </w:rPr>
      </w:pPr>
      <w:bookmarkStart w:id="3" w:name="_heading=h.1fob9te" w:colFirst="0" w:colLast="0"/>
      <w:bookmarkEnd w:id="3"/>
      <w:r w:rsidRPr="00F62F4E">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w:t>
      </w:r>
      <w:r w:rsidRPr="00F62F4E">
        <w:rPr>
          <w:rFonts w:ascii="Palatino Linotype" w:eastAsia="Palatino Linotype" w:hAnsi="Palatino Linotype" w:cs="Palatino Linotype"/>
        </w:rPr>
        <w:lastRenderedPageBreak/>
        <w:t>MORALES MARTÍNEZ,  LUIS GUSTAVO PARRA NORIEGA Y GUADALUPE RAMÍREZ PEÑA; EN LA TRIGÉSIMA SÉPTIMA SESIÓN ORDINARIA CELEBRADA EL DOCE DE OCTUBRE DEL DOS MIL VEINTIDÓS, ANTE EL SECRETARIO TÉCNICO DEL PLENO, ALEXIS TAPIA RAMÍREZ.</w:t>
      </w:r>
    </w:p>
    <w:p w:rsidR="000326D1" w:rsidRDefault="000326D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mc:AlternateContent>
          <mc:Choice Requires="wps">
            <w:drawing>
              <wp:anchor distT="0" distB="0" distL="114300" distR="114300" simplePos="0" relativeHeight="251659264" behindDoc="0" locked="0" layoutInCell="1" allowOverlap="1">
                <wp:simplePos x="0" y="0"/>
                <wp:positionH relativeFrom="column">
                  <wp:posOffset>216229</wp:posOffset>
                </wp:positionH>
                <wp:positionV relativeFrom="paragraph">
                  <wp:posOffset>285541</wp:posOffset>
                </wp:positionV>
                <wp:extent cx="4768769" cy="4907666"/>
                <wp:effectExtent l="38100" t="19050" r="70485" b="83820"/>
                <wp:wrapNone/>
                <wp:docPr id="1" name="Conector recto 1"/>
                <wp:cNvGraphicFramePr/>
                <a:graphic xmlns:a="http://schemas.openxmlformats.org/drawingml/2006/main">
                  <a:graphicData uri="http://schemas.microsoft.com/office/word/2010/wordprocessingShape">
                    <wps:wsp>
                      <wps:cNvCnPr/>
                      <wps:spPr>
                        <a:xfrm>
                          <a:off x="0" y="0"/>
                          <a:ext cx="4768769" cy="4907666"/>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1CEACD4" id="Conector recto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7.05pt,22.5pt" to="392.55pt,40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" strokecolor="#4f81bd [3204]" strokeweight="2pt">
                <v:shadow on="t" color="black" opacity="24903f" origin=",.5" offset="0,.55556mm"/>
              </v:line>
            </w:pict>
          </mc:Fallback>
        </mc:AlternateContent>
      </w:r>
    </w:p>
    <w:p w:rsidR="000326D1" w:rsidRPr="00F62F4E" w:rsidRDefault="000326D1">
      <w:pPr>
        <w:spacing w:before="240" w:after="240" w:line="360" w:lineRule="auto"/>
        <w:jc w:val="both"/>
        <w:rPr>
          <w:rFonts w:ascii="Palatino Linotype" w:eastAsia="Palatino Linotype" w:hAnsi="Palatino Linotype" w:cs="Palatino Linotype"/>
        </w:rPr>
        <w:sectPr w:rsidR="000326D1" w:rsidRPr="00F62F4E">
          <w:headerReference w:type="default" r:id="rId27"/>
          <w:footerReference w:type="default" r:id="rId28"/>
          <w:headerReference w:type="first" r:id="rId29"/>
          <w:footerReference w:type="first" r:id="rId30"/>
          <w:pgSz w:w="12240" w:h="15840"/>
          <w:pgMar w:top="1417" w:right="1750" w:bottom="1417" w:left="1701" w:header="708" w:footer="708" w:gutter="0"/>
          <w:pgNumType w:start="1"/>
          <w:cols w:space="720"/>
          <w:titlePg/>
        </w:sectPr>
      </w:pPr>
    </w:p>
    <w:p w:rsidR="00446F68" w:rsidRPr="00F62F4E" w:rsidRDefault="00446F68">
      <w:pPr>
        <w:pBdr>
          <w:top w:val="nil"/>
          <w:left w:val="nil"/>
          <w:bottom w:val="nil"/>
          <w:right w:val="nil"/>
          <w:between w:val="nil"/>
        </w:pBdr>
        <w:spacing w:before="240" w:after="240" w:line="360" w:lineRule="auto"/>
        <w:jc w:val="both"/>
        <w:rPr>
          <w:rFonts w:ascii="Palatino Linotype" w:eastAsia="Palatino Linotype" w:hAnsi="Palatino Linotype" w:cs="Palatino Linotype"/>
        </w:rPr>
      </w:pPr>
    </w:p>
    <w:p w:rsidR="00446F68" w:rsidRPr="00F62F4E" w:rsidRDefault="00446F68">
      <w:pPr>
        <w:pBdr>
          <w:top w:val="nil"/>
          <w:left w:val="nil"/>
          <w:bottom w:val="nil"/>
          <w:right w:val="nil"/>
          <w:between w:val="nil"/>
        </w:pBdr>
        <w:spacing w:before="240" w:after="240" w:line="360" w:lineRule="auto"/>
        <w:jc w:val="both"/>
        <w:rPr>
          <w:rFonts w:ascii="Palatino Linotype" w:eastAsia="Palatino Linotype" w:hAnsi="Palatino Linotype" w:cs="Palatino Linotype"/>
        </w:rPr>
      </w:pPr>
    </w:p>
    <w:p w:rsidR="00446F68" w:rsidRPr="00F62F4E" w:rsidRDefault="00446F68">
      <w:pPr>
        <w:pBdr>
          <w:top w:val="nil"/>
          <w:left w:val="nil"/>
          <w:bottom w:val="nil"/>
          <w:right w:val="nil"/>
          <w:between w:val="nil"/>
        </w:pBdr>
        <w:spacing w:before="240" w:after="240" w:line="360" w:lineRule="auto"/>
        <w:jc w:val="both"/>
        <w:rPr>
          <w:rFonts w:ascii="Palatino Linotype" w:eastAsia="Palatino Linotype" w:hAnsi="Palatino Linotype" w:cs="Palatino Linotype"/>
        </w:rPr>
      </w:pPr>
    </w:p>
    <w:sectPr w:rsidR="00446F68" w:rsidRPr="00F62F4E">
      <w:headerReference w:type="first" r:id="rId31"/>
      <w:pgSz w:w="12240" w:h="15840"/>
      <w:pgMar w:top="1417" w:right="1701" w:bottom="1417" w:left="1701" w:header="708" w:footer="708"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1C42" w:rsidRDefault="00FD1C42">
      <w:r>
        <w:separator/>
      </w:r>
    </w:p>
  </w:endnote>
  <w:endnote w:type="continuationSeparator" w:id="0">
    <w:p w:rsidR="00FD1C42" w:rsidRDefault="00FD1C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6F68" w:rsidRDefault="00F434DD">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0F56E3">
      <w:rPr>
        <w:rFonts w:ascii="Arial" w:eastAsia="Arial" w:hAnsi="Arial" w:cs="Arial"/>
        <w:b/>
        <w:noProof/>
        <w:color w:val="000000"/>
        <w:sz w:val="20"/>
        <w:szCs w:val="20"/>
      </w:rPr>
      <w:t>21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0F56E3">
      <w:rPr>
        <w:rFonts w:ascii="Arial" w:eastAsia="Arial" w:hAnsi="Arial" w:cs="Arial"/>
        <w:b/>
        <w:noProof/>
        <w:color w:val="000000"/>
        <w:sz w:val="20"/>
        <w:szCs w:val="20"/>
      </w:rPr>
      <w:t>44</w:t>
    </w:r>
    <w:r>
      <w:rPr>
        <w:rFonts w:ascii="Arial" w:eastAsia="Arial" w:hAnsi="Arial" w:cs="Arial"/>
        <w:b/>
        <w:color w:val="000000"/>
        <w:sz w:val="20"/>
        <w:szCs w:val="20"/>
      </w:rPr>
      <w:fldChar w:fldCharType="end"/>
    </w:r>
  </w:p>
  <w:p w:rsidR="00446F68" w:rsidRDefault="00446F68">
    <w:pPr>
      <w:pBdr>
        <w:top w:val="nil"/>
        <w:left w:val="nil"/>
        <w:bottom w:val="nil"/>
        <w:right w:val="nil"/>
        <w:between w:val="nil"/>
      </w:pBdr>
      <w:tabs>
        <w:tab w:val="center" w:pos="4252"/>
        <w:tab w:val="right" w:pos="8504"/>
      </w:tabs>
      <w:rPr>
        <w:color w:val="000000"/>
      </w:rPr>
    </w:pPr>
  </w:p>
  <w:p w:rsidR="00446F68" w:rsidRDefault="00446F68">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6F68" w:rsidRDefault="00F434DD">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0F56E3">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0F56E3">
      <w:rPr>
        <w:rFonts w:ascii="Arial" w:eastAsia="Arial" w:hAnsi="Arial" w:cs="Arial"/>
        <w:b/>
        <w:noProof/>
        <w:color w:val="000000"/>
        <w:sz w:val="20"/>
        <w:szCs w:val="20"/>
      </w:rPr>
      <w:t>44</w:t>
    </w:r>
    <w:r>
      <w:rPr>
        <w:rFonts w:ascii="Arial" w:eastAsia="Arial" w:hAnsi="Arial" w:cs="Arial"/>
        <w:b/>
        <w:color w:val="000000"/>
        <w:sz w:val="20"/>
        <w:szCs w:val="20"/>
      </w:rPr>
      <w:fldChar w:fldCharType="end"/>
    </w:r>
  </w:p>
  <w:p w:rsidR="00446F68" w:rsidRDefault="00446F68">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1C42" w:rsidRDefault="00FD1C42">
      <w:r>
        <w:separator/>
      </w:r>
    </w:p>
  </w:footnote>
  <w:footnote w:type="continuationSeparator" w:id="0">
    <w:p w:rsidR="00FD1C42" w:rsidRDefault="00FD1C42">
      <w:r>
        <w:continuationSeparator/>
      </w:r>
    </w:p>
  </w:footnote>
  <w:footnote w:id="1">
    <w:p w:rsidR="00446F68" w:rsidRDefault="00F434DD">
      <w:pPr>
        <w:pBdr>
          <w:top w:val="nil"/>
          <w:left w:val="nil"/>
          <w:bottom w:val="nil"/>
          <w:right w:val="nil"/>
          <w:between w:val="nil"/>
        </w:pBdr>
        <w:rPr>
          <w:rFonts w:ascii="Cambria" w:eastAsia="Cambria" w:hAnsi="Cambria" w:cs="Cambria"/>
          <w:color w:val="000000"/>
          <w:sz w:val="20"/>
          <w:szCs w:val="20"/>
        </w:rPr>
      </w:pPr>
      <w:r>
        <w:rPr>
          <w:vertAlign w:val="superscript"/>
        </w:rPr>
        <w:footnoteRef/>
      </w:r>
      <w:r>
        <w:rPr>
          <w:rFonts w:ascii="Cambria" w:eastAsia="Cambria" w:hAnsi="Cambria" w:cs="Cambria"/>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rFonts w:ascii="Cambria" w:eastAsia="Cambria" w:hAnsi="Cambria" w:cs="Cambria"/>
          <w:color w:val="000000"/>
          <w:sz w:val="20"/>
          <w:szCs w:val="20"/>
        </w:rPr>
        <w:t xml:space="preserve"> (…)</w:t>
      </w:r>
    </w:p>
  </w:footnote>
  <w:footnote w:id="2">
    <w:p w:rsidR="00446F68" w:rsidRDefault="00F434DD">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 w:id="3">
    <w:p w:rsidR="00446F68" w:rsidRDefault="00F434DD">
      <w:pPr>
        <w:pBdr>
          <w:top w:val="nil"/>
          <w:left w:val="nil"/>
          <w:bottom w:val="nil"/>
          <w:right w:val="nil"/>
          <w:between w:val="nil"/>
        </w:pBdr>
        <w:tabs>
          <w:tab w:val="left" w:pos="7371"/>
        </w:tabs>
        <w:ind w:right="-93"/>
        <w:jc w:val="both"/>
        <w:rPr>
          <w:rFonts w:ascii="Palatino Linotype" w:eastAsia="Palatino Linotype" w:hAnsi="Palatino Linotype" w:cs="Palatino Linotype"/>
          <w:color w:val="000000"/>
          <w:sz w:val="19"/>
          <w:szCs w:val="19"/>
        </w:rPr>
      </w:pPr>
      <w:r>
        <w:rPr>
          <w:vertAlign w:val="superscript"/>
        </w:rPr>
        <w:footnoteRef/>
      </w:r>
      <w:r>
        <w:rPr>
          <w:color w:val="000000"/>
        </w:rPr>
        <w:t xml:space="preserve"> </w:t>
      </w:r>
      <w:r>
        <w:rPr>
          <w:rFonts w:ascii="Palatino Linotype" w:eastAsia="Palatino Linotype" w:hAnsi="Palatino Linotype" w:cs="Palatino Linotype"/>
          <w:color w:val="000000"/>
          <w:sz w:val="18"/>
          <w:szCs w:val="18"/>
        </w:rPr>
        <w:t xml:space="preserve">“Artículo 12.15.- Las dependencias, entidades y </w:t>
      </w:r>
      <w:r>
        <w:rPr>
          <w:rFonts w:ascii="Palatino Linotype" w:eastAsia="Palatino Linotype" w:hAnsi="Palatino Linotype" w:cs="Palatino Linotype"/>
          <w:b/>
          <w:color w:val="000000"/>
          <w:sz w:val="18"/>
          <w:szCs w:val="18"/>
        </w:rPr>
        <w:t>ayuntamientos</w:t>
      </w:r>
      <w:r>
        <w:rPr>
          <w:rFonts w:ascii="Palatino Linotype" w:eastAsia="Palatino Linotype" w:hAnsi="Palatino Linotype" w:cs="Palatino Linotype"/>
          <w:color w:val="000000"/>
          <w:sz w:val="18"/>
          <w:szCs w:val="18"/>
        </w:rPr>
        <w:t xml:space="preserve">, según las características, complejidad y magnitud de los trabajos, </w:t>
      </w:r>
      <w:r>
        <w:rPr>
          <w:rFonts w:ascii="Palatino Linotype" w:eastAsia="Palatino Linotype" w:hAnsi="Palatino Linotype" w:cs="Palatino Linotype"/>
          <w:b/>
          <w:color w:val="000000"/>
          <w:sz w:val="18"/>
          <w:szCs w:val="18"/>
        </w:rPr>
        <w:t>formularán los programas de obra pública</w:t>
      </w:r>
      <w:r>
        <w:rPr>
          <w:rFonts w:ascii="Palatino Linotype" w:eastAsia="Palatino Linotype" w:hAnsi="Palatino Linotype" w:cs="Palatino Linotype"/>
          <w:color w:val="000000"/>
          <w:sz w:val="18"/>
          <w:szCs w:val="18"/>
        </w:rPr>
        <w:t xml:space="preserve"> </w:t>
      </w:r>
      <w:r>
        <w:rPr>
          <w:rFonts w:ascii="Palatino Linotype" w:eastAsia="Palatino Linotype" w:hAnsi="Palatino Linotype" w:cs="Palatino Linotype"/>
          <w:b/>
          <w:color w:val="000000"/>
          <w:sz w:val="18"/>
          <w:szCs w:val="18"/>
        </w:rPr>
        <w:t>o de servicios relacionados con la misma</w:t>
      </w:r>
      <w:r>
        <w:rPr>
          <w:rFonts w:ascii="Palatino Linotype" w:eastAsia="Palatino Linotype" w:hAnsi="Palatino Linotype" w:cs="Palatino Linotype"/>
          <w:color w:val="000000"/>
          <w:sz w:val="18"/>
          <w:szCs w:val="18"/>
        </w:rPr>
        <w:t xml:space="preserve">, así como sus respectivos presupuestos, con base en las políticas, objetivos y prioridades de la planeación del desarrollo del Estado y municipios, </w:t>
      </w:r>
      <w:r>
        <w:rPr>
          <w:rFonts w:ascii="Palatino Linotype" w:eastAsia="Palatino Linotype" w:hAnsi="Palatino Linotype" w:cs="Palatino Linotype"/>
          <w:b/>
          <w:color w:val="000000"/>
          <w:sz w:val="18"/>
          <w:szCs w:val="18"/>
        </w:rPr>
        <w:t>considerando</w:t>
      </w:r>
      <w:r>
        <w:rPr>
          <w:rFonts w:ascii="Palatino Linotype" w:eastAsia="Palatino Linotype" w:hAnsi="Palatino Linotype" w:cs="Palatino Linotype"/>
          <w:color w:val="000000"/>
          <w:sz w:val="18"/>
          <w:szCs w:val="18"/>
        </w:rPr>
        <w:t>: (…)</w:t>
      </w:r>
    </w:p>
    <w:p w:rsidR="00446F68" w:rsidRDefault="00446F68">
      <w:pPr>
        <w:pBdr>
          <w:top w:val="nil"/>
          <w:left w:val="nil"/>
          <w:bottom w:val="nil"/>
          <w:right w:val="nil"/>
          <w:between w:val="nil"/>
        </w:pBdr>
        <w:rPr>
          <w:rFonts w:ascii="Cambria" w:eastAsia="Cambria" w:hAnsi="Cambria" w:cs="Cambria"/>
          <w:color w:val="000000"/>
          <w:sz w:val="20"/>
          <w:szCs w:val="20"/>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6F68" w:rsidRDefault="00F434DD">
    <w:pPr>
      <w:widowControl w:val="0"/>
      <w:pBdr>
        <w:top w:val="nil"/>
        <w:left w:val="nil"/>
        <w:bottom w:val="nil"/>
        <w:right w:val="nil"/>
        <w:between w:val="nil"/>
      </w:pBdr>
      <w:spacing w:line="276" w:lineRule="auto"/>
      <w:rPr>
        <w:rFonts w:ascii="Cambria" w:eastAsia="Cambria" w:hAnsi="Cambria" w:cs="Cambria"/>
        <w:color w:val="000000"/>
      </w:rPr>
    </w:pPr>
    <w:r>
      <w:rPr>
        <w:noProof/>
        <w:lang w:val="es-MX"/>
      </w:rPr>
      <w:drawing>
        <wp:anchor distT="0" distB="0" distL="0" distR="0" simplePos="0" relativeHeight="251658240" behindDoc="1" locked="0" layoutInCell="1" hidden="0" allowOverlap="1">
          <wp:simplePos x="0" y="0"/>
          <wp:positionH relativeFrom="column">
            <wp:posOffset>-1080131</wp:posOffset>
          </wp:positionH>
          <wp:positionV relativeFrom="paragraph">
            <wp:posOffset>-345436</wp:posOffset>
          </wp:positionV>
          <wp:extent cx="7635600" cy="9943200"/>
          <wp:effectExtent l="0" t="0" r="0" b="0"/>
          <wp:wrapNone/>
          <wp:docPr id="4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a"/>
      <w:tblW w:w="6240" w:type="dxa"/>
      <w:tblInd w:w="3746" w:type="dxa"/>
      <w:tblLayout w:type="fixed"/>
      <w:tblLook w:val="0400" w:firstRow="0" w:lastRow="0" w:firstColumn="0" w:lastColumn="0" w:noHBand="0" w:noVBand="1"/>
    </w:tblPr>
    <w:tblGrid>
      <w:gridCol w:w="2553"/>
      <w:gridCol w:w="3687"/>
    </w:tblGrid>
    <w:tr w:rsidR="00446F68">
      <w:tc>
        <w:tcPr>
          <w:tcW w:w="2553" w:type="dxa"/>
          <w:vAlign w:val="center"/>
        </w:tcPr>
        <w:p w:rsidR="00446F68" w:rsidRDefault="00F434DD">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687" w:type="dxa"/>
          <w:vAlign w:val="center"/>
        </w:tcPr>
        <w:p w:rsidR="00446F68" w:rsidRDefault="00F434DD">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08444/INFOEM/IP/RR/2022</w:t>
          </w:r>
        </w:p>
      </w:tc>
    </w:tr>
    <w:tr w:rsidR="00446F68">
      <w:trPr>
        <w:trHeight w:val="228"/>
      </w:trPr>
      <w:tc>
        <w:tcPr>
          <w:tcW w:w="2553" w:type="dxa"/>
          <w:vAlign w:val="center"/>
        </w:tcPr>
        <w:p w:rsidR="00446F68" w:rsidRDefault="00F434DD">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687" w:type="dxa"/>
          <w:vAlign w:val="center"/>
        </w:tcPr>
        <w:p w:rsidR="00446F68" w:rsidRDefault="00F434DD">
          <w:pPr>
            <w:ind w:right="664"/>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Ayuntamiento de </w:t>
          </w:r>
          <w:proofErr w:type="spellStart"/>
          <w:r>
            <w:rPr>
              <w:rFonts w:ascii="Palatino Linotype" w:eastAsia="Palatino Linotype" w:hAnsi="Palatino Linotype" w:cs="Palatino Linotype"/>
              <w:b/>
              <w:sz w:val="22"/>
              <w:szCs w:val="22"/>
            </w:rPr>
            <w:t>Xonacatlán</w:t>
          </w:r>
          <w:proofErr w:type="spellEnd"/>
        </w:p>
      </w:tc>
    </w:tr>
    <w:tr w:rsidR="00446F68">
      <w:tc>
        <w:tcPr>
          <w:tcW w:w="2553" w:type="dxa"/>
          <w:vAlign w:val="center"/>
        </w:tcPr>
        <w:p w:rsidR="00446F68" w:rsidRDefault="00F434DD">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687" w:type="dxa"/>
          <w:vAlign w:val="center"/>
        </w:tcPr>
        <w:p w:rsidR="00446F68" w:rsidRDefault="00F434DD">
          <w:pPr>
            <w:ind w:right="-533"/>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446F68" w:rsidRDefault="00F434DD">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p w:rsidR="00446F68" w:rsidRDefault="00446F68">
    <w:pPr>
      <w:pBdr>
        <w:top w:val="nil"/>
        <w:left w:val="nil"/>
        <w:bottom w:val="nil"/>
        <w:right w:val="nil"/>
        <w:between w:val="nil"/>
      </w:pBdr>
      <w:tabs>
        <w:tab w:val="center" w:pos="4252"/>
        <w:tab w:val="right" w:pos="8504"/>
        <w:tab w:val="left" w:pos="2326"/>
      </w:tabs>
      <w:rPr>
        <w:rFonts w:ascii="Cambria" w:eastAsia="Cambria" w:hAnsi="Cambria" w:cs="Cambria"/>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6F68" w:rsidRDefault="00F434DD">
    <w:pPr>
      <w:pBdr>
        <w:top w:val="nil"/>
        <w:left w:val="nil"/>
        <w:bottom w:val="nil"/>
        <w:right w:val="nil"/>
        <w:between w:val="nil"/>
      </w:pBdr>
      <w:tabs>
        <w:tab w:val="center" w:pos="4252"/>
        <w:tab w:val="right" w:pos="8504"/>
      </w:tabs>
      <w:jc w:val="both"/>
      <w:rPr>
        <w:rFonts w:ascii="Cambria" w:eastAsia="Cambria" w:hAnsi="Cambria" w:cs="Cambria"/>
        <w:color w:val="000000"/>
      </w:rPr>
    </w:pPr>
    <w:r>
      <w:rPr>
        <w:rFonts w:ascii="Cambria" w:eastAsia="Cambria" w:hAnsi="Cambria" w:cs="Cambria"/>
        <w:color w:val="000000"/>
      </w:rPr>
      <w:t xml:space="preserve">                                  </w:t>
    </w:r>
    <w:r>
      <w:rPr>
        <w:noProof/>
        <w:lang w:val="es-MX"/>
      </w:rPr>
      <w:drawing>
        <wp:anchor distT="0" distB="0" distL="0" distR="0" simplePos="0" relativeHeight="251659264" behindDoc="1" locked="0" layoutInCell="1" hidden="0" allowOverlap="1">
          <wp:simplePos x="0" y="0"/>
          <wp:positionH relativeFrom="column">
            <wp:posOffset>-1080130</wp:posOffset>
          </wp:positionH>
          <wp:positionV relativeFrom="paragraph">
            <wp:posOffset>-343530</wp:posOffset>
          </wp:positionV>
          <wp:extent cx="7635600" cy="9943200"/>
          <wp:effectExtent l="0" t="0" r="0" b="0"/>
          <wp:wrapNone/>
          <wp:docPr id="3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9"/>
      <w:tblW w:w="6240" w:type="dxa"/>
      <w:tblInd w:w="3685" w:type="dxa"/>
      <w:tblLayout w:type="fixed"/>
      <w:tblLook w:val="0400" w:firstRow="0" w:lastRow="0" w:firstColumn="0" w:lastColumn="0" w:noHBand="0" w:noVBand="1"/>
    </w:tblPr>
    <w:tblGrid>
      <w:gridCol w:w="2553"/>
      <w:gridCol w:w="3687"/>
    </w:tblGrid>
    <w:tr w:rsidR="00446F68">
      <w:tc>
        <w:tcPr>
          <w:tcW w:w="2553" w:type="dxa"/>
          <w:vAlign w:val="center"/>
        </w:tcPr>
        <w:p w:rsidR="00446F68" w:rsidRDefault="00F434DD">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687" w:type="dxa"/>
          <w:vAlign w:val="center"/>
        </w:tcPr>
        <w:p w:rsidR="00446F68" w:rsidRDefault="00F434DD">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08444/INFOEM/IP/RR/2022</w:t>
          </w:r>
        </w:p>
      </w:tc>
    </w:tr>
    <w:tr w:rsidR="00446F68">
      <w:tc>
        <w:tcPr>
          <w:tcW w:w="2553" w:type="dxa"/>
          <w:vAlign w:val="center"/>
        </w:tcPr>
        <w:p w:rsidR="00446F68" w:rsidRDefault="00F434DD">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687" w:type="dxa"/>
          <w:vAlign w:val="center"/>
        </w:tcPr>
        <w:p w:rsidR="00446F68" w:rsidRDefault="000F56E3" w:rsidP="000F56E3">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XXXXXX XXXXXXXXX XXXXXX</w:t>
          </w:r>
        </w:p>
      </w:tc>
    </w:tr>
    <w:tr w:rsidR="00446F68">
      <w:trPr>
        <w:trHeight w:val="228"/>
      </w:trPr>
      <w:tc>
        <w:tcPr>
          <w:tcW w:w="2553" w:type="dxa"/>
          <w:vAlign w:val="center"/>
        </w:tcPr>
        <w:p w:rsidR="00446F68" w:rsidRDefault="00F434DD">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687" w:type="dxa"/>
          <w:vAlign w:val="center"/>
        </w:tcPr>
        <w:p w:rsidR="00446F68" w:rsidRDefault="00F434DD">
          <w:pPr>
            <w:ind w:right="7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Ayuntamiento de </w:t>
          </w:r>
          <w:proofErr w:type="spellStart"/>
          <w:r>
            <w:rPr>
              <w:rFonts w:ascii="Palatino Linotype" w:eastAsia="Palatino Linotype" w:hAnsi="Palatino Linotype" w:cs="Palatino Linotype"/>
              <w:b/>
              <w:sz w:val="22"/>
              <w:szCs w:val="22"/>
            </w:rPr>
            <w:t>Xonacaltlán</w:t>
          </w:r>
          <w:proofErr w:type="spellEnd"/>
        </w:p>
      </w:tc>
    </w:tr>
    <w:tr w:rsidR="00446F68">
      <w:tc>
        <w:tcPr>
          <w:tcW w:w="2553" w:type="dxa"/>
          <w:vAlign w:val="center"/>
        </w:tcPr>
        <w:p w:rsidR="00446F68" w:rsidRDefault="00F434DD">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687" w:type="dxa"/>
          <w:vAlign w:val="center"/>
        </w:tcPr>
        <w:p w:rsidR="00446F68" w:rsidRDefault="00F434DD">
          <w:pPr>
            <w:ind w:right="-533"/>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446F68" w:rsidRDefault="00446F68">
    <w:pPr>
      <w:pBdr>
        <w:top w:val="nil"/>
        <w:left w:val="nil"/>
        <w:bottom w:val="nil"/>
        <w:right w:val="nil"/>
        <w:between w:val="nil"/>
      </w:pBdr>
      <w:tabs>
        <w:tab w:val="center" w:pos="4252"/>
        <w:tab w:val="right" w:pos="8504"/>
      </w:tabs>
      <w:rPr>
        <w:rFonts w:ascii="Cambria" w:eastAsia="Cambria" w:hAnsi="Cambria" w:cs="Cambria"/>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6F68" w:rsidRDefault="00F434DD">
    <w:pPr>
      <w:pBdr>
        <w:top w:val="nil"/>
        <w:left w:val="nil"/>
        <w:bottom w:val="nil"/>
        <w:right w:val="nil"/>
        <w:between w:val="nil"/>
      </w:pBdr>
      <w:tabs>
        <w:tab w:val="center" w:pos="4252"/>
        <w:tab w:val="right" w:pos="8504"/>
      </w:tabs>
      <w:jc w:val="both"/>
      <w:rPr>
        <w:rFonts w:ascii="Cambria" w:eastAsia="Cambria" w:hAnsi="Cambria" w:cs="Cambria"/>
        <w:color w:val="000000"/>
      </w:rPr>
    </w:pPr>
    <w:r>
      <w:rPr>
        <w:rFonts w:ascii="Cambria" w:eastAsia="Cambria" w:hAnsi="Cambria" w:cs="Cambria"/>
        <w:color w:val="000000"/>
      </w:rPr>
      <w:t xml:space="preserve">                                  </w:t>
    </w:r>
  </w:p>
  <w:p w:rsidR="00446F68" w:rsidRDefault="00446F68">
    <w:pPr>
      <w:pBdr>
        <w:top w:val="nil"/>
        <w:left w:val="nil"/>
        <w:bottom w:val="nil"/>
        <w:right w:val="nil"/>
        <w:between w:val="nil"/>
      </w:pBdr>
      <w:tabs>
        <w:tab w:val="center" w:pos="4252"/>
        <w:tab w:val="right" w:pos="8504"/>
      </w:tabs>
      <w:rPr>
        <w:rFonts w:ascii="Cambria" w:eastAsia="Cambria" w:hAnsi="Cambria" w:cs="Cambria"/>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0B5D9C"/>
    <w:multiLevelType w:val="multilevel"/>
    <w:tmpl w:val="C84EE4A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142F02A9"/>
    <w:multiLevelType w:val="multilevel"/>
    <w:tmpl w:val="6E14502A"/>
    <w:lvl w:ilvl="0">
      <w:start w:val="1"/>
      <w:numFmt w:val="upperRoman"/>
      <w:lvlText w:val="%1."/>
      <w:lvlJc w:val="left"/>
      <w:pPr>
        <w:ind w:left="1146" w:hanging="72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
    <w:nsid w:val="1A2828BE"/>
    <w:multiLevelType w:val="multilevel"/>
    <w:tmpl w:val="8D986716"/>
    <w:lvl w:ilvl="0">
      <w:start w:val="1"/>
      <w:numFmt w:val="upperRoman"/>
      <w:lvlText w:val="%1."/>
      <w:lvlJc w:val="left"/>
      <w:pPr>
        <w:ind w:left="1287" w:hanging="72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
    <w:nsid w:val="26D0395F"/>
    <w:multiLevelType w:val="multilevel"/>
    <w:tmpl w:val="51EC3802"/>
    <w:lvl w:ilvl="0">
      <w:start w:val="1"/>
      <w:numFmt w:val="decimal"/>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4">
    <w:nsid w:val="54B734C5"/>
    <w:multiLevelType w:val="multilevel"/>
    <w:tmpl w:val="4B1824BC"/>
    <w:lvl w:ilvl="0">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nsid w:val="5F5E6D81"/>
    <w:multiLevelType w:val="multilevel"/>
    <w:tmpl w:val="5B007DE8"/>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6">
    <w:nsid w:val="64B134B5"/>
    <w:multiLevelType w:val="multilevel"/>
    <w:tmpl w:val="9328D6B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1"/>
  </w:num>
  <w:num w:numId="3">
    <w:abstractNumId w:val="5"/>
  </w:num>
  <w:num w:numId="4">
    <w:abstractNumId w:val="4"/>
  </w:num>
  <w:num w:numId="5">
    <w:abstractNumId w:val="6"/>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6F68"/>
    <w:rsid w:val="000326D1"/>
    <w:rsid w:val="000F56E3"/>
    <w:rsid w:val="00446676"/>
    <w:rsid w:val="00446F68"/>
    <w:rsid w:val="00F434DD"/>
    <w:rsid w:val="00F62F4E"/>
    <w:rsid w:val="00FD1C4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0A888FD-94B0-4ED2-BF1B-B39036814F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1E85"/>
  </w:style>
  <w:style w:type="paragraph" w:styleId="Ttulo1">
    <w:name w:val="heading 1"/>
    <w:basedOn w:val="Normal"/>
    <w:next w:val="Normal"/>
    <w:link w:val="Ttulo1Car"/>
    <w:uiPriority w:val="9"/>
    <w:qFormat/>
    <w:rsid w:val="007F61D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A6EF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A776B4"/>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9D485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9D4854"/>
    <w:pPr>
      <w:ind w:left="708"/>
    </w:pPr>
  </w:style>
  <w:style w:type="table" w:styleId="Tablaconcuadrcula">
    <w:name w:val="Table Grid"/>
    <w:basedOn w:val="Tablanormal"/>
    <w:uiPriority w:val="59"/>
    <w:rsid w:val="00AB3F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AB3F5E"/>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AB3F5E"/>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AB3F5E"/>
    <w:rPr>
      <w:vertAlign w:val="superscript"/>
    </w:rPr>
  </w:style>
  <w:style w:type="character" w:customStyle="1" w:styleId="Ttulo2Car">
    <w:name w:val="Título 2 Car"/>
    <w:basedOn w:val="Fuentedeprrafopredeter"/>
    <w:link w:val="Ttulo2"/>
    <w:uiPriority w:val="9"/>
    <w:rsid w:val="004A6EFE"/>
    <w:rPr>
      <w:rFonts w:asciiTheme="majorHAnsi" w:eastAsiaTheme="majorEastAsia" w:hAnsiTheme="majorHAnsi" w:cstheme="majorBidi"/>
      <w:color w:val="365F91" w:themeColor="accent1" w:themeShade="BF"/>
      <w:sz w:val="26"/>
      <w:szCs w:val="26"/>
      <w:lang w:val="es-ES"/>
    </w:rPr>
  </w:style>
  <w:style w:type="character" w:customStyle="1" w:styleId="apple-converted-space">
    <w:name w:val="apple-converted-space"/>
    <w:basedOn w:val="Fuentedeprrafopredeter"/>
    <w:rsid w:val="00A5404F"/>
  </w:style>
  <w:style w:type="character" w:customStyle="1" w:styleId="normaltextrun">
    <w:name w:val="normaltextrun"/>
    <w:basedOn w:val="Fuentedeprrafopredeter"/>
    <w:rsid w:val="00355B75"/>
  </w:style>
  <w:style w:type="paragraph" w:customStyle="1" w:styleId="paragraph">
    <w:name w:val="paragraph"/>
    <w:basedOn w:val="Normal"/>
    <w:rsid w:val="00355B75"/>
    <w:pPr>
      <w:spacing w:before="100" w:beforeAutospacing="1" w:after="100" w:afterAutospacing="1"/>
    </w:pPr>
    <w:rPr>
      <w:lang w:val="es-MX"/>
    </w:rPr>
  </w:style>
  <w:style w:type="character" w:customStyle="1" w:styleId="eop">
    <w:name w:val="eop"/>
    <w:basedOn w:val="Fuentedeprrafopredeter"/>
    <w:rsid w:val="00355B75"/>
  </w:style>
  <w:style w:type="character" w:styleId="Hipervnculo">
    <w:name w:val="Hyperlink"/>
    <w:basedOn w:val="Fuentedeprrafopredeter"/>
    <w:uiPriority w:val="99"/>
    <w:unhideWhenUsed/>
    <w:rsid w:val="00623EA3"/>
    <w:rPr>
      <w:color w:val="0000FF" w:themeColor="hyperlink"/>
      <w:u w:val="single"/>
    </w:rPr>
  </w:style>
  <w:style w:type="character" w:customStyle="1" w:styleId="nacep">
    <w:name w:val="n_acep"/>
    <w:basedOn w:val="Fuentedeprrafopredeter"/>
    <w:rsid w:val="00585C24"/>
  </w:style>
  <w:style w:type="paragraph" w:customStyle="1" w:styleId="Texto">
    <w:name w:val="Texto"/>
    <w:basedOn w:val="Normal"/>
    <w:link w:val="TextoCar"/>
    <w:qFormat/>
    <w:rsid w:val="009573BD"/>
    <w:pPr>
      <w:spacing w:after="101" w:line="216" w:lineRule="exact"/>
      <w:ind w:firstLine="288"/>
      <w:jc w:val="both"/>
    </w:pPr>
    <w:rPr>
      <w:rFonts w:ascii="Arial" w:hAnsi="Arial" w:cs="Arial"/>
      <w:sz w:val="18"/>
      <w:szCs w:val="20"/>
    </w:rPr>
  </w:style>
  <w:style w:type="character" w:customStyle="1" w:styleId="TextoCar">
    <w:name w:val="Texto Car"/>
    <w:link w:val="Texto"/>
    <w:locked/>
    <w:rsid w:val="009573BD"/>
    <w:rPr>
      <w:rFonts w:ascii="Arial" w:eastAsia="Times New Roman" w:hAnsi="Arial" w:cs="Arial"/>
      <w:sz w:val="18"/>
      <w:szCs w:val="20"/>
      <w:lang w:val="es-ES"/>
    </w:rPr>
  </w:style>
  <w:style w:type="character" w:customStyle="1" w:styleId="Ttulo1Car">
    <w:name w:val="Título 1 Car"/>
    <w:basedOn w:val="Fuentedeprrafopredeter"/>
    <w:link w:val="Ttulo1"/>
    <w:uiPriority w:val="9"/>
    <w:rsid w:val="007F61DA"/>
    <w:rPr>
      <w:rFonts w:asciiTheme="majorHAnsi" w:eastAsiaTheme="majorEastAsia" w:hAnsiTheme="majorHAnsi" w:cstheme="majorBidi"/>
      <w:color w:val="365F91" w:themeColor="accent1" w:themeShade="BF"/>
      <w:sz w:val="32"/>
      <w:szCs w:val="32"/>
      <w:lang w:val="es-ES"/>
    </w:rPr>
  </w:style>
  <w:style w:type="paragraph" w:customStyle="1" w:styleId="Default">
    <w:name w:val="Default"/>
    <w:rsid w:val="00DF0D44"/>
    <w:pPr>
      <w:autoSpaceDE w:val="0"/>
      <w:autoSpaceDN w:val="0"/>
      <w:adjustRightInd w:val="0"/>
    </w:pPr>
    <w:rPr>
      <w:rFonts w:ascii="Arial" w:hAnsi="Arial" w:cs="Arial"/>
      <w:color w:val="000000"/>
      <w:lang w:val="es-MX"/>
    </w:rPr>
  </w:style>
  <w:style w:type="paragraph" w:styleId="Sinespaciado">
    <w:name w:val="No Spacing"/>
    <w:aliases w:val="Francesa,INAI"/>
    <w:link w:val="SinespaciadoCar"/>
    <w:uiPriority w:val="1"/>
    <w:qFormat/>
    <w:rsid w:val="00932CFF"/>
    <w:rPr>
      <w:lang w:val="es-MX"/>
    </w:rPr>
  </w:style>
  <w:style w:type="character" w:styleId="Textoennegrita">
    <w:name w:val="Strong"/>
    <w:uiPriority w:val="22"/>
    <w:qFormat/>
    <w:rsid w:val="00932CFF"/>
    <w:rPr>
      <w:b/>
      <w:bCs/>
    </w:rPr>
  </w:style>
  <w:style w:type="character" w:customStyle="1" w:styleId="SinespaciadoCar">
    <w:name w:val="Sin espaciado Car"/>
    <w:aliases w:val="Francesa Car,INAI Car"/>
    <w:link w:val="Sinespaciado"/>
    <w:uiPriority w:val="1"/>
    <w:locked/>
    <w:rsid w:val="00932CFF"/>
    <w:rPr>
      <w:rFonts w:ascii="Times New Roman" w:eastAsia="Times New Roman" w:hAnsi="Times New Roman" w:cs="Times New Roman"/>
      <w:lang w:val="es-MX"/>
    </w:rPr>
  </w:style>
  <w:style w:type="paragraph" w:styleId="NormalWeb">
    <w:name w:val="Normal (Web)"/>
    <w:basedOn w:val="Normal"/>
    <w:uiPriority w:val="99"/>
    <w:unhideWhenUsed/>
    <w:rsid w:val="00444919"/>
    <w:pPr>
      <w:spacing w:before="100" w:beforeAutospacing="1" w:after="100" w:afterAutospacing="1"/>
    </w:pPr>
    <w:rPr>
      <w:lang w:val="es-MX"/>
    </w:rPr>
  </w:style>
  <w:style w:type="character" w:customStyle="1" w:styleId="Ttulo3Car">
    <w:name w:val="Título 3 Car"/>
    <w:basedOn w:val="Fuentedeprrafopredeter"/>
    <w:link w:val="Ttulo3"/>
    <w:uiPriority w:val="9"/>
    <w:rsid w:val="00A776B4"/>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A776B4"/>
    <w:pPr>
      <w:ind w:left="283" w:hanging="283"/>
      <w:contextualSpacing/>
    </w:pPr>
  </w:style>
  <w:style w:type="paragraph" w:styleId="Lista2">
    <w:name w:val="List 2"/>
    <w:basedOn w:val="Normal"/>
    <w:uiPriority w:val="99"/>
    <w:unhideWhenUsed/>
    <w:rsid w:val="00A776B4"/>
    <w:pPr>
      <w:ind w:left="566" w:hanging="283"/>
      <w:contextualSpacing/>
    </w:pPr>
  </w:style>
  <w:style w:type="paragraph" w:styleId="Lista3">
    <w:name w:val="List 3"/>
    <w:basedOn w:val="Normal"/>
    <w:uiPriority w:val="99"/>
    <w:unhideWhenUsed/>
    <w:rsid w:val="00A776B4"/>
    <w:pPr>
      <w:ind w:left="849" w:hanging="283"/>
      <w:contextualSpacing/>
    </w:pPr>
  </w:style>
  <w:style w:type="paragraph" w:styleId="Textoindependiente">
    <w:name w:val="Body Text"/>
    <w:basedOn w:val="Normal"/>
    <w:link w:val="TextoindependienteCar"/>
    <w:uiPriority w:val="99"/>
    <w:unhideWhenUsed/>
    <w:rsid w:val="00A776B4"/>
    <w:pPr>
      <w:spacing w:after="120"/>
    </w:pPr>
  </w:style>
  <w:style w:type="character" w:customStyle="1" w:styleId="TextoindependienteCar">
    <w:name w:val="Texto independiente Car"/>
    <w:basedOn w:val="Fuentedeprrafopredeter"/>
    <w:link w:val="Textoindependiente"/>
    <w:uiPriority w:val="99"/>
    <w:rsid w:val="00A776B4"/>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A776B4"/>
    <w:pPr>
      <w:spacing w:after="120"/>
      <w:ind w:left="283"/>
    </w:pPr>
  </w:style>
  <w:style w:type="character" w:customStyle="1" w:styleId="SangradetextonormalCar">
    <w:name w:val="Sangría de texto normal Car"/>
    <w:basedOn w:val="Fuentedeprrafopredeter"/>
    <w:link w:val="Sangradetextonormal"/>
    <w:uiPriority w:val="99"/>
    <w:rsid w:val="00A776B4"/>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A776B4"/>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776B4"/>
    <w:rPr>
      <w:rFonts w:ascii="Times New Roman" w:eastAsia="Times New Roman" w:hAnsi="Times New Roman" w:cs="Times New Roman"/>
      <w:lang w:val="es-ES"/>
    </w:rPr>
  </w:style>
  <w:style w:type="paragraph" w:styleId="Textosinformato">
    <w:name w:val="Plain Text"/>
    <w:basedOn w:val="Normal"/>
    <w:link w:val="TextosinformatoCar"/>
    <w:rsid w:val="00B67939"/>
    <w:rPr>
      <w:rFonts w:ascii="Courier New" w:hAnsi="Courier New"/>
      <w:sz w:val="20"/>
      <w:szCs w:val="20"/>
    </w:rPr>
  </w:style>
  <w:style w:type="character" w:customStyle="1" w:styleId="TextosinformatoCar">
    <w:name w:val="Texto sin formato Car"/>
    <w:basedOn w:val="Fuentedeprrafopredeter"/>
    <w:link w:val="Textosinformato"/>
    <w:rsid w:val="00B67939"/>
    <w:rPr>
      <w:rFonts w:ascii="Courier New" w:eastAsia="Times New Roman" w:hAnsi="Courier New" w:cs="Times New Roman"/>
      <w:sz w:val="20"/>
      <w:szCs w:val="20"/>
      <w:lang w:val="es-ES"/>
    </w:rPr>
  </w:style>
  <w:style w:type="paragraph" w:customStyle="1" w:styleId="j">
    <w:name w:val="j"/>
    <w:basedOn w:val="Normal"/>
    <w:rsid w:val="00226723"/>
    <w:pPr>
      <w:spacing w:before="100" w:beforeAutospacing="1" w:after="100" w:afterAutospacing="1"/>
    </w:pPr>
    <w:rPr>
      <w:lang w:val="es-MX"/>
    </w:rPr>
  </w:style>
  <w:style w:type="table" w:styleId="Tabladelista1clara-nfasis1">
    <w:name w:val="List Table 1 Light Accent 1"/>
    <w:basedOn w:val="Tablanormal"/>
    <w:uiPriority w:val="46"/>
    <w:rsid w:val="008E6246"/>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2871584667633129156gmail-msofootnotereference">
    <w:name w:val="m_2871584667633129156gmail-msofootnotereference"/>
    <w:basedOn w:val="Fuentedeprrafopredeter"/>
    <w:rsid w:val="00C12849"/>
  </w:style>
  <w:style w:type="character" w:customStyle="1" w:styleId="h">
    <w:name w:val="h"/>
    <w:basedOn w:val="Fuentedeprrafopredeter"/>
    <w:rsid w:val="007F685F"/>
  </w:style>
  <w:style w:type="table" w:customStyle="1" w:styleId="Tabladelista1clara-nfasis12">
    <w:name w:val="Tabla de lista 1 clara - Énfasis 12"/>
    <w:basedOn w:val="Tablanormal"/>
    <w:next w:val="Tabladelista1clara-nfasis1"/>
    <w:uiPriority w:val="46"/>
    <w:rsid w:val="00C04B32"/>
    <w:rPr>
      <w:rFonts w:eastAsia="MS Mincho"/>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Hipervnculovisitado">
    <w:name w:val="FollowedHyperlink"/>
    <w:basedOn w:val="Fuentedeprrafopredeter"/>
    <w:uiPriority w:val="99"/>
    <w:semiHidden/>
    <w:unhideWhenUsed/>
    <w:rsid w:val="002C16E8"/>
    <w:rPr>
      <w:color w:val="800080" w:themeColor="followedHyperlink"/>
      <w:u w:val="singl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3"/>
    <w:tblPr>
      <w:tblStyleRowBandSize w:val="1"/>
      <w:tblStyleColBandSize w:val="1"/>
      <w:tblCellMar>
        <w:top w:w="0" w:type="dxa"/>
        <w:left w:w="108" w:type="dxa"/>
        <w:bottom w:w="0" w:type="dxa"/>
        <w:right w:w="108" w:type="dxa"/>
      </w:tblCellMar>
    </w:tblPr>
  </w:style>
  <w:style w:type="table" w:customStyle="1" w:styleId="a0">
    <w:basedOn w:val="TableNormal3"/>
    <w:tblPr>
      <w:tblStyleRowBandSize w:val="1"/>
      <w:tblStyleColBandSize w:val="1"/>
      <w:tblCellMar>
        <w:top w:w="0" w:type="dxa"/>
        <w:left w:w="115" w:type="dxa"/>
        <w:bottom w:w="0" w:type="dxa"/>
        <w:right w:w="115" w:type="dxa"/>
      </w:tblCellMar>
    </w:tblPr>
  </w:style>
  <w:style w:type="table" w:customStyle="1" w:styleId="a1">
    <w:basedOn w:val="TableNormal3"/>
    <w:tblPr>
      <w:tblStyleRowBandSize w:val="1"/>
      <w:tblStyleColBandSize w:val="1"/>
      <w:tblCellMar>
        <w:top w:w="0" w:type="dxa"/>
        <w:left w:w="115" w:type="dxa"/>
        <w:bottom w:w="0" w:type="dxa"/>
        <w:right w:w="115" w:type="dxa"/>
      </w:tblCellMar>
    </w:tblPr>
  </w:style>
  <w:style w:type="table" w:customStyle="1" w:styleId="a2">
    <w:basedOn w:val="TableNormal3"/>
    <w:tblPr>
      <w:tblStyleRowBandSize w:val="1"/>
      <w:tblStyleColBandSize w:val="1"/>
      <w:tblCellMar>
        <w:top w:w="0" w:type="dxa"/>
        <w:left w:w="115" w:type="dxa"/>
        <w:bottom w:w="0" w:type="dxa"/>
        <w:right w:w="115" w:type="dxa"/>
      </w:tblCellMar>
    </w:tblPr>
  </w:style>
  <w:style w:type="table" w:customStyle="1" w:styleId="a3">
    <w:basedOn w:val="TableNormal3"/>
    <w:tblPr>
      <w:tblStyleRowBandSize w:val="1"/>
      <w:tblStyleColBandSize w:val="1"/>
      <w:tblCellMar>
        <w:top w:w="0" w:type="dxa"/>
        <w:left w:w="115" w:type="dxa"/>
        <w:bottom w:w="0" w:type="dxa"/>
        <w:right w:w="115" w:type="dxa"/>
      </w:tblCellMar>
    </w:tblPr>
  </w:style>
  <w:style w:type="table" w:customStyle="1" w:styleId="a4">
    <w:basedOn w:val="TableNormal2"/>
    <w:tblPr>
      <w:tblStyleRowBandSize w:val="1"/>
      <w:tblStyleColBandSize w:val="1"/>
      <w:tblCellMar>
        <w:top w:w="0" w:type="dxa"/>
        <w:left w:w="115" w:type="dxa"/>
        <w:bottom w:w="0" w:type="dxa"/>
        <w:right w:w="115" w:type="dxa"/>
      </w:tblCellMar>
    </w:tblPr>
  </w:style>
  <w:style w:type="table" w:customStyle="1" w:styleId="a5">
    <w:basedOn w:val="TableNormal2"/>
    <w:tblPr>
      <w:tblStyleRowBandSize w:val="1"/>
      <w:tblStyleColBandSize w:val="1"/>
      <w:tblCellMar>
        <w:top w:w="0" w:type="dxa"/>
        <w:left w:w="115" w:type="dxa"/>
        <w:bottom w:w="0" w:type="dxa"/>
        <w:right w:w="115" w:type="dxa"/>
      </w:tblCellMar>
    </w:tblPr>
  </w:style>
  <w:style w:type="table" w:customStyle="1" w:styleId="Tablaconcuadrcula1">
    <w:name w:val="Tabla con cuadrícula1"/>
    <w:basedOn w:val="Tablanormal"/>
    <w:next w:val="Tablaconcuadrcula"/>
    <w:uiPriority w:val="59"/>
    <w:rsid w:val="00B001C4"/>
    <w:rPr>
      <w:rFonts w:ascii="Calibri" w:eastAsia="Calibri" w:hAnsi="Calibr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6">
    <w:basedOn w:val="TableNormal1"/>
    <w:tblPr>
      <w:tblStyleRowBandSize w:val="1"/>
      <w:tblStyleColBandSize w:val="1"/>
      <w:tblCellMar>
        <w:top w:w="0" w:type="dxa"/>
        <w:left w:w="115" w:type="dxa"/>
        <w:bottom w:w="0" w:type="dxa"/>
        <w:right w:w="115" w:type="dxa"/>
      </w:tblCellMar>
    </w:tblPr>
  </w:style>
  <w:style w:type="table" w:customStyle="1" w:styleId="a7">
    <w:basedOn w:val="TableNormal1"/>
    <w:tblPr>
      <w:tblStyleRowBandSize w:val="1"/>
      <w:tblStyleColBandSize w:val="1"/>
      <w:tblCellMar>
        <w:top w:w="0" w:type="dxa"/>
        <w:left w:w="115" w:type="dxa"/>
        <w:bottom w:w="0" w:type="dxa"/>
        <w:right w:w="115" w:type="dxa"/>
      </w:tblCellMar>
    </w:tblPr>
  </w:style>
  <w:style w:type="table" w:customStyle="1" w:styleId="a8">
    <w:basedOn w:val="TableNormal1"/>
    <w:tblPr>
      <w:tblStyleRowBandSize w:val="1"/>
      <w:tblStyleColBandSize w:val="1"/>
      <w:tblCellMar>
        <w:top w:w="0" w:type="dxa"/>
        <w:left w:w="115" w:type="dxa"/>
        <w:bottom w:w="0" w:type="dxa"/>
        <w:right w:w="115" w:type="dxa"/>
      </w:tblCellMar>
    </w:tblPr>
  </w:style>
  <w:style w:type="table" w:customStyle="1" w:styleId="a9">
    <w:basedOn w:val="TableNormal0"/>
    <w:tblPr>
      <w:tblStyleRowBandSize w:val="1"/>
      <w:tblStyleColBandSize w:val="1"/>
      <w:tblCellMar>
        <w:top w:w="0" w:type="dxa"/>
        <w:left w:w="115" w:type="dxa"/>
        <w:bottom w:w="0" w:type="dxa"/>
        <w:right w:w="115" w:type="dxa"/>
      </w:tblCellMar>
    </w:tblPr>
  </w:style>
  <w:style w:type="table" w:customStyle="1" w:styleId="aa">
    <w:basedOn w:val="TableNormal0"/>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_rels/header2.xml.rels><?xml version="1.0" encoding="UTF-8" standalone="yes"?>
<Relationships xmlns="http://schemas.openxmlformats.org/package/2006/relationships"><Relationship Id="rId1" Type="http://schemas.openxmlformats.org/officeDocument/2006/relationships/image" Target="media/image19.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j0LKTnT3tknBEIqZkpair6BXFRQ==">AMUW2mX/Jf0h0VlwewDVlp3PNlelr48XNTI01If8zuoJjWzUFY6qDEMr4IMJS37P8GG6daNPE6xB/dpqiW7HpJR/9Mv53N/8bOhHonQVVhwMV28dpTsske7PT2z/XeZY0BH0DAZnlCDU1Su9gplv9sCNgFfWvgyxpA==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6508</Words>
  <Characters>35799</Characters>
  <Application>Microsoft Office Word</Application>
  <DocSecurity>0</DocSecurity>
  <Lines>298</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42223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Maricela</cp:lastModifiedBy>
  <cp:revision>2</cp:revision>
  <cp:lastPrinted>2022-10-13T15:24:00Z</cp:lastPrinted>
  <dcterms:created xsi:type="dcterms:W3CDTF">2022-11-03T17:23:00Z</dcterms:created>
  <dcterms:modified xsi:type="dcterms:W3CDTF">2022-11-03T17:23:00Z</dcterms:modified>
</cp:coreProperties>
</file>