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13E5" w14:textId="77777777" w:rsidR="00920F90" w:rsidRDefault="00F22825" w:rsidP="00920F90">
      <w:pPr>
        <w:spacing w:before="240" w:after="240" w:line="360" w:lineRule="auto"/>
        <w:jc w:val="both"/>
        <w:rPr>
          <w:rFonts w:ascii="Palatino Linotype" w:hAnsi="Palatino Linotype"/>
          <w:sz w:val="24"/>
          <w:szCs w:val="24"/>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w:t>
      </w:r>
      <w:proofErr w:type="gramStart"/>
      <w:r w:rsidR="00920F90">
        <w:rPr>
          <w:rFonts w:ascii="Palatino Linotype" w:hAnsi="Palatino Linotype"/>
          <w:sz w:val="24"/>
          <w:szCs w:val="24"/>
        </w:rPr>
        <w:t>de  doce</w:t>
      </w:r>
      <w:proofErr w:type="gramEnd"/>
      <w:r w:rsidR="00920F90">
        <w:rPr>
          <w:rFonts w:ascii="Palatino Linotype" w:hAnsi="Palatino Linotype"/>
          <w:sz w:val="24"/>
          <w:szCs w:val="24"/>
        </w:rPr>
        <w:t xml:space="preserve"> (12) de enero de dos mil veintidós.</w:t>
      </w:r>
    </w:p>
    <w:p w14:paraId="18CC4DA1" w14:textId="70B1ED14" w:rsidR="00E4235F" w:rsidRPr="00F22825"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42C531C"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FF48A3">
        <w:rPr>
          <w:rFonts w:ascii="Palatino Linotype" w:eastAsiaTheme="minorEastAsia" w:hAnsi="Palatino Linotype"/>
          <w:b/>
          <w:bCs/>
          <w:sz w:val="24"/>
          <w:szCs w:val="24"/>
          <w:lang w:val="es-ES_tradnl" w:eastAsia="es-ES"/>
        </w:rPr>
        <w:t>05588/INFOEM/IP/RR/2021</w:t>
      </w:r>
      <w:r w:rsidR="00F271E0">
        <w:rPr>
          <w:rFonts w:ascii="Palatino Linotype" w:eastAsiaTheme="minorEastAsia" w:hAnsi="Palatino Linotype"/>
          <w:b/>
          <w:bCs/>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promovido por </w:t>
      </w:r>
      <w:r w:rsidR="00AC16B6">
        <w:rPr>
          <w:rFonts w:ascii="Palatino Linotype" w:eastAsiaTheme="minorEastAsia" w:hAnsi="Palatino Linotype"/>
          <w:sz w:val="24"/>
          <w:szCs w:val="24"/>
          <w:lang w:val="es-ES_tradnl" w:eastAsia="es-ES"/>
        </w:rPr>
        <w:t>un usuario del Sistema de Acceso a la Información Mexiquense (SAIMEX), quien no señaló ningún nombre, seudónimo o carácter para ser identificado, por lo que en lo sucesivo se le denominará como el</w:t>
      </w:r>
      <w:r w:rsidRPr="00F22825">
        <w:rPr>
          <w:rFonts w:ascii="Palatino Linotype" w:eastAsiaTheme="minorEastAsia" w:hAnsi="Palatino Linotype"/>
          <w:sz w:val="24"/>
          <w:szCs w:val="24"/>
          <w:lang w:val="es-ES_tradnl" w:eastAsia="es-ES"/>
        </w:rPr>
        <w:t xml:space="preserv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xml:space="preserve">, en contra de la falta de respuesta del </w:t>
      </w:r>
      <w:r w:rsidR="00FF48A3">
        <w:rPr>
          <w:rFonts w:ascii="Palatino Linotype" w:eastAsiaTheme="minorEastAsia" w:hAnsi="Palatino Linotype"/>
          <w:b/>
          <w:sz w:val="24"/>
          <w:szCs w:val="24"/>
          <w:lang w:val="es-ES_tradnl" w:eastAsia="es-ES"/>
        </w:rPr>
        <w:t>Ayuntamiento de Zacazonapan</w:t>
      </w:r>
      <w:r w:rsidRPr="00F22825">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 xml:space="preserve">en </w:t>
      </w:r>
      <w:r w:rsidR="00AC16B6">
        <w:rPr>
          <w:rFonts w:ascii="Palatino Linotype" w:eastAsiaTheme="minorEastAsia" w:hAnsi="Palatino Linotype"/>
          <w:sz w:val="24"/>
          <w:szCs w:val="24"/>
          <w:lang w:val="es-ES_tradnl" w:eastAsia="es-ES"/>
        </w:rPr>
        <w:t>adelante</w:t>
      </w:r>
      <w:r w:rsidRPr="00F22825">
        <w:rPr>
          <w:rFonts w:ascii="Palatino Linotype" w:eastAsiaTheme="minorEastAsia" w:hAnsi="Palatino Linotype"/>
          <w:sz w:val="24"/>
          <w:szCs w:val="24"/>
          <w:lang w:val="es-ES_tradnl" w:eastAsia="es-ES"/>
        </w:rPr>
        <w:t xml:space="preserve"> el</w:t>
      </w:r>
      <w:r w:rsidRPr="00F22825">
        <w:rPr>
          <w:rFonts w:ascii="Palatino Linotype" w:eastAsiaTheme="minorEastAsia" w:hAnsi="Palatino Linotype"/>
          <w:b/>
          <w:sz w:val="24"/>
          <w:szCs w:val="24"/>
          <w:lang w:val="es-ES_tradnl" w:eastAsia="es-ES"/>
        </w:rPr>
        <w:t xml:space="preserve"> SUJETO OBLIGADO,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47920380"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FF48A3">
        <w:rPr>
          <w:rFonts w:ascii="Palatino Linotype" w:eastAsia="Calibri" w:hAnsi="Palatino Linotype" w:cs="Arial"/>
          <w:sz w:val="24"/>
          <w:szCs w:val="24"/>
          <w:lang w:val="es-ES" w:eastAsia="es-ES"/>
        </w:rPr>
        <w:t>dieciocho (18</w:t>
      </w:r>
      <w:r w:rsidR="00AC16B6">
        <w:rPr>
          <w:rFonts w:ascii="Palatino Linotype" w:eastAsia="Calibri" w:hAnsi="Palatino Linotype" w:cs="Arial"/>
          <w:sz w:val="24"/>
          <w:szCs w:val="24"/>
          <w:lang w:val="es-ES" w:eastAsia="es-ES"/>
        </w:rPr>
        <w:t>) de octubre</w:t>
      </w:r>
      <w:r w:rsidR="002817CC">
        <w:rPr>
          <w:rFonts w:ascii="Palatino Linotype" w:eastAsia="Calibri" w:hAnsi="Palatino Linotype" w:cs="Arial"/>
          <w:sz w:val="24"/>
          <w:szCs w:val="24"/>
          <w:lang w:val="es-ES" w:eastAsia="es-ES"/>
        </w:rPr>
        <w:t xml:space="preserve"> 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AC16B6">
        <w:rPr>
          <w:rFonts w:ascii="Palatino Linotype" w:eastAsia="Calibri" w:hAnsi="Palatino Linotype" w:cs="Arial"/>
          <w:sz w:val="24"/>
          <w:szCs w:val="24"/>
          <w:lang w:val="es-ES"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F22825" w:rsidRPr="00F22825">
        <w:rPr>
          <w:rFonts w:ascii="Palatino Linotype" w:eastAsia="Calibri" w:hAnsi="Palatino Linotype" w:cs="Arial"/>
          <w:sz w:val="24"/>
          <w:szCs w:val="24"/>
          <w:lang w:val="es-ES" w:eastAsia="es-ES"/>
        </w:rPr>
        <w:t xml:space="preserve"> número </w:t>
      </w:r>
      <w:r w:rsidR="00FF48A3">
        <w:rPr>
          <w:rFonts w:ascii="Palatino Linotype" w:eastAsia="Calibri" w:hAnsi="Palatino Linotype" w:cs="Arial"/>
          <w:b/>
          <w:sz w:val="24"/>
          <w:szCs w:val="24"/>
          <w:lang w:val="es-ES" w:eastAsia="es-ES"/>
        </w:rPr>
        <w:t>00094/ZACAZONA/IP/2021</w:t>
      </w:r>
      <w:r w:rsidR="00A25D47">
        <w:rPr>
          <w:rFonts w:ascii="Palatino Linotype" w:eastAsia="Calibri" w:hAnsi="Palatino Linotype" w:cs="Arial"/>
          <w:b/>
          <w:sz w:val="24"/>
          <w:szCs w:val="24"/>
          <w:lang w:val="es-ES"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1D6F9FF4"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FF48A3" w:rsidRPr="00FF48A3">
        <w:rPr>
          <w:rFonts w:ascii="Palatino Linotype" w:hAnsi="Palatino Linotype"/>
          <w:i/>
          <w:color w:val="000000" w:themeColor="text1"/>
          <w:sz w:val="22"/>
          <w:szCs w:val="22"/>
          <w:lang w:val="es-MX"/>
        </w:rPr>
        <w:t xml:space="preserve">Solicito la </w:t>
      </w:r>
      <w:proofErr w:type="spellStart"/>
      <w:r w:rsidR="00FF48A3" w:rsidRPr="00FF48A3">
        <w:rPr>
          <w:rFonts w:ascii="Palatino Linotype" w:hAnsi="Palatino Linotype"/>
          <w:i/>
          <w:color w:val="000000" w:themeColor="text1"/>
          <w:sz w:val="22"/>
          <w:szCs w:val="22"/>
          <w:lang w:val="es-MX"/>
        </w:rPr>
        <w:t>nomina</w:t>
      </w:r>
      <w:proofErr w:type="spellEnd"/>
      <w:r w:rsidR="00FF48A3" w:rsidRPr="00FF48A3">
        <w:rPr>
          <w:rFonts w:ascii="Palatino Linotype" w:hAnsi="Palatino Linotype"/>
          <w:i/>
          <w:color w:val="000000" w:themeColor="text1"/>
          <w:sz w:val="22"/>
          <w:szCs w:val="22"/>
          <w:lang w:val="es-MX"/>
        </w:rPr>
        <w:t xml:space="preserve"> general de todos los servidores públicos.</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5075D08"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AC16B6">
        <w:rPr>
          <w:rFonts w:ascii="Palatino Linotype" w:eastAsiaTheme="minorEastAsia" w:hAnsi="Palatino Linotype" w:cs="Arial"/>
          <w:i/>
          <w:sz w:val="24"/>
          <w:szCs w:val="24"/>
          <w:lang w:val="es-ES_tradnl" w:eastAsia="es-ES"/>
        </w:rPr>
        <w:t>A través del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393012" w:rsidRDefault="00393012" w:rsidP="00393012">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0272218" w:rsidR="00486BDF" w:rsidRPr="00486BD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AC16B6">
        <w:rPr>
          <w:rFonts w:ascii="Palatino Linotype" w:eastAsia="Times New Roman" w:hAnsi="Palatino Linotype" w:cs="Arial"/>
          <w:sz w:val="24"/>
          <w:szCs w:val="24"/>
          <w:lang w:val="es-ES" w:eastAsia="es-ES"/>
        </w:rPr>
        <w:t>once (11) de noviembre</w:t>
      </w:r>
      <w:r w:rsidR="00EC3E55">
        <w:rPr>
          <w:rFonts w:ascii="Palatino Linotype" w:eastAsia="Times New Roman" w:hAnsi="Palatino Linotype" w:cs="Arial"/>
          <w:sz w:val="24"/>
          <w:szCs w:val="24"/>
          <w:lang w:val="es-ES" w:eastAsia="es-ES"/>
        </w:rPr>
        <w:t xml:space="preserve"> 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 </w:t>
      </w:r>
      <w:r w:rsidR="00FF48A3">
        <w:rPr>
          <w:rFonts w:ascii="Palatino Linotype" w:eastAsia="Calibri" w:hAnsi="Palatino Linotype" w:cs="Arial"/>
          <w:b/>
          <w:sz w:val="24"/>
          <w:szCs w:val="24"/>
          <w:lang w:val="es-ES" w:eastAsia="es-ES"/>
        </w:rPr>
        <w:t>05588/INFOEM/IP/RR/2021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5BDBA4B7"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FF48A3" w:rsidRPr="00FF48A3">
        <w:rPr>
          <w:rFonts w:ascii="Palatino Linotype" w:hAnsi="Palatino Linotype"/>
          <w:i/>
          <w:color w:val="000000"/>
        </w:rPr>
        <w:t>Solicito recurso de revisión por falta de respuesta</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5106EBD0"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FF48A3" w:rsidRPr="00FF48A3">
        <w:rPr>
          <w:rFonts w:ascii="Palatino Linotype" w:hAnsi="Palatino Linotype"/>
          <w:i/>
          <w:color w:val="000000"/>
        </w:rPr>
        <w:t>Solicito recurso de revisión por falta de respuesta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EC3E55">
        <w:rPr>
          <w:rFonts w:ascii="Palatino Linotype" w:eastAsiaTheme="minorEastAsia" w:hAnsi="Palatino Linotype"/>
          <w:bCs/>
          <w:iCs/>
          <w:color w:val="000000"/>
          <w:sz w:val="24"/>
          <w:szCs w:val="24"/>
          <w:lang w:val="es-ES_tradnl" w:eastAsia="es-ES"/>
        </w:rPr>
        <w:t xml:space="preserve">con fundamento en lo dispuesto por el </w:t>
      </w:r>
      <w:r w:rsidRPr="00EC3E55">
        <w:rPr>
          <w:rFonts w:ascii="Palatino Linotype" w:eastAsiaTheme="minorEastAsia" w:hAnsi="Palatino Linotype"/>
          <w:iCs/>
          <w:color w:val="000000"/>
          <w:sz w:val="24"/>
          <w:szCs w:val="24"/>
          <w:lang w:val="es-ES" w:eastAsia="es-ES"/>
        </w:rPr>
        <w:t xml:space="preserve">artículo 185 fracción I de la </w:t>
      </w:r>
      <w:r w:rsidRPr="00EC3E55">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EC3E55">
        <w:rPr>
          <w:rFonts w:ascii="Palatino Linotype" w:eastAsiaTheme="minorEastAsia" w:hAnsi="Palatino Linotype"/>
          <w:iCs/>
          <w:color w:val="000000"/>
          <w:sz w:val="24"/>
          <w:szCs w:val="24"/>
          <w:lang w:val="es-ES" w:eastAsia="es-ES"/>
        </w:rPr>
        <w:t>se turnó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7480A3A2"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AC16B6">
        <w:rPr>
          <w:rFonts w:ascii="Palatino Linotype" w:eastAsiaTheme="minorEastAsia" w:hAnsi="Palatino Linotype"/>
          <w:iCs/>
          <w:color w:val="000000"/>
          <w:sz w:val="24"/>
          <w:szCs w:val="24"/>
          <w:lang w:val="es-ES" w:eastAsia="es-ES"/>
        </w:rPr>
        <w:t>diecisiete (17) de noviembre</w:t>
      </w:r>
      <w:r w:rsidR="00EC3E55">
        <w:rPr>
          <w:rFonts w:ascii="Palatino Linotype" w:eastAsiaTheme="minorEastAsia" w:hAnsi="Palatino Linotype"/>
          <w:iCs/>
          <w:color w:val="000000"/>
          <w:sz w:val="24"/>
          <w:szCs w:val="24"/>
          <w:lang w:val="es-ES" w:eastAsia="es-ES"/>
        </w:rPr>
        <w:t xml:space="preserve"> 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AC16B6">
        <w:rPr>
          <w:rFonts w:ascii="Palatino Linotype" w:eastAsiaTheme="minorEastAsia" w:hAnsi="Palatino Linotype"/>
          <w:iCs/>
          <w:color w:val="000000"/>
          <w:sz w:val="24"/>
          <w:szCs w:val="24"/>
          <w:lang w:val="es-ES" w:eastAsia="es-ES"/>
        </w:rPr>
        <w:t>SAIMEX</w:t>
      </w:r>
      <w:r w:rsidR="00EC3E55" w:rsidRPr="00EC3E55">
        <w:rPr>
          <w:rFonts w:ascii="Palatino Linotype" w:eastAsiaTheme="minorEastAsia" w:hAnsi="Palatino Linotype"/>
          <w:b/>
          <w:iCs/>
          <w:color w:val="000000"/>
          <w:sz w:val="24"/>
          <w:szCs w:val="24"/>
          <w:lang w:val="es-ES" w:eastAsia="es-ES"/>
        </w:rPr>
        <w:t xml:space="preserve"> </w:t>
      </w:r>
      <w:r w:rsidR="00EC3E55" w:rsidRPr="00EC3E55">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BD03B4A" w:rsidR="00486BDF" w:rsidRPr="00486BD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05AD0B4B" w14:textId="2875CE60" w:rsidR="00AC16B6" w:rsidRPr="00AC16B6" w:rsidRDefault="00FF48A3" w:rsidP="00FF48A3">
      <w:pPr>
        <w:spacing w:before="240" w:after="240" w:line="360" w:lineRule="auto"/>
        <w:ind w:left="284"/>
        <w:contextualSpacing/>
        <w:jc w:val="center"/>
        <w:rPr>
          <w:rFonts w:ascii="Palatino Linotype" w:eastAsia="Calibri" w:hAnsi="Palatino Linotype" w:cs="Arial"/>
          <w:sz w:val="24"/>
          <w:szCs w:val="24"/>
          <w:lang w:val="es-ES" w:eastAsia="es-ES"/>
        </w:rPr>
      </w:pPr>
      <w:r>
        <w:object w:dxaOrig="14865" w:dyaOrig="3525" w14:anchorId="3F884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93.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6969489" r:id="rId9"/>
        </w:object>
      </w:r>
    </w:p>
    <w:p w14:paraId="4A7AF438" w14:textId="77777777" w:rsidR="00FF48A3" w:rsidRPr="00FF48A3" w:rsidRDefault="00FF48A3" w:rsidP="00FF48A3">
      <w:pPr>
        <w:tabs>
          <w:tab w:val="left" w:pos="426"/>
        </w:tabs>
        <w:spacing w:after="0" w:line="360" w:lineRule="auto"/>
        <w:contextualSpacing/>
        <w:jc w:val="both"/>
        <w:rPr>
          <w:rFonts w:ascii="Palatino Linotype" w:eastAsia="Calibri" w:hAnsi="Palatino Linotype" w:cs="Arial"/>
          <w:sz w:val="24"/>
          <w:szCs w:val="24"/>
          <w:lang w:val="es-ES" w:eastAsia="es-ES"/>
        </w:rPr>
      </w:pPr>
    </w:p>
    <w:p w14:paraId="13951BBE" w14:textId="56E72B65"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FF48A3">
        <w:rPr>
          <w:rFonts w:ascii="Palatino Linotype" w:eastAsiaTheme="minorEastAsia" w:hAnsi="Palatino Linotype"/>
          <w:sz w:val="24"/>
          <w:szCs w:val="24"/>
          <w:lang w:val="es-ES_tradnl" w:eastAsia="es-ES"/>
        </w:rPr>
        <w:t>diecisiete (17</w:t>
      </w:r>
      <w:r w:rsidR="00AC16B6">
        <w:rPr>
          <w:rFonts w:ascii="Palatino Linotype" w:eastAsiaTheme="minorEastAsia" w:hAnsi="Palatino Linotype"/>
          <w:sz w:val="24"/>
          <w:szCs w:val="24"/>
          <w:lang w:val="es-ES_tradnl" w:eastAsia="es-ES"/>
        </w:rPr>
        <w:t>) de diciembre</w:t>
      </w:r>
      <w:r w:rsidR="008E52FD">
        <w:rPr>
          <w:rFonts w:ascii="Palatino Linotype" w:eastAsiaTheme="minorEastAsia" w:hAnsi="Palatino Linotype"/>
          <w:sz w:val="24"/>
          <w:szCs w:val="24"/>
          <w:lang w:val="es-ES_tradnl" w:eastAsia="es-ES"/>
        </w:rPr>
        <w:t xml:space="preserve"> </w:t>
      </w:r>
      <w:r w:rsidR="00C53F46">
        <w:rPr>
          <w:rFonts w:ascii="Palatino Linotype" w:eastAsiaTheme="minorEastAsia" w:hAnsi="Palatino Linotype"/>
          <w:sz w:val="24"/>
          <w:szCs w:val="24"/>
          <w:lang w:val="es-ES_tradnl" w:eastAsia="es-ES"/>
        </w:rPr>
        <w:t>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p>
    <w:p w14:paraId="2E1FFA4D" w14:textId="77777777" w:rsidR="00C53F46"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27D8DF7" w14:textId="77777777" w:rsidR="00AC16B6" w:rsidRPr="00486BDF" w:rsidRDefault="00AC16B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486BDF">
        <w:rPr>
          <w:rFonts w:ascii="Palatino Linotype" w:eastAsiaTheme="majorEastAsia" w:hAnsi="Palatino Linotype" w:cstheme="majorBidi"/>
          <w:b/>
          <w:sz w:val="24"/>
          <w:szCs w:val="24"/>
        </w:rPr>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w:t>
      </w:r>
      <w:r w:rsidRPr="00486BDF">
        <w:rPr>
          <w:rFonts w:ascii="Palatino Linotype" w:eastAsia="Calibri" w:hAnsi="Palatino Linotype" w:cs="Times New Roman"/>
          <w:sz w:val="24"/>
          <w:szCs w:val="24"/>
          <w:lang w:val="es-ES" w:eastAsia="es-ES"/>
        </w:rPr>
        <w:lastRenderedPageBreak/>
        <w:t xml:space="preserve">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D78A4A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w:t>
      </w:r>
      <w:r w:rsidRPr="00486BDF">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486BDF">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1852324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SUJETO OBLIGADO</w:t>
      </w:r>
      <w:r w:rsidRPr="00486BDF">
        <w:rPr>
          <w:rFonts w:ascii="Palatino Linotype" w:eastAsia="Times New Roman" w:hAnsi="Palatino Linotype" w:cs="Arial"/>
          <w:color w:val="000000" w:themeColor="text1"/>
          <w:sz w:val="24"/>
          <w:szCs w:val="24"/>
          <w:lang w:val="es-ES" w:eastAsia="es-MX"/>
        </w:rPr>
        <w:t>.</w:t>
      </w:r>
    </w:p>
    <w:p w14:paraId="3340A094" w14:textId="77777777" w:rsidR="00486BDF" w:rsidRPr="00486BD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019A810E" w:rsidR="00486BDF" w:rsidRPr="008E52FD"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Pr>
          <w:rFonts w:ascii="Palatino Linotype" w:eastAsia="Calibri" w:hAnsi="Palatino Linotype" w:cs="Arial"/>
          <w:sz w:val="24"/>
          <w:szCs w:val="24"/>
          <w:lang w:val="es-ES_tradnl" w:eastAsia="es-ES"/>
        </w:rPr>
        <w:t>Consecuencia de</w:t>
      </w:r>
      <w:r w:rsidR="00486BDF" w:rsidRPr="00486BD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27222">
        <w:rPr>
          <w:rFonts w:ascii="Palatino Linotype" w:eastAsia="Calibri" w:hAnsi="Palatino Linotype" w:cs="Arial"/>
          <w:sz w:val="24"/>
          <w:szCs w:val="24"/>
          <w:lang w:val="es-ES_tradnl" w:eastAsia="es-ES"/>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91719C"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D629E9" w:rsidRDefault="0091719C" w:rsidP="00D629E9">
      <w:pPr>
        <w:pStyle w:val="Ttulo1"/>
        <w:rPr>
          <w:rFonts w:eastAsia="Calibri" w:cs="Times New Roman"/>
          <w:bCs/>
          <w:szCs w:val="24"/>
          <w:lang w:val="es-ES" w:eastAsia="es-ES"/>
        </w:rPr>
      </w:pPr>
      <w:bookmarkStart w:id="76" w:name="_Toc86342694"/>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6"/>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19CAB361" w:rsidR="0038172B" w:rsidRPr="0038172B" w:rsidRDefault="008F1AE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Se requirió </w:t>
      </w:r>
      <w:r w:rsidR="00FF48A3">
        <w:rPr>
          <w:rFonts w:ascii="Palatino Linotype" w:eastAsiaTheme="minorEastAsia" w:hAnsi="Palatino Linotype" w:cs="Arial"/>
          <w:sz w:val="24"/>
          <w:szCs w:val="24"/>
          <w:lang w:val="es-ES_tradnl" w:eastAsia="es-ES"/>
        </w:rPr>
        <w:t>la nómina general de todos los servidores públicos del Ayuntamiento de Zacazonapan</w:t>
      </w:r>
      <w:r w:rsidR="0038172B">
        <w:rPr>
          <w:rFonts w:ascii="Palatino Linotype" w:eastAsiaTheme="minorEastAsia" w:hAnsi="Palatino Linotype" w:cs="Arial"/>
          <w:sz w:val="24"/>
          <w:szCs w:val="24"/>
          <w:lang w:val="es-ES_tradnl" w:eastAsia="es-ES"/>
        </w:rPr>
        <w:t xml:space="preserve">. El </w:t>
      </w:r>
      <w:r w:rsidR="0038172B">
        <w:rPr>
          <w:rFonts w:ascii="Palatino Linotype" w:eastAsiaTheme="minorEastAsia" w:hAnsi="Palatino Linotype" w:cs="Arial"/>
          <w:b/>
          <w:bCs/>
          <w:sz w:val="24"/>
          <w:szCs w:val="24"/>
          <w:lang w:val="es-ES_tradnl" w:eastAsia="es-ES"/>
        </w:rPr>
        <w:t>SUJETO OBLIGADO</w:t>
      </w:r>
      <w:r w:rsidR="0038172B">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sidR="0038172B">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sidR="0038172B">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ahora </w:t>
      </w:r>
      <w:r w:rsidR="0038172B">
        <w:rPr>
          <w:rFonts w:ascii="Palatino Linotype" w:eastAsiaTheme="minorEastAsia" w:hAnsi="Palatino Linotype" w:cs="Arial"/>
          <w:b/>
          <w:bCs/>
          <w:sz w:val="24"/>
          <w:szCs w:val="24"/>
          <w:lang w:val="es-ES_tradnl" w:eastAsia="es-ES"/>
        </w:rPr>
        <w:t>RECURRENTE</w:t>
      </w:r>
      <w:r w:rsidR="0038172B">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sidR="0038172B">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y en el que señaló por agravios</w:t>
      </w:r>
      <w:r w:rsidR="00D629E9">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sidR="00FF48A3">
        <w:rPr>
          <w:rFonts w:ascii="Palatino Linotype" w:eastAsiaTheme="minorEastAsia" w:hAnsi="Palatino Linotype" w:cs="Arial"/>
          <w:sz w:val="24"/>
          <w:szCs w:val="24"/>
          <w:lang w:val="es-ES_tradnl" w:eastAsia="es-ES"/>
        </w:rPr>
        <w:t xml:space="preserve"> de información.</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7E933F0A"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En </w:t>
      </w:r>
      <w:r w:rsidRPr="0038172B">
        <w:rPr>
          <w:rFonts w:ascii="Palatino Linotype" w:eastAsiaTheme="minorEastAsia" w:hAnsi="Palatino Linotype" w:cs="Arial"/>
          <w:sz w:val="24"/>
          <w:szCs w:val="24"/>
          <w:lang w:val="es-ES_tradnl" w:eastAsia="es-ES"/>
        </w:rPr>
        <w:t xml:space="preserve">ese sentido, </w:t>
      </w:r>
      <w:r w:rsidR="00EF1F84">
        <w:rPr>
          <w:rFonts w:ascii="Palatino Linotype" w:eastAsiaTheme="minorEastAsia" w:hAnsi="Palatino Linotype" w:cs="Arial"/>
          <w:sz w:val="24"/>
          <w:szCs w:val="24"/>
          <w:lang w:val="es-ES_tradnl" w:eastAsia="es-ES"/>
        </w:rPr>
        <w:t xml:space="preserve">esta Ponencia Resolutora advierte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Pr="0038172B">
        <w:rPr>
          <w:rFonts w:ascii="Palatino Linotype" w:eastAsiaTheme="minorEastAsia" w:hAnsi="Palatino Linotype" w:cs="Arial"/>
          <w:sz w:val="24"/>
          <w:szCs w:val="24"/>
          <w:lang w:val="es-ES_tradnl" w:eastAsia="es-ES"/>
        </w:rPr>
        <w:t xml:space="preserve"> recurso de revisión </w:t>
      </w:r>
      <w:r w:rsidR="00FF48A3">
        <w:rPr>
          <w:rFonts w:ascii="Palatino Linotype" w:eastAsiaTheme="minorEastAsia" w:hAnsi="Palatino Linotype" w:cs="Arial"/>
          <w:b/>
          <w:bCs/>
          <w:sz w:val="24"/>
          <w:szCs w:val="24"/>
          <w:lang w:val="es-ES_tradnl" w:eastAsia="es-ES"/>
        </w:rPr>
        <w:t>05588/INFOEM/IP/RR/2021</w:t>
      </w:r>
      <w:r w:rsidRPr="0038172B">
        <w:rPr>
          <w:rFonts w:ascii="Palatino Linotype" w:eastAsiaTheme="minorEastAsia" w:hAnsi="Palatino Linotype" w:cs="Arial"/>
          <w:sz w:val="24"/>
          <w:szCs w:val="24"/>
          <w:lang w:val="es-ES_tradnl" w:eastAsia="es-ES"/>
        </w:rPr>
        <w:t xml:space="preserve"> 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099879C5" w14:textId="6DEEAEDD" w:rsidR="00BA6FF7" w:rsidRP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7E6D594F" w14:textId="77777777" w:rsidR="00BA6FF7" w:rsidRPr="00BA6FF7"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Pr>
          <w:rFonts w:ascii="Palatino Linotype" w:eastAsia="MS Gothic" w:hAnsi="Palatino Linotype" w:cstheme="majorBidi"/>
          <w:b/>
          <w:sz w:val="24"/>
          <w:szCs w:val="32"/>
        </w:rPr>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3"/>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486BDF">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w:t>
      </w:r>
      <w:r w:rsidRPr="00486BDF">
        <w:rPr>
          <w:rFonts w:ascii="Palatino Linotype" w:eastAsiaTheme="minorEastAsia" w:hAnsi="Palatino Linotype"/>
          <w:i/>
          <w:color w:val="000000"/>
          <w:sz w:val="24"/>
          <w:szCs w:val="24"/>
          <w:lang w:val="es-ES_tradnl" w:eastAsia="es-ES"/>
        </w:rPr>
        <w:lastRenderedPageBreak/>
        <w:t>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13885DDF" w:rsidR="00486BDF" w:rsidRPr="00486BD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486BDF" w:rsidRPr="00486BDF">
        <w:rPr>
          <w:rFonts w:ascii="Palatino Linotype" w:eastAsia="Times New Roman" w:hAnsi="Palatino Linotype"/>
          <w:sz w:val="24"/>
          <w:szCs w:val="24"/>
          <w:lang w:val="es-ES_tradnl" w:eastAsia="es-ES"/>
        </w:rPr>
        <w:t xml:space="preserve"> </w:t>
      </w:r>
      <w:r w:rsidR="00FF48A3">
        <w:rPr>
          <w:rFonts w:ascii="Palatino Linotype" w:eastAsia="Times New Roman" w:hAnsi="Palatino Linotype"/>
          <w:b/>
          <w:sz w:val="24"/>
          <w:szCs w:val="24"/>
          <w:lang w:val="es-ES_tradnl" w:eastAsia="es-ES"/>
        </w:rPr>
        <w:t>Ayuntamiento de Zacazonapan</w:t>
      </w:r>
      <w:r w:rsidR="00486BDF" w:rsidRPr="00486BDF">
        <w:rPr>
          <w:rFonts w:ascii="Palatino Linotype" w:eastAsia="Times New Roman" w:hAnsi="Palatino Linotype"/>
          <w:b/>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w:t>
      </w:r>
      <w:r w:rsidRPr="00F22825">
        <w:rPr>
          <w:rFonts w:ascii="Palatino Linotype" w:eastAsiaTheme="minorEastAsia" w:hAnsi="Palatino Linotype" w:cs="Arial"/>
          <w:sz w:val="24"/>
          <w:szCs w:val="24"/>
          <w:lang w:val="es-ES_tradnl" w:eastAsia="es-ES"/>
        </w:rPr>
        <w:lastRenderedPageBreak/>
        <w:t xml:space="preserve">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3936B646"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486BDF">
        <w:rPr>
          <w:rFonts w:ascii="Palatino Linotype" w:eastAsia="Calibri" w:hAnsi="Palatino Linotype" w:cs="Times New Roman"/>
          <w:sz w:val="24"/>
          <w:szCs w:val="24"/>
          <w:lang w:val="es-ES_tradnl" w:eastAsia="es-ES"/>
        </w:rPr>
        <w:lastRenderedPageBreak/>
        <w:t xml:space="preserve">impone al </w:t>
      </w:r>
      <w:r w:rsidR="00FF48A3">
        <w:rPr>
          <w:rFonts w:ascii="Palatino Linotype" w:eastAsia="Calibri" w:hAnsi="Palatino Linotype" w:cs="Times New Roman"/>
          <w:b/>
          <w:sz w:val="24"/>
          <w:szCs w:val="24"/>
          <w:lang w:val="es-ES_tradnl" w:eastAsia="es-ES"/>
        </w:rPr>
        <w:t>Ayuntamiento de Zacazonapan</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0D7CBE2"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FF48A3">
        <w:rPr>
          <w:rFonts w:ascii="Palatino Linotype" w:eastAsia="Calibri" w:hAnsi="Palatino Linotype" w:cs="Times New Roman"/>
          <w:b/>
          <w:sz w:val="24"/>
          <w:szCs w:val="24"/>
          <w:lang w:val="es-ES_tradnl" w:eastAsia="es-ES"/>
        </w:rPr>
        <w:t>Ayuntamiento de Zacazonapan</w:t>
      </w:r>
      <w:r w:rsidRPr="00486BDF">
        <w:rPr>
          <w:rFonts w:ascii="Palatino Linotype" w:eastAsia="Calibri" w:hAnsi="Palatino Linotype" w:cs="Times New Roman"/>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w:t>
      </w:r>
      <w:r w:rsidRPr="00486BDF">
        <w:rPr>
          <w:rFonts w:ascii="Palatino Linotype" w:eastAsiaTheme="minorEastAsia" w:hAnsi="Palatino Linotype" w:cs="Arial"/>
          <w:bCs/>
          <w:i/>
          <w:lang w:val="es-ES_tradnl" w:eastAsia="es-ES"/>
        </w:rPr>
        <w:lastRenderedPageBreak/>
        <w:t xml:space="preserve">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 …</w:t>
      </w:r>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486BDF">
        <w:rPr>
          <w:rFonts w:ascii="Palatino Linotype" w:eastAsiaTheme="minorEastAsia" w:hAnsi="Palatino Linotype" w:cs="Arial"/>
          <w:b/>
          <w:bCs/>
          <w:i/>
          <w:lang w:val="es-ES_tradnl" w:eastAsia="es-ES"/>
        </w:rPr>
        <w:lastRenderedPageBreak/>
        <w:t>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w:t>
      </w:r>
      <w:r w:rsidRPr="00486BDF">
        <w:rPr>
          <w:rFonts w:ascii="Palatino Linotype" w:eastAsiaTheme="minorEastAsia" w:hAnsi="Palatino Linotype" w:cs="Arial"/>
          <w:sz w:val="24"/>
          <w:szCs w:val="24"/>
          <w:lang w:val="es-ES_tradnl" w:eastAsia="es-ES"/>
        </w:rPr>
        <w:lastRenderedPageBreak/>
        <w:t xml:space="preserve">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14A9C097" w14:textId="32765543" w:rsidR="00D629E9" w:rsidRDefault="00D629E9" w:rsidP="00486BDF">
      <w:pPr>
        <w:spacing w:before="240" w:after="240" w:line="360" w:lineRule="auto"/>
        <w:contextualSpacing/>
        <w:jc w:val="center"/>
        <w:rPr>
          <w:noProof/>
          <w:lang w:eastAsia="es-MX"/>
        </w:rPr>
      </w:pPr>
    </w:p>
    <w:p w14:paraId="7D764E01" w14:textId="7B4AB557" w:rsidR="00486BDF" w:rsidRDefault="00FF48A3" w:rsidP="00486BDF">
      <w:pPr>
        <w:spacing w:before="240" w:after="240" w:line="360" w:lineRule="auto"/>
        <w:contextualSpacing/>
        <w:jc w:val="center"/>
      </w:pPr>
      <w:r>
        <w:object w:dxaOrig="14640" w:dyaOrig="4050" w14:anchorId="48612E6E">
          <v:shape id="_x0000_i1026" type="#_x0000_t75" style="width:385.8pt;height:106.4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6969490" r:id="rId11"/>
        </w:object>
      </w:r>
    </w:p>
    <w:p w14:paraId="6896397E" w14:textId="77777777" w:rsidR="00117887" w:rsidRPr="00486BDF" w:rsidRDefault="00117887" w:rsidP="00117887">
      <w:pPr>
        <w:spacing w:before="240" w:after="240" w:line="360" w:lineRule="auto"/>
        <w:contextualSpacing/>
        <w:rPr>
          <w:rFonts w:eastAsiaTheme="minorEastAsia"/>
          <w:noProof/>
          <w:sz w:val="24"/>
          <w:szCs w:val="24"/>
          <w:lang w:eastAsia="es-MX"/>
        </w:rPr>
      </w:pPr>
    </w:p>
    <w:p w14:paraId="3E9B66E9" w14:textId="4E1538B4" w:rsidR="003A26DD" w:rsidRPr="004172A9"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Como </w:t>
      </w:r>
      <w:r w:rsidRPr="003A26DD">
        <w:rPr>
          <w:rFonts w:ascii="Palatino Linotype" w:eastAsia="Times New Roman" w:hAnsi="Palatino Linotype" w:cs="Arial"/>
          <w:color w:val="000000"/>
          <w:sz w:val="24"/>
          <w:szCs w:val="24"/>
          <w:lang w:eastAsia="es-ES"/>
        </w:rPr>
        <w:t xml:space="preserve">fuera señalado en el apartado de </w:t>
      </w:r>
      <w:r w:rsidRPr="003A26DD">
        <w:rPr>
          <w:rFonts w:ascii="Palatino Linotype" w:eastAsia="Times New Roman" w:hAnsi="Palatino Linotype" w:cs="Arial"/>
          <w:i/>
          <w:color w:val="000000"/>
          <w:sz w:val="24"/>
          <w:szCs w:val="24"/>
          <w:lang w:eastAsia="es-ES"/>
        </w:rPr>
        <w:t>Antecedentes</w:t>
      </w:r>
      <w:r w:rsidRPr="003A26DD">
        <w:rPr>
          <w:rFonts w:ascii="Palatino Linotype" w:eastAsia="Times New Roman" w:hAnsi="Palatino Linotype" w:cs="Arial"/>
          <w:color w:val="000000"/>
          <w:sz w:val="24"/>
          <w:szCs w:val="24"/>
          <w:lang w:eastAsia="es-ES"/>
        </w:rPr>
        <w:t xml:space="preserve">, el </w:t>
      </w:r>
      <w:r w:rsidR="00FF48A3">
        <w:rPr>
          <w:rFonts w:ascii="Palatino Linotype" w:eastAsia="Times New Roman" w:hAnsi="Palatino Linotype" w:cs="Arial"/>
          <w:color w:val="000000"/>
          <w:sz w:val="24"/>
          <w:szCs w:val="24"/>
          <w:lang w:eastAsia="es-ES"/>
        </w:rPr>
        <w:t>dieciocho (18</w:t>
      </w:r>
      <w:r w:rsidR="008F1AEF">
        <w:rPr>
          <w:rFonts w:ascii="Palatino Linotype" w:eastAsia="Times New Roman" w:hAnsi="Palatino Linotype" w:cs="Arial"/>
          <w:color w:val="000000"/>
          <w:sz w:val="24"/>
          <w:szCs w:val="24"/>
          <w:lang w:eastAsia="es-ES"/>
        </w:rPr>
        <w:t>) de octubre</w:t>
      </w:r>
      <w:r w:rsidR="00155679">
        <w:rPr>
          <w:rFonts w:ascii="Palatino Linotype" w:eastAsia="Times New Roman" w:hAnsi="Palatino Linotype" w:cs="Arial"/>
          <w:color w:val="000000"/>
          <w:sz w:val="24"/>
          <w:szCs w:val="24"/>
          <w:lang w:eastAsia="es-ES"/>
        </w:rPr>
        <w:t xml:space="preserve"> de dos mil veintiuno</w:t>
      </w:r>
      <w:r w:rsidRPr="003A26DD">
        <w:rPr>
          <w:rFonts w:ascii="Palatino Linotype" w:eastAsia="Times New Roman" w:hAnsi="Palatino Linotype" w:cs="Arial"/>
          <w:color w:val="000000"/>
          <w:sz w:val="24"/>
          <w:szCs w:val="24"/>
          <w:lang w:eastAsia="es-ES"/>
        </w:rPr>
        <w:t xml:space="preserve">, </w:t>
      </w:r>
      <w:r w:rsidR="00484317">
        <w:rPr>
          <w:rFonts w:ascii="Palatino Linotype" w:eastAsia="Times New Roman" w:hAnsi="Palatino Linotype" w:cs="Arial"/>
          <w:color w:val="000000"/>
          <w:sz w:val="24"/>
          <w:szCs w:val="24"/>
          <w:lang w:eastAsia="es-ES"/>
        </w:rPr>
        <w:t>el</w:t>
      </w:r>
      <w:r w:rsidRPr="003A26DD">
        <w:rPr>
          <w:rFonts w:ascii="Palatino Linotype" w:eastAsia="Times New Roman" w:hAnsi="Palatino Linotype" w:cs="Arial"/>
          <w:color w:val="000000"/>
          <w:sz w:val="24"/>
          <w:szCs w:val="24"/>
          <w:lang w:eastAsia="es-ES"/>
        </w:rPr>
        <w:t xml:space="preserve"> particular promovió</w:t>
      </w:r>
      <w:r w:rsidR="00484317">
        <w:rPr>
          <w:rFonts w:ascii="Palatino Linotype" w:eastAsia="Times New Roman" w:hAnsi="Palatino Linotype" w:cs="Arial"/>
          <w:color w:val="000000"/>
          <w:sz w:val="24"/>
          <w:szCs w:val="24"/>
          <w:lang w:eastAsia="es-ES"/>
        </w:rPr>
        <w:t>,</w:t>
      </w:r>
      <w:r w:rsidRPr="003A26DD">
        <w:rPr>
          <w:rFonts w:ascii="Palatino Linotype" w:eastAsia="Times New Roman" w:hAnsi="Palatino Linotype" w:cs="Arial"/>
          <w:color w:val="000000"/>
          <w:sz w:val="24"/>
          <w:szCs w:val="24"/>
          <w:lang w:eastAsia="es-ES"/>
        </w:rPr>
        <w:t xml:space="preserve"> vía </w:t>
      </w:r>
      <w:r w:rsidRPr="003A26DD">
        <w:rPr>
          <w:rFonts w:ascii="Palatino Linotype" w:eastAsia="Times New Roman" w:hAnsi="Palatino Linotype" w:cs="Arial"/>
          <w:b/>
          <w:i/>
          <w:color w:val="000000"/>
          <w:sz w:val="24"/>
          <w:szCs w:val="24"/>
          <w:lang w:eastAsia="es-ES"/>
        </w:rPr>
        <w:t>SAIMEX</w:t>
      </w:r>
      <w:r w:rsidR="00484317">
        <w:rPr>
          <w:rFonts w:ascii="Palatino Linotype" w:eastAsia="Times New Roman" w:hAnsi="Palatino Linotype" w:cs="Arial"/>
          <w:b/>
          <w:i/>
          <w:color w:val="000000"/>
          <w:sz w:val="24"/>
          <w:szCs w:val="24"/>
          <w:lang w:eastAsia="es-ES"/>
        </w:rPr>
        <w:t>,</w:t>
      </w:r>
      <w:r w:rsidRPr="003A26DD">
        <w:rPr>
          <w:rFonts w:ascii="Palatino Linotype" w:eastAsia="Times New Roman" w:hAnsi="Palatino Linotype" w:cs="Arial"/>
          <w:color w:val="000000"/>
          <w:sz w:val="24"/>
          <w:szCs w:val="24"/>
          <w:lang w:eastAsia="es-ES"/>
        </w:rPr>
        <w:t xml:space="preserve"> ante el </w:t>
      </w:r>
      <w:r w:rsidRPr="003A26DD">
        <w:rPr>
          <w:rFonts w:ascii="Palatino Linotype" w:eastAsia="Times New Roman" w:hAnsi="Palatino Linotype" w:cs="Arial"/>
          <w:b/>
          <w:color w:val="000000"/>
          <w:sz w:val="24"/>
          <w:szCs w:val="24"/>
          <w:lang w:eastAsia="es-ES"/>
        </w:rPr>
        <w:t>SUJETO OBLIGADO</w:t>
      </w:r>
      <w:r w:rsidR="00484317">
        <w:rPr>
          <w:rFonts w:ascii="Palatino Linotype" w:eastAsia="Times New Roman" w:hAnsi="Palatino Linotype" w:cs="Arial"/>
          <w:b/>
          <w:color w:val="000000"/>
          <w:sz w:val="24"/>
          <w:szCs w:val="24"/>
          <w:lang w:eastAsia="es-ES"/>
        </w:rPr>
        <w:t>,</w:t>
      </w:r>
      <w:r w:rsidRPr="003A26DD">
        <w:rPr>
          <w:rFonts w:ascii="Palatino Linotype" w:eastAsia="Times New Roman" w:hAnsi="Palatino Linotype" w:cs="Arial"/>
          <w:color w:val="000000"/>
          <w:sz w:val="24"/>
          <w:szCs w:val="24"/>
          <w:lang w:eastAsia="es-ES"/>
        </w:rPr>
        <w:t xml:space="preserve"> la solicitud de información </w:t>
      </w:r>
      <w:r w:rsidR="00FF48A3">
        <w:rPr>
          <w:rFonts w:ascii="Palatino Linotype" w:eastAsia="Times New Roman" w:hAnsi="Palatino Linotype" w:cs="Arial"/>
          <w:b/>
          <w:color w:val="000000"/>
          <w:sz w:val="24"/>
          <w:szCs w:val="24"/>
          <w:lang w:eastAsia="es-ES"/>
        </w:rPr>
        <w:t>00094/ZACAZONA/IP/2021</w:t>
      </w:r>
      <w:r w:rsidR="00155679">
        <w:rPr>
          <w:rFonts w:ascii="Palatino Linotype" w:eastAsia="Times New Roman" w:hAnsi="Palatino Linotype" w:cs="Arial"/>
          <w:bCs/>
          <w:color w:val="000000"/>
          <w:sz w:val="24"/>
          <w:szCs w:val="24"/>
          <w:lang w:eastAsia="es-ES"/>
        </w:rPr>
        <w:t>,</w:t>
      </w:r>
      <w:r w:rsidR="004172A9">
        <w:rPr>
          <w:rFonts w:ascii="Palatino Linotype" w:eastAsia="Times New Roman" w:hAnsi="Palatino Linotype" w:cs="Arial"/>
          <w:color w:val="000000"/>
          <w:sz w:val="24"/>
          <w:szCs w:val="24"/>
          <w:lang w:eastAsia="es-ES"/>
        </w:rPr>
        <w:t xml:space="preserve"> </w:t>
      </w:r>
      <w:r w:rsidRPr="003A26DD">
        <w:rPr>
          <w:rFonts w:ascii="Palatino Linotype" w:eastAsia="Times New Roman" w:hAnsi="Palatino Linotype" w:cs="Arial"/>
          <w:color w:val="000000"/>
          <w:sz w:val="24"/>
          <w:szCs w:val="24"/>
          <w:lang w:eastAsia="es-ES"/>
        </w:rPr>
        <w:t xml:space="preserve">mediante </w:t>
      </w:r>
      <w:r w:rsidR="004172A9">
        <w:rPr>
          <w:rFonts w:ascii="Palatino Linotype" w:eastAsia="Times New Roman" w:hAnsi="Palatino Linotype" w:cs="Arial"/>
          <w:color w:val="000000"/>
          <w:sz w:val="24"/>
          <w:szCs w:val="24"/>
          <w:lang w:eastAsia="es-ES"/>
        </w:rPr>
        <w:t xml:space="preserve">la que requirió </w:t>
      </w:r>
      <w:r w:rsidR="00117887">
        <w:rPr>
          <w:rFonts w:ascii="Palatino Linotype" w:eastAsia="Times New Roman" w:hAnsi="Palatino Linotype" w:cs="Arial"/>
          <w:i/>
          <w:iCs/>
          <w:color w:val="000000"/>
          <w:sz w:val="24"/>
          <w:szCs w:val="24"/>
          <w:lang w:eastAsia="es-ES"/>
        </w:rPr>
        <w:t>“(…)</w:t>
      </w:r>
      <w:r w:rsidR="006761F3">
        <w:rPr>
          <w:rFonts w:ascii="Palatino Linotype" w:eastAsia="Times New Roman" w:hAnsi="Palatino Linotype" w:cs="Arial"/>
          <w:i/>
          <w:iCs/>
          <w:color w:val="000000"/>
          <w:sz w:val="24"/>
          <w:szCs w:val="24"/>
          <w:lang w:eastAsia="es-ES"/>
        </w:rPr>
        <w:t xml:space="preserve"> la nómina general de todos los servidores públicos</w:t>
      </w:r>
      <w:r w:rsidR="00117887">
        <w:rPr>
          <w:rFonts w:ascii="Palatino Linotype" w:eastAsia="Times New Roman" w:hAnsi="Palatino Linotype" w:cs="Arial"/>
          <w:color w:val="000000"/>
          <w:sz w:val="24"/>
          <w:szCs w:val="24"/>
          <w:lang w:eastAsia="es-ES"/>
        </w:rPr>
        <w:t>”</w:t>
      </w:r>
      <w:r w:rsidR="008F1AEF">
        <w:rPr>
          <w:rFonts w:ascii="Palatino Linotype" w:eastAsia="Times New Roman" w:hAnsi="Palatino Linotype" w:cs="Arial"/>
          <w:color w:val="000000"/>
          <w:sz w:val="24"/>
          <w:szCs w:val="24"/>
          <w:lang w:eastAsia="es-ES"/>
        </w:rPr>
        <w:t>.</w:t>
      </w:r>
    </w:p>
    <w:p w14:paraId="0ACF42FC" w14:textId="77777777" w:rsidR="00155679"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3B46DC6E" w:rsidR="003A26DD" w:rsidRPr="003A26DD" w:rsidRDefault="00B80B04"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Empero</w:t>
      </w:r>
      <w:r w:rsidR="00484317">
        <w:rPr>
          <w:rFonts w:ascii="Palatino Linotype" w:eastAsia="Times New Roman" w:hAnsi="Palatino Linotype" w:cs="Arial"/>
          <w:color w:val="000000"/>
          <w:sz w:val="24"/>
          <w:szCs w:val="24"/>
          <w:lang w:val="es-ES_tradnl" w:eastAsia="es-ES"/>
        </w:rPr>
        <w:t>,</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8F1AEF">
        <w:rPr>
          <w:rFonts w:ascii="Palatino Linotype" w:eastAsia="Times New Roman" w:hAnsi="Palatino Linotype" w:cs="Arial"/>
          <w:b/>
          <w:color w:val="000000"/>
          <w:sz w:val="24"/>
          <w:szCs w:val="24"/>
          <w:lang w:eastAsia="es-ES"/>
        </w:rPr>
        <w:t xml:space="preserve">no </w:t>
      </w:r>
      <w:r w:rsidR="004C0A0C" w:rsidRPr="008F1AEF">
        <w:rPr>
          <w:rFonts w:ascii="Palatino Linotype" w:eastAsia="Times New Roman" w:hAnsi="Palatino Linotype" w:cs="Arial"/>
          <w:b/>
          <w:color w:val="000000"/>
          <w:sz w:val="24"/>
          <w:szCs w:val="24"/>
          <w:lang w:eastAsia="es-ES"/>
        </w:rPr>
        <w:t xml:space="preserve">atendió </w:t>
      </w:r>
      <w:r w:rsidR="00EA0691" w:rsidRPr="008F1AEF">
        <w:rPr>
          <w:rFonts w:ascii="Palatino Linotype" w:eastAsia="Times New Roman" w:hAnsi="Palatino Linotype" w:cs="Arial"/>
          <w:b/>
          <w:color w:val="000000"/>
          <w:sz w:val="24"/>
          <w:szCs w:val="24"/>
          <w:lang w:eastAsia="es-ES"/>
        </w:rPr>
        <w:t>los</w:t>
      </w:r>
      <w:r w:rsidR="00D629E9" w:rsidRPr="008F1AEF">
        <w:rPr>
          <w:rFonts w:ascii="Palatino Linotype" w:eastAsia="Times New Roman" w:hAnsi="Palatino Linotype" w:cs="Arial"/>
          <w:b/>
          <w:color w:val="000000"/>
          <w:sz w:val="24"/>
          <w:szCs w:val="24"/>
          <w:lang w:eastAsia="es-ES"/>
        </w:rPr>
        <w:t xml:space="preserve"> requerimiento</w:t>
      </w:r>
      <w:r w:rsidR="00EA0691" w:rsidRPr="008F1AEF">
        <w:rPr>
          <w:rFonts w:ascii="Palatino Linotype" w:eastAsia="Times New Roman" w:hAnsi="Palatino Linotype" w:cs="Arial"/>
          <w:b/>
          <w:color w:val="000000"/>
          <w:sz w:val="24"/>
          <w:szCs w:val="24"/>
          <w:lang w:eastAsia="es-ES"/>
        </w:rPr>
        <w:t>s</w:t>
      </w:r>
      <w:r w:rsidR="00D629E9" w:rsidRPr="008F1AEF">
        <w:rPr>
          <w:rFonts w:ascii="Palatino Linotype" w:eastAsia="Times New Roman" w:hAnsi="Palatino Linotype" w:cs="Arial"/>
          <w:b/>
          <w:color w:val="000000"/>
          <w:sz w:val="24"/>
          <w:szCs w:val="24"/>
          <w:lang w:eastAsia="es-ES"/>
        </w:rPr>
        <w:t xml:space="preserve"> vertido</w:t>
      </w:r>
      <w:r w:rsidR="00EA0691" w:rsidRPr="008F1AEF">
        <w:rPr>
          <w:rFonts w:ascii="Palatino Linotype" w:eastAsia="Times New Roman" w:hAnsi="Palatino Linotype" w:cs="Arial"/>
          <w:b/>
          <w:color w:val="000000"/>
          <w:sz w:val="24"/>
          <w:szCs w:val="24"/>
          <w:lang w:eastAsia="es-ES"/>
        </w:rPr>
        <w:t>s</w:t>
      </w:r>
      <w:r w:rsidR="004C0A0C" w:rsidRPr="008F1AEF">
        <w:rPr>
          <w:rFonts w:ascii="Palatino Linotype" w:eastAsia="Times New Roman" w:hAnsi="Palatino Linotype" w:cs="Arial"/>
          <w:b/>
          <w:color w:val="000000"/>
          <w:sz w:val="24"/>
          <w:szCs w:val="24"/>
          <w:lang w:eastAsia="es-ES"/>
        </w:rPr>
        <w:t xml:space="preserve"> en la solicitud de información </w:t>
      </w:r>
      <w:r w:rsidR="00FF48A3">
        <w:rPr>
          <w:rFonts w:ascii="Palatino Linotype" w:eastAsia="Times New Roman" w:hAnsi="Palatino Linotype" w:cs="Arial"/>
          <w:b/>
          <w:color w:val="000000"/>
          <w:sz w:val="24"/>
          <w:szCs w:val="24"/>
          <w:lang w:eastAsia="es-ES"/>
        </w:rPr>
        <w:t>00094/ZACAZONA/IP/2021</w:t>
      </w:r>
      <w:r w:rsidR="004C0A0C">
        <w:rPr>
          <w:rFonts w:ascii="Palatino Linotype" w:eastAsia="Times New Roman" w:hAnsi="Palatino Linotype" w:cs="Arial"/>
          <w:b/>
          <w:color w:val="000000"/>
          <w:sz w:val="24"/>
          <w:szCs w:val="24"/>
          <w:lang w:eastAsia="es-ES"/>
        </w:rPr>
        <w:t>.</w:t>
      </w:r>
    </w:p>
    <w:p w14:paraId="6A3B0F3A" w14:textId="77777777" w:rsidR="003A26DD"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w:t>
      </w:r>
      <w:r w:rsidR="00486BDF" w:rsidRPr="00486BDF">
        <w:rPr>
          <w:rFonts w:ascii="Palatino Linotype" w:eastAsia="Times New Roman" w:hAnsi="Palatino Linotype" w:cs="Arial"/>
          <w:color w:val="000000"/>
          <w:sz w:val="24"/>
          <w:szCs w:val="24"/>
          <w:lang w:val="es-ES_tradnl" w:eastAsia="es-ES"/>
        </w:rPr>
        <w:lastRenderedPageBreak/>
        <w:t>y mecanismos que permitan trasparentar la gestión pública y mejorar la toma 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w:t>
      </w:r>
      <w:r w:rsidRPr="00486BDF">
        <w:rPr>
          <w:rFonts w:ascii="Palatino Linotype" w:eastAsia="Calibri" w:hAnsi="Palatino Linotype" w:cs="Times New Roman"/>
          <w:sz w:val="24"/>
          <w:szCs w:val="24"/>
          <w:lang w:val="es-ES" w:eastAsia="es-ES"/>
        </w:rPr>
        <w:lastRenderedPageBreak/>
        <w:t xml:space="preserve">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48F65CDE"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w:t>
      </w:r>
      <w:r w:rsidRPr="00486BDF">
        <w:rPr>
          <w:rFonts w:ascii="Palatino Linotype" w:eastAsiaTheme="minorEastAsia" w:hAnsi="Palatino Linotype" w:cs="Arial"/>
          <w:sz w:val="24"/>
          <w:szCs w:val="24"/>
          <w:lang w:val="es-ES_tradnl" w:eastAsia="es-ES"/>
        </w:rPr>
        <w:lastRenderedPageBreak/>
        <w:t xml:space="preserve">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w:t>
      </w:r>
      <w:r w:rsidR="006761F3" w:rsidRPr="00486BDF">
        <w:rPr>
          <w:rFonts w:ascii="Palatino Linotype" w:eastAsiaTheme="minorEastAsia" w:hAnsi="Palatino Linotype" w:cs="Arial"/>
          <w:sz w:val="24"/>
          <w:szCs w:val="24"/>
          <w:lang w:val="es-ES_tradnl" w:eastAsia="es-ES"/>
        </w:rPr>
        <w:t>a</w:t>
      </w:r>
      <w:r w:rsidR="006761F3">
        <w:rPr>
          <w:rFonts w:ascii="Palatino Linotype" w:eastAsiaTheme="minorEastAsia" w:hAnsi="Palatino Linotype" w:cs="Arial"/>
          <w:sz w:val="24"/>
          <w:szCs w:val="24"/>
          <w:lang w:val="es-ES_tradnl" w:eastAsia="es-ES"/>
        </w:rPr>
        <w:t>u</w:t>
      </w:r>
      <w:r w:rsidR="006761F3" w:rsidRPr="00486BDF">
        <w:rPr>
          <w:rFonts w:ascii="Palatino Linotype" w:eastAsiaTheme="minorEastAsia" w:hAnsi="Palatino Linotype" w:cs="Arial"/>
          <w:sz w:val="24"/>
          <w:szCs w:val="24"/>
          <w:lang w:val="es-ES_tradnl" w:eastAsia="es-ES"/>
        </w:rPr>
        <w:t>n</w:t>
      </w:r>
      <w:r w:rsidRPr="00486BDF">
        <w:rPr>
          <w:rFonts w:ascii="Palatino Linotype" w:eastAsiaTheme="minorEastAsia" w:hAnsi="Palatino Linotype" w:cs="Arial"/>
          <w:sz w:val="24"/>
          <w:szCs w:val="24"/>
          <w:lang w:val="es-ES_tradnl" w:eastAsia="es-ES"/>
        </w:rPr>
        <w:t xml:space="preserve">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 xml:space="preserve">sta corresponde a una facultad, competencia o función explícita o implícita. Si no estuviera comprendida en éstas, bastará con que su respuesta señale lo anterior. Pero si la información </w:t>
      </w:r>
      <w:r w:rsidRPr="00486BDF">
        <w:rPr>
          <w:rFonts w:ascii="Palatino Linotype" w:eastAsiaTheme="minorEastAsia" w:hAnsi="Palatino Linotype" w:cs="Arial"/>
          <w:sz w:val="24"/>
          <w:szCs w:val="24"/>
          <w:lang w:val="es-ES" w:eastAsia="es-ES"/>
        </w:rPr>
        <w:lastRenderedPageBreak/>
        <w:t>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lastRenderedPageBreak/>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486BDF">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w:t>
      </w:r>
      <w:r w:rsidRPr="006761F3">
        <w:rPr>
          <w:rFonts w:ascii="Palatino Linotype" w:eastAsiaTheme="minorEastAsia" w:hAnsi="Palatino Linotype" w:cs="Arial"/>
          <w:b/>
          <w:sz w:val="24"/>
          <w:szCs w:val="24"/>
          <w:lang w:val="es-ES" w:eastAsia="es-ES"/>
        </w:rPr>
        <w:t>prueba de daño</w:t>
      </w:r>
      <w:r w:rsidRPr="00486BDF">
        <w:rPr>
          <w:rFonts w:ascii="Palatino Linotype" w:eastAsiaTheme="minorEastAsia" w:hAnsi="Palatino Linotype" w:cs="Arial"/>
          <w:sz w:val="24"/>
          <w:szCs w:val="24"/>
          <w:lang w:val="es-ES" w:eastAsia="es-ES"/>
        </w:rPr>
        <w:t>.</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los </w:t>
      </w:r>
      <w:r w:rsidRPr="00486BDF">
        <w:rPr>
          <w:rFonts w:ascii="Palatino Linotype" w:eastAsiaTheme="minorEastAsia" w:hAnsi="Palatino Linotype" w:cs="Arial"/>
          <w:sz w:val="24"/>
          <w:szCs w:val="24"/>
          <w:lang w:val="es-ES" w:eastAsia="es-ES"/>
        </w:rPr>
        <w:lastRenderedPageBreak/>
        <w:t>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w:t>
      </w:r>
      <w:r w:rsidRPr="00486BDF">
        <w:rPr>
          <w:rFonts w:ascii="Palatino Linotype" w:eastAsia="Times New Roman" w:hAnsi="Palatino Linotype" w:cs="Arial"/>
          <w:color w:val="222222"/>
          <w:sz w:val="24"/>
          <w:szCs w:val="24"/>
          <w:lang w:val="es-ES_tradnl" w:eastAsia="es-MX"/>
        </w:rPr>
        <w:lastRenderedPageBreak/>
        <w:t>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4"/>
      <w:bookmarkEnd w:id="95"/>
      <w:r w:rsidR="00486BDF" w:rsidRPr="00486BDF">
        <w:rPr>
          <w:rFonts w:ascii="Palatino Linotype" w:eastAsia="Times New Roman" w:hAnsi="Palatino Linotype" w:cstheme="majorBidi"/>
          <w:b/>
          <w:sz w:val="24"/>
          <w:szCs w:val="24"/>
        </w:rPr>
        <w:t>.</w:t>
      </w:r>
      <w:bookmarkEnd w:id="96"/>
      <w:bookmarkEnd w:id="97"/>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lastRenderedPageBreak/>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8"/>
      <w:r w:rsidR="00486BDF" w:rsidRPr="00486BD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xml:space="preserve">, se observa entonces que la Ley de Transparencia Estatal prevé que, si durante el estudio y sustanciación de un recurso de revisión, se advierta que pudo haberse incurrido en una probable responsabilidad por el incumplimiento a las disposiciones contenidas en el texto </w:t>
      </w:r>
      <w:r w:rsidRPr="000B7060">
        <w:rPr>
          <w:rFonts w:ascii="Palatino Linotype" w:eastAsiaTheme="minorEastAsia" w:hAnsi="Palatino Linotype" w:cs="Arial"/>
          <w:color w:val="000000" w:themeColor="text1"/>
          <w:sz w:val="24"/>
          <w:szCs w:val="24"/>
          <w:lang w:val="es-ES_tradnl" w:eastAsia="es-ES"/>
        </w:rPr>
        <w:lastRenderedPageBreak/>
        <w:t>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4BA8E7DD"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0B7060">
        <w:rPr>
          <w:rFonts w:ascii="Palatino Linotype" w:eastAsiaTheme="minorEastAsia" w:hAnsi="Palatino Linotype" w:cs="Arial"/>
          <w:color w:val="000000" w:themeColor="text1"/>
          <w:sz w:val="24"/>
          <w:szCs w:val="24"/>
          <w:lang w:val="es-ES_tradnl" w:eastAsia="es-ES"/>
        </w:rPr>
        <w:t xml:space="preserve">el presente asunto, de constancias de autos que obran en </w:t>
      </w:r>
      <w:r>
        <w:rPr>
          <w:rFonts w:ascii="Palatino Linotype" w:eastAsiaTheme="minorEastAsia" w:hAnsi="Palatino Linotype" w:cs="Arial"/>
          <w:color w:val="000000" w:themeColor="text1"/>
          <w:sz w:val="24"/>
          <w:szCs w:val="24"/>
          <w:lang w:val="es-ES_tradnl" w:eastAsia="es-ES"/>
        </w:rPr>
        <w:t>el</w:t>
      </w:r>
      <w:r w:rsidRPr="000B7060">
        <w:rPr>
          <w:rFonts w:ascii="Palatino Linotype" w:eastAsiaTheme="minorEastAsia" w:hAnsi="Palatino Linotype" w:cs="Arial"/>
          <w:color w:val="000000" w:themeColor="text1"/>
          <w:sz w:val="24"/>
          <w:szCs w:val="24"/>
          <w:lang w:val="es-ES_tradnl" w:eastAsia="es-ES"/>
        </w:rPr>
        <w:t xml:space="preserve"> expediente digital del </w:t>
      </w:r>
      <w:r w:rsidRPr="000B7060">
        <w:rPr>
          <w:rFonts w:ascii="Palatino Linotype" w:eastAsiaTheme="minorEastAsia" w:hAnsi="Palatino Linotype" w:cs="Arial"/>
          <w:b/>
          <w:bCs/>
          <w:color w:val="000000" w:themeColor="text1"/>
          <w:sz w:val="24"/>
          <w:szCs w:val="24"/>
          <w:lang w:val="es-ES_tradnl" w:eastAsia="es-ES"/>
        </w:rPr>
        <w:t>SAIMEX</w:t>
      </w:r>
      <w:r w:rsidRPr="000B7060">
        <w:rPr>
          <w:rFonts w:ascii="Palatino Linotype" w:eastAsiaTheme="minorEastAsia" w:hAnsi="Palatino Linotype" w:cs="Arial"/>
          <w:color w:val="000000" w:themeColor="text1"/>
          <w:sz w:val="24"/>
          <w:szCs w:val="24"/>
          <w:lang w:val="es-ES_tradnl" w:eastAsia="es-ES"/>
        </w:rPr>
        <w:t xml:space="preserve">, dentro del apartado de </w:t>
      </w:r>
      <w:r w:rsidRPr="000B7060">
        <w:rPr>
          <w:rFonts w:ascii="Palatino Linotype" w:eastAsiaTheme="minorEastAsia" w:hAnsi="Palatino Linotype" w:cs="Arial"/>
          <w:i/>
          <w:iCs/>
          <w:color w:val="000000" w:themeColor="text1"/>
          <w:sz w:val="24"/>
          <w:szCs w:val="24"/>
          <w:lang w:val="es-ES_tradnl" w:eastAsia="es-ES"/>
        </w:rPr>
        <w:t>Requerimientos</w:t>
      </w:r>
      <w:r w:rsidRPr="000B7060">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Pr>
          <w:rFonts w:ascii="Palatino Linotype" w:eastAsiaTheme="minorEastAsia" w:hAnsi="Palatino Linotype" w:cs="Arial"/>
          <w:color w:val="000000" w:themeColor="text1"/>
          <w:sz w:val="24"/>
          <w:szCs w:val="24"/>
          <w:lang w:val="es-ES_tradnl" w:eastAsia="es-ES"/>
        </w:rPr>
        <w:t xml:space="preserve">no </w:t>
      </w:r>
      <w:r w:rsidRPr="000B7060">
        <w:rPr>
          <w:rFonts w:ascii="Palatino Linotype" w:eastAsiaTheme="minorEastAsia" w:hAnsi="Palatino Linotype" w:cs="Arial"/>
          <w:color w:val="000000" w:themeColor="text1"/>
          <w:sz w:val="24"/>
          <w:szCs w:val="24"/>
          <w:lang w:val="es-ES_tradnl" w:eastAsia="es-ES"/>
        </w:rPr>
        <w:t>se aprecia</w:t>
      </w:r>
      <w:r w:rsidR="00542149">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0B7060">
        <w:rPr>
          <w:rFonts w:ascii="Palatino Linotype" w:eastAsiaTheme="minorEastAsia" w:hAnsi="Palatino Linotype" w:cs="Arial"/>
          <w:color w:val="000000" w:themeColor="text1"/>
          <w:sz w:val="24"/>
          <w:szCs w:val="24"/>
          <w:lang w:val="es-ES_tradnl" w:eastAsia="es-ES"/>
        </w:rPr>
        <w:t xml:space="preserve">solicitud de información a </w:t>
      </w:r>
      <w:r w:rsidR="00542149">
        <w:rPr>
          <w:rFonts w:ascii="Palatino Linotype" w:eastAsiaTheme="minorEastAsia" w:hAnsi="Palatino Linotype" w:cs="Arial"/>
          <w:color w:val="000000" w:themeColor="text1"/>
          <w:sz w:val="24"/>
          <w:szCs w:val="24"/>
          <w:lang w:val="es-ES_tradnl" w:eastAsia="es-ES"/>
        </w:rPr>
        <w:t>algún</w:t>
      </w:r>
      <w:r w:rsidRPr="000B7060">
        <w:rPr>
          <w:rFonts w:ascii="Palatino Linotype" w:eastAsiaTheme="minorEastAsia" w:hAnsi="Palatino Linotype" w:cs="Arial"/>
          <w:color w:val="000000" w:themeColor="text1"/>
          <w:sz w:val="24"/>
          <w:szCs w:val="24"/>
          <w:lang w:val="es-ES_tradnl" w:eastAsia="es-ES"/>
        </w:rPr>
        <w:t xml:space="preserve"> servidor público habilitado,</w:t>
      </w:r>
      <w:r w:rsidR="00542149">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FF48A3">
        <w:rPr>
          <w:rFonts w:ascii="Palatino Linotype" w:eastAsiaTheme="minorEastAsia" w:hAnsi="Palatino Linotype" w:cs="Arial"/>
          <w:b/>
          <w:color w:val="000000" w:themeColor="text1"/>
          <w:sz w:val="24"/>
          <w:szCs w:val="24"/>
          <w:lang w:val="es-ES_tradnl" w:eastAsia="es-ES"/>
        </w:rPr>
        <w:t>00094/ZACAZONA/IP/2021</w:t>
      </w:r>
      <w:r w:rsidR="00B027AB">
        <w:rPr>
          <w:rFonts w:ascii="Palatino Linotype" w:eastAsiaTheme="minorEastAsia" w:hAnsi="Palatino Linotype" w:cs="Arial"/>
          <w:color w:val="000000" w:themeColor="text1"/>
          <w:sz w:val="24"/>
          <w:szCs w:val="24"/>
          <w:lang w:val="es-ES_tradnl" w:eastAsia="es-ES"/>
        </w:rPr>
        <w:t xml:space="preserve">, aparece </w:t>
      </w:r>
      <w:r w:rsidR="00354682">
        <w:rPr>
          <w:rFonts w:ascii="Palatino Linotype" w:eastAsiaTheme="minorEastAsia" w:hAnsi="Palatino Linotype" w:cs="Arial"/>
          <w:color w:val="000000" w:themeColor="text1"/>
          <w:sz w:val="24"/>
          <w:szCs w:val="24"/>
          <w:lang w:val="es-ES_tradnl" w:eastAsia="es-ES"/>
        </w:rPr>
        <w:t>la interposición del</w:t>
      </w:r>
      <w:r w:rsidR="00542149">
        <w:rPr>
          <w:rFonts w:ascii="Palatino Linotype" w:eastAsiaTheme="minorEastAsia" w:hAnsi="Palatino Linotype" w:cs="Arial"/>
          <w:color w:val="000000" w:themeColor="text1"/>
          <w:sz w:val="24"/>
          <w:szCs w:val="24"/>
          <w:lang w:val="es-ES_tradnl" w:eastAsia="es-ES"/>
        </w:rPr>
        <w:t xml:space="preserve"> recurso de revisión indicado al rubro; esto es, aparte del registro en el que la Unidad de Transparencia </w:t>
      </w:r>
      <w:r w:rsidR="00B027AB">
        <w:rPr>
          <w:rFonts w:ascii="Palatino Linotype" w:eastAsiaTheme="minorEastAsia" w:hAnsi="Palatino Linotype" w:cs="Arial"/>
          <w:color w:val="000000" w:themeColor="text1"/>
          <w:sz w:val="24"/>
          <w:szCs w:val="24"/>
          <w:lang w:val="es-ES_tradnl" w:eastAsia="es-ES"/>
        </w:rPr>
        <w:t>debiera haber</w:t>
      </w:r>
      <w:r w:rsidR="00542149">
        <w:rPr>
          <w:rFonts w:ascii="Palatino Linotype" w:eastAsiaTheme="minorEastAsia" w:hAnsi="Palatino Linotype" w:cs="Arial"/>
          <w:color w:val="000000" w:themeColor="text1"/>
          <w:sz w:val="24"/>
          <w:szCs w:val="24"/>
          <w:lang w:val="es-ES_tradnl" w:eastAsia="es-ES"/>
        </w:rPr>
        <w:t xml:space="preserve"> presentado la respuesta, </w:t>
      </w:r>
      <w:r w:rsidR="00B027AB">
        <w:rPr>
          <w:rFonts w:ascii="Palatino Linotype" w:eastAsiaTheme="minorEastAsia" w:hAnsi="Palatino Linotype" w:cs="Arial"/>
          <w:color w:val="000000" w:themeColor="text1"/>
          <w:sz w:val="24"/>
          <w:szCs w:val="24"/>
          <w:lang w:val="es-ES_tradnl" w:eastAsia="es-ES"/>
        </w:rPr>
        <w:t>tampoco</w:t>
      </w:r>
      <w:r w:rsidR="00542149">
        <w:rPr>
          <w:rFonts w:ascii="Palatino Linotype" w:eastAsiaTheme="minorEastAsia" w:hAnsi="Palatino Linotype" w:cs="Arial"/>
          <w:color w:val="000000" w:themeColor="text1"/>
          <w:sz w:val="24"/>
          <w:szCs w:val="24"/>
          <w:lang w:val="es-ES_tradnl" w:eastAsia="es-ES"/>
        </w:rPr>
        <w:t xml:space="preserve"> aparece el relacionado a los turnos realizados en cumplimiento con lo dispuesto por los artículos 53, fracciones II y IV, y 162 de la Ley de Transparencia y Acceso a la Información Pública del Estado de México y Municipios,</w:t>
      </w:r>
      <w:r w:rsidRPr="000B7060">
        <w:rPr>
          <w:rFonts w:ascii="Palatino Linotype" w:eastAsiaTheme="minorEastAsia" w:hAnsi="Palatino Linotype" w:cs="Arial"/>
          <w:color w:val="000000" w:themeColor="text1"/>
          <w:sz w:val="24"/>
          <w:szCs w:val="24"/>
          <w:lang w:val="es-ES_tradnl" w:eastAsia="es-ES"/>
        </w:rPr>
        <w:t xml:space="preserve"> </w:t>
      </w:r>
      <w:r w:rsidR="00542149">
        <w:rPr>
          <w:rFonts w:ascii="Palatino Linotype" w:eastAsiaTheme="minorEastAsia" w:hAnsi="Palatino Linotype" w:cs="Arial"/>
          <w:color w:val="000000" w:themeColor="text1"/>
          <w:sz w:val="24"/>
          <w:szCs w:val="24"/>
          <w:lang w:val="es-ES_tradnl" w:eastAsia="es-ES"/>
        </w:rPr>
        <w:t xml:space="preserve">tal </w:t>
      </w:r>
      <w:r w:rsidRPr="000B7060">
        <w:rPr>
          <w:rFonts w:ascii="Palatino Linotype" w:eastAsiaTheme="minorEastAsia" w:hAnsi="Palatino Linotype" w:cs="Arial"/>
          <w:color w:val="000000" w:themeColor="text1"/>
          <w:sz w:val="24"/>
          <w:szCs w:val="24"/>
          <w:lang w:val="es-ES_tradnl" w:eastAsia="es-ES"/>
        </w:rPr>
        <w:t xml:space="preserve">como se aprecia en la </w:t>
      </w:r>
      <w:r w:rsidR="00542149">
        <w:rPr>
          <w:rFonts w:ascii="Palatino Linotype" w:eastAsiaTheme="minorEastAsia" w:hAnsi="Palatino Linotype" w:cs="Arial"/>
          <w:color w:val="000000" w:themeColor="text1"/>
          <w:sz w:val="24"/>
          <w:szCs w:val="24"/>
          <w:lang w:val="es-ES_tradnl" w:eastAsia="es-ES"/>
        </w:rPr>
        <w:t>imagen</w:t>
      </w:r>
      <w:r w:rsidRPr="000B7060">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01B965F" w14:textId="2F01C0E0" w:rsidR="00B027AB" w:rsidRDefault="006761F3" w:rsidP="006761F3">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object w:dxaOrig="14640" w:dyaOrig="4050" w14:anchorId="280B49C1">
          <v:shape id="_x0000_i1027" type="#_x0000_t75" style="width:384.7pt;height:106.4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7" DrawAspect="Content" ObjectID="_1706969491" r:id="rId12"/>
        </w:object>
      </w:r>
    </w:p>
    <w:p w14:paraId="715130D5" w14:textId="77777777" w:rsidR="006761F3" w:rsidRDefault="006761F3" w:rsidP="006761F3">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52CB44F4"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FF48A3">
        <w:rPr>
          <w:rFonts w:ascii="Palatino Linotype" w:eastAsiaTheme="minorEastAsia" w:hAnsi="Palatino Linotype" w:cs="Arial"/>
          <w:color w:val="000000" w:themeColor="text1"/>
          <w:sz w:val="24"/>
          <w:szCs w:val="24"/>
          <w:lang w:val="es-ES_tradnl" w:eastAsia="es-ES"/>
        </w:rPr>
        <w:t>Ayuntamiento de Zacazonapan</w:t>
      </w:r>
      <w:r w:rsidRPr="008E22AA">
        <w:rPr>
          <w:rFonts w:ascii="Palatino Linotype" w:eastAsiaTheme="minorEastAsia" w:hAnsi="Palatino Linotype" w:cs="Arial"/>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006761F3">
        <w:rPr>
          <w:rFonts w:ascii="Palatino Linotype" w:eastAsiaTheme="minorEastAsia" w:hAnsi="Palatino Linotype" w:cs="Arial"/>
          <w:color w:val="000000" w:themeColor="text1"/>
          <w:sz w:val="24"/>
          <w:szCs w:val="24"/>
          <w:lang w:val="es-ES_tradnl" w:eastAsia="es-ES"/>
        </w:rPr>
        <w:t>,</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w:t>
      </w:r>
      <w:r w:rsidRPr="008E22AA">
        <w:rPr>
          <w:rFonts w:ascii="Palatino Linotype" w:eastAsiaTheme="minorEastAsia" w:hAnsi="Palatino Linotype" w:cs="Arial"/>
          <w:color w:val="000000" w:themeColor="text1"/>
          <w:sz w:val="24"/>
          <w:szCs w:val="24"/>
          <w:lang w:val="es-ES_tradnl" w:eastAsia="es-ES"/>
        </w:rPr>
        <w:lastRenderedPageBreak/>
        <w:t xml:space="preserve">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4" w:name="_Toc86342701"/>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4"/>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20396AC1"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w:t>
      </w:r>
      <w:r w:rsidR="008D6560">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obrar datos person</w:t>
      </w:r>
      <w:r w:rsidR="008D6560">
        <w:rPr>
          <w:rFonts w:ascii="Palatino Linotype" w:eastAsiaTheme="minorEastAsia" w:hAnsi="Palatino Linotype" w:cs="Arial"/>
          <w:color w:val="000000" w:themeColor="text1"/>
          <w:sz w:val="24"/>
          <w:szCs w:val="24"/>
          <w:lang w:val="es-ES_tradnl" w:eastAsia="es-ES"/>
        </w:rPr>
        <w:t>ales susceptibles de protegerse</w:t>
      </w:r>
      <w:r w:rsidR="008531D3">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w:t>
      </w:r>
      <w:r w:rsidR="006761F3">
        <w:rPr>
          <w:rFonts w:ascii="Palatino Linotype" w:eastAsiaTheme="minorEastAsia" w:hAnsi="Palatino Linotype" w:cs="Arial"/>
          <w:color w:val="000000" w:themeColor="text1"/>
          <w:sz w:val="24"/>
          <w:szCs w:val="24"/>
          <w:lang w:val="es-ES_tradnl" w:eastAsia="es-ES"/>
        </w:rPr>
        <w:t xml:space="preserve"> o los</w:t>
      </w:r>
      <w:r w:rsidRPr="00486BDF">
        <w:rPr>
          <w:rFonts w:ascii="Palatino Linotype" w:eastAsiaTheme="minorEastAsia" w:hAnsi="Palatino Linotype" w:cs="Arial"/>
          <w:color w:val="000000" w:themeColor="text1"/>
          <w:sz w:val="24"/>
          <w:szCs w:val="24"/>
          <w:lang w:val="es-ES_tradnl" w:eastAsia="es-ES"/>
        </w:rPr>
        <w:t xml:space="preserve"> documento</w:t>
      </w:r>
      <w:r w:rsidR="006761F3">
        <w:rPr>
          <w:rFonts w:ascii="Palatino Linotype" w:eastAsiaTheme="minorEastAsia" w:hAnsi="Palatino Linotype" w:cs="Arial"/>
          <w:color w:val="000000" w:themeColor="text1"/>
          <w:sz w:val="24"/>
          <w:szCs w:val="24"/>
          <w:lang w:val="es-ES_tradnl" w:eastAsia="es-ES"/>
        </w:rPr>
        <w:t>s</w:t>
      </w:r>
      <w:r w:rsidRPr="00486BDF">
        <w:rPr>
          <w:rFonts w:ascii="Palatino Linotype" w:eastAsiaTheme="minorEastAsia" w:hAnsi="Palatino Linotype" w:cs="Arial"/>
          <w:color w:val="000000" w:themeColor="text1"/>
          <w:sz w:val="24"/>
          <w:szCs w:val="24"/>
          <w:lang w:val="es-ES_tradnl" w:eastAsia="es-ES"/>
        </w:rPr>
        <w:t xml:space="preserve">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Pr="00486BDF">
        <w:rPr>
          <w:rFonts w:ascii="Palatino Linotype" w:eastAsia="Calibri" w:hAnsi="Palatino Linotype" w:cs="Arial"/>
          <w:color w:val="000000" w:themeColor="text1"/>
          <w:sz w:val="24"/>
          <w:szCs w:val="24"/>
          <w:lang w:val="es-ES" w:eastAsia="es-MX"/>
        </w:rPr>
        <w:lastRenderedPageBreak/>
        <w:t>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486BDF">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486BDF">
        <w:rPr>
          <w:rFonts w:ascii="Palatino Linotype" w:eastAsiaTheme="minorEastAsia" w:hAnsi="Palatino Linotype"/>
          <w:color w:val="000000" w:themeColor="text1"/>
          <w:sz w:val="24"/>
          <w:szCs w:val="24"/>
          <w:lang w:val="es-ES_tradnl" w:eastAsia="es-ES"/>
        </w:rPr>
        <w:lastRenderedPageBreak/>
        <w:t>años desde la entrada en vigor de la Ley General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w:t>
      </w:r>
      <w:r w:rsidR="00486BDF" w:rsidRPr="000F204F">
        <w:rPr>
          <w:rFonts w:ascii="Palatino Linotype" w:eastAsiaTheme="minorEastAsia" w:hAnsi="Palatino Linotype" w:cs="Bookman Old Style"/>
          <w:i/>
          <w:iCs/>
          <w:color w:val="000000" w:themeColor="text1"/>
          <w:lang w:val="es-ES_tradnl" w:eastAsia="es-ES"/>
        </w:rPr>
        <w:lastRenderedPageBreak/>
        <w:t xml:space="preserve">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BF7585">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BF7585">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BF7585">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 xml:space="preserve">III. Se trate de delitos de lesa humanidad conforme a los tratados ratificados por el Senado de la República, las resoluciones emitidas por organismos </w:t>
      </w:r>
      <w:r w:rsidRPr="000F204F">
        <w:rPr>
          <w:rFonts w:ascii="Palatino Linotype" w:eastAsia="Times New Roman" w:hAnsi="Palatino Linotype" w:cs="Times New Roman"/>
          <w:b/>
          <w:i/>
          <w:iCs/>
          <w:color w:val="000000" w:themeColor="text1"/>
          <w:lang w:val="es-ES" w:eastAsia="es-ES"/>
        </w:rPr>
        <w:lastRenderedPageBreak/>
        <w:t>internacionales cuya competencia sea reconocida por el Estado Mexicano, así como en las disposiciones jurídicas aplicables; y</w:t>
      </w:r>
    </w:p>
    <w:p w14:paraId="78A43CA1" w14:textId="429F10ED" w:rsidR="00486BDF" w:rsidRPr="000F204F" w:rsidRDefault="00486BDF" w:rsidP="00BF7585">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486BD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486BDF">
        <w:rPr>
          <w:rFonts w:ascii="Palatino Linotype" w:eastAsiaTheme="minorEastAsia" w:hAnsi="Palatino Linotype" w:cs="Arial"/>
          <w:color w:val="000000" w:themeColor="text1"/>
          <w:sz w:val="24"/>
          <w:szCs w:val="24"/>
          <w:lang w:val="es-ES_tradnl" w:eastAsia="es-ES"/>
        </w:rPr>
        <w:lastRenderedPageBreak/>
        <w:t>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BE13A0">
        <w:rPr>
          <w:rFonts w:ascii="Palatino Linotype" w:eastAsia="Times New Roman" w:hAnsi="Palatino Linotype" w:cs="Arial"/>
          <w:i/>
          <w:iCs/>
          <w:color w:val="000000" w:themeColor="text1"/>
          <w:sz w:val="24"/>
          <w:szCs w:val="24"/>
          <w:lang w:val="es-ES_tradnl" w:eastAsia="es-MX"/>
        </w:rPr>
        <w:lastRenderedPageBreak/>
        <w:t>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486BDF">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BF7585">
        <w:rPr>
          <w:rFonts w:ascii="Palatino Linotype" w:eastAsia="Times New Roman" w:hAnsi="Palatino Linotype" w:cs="Arial"/>
          <w:b/>
          <w:color w:val="000000" w:themeColor="text1"/>
          <w:sz w:val="24"/>
          <w:szCs w:val="24"/>
          <w:lang w:val="es-ES_tradnl" w:eastAsia="es-MX"/>
        </w:rPr>
        <w:t>nómina general</w:t>
      </w:r>
      <w:r w:rsidRPr="00486BDF">
        <w:rPr>
          <w:rFonts w:ascii="Palatino Linotype" w:eastAsia="Times New Roman" w:hAnsi="Palatino Linotype" w:cs="Arial"/>
          <w:color w:val="000000" w:themeColor="text1"/>
          <w:sz w:val="24"/>
          <w:szCs w:val="24"/>
          <w:lang w:val="es-ES_tradnl" w:eastAsia="es-MX"/>
        </w:rPr>
        <w:t>,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w:t>
      </w:r>
      <w:r w:rsidRPr="00486BDF">
        <w:rPr>
          <w:rFonts w:ascii="Palatino Linotype" w:hAnsi="Palatino Linotype" w:cs="Times New Roman"/>
          <w:color w:val="000000" w:themeColor="text1"/>
          <w:sz w:val="24"/>
          <w:szCs w:val="24"/>
          <w:lang w:val="es-ES_tradnl" w:eastAsia="es-ES_tradnl"/>
        </w:rPr>
        <w:lastRenderedPageBreak/>
        <w:t>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3"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Y, por último,  que la limitación es acorde con el principio de proporcionalidad, para ello, se sugiere emplear los tres juicios propuestos por la Corte Constitucional </w:t>
      </w:r>
      <w:r w:rsidRPr="00486BDF">
        <w:rPr>
          <w:rFonts w:ascii="Palatino Linotype" w:eastAsiaTheme="minorEastAsia" w:hAnsi="Palatino Linotype"/>
          <w:color w:val="000000" w:themeColor="text1"/>
          <w:sz w:val="24"/>
          <w:szCs w:val="24"/>
          <w:lang w:val="es-ES_tradnl" w:eastAsia="es-ES"/>
        </w:rPr>
        <w:lastRenderedPageBreak/>
        <w:t>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petrificarse su </w:t>
      </w:r>
      <w:r w:rsidRPr="00486BDF">
        <w:rPr>
          <w:rFonts w:ascii="Palatino Linotype" w:eastAsiaTheme="minorEastAsia" w:hAnsi="Palatino Linotype"/>
          <w:color w:val="000000" w:themeColor="text1"/>
          <w:sz w:val="24"/>
          <w:szCs w:val="24"/>
          <w:lang w:val="es-ES_tradnl" w:eastAsia="es-ES"/>
        </w:rPr>
        <w:lastRenderedPageBreak/>
        <w:t>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w:t>
      </w:r>
      <w:r w:rsidRPr="00486BDF">
        <w:rPr>
          <w:rFonts w:ascii="Palatino Linotype" w:eastAsiaTheme="minorEastAsia" w:hAnsi="Palatino Linotype"/>
          <w:color w:val="000000" w:themeColor="text1"/>
          <w:sz w:val="24"/>
          <w:szCs w:val="24"/>
          <w:lang w:val="es-ES_tradnl" w:eastAsia="es-ES"/>
        </w:rPr>
        <w:lastRenderedPageBreak/>
        <w:t xml:space="preserve">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486BDF">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w:t>
            </w:r>
            <w:r w:rsidRPr="00A0547A">
              <w:rPr>
                <w:rFonts w:ascii="Palatino Linotype" w:hAnsi="Palatino Linotype"/>
                <w:color w:val="000000" w:themeColor="text1"/>
                <w:sz w:val="20"/>
                <w:szCs w:val="20"/>
              </w:rPr>
              <w:lastRenderedPageBreak/>
              <w:t xml:space="preserve">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No puede clasificarse como información </w:t>
            </w:r>
            <w:r w:rsidRPr="00A0547A">
              <w:rPr>
                <w:rFonts w:ascii="Palatino Linotype" w:hAnsi="Palatino Linotype"/>
                <w:color w:val="000000" w:themeColor="text1"/>
                <w:sz w:val="20"/>
                <w:szCs w:val="20"/>
              </w:rPr>
              <w:lastRenderedPageBreak/>
              <w:t>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Delitos de lessa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w:t>
            </w:r>
            <w:r w:rsidRPr="00A0547A">
              <w:rPr>
                <w:rFonts w:ascii="Palatino Linotype" w:hAnsi="Palatino Linotype"/>
                <w:color w:val="000000" w:themeColor="text1"/>
                <w:sz w:val="20"/>
                <w:szCs w:val="20"/>
              </w:rPr>
              <w:lastRenderedPageBreak/>
              <w:t xml:space="preserve">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486BD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2E8FDBBC"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revisión </w:t>
      </w:r>
      <w:r w:rsidR="00FF48A3">
        <w:rPr>
          <w:rFonts w:ascii="Palatino Linotype" w:eastAsia="Times New Roman" w:hAnsi="Palatino Linotype" w:cs="Arial"/>
          <w:b/>
          <w:bCs/>
          <w:sz w:val="24"/>
          <w:szCs w:val="24"/>
          <w:lang w:val="es-ES_tradnl" w:eastAsia="es-ES"/>
        </w:rPr>
        <w:t>05588/INFOEM/IP/RR/2021</w:t>
      </w:r>
      <w:r w:rsidR="00125BDA">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Pr>
          <w:rFonts w:ascii="Palatino Linotype" w:eastAsiaTheme="minorEastAsia" w:hAnsi="Palatino Linotype" w:cs="Arial"/>
          <w:b/>
          <w:bCs/>
          <w:sz w:val="24"/>
          <w:szCs w:val="24"/>
          <w:lang w:val="es-ES_tradnl" w:eastAsia="es-MX"/>
        </w:rPr>
        <w:t>CUARTO</w:t>
      </w:r>
      <w:r w:rsidRPr="00486BDF">
        <w:rPr>
          <w:rFonts w:ascii="Palatino Linotype" w:eastAsiaTheme="minorEastAsia" w:hAnsi="Palatino Linotype" w:cs="Arial"/>
          <w:b/>
          <w:bCs/>
          <w:sz w:val="24"/>
          <w:szCs w:val="24"/>
          <w:lang w:val="es-ES_tradnl" w:eastAsia="es-MX"/>
        </w:rPr>
        <w:t xml:space="preserve"> </w:t>
      </w:r>
      <w:r w:rsidRPr="00486BDF">
        <w:rPr>
          <w:rFonts w:ascii="Palatino Linotype" w:eastAsiaTheme="minorEastAsia" w:hAnsi="Palatino Linotype" w:cs="Arial"/>
          <w:bCs/>
          <w:sz w:val="24"/>
          <w:szCs w:val="24"/>
          <w:lang w:val="es-ES_tradnl" w:eastAsia="es-MX"/>
        </w:rPr>
        <w:t>de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41B1694E"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 xml:space="preserve">al </w:t>
      </w:r>
      <w:r w:rsidR="00FF48A3">
        <w:rPr>
          <w:rFonts w:ascii="Palatino Linotype" w:eastAsia="Calibri" w:hAnsi="Palatino Linotype" w:cs="Arial"/>
          <w:b/>
          <w:bCs/>
          <w:sz w:val="24"/>
          <w:szCs w:val="24"/>
          <w:lang w:val="es-ES_tradnl" w:eastAsia="es-ES"/>
        </w:rPr>
        <w:t>Ayuntamiento de Zacazonapan</w:t>
      </w:r>
      <w:r w:rsidRPr="00486BDF">
        <w:rPr>
          <w:rFonts w:ascii="Palatino Linotype" w:eastAsia="Calibri" w:hAnsi="Palatino Linotype" w:cs="Arial"/>
          <w:b/>
          <w:bCs/>
          <w:sz w:val="24"/>
          <w:szCs w:val="24"/>
          <w:lang w:val="es-ES_tradnl" w:eastAsia="es-ES"/>
        </w:rPr>
        <w:t xml:space="preserve"> </w:t>
      </w:r>
      <w:r w:rsidRPr="00486BDF">
        <w:rPr>
          <w:rFonts w:ascii="Palatino Linotype" w:eastAsia="Calibri" w:hAnsi="Palatino Linotype" w:cs="Arial"/>
          <w:sz w:val="24"/>
          <w:szCs w:val="24"/>
          <w:lang w:val="es-ES" w:eastAsia="es-ES"/>
        </w:rPr>
        <w:t>dar atención a la solicitud de información</w:t>
      </w:r>
      <w:r w:rsidRPr="00486BDF">
        <w:t xml:space="preserve"> </w:t>
      </w:r>
      <w:r w:rsidR="00FF48A3">
        <w:rPr>
          <w:rFonts w:ascii="Palatino Linotype" w:eastAsia="Calibri" w:hAnsi="Palatino Linotype" w:cs="Arial"/>
          <w:b/>
          <w:sz w:val="24"/>
          <w:szCs w:val="24"/>
          <w:lang w:val="es-ES" w:eastAsia="es-ES"/>
        </w:rPr>
        <w:t>00094/ZACAZONA/IP/2021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339074E7"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 xml:space="preserve">al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w:t>
      </w:r>
      <w:r w:rsidR="00C701B7">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último párrafo, 189</w:t>
      </w:r>
      <w:r w:rsidR="00C701B7">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párrafo segundo</w:t>
      </w:r>
      <w:r w:rsidR="00C701B7">
        <w:rPr>
          <w:rFonts w:ascii="Palatino Linotype" w:eastAsia="Palatino Linotype" w:hAnsi="Palatino Linotype" w:cs="Palatino Linotype"/>
          <w:sz w:val="24"/>
          <w:szCs w:val="24"/>
          <w:lang w:val="es-ES_tradnl" w:eastAsia="es-ES"/>
        </w:rPr>
        <w:t>,</w:t>
      </w:r>
      <w:r w:rsidRPr="00486BD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486BDF">
        <w:rPr>
          <w:rFonts w:ascii="Palatino Linotype" w:eastAsia="MS Mincho" w:hAnsi="Palatino Linotype" w:cs="Times New Roman"/>
          <w:sz w:val="24"/>
          <w:szCs w:val="24"/>
          <w:lang w:val="es-ES" w:eastAsia="es-ES"/>
        </w:rPr>
        <w:lastRenderedPageBreak/>
        <w:t>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bookmarkEnd w:id="77"/>
    <w:bookmarkEnd w:id="78"/>
    <w:bookmarkEnd w:id="79"/>
    <w:bookmarkEnd w:id="80"/>
    <w:bookmarkEnd w:id="81"/>
    <w:bookmarkEnd w:id="82"/>
    <w:bookmarkEnd w:id="84"/>
    <w:p w14:paraId="7F5FD719" w14:textId="77777777" w:rsidR="00920F90" w:rsidRDefault="00920F90" w:rsidP="00920F90">
      <w:pPr>
        <w:spacing w:before="240" w:after="360" w:line="360" w:lineRule="auto"/>
        <w:jc w:val="both"/>
        <w:rPr>
          <w:rFonts w:ascii="Palatino Linotype" w:hAnsi="Palatino Linotype"/>
          <w:color w:val="222222"/>
          <w:sz w:val="24"/>
          <w:szCs w:val="24"/>
          <w:lang w:val="es-ES" w:eastAsia="es-MX"/>
        </w:rPr>
      </w:pPr>
      <w:r>
        <w:rPr>
          <w:rFonts w:ascii="Palatino Linotype" w:hAnsi="Palatino Linotype"/>
          <w:sz w:val="24"/>
          <w:szCs w:val="24"/>
          <w:lang w:val="es-ES_tradnl"/>
        </w:rPr>
        <w:t xml:space="preserve">ASÍ LO RESUELVE, POR UNANIMIDAD DE VOTOS, EL PLENO DEL INSTITUTO DE TRANSPARENCIA, ACCESO A LA INFORMACIÓN PÚBLICA Y PROTECCIÓN DE DATOS PERSONALES DEL ESTADO DE MÉXICO Y </w:t>
      </w:r>
      <w:r>
        <w:rPr>
          <w:rFonts w:ascii="Palatino Linotype" w:hAnsi="Palatino Linotype"/>
          <w:sz w:val="24"/>
          <w:szCs w:val="24"/>
          <w:lang w:val="es-ES_tradnl"/>
        </w:rPr>
        <w:lastRenderedPageBreak/>
        <w:t>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1393AC75" w14:textId="2E18902D" w:rsidR="0091719C" w:rsidRDefault="0091719C" w:rsidP="00920F90">
      <w:pPr>
        <w:pStyle w:val="Prrafodelista"/>
        <w:spacing w:line="360" w:lineRule="auto"/>
        <w:ind w:left="0"/>
        <w:jc w:val="both"/>
        <w:rPr>
          <w:rFonts w:ascii="Palatino Linotype" w:hAnsi="Palatino Linotype"/>
        </w:rPr>
      </w:pPr>
    </w:p>
    <w:sectPr w:rsidR="0091719C" w:rsidSect="00F22825">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DF0F" w14:textId="77777777" w:rsidR="00CD5890" w:rsidRDefault="00CD5890" w:rsidP="00486BDF">
      <w:pPr>
        <w:spacing w:after="0" w:line="240" w:lineRule="auto"/>
      </w:pPr>
      <w:r>
        <w:separator/>
      </w:r>
    </w:p>
  </w:endnote>
  <w:endnote w:type="continuationSeparator" w:id="0">
    <w:p w14:paraId="08C55C01" w14:textId="77777777" w:rsidR="00CD5890" w:rsidRDefault="00CD5890"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FF48A3" w:rsidRPr="00883450" w:rsidRDefault="00FF48A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0F90">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0F90">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053A79F8" w14:textId="77777777" w:rsidR="00FF48A3" w:rsidRDefault="00FF48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77777777" w:rsidR="00FF48A3" w:rsidRPr="00883450" w:rsidRDefault="00FF48A3"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0F90" w:rsidRPr="00920F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0F90" w:rsidRPr="00920F90">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F694" w14:textId="77777777" w:rsidR="00CD5890" w:rsidRDefault="00CD5890" w:rsidP="00486BDF">
      <w:pPr>
        <w:spacing w:after="0" w:line="240" w:lineRule="auto"/>
      </w:pPr>
      <w:r>
        <w:separator/>
      </w:r>
    </w:p>
  </w:footnote>
  <w:footnote w:type="continuationSeparator" w:id="0">
    <w:p w14:paraId="4CDD48EF" w14:textId="77777777" w:rsidR="00CD5890" w:rsidRDefault="00CD5890" w:rsidP="00486BDF">
      <w:pPr>
        <w:spacing w:after="0" w:line="240" w:lineRule="auto"/>
      </w:pPr>
      <w:r>
        <w:continuationSeparator/>
      </w:r>
    </w:p>
  </w:footnote>
  <w:footnote w:id="1">
    <w:p w14:paraId="19D69F45" w14:textId="77777777" w:rsidR="00FF48A3" w:rsidRDefault="00FF48A3" w:rsidP="00486BDF">
      <w:pPr>
        <w:pStyle w:val="Textonotapie"/>
      </w:pPr>
      <w:r>
        <w:rPr>
          <w:rStyle w:val="Refdenotaalpie"/>
        </w:rPr>
        <w:footnoteRef/>
      </w:r>
      <w:r>
        <w:t xml:space="preserve"> Convención Americana sobre Derechos Humanos. Artículo 13.</w:t>
      </w:r>
    </w:p>
  </w:footnote>
  <w:footnote w:id="2">
    <w:p w14:paraId="59A8D57C" w14:textId="77777777" w:rsidR="00FF48A3" w:rsidRDefault="00FF48A3"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FF48A3" w:rsidRDefault="00FF48A3"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FF48A3" w:rsidRDefault="00FF48A3" w:rsidP="00486BDF">
      <w:pPr>
        <w:pStyle w:val="Textonotapie"/>
      </w:pPr>
      <w:r>
        <w:rPr>
          <w:rStyle w:val="Refdenotaalpie"/>
        </w:rPr>
        <w:footnoteRef/>
      </w:r>
      <w:r>
        <w:t xml:space="preserve"> Ibídem. Parr. 87.</w:t>
      </w:r>
    </w:p>
  </w:footnote>
  <w:footnote w:id="5">
    <w:p w14:paraId="42380CCF" w14:textId="77777777" w:rsidR="00FF48A3" w:rsidRDefault="00FF48A3"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FF48A3" w:rsidRPr="00985DD4" w:rsidRDefault="00FF48A3"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FF48A3" w:rsidRPr="00985DD4" w:rsidRDefault="00FF48A3"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FF48A3" w:rsidRPr="00BE13A0" w:rsidRDefault="00FF48A3"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FF48A3" w:rsidRPr="00985DD4" w:rsidRDefault="00FF48A3"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FF48A3" w:rsidRDefault="00FF48A3"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FF48A3" w:rsidRPr="00266430" w:rsidRDefault="00FF48A3"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FF48A3" w:rsidRPr="00A870EF" w:rsidRDefault="00FF48A3"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FF48A3" w:rsidRDefault="00FF48A3"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FF48A3" w:rsidRDefault="00FF48A3"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FF48A3" w:rsidRPr="001E1F95" w:rsidRDefault="00FF48A3"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FF48A3" w:rsidRPr="007F43A5" w:rsidRDefault="00FF48A3"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FF48A3" w:rsidRPr="0037004E" w:rsidRDefault="00FF48A3"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FF48A3" w:rsidRDefault="00FF48A3" w:rsidP="00A0547A">
      <w:pPr>
        <w:pStyle w:val="Textonotapie"/>
      </w:pPr>
    </w:p>
  </w:footnote>
  <w:footnote w:id="13">
    <w:p w14:paraId="623E072A" w14:textId="77777777" w:rsidR="00FF48A3" w:rsidRDefault="00FF48A3" w:rsidP="00486BDF">
      <w:pPr>
        <w:pStyle w:val="Textonotapie"/>
        <w:jc w:val="both"/>
      </w:pPr>
      <w:r>
        <w:rPr>
          <w:rStyle w:val="Refdenotaalpie"/>
        </w:rPr>
        <w:footnoteRef/>
      </w:r>
      <w:r>
        <w:t xml:space="preserve"> Artículo 3. Para los efectos de la presente Ley se entenderá por:</w:t>
      </w:r>
    </w:p>
    <w:p w14:paraId="00A5B5F2" w14:textId="77777777" w:rsidR="00FF48A3" w:rsidRDefault="00FF48A3" w:rsidP="00486BDF">
      <w:pPr>
        <w:pStyle w:val="Textonotapie"/>
        <w:jc w:val="both"/>
      </w:pPr>
      <w:r>
        <w:t xml:space="preserve"> (…)</w:t>
      </w:r>
    </w:p>
    <w:p w14:paraId="7041B6AA" w14:textId="77777777" w:rsidR="00FF48A3" w:rsidRDefault="00FF48A3"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FF48A3" w:rsidRPr="00ED2A04" w:rsidRDefault="00FF48A3"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FF48A3" w:rsidRPr="00ED2A04" w:rsidRDefault="00FF48A3"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FF48A3" w:rsidRPr="000406A4" w:rsidRDefault="00FF48A3"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FF48A3" w:rsidRPr="000406A4" w:rsidRDefault="00FF48A3"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FF48A3" w:rsidRPr="000406A4" w:rsidRDefault="00FF48A3"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FF48A3" w:rsidRPr="000406A4" w:rsidRDefault="00FF48A3"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FF48A3" w:rsidRPr="000406A4" w:rsidRDefault="00FF48A3"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FF48A3" w:rsidRPr="00042E67" w:rsidRDefault="00FF48A3"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FF48A3" w:rsidRPr="00A4142C" w:rsidRDefault="00FF48A3"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08A2BD67" w:rsidR="00FF48A3" w:rsidRDefault="00CC16A8">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FF48A3" w:rsidRDefault="00FF48A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F48A3" w:rsidRPr="00EF13C1" w14:paraId="5B2A66CD" w14:textId="77777777" w:rsidTr="00F22825">
      <w:trPr>
        <w:trHeight w:val="138"/>
      </w:trPr>
      <w:tc>
        <w:tcPr>
          <w:tcW w:w="2551" w:type="dxa"/>
          <w:vAlign w:val="center"/>
        </w:tcPr>
        <w:p w14:paraId="4CA8291A" w14:textId="13A1BD0C" w:rsidR="00FF48A3" w:rsidRPr="00EF13C1" w:rsidRDefault="00FF48A3"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5207DB96" w:rsidR="00FF48A3" w:rsidRPr="00EF13C1" w:rsidRDefault="00FF48A3" w:rsidP="002817CC">
          <w:pPr>
            <w:pStyle w:val="Encabezado"/>
            <w:rPr>
              <w:rFonts w:ascii="Palatino Linotype" w:hAnsi="Palatino Linotype"/>
              <w:b/>
              <w:sz w:val="22"/>
              <w:szCs w:val="22"/>
            </w:rPr>
          </w:pPr>
          <w:r>
            <w:rPr>
              <w:rFonts w:ascii="Palatino Linotype" w:hAnsi="Palatino Linotype" w:cs="Arial"/>
              <w:b/>
              <w:bCs/>
              <w:lang w:eastAsia="es-MX"/>
            </w:rPr>
            <w:t>05588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F48A3" w:rsidRPr="00EF13C1" w14:paraId="4424EA35" w14:textId="77777777" w:rsidTr="00F22825">
      <w:trPr>
        <w:gridAfter w:val="1"/>
        <w:wAfter w:w="284" w:type="dxa"/>
        <w:trHeight w:val="321"/>
      </w:trPr>
      <w:tc>
        <w:tcPr>
          <w:tcW w:w="2551" w:type="dxa"/>
          <w:vAlign w:val="center"/>
        </w:tcPr>
        <w:p w14:paraId="04B6A82F" w14:textId="4854CB08" w:rsidR="00FF48A3" w:rsidRPr="00EF13C1" w:rsidRDefault="00FF48A3"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378D8816" w:rsidR="00FF48A3" w:rsidRPr="00EF13C1" w:rsidRDefault="00FF48A3" w:rsidP="00FF48A3">
          <w:pPr>
            <w:pStyle w:val="Encabezado"/>
            <w:ind w:right="21"/>
            <w:rPr>
              <w:rFonts w:ascii="Palatino Linotype" w:hAnsi="Palatino Linotype"/>
              <w:b/>
              <w:sz w:val="22"/>
              <w:szCs w:val="22"/>
            </w:rPr>
          </w:pPr>
          <w:r>
            <w:rPr>
              <w:rFonts w:ascii="Palatino Linotype" w:hAnsi="Palatino Linotype"/>
              <w:b/>
              <w:sz w:val="22"/>
              <w:szCs w:val="22"/>
            </w:rPr>
            <w:t>Ayuntamiento de Zacazonapan</w:t>
          </w:r>
        </w:p>
      </w:tc>
    </w:tr>
    <w:tr w:rsidR="00FF48A3" w:rsidRPr="00EF13C1" w14:paraId="2D076407" w14:textId="77777777" w:rsidTr="00F22825">
      <w:trPr>
        <w:trHeight w:val="321"/>
      </w:trPr>
      <w:tc>
        <w:tcPr>
          <w:tcW w:w="2551" w:type="dxa"/>
          <w:vAlign w:val="center"/>
        </w:tcPr>
        <w:p w14:paraId="5739C29A" w14:textId="4B5679B6" w:rsidR="00FF48A3" w:rsidRPr="00EF13C1" w:rsidRDefault="00FF48A3"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FF48A3" w:rsidRPr="00EF13C1" w:rsidRDefault="00FF48A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FF48A3" w:rsidRDefault="00FF48A3" w:rsidP="00F228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1BC3D570" w:rsidR="00FF48A3" w:rsidRDefault="00CC16A8"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FF48A3">
      <w:tab/>
    </w:r>
    <w:r w:rsidR="00FF48A3">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FF48A3" w:rsidRPr="00182113" w14:paraId="3064FEA5" w14:textId="77777777" w:rsidTr="00774C69">
      <w:trPr>
        <w:trHeight w:val="138"/>
      </w:trPr>
      <w:tc>
        <w:tcPr>
          <w:tcW w:w="2552" w:type="dxa"/>
          <w:vAlign w:val="center"/>
        </w:tcPr>
        <w:p w14:paraId="633850BA" w14:textId="3C8C53EA" w:rsidR="00FF48A3" w:rsidRPr="00182113" w:rsidRDefault="00FF48A3"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77B7698A" w:rsidR="00FF48A3" w:rsidRPr="005143E6" w:rsidRDefault="00FF48A3" w:rsidP="00F22825">
          <w:pPr>
            <w:pStyle w:val="Encabezado"/>
            <w:rPr>
              <w:rFonts w:ascii="Palatino Linotype" w:hAnsi="Palatino Linotype" w:cs="Arial"/>
              <w:b/>
              <w:bCs/>
              <w:lang w:eastAsia="es-MX"/>
            </w:rPr>
          </w:pPr>
          <w:r>
            <w:rPr>
              <w:rFonts w:ascii="Palatino Linotype" w:hAnsi="Palatino Linotype" w:cs="Arial"/>
              <w:b/>
              <w:bCs/>
              <w:lang w:eastAsia="es-MX"/>
            </w:rPr>
            <w:t>05588</w:t>
          </w:r>
          <w:r w:rsidRPr="00584F01">
            <w:rPr>
              <w:rFonts w:ascii="Palatino Linotype" w:hAnsi="Palatino Linotype" w:cs="Arial"/>
              <w:b/>
              <w:bCs/>
              <w:lang w:eastAsia="es-MX"/>
            </w:rPr>
            <w:t>/INFOEM/IP/RR/</w:t>
          </w:r>
          <w:r>
            <w:rPr>
              <w:rFonts w:ascii="Palatino Linotype" w:hAnsi="Palatino Linotype" w:cs="Arial"/>
              <w:b/>
              <w:bCs/>
              <w:lang w:eastAsia="es-MX"/>
            </w:rPr>
            <w:t>2021</w:t>
          </w:r>
        </w:p>
      </w:tc>
    </w:tr>
    <w:tr w:rsidR="00FF48A3" w:rsidRPr="00182113" w14:paraId="0C24B249" w14:textId="77777777" w:rsidTr="00774C69">
      <w:trPr>
        <w:trHeight w:val="227"/>
      </w:trPr>
      <w:tc>
        <w:tcPr>
          <w:tcW w:w="2552" w:type="dxa"/>
          <w:vAlign w:val="center"/>
        </w:tcPr>
        <w:p w14:paraId="2D89BC43" w14:textId="77777777" w:rsidR="00FF48A3" w:rsidRPr="00182113" w:rsidRDefault="00FF48A3"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6AEF1C69" w:rsidR="00FF48A3" w:rsidRPr="00182113" w:rsidRDefault="00FF48A3"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FF48A3" w:rsidRPr="00182113" w14:paraId="1558C04F" w14:textId="77777777" w:rsidTr="00774C69">
      <w:trPr>
        <w:trHeight w:val="232"/>
      </w:trPr>
      <w:tc>
        <w:tcPr>
          <w:tcW w:w="2552" w:type="dxa"/>
          <w:vAlign w:val="center"/>
        </w:tcPr>
        <w:p w14:paraId="76D8490C" w14:textId="70C15BD4" w:rsidR="00FF48A3" w:rsidRPr="00182113" w:rsidRDefault="00FF48A3"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0101E4FB" w:rsidR="00FF48A3" w:rsidRPr="00182113" w:rsidRDefault="00FF48A3" w:rsidP="00FF48A3">
          <w:pPr>
            <w:pStyle w:val="Encabezado"/>
            <w:rPr>
              <w:rFonts w:ascii="Palatino Linotype" w:hAnsi="Palatino Linotype"/>
              <w:b/>
              <w:sz w:val="22"/>
              <w:szCs w:val="22"/>
            </w:rPr>
          </w:pPr>
          <w:r>
            <w:rPr>
              <w:rFonts w:ascii="Palatino Linotype" w:hAnsi="Palatino Linotype"/>
              <w:b/>
              <w:sz w:val="22"/>
              <w:szCs w:val="22"/>
            </w:rPr>
            <w:t xml:space="preserve">Ayuntamiento de Zacazonapan </w:t>
          </w:r>
        </w:p>
      </w:tc>
    </w:tr>
    <w:tr w:rsidR="00FF48A3" w:rsidRPr="00182113" w14:paraId="54D82E41" w14:textId="77777777" w:rsidTr="00774C69">
      <w:trPr>
        <w:trHeight w:val="320"/>
      </w:trPr>
      <w:tc>
        <w:tcPr>
          <w:tcW w:w="2552" w:type="dxa"/>
          <w:vAlign w:val="center"/>
        </w:tcPr>
        <w:p w14:paraId="08D64C34" w14:textId="4E51C6A0" w:rsidR="00FF48A3" w:rsidRPr="00182113" w:rsidRDefault="00FF48A3"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FF48A3" w:rsidRPr="00182113" w:rsidRDefault="00FF48A3"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FF48A3" w:rsidRDefault="00FF4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23462"/>
    <w:rsid w:val="0004695F"/>
    <w:rsid w:val="0007641D"/>
    <w:rsid w:val="00083284"/>
    <w:rsid w:val="000A56EF"/>
    <w:rsid w:val="000B7060"/>
    <w:rsid w:val="000D7EB8"/>
    <w:rsid w:val="000F204F"/>
    <w:rsid w:val="00103A6F"/>
    <w:rsid w:val="00117887"/>
    <w:rsid w:val="00125BDA"/>
    <w:rsid w:val="0014704C"/>
    <w:rsid w:val="00155679"/>
    <w:rsid w:val="00162F82"/>
    <w:rsid w:val="001E097F"/>
    <w:rsid w:val="0023468B"/>
    <w:rsid w:val="00241A0A"/>
    <w:rsid w:val="002817CC"/>
    <w:rsid w:val="002971E0"/>
    <w:rsid w:val="002A4288"/>
    <w:rsid w:val="00301682"/>
    <w:rsid w:val="00302EAE"/>
    <w:rsid w:val="00303035"/>
    <w:rsid w:val="003344C1"/>
    <w:rsid w:val="00341569"/>
    <w:rsid w:val="003474C8"/>
    <w:rsid w:val="00354682"/>
    <w:rsid w:val="003708F3"/>
    <w:rsid w:val="003716DC"/>
    <w:rsid w:val="0038172B"/>
    <w:rsid w:val="00393012"/>
    <w:rsid w:val="003A26DD"/>
    <w:rsid w:val="003B5689"/>
    <w:rsid w:val="003E3236"/>
    <w:rsid w:val="004172A9"/>
    <w:rsid w:val="00444BFE"/>
    <w:rsid w:val="0044737D"/>
    <w:rsid w:val="00484317"/>
    <w:rsid w:val="00486BDF"/>
    <w:rsid w:val="004C0A0C"/>
    <w:rsid w:val="004C6D0C"/>
    <w:rsid w:val="00517380"/>
    <w:rsid w:val="005250D4"/>
    <w:rsid w:val="00542149"/>
    <w:rsid w:val="006337C7"/>
    <w:rsid w:val="0064144C"/>
    <w:rsid w:val="006761F3"/>
    <w:rsid w:val="006B40C2"/>
    <w:rsid w:val="00711549"/>
    <w:rsid w:val="00774C69"/>
    <w:rsid w:val="007B5D7D"/>
    <w:rsid w:val="00827222"/>
    <w:rsid w:val="00833A39"/>
    <w:rsid w:val="008531D3"/>
    <w:rsid w:val="00872095"/>
    <w:rsid w:val="008907D9"/>
    <w:rsid w:val="008B07F1"/>
    <w:rsid w:val="008B41FD"/>
    <w:rsid w:val="008D6560"/>
    <w:rsid w:val="008E22AA"/>
    <w:rsid w:val="008E52FD"/>
    <w:rsid w:val="008F1AEF"/>
    <w:rsid w:val="0091719C"/>
    <w:rsid w:val="00920F90"/>
    <w:rsid w:val="009A1133"/>
    <w:rsid w:val="009B75E0"/>
    <w:rsid w:val="00A0547A"/>
    <w:rsid w:val="00A06942"/>
    <w:rsid w:val="00A25D47"/>
    <w:rsid w:val="00A66489"/>
    <w:rsid w:val="00AA0CCF"/>
    <w:rsid w:val="00AC16B6"/>
    <w:rsid w:val="00B027AB"/>
    <w:rsid w:val="00B375ED"/>
    <w:rsid w:val="00B80B04"/>
    <w:rsid w:val="00B95853"/>
    <w:rsid w:val="00BA6FF7"/>
    <w:rsid w:val="00BE0E88"/>
    <w:rsid w:val="00BE13A0"/>
    <w:rsid w:val="00BF7585"/>
    <w:rsid w:val="00C2378A"/>
    <w:rsid w:val="00C53F46"/>
    <w:rsid w:val="00C701B7"/>
    <w:rsid w:val="00C854E4"/>
    <w:rsid w:val="00CB04BC"/>
    <w:rsid w:val="00CC16A8"/>
    <w:rsid w:val="00CD5890"/>
    <w:rsid w:val="00CF400D"/>
    <w:rsid w:val="00D168B8"/>
    <w:rsid w:val="00D24206"/>
    <w:rsid w:val="00D329B2"/>
    <w:rsid w:val="00D629E9"/>
    <w:rsid w:val="00D639D6"/>
    <w:rsid w:val="00D679F5"/>
    <w:rsid w:val="00D736C5"/>
    <w:rsid w:val="00DA5C03"/>
    <w:rsid w:val="00DB3790"/>
    <w:rsid w:val="00DD06D8"/>
    <w:rsid w:val="00E00C8B"/>
    <w:rsid w:val="00E1488A"/>
    <w:rsid w:val="00E4235F"/>
    <w:rsid w:val="00E50FB1"/>
    <w:rsid w:val="00E548D7"/>
    <w:rsid w:val="00E95393"/>
    <w:rsid w:val="00EA0691"/>
    <w:rsid w:val="00EC3E55"/>
    <w:rsid w:val="00ED6CBD"/>
    <w:rsid w:val="00EF1F84"/>
    <w:rsid w:val="00F22825"/>
    <w:rsid w:val="00F271E0"/>
    <w:rsid w:val="00F3730A"/>
    <w:rsid w:val="00F553FA"/>
    <w:rsid w:val="00F625BD"/>
    <w:rsid w:val="00F627EC"/>
    <w:rsid w:val="00F62A24"/>
    <w:rsid w:val="00F915D9"/>
    <w:rsid w:val="00F92706"/>
    <w:rsid w:val="00FB33FF"/>
    <w:rsid w:val="00FB39DB"/>
    <w:rsid w:val="00FD27E5"/>
    <w:rsid w:val="00FF4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93680195">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475872897">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2E655-12CE-4C76-BD27-778AAEE2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12631</Words>
  <Characters>69472</Characters>
  <Application>Microsoft Office Word</Application>
  <DocSecurity>0</DocSecurity>
  <Lines>578</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Jose Antonio Alarcón Valerio</cp:lastModifiedBy>
  <cp:revision>3</cp:revision>
  <cp:lastPrinted>2020-03-12T23:21:00Z</cp:lastPrinted>
  <dcterms:created xsi:type="dcterms:W3CDTF">2022-02-21T23:22:00Z</dcterms:created>
  <dcterms:modified xsi:type="dcterms:W3CDTF">2022-02-21T23:25:00Z</dcterms:modified>
</cp:coreProperties>
</file>