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FD185" w14:textId="77777777" w:rsidR="004F0F15" w:rsidRPr="002B3420" w:rsidRDefault="004F0F15" w:rsidP="009B438A">
      <w:pPr>
        <w:spacing w:line="360" w:lineRule="auto"/>
        <w:contextualSpacing/>
        <w:jc w:val="both"/>
        <w:rPr>
          <w:rFonts w:ascii="Palatino Linotype" w:hAnsi="Palatino Linotype" w:cs="Tahoma"/>
          <w:bCs/>
          <w:sz w:val="22"/>
          <w:szCs w:val="22"/>
        </w:rPr>
      </w:pPr>
    </w:p>
    <w:p w14:paraId="3F7EC262" w14:textId="37CC9DD7" w:rsidR="004C5F72" w:rsidRPr="002B3420" w:rsidRDefault="004C5F72" w:rsidP="009B438A">
      <w:pPr>
        <w:spacing w:line="360" w:lineRule="auto"/>
        <w:contextualSpacing/>
        <w:jc w:val="both"/>
        <w:rPr>
          <w:rFonts w:ascii="Palatino Linotype" w:hAnsi="Palatino Linotype" w:cs="Tahoma"/>
          <w:sz w:val="22"/>
          <w:szCs w:val="22"/>
        </w:rPr>
      </w:pPr>
      <w:r w:rsidRPr="002B3420">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2B3420" w:rsidRPr="002B3420">
        <w:rPr>
          <w:rFonts w:ascii="Palatino Linotype" w:hAnsi="Palatino Linotype" w:cs="Tahoma"/>
          <w:bCs/>
          <w:sz w:val="22"/>
          <w:szCs w:val="22"/>
        </w:rPr>
        <w:t>diez</w:t>
      </w:r>
      <w:r w:rsidRPr="002B3420">
        <w:rPr>
          <w:rFonts w:ascii="Palatino Linotype" w:hAnsi="Palatino Linotype" w:cs="Tahoma"/>
          <w:bCs/>
          <w:sz w:val="22"/>
          <w:szCs w:val="22"/>
        </w:rPr>
        <w:t xml:space="preserve"> de </w:t>
      </w:r>
      <w:r w:rsidR="004F0F15" w:rsidRPr="002B3420">
        <w:rPr>
          <w:rFonts w:ascii="Palatino Linotype" w:hAnsi="Palatino Linotype" w:cs="Tahoma"/>
          <w:bCs/>
          <w:sz w:val="22"/>
          <w:szCs w:val="22"/>
        </w:rPr>
        <w:t>a</w:t>
      </w:r>
      <w:r w:rsidRPr="002B3420">
        <w:rPr>
          <w:rFonts w:ascii="Palatino Linotype" w:hAnsi="Palatino Linotype" w:cs="Tahoma"/>
          <w:bCs/>
          <w:sz w:val="22"/>
          <w:szCs w:val="22"/>
        </w:rPr>
        <w:t>gosto de dos mil veintidós.</w:t>
      </w:r>
    </w:p>
    <w:p w14:paraId="7CF410ED" w14:textId="77777777" w:rsidR="004C5F72" w:rsidRPr="002B3420" w:rsidRDefault="004C5F72" w:rsidP="009B438A">
      <w:pPr>
        <w:spacing w:line="360" w:lineRule="auto"/>
        <w:contextualSpacing/>
        <w:rPr>
          <w:rFonts w:ascii="Palatino Linotype" w:hAnsi="Palatino Linotype" w:cs="Tahoma"/>
          <w:bCs/>
          <w:sz w:val="22"/>
          <w:szCs w:val="22"/>
        </w:rPr>
      </w:pPr>
    </w:p>
    <w:p w14:paraId="3A3A4072" w14:textId="4333317E" w:rsidR="004C5F72" w:rsidRPr="002B3420" w:rsidRDefault="004C5F72" w:rsidP="009B438A">
      <w:pPr>
        <w:spacing w:line="360" w:lineRule="auto"/>
        <w:contextualSpacing/>
        <w:jc w:val="both"/>
        <w:rPr>
          <w:rFonts w:ascii="Palatino Linotype" w:hAnsi="Palatino Linotype" w:cs="Tahoma"/>
          <w:bCs/>
          <w:sz w:val="22"/>
          <w:szCs w:val="22"/>
        </w:rPr>
      </w:pPr>
      <w:r w:rsidRPr="002B3420">
        <w:rPr>
          <w:rFonts w:ascii="Palatino Linotype" w:hAnsi="Palatino Linotype" w:cs="Tahoma"/>
          <w:b/>
          <w:bCs/>
          <w:color w:val="0D0D0D" w:themeColor="text1" w:themeTint="F2"/>
          <w:sz w:val="22"/>
          <w:szCs w:val="22"/>
        </w:rPr>
        <w:t xml:space="preserve">VISTO </w:t>
      </w:r>
      <w:r w:rsidRPr="002B3420">
        <w:rPr>
          <w:rFonts w:ascii="Palatino Linotype" w:hAnsi="Palatino Linotype" w:cs="Tahoma"/>
          <w:bCs/>
          <w:color w:val="0D0D0D" w:themeColor="text1" w:themeTint="F2"/>
          <w:sz w:val="22"/>
          <w:szCs w:val="22"/>
        </w:rPr>
        <w:t xml:space="preserve">el expediente conformado con motivo del Recurso de Revisión </w:t>
      </w:r>
      <w:r w:rsidRPr="002B3420">
        <w:rPr>
          <w:rFonts w:ascii="Palatino Linotype" w:eastAsia="Calibri" w:hAnsi="Palatino Linotype" w:cs="Tahoma"/>
          <w:sz w:val="22"/>
          <w:szCs w:val="22"/>
          <w:lang w:eastAsia="en-US"/>
        </w:rPr>
        <w:t xml:space="preserve">103366/INFOEM/IP/RR/2022, </w:t>
      </w:r>
      <w:r w:rsidRPr="002B3420">
        <w:rPr>
          <w:rFonts w:ascii="Palatino Linotype" w:hAnsi="Palatino Linotype" w:cs="Tahoma"/>
          <w:color w:val="0D0D0D" w:themeColor="text1" w:themeTint="F2"/>
          <w:sz w:val="22"/>
          <w:szCs w:val="22"/>
        </w:rPr>
        <w:t>interpuesto por el</w:t>
      </w:r>
      <w:r w:rsidRPr="002B3420">
        <w:rPr>
          <w:rFonts w:ascii="Palatino Linotype" w:eastAsia="Calibri" w:hAnsi="Palatino Linotype" w:cs="Tahoma"/>
          <w:sz w:val="22"/>
          <w:szCs w:val="22"/>
          <w:lang w:eastAsia="en-US"/>
        </w:rPr>
        <w:t xml:space="preserve"> </w:t>
      </w:r>
      <w:r w:rsidRPr="002B3420">
        <w:rPr>
          <w:rFonts w:ascii="Palatino Linotype" w:hAnsi="Palatino Linotype" w:cs="Tahoma"/>
          <w:color w:val="0D0D0D" w:themeColor="text1" w:themeTint="F2"/>
          <w:sz w:val="22"/>
          <w:szCs w:val="22"/>
        </w:rPr>
        <w:t xml:space="preserve">Recurrente o Particular, en contra de la falta de </w:t>
      </w:r>
      <w:r w:rsidR="002B3420" w:rsidRPr="002B3420">
        <w:rPr>
          <w:rFonts w:ascii="Palatino Linotype" w:hAnsi="Palatino Linotype" w:cs="Tahoma"/>
          <w:color w:val="0D0D0D" w:themeColor="text1" w:themeTint="F2"/>
          <w:sz w:val="22"/>
          <w:szCs w:val="22"/>
        </w:rPr>
        <w:t xml:space="preserve">la </w:t>
      </w:r>
      <w:r w:rsidRPr="002B3420">
        <w:rPr>
          <w:rFonts w:ascii="Palatino Linotype" w:hAnsi="Palatino Linotype" w:cs="Tahoma"/>
          <w:color w:val="0D0D0D" w:themeColor="text1" w:themeTint="F2"/>
          <w:sz w:val="22"/>
          <w:szCs w:val="22"/>
        </w:rPr>
        <w:t xml:space="preserve">respuesta del Sujeto Obligado, </w:t>
      </w:r>
      <w:r w:rsidR="00B01A4B" w:rsidRPr="002B3420">
        <w:rPr>
          <w:rFonts w:ascii="Palatino Linotype" w:hAnsi="Palatino Linotype"/>
          <w:bCs/>
          <w:color w:val="000000"/>
          <w:sz w:val="22"/>
          <w:szCs w:val="22"/>
        </w:rPr>
        <w:t>Ayuntamiento de Huehuetoca</w:t>
      </w:r>
      <w:r w:rsidRPr="002B3420">
        <w:rPr>
          <w:rFonts w:ascii="Palatino Linotype" w:hAnsi="Palatino Linotype" w:cs="Tahoma"/>
          <w:color w:val="0D0D0D" w:themeColor="text1" w:themeTint="F2"/>
          <w:sz w:val="22"/>
          <w:szCs w:val="22"/>
        </w:rPr>
        <w:t>, a la solicitud de acceso a la información pública con número de folio</w:t>
      </w:r>
      <w:r w:rsidRPr="002B3420">
        <w:rPr>
          <w:rFonts w:ascii="Palatino Linotype" w:hAnsi="Palatino Linotype"/>
          <w:b/>
          <w:bCs/>
          <w:color w:val="FF0000"/>
        </w:rPr>
        <w:t> </w:t>
      </w:r>
      <w:r w:rsidR="00B01A4B" w:rsidRPr="002B3420">
        <w:rPr>
          <w:rFonts w:ascii="Palatino Linotype" w:hAnsi="Palatino Linotype"/>
          <w:sz w:val="22"/>
          <w:szCs w:val="22"/>
        </w:rPr>
        <w:t>00071/HUEHUETO/IP/2022,</w:t>
      </w:r>
      <w:r w:rsidR="00B01A4B" w:rsidRPr="002B3420">
        <w:rPr>
          <w:rFonts w:ascii="Palatino Linotype" w:hAnsi="Palatino Linotype"/>
          <w:b/>
          <w:bCs/>
          <w:color w:val="FF0000"/>
        </w:rPr>
        <w:t xml:space="preserve"> </w:t>
      </w:r>
      <w:r w:rsidRPr="002B3420">
        <w:rPr>
          <w:rFonts w:ascii="Palatino Linotype" w:hAnsi="Palatino Linotype" w:cs="Tahoma"/>
          <w:color w:val="0D0D0D" w:themeColor="text1" w:themeTint="F2"/>
          <w:sz w:val="22"/>
          <w:szCs w:val="22"/>
        </w:rPr>
        <w:t>se</w:t>
      </w:r>
      <w:r w:rsidRPr="002B3420">
        <w:rPr>
          <w:rFonts w:ascii="Palatino Linotype" w:hAnsi="Palatino Linotype" w:cs="Tahoma"/>
          <w:bCs/>
          <w:color w:val="0D0D0D" w:themeColor="text1" w:themeTint="F2"/>
          <w:sz w:val="22"/>
          <w:szCs w:val="22"/>
        </w:rPr>
        <w:t xml:space="preserve"> emite la presente Resolución, con base en los Antecedentes y C</w:t>
      </w:r>
      <w:r w:rsidRPr="002B3420">
        <w:rPr>
          <w:rFonts w:ascii="Palatino Linotype" w:hAnsi="Palatino Linotype" w:cs="Tahoma"/>
          <w:bCs/>
          <w:sz w:val="22"/>
          <w:szCs w:val="22"/>
        </w:rPr>
        <w:t>onsiderandos que a continuación se exponen:</w:t>
      </w:r>
    </w:p>
    <w:p w14:paraId="67C72210" w14:textId="77777777" w:rsidR="004C5F72" w:rsidRPr="002B3420" w:rsidRDefault="004C5F72" w:rsidP="009B438A">
      <w:pPr>
        <w:spacing w:line="360" w:lineRule="auto"/>
        <w:contextualSpacing/>
        <w:rPr>
          <w:rFonts w:ascii="Palatino Linotype" w:hAnsi="Palatino Linotype" w:cs="Tahoma"/>
          <w:sz w:val="22"/>
          <w:szCs w:val="22"/>
        </w:rPr>
      </w:pPr>
    </w:p>
    <w:p w14:paraId="5D72B90C" w14:textId="77777777" w:rsidR="004C5F72" w:rsidRPr="002B3420" w:rsidRDefault="004C5F72" w:rsidP="009B438A">
      <w:pPr>
        <w:tabs>
          <w:tab w:val="center" w:pos="4522"/>
          <w:tab w:val="left" w:pos="7245"/>
        </w:tabs>
        <w:spacing w:line="360" w:lineRule="auto"/>
        <w:contextualSpacing/>
        <w:jc w:val="center"/>
        <w:rPr>
          <w:rFonts w:ascii="Palatino Linotype" w:hAnsi="Palatino Linotype" w:cs="Tahoma"/>
          <w:b/>
          <w:sz w:val="22"/>
          <w:szCs w:val="22"/>
        </w:rPr>
      </w:pPr>
      <w:r w:rsidRPr="002B3420">
        <w:rPr>
          <w:rFonts w:ascii="Palatino Linotype" w:hAnsi="Palatino Linotype" w:cs="Tahoma"/>
          <w:b/>
          <w:sz w:val="22"/>
          <w:szCs w:val="22"/>
        </w:rPr>
        <w:t>A N T E C E D E N T E S</w:t>
      </w:r>
    </w:p>
    <w:p w14:paraId="1531D728" w14:textId="77777777" w:rsidR="004C5F72" w:rsidRPr="002B3420" w:rsidRDefault="004C5F72" w:rsidP="009B438A">
      <w:pPr>
        <w:tabs>
          <w:tab w:val="center" w:pos="4522"/>
          <w:tab w:val="left" w:pos="7245"/>
        </w:tabs>
        <w:spacing w:line="360" w:lineRule="auto"/>
        <w:contextualSpacing/>
        <w:jc w:val="center"/>
        <w:rPr>
          <w:rFonts w:ascii="Palatino Linotype" w:hAnsi="Palatino Linotype" w:cs="Tahoma"/>
          <w:b/>
          <w:sz w:val="22"/>
          <w:szCs w:val="22"/>
        </w:rPr>
      </w:pPr>
    </w:p>
    <w:p w14:paraId="3417CC2F" w14:textId="77777777" w:rsidR="004C5F72" w:rsidRPr="002B3420" w:rsidRDefault="004C5F72" w:rsidP="009B438A">
      <w:pPr>
        <w:pStyle w:val="Prrafodelista"/>
        <w:tabs>
          <w:tab w:val="left" w:pos="567"/>
        </w:tabs>
        <w:spacing w:line="360" w:lineRule="auto"/>
        <w:ind w:left="0"/>
        <w:jc w:val="both"/>
        <w:rPr>
          <w:rFonts w:ascii="Palatino Linotype" w:hAnsi="Palatino Linotype" w:cs="Tahoma"/>
          <w:b/>
          <w:szCs w:val="22"/>
        </w:rPr>
      </w:pPr>
      <w:r w:rsidRPr="002B3420">
        <w:rPr>
          <w:rFonts w:ascii="Palatino Linotype" w:hAnsi="Palatino Linotype" w:cs="Tahoma"/>
          <w:b/>
          <w:szCs w:val="22"/>
        </w:rPr>
        <w:t xml:space="preserve">I. Presentación de la solicitud de información. </w:t>
      </w:r>
    </w:p>
    <w:p w14:paraId="1000F8D3" w14:textId="77777777" w:rsidR="004C5F72" w:rsidRPr="002B3420" w:rsidRDefault="004C5F72" w:rsidP="009B438A">
      <w:pPr>
        <w:pStyle w:val="Prrafodelista"/>
        <w:tabs>
          <w:tab w:val="left" w:pos="567"/>
        </w:tabs>
        <w:spacing w:line="360" w:lineRule="auto"/>
        <w:ind w:left="0"/>
        <w:contextualSpacing w:val="0"/>
        <w:jc w:val="both"/>
        <w:rPr>
          <w:rFonts w:ascii="Palatino Linotype" w:hAnsi="Palatino Linotype" w:cs="Tahoma"/>
          <w:szCs w:val="22"/>
        </w:rPr>
      </w:pPr>
    </w:p>
    <w:p w14:paraId="105670A6" w14:textId="091286ED" w:rsidR="004C5F72" w:rsidRPr="002B3420" w:rsidRDefault="004C5F72" w:rsidP="009B438A">
      <w:pPr>
        <w:autoSpaceDE w:val="0"/>
        <w:autoSpaceDN w:val="0"/>
        <w:adjustRightInd w:val="0"/>
        <w:spacing w:line="360" w:lineRule="auto"/>
        <w:jc w:val="both"/>
        <w:rPr>
          <w:rFonts w:ascii="Palatino Linotype" w:eastAsia="Calibri" w:hAnsi="Palatino Linotype" w:cs="Tahoma"/>
          <w:color w:val="000000"/>
          <w:sz w:val="22"/>
          <w:szCs w:val="22"/>
          <w:lang w:eastAsia="en-US"/>
        </w:rPr>
      </w:pPr>
      <w:r w:rsidRPr="002B3420">
        <w:rPr>
          <w:rFonts w:ascii="Palatino Linotype" w:hAnsi="Palatino Linotype" w:cs="Tahoma"/>
          <w:sz w:val="22"/>
          <w:szCs w:val="22"/>
        </w:rPr>
        <w:t xml:space="preserve">Con fechas </w:t>
      </w:r>
      <w:r w:rsidR="00B01A4B" w:rsidRPr="002B3420">
        <w:rPr>
          <w:rFonts w:ascii="Palatino Linotype" w:hAnsi="Palatino Linotype" w:cs="Tahoma"/>
          <w:sz w:val="22"/>
          <w:szCs w:val="22"/>
        </w:rPr>
        <w:t>dieciocho de abril</w:t>
      </w:r>
      <w:r w:rsidRPr="002B3420">
        <w:rPr>
          <w:rFonts w:ascii="Palatino Linotype" w:hAnsi="Palatino Linotype" w:cs="Tahoma"/>
          <w:sz w:val="22"/>
          <w:szCs w:val="22"/>
        </w:rPr>
        <w:t xml:space="preserve"> de dos mil veintidós, el Particular presentó solicitud de acceso a la información pública a través del Sistema de Acceso a la Información Mexiquense (SAIMEX) </w:t>
      </w:r>
      <w:r w:rsidRPr="002B3420">
        <w:rPr>
          <w:rFonts w:ascii="Palatino Linotype" w:eastAsia="Calibri" w:hAnsi="Palatino Linotype" w:cs="Tahoma"/>
          <w:color w:val="000000"/>
          <w:sz w:val="22"/>
          <w:szCs w:val="22"/>
          <w:lang w:eastAsia="en-US"/>
        </w:rPr>
        <w:t>mediante la cual requirió:</w:t>
      </w:r>
    </w:p>
    <w:p w14:paraId="5F2C5A68" w14:textId="633712E8" w:rsidR="004C5F72" w:rsidRPr="002B3420" w:rsidRDefault="004C5F72" w:rsidP="009B438A">
      <w:pPr>
        <w:pStyle w:val="Prrafodelista"/>
        <w:tabs>
          <w:tab w:val="left" w:pos="567"/>
        </w:tabs>
        <w:spacing w:line="360" w:lineRule="auto"/>
        <w:ind w:left="0"/>
        <w:jc w:val="both"/>
        <w:rPr>
          <w:rFonts w:ascii="Palatino Linotype" w:hAnsi="Palatino Linotype" w:cs="Tahoma"/>
          <w:b/>
          <w:szCs w:val="22"/>
        </w:rPr>
      </w:pPr>
    </w:p>
    <w:p w14:paraId="43953A46" w14:textId="77777777" w:rsidR="004C5F72" w:rsidRPr="002B3420" w:rsidRDefault="004C5F72" w:rsidP="009B438A">
      <w:pPr>
        <w:tabs>
          <w:tab w:val="left" w:pos="4667"/>
        </w:tabs>
        <w:spacing w:line="360" w:lineRule="auto"/>
        <w:ind w:left="567" w:right="567"/>
        <w:contextualSpacing/>
        <w:jc w:val="both"/>
        <w:rPr>
          <w:rFonts w:ascii="Palatino Linotype" w:hAnsi="Palatino Linotype" w:cs="Tahoma"/>
          <w:bCs/>
          <w:i/>
          <w:iCs/>
        </w:rPr>
      </w:pPr>
      <w:r w:rsidRPr="002B3420">
        <w:rPr>
          <w:rFonts w:ascii="Palatino Linotype" w:hAnsi="Palatino Linotype" w:cs="Tahoma"/>
          <w:b/>
          <w:bCs/>
          <w:i/>
          <w:iCs/>
        </w:rPr>
        <w:t>“DESCRIPCIÓN CLARA Y PRECISA DE LA INFORMACIÓN SOLICITADA</w:t>
      </w:r>
    </w:p>
    <w:p w14:paraId="4EE957E2" w14:textId="46E1E5BB" w:rsidR="004C5F72" w:rsidRPr="002B3420" w:rsidRDefault="00B01A4B" w:rsidP="009B438A">
      <w:pPr>
        <w:spacing w:line="360" w:lineRule="auto"/>
        <w:ind w:left="567" w:right="567"/>
        <w:jc w:val="both"/>
        <w:rPr>
          <w:rFonts w:ascii="Palatino Linotype" w:hAnsi="Palatino Linotype"/>
          <w:i/>
          <w:iCs/>
          <w:lang w:eastAsia="es-MX"/>
        </w:rPr>
      </w:pPr>
      <w:r w:rsidRPr="002B3420">
        <w:rPr>
          <w:rFonts w:ascii="Palatino Linotype" w:hAnsi="Palatino Linotype"/>
          <w:i/>
          <w:iCs/>
          <w:color w:val="000000"/>
        </w:rPr>
        <w:t>Solicito el número total de plazas de la Administración Municipal, tanto del personal de base como el de confianza, con especificación del total de vacantes para cada unidad administrativa.</w:t>
      </w:r>
      <w:r w:rsidR="004C5F72" w:rsidRPr="002B3420">
        <w:rPr>
          <w:rFonts w:ascii="Palatino Linotype" w:hAnsi="Palatino Linotype"/>
          <w:i/>
          <w:iCs/>
          <w:lang w:eastAsia="es-MX"/>
        </w:rPr>
        <w:t>” (Sic)</w:t>
      </w:r>
    </w:p>
    <w:p w14:paraId="68DD6BBD" w14:textId="0C024049" w:rsidR="004C5F72" w:rsidRPr="002B3420" w:rsidRDefault="004C5F72" w:rsidP="009B438A">
      <w:pPr>
        <w:pStyle w:val="paragraph"/>
        <w:spacing w:before="0" w:beforeAutospacing="0" w:after="0" w:afterAutospacing="0" w:line="360" w:lineRule="auto"/>
        <w:ind w:left="567" w:right="567"/>
        <w:jc w:val="both"/>
        <w:textAlignment w:val="baseline"/>
        <w:rPr>
          <w:rStyle w:val="normaltextrun"/>
          <w:rFonts w:ascii="Palatino Linotype" w:hAnsi="Palatino Linotype" w:cs="Segoe UI"/>
          <w:b/>
          <w:bCs/>
          <w:i/>
          <w:iCs/>
          <w:sz w:val="20"/>
          <w:szCs w:val="20"/>
        </w:rPr>
      </w:pPr>
    </w:p>
    <w:p w14:paraId="117B2E6B" w14:textId="77777777" w:rsidR="004C5F72" w:rsidRPr="002B3420" w:rsidRDefault="004C5F72" w:rsidP="009B438A">
      <w:pPr>
        <w:pStyle w:val="paragraph"/>
        <w:spacing w:before="0" w:beforeAutospacing="0" w:after="0" w:afterAutospacing="0" w:line="360" w:lineRule="auto"/>
        <w:ind w:left="567" w:right="567"/>
        <w:jc w:val="both"/>
        <w:textAlignment w:val="baseline"/>
        <w:rPr>
          <w:rFonts w:ascii="Palatino Linotype" w:hAnsi="Palatino Linotype" w:cs="Segoe UI"/>
          <w:i/>
          <w:iCs/>
          <w:sz w:val="20"/>
          <w:szCs w:val="20"/>
        </w:rPr>
      </w:pPr>
      <w:r w:rsidRPr="002B3420">
        <w:rPr>
          <w:rStyle w:val="normaltextrun"/>
          <w:rFonts w:ascii="Palatino Linotype" w:hAnsi="Palatino Linotype" w:cs="Segoe UI"/>
          <w:b/>
          <w:bCs/>
          <w:i/>
          <w:iCs/>
          <w:sz w:val="20"/>
          <w:szCs w:val="20"/>
        </w:rPr>
        <w:t>“MODALIDAD DE ENTREGA:</w:t>
      </w:r>
      <w:r w:rsidRPr="002B3420">
        <w:rPr>
          <w:rStyle w:val="eop"/>
          <w:rFonts w:ascii="Palatino Linotype" w:hAnsi="Palatino Linotype" w:cs="Segoe UI"/>
          <w:i/>
          <w:iCs/>
          <w:sz w:val="20"/>
          <w:szCs w:val="20"/>
        </w:rPr>
        <w:t> </w:t>
      </w:r>
    </w:p>
    <w:p w14:paraId="3DB082E8" w14:textId="72D368AC" w:rsidR="004C5F72" w:rsidRPr="002B3420" w:rsidRDefault="004C5F72" w:rsidP="009B438A">
      <w:pPr>
        <w:pStyle w:val="Prrafodelista"/>
        <w:tabs>
          <w:tab w:val="left" w:pos="567"/>
        </w:tabs>
        <w:spacing w:line="360" w:lineRule="auto"/>
        <w:ind w:left="567" w:right="567"/>
        <w:jc w:val="both"/>
        <w:rPr>
          <w:rFonts w:ascii="Palatino Linotype" w:hAnsi="Palatino Linotype" w:cs="Arial"/>
          <w:bCs/>
          <w:i/>
          <w:iCs/>
          <w:sz w:val="20"/>
          <w:szCs w:val="20"/>
        </w:rPr>
      </w:pPr>
      <w:r w:rsidRPr="002B3420">
        <w:rPr>
          <w:rFonts w:ascii="Palatino Linotype" w:hAnsi="Palatino Linotype" w:cs="Arial"/>
          <w:bCs/>
          <w:i/>
          <w:iCs/>
          <w:sz w:val="20"/>
          <w:szCs w:val="20"/>
        </w:rPr>
        <w:t xml:space="preserve">A través del SAIMEX.” </w:t>
      </w:r>
    </w:p>
    <w:p w14:paraId="604DEB75" w14:textId="77777777" w:rsidR="00B01A4B" w:rsidRPr="002B3420" w:rsidRDefault="00B01A4B" w:rsidP="009B438A">
      <w:pPr>
        <w:pStyle w:val="Prrafodelista"/>
        <w:tabs>
          <w:tab w:val="left" w:pos="567"/>
        </w:tabs>
        <w:spacing w:line="360" w:lineRule="auto"/>
        <w:ind w:left="0"/>
        <w:jc w:val="both"/>
        <w:rPr>
          <w:rFonts w:ascii="Palatino Linotype" w:hAnsi="Palatino Linotype" w:cs="Tahoma"/>
          <w:b/>
          <w:sz w:val="20"/>
          <w:szCs w:val="20"/>
        </w:rPr>
      </w:pPr>
    </w:p>
    <w:p w14:paraId="49FA7397" w14:textId="33638ED6" w:rsidR="004C5F72" w:rsidRPr="002B3420" w:rsidRDefault="004C5F72" w:rsidP="009B438A">
      <w:pPr>
        <w:tabs>
          <w:tab w:val="left" w:pos="4667"/>
        </w:tabs>
        <w:spacing w:line="360" w:lineRule="auto"/>
        <w:ind w:right="567"/>
        <w:jc w:val="both"/>
        <w:rPr>
          <w:rFonts w:ascii="Palatino Linotype" w:eastAsia="Calibri" w:hAnsi="Palatino Linotype" w:cs="Tahoma"/>
          <w:i/>
          <w:iCs/>
          <w:color w:val="000000"/>
          <w:sz w:val="22"/>
          <w:szCs w:val="22"/>
          <w:lang w:eastAsia="en-US"/>
        </w:rPr>
      </w:pPr>
      <w:r w:rsidRPr="002B3420">
        <w:rPr>
          <w:rFonts w:ascii="Palatino Linotype" w:hAnsi="Palatino Linotype" w:cs="Tahoma"/>
          <w:b/>
          <w:bCs/>
          <w:sz w:val="22"/>
          <w:szCs w:val="22"/>
        </w:rPr>
        <w:t>II.</w:t>
      </w:r>
      <w:r w:rsidRPr="002B3420">
        <w:rPr>
          <w:rFonts w:ascii="Palatino Linotype" w:hAnsi="Palatino Linotype" w:cs="Tahoma"/>
          <w:b/>
          <w:sz w:val="22"/>
          <w:szCs w:val="22"/>
        </w:rPr>
        <w:t xml:space="preserve"> Respuesta del Sujeto Obligado.</w:t>
      </w:r>
    </w:p>
    <w:p w14:paraId="00437773" w14:textId="60A10C91" w:rsidR="00B01A4B" w:rsidRPr="002B3420" w:rsidRDefault="00B01A4B" w:rsidP="009B438A">
      <w:pPr>
        <w:autoSpaceDE w:val="0"/>
        <w:autoSpaceDN w:val="0"/>
        <w:adjustRightInd w:val="0"/>
        <w:spacing w:line="360" w:lineRule="auto"/>
        <w:jc w:val="both"/>
        <w:rPr>
          <w:rFonts w:ascii="Palatino Linotype" w:hAnsi="Palatino Linotype" w:cs="Tahoma"/>
          <w:sz w:val="22"/>
          <w:szCs w:val="22"/>
        </w:rPr>
      </w:pPr>
      <w:r w:rsidRPr="002B3420">
        <w:rPr>
          <w:rFonts w:ascii="Palatino Linotype" w:hAnsi="Palatino Linotype" w:cs="Tahoma"/>
          <w:sz w:val="22"/>
          <w:szCs w:val="22"/>
        </w:rPr>
        <w:lastRenderedPageBreak/>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w:t>
      </w:r>
      <w:r w:rsidRPr="002B3420">
        <w:rPr>
          <w:rFonts w:ascii="Palatino Linotype" w:hAnsi="Palatino Linotype" w:cs="Tahoma"/>
          <w:sz w:val="22"/>
          <w:szCs w:val="22"/>
          <w:lang w:val="es-ES"/>
        </w:rPr>
        <w:t>Sistema de Acceso a la Información Mexiquense (SAIMEX)</w:t>
      </w:r>
      <w:r w:rsidRPr="002B3420">
        <w:rPr>
          <w:rFonts w:ascii="Palatino Linotype" w:hAnsi="Palatino Linotype" w:cs="Tahoma"/>
          <w:sz w:val="22"/>
          <w:szCs w:val="22"/>
        </w:rPr>
        <w:t xml:space="preserve">, </w:t>
      </w:r>
      <w:r w:rsidRPr="002B3420">
        <w:rPr>
          <w:rFonts w:ascii="Palatino Linotype" w:hAnsi="Palatino Linotype" w:cs="Tahoma"/>
          <w:sz w:val="22"/>
          <w:szCs w:val="22"/>
          <w:lang w:val="es-ES"/>
        </w:rPr>
        <w:t xml:space="preserve">se advierte que el </w:t>
      </w:r>
      <w:r w:rsidRPr="002B3420">
        <w:rPr>
          <w:rFonts w:ascii="Palatino Linotype" w:hAnsi="Palatino Linotype" w:cs="Tahoma"/>
          <w:sz w:val="22"/>
          <w:szCs w:val="22"/>
        </w:rPr>
        <w:t xml:space="preserve">Ayuntamiento de Huehuetoca </w:t>
      </w:r>
      <w:r w:rsidRPr="002B3420">
        <w:rPr>
          <w:rFonts w:ascii="Palatino Linotype" w:hAnsi="Palatino Linotype" w:cs="Tahoma"/>
          <w:sz w:val="22"/>
          <w:szCs w:val="22"/>
          <w:lang w:val="es-ES"/>
        </w:rPr>
        <w:t>no dio respuesta, por lo que se configuró la negativa ficta a entregar información, prevista en los artículos 166, párrafo cuarto y 178, párrafo segundo, de la Ley de Transparencia y Acceso a la Información Pública del Estado de México y Municipios.</w:t>
      </w:r>
    </w:p>
    <w:p w14:paraId="2AA127B8" w14:textId="77777777" w:rsidR="004C5F72" w:rsidRPr="002B3420" w:rsidRDefault="004C5F72" w:rsidP="009B438A">
      <w:pPr>
        <w:spacing w:line="360" w:lineRule="auto"/>
        <w:jc w:val="both"/>
        <w:rPr>
          <w:rFonts w:ascii="Palatino Linotype" w:eastAsia="Calibri" w:hAnsi="Palatino Linotype" w:cs="Tahoma"/>
          <w:bCs/>
          <w:sz w:val="22"/>
          <w:szCs w:val="22"/>
          <w:lang w:val="es-ES" w:eastAsia="en-US"/>
        </w:rPr>
      </w:pPr>
    </w:p>
    <w:p w14:paraId="037D8734" w14:textId="779E3E2E" w:rsidR="004C5F72" w:rsidRPr="002B3420" w:rsidRDefault="004C5F72" w:rsidP="009B438A">
      <w:pPr>
        <w:spacing w:line="360" w:lineRule="auto"/>
        <w:jc w:val="both"/>
        <w:rPr>
          <w:rFonts w:ascii="Palatino Linotype" w:eastAsia="Calibri" w:hAnsi="Palatino Linotype" w:cs="Tahoma"/>
          <w:bCs/>
          <w:sz w:val="22"/>
          <w:szCs w:val="22"/>
          <w:lang w:val="es-ES" w:eastAsia="en-US"/>
        </w:rPr>
      </w:pPr>
      <w:r w:rsidRPr="002B3420">
        <w:rPr>
          <w:rFonts w:ascii="Palatino Linotype" w:hAnsi="Palatino Linotype" w:cs="Tahoma"/>
          <w:b/>
          <w:sz w:val="22"/>
          <w:szCs w:val="22"/>
        </w:rPr>
        <w:t>I</w:t>
      </w:r>
      <w:r w:rsidR="002B3420">
        <w:rPr>
          <w:rFonts w:ascii="Palatino Linotype" w:hAnsi="Palatino Linotype" w:cs="Tahoma"/>
          <w:b/>
          <w:sz w:val="22"/>
          <w:szCs w:val="22"/>
        </w:rPr>
        <w:t>II</w:t>
      </w:r>
      <w:r w:rsidRPr="002B3420">
        <w:rPr>
          <w:rFonts w:ascii="Palatino Linotype" w:hAnsi="Palatino Linotype" w:cs="Tahoma"/>
          <w:b/>
          <w:sz w:val="22"/>
          <w:szCs w:val="22"/>
        </w:rPr>
        <w:t xml:space="preserve">. Interposición del Recurso de Revisión. </w:t>
      </w:r>
    </w:p>
    <w:p w14:paraId="01B882B4" w14:textId="77777777" w:rsidR="004C5F72" w:rsidRPr="002B3420" w:rsidRDefault="004C5F72" w:rsidP="009B438A">
      <w:pPr>
        <w:autoSpaceDE w:val="0"/>
        <w:autoSpaceDN w:val="0"/>
        <w:adjustRightInd w:val="0"/>
        <w:spacing w:line="360" w:lineRule="auto"/>
        <w:contextualSpacing/>
        <w:jc w:val="both"/>
        <w:rPr>
          <w:rFonts w:ascii="Palatino Linotype" w:hAnsi="Palatino Linotype" w:cs="Tahoma"/>
          <w:b/>
          <w:sz w:val="22"/>
          <w:szCs w:val="22"/>
        </w:rPr>
      </w:pPr>
    </w:p>
    <w:p w14:paraId="69C9FD69" w14:textId="5F59C65A" w:rsidR="004C5F72" w:rsidRPr="002B3420" w:rsidRDefault="004C5F72" w:rsidP="009B438A">
      <w:pPr>
        <w:widowControl w:val="0"/>
        <w:spacing w:line="360" w:lineRule="auto"/>
        <w:jc w:val="both"/>
        <w:rPr>
          <w:rFonts w:ascii="Palatino Linotype" w:hAnsi="Palatino Linotype" w:cs="Tahoma"/>
          <w:sz w:val="22"/>
          <w:szCs w:val="22"/>
          <w:lang w:val="es-ES"/>
        </w:rPr>
      </w:pPr>
      <w:r w:rsidRPr="002B3420">
        <w:rPr>
          <w:rFonts w:ascii="Palatino Linotype" w:hAnsi="Palatino Linotype" w:cs="Tahoma"/>
          <w:sz w:val="22"/>
          <w:szCs w:val="22"/>
        </w:rPr>
        <w:t xml:space="preserve">Con fecha </w:t>
      </w:r>
      <w:r w:rsidR="00B01A4B" w:rsidRPr="002B3420">
        <w:rPr>
          <w:rFonts w:ascii="Palatino Linotype" w:hAnsi="Palatino Linotype" w:cs="Tahoma"/>
          <w:sz w:val="22"/>
          <w:szCs w:val="22"/>
        </w:rPr>
        <w:t>treinta de mayo</w:t>
      </w:r>
      <w:r w:rsidRPr="002B3420">
        <w:rPr>
          <w:rFonts w:ascii="Palatino Linotype" w:hAnsi="Palatino Linotype" w:cs="Tahoma"/>
          <w:sz w:val="22"/>
          <w:szCs w:val="22"/>
        </w:rPr>
        <w:t xml:space="preserve"> de dos mil veintidós, </w:t>
      </w:r>
      <w:r w:rsidRPr="002B3420">
        <w:rPr>
          <w:rFonts w:ascii="Palatino Linotype" w:hAnsi="Palatino Linotype" w:cs="Tahoma"/>
          <w:sz w:val="22"/>
          <w:szCs w:val="22"/>
          <w:lang w:val="es-ES"/>
        </w:rPr>
        <w:t>a través del Sistema de Acceso a la Información Mexiquense (SAIMEX), el Particular interpuso Recurso de Revisión ante este Instituto, en contra de la</w:t>
      </w:r>
      <w:r w:rsidR="00B01A4B" w:rsidRPr="002B3420">
        <w:rPr>
          <w:rFonts w:ascii="Palatino Linotype" w:hAnsi="Palatino Linotype" w:cs="Tahoma"/>
          <w:sz w:val="22"/>
          <w:szCs w:val="22"/>
          <w:lang w:val="es-ES"/>
        </w:rPr>
        <w:t xml:space="preserve"> falta de</w:t>
      </w:r>
      <w:r w:rsidRPr="002B3420">
        <w:rPr>
          <w:rFonts w:ascii="Palatino Linotype" w:hAnsi="Palatino Linotype" w:cs="Tahoma"/>
          <w:sz w:val="22"/>
          <w:szCs w:val="22"/>
          <w:lang w:val="es-ES"/>
        </w:rPr>
        <w:t xml:space="preserve"> respuesta otorgada por el </w:t>
      </w:r>
      <w:r w:rsidR="00B01A4B" w:rsidRPr="002B3420">
        <w:rPr>
          <w:rFonts w:ascii="Palatino Linotype" w:hAnsi="Palatino Linotype"/>
          <w:bCs/>
          <w:color w:val="000000"/>
          <w:sz w:val="22"/>
          <w:szCs w:val="22"/>
        </w:rPr>
        <w:t>Ayuntamiento de Huehuetoca</w:t>
      </w:r>
      <w:r w:rsidRPr="002B3420">
        <w:rPr>
          <w:rFonts w:ascii="Palatino Linotype" w:hAnsi="Palatino Linotype"/>
          <w:bCs/>
          <w:color w:val="000000"/>
          <w:sz w:val="22"/>
          <w:szCs w:val="22"/>
        </w:rPr>
        <w:t>,</w:t>
      </w:r>
      <w:r w:rsidRPr="002B3420">
        <w:rPr>
          <w:rFonts w:ascii="Palatino Linotype" w:eastAsia="Calibri" w:hAnsi="Palatino Linotype" w:cs="Tahoma"/>
          <w:bCs/>
          <w:sz w:val="22"/>
          <w:szCs w:val="22"/>
        </w:rPr>
        <w:t xml:space="preserve"> a </w:t>
      </w:r>
      <w:r w:rsidRPr="002B3420">
        <w:rPr>
          <w:rFonts w:ascii="Palatino Linotype" w:hAnsi="Palatino Linotype" w:cs="Tahoma"/>
          <w:sz w:val="22"/>
          <w:szCs w:val="22"/>
          <w:lang w:val="es-ES"/>
        </w:rPr>
        <w:t>la solicitud de información, en los siguientes términos:</w:t>
      </w:r>
    </w:p>
    <w:p w14:paraId="63E1F67A" w14:textId="77777777" w:rsidR="00EF6D0F" w:rsidRPr="002B3420" w:rsidRDefault="00EF6D0F" w:rsidP="009B438A">
      <w:pPr>
        <w:spacing w:line="360" w:lineRule="auto"/>
        <w:ind w:right="567"/>
        <w:contextualSpacing/>
        <w:jc w:val="both"/>
        <w:rPr>
          <w:rFonts w:ascii="Palatino Linotype" w:hAnsi="Palatino Linotype" w:cs="Tahoma"/>
          <w:sz w:val="22"/>
          <w:szCs w:val="22"/>
        </w:rPr>
      </w:pPr>
    </w:p>
    <w:p w14:paraId="050B8F66" w14:textId="77777777" w:rsidR="004C5F72" w:rsidRPr="002B3420" w:rsidRDefault="004C5F72" w:rsidP="009B438A">
      <w:pPr>
        <w:spacing w:line="360" w:lineRule="auto"/>
        <w:ind w:left="567" w:right="567"/>
        <w:contextualSpacing/>
        <w:jc w:val="both"/>
        <w:rPr>
          <w:rFonts w:ascii="Palatino Linotype" w:hAnsi="Palatino Linotype" w:cs="Tahoma"/>
          <w:b/>
          <w:i/>
          <w:iCs/>
        </w:rPr>
      </w:pPr>
      <w:r w:rsidRPr="002B3420">
        <w:rPr>
          <w:rFonts w:ascii="Palatino Linotype" w:hAnsi="Palatino Linotype" w:cs="Tahoma"/>
          <w:i/>
          <w:iCs/>
        </w:rPr>
        <w:t xml:space="preserve"> </w:t>
      </w:r>
      <w:r w:rsidRPr="002B3420">
        <w:rPr>
          <w:rFonts w:ascii="Palatino Linotype" w:hAnsi="Palatino Linotype" w:cs="Tahoma"/>
          <w:b/>
          <w:i/>
          <w:iCs/>
        </w:rPr>
        <w:t>“ACTO IMPUGNADO</w:t>
      </w:r>
    </w:p>
    <w:p w14:paraId="5B7BD337" w14:textId="77777777" w:rsidR="00EF6D0F" w:rsidRPr="002B3420" w:rsidRDefault="00EF6D0F" w:rsidP="009B438A">
      <w:pPr>
        <w:spacing w:line="360" w:lineRule="auto"/>
        <w:ind w:left="567" w:right="567"/>
        <w:jc w:val="both"/>
        <w:rPr>
          <w:rFonts w:ascii="Palatino Linotype" w:hAnsi="Palatino Linotype"/>
          <w:i/>
          <w:iCs/>
          <w:lang w:eastAsia="es-MX"/>
        </w:rPr>
      </w:pPr>
      <w:r w:rsidRPr="002B3420">
        <w:rPr>
          <w:rFonts w:ascii="Palatino Linotype" w:hAnsi="Palatino Linotype"/>
          <w:i/>
          <w:iCs/>
          <w:lang w:eastAsia="es-MX"/>
        </w:rPr>
        <w:t>La falta de respuesta a la solicitud de acceso a la información.</w:t>
      </w:r>
    </w:p>
    <w:p w14:paraId="2788DEE6" w14:textId="360C2DC3" w:rsidR="004C5F72" w:rsidRPr="002B3420" w:rsidRDefault="004C5F72" w:rsidP="009B438A">
      <w:pPr>
        <w:spacing w:line="360" w:lineRule="auto"/>
        <w:ind w:left="567" w:right="567"/>
        <w:jc w:val="both"/>
        <w:rPr>
          <w:rFonts w:ascii="Palatino Linotype" w:hAnsi="Palatino Linotype"/>
          <w:i/>
          <w:iCs/>
          <w:color w:val="000000"/>
        </w:rPr>
      </w:pPr>
      <w:r w:rsidRPr="002B3420">
        <w:rPr>
          <w:rFonts w:ascii="Palatino Linotype" w:hAnsi="Palatino Linotype"/>
          <w:i/>
          <w:iCs/>
          <w:color w:val="000000"/>
        </w:rPr>
        <w:t>.  (Sic)</w:t>
      </w:r>
    </w:p>
    <w:p w14:paraId="48DBE2CA" w14:textId="77777777" w:rsidR="004C5F72" w:rsidRPr="002B3420" w:rsidRDefault="004C5F72" w:rsidP="009B438A">
      <w:pPr>
        <w:spacing w:line="360" w:lineRule="auto"/>
        <w:ind w:left="567" w:right="567"/>
        <w:jc w:val="both"/>
        <w:rPr>
          <w:rFonts w:ascii="Palatino Linotype" w:hAnsi="Palatino Linotype"/>
          <w:i/>
          <w:iCs/>
          <w:color w:val="000000"/>
        </w:rPr>
      </w:pPr>
    </w:p>
    <w:p w14:paraId="369832EE" w14:textId="77777777" w:rsidR="004C5F72" w:rsidRPr="002B3420" w:rsidRDefault="004C5F72" w:rsidP="009B438A">
      <w:pPr>
        <w:spacing w:line="360" w:lineRule="auto"/>
        <w:ind w:left="567" w:right="567"/>
        <w:contextualSpacing/>
        <w:jc w:val="both"/>
        <w:rPr>
          <w:rFonts w:ascii="Palatino Linotype" w:eastAsia="Calibri" w:hAnsi="Palatino Linotype" w:cs="Tahoma"/>
          <w:bCs/>
          <w:i/>
          <w:iCs/>
          <w:lang w:eastAsia="en-US"/>
        </w:rPr>
      </w:pPr>
      <w:r w:rsidRPr="002B3420">
        <w:rPr>
          <w:rFonts w:ascii="Palatino Linotype" w:hAnsi="Palatino Linotype" w:cs="Tahoma"/>
          <w:b/>
          <w:i/>
          <w:iCs/>
        </w:rPr>
        <w:t>“RAZONES O MOTIVOS DE LA INCONFORMIDAD</w:t>
      </w:r>
      <w:bookmarkStart w:id="0" w:name="_Hlk93400426"/>
      <w:r w:rsidRPr="002B3420">
        <w:rPr>
          <w:rFonts w:ascii="Palatino Linotype" w:eastAsia="Calibri" w:hAnsi="Palatino Linotype" w:cs="Tahoma"/>
          <w:bCs/>
          <w:i/>
          <w:iCs/>
          <w:lang w:eastAsia="en-US"/>
        </w:rPr>
        <w:tab/>
      </w:r>
      <w:bookmarkEnd w:id="0"/>
    </w:p>
    <w:p w14:paraId="07E69C3F" w14:textId="795463FA" w:rsidR="004C5F72" w:rsidRPr="002B3420" w:rsidRDefault="00EF6D0F" w:rsidP="009B438A">
      <w:pPr>
        <w:spacing w:line="360" w:lineRule="auto"/>
        <w:ind w:left="567" w:right="567"/>
        <w:jc w:val="both"/>
        <w:rPr>
          <w:rFonts w:ascii="Palatino Linotype" w:hAnsi="Palatino Linotype"/>
          <w:i/>
          <w:iCs/>
          <w:color w:val="000000"/>
        </w:rPr>
      </w:pPr>
      <w:r w:rsidRPr="002B3420">
        <w:rPr>
          <w:rFonts w:ascii="Palatino Linotype" w:hAnsi="Palatino Linotype"/>
          <w:i/>
          <w:iCs/>
        </w:rPr>
        <w:t>La omisión por parte del Ayuntamiento de Huehuetoca para dar respuesta a la solicitud de acceso a la información.</w:t>
      </w:r>
      <w:r w:rsidRPr="002B3420">
        <w:rPr>
          <w:rFonts w:ascii="Palatino Linotype" w:hAnsi="Palatino Linotype"/>
          <w:i/>
          <w:iCs/>
          <w:color w:val="000000"/>
        </w:rPr>
        <w:t xml:space="preserve"> </w:t>
      </w:r>
      <w:r w:rsidR="004C5F72" w:rsidRPr="002B3420">
        <w:rPr>
          <w:rFonts w:ascii="Palatino Linotype" w:hAnsi="Palatino Linotype"/>
          <w:i/>
          <w:iCs/>
          <w:color w:val="000000"/>
        </w:rPr>
        <w:t>(Sic)</w:t>
      </w:r>
    </w:p>
    <w:p w14:paraId="18EE13E7" w14:textId="77777777" w:rsidR="004F0F15" w:rsidRPr="002B3420" w:rsidRDefault="004F0F15" w:rsidP="009B438A">
      <w:pPr>
        <w:spacing w:line="360" w:lineRule="auto"/>
        <w:contextualSpacing/>
        <w:jc w:val="both"/>
        <w:rPr>
          <w:rFonts w:ascii="Palatino Linotype" w:hAnsi="Palatino Linotype" w:cs="Tahoma"/>
          <w:b/>
          <w:sz w:val="22"/>
          <w:szCs w:val="22"/>
        </w:rPr>
      </w:pPr>
    </w:p>
    <w:p w14:paraId="14CB90AF" w14:textId="77777777" w:rsidR="004C5F72" w:rsidRPr="002B3420" w:rsidRDefault="004C5F72" w:rsidP="009B438A">
      <w:pPr>
        <w:spacing w:line="360" w:lineRule="auto"/>
        <w:contextualSpacing/>
        <w:jc w:val="both"/>
        <w:rPr>
          <w:rFonts w:ascii="Palatino Linotype" w:eastAsia="Batang" w:hAnsi="Palatino Linotype" w:cs="Tahoma"/>
          <w:b/>
          <w:bCs/>
          <w:sz w:val="22"/>
          <w:szCs w:val="22"/>
        </w:rPr>
      </w:pPr>
      <w:r w:rsidRPr="002B3420">
        <w:rPr>
          <w:rFonts w:ascii="Palatino Linotype" w:hAnsi="Palatino Linotype" w:cs="Tahoma"/>
          <w:b/>
          <w:sz w:val="22"/>
          <w:szCs w:val="22"/>
        </w:rPr>
        <w:t xml:space="preserve">IV. </w:t>
      </w:r>
      <w:r w:rsidRPr="002B3420">
        <w:rPr>
          <w:rFonts w:ascii="Palatino Linotype" w:eastAsia="Batang" w:hAnsi="Palatino Linotype" w:cs="Tahoma"/>
          <w:b/>
          <w:bCs/>
          <w:sz w:val="22"/>
          <w:szCs w:val="22"/>
        </w:rPr>
        <w:t xml:space="preserve">Trámite del </w:t>
      </w:r>
      <w:r w:rsidRPr="002B3420">
        <w:rPr>
          <w:rFonts w:ascii="Palatino Linotype" w:hAnsi="Palatino Linotype" w:cs="Tahoma"/>
          <w:b/>
          <w:sz w:val="22"/>
          <w:szCs w:val="22"/>
        </w:rPr>
        <w:t xml:space="preserve">Recurso de Revisión </w:t>
      </w:r>
      <w:r w:rsidRPr="002B3420">
        <w:rPr>
          <w:rFonts w:ascii="Palatino Linotype" w:eastAsia="Batang" w:hAnsi="Palatino Linotype" w:cs="Tahoma"/>
          <w:b/>
          <w:bCs/>
          <w:sz w:val="22"/>
          <w:szCs w:val="22"/>
        </w:rPr>
        <w:t>ante el Instituto.</w:t>
      </w:r>
    </w:p>
    <w:p w14:paraId="607A4A3C" w14:textId="77777777" w:rsidR="004C5F72" w:rsidRPr="002B3420" w:rsidRDefault="004C5F72" w:rsidP="009B438A">
      <w:pPr>
        <w:spacing w:line="360" w:lineRule="auto"/>
        <w:contextualSpacing/>
        <w:jc w:val="both"/>
        <w:rPr>
          <w:rFonts w:ascii="Palatino Linotype" w:eastAsia="Batang" w:hAnsi="Palatino Linotype" w:cs="Tahoma"/>
          <w:b/>
          <w:bCs/>
          <w:sz w:val="22"/>
          <w:szCs w:val="22"/>
        </w:rPr>
      </w:pPr>
    </w:p>
    <w:p w14:paraId="4E7ED6A2" w14:textId="6E2ECD99" w:rsidR="004C5F72" w:rsidRPr="002B3420" w:rsidRDefault="004C5F72" w:rsidP="009B438A">
      <w:pPr>
        <w:spacing w:line="360" w:lineRule="auto"/>
        <w:jc w:val="both"/>
        <w:rPr>
          <w:rFonts w:ascii="Palatino Linotype" w:eastAsia="Batang" w:hAnsi="Palatino Linotype" w:cs="Tahoma"/>
          <w:sz w:val="22"/>
          <w:szCs w:val="22"/>
        </w:rPr>
      </w:pPr>
      <w:r w:rsidRPr="002B3420">
        <w:rPr>
          <w:rFonts w:ascii="Palatino Linotype" w:eastAsia="Batang" w:hAnsi="Palatino Linotype" w:cs="Tahoma"/>
          <w:b/>
          <w:bCs/>
          <w:sz w:val="22"/>
          <w:szCs w:val="22"/>
        </w:rPr>
        <w:t xml:space="preserve">a) Turno de los </w:t>
      </w:r>
      <w:r w:rsidRPr="002B3420">
        <w:rPr>
          <w:rFonts w:ascii="Palatino Linotype" w:hAnsi="Palatino Linotype" w:cs="Tahoma"/>
          <w:b/>
          <w:sz w:val="22"/>
          <w:szCs w:val="22"/>
        </w:rPr>
        <w:t>Recursos de Revisión</w:t>
      </w:r>
      <w:r w:rsidRPr="002B3420">
        <w:rPr>
          <w:rFonts w:ascii="Palatino Linotype" w:eastAsia="Batang" w:hAnsi="Palatino Linotype" w:cs="Tahoma"/>
          <w:b/>
          <w:bCs/>
          <w:sz w:val="22"/>
          <w:szCs w:val="22"/>
        </w:rPr>
        <w:t xml:space="preserve">. </w:t>
      </w:r>
      <w:r w:rsidRPr="002B3420">
        <w:rPr>
          <w:rFonts w:ascii="Palatino Linotype" w:eastAsia="Batang" w:hAnsi="Palatino Linotype" w:cs="Tahoma"/>
          <w:bCs/>
          <w:sz w:val="22"/>
          <w:szCs w:val="22"/>
        </w:rPr>
        <w:t xml:space="preserve">El </w:t>
      </w:r>
      <w:r w:rsidR="002B3420">
        <w:rPr>
          <w:rFonts w:ascii="Palatino Linotype" w:eastAsia="Batang" w:hAnsi="Palatino Linotype" w:cs="Tahoma"/>
          <w:bCs/>
          <w:sz w:val="22"/>
          <w:szCs w:val="22"/>
        </w:rPr>
        <w:t xml:space="preserve">treinta </w:t>
      </w:r>
      <w:r w:rsidR="00EF6D0F" w:rsidRPr="002B3420">
        <w:rPr>
          <w:rFonts w:ascii="Palatino Linotype" w:eastAsia="Batang" w:hAnsi="Palatino Linotype" w:cs="Tahoma"/>
          <w:bCs/>
          <w:sz w:val="22"/>
          <w:szCs w:val="22"/>
        </w:rPr>
        <w:t>de mayo</w:t>
      </w:r>
      <w:r w:rsidRPr="002B3420">
        <w:rPr>
          <w:rFonts w:ascii="Palatino Linotype" w:eastAsia="Batang" w:hAnsi="Palatino Linotype" w:cs="Tahoma"/>
          <w:bCs/>
          <w:sz w:val="22"/>
          <w:szCs w:val="22"/>
        </w:rPr>
        <w:t xml:space="preserve"> de dos mil veintidós, </w:t>
      </w:r>
      <w:r w:rsidRPr="002B3420">
        <w:rPr>
          <w:rFonts w:ascii="Palatino Linotype" w:eastAsia="Batang" w:hAnsi="Palatino Linotype" w:cs="Tahoma"/>
          <w:sz w:val="22"/>
          <w:szCs w:val="22"/>
        </w:rPr>
        <w:t xml:space="preserve">el </w:t>
      </w:r>
      <w:r w:rsidRPr="002B3420">
        <w:rPr>
          <w:rFonts w:ascii="Palatino Linotype" w:eastAsia="Batang" w:hAnsi="Palatino Linotype" w:cs="Tahoma"/>
          <w:sz w:val="22"/>
          <w:szCs w:val="22"/>
          <w:lang w:val="es-ES"/>
        </w:rPr>
        <w:t>Sistema de Acceso a la Información Mexiquense (SAIMEX),</w:t>
      </w:r>
      <w:r w:rsidRPr="002B3420">
        <w:rPr>
          <w:rFonts w:ascii="Palatino Linotype" w:eastAsia="Batang" w:hAnsi="Palatino Linotype" w:cs="Tahoma"/>
          <w:sz w:val="22"/>
          <w:szCs w:val="22"/>
        </w:rPr>
        <w:t xml:space="preserve"> asignó el número de expediente </w:t>
      </w:r>
      <w:r w:rsidR="00EF6D0F" w:rsidRPr="002B3420">
        <w:rPr>
          <w:rFonts w:ascii="Palatino Linotype" w:eastAsia="Calibri" w:hAnsi="Palatino Linotype" w:cs="Tahoma"/>
          <w:sz w:val="22"/>
          <w:szCs w:val="22"/>
          <w:lang w:eastAsia="en-US"/>
        </w:rPr>
        <w:lastRenderedPageBreak/>
        <w:t>1033</w:t>
      </w:r>
      <w:r w:rsidRPr="002B3420">
        <w:rPr>
          <w:rFonts w:ascii="Palatino Linotype" w:eastAsia="Calibri" w:hAnsi="Palatino Linotype" w:cs="Tahoma"/>
          <w:sz w:val="22"/>
          <w:szCs w:val="22"/>
          <w:lang w:eastAsia="en-US"/>
        </w:rPr>
        <w:t>6/INFOEM/IP/RR/2022</w:t>
      </w:r>
      <w:r w:rsidRPr="002B3420">
        <w:rPr>
          <w:rFonts w:ascii="Palatino Linotype" w:eastAsia="Batang" w:hAnsi="Palatino Linotype" w:cs="Tahoma"/>
          <w:sz w:val="22"/>
          <w:szCs w:val="22"/>
        </w:rPr>
        <w:t xml:space="preserve">, al medio de impugnación que nos ocupa, con base en el sistema aprobado por el Pleno de este Órgano Garante y lo turnó al </w:t>
      </w:r>
      <w:r w:rsidRPr="002B3420">
        <w:rPr>
          <w:rFonts w:ascii="Palatino Linotype" w:eastAsia="Batang" w:hAnsi="Palatino Linotype" w:cs="Tahoma"/>
          <w:b/>
          <w:bCs/>
          <w:sz w:val="22"/>
          <w:szCs w:val="22"/>
        </w:rPr>
        <w:t>Comisionados</w:t>
      </w:r>
      <w:r w:rsidRPr="002B3420">
        <w:rPr>
          <w:rStyle w:val="normaltextrun"/>
          <w:rFonts w:ascii="Palatino Linotype" w:hAnsi="Palatino Linotype"/>
          <w:color w:val="000000"/>
          <w:shd w:val="clear" w:color="auto" w:fill="FFFFFF"/>
        </w:rPr>
        <w:t xml:space="preserve"> </w:t>
      </w:r>
      <w:r w:rsidRPr="002B3420">
        <w:rPr>
          <w:rFonts w:ascii="Palatino Linotype" w:eastAsia="Batang" w:hAnsi="Palatino Linotype" w:cs="Tahoma"/>
          <w:b/>
          <w:bCs/>
          <w:sz w:val="22"/>
          <w:szCs w:val="22"/>
        </w:rPr>
        <w:t>Luis Gustavo Parra Noriega</w:t>
      </w:r>
      <w:r w:rsidRPr="002B3420">
        <w:rPr>
          <w:rFonts w:ascii="Palatino Linotype" w:eastAsia="Batang" w:hAnsi="Palatino Linotype" w:cs="Tahoma"/>
          <w:b/>
          <w:sz w:val="22"/>
          <w:szCs w:val="22"/>
        </w:rPr>
        <w:t xml:space="preserve"> </w:t>
      </w:r>
      <w:r w:rsidRPr="002B3420">
        <w:rPr>
          <w:rFonts w:ascii="Palatino Linotype" w:eastAsia="Batang" w:hAnsi="Palatino Linotype" w:cs="Tahoma"/>
          <w:sz w:val="22"/>
          <w:szCs w:val="22"/>
        </w:rPr>
        <w:t>para los efectos del artículo 185, fracción I de la Ley de Transparencia y Acceso a la Información Pública del Estado de México y Municipios.</w:t>
      </w:r>
    </w:p>
    <w:p w14:paraId="72FCE1D6" w14:textId="77777777" w:rsidR="004C5F72" w:rsidRPr="002B3420" w:rsidRDefault="004C5F72" w:rsidP="009B438A">
      <w:pPr>
        <w:spacing w:line="360" w:lineRule="auto"/>
        <w:jc w:val="both"/>
        <w:rPr>
          <w:rFonts w:ascii="Palatino Linotype" w:eastAsia="Batang" w:hAnsi="Palatino Linotype" w:cs="Tahoma"/>
          <w:bCs/>
          <w:sz w:val="22"/>
          <w:szCs w:val="22"/>
        </w:rPr>
      </w:pPr>
    </w:p>
    <w:p w14:paraId="6A70B88A" w14:textId="3DC20A11" w:rsidR="004C5F72" w:rsidRPr="002B3420" w:rsidRDefault="004C5F72" w:rsidP="009B438A">
      <w:pPr>
        <w:spacing w:line="360" w:lineRule="auto"/>
        <w:jc w:val="both"/>
        <w:rPr>
          <w:rFonts w:ascii="Palatino Linotype" w:eastAsia="Batang" w:hAnsi="Palatino Linotype" w:cs="Tahoma"/>
          <w:b/>
          <w:bCs/>
          <w:sz w:val="22"/>
          <w:szCs w:val="22"/>
          <w:lang w:val="es-ES_tradnl"/>
        </w:rPr>
      </w:pPr>
      <w:r w:rsidRPr="002B3420">
        <w:rPr>
          <w:rFonts w:ascii="Palatino Linotype" w:eastAsia="Batang" w:hAnsi="Palatino Linotype" w:cs="Tahoma"/>
          <w:b/>
          <w:bCs/>
          <w:sz w:val="22"/>
          <w:szCs w:val="22"/>
        </w:rPr>
        <w:t xml:space="preserve">b) Admisión del </w:t>
      </w:r>
      <w:r w:rsidRPr="002B3420">
        <w:rPr>
          <w:rFonts w:ascii="Palatino Linotype" w:hAnsi="Palatino Linotype" w:cs="Tahoma"/>
          <w:b/>
          <w:sz w:val="22"/>
          <w:szCs w:val="22"/>
        </w:rPr>
        <w:t>Recurso de Revisión</w:t>
      </w:r>
      <w:r w:rsidRPr="002B3420">
        <w:rPr>
          <w:rFonts w:ascii="Palatino Linotype" w:eastAsia="Batang" w:hAnsi="Palatino Linotype" w:cs="Tahoma"/>
          <w:b/>
          <w:bCs/>
          <w:sz w:val="22"/>
          <w:szCs w:val="22"/>
          <w:lang w:val="es-ES_tradnl"/>
        </w:rPr>
        <w:t xml:space="preserve">. </w:t>
      </w:r>
      <w:r w:rsidRPr="002B3420">
        <w:rPr>
          <w:rFonts w:ascii="Palatino Linotype" w:eastAsia="Batang" w:hAnsi="Palatino Linotype" w:cs="Tahoma"/>
          <w:bCs/>
          <w:sz w:val="22"/>
          <w:szCs w:val="22"/>
          <w:lang w:val="es-ES_tradnl"/>
        </w:rPr>
        <w:t xml:space="preserve">El </w:t>
      </w:r>
      <w:r w:rsidR="00EF6D0F" w:rsidRPr="002B3420">
        <w:rPr>
          <w:rFonts w:ascii="Palatino Linotype" w:eastAsia="Batang" w:hAnsi="Palatino Linotype" w:cs="Tahoma"/>
          <w:bCs/>
          <w:sz w:val="22"/>
          <w:szCs w:val="22"/>
          <w:lang w:val="es-ES_tradnl"/>
        </w:rPr>
        <w:t>dos de junio</w:t>
      </w:r>
      <w:r w:rsidRPr="002B3420">
        <w:rPr>
          <w:rFonts w:ascii="Palatino Linotype" w:eastAsia="Batang" w:hAnsi="Palatino Linotype" w:cs="Tahoma"/>
          <w:bCs/>
          <w:sz w:val="22"/>
          <w:szCs w:val="22"/>
          <w:lang w:val="es-ES_tradnl"/>
        </w:rPr>
        <w:t xml:space="preserve"> de dos mil veintidós, se acordó la admisión del Recurso de Revisión interpuesto por El Recurrente en contra del Sujeto Obligado, en términos del artículo 185, fracciones I, II y IV de la Ley de Transparencia y Acceso a la Información Pública del Estado de México y Municipios, el cual fue debidamente notificado </w:t>
      </w:r>
      <w:r w:rsidR="00EF6D0F" w:rsidRPr="002B3420">
        <w:rPr>
          <w:rFonts w:ascii="Palatino Linotype" w:eastAsia="Batang" w:hAnsi="Palatino Linotype" w:cs="Tahoma"/>
          <w:bCs/>
          <w:sz w:val="22"/>
          <w:szCs w:val="22"/>
          <w:lang w:val="es-ES_tradnl"/>
        </w:rPr>
        <w:t>el seis de dicho mes y año</w:t>
      </w:r>
      <w:r w:rsidRPr="002B3420">
        <w:rPr>
          <w:rFonts w:ascii="Palatino Linotype" w:eastAsia="Batang" w:hAnsi="Palatino Linotype" w:cs="Tahoma"/>
          <w:bCs/>
          <w:sz w:val="22"/>
          <w:szCs w:val="22"/>
          <w:lang w:val="es-ES_tradnl"/>
        </w:rPr>
        <w:t xml:space="preserve">, </w:t>
      </w:r>
      <w:r w:rsidRPr="002B3420">
        <w:rPr>
          <w:rFonts w:ascii="Palatino Linotype" w:eastAsia="Batang" w:hAnsi="Palatino Linotype" w:cs="Tahoma"/>
          <w:sz w:val="22"/>
          <w:szCs w:val="22"/>
          <w:lang w:val="es-ES_tradnl"/>
        </w:rPr>
        <w:t>a través del Sistema de Acceso a la Información Mexiquense (SAIMEX), en el que se les otorgó un plazo de siete días hábiles posteriores a la misma, para que manifestaran lo que a su derecho conviniera y formularan alegatos.</w:t>
      </w:r>
    </w:p>
    <w:p w14:paraId="01647242" w14:textId="77777777" w:rsidR="004C5F72" w:rsidRPr="002B3420" w:rsidRDefault="004C5F72" w:rsidP="009B438A">
      <w:pPr>
        <w:spacing w:line="360" w:lineRule="auto"/>
        <w:jc w:val="both"/>
        <w:rPr>
          <w:rFonts w:ascii="Palatino Linotype" w:eastAsia="Batang" w:hAnsi="Palatino Linotype" w:cs="Tahoma"/>
          <w:b/>
          <w:bCs/>
          <w:sz w:val="22"/>
          <w:szCs w:val="22"/>
          <w:lang w:val="es-ES_tradnl"/>
        </w:rPr>
      </w:pPr>
    </w:p>
    <w:p w14:paraId="781AA142" w14:textId="335CC98D" w:rsidR="00CB0567" w:rsidRDefault="004C5F72" w:rsidP="009B438A">
      <w:pPr>
        <w:spacing w:line="360" w:lineRule="auto"/>
        <w:jc w:val="both"/>
        <w:rPr>
          <w:rFonts w:ascii="Palatino Linotype" w:eastAsia="Batang" w:hAnsi="Palatino Linotype" w:cs="Tahoma"/>
          <w:bCs/>
          <w:sz w:val="22"/>
          <w:szCs w:val="22"/>
        </w:rPr>
      </w:pPr>
      <w:r w:rsidRPr="002B3420">
        <w:rPr>
          <w:rFonts w:ascii="Palatino Linotype" w:hAnsi="Palatino Linotype"/>
          <w:b/>
          <w:bCs/>
          <w:sz w:val="22"/>
          <w:szCs w:val="22"/>
        </w:rPr>
        <w:t>c</w:t>
      </w:r>
      <w:r w:rsidRPr="002B3420">
        <w:rPr>
          <w:rFonts w:ascii="Palatino Linotype" w:eastAsia="Batang" w:hAnsi="Palatino Linotype" w:cs="Tahoma"/>
          <w:b/>
          <w:bCs/>
          <w:sz w:val="22"/>
          <w:szCs w:val="22"/>
        </w:rPr>
        <w:t>) Informe Justificado o Manifestaciones.</w:t>
      </w:r>
      <w:r w:rsidR="00EF6D0F" w:rsidRPr="002B3420">
        <w:rPr>
          <w:rFonts w:ascii="Palatino Linotype" w:eastAsia="Batang" w:hAnsi="Palatino Linotype" w:cs="Tahoma"/>
          <w:b/>
          <w:bCs/>
          <w:sz w:val="22"/>
          <w:szCs w:val="22"/>
        </w:rPr>
        <w:t xml:space="preserve"> </w:t>
      </w:r>
      <w:r w:rsidR="00955C54">
        <w:rPr>
          <w:rFonts w:ascii="Palatino Linotype" w:hAnsi="Palatino Linotype" w:cs="Tahoma"/>
          <w:bCs/>
          <w:sz w:val="22"/>
          <w:szCs w:val="22"/>
        </w:rPr>
        <w:t>El</w:t>
      </w:r>
      <w:r w:rsidR="00EF6D0F" w:rsidRPr="002B3420">
        <w:rPr>
          <w:rFonts w:ascii="Palatino Linotype" w:hAnsi="Palatino Linotype" w:cs="Tahoma"/>
          <w:bCs/>
          <w:sz w:val="22"/>
          <w:szCs w:val="22"/>
        </w:rPr>
        <w:t xml:space="preserve"> diez de junio de dos mil veintidós, se recibió a través del </w:t>
      </w:r>
      <w:r w:rsidR="00EF6D0F" w:rsidRPr="002B3420">
        <w:rPr>
          <w:rFonts w:ascii="Palatino Linotype" w:eastAsia="Batang" w:hAnsi="Palatino Linotype" w:cs="Tahoma"/>
          <w:bCs/>
          <w:sz w:val="22"/>
          <w:szCs w:val="22"/>
        </w:rPr>
        <w:t>Sistema de Acceso a la Información Mexiquense (SAIMEX), el Informe Justificado del Sujeto Obligado</w:t>
      </w:r>
      <w:r w:rsidR="00955C54">
        <w:rPr>
          <w:rFonts w:ascii="Palatino Linotype" w:eastAsia="Batang" w:hAnsi="Palatino Linotype" w:cs="Tahoma"/>
          <w:bCs/>
          <w:sz w:val="22"/>
          <w:szCs w:val="22"/>
        </w:rPr>
        <w:t>,</w:t>
      </w:r>
      <w:r w:rsidR="00EF6D0F" w:rsidRPr="002B3420">
        <w:rPr>
          <w:rFonts w:ascii="Palatino Linotype" w:eastAsia="Batang" w:hAnsi="Palatino Linotype" w:cs="Tahoma"/>
          <w:bCs/>
          <w:sz w:val="22"/>
          <w:szCs w:val="22"/>
        </w:rPr>
        <w:t xml:space="preserve"> por medio del </w:t>
      </w:r>
      <w:r w:rsidR="00955C54" w:rsidRPr="00955C54">
        <w:rPr>
          <w:rFonts w:ascii="Palatino Linotype" w:eastAsia="Batang" w:hAnsi="Palatino Linotype" w:cs="Tahoma"/>
          <w:bCs/>
          <w:sz w:val="22"/>
          <w:szCs w:val="22"/>
        </w:rPr>
        <w:t>o</w:t>
      </w:r>
      <w:r w:rsidR="00CB0567" w:rsidRPr="00955C54">
        <w:rPr>
          <w:rFonts w:ascii="Palatino Linotype" w:eastAsia="Batang" w:hAnsi="Palatino Linotype" w:cs="Tahoma"/>
          <w:bCs/>
          <w:sz w:val="22"/>
          <w:szCs w:val="22"/>
        </w:rPr>
        <w:t>ficio PMH/DA/188/06/2022</w:t>
      </w:r>
      <w:r w:rsidR="00955C54">
        <w:rPr>
          <w:rFonts w:ascii="Palatino Linotype" w:eastAsia="Batang" w:hAnsi="Palatino Linotype" w:cs="Tahoma"/>
          <w:bCs/>
          <w:sz w:val="22"/>
          <w:szCs w:val="22"/>
        </w:rPr>
        <w:t xml:space="preserve">, del </w:t>
      </w:r>
      <w:r w:rsidR="00CB0567" w:rsidRPr="00955C54">
        <w:rPr>
          <w:rFonts w:ascii="Palatino Linotype" w:eastAsia="Batang" w:hAnsi="Palatino Linotype" w:cs="Tahoma"/>
          <w:bCs/>
          <w:sz w:val="22"/>
          <w:szCs w:val="22"/>
        </w:rPr>
        <w:t xml:space="preserve">nueve </w:t>
      </w:r>
      <w:r w:rsidR="00AD57E5">
        <w:rPr>
          <w:rFonts w:ascii="Palatino Linotype" w:eastAsia="Batang" w:hAnsi="Palatino Linotype" w:cs="Tahoma"/>
          <w:bCs/>
          <w:sz w:val="22"/>
          <w:szCs w:val="22"/>
        </w:rPr>
        <w:t>de dicho mes y año</w:t>
      </w:r>
      <w:r w:rsidR="00CB0567" w:rsidRPr="00955C54">
        <w:rPr>
          <w:rFonts w:ascii="Palatino Linotype" w:eastAsia="Batang" w:hAnsi="Palatino Linotype" w:cs="Tahoma"/>
          <w:bCs/>
          <w:sz w:val="22"/>
          <w:szCs w:val="22"/>
        </w:rPr>
        <w:t xml:space="preserve">, suscrito por la </w:t>
      </w:r>
      <w:r w:rsidR="00AD57E5">
        <w:rPr>
          <w:rFonts w:ascii="Palatino Linotype" w:eastAsia="Batang" w:hAnsi="Palatino Linotype" w:cs="Tahoma"/>
          <w:bCs/>
          <w:sz w:val="22"/>
          <w:szCs w:val="22"/>
        </w:rPr>
        <w:t>D</w:t>
      </w:r>
      <w:r w:rsidR="00CB0567" w:rsidRPr="00955C54">
        <w:rPr>
          <w:rFonts w:ascii="Palatino Linotype" w:eastAsia="Batang" w:hAnsi="Palatino Linotype" w:cs="Tahoma"/>
          <w:bCs/>
          <w:sz w:val="22"/>
          <w:szCs w:val="22"/>
        </w:rPr>
        <w:t>irectora de Administración</w:t>
      </w:r>
      <w:r w:rsidR="00AD57E5">
        <w:rPr>
          <w:rFonts w:ascii="Palatino Linotype" w:eastAsia="Batang" w:hAnsi="Palatino Linotype" w:cs="Tahoma"/>
          <w:bCs/>
          <w:sz w:val="22"/>
          <w:szCs w:val="22"/>
        </w:rPr>
        <w:t xml:space="preserve"> y dirigido al Jefe de la Unidad de Transparencia y Acceso a la Información Pública, cuyo contenido es el siguiente:</w:t>
      </w:r>
    </w:p>
    <w:p w14:paraId="09ACF859" w14:textId="4BC024CE" w:rsidR="00AD57E5" w:rsidRDefault="00AD57E5" w:rsidP="009B438A">
      <w:pPr>
        <w:spacing w:line="360" w:lineRule="auto"/>
        <w:jc w:val="both"/>
        <w:rPr>
          <w:rFonts w:ascii="Palatino Linotype" w:eastAsia="Batang" w:hAnsi="Palatino Linotype" w:cs="Tahoma"/>
          <w:bCs/>
          <w:sz w:val="22"/>
          <w:szCs w:val="22"/>
        </w:rPr>
      </w:pPr>
    </w:p>
    <w:p w14:paraId="2550CEB3" w14:textId="06DDD397" w:rsidR="00AD57E5" w:rsidRPr="002B3420" w:rsidRDefault="00AD57E5" w:rsidP="009B438A">
      <w:pPr>
        <w:spacing w:line="360" w:lineRule="auto"/>
        <w:jc w:val="center"/>
        <w:rPr>
          <w:rFonts w:ascii="Palatino Linotype" w:eastAsia="Batang" w:hAnsi="Palatino Linotype" w:cs="Tahoma"/>
          <w:bCs/>
          <w:szCs w:val="22"/>
        </w:rPr>
      </w:pPr>
      <w:r>
        <w:rPr>
          <w:noProof/>
        </w:rPr>
        <w:drawing>
          <wp:inline distT="0" distB="0" distL="0" distR="0" wp14:anchorId="070AF7BD" wp14:editId="52618F64">
            <wp:extent cx="4969852" cy="208597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96715" cy="2097250"/>
                    </a:xfrm>
                    <a:prstGeom prst="rect">
                      <a:avLst/>
                    </a:prstGeom>
                  </pic:spPr>
                </pic:pic>
              </a:graphicData>
            </a:graphic>
          </wp:inline>
        </w:drawing>
      </w:r>
    </w:p>
    <w:p w14:paraId="5A8E46E8" w14:textId="02AA8E78" w:rsidR="00CB0567" w:rsidRPr="002B3420" w:rsidRDefault="004C5F72" w:rsidP="009B438A">
      <w:pPr>
        <w:spacing w:line="360" w:lineRule="auto"/>
        <w:jc w:val="both"/>
        <w:rPr>
          <w:rFonts w:ascii="Palatino Linotype" w:eastAsia="Batang" w:hAnsi="Palatino Linotype" w:cs="Tahoma"/>
          <w:bCs/>
          <w:sz w:val="22"/>
          <w:szCs w:val="22"/>
        </w:rPr>
      </w:pPr>
      <w:r w:rsidRPr="002B3420">
        <w:rPr>
          <w:rFonts w:ascii="Palatino Linotype" w:eastAsia="Calibri" w:hAnsi="Palatino Linotype" w:cs="Tahoma"/>
          <w:b/>
          <w:bCs/>
          <w:sz w:val="22"/>
          <w:szCs w:val="22"/>
          <w:lang w:val="es-ES"/>
        </w:rPr>
        <w:lastRenderedPageBreak/>
        <w:t xml:space="preserve">d) </w:t>
      </w:r>
      <w:r w:rsidR="00CB0567" w:rsidRPr="002B3420">
        <w:rPr>
          <w:rFonts w:ascii="Palatino Linotype" w:hAnsi="Palatino Linotype" w:cs="Tahoma"/>
          <w:b/>
          <w:sz w:val="22"/>
          <w:szCs w:val="22"/>
        </w:rPr>
        <w:t>Vista del Informe Justificado.</w:t>
      </w:r>
      <w:r w:rsidR="00CB0567" w:rsidRPr="002B3420">
        <w:rPr>
          <w:rFonts w:ascii="Palatino Linotype" w:hAnsi="Palatino Linotype" w:cs="Tahoma"/>
          <w:sz w:val="22"/>
          <w:szCs w:val="22"/>
        </w:rPr>
        <w:t xml:space="preserve"> El veintiocho de junio de dos mil veintidós, se dictó acuerdo mediante el cual se puso a la vista del Particular el Informe Justificado presentado por el Sujeto Obligado, el cual fue notificado, a través del Sistema de Acceso a la Información Mexiquense (SAIMEX). </w:t>
      </w:r>
      <w:r w:rsidR="00CB0567" w:rsidRPr="002B3420">
        <w:rPr>
          <w:rFonts w:ascii="Palatino Linotype" w:hAnsi="Palatino Linotype" w:cs="Tahoma"/>
          <w:b/>
          <w:sz w:val="22"/>
          <w:szCs w:val="22"/>
        </w:rPr>
        <w:t>Cabe señalar, que el Particular fue omiso en emitir manifestaciones que a su derecho conviniera.</w:t>
      </w:r>
    </w:p>
    <w:p w14:paraId="3DFAD370" w14:textId="1F430D3F" w:rsidR="00CB0567" w:rsidRPr="002B3420" w:rsidRDefault="00CB0567" w:rsidP="009B438A">
      <w:pPr>
        <w:spacing w:line="360" w:lineRule="auto"/>
        <w:jc w:val="both"/>
        <w:rPr>
          <w:rFonts w:ascii="Palatino Linotype" w:eastAsia="Calibri" w:hAnsi="Palatino Linotype" w:cs="Tahoma"/>
          <w:b/>
          <w:bCs/>
          <w:sz w:val="22"/>
          <w:szCs w:val="22"/>
          <w:lang w:val="es-ES"/>
        </w:rPr>
      </w:pPr>
    </w:p>
    <w:p w14:paraId="4C8A2C29" w14:textId="1DC07B91" w:rsidR="004C5F72" w:rsidRPr="002B3420" w:rsidRDefault="00CB0567" w:rsidP="009B438A">
      <w:pPr>
        <w:spacing w:line="360" w:lineRule="auto"/>
        <w:jc w:val="both"/>
        <w:rPr>
          <w:rFonts w:ascii="Palatino Linotype" w:hAnsi="Palatino Linotype" w:cs="Tahoma"/>
          <w:sz w:val="22"/>
          <w:szCs w:val="22"/>
        </w:rPr>
      </w:pPr>
      <w:r w:rsidRPr="002B3420">
        <w:rPr>
          <w:rFonts w:ascii="Palatino Linotype" w:hAnsi="Palatino Linotype" w:cs="Tahoma"/>
          <w:b/>
          <w:sz w:val="22"/>
          <w:szCs w:val="22"/>
        </w:rPr>
        <w:t xml:space="preserve">e) </w:t>
      </w:r>
      <w:r w:rsidR="004C5F72" w:rsidRPr="002B3420">
        <w:rPr>
          <w:rFonts w:ascii="Palatino Linotype" w:hAnsi="Palatino Linotype" w:cs="Tahoma"/>
          <w:b/>
          <w:sz w:val="22"/>
          <w:szCs w:val="22"/>
        </w:rPr>
        <w:t>Cierre de instrucción.</w:t>
      </w:r>
      <w:r w:rsidR="004C5F72" w:rsidRPr="002B3420">
        <w:rPr>
          <w:rFonts w:ascii="Palatino Linotype" w:hAnsi="Palatino Linotype" w:cs="Tahoma"/>
          <w:sz w:val="22"/>
          <w:szCs w:val="22"/>
        </w:rPr>
        <w:t xml:space="preserve"> El </w:t>
      </w:r>
      <w:r w:rsidRPr="002B3420">
        <w:rPr>
          <w:rFonts w:ascii="Palatino Linotype" w:hAnsi="Palatino Linotype" w:cs="Tahoma"/>
          <w:sz w:val="22"/>
          <w:szCs w:val="22"/>
        </w:rPr>
        <w:t xml:space="preserve">once de julio </w:t>
      </w:r>
      <w:r w:rsidR="004C5F72" w:rsidRPr="002B3420">
        <w:rPr>
          <w:rFonts w:ascii="Palatino Linotype" w:hAnsi="Palatino Linotype" w:cs="Tahoma"/>
          <w:sz w:val="22"/>
          <w:szCs w:val="22"/>
        </w:rPr>
        <w:t xml:space="preserve">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w:t>
      </w:r>
      <w:r w:rsidR="00FF3499" w:rsidRPr="002B3420">
        <w:rPr>
          <w:rFonts w:ascii="Palatino Linotype" w:hAnsi="Palatino Linotype" w:cs="Tahoma"/>
          <w:sz w:val="22"/>
          <w:szCs w:val="22"/>
        </w:rPr>
        <w:t>mismo día</w:t>
      </w:r>
      <w:r w:rsidR="004C5F72" w:rsidRPr="002B3420">
        <w:rPr>
          <w:rFonts w:ascii="Palatino Linotype" w:hAnsi="Palatino Linotype" w:cs="Tahoma"/>
          <w:sz w:val="22"/>
          <w:szCs w:val="22"/>
        </w:rPr>
        <w:t xml:space="preserve">, a través del </w:t>
      </w:r>
      <w:r w:rsidR="004C5F72" w:rsidRPr="002B3420">
        <w:rPr>
          <w:rFonts w:ascii="Palatino Linotype" w:hAnsi="Palatino Linotype" w:cs="Tahoma"/>
          <w:sz w:val="22"/>
          <w:szCs w:val="22"/>
          <w:lang w:val="es-ES"/>
        </w:rPr>
        <w:t>Sistema de Acceso a la Información Mexiquense (SAIMEX)</w:t>
      </w:r>
      <w:r w:rsidR="004C5F72" w:rsidRPr="002B3420">
        <w:rPr>
          <w:rFonts w:ascii="Palatino Linotype" w:hAnsi="Palatino Linotype" w:cs="Tahoma"/>
          <w:sz w:val="22"/>
          <w:szCs w:val="22"/>
        </w:rPr>
        <w:t>.</w:t>
      </w:r>
    </w:p>
    <w:p w14:paraId="0FFAA60A" w14:textId="77777777" w:rsidR="00FF3499" w:rsidRPr="002B3420" w:rsidRDefault="00FF3499" w:rsidP="009B438A">
      <w:pPr>
        <w:spacing w:line="360" w:lineRule="auto"/>
        <w:jc w:val="both"/>
        <w:rPr>
          <w:rFonts w:ascii="Palatino Linotype" w:hAnsi="Palatino Linotype" w:cs="Tahoma"/>
          <w:sz w:val="22"/>
          <w:szCs w:val="22"/>
        </w:rPr>
      </w:pPr>
    </w:p>
    <w:p w14:paraId="6BCCFD51" w14:textId="5EA400A2" w:rsidR="004C5F72" w:rsidRPr="002B3420" w:rsidRDefault="004F0F15" w:rsidP="009B438A">
      <w:pPr>
        <w:spacing w:line="360" w:lineRule="auto"/>
        <w:jc w:val="both"/>
        <w:rPr>
          <w:rFonts w:ascii="Palatino Linotype" w:eastAsia="Calibri" w:hAnsi="Palatino Linotype" w:cs="Tahoma"/>
          <w:bCs/>
          <w:sz w:val="22"/>
          <w:szCs w:val="22"/>
          <w:lang w:val="es-ES"/>
        </w:rPr>
      </w:pPr>
      <w:r w:rsidRPr="002B3420">
        <w:rPr>
          <w:rFonts w:ascii="Palatino Linotype" w:hAnsi="Palatino Linotype" w:cs="Tahoma"/>
          <w:b/>
          <w:bCs/>
          <w:sz w:val="22"/>
          <w:szCs w:val="22"/>
        </w:rPr>
        <w:t>f</w:t>
      </w:r>
      <w:r w:rsidR="004C5F72" w:rsidRPr="002B3420">
        <w:rPr>
          <w:rFonts w:ascii="Palatino Linotype" w:hAnsi="Palatino Linotype" w:cs="Tahoma"/>
          <w:b/>
          <w:bCs/>
          <w:sz w:val="22"/>
          <w:szCs w:val="22"/>
        </w:rPr>
        <w:t xml:space="preserve">) </w:t>
      </w:r>
      <w:r w:rsidR="004C5F72" w:rsidRPr="002B3420">
        <w:rPr>
          <w:rFonts w:ascii="Palatino Linotype" w:eastAsia="Calibri" w:hAnsi="Palatino Linotype" w:cs="Tahoma"/>
          <w:b/>
          <w:bCs/>
          <w:sz w:val="22"/>
          <w:szCs w:val="22"/>
          <w:lang w:val="es-ES"/>
        </w:rPr>
        <w:t xml:space="preserve">Ampliación de plazo para resolver. </w:t>
      </w:r>
      <w:r w:rsidR="004C5F72" w:rsidRPr="002B3420">
        <w:rPr>
          <w:rFonts w:ascii="Palatino Linotype" w:eastAsia="Calibri" w:hAnsi="Palatino Linotype" w:cs="Tahoma"/>
          <w:bCs/>
          <w:sz w:val="22"/>
          <w:szCs w:val="22"/>
          <w:lang w:val="es-ES"/>
        </w:rPr>
        <w:t xml:space="preserve">El </w:t>
      </w:r>
      <w:r w:rsidR="00AD57E5">
        <w:rPr>
          <w:rFonts w:ascii="Palatino Linotype" w:eastAsia="Calibri" w:hAnsi="Palatino Linotype" w:cs="Tahoma"/>
          <w:bCs/>
          <w:sz w:val="22"/>
          <w:szCs w:val="22"/>
          <w:lang w:val="es-ES"/>
        </w:rPr>
        <w:t>primero</w:t>
      </w:r>
      <w:r w:rsidR="00FF3499" w:rsidRPr="002B3420">
        <w:rPr>
          <w:rFonts w:ascii="Palatino Linotype" w:eastAsia="Calibri" w:hAnsi="Palatino Linotype" w:cs="Tahoma"/>
          <w:bCs/>
          <w:sz w:val="22"/>
          <w:szCs w:val="22"/>
          <w:lang w:val="es-ES"/>
        </w:rPr>
        <w:t xml:space="preserve"> de agosto</w:t>
      </w:r>
      <w:r w:rsidR="004C5F72" w:rsidRPr="002B3420">
        <w:rPr>
          <w:rFonts w:ascii="Palatino Linotype" w:eastAsia="Calibri" w:hAnsi="Palatino Linotype" w:cs="Tahoma"/>
          <w:bCs/>
          <w:sz w:val="22"/>
          <w:szCs w:val="22"/>
        </w:rPr>
        <w:t xml:space="preserve"> de dos mil veintidós</w:t>
      </w:r>
      <w:r w:rsidR="004C5F72" w:rsidRPr="002B3420">
        <w:rPr>
          <w:rFonts w:ascii="Palatino Linotype" w:eastAsia="Calibri" w:hAnsi="Palatino Linotype" w:cs="Tahoma"/>
          <w:bCs/>
          <w:sz w:val="22"/>
          <w:szCs w:val="22"/>
          <w:lang w:val="es-ES"/>
        </w:rPr>
        <w:t>,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r w:rsidR="00CB0567" w:rsidRPr="002B3420">
        <w:rPr>
          <w:rFonts w:ascii="Palatino Linotype" w:eastAsia="Calibri" w:hAnsi="Palatino Linotype" w:cs="Tahoma"/>
          <w:bCs/>
          <w:sz w:val="22"/>
          <w:szCs w:val="22"/>
          <w:lang w:val="es-ES"/>
        </w:rPr>
        <w:t xml:space="preserve">, el </w:t>
      </w:r>
      <w:r w:rsidR="00AD57E5">
        <w:rPr>
          <w:rFonts w:ascii="Palatino Linotype" w:eastAsia="Calibri" w:hAnsi="Palatino Linotype" w:cs="Tahoma"/>
          <w:bCs/>
          <w:sz w:val="22"/>
          <w:szCs w:val="22"/>
          <w:lang w:val="es-ES"/>
        </w:rPr>
        <w:t>tres de dicho mes y año</w:t>
      </w:r>
      <w:r w:rsidR="00CB0567" w:rsidRPr="002B3420">
        <w:rPr>
          <w:rFonts w:ascii="Palatino Linotype" w:eastAsia="Calibri" w:hAnsi="Palatino Linotype" w:cs="Tahoma"/>
          <w:bCs/>
          <w:sz w:val="22"/>
          <w:szCs w:val="22"/>
          <w:lang w:val="es-ES"/>
        </w:rPr>
        <w:t>.</w:t>
      </w:r>
    </w:p>
    <w:p w14:paraId="321EFB78" w14:textId="77777777" w:rsidR="004C5F72" w:rsidRPr="002B3420" w:rsidRDefault="004C5F72" w:rsidP="009B438A">
      <w:pPr>
        <w:spacing w:line="360" w:lineRule="auto"/>
        <w:contextualSpacing/>
        <w:jc w:val="both"/>
        <w:rPr>
          <w:rFonts w:ascii="Palatino Linotype" w:eastAsia="Batang" w:hAnsi="Palatino Linotype" w:cs="Tahoma"/>
          <w:b/>
          <w:bCs/>
          <w:sz w:val="22"/>
          <w:szCs w:val="22"/>
        </w:rPr>
      </w:pPr>
    </w:p>
    <w:p w14:paraId="50D4FBF3" w14:textId="15D27238" w:rsidR="00FF3499" w:rsidRPr="002B3420" w:rsidRDefault="004C5F72" w:rsidP="009B438A">
      <w:pPr>
        <w:spacing w:line="360" w:lineRule="auto"/>
        <w:contextualSpacing/>
        <w:jc w:val="both"/>
        <w:rPr>
          <w:rFonts w:ascii="Palatino Linotype" w:eastAsia="Calibri" w:hAnsi="Palatino Linotype" w:cs="Tahoma"/>
          <w:b/>
          <w:bCs/>
          <w:sz w:val="22"/>
          <w:szCs w:val="22"/>
          <w:lang w:eastAsia="en-US"/>
        </w:rPr>
      </w:pPr>
      <w:r w:rsidRPr="002B3420">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25231EBE" w14:textId="77777777" w:rsidR="00FF3499" w:rsidRPr="002B3420" w:rsidRDefault="00FF3499" w:rsidP="009B438A">
      <w:pPr>
        <w:spacing w:line="360" w:lineRule="auto"/>
        <w:jc w:val="center"/>
        <w:rPr>
          <w:rFonts w:ascii="Palatino Linotype" w:hAnsi="Palatino Linotype"/>
          <w:b/>
          <w:sz w:val="22"/>
          <w:szCs w:val="22"/>
        </w:rPr>
      </w:pPr>
    </w:p>
    <w:p w14:paraId="70A25817" w14:textId="30FE6AC5" w:rsidR="004C5F72" w:rsidRPr="002B3420" w:rsidRDefault="004C5F72" w:rsidP="009B438A">
      <w:pPr>
        <w:spacing w:line="360" w:lineRule="auto"/>
        <w:jc w:val="center"/>
        <w:rPr>
          <w:rFonts w:ascii="Palatino Linotype" w:hAnsi="Palatino Linotype"/>
          <w:b/>
          <w:sz w:val="22"/>
          <w:szCs w:val="22"/>
        </w:rPr>
      </w:pPr>
      <w:r w:rsidRPr="002B3420">
        <w:rPr>
          <w:rFonts w:ascii="Palatino Linotype" w:hAnsi="Palatino Linotype"/>
          <w:b/>
          <w:sz w:val="22"/>
          <w:szCs w:val="22"/>
        </w:rPr>
        <w:t>C O N S I D E R A N D O S</w:t>
      </w:r>
    </w:p>
    <w:p w14:paraId="1F1A5E0C" w14:textId="77777777" w:rsidR="004C5F72" w:rsidRPr="002B3420" w:rsidRDefault="004C5F72" w:rsidP="009B438A">
      <w:pPr>
        <w:spacing w:line="360" w:lineRule="auto"/>
        <w:jc w:val="center"/>
        <w:rPr>
          <w:rFonts w:ascii="Palatino Linotype" w:hAnsi="Palatino Linotype"/>
          <w:b/>
          <w:sz w:val="22"/>
          <w:szCs w:val="22"/>
        </w:rPr>
      </w:pPr>
    </w:p>
    <w:p w14:paraId="5196B738" w14:textId="77777777" w:rsidR="004C5F72" w:rsidRPr="002B3420" w:rsidRDefault="004C5F72" w:rsidP="009B438A">
      <w:pPr>
        <w:autoSpaceDE w:val="0"/>
        <w:autoSpaceDN w:val="0"/>
        <w:adjustRightInd w:val="0"/>
        <w:spacing w:line="360" w:lineRule="auto"/>
        <w:jc w:val="both"/>
        <w:rPr>
          <w:rFonts w:ascii="Palatino Linotype" w:hAnsi="Palatino Linotype" w:cs="Tahoma"/>
          <w:b/>
          <w:sz w:val="22"/>
          <w:szCs w:val="24"/>
          <w:lang w:val="es-ES"/>
        </w:rPr>
      </w:pPr>
      <w:r w:rsidRPr="002B3420">
        <w:rPr>
          <w:rFonts w:ascii="Palatino Linotype" w:eastAsia="Calibri" w:hAnsi="Palatino Linotype" w:cs="Tahoma"/>
          <w:b/>
          <w:color w:val="000000"/>
          <w:sz w:val="22"/>
          <w:szCs w:val="24"/>
          <w:lang w:val="es-ES" w:eastAsia="es-MX"/>
        </w:rPr>
        <w:t>PRIMERO</w:t>
      </w:r>
      <w:r w:rsidRPr="002B3420">
        <w:rPr>
          <w:rFonts w:ascii="Palatino Linotype" w:eastAsia="Calibri" w:hAnsi="Palatino Linotype" w:cs="Tahoma"/>
          <w:color w:val="000000"/>
          <w:sz w:val="22"/>
          <w:szCs w:val="24"/>
          <w:lang w:val="es-ES" w:eastAsia="es-MX"/>
        </w:rPr>
        <w:t xml:space="preserve">. </w:t>
      </w:r>
      <w:r w:rsidRPr="002B3420">
        <w:rPr>
          <w:rFonts w:ascii="Palatino Linotype" w:hAnsi="Palatino Linotype" w:cs="Tahoma"/>
          <w:b/>
          <w:sz w:val="22"/>
          <w:szCs w:val="24"/>
          <w:lang w:val="es-ES"/>
        </w:rPr>
        <w:t>Competencia.</w:t>
      </w:r>
    </w:p>
    <w:p w14:paraId="7605B687" w14:textId="77777777" w:rsidR="004C5F72" w:rsidRPr="002B3420" w:rsidRDefault="004C5F72" w:rsidP="009B438A">
      <w:pPr>
        <w:spacing w:line="360" w:lineRule="auto"/>
        <w:contextualSpacing/>
        <w:jc w:val="both"/>
        <w:rPr>
          <w:rFonts w:ascii="Palatino Linotype" w:hAnsi="Palatino Linotype" w:cs="Tahoma"/>
          <w:color w:val="000000"/>
          <w:sz w:val="22"/>
          <w:szCs w:val="22"/>
        </w:rPr>
      </w:pPr>
      <w:r w:rsidRPr="002B3420">
        <w:rPr>
          <w:rFonts w:ascii="Palatino Linotype" w:hAnsi="Palatino Linotype" w:cs="Tahoma"/>
          <w:color w:val="000000"/>
          <w:sz w:val="22"/>
          <w:szCs w:val="22"/>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B3420">
        <w:rPr>
          <w:rFonts w:ascii="Palatino Linotype" w:hAnsi="Palatino Linotype"/>
          <w:color w:val="000000"/>
          <w:szCs w:val="22"/>
        </w:rPr>
        <w:t xml:space="preserve"> 7°, </w:t>
      </w:r>
      <w:r w:rsidRPr="002B3420">
        <w:rPr>
          <w:rFonts w:ascii="Palatino Linotype" w:hAnsi="Palatino Linotype" w:cs="Tahoma"/>
          <w:color w:val="000000"/>
          <w:sz w:val="22"/>
          <w:szCs w:val="22"/>
        </w:rPr>
        <w:t>9°, fracciones I y XXIV y 11 del Reglamento Interior del Instituto de Transparencia, Acceso a la Información Pública y Protección de Datos Personales del Estado de México y Municipios.</w:t>
      </w:r>
    </w:p>
    <w:p w14:paraId="543857D2" w14:textId="12B6C4B3" w:rsidR="004C5F72" w:rsidRPr="002B3420" w:rsidRDefault="004C5F72" w:rsidP="009B438A">
      <w:pPr>
        <w:spacing w:line="360" w:lineRule="auto"/>
        <w:contextualSpacing/>
        <w:jc w:val="both"/>
        <w:rPr>
          <w:rFonts w:ascii="Palatino Linotype" w:hAnsi="Palatino Linotype" w:cs="Tahoma"/>
          <w:color w:val="000000"/>
          <w:sz w:val="22"/>
          <w:szCs w:val="22"/>
        </w:rPr>
      </w:pPr>
    </w:p>
    <w:p w14:paraId="108DFA05" w14:textId="77777777" w:rsidR="004C5F72" w:rsidRPr="002B3420" w:rsidRDefault="004C5F72" w:rsidP="009B438A">
      <w:pPr>
        <w:autoSpaceDE w:val="0"/>
        <w:autoSpaceDN w:val="0"/>
        <w:adjustRightInd w:val="0"/>
        <w:spacing w:line="360" w:lineRule="auto"/>
        <w:jc w:val="both"/>
        <w:rPr>
          <w:rFonts w:ascii="Palatino Linotype" w:hAnsi="Palatino Linotype" w:cs="Tahoma"/>
          <w:sz w:val="22"/>
          <w:szCs w:val="24"/>
          <w:lang w:val="es-ES"/>
        </w:rPr>
      </w:pPr>
      <w:r w:rsidRPr="002B3420">
        <w:rPr>
          <w:rFonts w:ascii="Palatino Linotype" w:eastAsia="Calibri" w:hAnsi="Palatino Linotype" w:cs="Tahoma"/>
          <w:b/>
          <w:color w:val="000000"/>
          <w:sz w:val="22"/>
          <w:szCs w:val="24"/>
          <w:lang w:val="es-ES" w:eastAsia="es-MX"/>
        </w:rPr>
        <w:t>SEGUNDO</w:t>
      </w:r>
      <w:r w:rsidRPr="002B3420">
        <w:rPr>
          <w:rFonts w:ascii="Palatino Linotype" w:eastAsia="Calibri" w:hAnsi="Palatino Linotype" w:cs="Tahoma"/>
          <w:color w:val="000000"/>
          <w:sz w:val="22"/>
          <w:szCs w:val="24"/>
          <w:lang w:val="es-ES" w:eastAsia="es-MX"/>
        </w:rPr>
        <w:t xml:space="preserve">. </w:t>
      </w:r>
      <w:r w:rsidRPr="002B3420">
        <w:rPr>
          <w:rFonts w:ascii="Palatino Linotype" w:hAnsi="Palatino Linotype"/>
          <w:b/>
          <w:bCs/>
          <w:color w:val="000000"/>
          <w:sz w:val="22"/>
          <w:szCs w:val="22"/>
          <w:lang w:val="es-ES"/>
        </w:rPr>
        <w:t>Causales de procedencia y sobreseimiento.</w:t>
      </w:r>
    </w:p>
    <w:p w14:paraId="31BD466B" w14:textId="77777777" w:rsidR="004C5F72" w:rsidRPr="002B3420" w:rsidRDefault="004C5F72" w:rsidP="009B438A">
      <w:pPr>
        <w:autoSpaceDE w:val="0"/>
        <w:autoSpaceDN w:val="0"/>
        <w:adjustRightInd w:val="0"/>
        <w:spacing w:line="360" w:lineRule="auto"/>
        <w:jc w:val="both"/>
        <w:rPr>
          <w:rFonts w:ascii="Palatino Linotype" w:hAnsi="Palatino Linotype" w:cs="Tahoma"/>
          <w:sz w:val="22"/>
          <w:szCs w:val="24"/>
          <w:lang w:val="es-ES"/>
        </w:rPr>
      </w:pPr>
    </w:p>
    <w:p w14:paraId="45433DFA" w14:textId="77777777" w:rsidR="004C5F72" w:rsidRPr="002B3420" w:rsidRDefault="004C5F72" w:rsidP="009B438A">
      <w:pPr>
        <w:autoSpaceDE w:val="0"/>
        <w:autoSpaceDN w:val="0"/>
        <w:adjustRightInd w:val="0"/>
        <w:spacing w:line="360" w:lineRule="auto"/>
        <w:jc w:val="both"/>
        <w:rPr>
          <w:rFonts w:ascii="Palatino Linotype" w:hAnsi="Palatino Linotype" w:cs="Tahoma"/>
          <w:sz w:val="22"/>
          <w:szCs w:val="24"/>
          <w:lang w:val="es-ES"/>
        </w:rPr>
      </w:pPr>
      <w:r w:rsidRPr="002B3420">
        <w:rPr>
          <w:rFonts w:ascii="Palatino Linotype" w:hAnsi="Palatino Linotype" w:cs="Tahoma"/>
          <w:sz w:val="22"/>
          <w:szCs w:val="24"/>
          <w:lang w:val="es-ES"/>
        </w:rPr>
        <w:t xml:space="preserve">De las constancias que forma parte del Recurso de Revisión que se analiza, se advierte que previo al estudio del fondo de la </w:t>
      </w:r>
      <w:r w:rsidRPr="002B3420">
        <w:rPr>
          <w:rFonts w:ascii="Palatino Linotype" w:hAnsi="Palatino Linotype" w:cs="Tahoma"/>
          <w:i/>
          <w:sz w:val="22"/>
          <w:szCs w:val="24"/>
          <w:lang w:val="es-ES"/>
        </w:rPr>
        <w:t>litis</w:t>
      </w:r>
      <w:r w:rsidRPr="002B3420">
        <w:rPr>
          <w:rFonts w:ascii="Palatino Linotype" w:hAnsi="Palatino Linotype" w:cs="Tahoma"/>
          <w:sz w:val="22"/>
          <w:szCs w:val="24"/>
          <w:lang w:val="es-ES"/>
        </w:rPr>
        <w:t>, es necesario estudiar las causales de improcedencia y sobreseimiento que se adviertan, para determinar lo que en Derecho proceda.</w:t>
      </w:r>
    </w:p>
    <w:p w14:paraId="0EE3AF28" w14:textId="77777777" w:rsidR="004F0F15" w:rsidRPr="002B3420" w:rsidRDefault="004F0F15" w:rsidP="009B438A">
      <w:pPr>
        <w:autoSpaceDE w:val="0"/>
        <w:autoSpaceDN w:val="0"/>
        <w:adjustRightInd w:val="0"/>
        <w:spacing w:line="360" w:lineRule="auto"/>
        <w:jc w:val="both"/>
        <w:rPr>
          <w:rFonts w:ascii="Palatino Linotype" w:eastAsia="Calibri" w:hAnsi="Palatino Linotype" w:cs="Tahoma"/>
          <w:b/>
          <w:color w:val="000000"/>
          <w:sz w:val="22"/>
          <w:szCs w:val="24"/>
          <w:lang w:val="es-ES" w:eastAsia="es-MX"/>
        </w:rPr>
      </w:pPr>
    </w:p>
    <w:p w14:paraId="7F4BE11A" w14:textId="612CCDE5" w:rsidR="004C5F72" w:rsidRPr="002B3420" w:rsidRDefault="004C5F72" w:rsidP="009B438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2B3420">
        <w:rPr>
          <w:rFonts w:ascii="Palatino Linotype" w:eastAsia="Calibri" w:hAnsi="Palatino Linotype" w:cs="Tahoma"/>
          <w:b/>
          <w:color w:val="000000"/>
          <w:sz w:val="22"/>
          <w:szCs w:val="24"/>
          <w:lang w:val="es-ES" w:eastAsia="es-MX"/>
        </w:rPr>
        <w:t>Causales de improcedencia.</w:t>
      </w:r>
      <w:r w:rsidRPr="002B3420">
        <w:rPr>
          <w:rFonts w:ascii="Palatino Linotype" w:eastAsia="Calibri" w:hAnsi="Palatino Linotype" w:cs="Tahoma"/>
          <w:color w:val="000000"/>
          <w:sz w:val="22"/>
          <w:szCs w:val="24"/>
          <w:lang w:val="es-ES" w:eastAsia="es-MX"/>
        </w:rPr>
        <w:t xml:space="preserve"> </w:t>
      </w:r>
    </w:p>
    <w:p w14:paraId="1D07AC77" w14:textId="77777777" w:rsidR="004C5F72" w:rsidRPr="002B3420" w:rsidRDefault="004C5F72" w:rsidP="009B438A">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p>
    <w:p w14:paraId="4A701B2F" w14:textId="77777777" w:rsidR="004C5F72" w:rsidRPr="002B3420" w:rsidRDefault="004C5F72" w:rsidP="009B438A">
      <w:pPr>
        <w:spacing w:line="360" w:lineRule="auto"/>
        <w:jc w:val="both"/>
        <w:rPr>
          <w:rFonts w:ascii="Palatino Linotype" w:hAnsi="Palatino Linotype" w:cs="Tahoma"/>
          <w:sz w:val="22"/>
          <w:szCs w:val="24"/>
        </w:rPr>
      </w:pPr>
      <w:r w:rsidRPr="002B3420">
        <w:rPr>
          <w:rFonts w:ascii="Palatino Linotype" w:hAnsi="Palatino Linotype" w:cs="Tahoma"/>
          <w:sz w:val="22"/>
          <w:szCs w:val="24"/>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w:t>
      </w:r>
      <w:r w:rsidRPr="002B3420">
        <w:rPr>
          <w:rFonts w:ascii="Palatino Linotype" w:hAnsi="Palatino Linotype" w:cs="Tahoma"/>
          <w:sz w:val="22"/>
          <w:szCs w:val="24"/>
        </w:rPr>
        <w:lastRenderedPageBreak/>
        <w:t>supuestos establecidos en el artículo 191 de la Ley de Transparencia y Acceso a la Información Pública del Estado de México y Municipios, por ser improcedente.</w:t>
      </w:r>
    </w:p>
    <w:p w14:paraId="49CFBEA1" w14:textId="77777777" w:rsidR="004C5F72" w:rsidRPr="002B3420" w:rsidRDefault="004C5F72" w:rsidP="009B438A">
      <w:pPr>
        <w:spacing w:line="360" w:lineRule="auto"/>
        <w:jc w:val="both"/>
        <w:rPr>
          <w:rFonts w:ascii="Palatino Linotype" w:hAnsi="Palatino Linotype" w:cs="Tahoma"/>
          <w:bCs/>
          <w:color w:val="000000"/>
          <w:sz w:val="22"/>
          <w:szCs w:val="22"/>
        </w:rPr>
      </w:pPr>
    </w:p>
    <w:p w14:paraId="41D0F730" w14:textId="77777777" w:rsidR="004C5F72" w:rsidRPr="002B3420" w:rsidRDefault="004C5F72" w:rsidP="009B438A">
      <w:pPr>
        <w:spacing w:line="360" w:lineRule="auto"/>
        <w:jc w:val="both"/>
        <w:rPr>
          <w:rFonts w:ascii="Palatino Linotype" w:hAnsi="Palatino Linotype" w:cs="Tahoma"/>
          <w:bCs/>
          <w:color w:val="000000"/>
          <w:sz w:val="22"/>
          <w:szCs w:val="22"/>
        </w:rPr>
      </w:pPr>
      <w:r w:rsidRPr="002B3420">
        <w:rPr>
          <w:rFonts w:ascii="Palatino Linotype" w:hAnsi="Palatino Linotype" w:cs="Tahoma"/>
          <w:bCs/>
          <w:color w:val="000000"/>
          <w:sz w:val="22"/>
          <w:szCs w:val="22"/>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14:paraId="08A7B7F8" w14:textId="77777777" w:rsidR="004C5F72" w:rsidRPr="002B3420" w:rsidRDefault="004C5F72" w:rsidP="009B438A">
      <w:pPr>
        <w:spacing w:line="360" w:lineRule="auto"/>
        <w:jc w:val="both"/>
        <w:rPr>
          <w:rFonts w:ascii="Palatino Linotype" w:hAnsi="Palatino Linotype" w:cs="Tahoma"/>
          <w:sz w:val="22"/>
          <w:szCs w:val="22"/>
        </w:rPr>
      </w:pPr>
    </w:p>
    <w:p w14:paraId="25495C2B" w14:textId="4C2DE684" w:rsidR="004C5F72" w:rsidRPr="002B3420" w:rsidRDefault="004C5F72" w:rsidP="009B438A">
      <w:pPr>
        <w:spacing w:line="360" w:lineRule="auto"/>
        <w:jc w:val="both"/>
        <w:rPr>
          <w:rFonts w:ascii="Palatino Linotype" w:hAnsi="Palatino Linotype" w:cs="Tahoma"/>
          <w:sz w:val="22"/>
          <w:szCs w:val="22"/>
          <w:lang w:val="es-ES"/>
        </w:rPr>
      </w:pPr>
      <w:r w:rsidRPr="002B3420">
        <w:rPr>
          <w:rFonts w:ascii="Palatino Linotype" w:hAnsi="Palatino Linotype" w:cs="Tahoma"/>
          <w:sz w:val="22"/>
          <w:szCs w:val="22"/>
        </w:rPr>
        <w:t xml:space="preserve">Asimismo, se actualiza las causales de procedencia del Recurso de Revisión señaladas en el artículo 179, fracción </w:t>
      </w:r>
      <w:r w:rsidR="00AD57E5">
        <w:rPr>
          <w:rFonts w:ascii="Palatino Linotype" w:hAnsi="Palatino Linotype" w:cs="Tahoma"/>
          <w:sz w:val="22"/>
          <w:szCs w:val="22"/>
        </w:rPr>
        <w:t>VII</w:t>
      </w:r>
      <w:r w:rsidRPr="002B3420">
        <w:rPr>
          <w:rFonts w:ascii="Palatino Linotype" w:hAnsi="Palatino Linotype" w:cs="Tahoma"/>
          <w:sz w:val="22"/>
          <w:szCs w:val="22"/>
        </w:rPr>
        <w:t xml:space="preserve">, de la Ley de Transparencia y Acceso a la Información Pública del Estado de México y Municipios, </w:t>
      </w:r>
      <w:r w:rsidRPr="002B3420">
        <w:rPr>
          <w:rFonts w:ascii="Palatino Linotype" w:eastAsia="Calibri" w:hAnsi="Palatino Linotype" w:cs="Tahoma"/>
          <w:color w:val="000000"/>
          <w:sz w:val="22"/>
          <w:szCs w:val="22"/>
          <w:lang w:eastAsia="es-MX"/>
        </w:rPr>
        <w:t xml:space="preserve">pues el Recurrente se inconformó </w:t>
      </w:r>
      <w:r w:rsidRPr="002B3420">
        <w:rPr>
          <w:rFonts w:ascii="Palatino Linotype" w:hAnsi="Palatino Linotype" w:cs="Tahoma"/>
          <w:sz w:val="22"/>
          <w:szCs w:val="22"/>
          <w:lang w:val="es-ES"/>
        </w:rPr>
        <w:t xml:space="preserve">con </w:t>
      </w:r>
      <w:r w:rsidR="00FF3499" w:rsidRPr="002B3420">
        <w:rPr>
          <w:rFonts w:ascii="Palatino Linotype" w:hAnsi="Palatino Linotype" w:cs="Tahoma"/>
          <w:sz w:val="22"/>
          <w:szCs w:val="22"/>
          <w:lang w:val="es-ES"/>
        </w:rPr>
        <w:t xml:space="preserve">la </w:t>
      </w:r>
      <w:r w:rsidR="00AD57E5">
        <w:rPr>
          <w:rFonts w:ascii="Palatino Linotype" w:hAnsi="Palatino Linotype" w:cs="Tahoma"/>
          <w:sz w:val="22"/>
          <w:szCs w:val="22"/>
          <w:lang w:val="es-ES"/>
        </w:rPr>
        <w:t>falta de respuesta a la solicitud de información.</w:t>
      </w:r>
    </w:p>
    <w:p w14:paraId="0A61A482" w14:textId="023CBEF6" w:rsidR="004C5F72" w:rsidRPr="002B3420" w:rsidRDefault="004C5F72" w:rsidP="009B438A">
      <w:pPr>
        <w:spacing w:line="360" w:lineRule="auto"/>
        <w:jc w:val="both"/>
        <w:rPr>
          <w:rFonts w:ascii="Palatino Linotype" w:eastAsia="Calibri" w:hAnsi="Palatino Linotype" w:cs="Tahoma"/>
          <w:b/>
          <w:sz w:val="22"/>
          <w:szCs w:val="22"/>
          <w:lang w:eastAsia="es-ES_tradnl"/>
        </w:rPr>
      </w:pPr>
    </w:p>
    <w:p w14:paraId="5EF0BC42" w14:textId="77777777" w:rsidR="004C5F72" w:rsidRPr="002B3420" w:rsidRDefault="004C5F72" w:rsidP="009B438A">
      <w:pPr>
        <w:spacing w:line="360" w:lineRule="auto"/>
        <w:jc w:val="both"/>
        <w:rPr>
          <w:rFonts w:ascii="Palatino Linotype" w:eastAsia="Calibri" w:hAnsi="Palatino Linotype" w:cs="Tahoma"/>
          <w:b/>
          <w:sz w:val="22"/>
          <w:szCs w:val="22"/>
          <w:lang w:eastAsia="es-ES_tradnl"/>
        </w:rPr>
      </w:pPr>
      <w:r w:rsidRPr="002B3420">
        <w:rPr>
          <w:rFonts w:ascii="Palatino Linotype" w:eastAsia="Calibri" w:hAnsi="Palatino Linotype" w:cs="Tahoma"/>
          <w:b/>
          <w:sz w:val="22"/>
          <w:szCs w:val="22"/>
          <w:lang w:eastAsia="es-ES_tradnl"/>
        </w:rPr>
        <w:t>Causales de sobreseimiento.</w:t>
      </w:r>
    </w:p>
    <w:p w14:paraId="5473102F" w14:textId="77777777" w:rsidR="004C5F72" w:rsidRPr="002B3420" w:rsidRDefault="004C5F72" w:rsidP="009B438A">
      <w:pPr>
        <w:spacing w:line="360" w:lineRule="auto"/>
        <w:jc w:val="both"/>
        <w:rPr>
          <w:rFonts w:ascii="Palatino Linotype" w:eastAsia="Calibri" w:hAnsi="Palatino Linotype" w:cs="Tahoma"/>
          <w:sz w:val="22"/>
          <w:szCs w:val="22"/>
          <w:lang w:eastAsia="es-ES_tradnl"/>
        </w:rPr>
      </w:pPr>
    </w:p>
    <w:p w14:paraId="5D40BD9A" w14:textId="77777777" w:rsidR="004C5F72" w:rsidRPr="002B3420" w:rsidRDefault="004C5F72" w:rsidP="009B438A">
      <w:pPr>
        <w:spacing w:line="360" w:lineRule="auto"/>
        <w:jc w:val="both"/>
        <w:rPr>
          <w:rFonts w:ascii="Palatino Linotype" w:hAnsi="Palatino Linotype" w:cs="Tahoma"/>
          <w:bCs/>
          <w:color w:val="0D0D0D" w:themeColor="text1" w:themeTint="F2"/>
          <w:sz w:val="22"/>
          <w:szCs w:val="22"/>
        </w:rPr>
      </w:pPr>
      <w:r w:rsidRPr="002B3420">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17B6B7AE" w14:textId="77777777" w:rsidR="004C5F72" w:rsidRPr="002B3420" w:rsidRDefault="004C5F72" w:rsidP="009B438A">
      <w:pPr>
        <w:spacing w:line="360" w:lineRule="auto"/>
        <w:jc w:val="both"/>
        <w:rPr>
          <w:rFonts w:ascii="Palatino Linotype" w:hAnsi="Palatino Linotype" w:cs="Tahoma"/>
          <w:bCs/>
          <w:color w:val="0D0D0D" w:themeColor="text1" w:themeTint="F2"/>
          <w:sz w:val="22"/>
          <w:szCs w:val="22"/>
        </w:rPr>
      </w:pPr>
    </w:p>
    <w:p w14:paraId="57B155EB" w14:textId="77777777" w:rsidR="004C5F72" w:rsidRPr="002B3420" w:rsidRDefault="004C5F72" w:rsidP="009B438A">
      <w:pPr>
        <w:spacing w:line="360" w:lineRule="auto"/>
        <w:jc w:val="both"/>
        <w:rPr>
          <w:rFonts w:ascii="Palatino Linotype" w:hAnsi="Palatino Linotype" w:cs="Tahoma"/>
          <w:sz w:val="22"/>
          <w:szCs w:val="24"/>
        </w:rPr>
      </w:pPr>
      <w:r w:rsidRPr="002B3420">
        <w:rPr>
          <w:rFonts w:ascii="Palatino Linotype" w:hAnsi="Palatino Linotype" w:cs="Tahoma"/>
          <w:bCs/>
          <w:color w:val="0D0D0D" w:themeColor="text1" w:themeTint="F2"/>
          <w:sz w:val="22"/>
          <w:szCs w:val="22"/>
        </w:rPr>
        <w:t>Sobre el tema, e</w:t>
      </w:r>
      <w:r w:rsidRPr="002B3420">
        <w:rPr>
          <w:rFonts w:ascii="Palatino Linotype" w:hAnsi="Palatino Linotype" w:cs="Tahoma"/>
          <w:sz w:val="22"/>
          <w:szCs w:val="24"/>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w:t>
      </w:r>
      <w:r w:rsidRPr="002B3420">
        <w:rPr>
          <w:rFonts w:ascii="Palatino Linotype" w:hAnsi="Palatino Linotype" w:cs="Tahoma"/>
          <w:sz w:val="22"/>
          <w:szCs w:val="24"/>
        </w:rPr>
        <w:lastRenderedPageBreak/>
        <w:t>recurso, haya fallecido, sobreviniera alguna causal de improcedencia, que el Sujeto Obligado hubiese modificado o revocado el acto impugnado o bien, haya quedado sin materia.</w:t>
      </w:r>
    </w:p>
    <w:p w14:paraId="15F1685C" w14:textId="77777777" w:rsidR="009D2A47" w:rsidRPr="002B3420" w:rsidRDefault="009D2A47" w:rsidP="009B438A">
      <w:pPr>
        <w:spacing w:line="360" w:lineRule="auto"/>
        <w:jc w:val="both"/>
        <w:rPr>
          <w:rFonts w:ascii="Palatino Linotype" w:hAnsi="Palatino Linotype" w:cs="Tahoma"/>
          <w:sz w:val="22"/>
          <w:szCs w:val="22"/>
        </w:rPr>
      </w:pPr>
    </w:p>
    <w:p w14:paraId="1F20BBBF" w14:textId="50F86EFA" w:rsidR="00840209" w:rsidRPr="002B3420" w:rsidRDefault="004F0F15" w:rsidP="009B438A">
      <w:pPr>
        <w:spacing w:line="360" w:lineRule="auto"/>
        <w:jc w:val="both"/>
        <w:rPr>
          <w:rFonts w:ascii="Palatino Linotype" w:hAnsi="Palatino Linotype" w:cs="Tahoma"/>
          <w:sz w:val="22"/>
          <w:szCs w:val="22"/>
        </w:rPr>
      </w:pPr>
      <w:r w:rsidRPr="002B3420">
        <w:rPr>
          <w:rFonts w:ascii="Palatino Linotype" w:hAnsi="Palatino Linotype" w:cs="Tahoma"/>
          <w:sz w:val="22"/>
          <w:szCs w:val="22"/>
        </w:rPr>
        <w:t>Como se advirtió</w:t>
      </w:r>
      <w:r w:rsidR="00840209" w:rsidRPr="002B3420">
        <w:rPr>
          <w:rFonts w:ascii="Palatino Linotype" w:hAnsi="Palatino Linotype" w:cs="Tahoma"/>
          <w:sz w:val="22"/>
          <w:szCs w:val="22"/>
        </w:rPr>
        <w:t xml:space="preserve">, toda vez que durante la sustanciación del Recurso de Revisión </w:t>
      </w:r>
      <w:r w:rsidR="00840209" w:rsidRPr="002B3420">
        <w:rPr>
          <w:rFonts w:ascii="Palatino Linotype" w:hAnsi="Palatino Linotype" w:cs="Tahoma"/>
          <w:iCs/>
          <w:sz w:val="22"/>
          <w:szCs w:val="22"/>
        </w:rPr>
        <w:t>10336/INFOEM/IP/RR/2022</w:t>
      </w:r>
      <w:r w:rsidR="00840209" w:rsidRPr="002B3420">
        <w:rPr>
          <w:rFonts w:ascii="Palatino Linotype" w:hAnsi="Palatino Linotype" w:cs="Tahoma"/>
          <w:sz w:val="22"/>
          <w:szCs w:val="22"/>
        </w:rPr>
        <w:t xml:space="preserve">, el Ayuntamiento de Huehuetoca revocó su actuar y emitió respuesta a la solicitud, a través del Informe Justificado, se estima procedente entrar al estudio de la causal de sobreseimiento prevista en la </w:t>
      </w:r>
      <w:r w:rsidR="00840209" w:rsidRPr="002B3420">
        <w:rPr>
          <w:rFonts w:ascii="Palatino Linotype" w:hAnsi="Palatino Linotype" w:cs="Tahoma"/>
          <w:b/>
          <w:sz w:val="22"/>
          <w:szCs w:val="22"/>
        </w:rPr>
        <w:t>fracción III</w:t>
      </w:r>
      <w:r w:rsidR="00840209" w:rsidRPr="002B3420">
        <w:rPr>
          <w:rFonts w:ascii="Palatino Linotype" w:hAnsi="Palatino Linotype" w:cs="Tahoma"/>
          <w:sz w:val="22"/>
          <w:szCs w:val="22"/>
        </w:rPr>
        <w:t xml:space="preserve"> del artículo 192 de la Ley de la Materia.</w:t>
      </w:r>
    </w:p>
    <w:p w14:paraId="1C771301" w14:textId="77777777" w:rsidR="00840209" w:rsidRPr="002B3420" w:rsidRDefault="00840209" w:rsidP="009B438A">
      <w:pPr>
        <w:spacing w:line="360" w:lineRule="auto"/>
        <w:jc w:val="both"/>
        <w:rPr>
          <w:rFonts w:ascii="Palatino Linotype" w:hAnsi="Palatino Linotype" w:cs="Tahoma"/>
          <w:bCs/>
          <w:color w:val="0D0D0D" w:themeColor="text1" w:themeTint="F2"/>
          <w:sz w:val="22"/>
          <w:szCs w:val="22"/>
        </w:rPr>
      </w:pPr>
    </w:p>
    <w:p w14:paraId="46BAB06B" w14:textId="16336450" w:rsidR="00840209" w:rsidRPr="002B3420" w:rsidRDefault="00840209" w:rsidP="009B438A">
      <w:pPr>
        <w:spacing w:line="360" w:lineRule="auto"/>
        <w:jc w:val="both"/>
        <w:rPr>
          <w:rFonts w:ascii="Palatino Linotype" w:hAnsi="Palatino Linotype" w:cs="Tahoma"/>
          <w:iCs/>
          <w:sz w:val="22"/>
          <w:szCs w:val="24"/>
          <w:lang w:val="es-ES"/>
        </w:rPr>
      </w:pPr>
      <w:r w:rsidRPr="002B3420">
        <w:rPr>
          <w:rFonts w:ascii="Palatino Linotype" w:hAnsi="Palatino Linotype" w:cs="Tahoma"/>
          <w:iCs/>
          <w:sz w:val="22"/>
          <w:szCs w:val="24"/>
        </w:rPr>
        <w:t xml:space="preserve">Al respecto, a efecto de verificar si se actualiza la causal de sobreseimiento, es necesario precisar </w:t>
      </w:r>
      <w:r w:rsidRPr="002B3420">
        <w:rPr>
          <w:rFonts w:ascii="Palatino Linotype" w:hAnsi="Palatino Linotype" w:cs="Tahoma"/>
          <w:iCs/>
          <w:sz w:val="22"/>
          <w:szCs w:val="24"/>
          <w:lang w:val="es-ES"/>
        </w:rPr>
        <w:t>que el Recurrente, solicitó</w:t>
      </w:r>
      <w:r w:rsidR="00280F55">
        <w:rPr>
          <w:rFonts w:ascii="Palatino Linotype" w:hAnsi="Palatino Linotype" w:cs="Tahoma"/>
          <w:iCs/>
          <w:sz w:val="22"/>
          <w:szCs w:val="24"/>
          <w:lang w:val="es-ES"/>
        </w:rPr>
        <w:t>, entre otras cosas,</w:t>
      </w:r>
      <w:r w:rsidRPr="002B3420">
        <w:rPr>
          <w:rFonts w:ascii="Palatino Linotype" w:hAnsi="Palatino Linotype" w:cs="Tahoma"/>
          <w:iCs/>
          <w:sz w:val="22"/>
          <w:szCs w:val="24"/>
          <w:lang w:val="es-ES"/>
        </w:rPr>
        <w:t xml:space="preserve"> el número total de plazas vacantes</w:t>
      </w:r>
      <w:r w:rsidR="00280F55">
        <w:rPr>
          <w:rFonts w:ascii="Palatino Linotype" w:hAnsi="Palatino Linotype" w:cs="Tahoma"/>
          <w:iCs/>
          <w:sz w:val="22"/>
          <w:szCs w:val="24"/>
          <w:lang w:val="es-ES"/>
        </w:rPr>
        <w:t xml:space="preserve"> por unidad administrativa.</w:t>
      </w:r>
    </w:p>
    <w:p w14:paraId="4E626B43" w14:textId="30B9D2EA" w:rsidR="00840209" w:rsidRPr="002B3420" w:rsidRDefault="00840209" w:rsidP="009B438A">
      <w:pPr>
        <w:spacing w:line="360" w:lineRule="auto"/>
        <w:jc w:val="both"/>
        <w:rPr>
          <w:rFonts w:ascii="Palatino Linotype" w:hAnsi="Palatino Linotype" w:cs="Tahoma"/>
          <w:iCs/>
          <w:sz w:val="22"/>
          <w:szCs w:val="24"/>
          <w:lang w:val="es-ES"/>
        </w:rPr>
      </w:pPr>
    </w:p>
    <w:p w14:paraId="267FAAE6" w14:textId="77777777" w:rsidR="00280F55" w:rsidRDefault="00840209" w:rsidP="009B438A">
      <w:pPr>
        <w:spacing w:line="360" w:lineRule="auto"/>
        <w:jc w:val="both"/>
        <w:rPr>
          <w:rFonts w:ascii="Palatino Linotype" w:eastAsia="Calibri" w:hAnsi="Palatino Linotype" w:cs="Tahoma"/>
          <w:iCs/>
          <w:color w:val="000000"/>
          <w:sz w:val="22"/>
          <w:szCs w:val="22"/>
          <w:lang w:val="es-ES" w:eastAsia="es-ES_tradnl"/>
        </w:rPr>
      </w:pPr>
      <w:r w:rsidRPr="002B3420">
        <w:rPr>
          <w:rFonts w:ascii="Palatino Linotype" w:eastAsia="Calibri" w:hAnsi="Palatino Linotype" w:cs="Tahoma"/>
          <w:color w:val="000000"/>
          <w:sz w:val="22"/>
          <w:szCs w:val="22"/>
          <w:lang w:eastAsia="en-US"/>
        </w:rPr>
        <w:t>A</w:t>
      </w:r>
      <w:proofErr w:type="spellStart"/>
      <w:r w:rsidRPr="002B3420">
        <w:rPr>
          <w:rFonts w:ascii="Palatino Linotype" w:eastAsia="Calibri" w:hAnsi="Palatino Linotype" w:cs="Tahoma"/>
          <w:iCs/>
          <w:color w:val="000000"/>
          <w:sz w:val="22"/>
          <w:szCs w:val="22"/>
          <w:lang w:val="es-ES" w:eastAsia="es-ES_tradnl"/>
        </w:rPr>
        <w:t>nte</w:t>
      </w:r>
      <w:proofErr w:type="spellEnd"/>
      <w:r w:rsidRPr="002B3420">
        <w:rPr>
          <w:rFonts w:ascii="Palatino Linotype" w:eastAsia="Calibri" w:hAnsi="Palatino Linotype" w:cs="Tahoma"/>
          <w:iCs/>
          <w:color w:val="000000"/>
          <w:sz w:val="22"/>
          <w:szCs w:val="22"/>
          <w:lang w:val="es-ES" w:eastAsia="es-ES_tradnl"/>
        </w:rPr>
        <w:t xml:space="preserve"> la falta de respuesta del Ente Recurrido, el Particular, justamente se inconformó porque no fue contestado su requerimiento informativo, al señalar la omisión por parte del Ayuntamiento </w:t>
      </w:r>
      <w:r w:rsidR="00FC70A7" w:rsidRPr="002B3420">
        <w:rPr>
          <w:rFonts w:ascii="Palatino Linotype" w:eastAsia="Calibri" w:hAnsi="Palatino Linotype" w:cs="Tahoma"/>
          <w:iCs/>
          <w:color w:val="000000"/>
          <w:sz w:val="22"/>
          <w:szCs w:val="22"/>
          <w:lang w:val="es-ES" w:eastAsia="es-ES_tradnl"/>
        </w:rPr>
        <w:t>de Huehuetoca para dar respuesta a su</w:t>
      </w:r>
      <w:r w:rsidRPr="002B3420">
        <w:rPr>
          <w:rFonts w:ascii="Palatino Linotype" w:eastAsia="Calibri" w:hAnsi="Palatino Linotype" w:cs="Tahoma"/>
          <w:iCs/>
          <w:color w:val="000000"/>
          <w:sz w:val="22"/>
          <w:szCs w:val="22"/>
          <w:lang w:val="es-ES" w:eastAsia="es-ES_tradnl"/>
        </w:rPr>
        <w:t xml:space="preserve">, lo cual actualiza el supuesto previsto en el artículo 179, fracción VII, de la Ley de Transparencia y Acceso a la Información Pública del Estado de México y Municipios. </w:t>
      </w:r>
    </w:p>
    <w:p w14:paraId="5089ECF3" w14:textId="77777777" w:rsidR="00280F55" w:rsidRDefault="00280F55" w:rsidP="009B438A">
      <w:pPr>
        <w:spacing w:line="360" w:lineRule="auto"/>
        <w:jc w:val="both"/>
        <w:rPr>
          <w:rFonts w:ascii="Palatino Linotype" w:eastAsia="Calibri" w:hAnsi="Palatino Linotype" w:cs="Tahoma"/>
          <w:iCs/>
          <w:color w:val="000000"/>
          <w:sz w:val="22"/>
          <w:szCs w:val="22"/>
          <w:lang w:val="es-ES" w:eastAsia="es-ES_tradnl"/>
        </w:rPr>
      </w:pPr>
    </w:p>
    <w:p w14:paraId="63DD3239" w14:textId="49A64EB1" w:rsidR="00840209" w:rsidRPr="002B3420" w:rsidRDefault="00840209" w:rsidP="009B438A">
      <w:pPr>
        <w:spacing w:line="360" w:lineRule="auto"/>
        <w:jc w:val="both"/>
        <w:rPr>
          <w:rFonts w:ascii="Palatino Linotype" w:hAnsi="Palatino Linotype" w:cs="Tahoma"/>
          <w:sz w:val="22"/>
          <w:szCs w:val="24"/>
        </w:rPr>
      </w:pPr>
      <w:r w:rsidRPr="002B3420">
        <w:rPr>
          <w:rFonts w:ascii="Palatino Linotype" w:eastAsia="Calibri" w:hAnsi="Palatino Linotype" w:cs="Tahoma"/>
          <w:color w:val="000000"/>
          <w:sz w:val="22"/>
          <w:szCs w:val="22"/>
          <w:lang w:val="es-ES" w:eastAsia="en-US"/>
        </w:rPr>
        <w:t>Así las cosas, una vez admitido y notificado el Recurso de Revisión a las partes</w:t>
      </w:r>
      <w:r w:rsidRPr="002B3420">
        <w:rPr>
          <w:rFonts w:ascii="Palatino Linotype" w:hAnsi="Palatino Linotype" w:cs="Tahoma"/>
          <w:iCs/>
          <w:sz w:val="22"/>
          <w:szCs w:val="22"/>
          <w:lang w:val="es-ES"/>
        </w:rPr>
        <w:t xml:space="preserve">, el </w:t>
      </w:r>
      <w:r w:rsidRPr="002B3420">
        <w:rPr>
          <w:rFonts w:ascii="Palatino Linotype" w:eastAsia="Calibri" w:hAnsi="Palatino Linotype" w:cs="Tahoma"/>
          <w:color w:val="000000"/>
          <w:sz w:val="22"/>
          <w:szCs w:val="22"/>
          <w:lang w:eastAsia="en-US"/>
        </w:rPr>
        <w:t>Ayuntamiento</w:t>
      </w:r>
      <w:r w:rsidRPr="002B3420">
        <w:rPr>
          <w:rFonts w:ascii="Palatino Linotype" w:hAnsi="Palatino Linotype" w:cs="Tahoma"/>
          <w:iCs/>
          <w:sz w:val="22"/>
          <w:szCs w:val="22"/>
          <w:lang w:val="es-ES"/>
        </w:rPr>
        <w:t xml:space="preserve">, a través de la </w:t>
      </w:r>
      <w:r w:rsidR="00FC70A7" w:rsidRPr="002B3420">
        <w:rPr>
          <w:rFonts w:ascii="Palatino Linotype" w:hAnsi="Palatino Linotype" w:cs="Tahoma"/>
          <w:iCs/>
          <w:sz w:val="22"/>
          <w:szCs w:val="22"/>
          <w:lang w:val="es-ES"/>
        </w:rPr>
        <w:t>Dirección de Administración</w:t>
      </w:r>
      <w:r w:rsidRPr="002B3420">
        <w:rPr>
          <w:rFonts w:ascii="Palatino Linotype" w:hAnsi="Palatino Linotype" w:cs="Tahoma"/>
          <w:iCs/>
          <w:sz w:val="22"/>
          <w:szCs w:val="22"/>
          <w:lang w:val="es-ES"/>
        </w:rPr>
        <w:t xml:space="preserve">, </w:t>
      </w:r>
      <w:r w:rsidR="00280F55">
        <w:rPr>
          <w:rFonts w:ascii="Palatino Linotype" w:hAnsi="Palatino Linotype" w:cs="Tahoma"/>
          <w:iCs/>
          <w:sz w:val="22"/>
          <w:szCs w:val="22"/>
          <w:lang w:val="es-ES"/>
        </w:rPr>
        <w:t>proporcionó una relación con el número de vacantes por unidad administrativa.</w:t>
      </w:r>
    </w:p>
    <w:p w14:paraId="1C845D6E" w14:textId="1D01148A" w:rsidR="00FC70A7" w:rsidRPr="002B3420" w:rsidRDefault="00FC70A7" w:rsidP="009B438A">
      <w:pPr>
        <w:spacing w:line="360" w:lineRule="auto"/>
        <w:jc w:val="both"/>
        <w:rPr>
          <w:rFonts w:ascii="Palatino Linotype" w:hAnsi="Palatino Linotype" w:cs="Tahoma"/>
          <w:bCs/>
          <w:sz w:val="22"/>
          <w:szCs w:val="24"/>
        </w:rPr>
      </w:pPr>
    </w:p>
    <w:p w14:paraId="3E51E877" w14:textId="63B46E65" w:rsidR="0050402F" w:rsidRPr="002B3420" w:rsidRDefault="00FC70A7" w:rsidP="00526B27">
      <w:pPr>
        <w:tabs>
          <w:tab w:val="left" w:pos="4962"/>
        </w:tabs>
        <w:spacing w:line="360" w:lineRule="auto"/>
        <w:jc w:val="both"/>
        <w:rPr>
          <w:rFonts w:ascii="Palatino Linotype" w:eastAsia="Calibri" w:hAnsi="Palatino Linotype"/>
          <w:color w:val="000000"/>
          <w:sz w:val="22"/>
          <w:szCs w:val="22"/>
          <w:lang w:eastAsia="en-US"/>
        </w:rPr>
      </w:pPr>
      <w:r w:rsidRPr="002B3420">
        <w:rPr>
          <w:rFonts w:ascii="Palatino Linotype" w:eastAsia="Calibri" w:hAnsi="Palatino Linotype" w:cs="Tahoma"/>
          <w:iCs/>
          <w:sz w:val="22"/>
          <w:szCs w:val="22"/>
          <w:lang w:val="es-ES"/>
        </w:rPr>
        <w:t>Establecido lo anterior, lo procedente es analizar el agravio manifestado por el ahora Recurrent</w:t>
      </w:r>
      <w:r w:rsidR="00526B27">
        <w:rPr>
          <w:rFonts w:ascii="Palatino Linotype" w:eastAsia="Calibri" w:hAnsi="Palatino Linotype" w:cs="Tahoma"/>
          <w:iCs/>
          <w:sz w:val="22"/>
          <w:szCs w:val="22"/>
          <w:lang w:val="es-ES"/>
        </w:rPr>
        <w:t xml:space="preserve">e; por lo que, es de señalar que de las constancias que obran en el expediente se logra vislumbrar que el Sujeto Obligado no emitió respuesta, situación que será analizada en el Considerando QUINTO, </w:t>
      </w:r>
      <w:r w:rsidR="0050402F" w:rsidRPr="002B3420">
        <w:rPr>
          <w:rFonts w:ascii="Palatino Linotype" w:eastAsia="Calibri" w:hAnsi="Palatino Linotype" w:cs="Tahoma"/>
          <w:bCs/>
          <w:sz w:val="22"/>
          <w:szCs w:val="22"/>
          <w:lang w:eastAsia="en-US"/>
        </w:rPr>
        <w:t xml:space="preserve">no obstante, durante la substanciación del Medio de Impugnación, </w:t>
      </w:r>
      <w:r w:rsidR="0050402F" w:rsidRPr="002B3420">
        <w:rPr>
          <w:rFonts w:ascii="Palatino Linotype" w:eastAsia="Calibri" w:hAnsi="Palatino Linotype" w:cs="Tahoma"/>
          <w:bCs/>
          <w:sz w:val="22"/>
          <w:szCs w:val="22"/>
          <w:lang w:eastAsia="en-US"/>
        </w:rPr>
        <w:lastRenderedPageBreak/>
        <w:t xml:space="preserve">el Sujeto Obligado emitió </w:t>
      </w:r>
      <w:r w:rsidR="00526B27">
        <w:rPr>
          <w:rFonts w:ascii="Palatino Linotype" w:eastAsia="Calibri" w:hAnsi="Palatino Linotype" w:cs="Tahoma"/>
          <w:bCs/>
          <w:sz w:val="22"/>
          <w:szCs w:val="22"/>
          <w:lang w:eastAsia="en-US"/>
        </w:rPr>
        <w:t>contestación</w:t>
      </w:r>
      <w:r w:rsidR="0050402F" w:rsidRPr="002B3420">
        <w:rPr>
          <w:rFonts w:ascii="Palatino Linotype" w:eastAsia="Calibri" w:hAnsi="Palatino Linotype" w:cs="Tahoma"/>
          <w:bCs/>
          <w:sz w:val="22"/>
          <w:szCs w:val="22"/>
          <w:lang w:eastAsia="en-US"/>
        </w:rPr>
        <w:t>, misma que se puso a la vista del Recurrente, por lo que, se procede a su análisis.</w:t>
      </w:r>
    </w:p>
    <w:p w14:paraId="048AC2A7" w14:textId="77777777" w:rsidR="0050402F" w:rsidRPr="002B3420" w:rsidRDefault="0050402F" w:rsidP="009B438A">
      <w:pPr>
        <w:spacing w:line="360" w:lineRule="auto"/>
        <w:jc w:val="both"/>
        <w:rPr>
          <w:rFonts w:ascii="Palatino Linotype" w:hAnsi="Palatino Linotype" w:cs="Tahoma"/>
          <w:bCs/>
          <w:color w:val="0D0D0D" w:themeColor="text1" w:themeTint="F2"/>
          <w:sz w:val="22"/>
          <w:szCs w:val="22"/>
        </w:rPr>
      </w:pPr>
    </w:p>
    <w:p w14:paraId="5BA7D26F" w14:textId="2F782D5C" w:rsidR="00AB09C4" w:rsidRPr="002B3420" w:rsidRDefault="0042279C" w:rsidP="009B438A">
      <w:pPr>
        <w:spacing w:line="360" w:lineRule="auto"/>
        <w:jc w:val="both"/>
        <w:rPr>
          <w:rFonts w:ascii="Palatino Linotype" w:hAnsi="Palatino Linotype" w:cs="Tahoma"/>
          <w:bCs/>
          <w:color w:val="0D0D0D" w:themeColor="text1" w:themeTint="F2"/>
          <w:sz w:val="22"/>
          <w:szCs w:val="22"/>
        </w:rPr>
      </w:pPr>
      <w:r w:rsidRPr="002B3420">
        <w:rPr>
          <w:rFonts w:ascii="Palatino Linotype" w:hAnsi="Palatino Linotype" w:cs="Tahoma"/>
          <w:bCs/>
          <w:color w:val="0D0D0D" w:themeColor="text1" w:themeTint="F2"/>
          <w:sz w:val="22"/>
          <w:szCs w:val="22"/>
        </w:rPr>
        <w:t>En principio resulta necesario</w:t>
      </w:r>
      <w:r w:rsidR="00C62CA3">
        <w:rPr>
          <w:rFonts w:ascii="Palatino Linotype" w:hAnsi="Palatino Linotype" w:cs="Tahoma"/>
          <w:bCs/>
          <w:color w:val="0D0D0D" w:themeColor="text1" w:themeTint="F2"/>
          <w:sz w:val="22"/>
          <w:szCs w:val="22"/>
        </w:rPr>
        <w:t xml:space="preserve"> contextualizar la solicitud de información, para lo cual, se</w:t>
      </w:r>
      <w:r w:rsidR="00EC53B2" w:rsidRPr="002B3420">
        <w:rPr>
          <w:rFonts w:ascii="Palatino Linotype" w:hAnsi="Palatino Linotype" w:cs="Tahoma"/>
          <w:bCs/>
          <w:color w:val="0D0D0D" w:themeColor="text1" w:themeTint="F2"/>
          <w:sz w:val="22"/>
          <w:szCs w:val="22"/>
        </w:rPr>
        <w:t xml:space="preserve"> trae a colación</w:t>
      </w:r>
      <w:r w:rsidR="0050402F" w:rsidRPr="002B3420">
        <w:rPr>
          <w:rFonts w:ascii="Palatino Linotype" w:hAnsi="Palatino Linotype" w:cs="Tahoma"/>
          <w:bCs/>
          <w:color w:val="0D0D0D" w:themeColor="text1" w:themeTint="F2"/>
          <w:sz w:val="22"/>
          <w:szCs w:val="22"/>
        </w:rPr>
        <w:t xml:space="preserve"> el </w:t>
      </w:r>
      <w:r w:rsidR="00AB09C4" w:rsidRPr="002B3420">
        <w:rPr>
          <w:rFonts w:ascii="Palatino Linotype" w:hAnsi="Palatino Linotype" w:cs="Tahoma"/>
          <w:bCs/>
          <w:color w:val="0D0D0D" w:themeColor="text1" w:themeTint="F2"/>
          <w:sz w:val="22"/>
          <w:szCs w:val="22"/>
        </w:rPr>
        <w:t>artículo 92</w:t>
      </w:r>
      <w:r w:rsidR="00C62CA3">
        <w:rPr>
          <w:rFonts w:ascii="Palatino Linotype" w:hAnsi="Palatino Linotype" w:cs="Tahoma"/>
          <w:bCs/>
          <w:color w:val="0D0D0D" w:themeColor="text1" w:themeTint="F2"/>
          <w:sz w:val="22"/>
          <w:szCs w:val="22"/>
        </w:rPr>
        <w:t>,</w:t>
      </w:r>
      <w:r w:rsidR="00AB09C4" w:rsidRPr="002B3420">
        <w:rPr>
          <w:rFonts w:ascii="Palatino Linotype" w:hAnsi="Palatino Linotype" w:cs="Tahoma"/>
          <w:bCs/>
          <w:color w:val="0D0D0D" w:themeColor="text1" w:themeTint="F2"/>
          <w:sz w:val="22"/>
          <w:szCs w:val="22"/>
        </w:rPr>
        <w:t xml:space="preserve"> fracción X</w:t>
      </w:r>
      <w:r w:rsidR="00C62CA3">
        <w:rPr>
          <w:rFonts w:ascii="Palatino Linotype" w:hAnsi="Palatino Linotype" w:cs="Tahoma"/>
          <w:bCs/>
          <w:color w:val="0D0D0D" w:themeColor="text1" w:themeTint="F2"/>
          <w:sz w:val="22"/>
          <w:szCs w:val="22"/>
        </w:rPr>
        <w:t>,</w:t>
      </w:r>
      <w:r w:rsidR="00AB09C4" w:rsidRPr="002B3420">
        <w:rPr>
          <w:rFonts w:ascii="Palatino Linotype" w:hAnsi="Palatino Linotype" w:cs="Tahoma"/>
          <w:bCs/>
          <w:color w:val="0D0D0D" w:themeColor="text1" w:themeTint="F2"/>
          <w:sz w:val="22"/>
          <w:szCs w:val="22"/>
        </w:rPr>
        <w:t xml:space="preserve"> de la Ley de Transparencia y Acceso a la Información Pública</w:t>
      </w:r>
      <w:r w:rsidR="00AA26E3" w:rsidRPr="002B3420">
        <w:rPr>
          <w:rFonts w:ascii="Palatino Linotype" w:hAnsi="Palatino Linotype" w:cs="Tahoma"/>
          <w:bCs/>
          <w:color w:val="0D0D0D" w:themeColor="text1" w:themeTint="F2"/>
          <w:sz w:val="22"/>
          <w:szCs w:val="22"/>
        </w:rPr>
        <w:t xml:space="preserve"> del Estado de México que establece que, los Sujetos Obligados deberán poner a disposición del publico de manera permanente y actualizada, en los respectivos medios electrónicos, el número </w:t>
      </w:r>
      <w:r w:rsidR="00EE6C02" w:rsidRPr="002B3420">
        <w:rPr>
          <w:rFonts w:ascii="Palatino Linotype" w:hAnsi="Palatino Linotype" w:cs="Tahoma"/>
          <w:bCs/>
          <w:color w:val="0D0D0D" w:themeColor="text1" w:themeTint="F2"/>
          <w:sz w:val="22"/>
          <w:szCs w:val="22"/>
        </w:rPr>
        <w:t xml:space="preserve">total </w:t>
      </w:r>
      <w:r w:rsidR="00AA26E3" w:rsidRPr="002B3420">
        <w:rPr>
          <w:rFonts w:ascii="Palatino Linotype" w:hAnsi="Palatino Linotype" w:cs="Tahoma"/>
          <w:bCs/>
          <w:color w:val="0D0D0D" w:themeColor="text1" w:themeTint="F2"/>
          <w:sz w:val="22"/>
          <w:szCs w:val="22"/>
        </w:rPr>
        <w:t>de plazas</w:t>
      </w:r>
      <w:r w:rsidR="00EE6C02" w:rsidRPr="002B3420">
        <w:rPr>
          <w:rFonts w:ascii="Palatino Linotype" w:hAnsi="Palatino Linotype" w:cs="Tahoma"/>
          <w:bCs/>
          <w:color w:val="0D0D0D" w:themeColor="text1" w:themeTint="F2"/>
          <w:sz w:val="22"/>
          <w:szCs w:val="22"/>
        </w:rPr>
        <w:t>, especificando el total de las vacantes</w:t>
      </w:r>
      <w:r w:rsidR="00C62CA3">
        <w:rPr>
          <w:rFonts w:ascii="Palatino Linotype" w:hAnsi="Palatino Linotype" w:cs="Tahoma"/>
          <w:bCs/>
          <w:color w:val="0D0D0D" w:themeColor="text1" w:themeTint="F2"/>
          <w:sz w:val="22"/>
          <w:szCs w:val="22"/>
        </w:rPr>
        <w:t>.</w:t>
      </w:r>
    </w:p>
    <w:p w14:paraId="4FE959BD" w14:textId="46247C1B" w:rsidR="00EE6C02" w:rsidRPr="002B3420" w:rsidRDefault="00EE6C02" w:rsidP="009B438A">
      <w:pPr>
        <w:spacing w:line="360" w:lineRule="auto"/>
        <w:jc w:val="both"/>
        <w:rPr>
          <w:rFonts w:ascii="Palatino Linotype" w:hAnsi="Palatino Linotype" w:cs="Tahoma"/>
          <w:bCs/>
          <w:color w:val="0D0D0D" w:themeColor="text1" w:themeTint="F2"/>
          <w:sz w:val="22"/>
          <w:szCs w:val="22"/>
        </w:rPr>
      </w:pPr>
    </w:p>
    <w:p w14:paraId="4E1ACD20" w14:textId="09DABC70" w:rsidR="00D1409B" w:rsidRPr="002B3420" w:rsidRDefault="00C62CA3" w:rsidP="009B438A">
      <w:pPr>
        <w:spacing w:line="360" w:lineRule="auto"/>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Además</w:t>
      </w:r>
      <w:r w:rsidR="00EE6C02" w:rsidRPr="002B3420">
        <w:rPr>
          <w:rFonts w:ascii="Palatino Linotype" w:hAnsi="Palatino Linotype" w:cs="Tahoma"/>
          <w:bCs/>
          <w:color w:val="0D0D0D" w:themeColor="text1" w:themeTint="F2"/>
          <w:sz w:val="22"/>
          <w:szCs w:val="22"/>
        </w:rPr>
        <w:t xml:space="preserve">, </w:t>
      </w:r>
      <w:r>
        <w:rPr>
          <w:rFonts w:ascii="Palatino Linotype" w:hAnsi="Palatino Linotype" w:cs="Tahoma"/>
          <w:bCs/>
          <w:color w:val="0D0D0D" w:themeColor="text1" w:themeTint="F2"/>
          <w:sz w:val="22"/>
          <w:szCs w:val="22"/>
        </w:rPr>
        <w:t>l</w:t>
      </w:r>
      <w:r w:rsidR="00EE6C02" w:rsidRPr="002B3420">
        <w:rPr>
          <w:rFonts w:ascii="Palatino Linotype" w:hAnsi="Palatino Linotype" w:cs="Tahoma"/>
          <w:bCs/>
          <w:color w:val="0D0D0D" w:themeColor="text1" w:themeTint="F2"/>
          <w:sz w:val="22"/>
          <w:szCs w:val="22"/>
        </w:rPr>
        <w:t>os Lineamientos Técnicos Generales para la Publicación, Homologación y Estandarización de la Información de las Obligaciones establecidas en el Título Quinto y en la fracción IV del artículo 31 de la Ley General de Transparencia y Ac</w:t>
      </w:r>
      <w:r w:rsidR="002547F8" w:rsidRPr="002B3420">
        <w:rPr>
          <w:rFonts w:ascii="Palatino Linotype" w:hAnsi="Palatino Linotype" w:cs="Tahoma"/>
          <w:bCs/>
          <w:color w:val="0D0D0D" w:themeColor="text1" w:themeTint="F2"/>
          <w:sz w:val="22"/>
          <w:szCs w:val="22"/>
        </w:rPr>
        <w:t xml:space="preserve">ceso a la Información Pública, que deberán difundir los Sujetos Obligados en los portales de Internet y en la Plataforma Nacional de Transparencia, </w:t>
      </w:r>
      <w:r w:rsidR="00D81B0F">
        <w:rPr>
          <w:rFonts w:ascii="Palatino Linotype" w:hAnsi="Palatino Linotype" w:cs="Tahoma"/>
          <w:bCs/>
          <w:color w:val="0D0D0D" w:themeColor="text1" w:themeTint="F2"/>
          <w:sz w:val="22"/>
          <w:szCs w:val="22"/>
        </w:rPr>
        <w:t xml:space="preserve">prevén lo siguiente </w:t>
      </w:r>
    </w:p>
    <w:p w14:paraId="1D4A19D6" w14:textId="77777777" w:rsidR="00D1409B" w:rsidRPr="002B3420" w:rsidRDefault="00D1409B" w:rsidP="009B438A">
      <w:pPr>
        <w:spacing w:line="360" w:lineRule="auto"/>
        <w:jc w:val="both"/>
        <w:rPr>
          <w:rFonts w:ascii="Palatino Linotype" w:hAnsi="Palatino Linotype" w:cs="Tahoma"/>
          <w:bCs/>
          <w:color w:val="0D0D0D" w:themeColor="text1" w:themeTint="F2"/>
          <w:sz w:val="22"/>
          <w:szCs w:val="22"/>
        </w:rPr>
      </w:pPr>
    </w:p>
    <w:p w14:paraId="00B9F1F4" w14:textId="641D7EBB" w:rsidR="00EE6C02" w:rsidRPr="002B3420" w:rsidRDefault="00D1409B" w:rsidP="009B438A">
      <w:pPr>
        <w:spacing w:line="360" w:lineRule="auto"/>
        <w:jc w:val="both"/>
        <w:rPr>
          <w:rFonts w:ascii="Palatino Linotype" w:hAnsi="Palatino Linotype" w:cs="Tahoma"/>
          <w:bCs/>
          <w:color w:val="0D0D0D" w:themeColor="text1" w:themeTint="F2"/>
          <w:sz w:val="22"/>
          <w:szCs w:val="22"/>
        </w:rPr>
      </w:pPr>
      <w:r w:rsidRPr="002B3420">
        <w:rPr>
          <w:rFonts w:ascii="Palatino Linotype" w:hAnsi="Palatino Linotype"/>
          <w:noProof/>
        </w:rPr>
        <w:drawing>
          <wp:inline distT="0" distB="0" distL="0" distR="0" wp14:anchorId="5A93BFC5" wp14:editId="4C5BBAB1">
            <wp:extent cx="5809615" cy="33337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19" t="28089" r="28040" b="26453"/>
                    <a:stretch/>
                  </pic:blipFill>
                  <pic:spPr bwMode="auto">
                    <a:xfrm>
                      <a:off x="0" y="0"/>
                      <a:ext cx="5849251" cy="3356494"/>
                    </a:xfrm>
                    <a:prstGeom prst="rect">
                      <a:avLst/>
                    </a:prstGeom>
                    <a:ln>
                      <a:noFill/>
                    </a:ln>
                    <a:extLst>
                      <a:ext uri="{53640926-AAD7-44D8-BBD7-CCE9431645EC}">
                        <a14:shadowObscured xmlns:a14="http://schemas.microsoft.com/office/drawing/2010/main"/>
                      </a:ext>
                    </a:extLst>
                  </pic:spPr>
                </pic:pic>
              </a:graphicData>
            </a:graphic>
          </wp:inline>
        </w:drawing>
      </w:r>
      <w:r w:rsidRPr="002B3420">
        <w:rPr>
          <w:rFonts w:ascii="Palatino Linotype" w:hAnsi="Palatino Linotype" w:cs="Tahoma"/>
          <w:bCs/>
          <w:color w:val="0D0D0D" w:themeColor="text1" w:themeTint="F2"/>
          <w:sz w:val="22"/>
          <w:szCs w:val="22"/>
        </w:rPr>
        <w:t xml:space="preserve"> </w:t>
      </w:r>
    </w:p>
    <w:p w14:paraId="792DE10B" w14:textId="7615FEBA" w:rsidR="00D1409B" w:rsidRPr="002B3420" w:rsidRDefault="00526B27" w:rsidP="009B438A">
      <w:pPr>
        <w:spacing w:line="360" w:lineRule="auto"/>
        <w:jc w:val="both"/>
        <w:rPr>
          <w:rFonts w:ascii="Palatino Linotype" w:hAnsi="Palatino Linotype" w:cs="Tahoma"/>
          <w:bCs/>
          <w:color w:val="0D0D0D" w:themeColor="text1" w:themeTint="F2"/>
          <w:sz w:val="22"/>
          <w:szCs w:val="22"/>
        </w:rPr>
      </w:pPr>
      <w:r w:rsidRPr="002B3420">
        <w:rPr>
          <w:rFonts w:ascii="Palatino Linotype" w:hAnsi="Palatino Linotype"/>
          <w:noProof/>
        </w:rPr>
        <w:lastRenderedPageBreak/>
        <w:drawing>
          <wp:inline distT="0" distB="0" distL="0" distR="0" wp14:anchorId="44DA0B06" wp14:editId="4E239E0C">
            <wp:extent cx="5742111" cy="84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19" t="76050" r="28040" b="12299"/>
                    <a:stretch/>
                  </pic:blipFill>
                  <pic:spPr bwMode="auto">
                    <a:xfrm>
                      <a:off x="0" y="0"/>
                      <a:ext cx="5742940" cy="844672"/>
                    </a:xfrm>
                    <a:prstGeom prst="rect">
                      <a:avLst/>
                    </a:prstGeom>
                    <a:ln>
                      <a:noFill/>
                    </a:ln>
                    <a:extLst>
                      <a:ext uri="{53640926-AAD7-44D8-BBD7-CCE9431645EC}">
                        <a14:shadowObscured xmlns:a14="http://schemas.microsoft.com/office/drawing/2010/main"/>
                      </a:ext>
                    </a:extLst>
                  </pic:spPr>
                </pic:pic>
              </a:graphicData>
            </a:graphic>
          </wp:inline>
        </w:drawing>
      </w:r>
    </w:p>
    <w:p w14:paraId="251AA185" w14:textId="77777777" w:rsidR="00526B27" w:rsidRDefault="00526B27" w:rsidP="009B438A">
      <w:pPr>
        <w:spacing w:line="360" w:lineRule="auto"/>
        <w:jc w:val="both"/>
        <w:rPr>
          <w:rFonts w:ascii="Palatino Linotype" w:hAnsi="Palatino Linotype" w:cs="Tahoma"/>
          <w:bCs/>
          <w:color w:val="0D0D0D" w:themeColor="text1" w:themeTint="F2"/>
          <w:sz w:val="22"/>
          <w:szCs w:val="22"/>
        </w:rPr>
      </w:pPr>
    </w:p>
    <w:p w14:paraId="7C22703E" w14:textId="09B323D1" w:rsidR="00D1409B" w:rsidRDefault="00D81B0F" w:rsidP="009B438A">
      <w:pPr>
        <w:spacing w:line="360" w:lineRule="auto"/>
        <w:jc w:val="both"/>
        <w:rPr>
          <w:rFonts w:ascii="Palatino Linotype" w:hAnsi="Palatino Linotype" w:cs="Tahoma"/>
          <w:bCs/>
          <w:color w:val="0D0D0D" w:themeColor="text1" w:themeTint="F2"/>
          <w:sz w:val="22"/>
          <w:szCs w:val="22"/>
        </w:rPr>
      </w:pPr>
      <w:r>
        <w:rPr>
          <w:rFonts w:ascii="Palatino Linotype" w:hAnsi="Palatino Linotype" w:cs="Tahoma"/>
          <w:bCs/>
          <w:color w:val="0D0D0D" w:themeColor="text1" w:themeTint="F2"/>
          <w:sz w:val="22"/>
          <w:szCs w:val="22"/>
        </w:rPr>
        <w:t xml:space="preserve">Conforme a lo anterior, se logra vislumbrar que el Sujeto Obligado tiene competencia para conocer de lo peticionado y que la pretensión del ahora Recurrente, es obtener el número total de plazas vacantes por unidad administrativa, que tenía el Ayuntamiento de Huehuetoca, al </w:t>
      </w:r>
      <w:r w:rsidR="009B438A">
        <w:rPr>
          <w:rFonts w:ascii="Palatino Linotype" w:hAnsi="Palatino Linotype" w:cs="Tahoma"/>
          <w:bCs/>
          <w:color w:val="0D0D0D" w:themeColor="text1" w:themeTint="F2"/>
          <w:sz w:val="22"/>
          <w:szCs w:val="22"/>
        </w:rPr>
        <w:t>dieciocho de abril de dos mil veintidós.</w:t>
      </w:r>
    </w:p>
    <w:p w14:paraId="3871BAC1" w14:textId="77777777" w:rsidR="00526B27" w:rsidRPr="002B3420" w:rsidRDefault="00526B27" w:rsidP="009B438A">
      <w:pPr>
        <w:spacing w:line="360" w:lineRule="auto"/>
        <w:jc w:val="both"/>
        <w:rPr>
          <w:rFonts w:ascii="Palatino Linotype" w:hAnsi="Palatino Linotype" w:cs="Tahoma"/>
          <w:bCs/>
          <w:color w:val="0D0D0D" w:themeColor="text1" w:themeTint="F2"/>
          <w:sz w:val="22"/>
          <w:szCs w:val="22"/>
        </w:rPr>
      </w:pPr>
    </w:p>
    <w:p w14:paraId="7A504526" w14:textId="77777777" w:rsidR="009B438A" w:rsidRPr="009B438A" w:rsidRDefault="009B438A" w:rsidP="009B438A">
      <w:pPr>
        <w:spacing w:line="360" w:lineRule="auto"/>
        <w:jc w:val="both"/>
        <w:rPr>
          <w:rFonts w:ascii="Palatino Linotype" w:eastAsia="Calibri" w:hAnsi="Palatino Linotype" w:cs="Tahoma"/>
          <w:bCs/>
          <w:color w:val="000000"/>
          <w:sz w:val="22"/>
          <w:szCs w:val="24"/>
          <w:lang w:eastAsia="es-MX"/>
        </w:rPr>
      </w:pPr>
      <w:r w:rsidRPr="009B438A">
        <w:rPr>
          <w:rFonts w:ascii="Palatino Linotype" w:eastAsia="Calibri" w:hAnsi="Palatino Linotype" w:cs="Tahoma"/>
          <w:iCs/>
          <w:color w:val="000000"/>
          <w:sz w:val="22"/>
          <w:szCs w:val="24"/>
          <w:lang w:val="es-ES" w:eastAsia="es-ES_tradnl"/>
        </w:rPr>
        <w:t xml:space="preserve">Establecida dicha circunstancia, </w:t>
      </w:r>
      <w:r w:rsidRPr="009B438A">
        <w:rPr>
          <w:rFonts w:ascii="Palatino Linotype" w:eastAsia="Calibri" w:hAnsi="Palatino Linotype" w:cs="Tahoma"/>
          <w:bCs/>
          <w:color w:val="000000"/>
          <w:sz w:val="22"/>
          <w:szCs w:val="24"/>
          <w:lang w:eastAsia="es-MX"/>
        </w:rPr>
        <w:t>se procede a analizar la información proporcionada por el Sujeto Obligado, para lo cual, es de señalar que de las constancias que obran en el expediente, turno la solicitud de información, tanto en respuesta, como en Informe Justificado a la Dirección de Administración</w:t>
      </w:r>
      <w:r w:rsidRPr="009B438A">
        <w:rPr>
          <w:rFonts w:ascii="Palatino Linotype" w:eastAsia="Calibri" w:hAnsi="Palatino Linotype" w:cs="Tahoma"/>
          <w:bCs/>
          <w:iCs/>
          <w:color w:val="000000"/>
          <w:sz w:val="22"/>
          <w:szCs w:val="24"/>
          <w:lang w:eastAsia="es-MX"/>
        </w:rPr>
        <w:t xml:space="preserve">, por lo que, es necesario hacer referencia al procedimiento de búsqueda </w:t>
      </w:r>
      <w:r w:rsidRPr="009B438A">
        <w:rPr>
          <w:rFonts w:ascii="Palatino Linotype" w:eastAsia="Calibri" w:hAnsi="Palatino Linotype" w:cs="Tahoma"/>
          <w:bCs/>
          <w:color w:val="000000"/>
          <w:sz w:val="22"/>
          <w:szCs w:val="24"/>
          <w:lang w:val="es-ES" w:eastAsia="es-MX"/>
        </w:rPr>
        <w:t>que deben de seguir los Sujetos Obligados para localizar la información, el cual se encuentra previsto en los artículos 160 y 162 de la Ley de Transparencia y Acceso a la Información Pública del Estado de México y Municipios, mismo que es el siguiente:</w:t>
      </w:r>
    </w:p>
    <w:p w14:paraId="7479A9AE" w14:textId="77777777" w:rsidR="009B438A" w:rsidRPr="009B438A" w:rsidRDefault="009B438A" w:rsidP="009B438A">
      <w:pPr>
        <w:spacing w:line="360" w:lineRule="auto"/>
        <w:jc w:val="both"/>
        <w:rPr>
          <w:rFonts w:ascii="Palatino Linotype" w:eastAsia="Calibri" w:hAnsi="Palatino Linotype" w:cs="Tahoma"/>
          <w:bCs/>
          <w:color w:val="000000"/>
          <w:sz w:val="22"/>
          <w:szCs w:val="24"/>
          <w:lang w:val="es-ES" w:eastAsia="es-MX"/>
        </w:rPr>
      </w:pPr>
    </w:p>
    <w:p w14:paraId="7A6F612F" w14:textId="77777777" w:rsidR="009B438A" w:rsidRPr="009B438A" w:rsidRDefault="009B438A" w:rsidP="009B438A">
      <w:pPr>
        <w:numPr>
          <w:ilvl w:val="0"/>
          <w:numId w:val="4"/>
        </w:numPr>
        <w:spacing w:line="360" w:lineRule="auto"/>
        <w:jc w:val="both"/>
        <w:rPr>
          <w:rFonts w:ascii="Palatino Linotype" w:eastAsia="Calibri" w:hAnsi="Palatino Linotype" w:cs="Tahoma"/>
          <w:bCs/>
          <w:color w:val="000000"/>
          <w:sz w:val="22"/>
          <w:szCs w:val="24"/>
          <w:lang w:val="es-ES" w:eastAsia="es-MX"/>
        </w:rPr>
      </w:pPr>
      <w:r w:rsidRPr="009B438A">
        <w:rPr>
          <w:rFonts w:ascii="Palatino Linotype" w:eastAsia="Calibri" w:hAnsi="Palatino Linotype" w:cs="Tahoma"/>
          <w:bCs/>
          <w:color w:val="000000"/>
          <w:sz w:val="22"/>
          <w:szCs w:val="24"/>
          <w:lang w:val="es-ES" w:eastAsia="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1DF03459" w14:textId="77777777" w:rsidR="009B438A" w:rsidRPr="009B438A" w:rsidRDefault="009B438A" w:rsidP="009B438A">
      <w:pPr>
        <w:spacing w:line="360" w:lineRule="auto"/>
        <w:jc w:val="both"/>
        <w:rPr>
          <w:rFonts w:ascii="Palatino Linotype" w:eastAsia="Calibri" w:hAnsi="Palatino Linotype" w:cs="Tahoma"/>
          <w:bCs/>
          <w:color w:val="000000"/>
          <w:sz w:val="22"/>
          <w:szCs w:val="24"/>
          <w:lang w:val="es-ES" w:eastAsia="es-MX"/>
        </w:rPr>
      </w:pPr>
    </w:p>
    <w:p w14:paraId="2314FFF1" w14:textId="77777777" w:rsidR="009B438A" w:rsidRPr="009B438A" w:rsidRDefault="009B438A" w:rsidP="009B438A">
      <w:pPr>
        <w:numPr>
          <w:ilvl w:val="0"/>
          <w:numId w:val="4"/>
        </w:numPr>
        <w:spacing w:line="360" w:lineRule="auto"/>
        <w:jc w:val="both"/>
        <w:rPr>
          <w:rFonts w:ascii="Palatino Linotype" w:eastAsia="Calibri" w:hAnsi="Palatino Linotype" w:cs="Tahoma"/>
          <w:bCs/>
          <w:color w:val="000000"/>
          <w:sz w:val="22"/>
          <w:szCs w:val="24"/>
          <w:lang w:val="es-ES" w:eastAsia="es-MX"/>
        </w:rPr>
      </w:pPr>
      <w:r w:rsidRPr="009B438A">
        <w:rPr>
          <w:rFonts w:ascii="Palatino Linotype" w:eastAsia="Calibri" w:hAnsi="Palatino Linotype" w:cs="Tahoma"/>
          <w:bCs/>
          <w:color w:val="000000"/>
          <w:sz w:val="22"/>
          <w:szCs w:val="24"/>
          <w:lang w:val="es-ES" w:eastAsia="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F471334" w14:textId="0790864D" w:rsidR="00AB09C4" w:rsidRDefault="00AB09C4" w:rsidP="009B438A">
      <w:pPr>
        <w:spacing w:line="360" w:lineRule="auto"/>
        <w:jc w:val="both"/>
        <w:rPr>
          <w:rFonts w:ascii="Palatino Linotype" w:hAnsi="Palatino Linotype" w:cs="Tahoma"/>
          <w:bCs/>
          <w:color w:val="0D0D0D" w:themeColor="text1" w:themeTint="F2"/>
          <w:sz w:val="22"/>
          <w:szCs w:val="22"/>
        </w:rPr>
      </w:pPr>
    </w:p>
    <w:p w14:paraId="0BD92E4C" w14:textId="3153CB08" w:rsidR="00EC53B2" w:rsidRPr="002B3420" w:rsidRDefault="009B438A" w:rsidP="009B438A">
      <w:pPr>
        <w:spacing w:line="360" w:lineRule="auto"/>
        <w:jc w:val="both"/>
        <w:rPr>
          <w:rFonts w:ascii="Palatino Linotype" w:hAnsi="Palatino Linotype" w:cs="Tahoma"/>
          <w:bCs/>
          <w:color w:val="0D0D0D" w:themeColor="text1" w:themeTint="F2"/>
          <w:sz w:val="22"/>
          <w:szCs w:val="22"/>
        </w:rPr>
      </w:pPr>
      <w:r w:rsidRPr="009B438A">
        <w:rPr>
          <w:rFonts w:ascii="Palatino Linotype" w:hAnsi="Palatino Linotype" w:cs="Tahoma"/>
          <w:bCs/>
          <w:color w:val="0D0D0D" w:themeColor="text1" w:themeTint="F2"/>
          <w:sz w:val="22"/>
          <w:szCs w:val="22"/>
        </w:rPr>
        <w:t>Así, es necesario</w:t>
      </w:r>
      <w:r>
        <w:rPr>
          <w:rFonts w:ascii="Palatino Linotype" w:hAnsi="Palatino Linotype" w:cs="Tahoma"/>
          <w:bCs/>
          <w:color w:val="0D0D0D" w:themeColor="text1" w:themeTint="F2"/>
          <w:sz w:val="22"/>
          <w:szCs w:val="22"/>
        </w:rPr>
        <w:t xml:space="preserve"> traer a colación </w:t>
      </w:r>
      <w:r w:rsidR="00835217" w:rsidRPr="002B3420">
        <w:rPr>
          <w:rFonts w:ascii="Palatino Linotype" w:hAnsi="Palatino Linotype" w:cs="Tahoma"/>
          <w:bCs/>
          <w:color w:val="0D0D0D" w:themeColor="text1" w:themeTint="F2"/>
          <w:sz w:val="22"/>
          <w:szCs w:val="22"/>
        </w:rPr>
        <w:t xml:space="preserve">el </w:t>
      </w:r>
      <w:r w:rsidR="002400D5" w:rsidRPr="002B3420">
        <w:rPr>
          <w:rFonts w:ascii="Palatino Linotype" w:hAnsi="Palatino Linotype" w:cs="Tahoma"/>
          <w:bCs/>
          <w:color w:val="0D0D0D" w:themeColor="text1" w:themeTint="F2"/>
          <w:sz w:val="22"/>
          <w:szCs w:val="22"/>
        </w:rPr>
        <w:t>artículo 400 del Bando Municipal de Huehuetoca</w:t>
      </w:r>
      <w:r>
        <w:rPr>
          <w:rFonts w:ascii="Palatino Linotype" w:hAnsi="Palatino Linotype" w:cs="Tahoma"/>
          <w:bCs/>
          <w:color w:val="0D0D0D" w:themeColor="text1" w:themeTint="F2"/>
          <w:sz w:val="22"/>
          <w:szCs w:val="22"/>
        </w:rPr>
        <w:t xml:space="preserve"> que</w:t>
      </w:r>
      <w:r w:rsidR="002400D5" w:rsidRPr="002B3420">
        <w:rPr>
          <w:rFonts w:ascii="Palatino Linotype" w:hAnsi="Palatino Linotype" w:cs="Tahoma"/>
          <w:bCs/>
          <w:color w:val="0D0D0D" w:themeColor="text1" w:themeTint="F2"/>
          <w:sz w:val="22"/>
          <w:szCs w:val="22"/>
        </w:rPr>
        <w:t xml:space="preserve"> establece que</w:t>
      </w:r>
      <w:r>
        <w:rPr>
          <w:rFonts w:ascii="Palatino Linotype" w:hAnsi="Palatino Linotype" w:cs="Tahoma"/>
          <w:bCs/>
          <w:color w:val="0D0D0D" w:themeColor="text1" w:themeTint="F2"/>
          <w:sz w:val="22"/>
          <w:szCs w:val="22"/>
        </w:rPr>
        <w:t xml:space="preserve"> el Ente Recurrido cuenta con diversas unidades administrativas para el ejercicio de sus funciones, entre las cuales se encuentra,</w:t>
      </w:r>
      <w:r w:rsidR="002400D5" w:rsidRPr="002B3420">
        <w:rPr>
          <w:rFonts w:ascii="Palatino Linotype" w:hAnsi="Palatino Linotype" w:cs="Tahoma"/>
          <w:bCs/>
          <w:color w:val="0D0D0D" w:themeColor="text1" w:themeTint="F2"/>
          <w:sz w:val="22"/>
          <w:szCs w:val="22"/>
        </w:rPr>
        <w:t xml:space="preserve"> la Dirección de Administración </w:t>
      </w:r>
      <w:r>
        <w:rPr>
          <w:rFonts w:ascii="Palatino Linotype" w:hAnsi="Palatino Linotype" w:cs="Tahoma"/>
          <w:bCs/>
          <w:color w:val="0D0D0D" w:themeColor="text1" w:themeTint="F2"/>
          <w:sz w:val="22"/>
          <w:szCs w:val="22"/>
        </w:rPr>
        <w:t>encargada</w:t>
      </w:r>
      <w:r w:rsidR="002400D5" w:rsidRPr="002B3420">
        <w:rPr>
          <w:rFonts w:ascii="Palatino Linotype" w:hAnsi="Palatino Linotype" w:cs="Tahoma"/>
          <w:bCs/>
          <w:color w:val="0D0D0D" w:themeColor="text1" w:themeTint="F2"/>
          <w:sz w:val="22"/>
          <w:szCs w:val="22"/>
        </w:rPr>
        <w:t xml:space="preserve"> de administrar los recursos humanos</w:t>
      </w:r>
      <w:r w:rsidR="00C3601F">
        <w:rPr>
          <w:rFonts w:ascii="Palatino Linotype" w:hAnsi="Palatino Linotype" w:cs="Tahoma"/>
          <w:bCs/>
          <w:color w:val="0D0D0D" w:themeColor="text1" w:themeTint="F2"/>
          <w:sz w:val="22"/>
          <w:szCs w:val="22"/>
        </w:rPr>
        <w:t>.</w:t>
      </w:r>
    </w:p>
    <w:p w14:paraId="0FE365AC" w14:textId="76A0CCA4" w:rsidR="00354574" w:rsidRDefault="00354574" w:rsidP="009B438A">
      <w:pPr>
        <w:spacing w:line="360" w:lineRule="auto"/>
        <w:jc w:val="both"/>
        <w:rPr>
          <w:rFonts w:ascii="Palatino Linotype" w:hAnsi="Palatino Linotype" w:cs="Tahoma"/>
          <w:sz w:val="22"/>
          <w:szCs w:val="24"/>
        </w:rPr>
      </w:pPr>
    </w:p>
    <w:p w14:paraId="67BD91BD" w14:textId="23884363" w:rsidR="00C3601F" w:rsidRPr="00C3601F" w:rsidRDefault="00C3601F" w:rsidP="00C3601F">
      <w:pPr>
        <w:spacing w:line="360" w:lineRule="auto"/>
        <w:jc w:val="both"/>
        <w:rPr>
          <w:rFonts w:ascii="Palatino Linotype" w:eastAsia="Calibri" w:hAnsi="Palatino Linotype" w:cs="Tahoma"/>
          <w:color w:val="000000" w:themeColor="text1"/>
          <w:sz w:val="22"/>
          <w:szCs w:val="22"/>
          <w:lang w:eastAsia="en-US"/>
        </w:rPr>
      </w:pPr>
      <w:r w:rsidRPr="00C3601F">
        <w:rPr>
          <w:rFonts w:ascii="Palatino Linotype" w:eastAsia="Calibri" w:hAnsi="Palatino Linotype" w:cs="Tahoma"/>
          <w:bCs/>
          <w:iCs/>
          <w:color w:val="000000"/>
          <w:sz w:val="22"/>
          <w:szCs w:val="22"/>
          <w:lang w:eastAsia="en-US"/>
        </w:rPr>
        <w:t xml:space="preserve">De tal situación, se advierte que el Sujeto Obligado turno la solicitud de información al área administrativa competente, a saber, la Dirección de Administración, área de ver todas las cuestiones relacionadas </w:t>
      </w:r>
      <w:r>
        <w:rPr>
          <w:rFonts w:ascii="Palatino Linotype" w:eastAsia="Calibri" w:hAnsi="Palatino Linotype" w:cs="Tahoma"/>
          <w:bCs/>
          <w:iCs/>
          <w:color w:val="000000"/>
          <w:sz w:val="22"/>
          <w:szCs w:val="22"/>
          <w:lang w:eastAsia="en-US"/>
        </w:rPr>
        <w:t>con el personal, lo cual incluye el control de plazas</w:t>
      </w:r>
      <w:r w:rsidRPr="00C3601F">
        <w:rPr>
          <w:rFonts w:ascii="Palatino Linotype" w:eastAsia="Calibri" w:hAnsi="Palatino Linotype" w:cs="Tahoma"/>
          <w:bCs/>
          <w:iCs/>
          <w:color w:val="000000"/>
          <w:sz w:val="22"/>
          <w:szCs w:val="22"/>
          <w:lang w:eastAsia="en-US"/>
        </w:rPr>
        <w:t>, por lo que,</w:t>
      </w:r>
      <w:r w:rsidRPr="00C3601F">
        <w:rPr>
          <w:rFonts w:ascii="Palatino Linotype" w:eastAsia="Calibri" w:hAnsi="Palatino Linotype" w:cs="Tahoma"/>
          <w:color w:val="000000" w:themeColor="text1"/>
          <w:sz w:val="22"/>
          <w:szCs w:val="22"/>
          <w:lang w:eastAsia="en-US"/>
        </w:rPr>
        <w:t xml:space="preserve"> cumplió con lo establecido en el artículo 162 de la Ley de Transparencia y Acceso a la Información Pública del Estado de México y Municipios.</w:t>
      </w:r>
    </w:p>
    <w:p w14:paraId="11D7AE83" w14:textId="77777777" w:rsidR="00C3601F" w:rsidRPr="002B3420" w:rsidRDefault="00C3601F" w:rsidP="009B438A">
      <w:pPr>
        <w:spacing w:line="360" w:lineRule="auto"/>
        <w:jc w:val="both"/>
        <w:rPr>
          <w:rFonts w:ascii="Palatino Linotype" w:hAnsi="Palatino Linotype" w:cs="Tahoma"/>
          <w:sz w:val="22"/>
          <w:szCs w:val="24"/>
        </w:rPr>
      </w:pPr>
    </w:p>
    <w:p w14:paraId="5F0E3C18" w14:textId="611C00A5" w:rsidR="00E22DF4" w:rsidRDefault="00C3601F" w:rsidP="009B438A">
      <w:pPr>
        <w:spacing w:line="360" w:lineRule="auto"/>
        <w:jc w:val="both"/>
        <w:rPr>
          <w:rFonts w:ascii="Palatino Linotype" w:hAnsi="Palatino Linotype" w:cs="Tahoma"/>
          <w:sz w:val="22"/>
          <w:szCs w:val="24"/>
        </w:rPr>
      </w:pPr>
      <w:r>
        <w:rPr>
          <w:rFonts w:ascii="Palatino Linotype" w:hAnsi="Palatino Linotype" w:cs="Tahoma"/>
          <w:sz w:val="22"/>
          <w:szCs w:val="24"/>
        </w:rPr>
        <w:t>Ahora bien</w:t>
      </w:r>
      <w:r w:rsidR="00E22DF4" w:rsidRPr="002B3420">
        <w:rPr>
          <w:rFonts w:ascii="Palatino Linotype" w:hAnsi="Palatino Linotype" w:cs="Tahoma"/>
          <w:sz w:val="22"/>
          <w:szCs w:val="24"/>
        </w:rPr>
        <w:t xml:space="preserve">, dicha área </w:t>
      </w:r>
      <w:r>
        <w:rPr>
          <w:rFonts w:ascii="Palatino Linotype" w:hAnsi="Palatino Linotype" w:cs="Tahoma"/>
          <w:sz w:val="22"/>
          <w:szCs w:val="24"/>
        </w:rPr>
        <w:t>proporcionó una relación, que contiene el total de plazas vacantes, por unidad administrativa, tal como se observa a continuación:</w:t>
      </w:r>
    </w:p>
    <w:p w14:paraId="3141AB5E" w14:textId="77777777" w:rsidR="008160FF" w:rsidRPr="002B3420" w:rsidRDefault="008160FF" w:rsidP="009B438A">
      <w:pPr>
        <w:spacing w:line="360" w:lineRule="auto"/>
        <w:jc w:val="both"/>
        <w:rPr>
          <w:rFonts w:ascii="Palatino Linotype" w:hAnsi="Palatino Linotype" w:cs="Tahoma"/>
          <w:sz w:val="22"/>
          <w:szCs w:val="24"/>
        </w:rPr>
      </w:pPr>
    </w:p>
    <w:p w14:paraId="58CB20FD" w14:textId="0246C1C2" w:rsidR="00E22DF4" w:rsidRPr="002B3420" w:rsidRDefault="00794DD0" w:rsidP="009B438A">
      <w:pPr>
        <w:spacing w:line="360" w:lineRule="auto"/>
        <w:jc w:val="center"/>
        <w:rPr>
          <w:rFonts w:ascii="Palatino Linotype" w:hAnsi="Palatino Linotype" w:cs="Tahoma"/>
          <w:sz w:val="22"/>
          <w:szCs w:val="24"/>
        </w:rPr>
      </w:pPr>
      <w:r w:rsidRPr="002B3420">
        <w:rPr>
          <w:rFonts w:ascii="Palatino Linotype" w:hAnsi="Palatino Linotype"/>
          <w:noProof/>
        </w:rPr>
        <w:drawing>
          <wp:inline distT="0" distB="0" distL="0" distR="0" wp14:anchorId="26E4253F" wp14:editId="1737B492">
            <wp:extent cx="3656095" cy="157099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04" t="43374" r="34440" b="32280"/>
                    <a:stretch/>
                  </pic:blipFill>
                  <pic:spPr bwMode="auto">
                    <a:xfrm>
                      <a:off x="0" y="0"/>
                      <a:ext cx="3703345" cy="1591293"/>
                    </a:xfrm>
                    <a:prstGeom prst="rect">
                      <a:avLst/>
                    </a:prstGeom>
                    <a:ln>
                      <a:noFill/>
                    </a:ln>
                    <a:extLst>
                      <a:ext uri="{53640926-AAD7-44D8-BBD7-CCE9431645EC}">
                        <a14:shadowObscured xmlns:a14="http://schemas.microsoft.com/office/drawing/2010/main"/>
                      </a:ext>
                    </a:extLst>
                  </pic:spPr>
                </pic:pic>
              </a:graphicData>
            </a:graphic>
          </wp:inline>
        </w:drawing>
      </w:r>
    </w:p>
    <w:p w14:paraId="2CBD3A31" w14:textId="77777777" w:rsidR="008160FF" w:rsidRPr="002B3420" w:rsidRDefault="008160FF" w:rsidP="009B438A">
      <w:pPr>
        <w:spacing w:line="360" w:lineRule="auto"/>
        <w:jc w:val="both"/>
        <w:rPr>
          <w:rFonts w:ascii="Palatino Linotype" w:hAnsi="Palatino Linotype" w:cs="Tahoma"/>
          <w:sz w:val="22"/>
          <w:szCs w:val="24"/>
        </w:rPr>
      </w:pPr>
    </w:p>
    <w:p w14:paraId="1C401C56" w14:textId="1A29C98F" w:rsidR="00794DD0" w:rsidRPr="002B3420" w:rsidRDefault="00C3601F" w:rsidP="009B438A">
      <w:pPr>
        <w:spacing w:line="360" w:lineRule="auto"/>
        <w:jc w:val="both"/>
        <w:rPr>
          <w:rFonts w:ascii="Palatino Linotype" w:hAnsi="Palatino Linotype"/>
          <w:sz w:val="22"/>
          <w:szCs w:val="22"/>
          <w:lang w:val="es-ES"/>
        </w:rPr>
      </w:pPr>
      <w:r>
        <w:rPr>
          <w:rFonts w:ascii="Palatino Linotype" w:eastAsia="Calibri" w:hAnsi="Palatino Linotype" w:cs="Tahoma"/>
          <w:bCs/>
          <w:color w:val="000000"/>
          <w:sz w:val="22"/>
          <w:szCs w:val="22"/>
        </w:rPr>
        <w:t>Al respecto</w:t>
      </w:r>
      <w:r w:rsidR="00794DD0" w:rsidRPr="002B3420">
        <w:rPr>
          <w:rFonts w:ascii="Palatino Linotype" w:eastAsia="Calibri" w:hAnsi="Palatino Linotype" w:cs="Tahoma"/>
          <w:bCs/>
          <w:color w:val="000000"/>
          <w:sz w:val="22"/>
          <w:szCs w:val="22"/>
        </w:rPr>
        <w:t xml:space="preserve">, </w:t>
      </w:r>
      <w:r w:rsidR="00794DD0" w:rsidRPr="002B3420">
        <w:rPr>
          <w:rFonts w:ascii="Palatino Linotype" w:eastAsia="Calibri" w:hAnsi="Palatino Linotype" w:cs="Tahoma"/>
          <w:bCs/>
          <w:sz w:val="22"/>
          <w:szCs w:val="22"/>
          <w:lang w:val="es-ES"/>
        </w:rPr>
        <w:t xml:space="preserve">cabe señalar que </w:t>
      </w:r>
      <w:r w:rsidR="00794DD0" w:rsidRPr="002B3420">
        <w:rPr>
          <w:rFonts w:ascii="Palatino Linotype" w:hAnsi="Palatino Linotype" w:cs="Tahoma"/>
          <w:sz w:val="22"/>
          <w:szCs w:val="22"/>
          <w:lang w:val="es-ES"/>
        </w:rPr>
        <w:t>este Instituto, no tiene atribuciones para pronunciarse sobre la veracidad de la información proporcionada por el Sujeto Obligado. Circunstancia que se apoya en el Criterio histórico 31/10, emitido por el Pleno del entonces Instituto Federal de Acceso a la Información y Protección de Datos, que a continuación se cita:</w:t>
      </w:r>
    </w:p>
    <w:p w14:paraId="628BD573" w14:textId="77777777" w:rsidR="00794DD0" w:rsidRPr="002B3420" w:rsidRDefault="00794DD0" w:rsidP="009B438A">
      <w:pPr>
        <w:spacing w:line="360" w:lineRule="auto"/>
        <w:jc w:val="both"/>
        <w:rPr>
          <w:rFonts w:ascii="Palatino Linotype" w:hAnsi="Palatino Linotype" w:cs="Tahoma"/>
          <w:lang w:val="es-ES"/>
        </w:rPr>
      </w:pPr>
    </w:p>
    <w:p w14:paraId="298889B0" w14:textId="77777777" w:rsidR="00794DD0" w:rsidRPr="002B3420" w:rsidRDefault="00794DD0" w:rsidP="009B438A">
      <w:pPr>
        <w:spacing w:line="360" w:lineRule="auto"/>
        <w:ind w:left="567" w:right="567"/>
        <w:jc w:val="both"/>
        <w:rPr>
          <w:rFonts w:ascii="Palatino Linotype" w:hAnsi="Palatino Linotype" w:cs="Tahoma"/>
          <w:i/>
          <w:lang w:val="es-ES"/>
        </w:rPr>
      </w:pPr>
      <w:r w:rsidRPr="002B3420">
        <w:rPr>
          <w:rFonts w:ascii="Palatino Linotype" w:hAnsi="Palatino Linotype" w:cs="Tahoma"/>
          <w:b/>
          <w:i/>
          <w:lang w:val="es-ES"/>
        </w:rPr>
        <w:lastRenderedPageBreak/>
        <w:t xml:space="preserve">“El Instituto Federal de Acceso a la Información y Protección de Datos </w:t>
      </w:r>
      <w:r w:rsidRPr="002B3420">
        <w:rPr>
          <w:rFonts w:ascii="Palatino Linotype" w:hAnsi="Palatino Linotype" w:cs="Tahoma"/>
          <w:b/>
          <w:i/>
          <w:u w:val="single"/>
          <w:lang w:val="es-ES"/>
        </w:rPr>
        <w:t xml:space="preserve">no cuenta con facultades para pronunciarse respecto de la veracidad de los documentos proporcionados por los sujetos obligados. </w:t>
      </w:r>
      <w:r w:rsidRPr="002B3420">
        <w:rPr>
          <w:rFonts w:ascii="Palatino Linotype" w:hAnsi="Palatino Linotype" w:cs="Tahoma"/>
          <w:i/>
          <w:lang w:val="es-ES"/>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446E1D1" w14:textId="781903DE" w:rsidR="0050402F" w:rsidRPr="002B3420" w:rsidRDefault="0050402F" w:rsidP="009B438A">
      <w:pPr>
        <w:spacing w:line="360" w:lineRule="auto"/>
        <w:jc w:val="both"/>
        <w:rPr>
          <w:rFonts w:ascii="Palatino Linotype" w:hAnsi="Palatino Linotype" w:cs="Tahoma"/>
          <w:bCs/>
          <w:color w:val="0D0D0D" w:themeColor="text1" w:themeTint="F2"/>
          <w:sz w:val="22"/>
          <w:szCs w:val="22"/>
        </w:rPr>
      </w:pPr>
    </w:p>
    <w:p w14:paraId="24D87DAB" w14:textId="77777777" w:rsidR="00794DD0" w:rsidRPr="002B3420" w:rsidRDefault="00794DD0" w:rsidP="009B438A">
      <w:pPr>
        <w:spacing w:line="360" w:lineRule="auto"/>
        <w:jc w:val="both"/>
        <w:rPr>
          <w:rFonts w:ascii="Palatino Linotype" w:hAnsi="Palatino Linotype" w:cs="Tahoma"/>
          <w:sz w:val="22"/>
          <w:szCs w:val="22"/>
        </w:rPr>
      </w:pPr>
      <w:r w:rsidRPr="002B3420">
        <w:rPr>
          <w:rFonts w:ascii="Palatino Linotype" w:hAnsi="Palatino Linotype" w:cs="Tahoma"/>
          <w:sz w:val="22"/>
          <w:szCs w:val="24"/>
        </w:rPr>
        <w:t xml:space="preserve">Conforme a lo anterior, se logra vislumbrar que el Sujeto Obligado proporcionó la información que obraba en sus archivos y daba cuenta de lo peticionado; </w:t>
      </w:r>
      <w:r w:rsidRPr="002B3420">
        <w:rPr>
          <w:rFonts w:ascii="Palatino Linotype" w:eastAsia="Calibri" w:hAnsi="Palatino Linotype" w:cs="Tahoma"/>
          <w:bCs/>
          <w:sz w:val="22"/>
          <w:szCs w:val="22"/>
          <w:lang w:eastAsia="en-US"/>
        </w:rPr>
        <w:t>d</w:t>
      </w:r>
      <w:proofErr w:type="spellStart"/>
      <w:r w:rsidRPr="002B3420">
        <w:rPr>
          <w:rFonts w:ascii="Palatino Linotype" w:hAnsi="Palatino Linotype" w:cs="Tahoma"/>
          <w:bCs/>
          <w:iCs/>
          <w:sz w:val="22"/>
          <w:szCs w:val="24"/>
          <w:lang w:val="es-ES"/>
        </w:rPr>
        <w:t>icha</w:t>
      </w:r>
      <w:proofErr w:type="spellEnd"/>
      <w:r w:rsidRPr="002B3420">
        <w:rPr>
          <w:rFonts w:ascii="Palatino Linotype" w:hAnsi="Palatino Linotype" w:cs="Tahoma"/>
          <w:bCs/>
          <w:iCs/>
          <w:sz w:val="22"/>
          <w:szCs w:val="24"/>
          <w:lang w:val="es-ES"/>
        </w:rPr>
        <w:t xml:space="preserve"> determinación toma relevancia, pues </w:t>
      </w:r>
      <w:r w:rsidRPr="002B3420">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059BD46" w14:textId="77777777" w:rsidR="00794DD0" w:rsidRPr="002B3420" w:rsidRDefault="00794DD0" w:rsidP="009B438A">
      <w:pPr>
        <w:tabs>
          <w:tab w:val="left" w:pos="4962"/>
        </w:tabs>
        <w:spacing w:line="360" w:lineRule="auto"/>
        <w:jc w:val="both"/>
        <w:rPr>
          <w:rFonts w:ascii="Palatino Linotype" w:hAnsi="Palatino Linotype" w:cs="Tahoma"/>
          <w:sz w:val="22"/>
          <w:szCs w:val="22"/>
        </w:rPr>
      </w:pPr>
    </w:p>
    <w:p w14:paraId="2DBEEA17" w14:textId="77777777" w:rsidR="00794DD0" w:rsidRPr="002B3420" w:rsidRDefault="00794DD0" w:rsidP="009B438A">
      <w:pPr>
        <w:tabs>
          <w:tab w:val="left" w:pos="4962"/>
        </w:tabs>
        <w:spacing w:line="360" w:lineRule="auto"/>
        <w:jc w:val="both"/>
        <w:rPr>
          <w:rFonts w:ascii="Palatino Linotype" w:eastAsia="Arial" w:hAnsi="Palatino Linotype" w:cs="Arial"/>
          <w:i/>
        </w:rPr>
      </w:pPr>
      <w:r w:rsidRPr="002B3420">
        <w:rPr>
          <w:rFonts w:ascii="Palatino Linotype" w:hAnsi="Palatino Linotype" w:cs="Tahoma"/>
          <w:sz w:val="22"/>
          <w:szCs w:val="22"/>
        </w:rPr>
        <w:t xml:space="preserve">De esta manera, </w:t>
      </w:r>
      <w:r w:rsidRPr="002B3420">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2B3420">
        <w:rPr>
          <w:rFonts w:ascii="Palatino Linotype" w:hAnsi="Palatino Linotype" w:cs="Tahoma"/>
          <w:i/>
          <w:sz w:val="22"/>
          <w:szCs w:val="22"/>
        </w:rPr>
        <w:t>ad hoc</w:t>
      </w:r>
      <w:r w:rsidRPr="002B3420">
        <w:rPr>
          <w:rFonts w:ascii="Palatino Linotype" w:hAnsi="Palatino Linotype" w:cs="Tahoma"/>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w:t>
      </w:r>
    </w:p>
    <w:p w14:paraId="10274F06" w14:textId="77777777" w:rsidR="00794DD0" w:rsidRPr="002B3420" w:rsidRDefault="00794DD0" w:rsidP="009B438A">
      <w:pPr>
        <w:spacing w:line="360" w:lineRule="auto"/>
        <w:jc w:val="both"/>
        <w:rPr>
          <w:rFonts w:ascii="Palatino Linotype" w:hAnsi="Palatino Linotype" w:cs="Tahoma"/>
          <w:sz w:val="22"/>
          <w:szCs w:val="24"/>
          <w:lang w:val="es-ES"/>
        </w:rPr>
      </w:pPr>
    </w:p>
    <w:p w14:paraId="4F0F446A" w14:textId="54DDC2AD" w:rsidR="00794DD0" w:rsidRPr="002B3420" w:rsidRDefault="00794DD0" w:rsidP="009B438A">
      <w:pPr>
        <w:spacing w:line="360" w:lineRule="auto"/>
        <w:jc w:val="both"/>
        <w:rPr>
          <w:rFonts w:ascii="Palatino Linotype" w:hAnsi="Palatino Linotype" w:cs="Tahoma"/>
          <w:sz w:val="22"/>
          <w:szCs w:val="22"/>
          <w:lang w:val="es-ES"/>
        </w:rPr>
      </w:pPr>
      <w:r w:rsidRPr="002B3420">
        <w:rPr>
          <w:rFonts w:ascii="Palatino Linotype" w:hAnsi="Palatino Linotype" w:cs="Tahoma"/>
          <w:sz w:val="22"/>
          <w:szCs w:val="22"/>
          <w:lang w:val="es-ES"/>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proporcionó </w:t>
      </w:r>
      <w:r w:rsidR="00C3601F">
        <w:rPr>
          <w:rFonts w:ascii="Palatino Linotype" w:hAnsi="Palatino Linotype" w:cs="Tahoma"/>
          <w:sz w:val="22"/>
          <w:szCs w:val="22"/>
          <w:lang w:val="es-ES"/>
        </w:rPr>
        <w:t>la relación de plazas vacantes por unidad administrativa.</w:t>
      </w:r>
      <w:r w:rsidRPr="002B3420">
        <w:rPr>
          <w:rFonts w:ascii="Palatino Linotype" w:hAnsi="Palatino Linotype" w:cs="Tahoma"/>
          <w:sz w:val="22"/>
          <w:szCs w:val="22"/>
          <w:lang w:val="es-ES"/>
        </w:rPr>
        <w:t xml:space="preserve"> </w:t>
      </w:r>
    </w:p>
    <w:p w14:paraId="17C068EF" w14:textId="77777777" w:rsidR="00794DD0" w:rsidRPr="002B3420" w:rsidRDefault="00794DD0" w:rsidP="009B438A">
      <w:pPr>
        <w:spacing w:line="360" w:lineRule="auto"/>
        <w:jc w:val="both"/>
        <w:rPr>
          <w:rFonts w:ascii="Palatino Linotype" w:hAnsi="Palatino Linotype" w:cs="Tahoma"/>
          <w:sz w:val="22"/>
          <w:szCs w:val="22"/>
          <w:lang w:val="es-ES"/>
        </w:rPr>
      </w:pPr>
    </w:p>
    <w:p w14:paraId="131DDAA0" w14:textId="5866EF3C" w:rsidR="00280F55" w:rsidRDefault="00280F55" w:rsidP="009B438A">
      <w:pPr>
        <w:spacing w:line="360" w:lineRule="auto"/>
        <w:jc w:val="both"/>
        <w:rPr>
          <w:rFonts w:ascii="Palatino Linotype" w:hAnsi="Palatino Linotype" w:cs="Tahoma"/>
          <w:bCs/>
          <w:iCs/>
          <w:sz w:val="22"/>
          <w:szCs w:val="22"/>
          <w:lang w:val="es-ES_tradnl"/>
        </w:rPr>
      </w:pPr>
      <w:r>
        <w:rPr>
          <w:rFonts w:ascii="Palatino Linotype" w:hAnsi="Palatino Linotype" w:cs="Tahoma"/>
          <w:sz w:val="22"/>
          <w:szCs w:val="22"/>
          <w:lang w:val="es-ES"/>
        </w:rPr>
        <w:t xml:space="preserve">De tal situación, se concluye que se actualiza la causal de sobreseimiento prevista en el artículo 192, fracción III, de la Ley de Transparencia y Acceso a la Información Pública del Estado de México y Municipios, toda vez, que </w:t>
      </w:r>
      <w:r w:rsidR="002D4FA5">
        <w:rPr>
          <w:rFonts w:ascii="Palatino Linotype" w:hAnsi="Palatino Linotype" w:cs="Tahoma"/>
          <w:sz w:val="22"/>
          <w:szCs w:val="22"/>
          <w:lang w:val="es-ES"/>
        </w:rPr>
        <w:t>el Ayuntamiento de Huehuetoca</w:t>
      </w:r>
      <w:r>
        <w:rPr>
          <w:rFonts w:ascii="Palatino Linotype" w:hAnsi="Palatino Linotype" w:cs="Tahoma"/>
          <w:sz w:val="22"/>
          <w:szCs w:val="22"/>
          <w:lang w:val="es-ES"/>
        </w:rPr>
        <w:t xml:space="preserve">, </w:t>
      </w:r>
      <w:r w:rsidR="002D4FA5">
        <w:rPr>
          <w:rFonts w:ascii="Palatino Linotype" w:hAnsi="Palatino Linotype" w:cs="Tahoma"/>
          <w:sz w:val="22"/>
          <w:szCs w:val="22"/>
          <w:lang w:val="es-ES"/>
        </w:rPr>
        <w:t xml:space="preserve">emitió respuesta y proporcionó la información que daba cuenta de lo solicitado y obraba en sus archivos, en términos de </w:t>
      </w:r>
      <w:r w:rsidR="002D4FA5" w:rsidRPr="002B3420">
        <w:rPr>
          <w:rFonts w:ascii="Palatino Linotype" w:hAnsi="Palatino Linotype" w:cs="Tahoma"/>
          <w:bCs/>
          <w:sz w:val="22"/>
          <w:szCs w:val="22"/>
        </w:rPr>
        <w:t>los artículos 12 y 160 de la Ley de Transparencia y Acceso a la Información Pública del Estado de México y Municipios</w:t>
      </w:r>
      <w:r>
        <w:rPr>
          <w:rFonts w:ascii="Palatino Linotype" w:hAnsi="Palatino Linotype" w:cs="Tahoma"/>
          <w:sz w:val="22"/>
          <w:szCs w:val="22"/>
          <w:lang w:val="es-ES"/>
        </w:rPr>
        <w:t xml:space="preserve">, por lo que resulta procedente </w:t>
      </w:r>
      <w:r>
        <w:rPr>
          <w:rFonts w:ascii="Palatino Linotype" w:hAnsi="Palatino Linotype" w:cs="Tahoma"/>
          <w:b/>
          <w:bCs/>
          <w:iCs/>
          <w:sz w:val="22"/>
          <w:szCs w:val="22"/>
          <w:lang w:val="es-ES_tradnl"/>
        </w:rPr>
        <w:t xml:space="preserve">SOBRESEER PARCIALMENTE </w:t>
      </w:r>
      <w:r>
        <w:rPr>
          <w:rFonts w:ascii="Palatino Linotype" w:hAnsi="Palatino Linotype" w:cs="Tahoma"/>
          <w:bCs/>
          <w:iCs/>
          <w:sz w:val="22"/>
          <w:szCs w:val="22"/>
          <w:lang w:val="es-ES_tradnl"/>
        </w:rPr>
        <w:t xml:space="preserve">el recurso de revisión </w:t>
      </w:r>
      <w:r>
        <w:rPr>
          <w:rFonts w:ascii="Palatino Linotype" w:hAnsi="Palatino Linotype" w:cs="Tahoma"/>
          <w:bCs/>
          <w:iCs/>
          <w:sz w:val="22"/>
          <w:szCs w:val="22"/>
        </w:rPr>
        <w:t>02541/INFOEM/IP/RR/2019.</w:t>
      </w:r>
    </w:p>
    <w:p w14:paraId="7B58E3F1" w14:textId="77777777" w:rsidR="00280F55" w:rsidRDefault="00280F55" w:rsidP="009B438A">
      <w:pPr>
        <w:spacing w:line="360" w:lineRule="auto"/>
        <w:jc w:val="both"/>
        <w:rPr>
          <w:rFonts w:ascii="Palatino Linotype" w:hAnsi="Palatino Linotype" w:cs="Tahoma"/>
          <w:sz w:val="22"/>
          <w:szCs w:val="22"/>
          <w:lang w:val="es-ES"/>
        </w:rPr>
      </w:pPr>
    </w:p>
    <w:p w14:paraId="5ADA06C3" w14:textId="04F04E4B" w:rsidR="00280F55" w:rsidRDefault="00280F55" w:rsidP="009B438A">
      <w:pPr>
        <w:spacing w:line="360" w:lineRule="auto"/>
        <w:jc w:val="both"/>
        <w:rPr>
          <w:rFonts w:ascii="Palatino Linotype" w:hAnsi="Palatino Linotype" w:cs="Tahoma"/>
          <w:sz w:val="22"/>
          <w:szCs w:val="22"/>
        </w:rPr>
      </w:pPr>
      <w:r>
        <w:rPr>
          <w:rFonts w:ascii="Palatino Linotype" w:hAnsi="Palatino Linotype" w:cs="Tahoma"/>
          <w:sz w:val="22"/>
          <w:szCs w:val="22"/>
        </w:rPr>
        <w:t>En ese orden de ideas, toda vez que no ha quedado por completo sin materia el Recurso de Revisión</w:t>
      </w:r>
      <w:r>
        <w:rPr>
          <w:rFonts w:ascii="Palatino Linotype" w:hAnsi="Palatino Linotype" w:cs="Tahoma"/>
          <w:bCs/>
          <w:iCs/>
          <w:sz w:val="22"/>
          <w:szCs w:val="22"/>
          <w:lang w:val="es-ES_tradnl"/>
        </w:rPr>
        <w:t>,</w:t>
      </w:r>
      <w:r>
        <w:rPr>
          <w:rFonts w:ascii="Palatino Linotype" w:hAnsi="Palatino Linotype" w:cs="Tahoma"/>
          <w:sz w:val="22"/>
          <w:szCs w:val="22"/>
        </w:rPr>
        <w:t xml:space="preserve"> se considera procedente entrar al fondo del presente asunto, </w:t>
      </w:r>
      <w:r w:rsidR="002D4FA5">
        <w:rPr>
          <w:rFonts w:ascii="Palatino Linotype" w:hAnsi="Palatino Linotype" w:cs="Tahoma"/>
          <w:sz w:val="22"/>
          <w:szCs w:val="22"/>
        </w:rPr>
        <w:t>únicamente por lo que hace al número total de plazas con las que cuenta el Sujeto Obligado.</w:t>
      </w:r>
    </w:p>
    <w:p w14:paraId="11F835CB" w14:textId="77777777" w:rsidR="002D4FA5" w:rsidRPr="002B3420" w:rsidRDefault="002D4FA5" w:rsidP="009B438A">
      <w:pPr>
        <w:spacing w:line="360" w:lineRule="auto"/>
        <w:jc w:val="both"/>
        <w:rPr>
          <w:rFonts w:ascii="Palatino Linotype" w:hAnsi="Palatino Linotype" w:cs="Tahoma"/>
          <w:b/>
          <w:bCs/>
          <w:sz w:val="22"/>
          <w:szCs w:val="22"/>
        </w:rPr>
      </w:pPr>
    </w:p>
    <w:p w14:paraId="4CB76E08" w14:textId="77777777" w:rsidR="00FA7250" w:rsidRPr="00FA7250" w:rsidRDefault="00FA7250" w:rsidP="00FA7250">
      <w:pPr>
        <w:spacing w:line="360" w:lineRule="auto"/>
        <w:jc w:val="both"/>
        <w:rPr>
          <w:rFonts w:ascii="Palatino Linotype" w:hAnsi="Palatino Linotype" w:cs="Tahoma"/>
          <w:b/>
          <w:bCs/>
          <w:iCs/>
          <w:sz w:val="22"/>
          <w:szCs w:val="22"/>
          <w:lang w:val="es-ES"/>
        </w:rPr>
      </w:pPr>
      <w:r w:rsidRPr="00FA7250">
        <w:rPr>
          <w:rFonts w:ascii="Palatino Linotype" w:hAnsi="Palatino Linotype" w:cs="Tahoma"/>
          <w:b/>
          <w:bCs/>
          <w:iCs/>
          <w:sz w:val="22"/>
          <w:szCs w:val="22"/>
          <w:lang w:val="es-ES"/>
        </w:rPr>
        <w:t xml:space="preserve">TERCERO. Determinación de la Controversia. </w:t>
      </w:r>
    </w:p>
    <w:p w14:paraId="34D51212" w14:textId="1AC57885" w:rsidR="008160FF" w:rsidRDefault="008160FF" w:rsidP="009B438A">
      <w:pPr>
        <w:spacing w:line="360" w:lineRule="auto"/>
        <w:jc w:val="both"/>
        <w:rPr>
          <w:rFonts w:ascii="Palatino Linotype" w:hAnsi="Palatino Linotype" w:cs="Tahoma"/>
          <w:sz w:val="22"/>
          <w:szCs w:val="22"/>
        </w:rPr>
      </w:pPr>
    </w:p>
    <w:p w14:paraId="1ABAA829" w14:textId="4D461C1D" w:rsidR="002D4FA5" w:rsidRPr="002D4FA5" w:rsidRDefault="002D4FA5" w:rsidP="002D4FA5">
      <w:pPr>
        <w:autoSpaceDE w:val="0"/>
        <w:autoSpaceDN w:val="0"/>
        <w:adjustRightInd w:val="0"/>
        <w:spacing w:line="360" w:lineRule="auto"/>
        <w:jc w:val="both"/>
        <w:rPr>
          <w:rFonts w:ascii="Palatino Linotype" w:eastAsia="Calibri" w:hAnsi="Palatino Linotype" w:cs="Tahoma"/>
          <w:color w:val="000000"/>
          <w:sz w:val="22"/>
          <w:szCs w:val="24"/>
          <w:lang w:val="es-ES" w:eastAsia="es-MX"/>
        </w:rPr>
      </w:pPr>
      <w:r w:rsidRPr="002D4FA5">
        <w:rPr>
          <w:rFonts w:ascii="Palatino Linotype" w:eastAsia="Calibri" w:hAnsi="Palatino Linotype" w:cs="Tahoma"/>
          <w:color w:val="000000"/>
          <w:sz w:val="22"/>
          <w:szCs w:val="24"/>
          <w:lang w:val="es-ES" w:eastAsia="es-MX"/>
        </w:rPr>
        <w:t xml:space="preserve">Una vez realizado el estudio de las constancias que obran en el expediente electrónico en el que se actúa, se advierte que el Solicitante requirió </w:t>
      </w:r>
      <w:r w:rsidR="00FA7250">
        <w:rPr>
          <w:rFonts w:ascii="Palatino Linotype" w:eastAsia="Calibri" w:hAnsi="Palatino Linotype" w:cs="Tahoma"/>
          <w:color w:val="000000"/>
          <w:sz w:val="22"/>
          <w:szCs w:val="24"/>
          <w:lang w:val="es-ES" w:eastAsia="es-MX"/>
        </w:rPr>
        <w:t>el número total de plazas de la Administración Pública Municipal.</w:t>
      </w:r>
    </w:p>
    <w:p w14:paraId="24AD4628" w14:textId="26693D15" w:rsidR="00280F55" w:rsidRDefault="00280F55" w:rsidP="009B438A">
      <w:pPr>
        <w:spacing w:line="360" w:lineRule="auto"/>
        <w:jc w:val="both"/>
        <w:rPr>
          <w:rFonts w:ascii="Palatino Linotype" w:hAnsi="Palatino Linotype" w:cs="Tahoma"/>
          <w:sz w:val="22"/>
          <w:szCs w:val="22"/>
        </w:rPr>
      </w:pPr>
    </w:p>
    <w:p w14:paraId="14A7DF3E" w14:textId="5BE5C158" w:rsidR="00280F55" w:rsidRPr="002B3420" w:rsidRDefault="00280F55" w:rsidP="009B438A">
      <w:pPr>
        <w:spacing w:line="360" w:lineRule="auto"/>
        <w:jc w:val="both"/>
        <w:rPr>
          <w:rFonts w:ascii="Palatino Linotype" w:hAnsi="Palatino Linotype" w:cs="Tahoma"/>
          <w:bCs/>
          <w:sz w:val="22"/>
          <w:szCs w:val="22"/>
        </w:rPr>
      </w:pPr>
      <w:r w:rsidRPr="002B3420">
        <w:rPr>
          <w:rFonts w:ascii="Palatino Linotype" w:eastAsia="Calibri" w:hAnsi="Palatino Linotype" w:cs="Tahoma"/>
          <w:color w:val="000000"/>
          <w:sz w:val="22"/>
          <w:szCs w:val="22"/>
          <w:lang w:eastAsia="en-US"/>
        </w:rPr>
        <w:t>A</w:t>
      </w:r>
      <w:proofErr w:type="spellStart"/>
      <w:r w:rsidRPr="002B3420">
        <w:rPr>
          <w:rFonts w:ascii="Palatino Linotype" w:eastAsia="Calibri" w:hAnsi="Palatino Linotype" w:cs="Tahoma"/>
          <w:iCs/>
          <w:color w:val="000000"/>
          <w:sz w:val="22"/>
          <w:szCs w:val="22"/>
          <w:lang w:val="es-ES" w:eastAsia="es-ES_tradnl"/>
        </w:rPr>
        <w:t>nte</w:t>
      </w:r>
      <w:proofErr w:type="spellEnd"/>
      <w:r w:rsidRPr="002B3420">
        <w:rPr>
          <w:rFonts w:ascii="Palatino Linotype" w:eastAsia="Calibri" w:hAnsi="Palatino Linotype" w:cs="Tahoma"/>
          <w:iCs/>
          <w:color w:val="000000"/>
          <w:sz w:val="22"/>
          <w:szCs w:val="22"/>
          <w:lang w:val="es-ES" w:eastAsia="es-ES_tradnl"/>
        </w:rPr>
        <w:t xml:space="preserve"> la falta de respuesta del Ente Recurrido, el Particular, justamente se inconformó porque no fue contestado su requerimiento informativo, al señalar la omisión por parte del Ayuntamiento de Huehuetoca para dar respuesta a su, lo cual actualiza el supuesto previsto en el artículo 179, fracción VII, de la Ley de Transparencia y Acceso a la Información Pública </w:t>
      </w:r>
      <w:r w:rsidRPr="002B3420">
        <w:rPr>
          <w:rFonts w:ascii="Palatino Linotype" w:eastAsia="Calibri" w:hAnsi="Palatino Linotype" w:cs="Tahoma"/>
          <w:iCs/>
          <w:color w:val="000000"/>
          <w:sz w:val="22"/>
          <w:szCs w:val="22"/>
          <w:lang w:val="es-ES" w:eastAsia="es-ES_tradnl"/>
        </w:rPr>
        <w:lastRenderedPageBreak/>
        <w:t xml:space="preserve">del Estado de México y Municipios. </w:t>
      </w:r>
      <w:r w:rsidRPr="002B3420">
        <w:rPr>
          <w:rFonts w:ascii="Palatino Linotype" w:eastAsia="Calibri" w:hAnsi="Palatino Linotype" w:cs="Tahoma"/>
          <w:color w:val="000000"/>
          <w:sz w:val="22"/>
          <w:szCs w:val="22"/>
          <w:lang w:val="es-ES" w:eastAsia="en-US"/>
        </w:rPr>
        <w:t>Así las cosas, una vez admitido y notificado el Recurso de Revisión a las partes</w:t>
      </w:r>
      <w:r w:rsidRPr="002B3420">
        <w:rPr>
          <w:rFonts w:ascii="Palatino Linotype" w:hAnsi="Palatino Linotype" w:cs="Tahoma"/>
          <w:iCs/>
          <w:sz w:val="22"/>
          <w:szCs w:val="22"/>
          <w:lang w:val="es-ES"/>
        </w:rPr>
        <w:t xml:space="preserve">, el </w:t>
      </w:r>
      <w:r w:rsidRPr="002B3420">
        <w:rPr>
          <w:rFonts w:ascii="Palatino Linotype" w:eastAsia="Calibri" w:hAnsi="Palatino Linotype" w:cs="Tahoma"/>
          <w:color w:val="000000"/>
          <w:sz w:val="22"/>
          <w:szCs w:val="22"/>
          <w:lang w:eastAsia="en-US"/>
        </w:rPr>
        <w:t>Ayuntamiento</w:t>
      </w:r>
      <w:r w:rsidRPr="002B3420">
        <w:rPr>
          <w:rFonts w:ascii="Palatino Linotype" w:hAnsi="Palatino Linotype" w:cs="Tahoma"/>
          <w:iCs/>
          <w:sz w:val="22"/>
          <w:szCs w:val="22"/>
          <w:lang w:val="es-ES"/>
        </w:rPr>
        <w:t xml:space="preserve">, a través de la Dirección de Administración, </w:t>
      </w:r>
      <w:r w:rsidR="00FA7250">
        <w:rPr>
          <w:rFonts w:ascii="Palatino Linotype" w:hAnsi="Palatino Linotype" w:cs="Tahoma"/>
          <w:iCs/>
          <w:sz w:val="22"/>
          <w:szCs w:val="22"/>
          <w:lang w:val="es-ES"/>
        </w:rPr>
        <w:t>únicamente entregó la información relativa a las plazas vacantes.</w:t>
      </w:r>
    </w:p>
    <w:p w14:paraId="308BFA50" w14:textId="331952F1" w:rsidR="00280F55" w:rsidRDefault="00280F55" w:rsidP="009B438A">
      <w:pPr>
        <w:spacing w:line="360" w:lineRule="auto"/>
        <w:jc w:val="both"/>
        <w:rPr>
          <w:rFonts w:ascii="Palatino Linotype" w:hAnsi="Palatino Linotype" w:cs="Tahoma"/>
          <w:sz w:val="22"/>
          <w:szCs w:val="22"/>
        </w:rPr>
      </w:pPr>
    </w:p>
    <w:p w14:paraId="199AE92A" w14:textId="77777777" w:rsidR="00FA7250" w:rsidRPr="00FA7250" w:rsidRDefault="00FA7250" w:rsidP="00FA7250">
      <w:pPr>
        <w:spacing w:line="360" w:lineRule="auto"/>
        <w:jc w:val="both"/>
        <w:rPr>
          <w:rFonts w:ascii="Palatino Linotype" w:eastAsia="Calibri" w:hAnsi="Palatino Linotype"/>
          <w:color w:val="000000" w:themeColor="text1"/>
          <w:sz w:val="22"/>
          <w:szCs w:val="22"/>
          <w:lang w:eastAsia="en-US"/>
        </w:rPr>
      </w:pPr>
      <w:r w:rsidRPr="00FA7250">
        <w:rPr>
          <w:rFonts w:ascii="Palatino Linotype" w:eastAsia="Calibri" w:hAnsi="Palatino Linotype"/>
          <w:color w:val="000000" w:themeColor="text1"/>
          <w:sz w:val="22"/>
          <w:szCs w:val="22"/>
          <w:lang w:eastAsia="en-US"/>
        </w:rPr>
        <w:t xml:space="preserve">Lo anterior, se desprende de las documentales que obran en el expediente de referencia, materia de la presente Resolución, consistentes en: la solicitud de acceso a la información; la respuesta del Sujeto Obligado; </w:t>
      </w:r>
      <w:r w:rsidRPr="00FA7250">
        <w:rPr>
          <w:rFonts w:ascii="Palatino Linotype" w:eastAsia="Calibri" w:hAnsi="Palatino Linotype"/>
          <w:bCs/>
          <w:color w:val="000000" w:themeColor="text1"/>
          <w:sz w:val="22"/>
          <w:szCs w:val="22"/>
          <w:lang w:eastAsia="en-US"/>
        </w:rPr>
        <w:t xml:space="preserve">el </w:t>
      </w:r>
      <w:r w:rsidRPr="00FA7250">
        <w:rPr>
          <w:rFonts w:ascii="Palatino Linotype" w:eastAsia="Calibri" w:hAnsi="Palatino Linotype"/>
          <w:color w:val="000000" w:themeColor="text1"/>
          <w:sz w:val="22"/>
          <w:szCs w:val="22"/>
          <w:lang w:eastAsia="en-US"/>
        </w:rPr>
        <w:t xml:space="preserve">escrito </w:t>
      </w:r>
      <w:proofErr w:type="spellStart"/>
      <w:r w:rsidRPr="00FA7250">
        <w:rPr>
          <w:rFonts w:ascii="Palatino Linotype" w:eastAsia="Calibri" w:hAnsi="Palatino Linotype"/>
          <w:color w:val="000000" w:themeColor="text1"/>
          <w:sz w:val="22"/>
          <w:szCs w:val="22"/>
          <w:lang w:eastAsia="en-US"/>
        </w:rPr>
        <w:t>recursal</w:t>
      </w:r>
      <w:proofErr w:type="spellEnd"/>
      <w:r w:rsidRPr="00FA7250">
        <w:rPr>
          <w:rFonts w:ascii="Palatino Linotype" w:eastAsia="Calibri" w:hAnsi="Palatino Linotype"/>
          <w:color w:val="000000" w:themeColor="text1"/>
          <w:sz w:val="22"/>
          <w:szCs w:val="22"/>
          <w:lang w:eastAsia="en-US"/>
        </w:rPr>
        <w:t xml:space="preserve"> 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66EFC24D" w14:textId="77777777" w:rsidR="00FA7250" w:rsidRPr="00FA7250" w:rsidRDefault="00FA7250" w:rsidP="00FA7250">
      <w:pPr>
        <w:spacing w:line="360" w:lineRule="auto"/>
        <w:jc w:val="both"/>
        <w:rPr>
          <w:rFonts w:ascii="Palatino Linotype" w:eastAsia="Calibri" w:hAnsi="Palatino Linotype"/>
          <w:color w:val="000000" w:themeColor="text1"/>
          <w:sz w:val="22"/>
          <w:szCs w:val="22"/>
          <w:lang w:eastAsia="en-US"/>
        </w:rPr>
      </w:pPr>
    </w:p>
    <w:p w14:paraId="16FE0035" w14:textId="77777777" w:rsidR="00FA7250" w:rsidRPr="00FA7250" w:rsidRDefault="00FA7250" w:rsidP="00FA7250">
      <w:pPr>
        <w:spacing w:line="360" w:lineRule="auto"/>
        <w:jc w:val="both"/>
        <w:rPr>
          <w:rFonts w:ascii="Palatino Linotype" w:hAnsi="Palatino Linotype" w:cs="Tahoma"/>
          <w:b/>
          <w:bCs/>
          <w:iCs/>
          <w:sz w:val="22"/>
          <w:szCs w:val="22"/>
        </w:rPr>
      </w:pPr>
      <w:r w:rsidRPr="00FA7250">
        <w:rPr>
          <w:rFonts w:ascii="Palatino Linotype" w:hAnsi="Palatino Linotype" w:cs="Tahoma"/>
          <w:b/>
          <w:bCs/>
          <w:iCs/>
          <w:sz w:val="22"/>
          <w:szCs w:val="22"/>
          <w:lang w:val="es-ES"/>
        </w:rPr>
        <w:t xml:space="preserve">CUARTO. </w:t>
      </w:r>
      <w:r w:rsidRPr="00FA7250">
        <w:rPr>
          <w:rFonts w:ascii="Palatino Linotype" w:hAnsi="Palatino Linotype" w:cs="Tahoma"/>
          <w:b/>
          <w:bCs/>
          <w:iCs/>
          <w:sz w:val="22"/>
          <w:szCs w:val="22"/>
        </w:rPr>
        <w:t>Marco normativo aplicable en materia de transparencia y acceso a la información pública.</w:t>
      </w:r>
    </w:p>
    <w:p w14:paraId="295AAAE0" w14:textId="77777777" w:rsidR="00FA7250" w:rsidRPr="00FA7250" w:rsidRDefault="00FA7250" w:rsidP="00FA7250">
      <w:pPr>
        <w:spacing w:line="360" w:lineRule="auto"/>
        <w:jc w:val="both"/>
        <w:rPr>
          <w:rFonts w:ascii="Palatino Linotype" w:hAnsi="Palatino Linotype" w:cs="Tahoma"/>
          <w:b/>
          <w:bCs/>
          <w:iCs/>
          <w:sz w:val="22"/>
          <w:szCs w:val="22"/>
        </w:rPr>
      </w:pPr>
    </w:p>
    <w:p w14:paraId="165A2101"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B0DDBC" w14:textId="77777777" w:rsidR="00FA7250" w:rsidRPr="00FA7250" w:rsidRDefault="00FA7250" w:rsidP="00FA7250">
      <w:pPr>
        <w:spacing w:line="360" w:lineRule="auto"/>
        <w:jc w:val="both"/>
        <w:rPr>
          <w:rFonts w:ascii="Palatino Linotype" w:hAnsi="Palatino Linotype" w:cs="Tahoma"/>
          <w:bCs/>
          <w:iCs/>
          <w:sz w:val="22"/>
          <w:szCs w:val="22"/>
        </w:rPr>
      </w:pPr>
    </w:p>
    <w:p w14:paraId="0E373BE2"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801049F" w14:textId="77777777" w:rsidR="00FA7250" w:rsidRPr="00FA7250" w:rsidRDefault="00FA7250" w:rsidP="00FA7250">
      <w:pPr>
        <w:spacing w:line="360" w:lineRule="auto"/>
        <w:jc w:val="both"/>
        <w:rPr>
          <w:rFonts w:ascii="Palatino Linotype" w:hAnsi="Palatino Linotype" w:cs="Tahoma"/>
          <w:bCs/>
          <w:iCs/>
          <w:sz w:val="22"/>
          <w:szCs w:val="22"/>
        </w:rPr>
      </w:pPr>
    </w:p>
    <w:p w14:paraId="5A1B3874"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1519B2C" w14:textId="77777777" w:rsidR="00FA7250" w:rsidRPr="00FA7250" w:rsidRDefault="00FA7250" w:rsidP="00FA7250">
      <w:pPr>
        <w:spacing w:line="360" w:lineRule="auto"/>
        <w:jc w:val="both"/>
        <w:rPr>
          <w:rFonts w:ascii="Palatino Linotype" w:hAnsi="Palatino Linotype" w:cs="Tahoma"/>
          <w:bCs/>
          <w:iCs/>
          <w:sz w:val="22"/>
          <w:szCs w:val="22"/>
        </w:rPr>
      </w:pPr>
    </w:p>
    <w:p w14:paraId="12BAC971"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14:paraId="22CEC174" w14:textId="77777777" w:rsidR="00FA7250" w:rsidRPr="00FA7250" w:rsidRDefault="00FA7250" w:rsidP="00FA7250">
      <w:pPr>
        <w:spacing w:line="360" w:lineRule="auto"/>
        <w:jc w:val="both"/>
        <w:rPr>
          <w:rFonts w:ascii="Palatino Linotype" w:hAnsi="Palatino Linotype" w:cs="Tahoma"/>
          <w:bCs/>
          <w:iCs/>
          <w:sz w:val="22"/>
          <w:szCs w:val="22"/>
        </w:rPr>
      </w:pPr>
    </w:p>
    <w:p w14:paraId="70E04AF7"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El artículo 12, que, quienes generen, recopilen, administren, manejen, procesen, archiven o conserven información pública serán responsables de la misma.</w:t>
      </w:r>
    </w:p>
    <w:p w14:paraId="67A8DF0A" w14:textId="77777777" w:rsidR="00FA7250" w:rsidRPr="00FA7250" w:rsidRDefault="00FA7250" w:rsidP="00FA7250">
      <w:pPr>
        <w:spacing w:line="360" w:lineRule="auto"/>
        <w:jc w:val="both"/>
        <w:rPr>
          <w:rFonts w:ascii="Palatino Linotype" w:hAnsi="Palatino Linotype" w:cs="Tahoma"/>
          <w:bCs/>
          <w:iCs/>
          <w:sz w:val="22"/>
          <w:szCs w:val="22"/>
        </w:rPr>
      </w:pPr>
    </w:p>
    <w:p w14:paraId="54815F78"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02385A76" w14:textId="77777777" w:rsidR="00FA7250" w:rsidRPr="00FA7250" w:rsidRDefault="00FA7250" w:rsidP="00FA7250">
      <w:pPr>
        <w:spacing w:line="360" w:lineRule="auto"/>
        <w:jc w:val="both"/>
        <w:rPr>
          <w:rFonts w:ascii="Palatino Linotype" w:hAnsi="Palatino Linotype" w:cs="Tahoma"/>
          <w:bCs/>
          <w:iCs/>
          <w:sz w:val="22"/>
          <w:szCs w:val="22"/>
        </w:rPr>
      </w:pPr>
    </w:p>
    <w:p w14:paraId="46F30881" w14:textId="77777777"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49A1A13" w14:textId="77777777" w:rsidR="00FA7250" w:rsidRPr="00FA7250" w:rsidRDefault="00FA7250" w:rsidP="00FA7250">
      <w:pPr>
        <w:spacing w:line="360" w:lineRule="auto"/>
        <w:jc w:val="both"/>
        <w:rPr>
          <w:rFonts w:ascii="Palatino Linotype" w:hAnsi="Palatino Linotype" w:cs="Tahoma"/>
          <w:b/>
          <w:bCs/>
          <w:iCs/>
          <w:sz w:val="22"/>
          <w:szCs w:val="22"/>
          <w:lang w:val="es-ES"/>
        </w:rPr>
      </w:pPr>
    </w:p>
    <w:p w14:paraId="56E73A3F" w14:textId="1FAA91B5" w:rsidR="00FA7250" w:rsidRPr="00FA7250" w:rsidRDefault="00FA7250" w:rsidP="00FA7250">
      <w:pPr>
        <w:spacing w:line="360" w:lineRule="auto"/>
        <w:jc w:val="both"/>
        <w:rPr>
          <w:rFonts w:ascii="Palatino Linotype" w:hAnsi="Palatino Linotype" w:cs="Tahoma"/>
          <w:bCs/>
          <w:iCs/>
          <w:sz w:val="22"/>
          <w:szCs w:val="22"/>
        </w:rPr>
      </w:pPr>
      <w:r w:rsidRPr="00FA7250">
        <w:rPr>
          <w:rFonts w:ascii="Palatino Linotype" w:hAnsi="Palatino Linotype" w:cs="Tahoma"/>
          <w:sz w:val="22"/>
          <w:szCs w:val="22"/>
        </w:rPr>
        <w:t xml:space="preserve">El artículo 92, fracción </w:t>
      </w:r>
      <w:r>
        <w:rPr>
          <w:rFonts w:ascii="Palatino Linotype" w:hAnsi="Palatino Linotype" w:cs="Tahoma"/>
          <w:sz w:val="22"/>
          <w:szCs w:val="22"/>
        </w:rPr>
        <w:t>X</w:t>
      </w:r>
      <w:r w:rsidRPr="00FA7250">
        <w:rPr>
          <w:rFonts w:ascii="Palatino Linotype" w:hAnsi="Palatino Linotype" w:cs="Tahoma"/>
          <w:sz w:val="22"/>
          <w:szCs w:val="22"/>
        </w:rPr>
        <w:t xml:space="preserve">, que, se debe poner a disposición del público, de manera permanente y actualizada, en medios electrónicos, la información sobre </w:t>
      </w:r>
      <w:r>
        <w:rPr>
          <w:rFonts w:ascii="Palatino Linotype" w:hAnsi="Palatino Linotype" w:cs="Tahoma"/>
          <w:sz w:val="22"/>
          <w:szCs w:val="22"/>
        </w:rPr>
        <w:t>el número total de plazas, tanto de base, como de confianza.</w:t>
      </w:r>
    </w:p>
    <w:p w14:paraId="7FB259BA" w14:textId="77777777" w:rsidR="00FA7250" w:rsidRPr="00FA7250" w:rsidRDefault="00FA7250" w:rsidP="00FA7250">
      <w:pPr>
        <w:spacing w:line="360" w:lineRule="auto"/>
        <w:jc w:val="both"/>
        <w:rPr>
          <w:rFonts w:ascii="Palatino Linotype" w:hAnsi="Palatino Linotype" w:cs="Tahoma"/>
          <w:b/>
          <w:bCs/>
          <w:iCs/>
          <w:sz w:val="22"/>
          <w:szCs w:val="22"/>
          <w:lang w:val="es-ES"/>
        </w:rPr>
      </w:pPr>
    </w:p>
    <w:p w14:paraId="78292269" w14:textId="77777777" w:rsidR="00FA7250" w:rsidRPr="00FA7250" w:rsidRDefault="00FA7250" w:rsidP="00FA7250">
      <w:pPr>
        <w:spacing w:line="360" w:lineRule="auto"/>
        <w:jc w:val="both"/>
        <w:rPr>
          <w:rFonts w:ascii="Palatino Linotype" w:hAnsi="Palatino Linotype" w:cs="Tahoma"/>
          <w:b/>
          <w:bCs/>
          <w:iCs/>
          <w:sz w:val="22"/>
          <w:szCs w:val="22"/>
          <w:lang w:val="es-ES"/>
        </w:rPr>
      </w:pPr>
      <w:r w:rsidRPr="00FA7250">
        <w:rPr>
          <w:rFonts w:ascii="Palatino Linotype" w:hAnsi="Palatino Linotype" w:cs="Tahoma"/>
          <w:b/>
          <w:bCs/>
          <w:iCs/>
          <w:sz w:val="22"/>
          <w:szCs w:val="22"/>
          <w:lang w:val="es-ES"/>
        </w:rPr>
        <w:t>Quinto. Estudio de Fondo.</w:t>
      </w:r>
    </w:p>
    <w:p w14:paraId="65AA718D" w14:textId="77777777" w:rsidR="00526B27" w:rsidRDefault="00526B27" w:rsidP="00526B27">
      <w:pPr>
        <w:spacing w:line="360" w:lineRule="auto"/>
        <w:jc w:val="both"/>
        <w:rPr>
          <w:rFonts w:ascii="Palatino Linotype" w:hAnsi="Palatino Linotype" w:cs="Tahoma"/>
          <w:bCs/>
          <w:iCs/>
          <w:sz w:val="22"/>
          <w:szCs w:val="22"/>
        </w:rPr>
      </w:pPr>
    </w:p>
    <w:p w14:paraId="6FCC064C" w14:textId="7B1A9A5C" w:rsidR="00526B27" w:rsidRPr="00526B27" w:rsidRDefault="00526B27" w:rsidP="00526B27">
      <w:pPr>
        <w:spacing w:line="360" w:lineRule="auto"/>
        <w:jc w:val="both"/>
        <w:rPr>
          <w:rFonts w:ascii="Palatino Linotype" w:hAnsi="Palatino Linotype" w:cs="Tahoma"/>
          <w:bCs/>
          <w:iCs/>
          <w:sz w:val="22"/>
          <w:szCs w:val="22"/>
        </w:rPr>
      </w:pPr>
      <w:r w:rsidRPr="00526B27">
        <w:rPr>
          <w:rFonts w:ascii="Palatino Linotype" w:hAnsi="Palatino Linotype" w:cs="Tahoma"/>
          <w:bCs/>
          <w:iCs/>
          <w:sz w:val="22"/>
          <w:szCs w:val="22"/>
        </w:rPr>
        <w:t xml:space="preserve">Expuestas las posturas de las partes, se procede al análisis del agravio hecho valer por el ahora Recurrente, concerniente a la falta de respuesta del </w:t>
      </w:r>
      <w:r w:rsidRPr="00526B27">
        <w:rPr>
          <w:rFonts w:ascii="Palatino Linotype" w:eastAsia="Calibri" w:hAnsi="Palatino Linotype" w:cs="Tahoma"/>
          <w:b/>
          <w:bCs/>
          <w:color w:val="000000" w:themeColor="text1"/>
          <w:sz w:val="22"/>
          <w:szCs w:val="22"/>
          <w:lang w:eastAsia="en-US"/>
        </w:rPr>
        <w:t xml:space="preserve">Ayuntamiento de </w:t>
      </w:r>
      <w:r>
        <w:rPr>
          <w:rFonts w:ascii="Palatino Linotype" w:eastAsia="Calibri" w:hAnsi="Palatino Linotype" w:cs="Tahoma"/>
          <w:b/>
          <w:bCs/>
          <w:color w:val="000000" w:themeColor="text1"/>
          <w:sz w:val="22"/>
          <w:szCs w:val="22"/>
          <w:lang w:eastAsia="en-US"/>
        </w:rPr>
        <w:t>Huehuetoca</w:t>
      </w:r>
      <w:r w:rsidRPr="00526B27">
        <w:rPr>
          <w:rFonts w:ascii="Palatino Linotype" w:hAnsi="Palatino Linotype" w:cs="Tahoma"/>
          <w:iCs/>
          <w:sz w:val="22"/>
          <w:szCs w:val="22"/>
        </w:rPr>
        <w:t>, a</w:t>
      </w:r>
      <w:r w:rsidRPr="00526B27">
        <w:rPr>
          <w:rFonts w:ascii="Palatino Linotype" w:hAnsi="Palatino Linotype" w:cs="Tahoma"/>
          <w:bCs/>
          <w:iCs/>
          <w:sz w:val="22"/>
          <w:szCs w:val="22"/>
        </w:rPr>
        <w:t xml:space="preserve"> la solicitud de información presentada por el Recurrente. </w:t>
      </w:r>
    </w:p>
    <w:p w14:paraId="011A9423" w14:textId="77777777" w:rsidR="00526B27" w:rsidRPr="00526B27" w:rsidRDefault="00526B27" w:rsidP="00526B27">
      <w:pPr>
        <w:spacing w:line="360" w:lineRule="auto"/>
        <w:jc w:val="both"/>
        <w:rPr>
          <w:rFonts w:ascii="Palatino Linotype" w:hAnsi="Palatino Linotype" w:cs="Tahoma"/>
          <w:bCs/>
          <w:iCs/>
          <w:sz w:val="22"/>
          <w:szCs w:val="22"/>
        </w:rPr>
      </w:pPr>
    </w:p>
    <w:p w14:paraId="4CC80312" w14:textId="58856CC3" w:rsidR="00526B27" w:rsidRDefault="00526B27" w:rsidP="00526B27">
      <w:pPr>
        <w:spacing w:line="360" w:lineRule="auto"/>
        <w:jc w:val="both"/>
        <w:rPr>
          <w:rFonts w:ascii="Palatino Linotype" w:eastAsia="Calibri" w:hAnsi="Palatino Linotype" w:cs="Tahoma"/>
          <w:bCs/>
          <w:sz w:val="22"/>
          <w:szCs w:val="22"/>
          <w:lang w:eastAsia="en-US"/>
        </w:rPr>
      </w:pPr>
      <w:r w:rsidRPr="00526B27">
        <w:rPr>
          <w:rFonts w:ascii="Palatino Linotype" w:hAnsi="Palatino Linotype" w:cs="Tahoma"/>
          <w:bCs/>
          <w:iCs/>
          <w:sz w:val="22"/>
          <w:szCs w:val="22"/>
        </w:rPr>
        <w:lastRenderedPageBreak/>
        <w:t>En principio,</w:t>
      </w:r>
      <w:r>
        <w:rPr>
          <w:rFonts w:ascii="Palatino Linotype" w:eastAsia="Calibri" w:hAnsi="Palatino Linotype" w:cs="Tahoma"/>
          <w:bCs/>
          <w:sz w:val="22"/>
          <w:szCs w:val="22"/>
          <w:lang w:eastAsia="en-US"/>
        </w:rPr>
        <w:t xml:space="preserve">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302AB25D" w14:textId="77777777" w:rsidR="00526B27" w:rsidRDefault="00526B27" w:rsidP="00526B27">
      <w:pPr>
        <w:spacing w:line="360" w:lineRule="auto"/>
        <w:jc w:val="both"/>
        <w:rPr>
          <w:rFonts w:ascii="Palatino Linotype" w:eastAsia="Calibri" w:hAnsi="Palatino Linotype" w:cs="Tahoma"/>
          <w:bCs/>
          <w:sz w:val="22"/>
          <w:szCs w:val="22"/>
          <w:lang w:eastAsia="en-US"/>
        </w:rPr>
      </w:pPr>
    </w:p>
    <w:p w14:paraId="7109780B" w14:textId="77777777" w:rsidR="00526B27" w:rsidRDefault="00526B27" w:rsidP="00526B27">
      <w:pPr>
        <w:numPr>
          <w:ilvl w:val="0"/>
          <w:numId w:val="5"/>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Proveer lo necesario para garantizar a toda persona el derecho de acceso a la información pública, a través de procedimientos sencillos, expeditos, oportunos y gratuitos;</w:t>
      </w:r>
    </w:p>
    <w:p w14:paraId="134F2B2B" w14:textId="77777777" w:rsidR="00526B27" w:rsidRDefault="00526B27" w:rsidP="00526B27">
      <w:pPr>
        <w:spacing w:line="360" w:lineRule="auto"/>
        <w:ind w:left="720"/>
        <w:contextualSpacing/>
        <w:jc w:val="both"/>
        <w:rPr>
          <w:rFonts w:ascii="Palatino Linotype" w:eastAsia="Calibri" w:hAnsi="Palatino Linotype" w:cs="Tahoma"/>
          <w:bCs/>
          <w:sz w:val="22"/>
          <w:szCs w:val="22"/>
          <w:lang w:eastAsia="en-US"/>
        </w:rPr>
      </w:pPr>
    </w:p>
    <w:p w14:paraId="5F37DD1F" w14:textId="77777777" w:rsidR="00526B27" w:rsidRDefault="00526B27" w:rsidP="00526B27">
      <w:pPr>
        <w:numPr>
          <w:ilvl w:val="0"/>
          <w:numId w:val="5"/>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Transparentar la gestión pública, mediante la difusión de la información generada por los Sujetos Obligados, y</w:t>
      </w:r>
    </w:p>
    <w:p w14:paraId="7D2AD98E" w14:textId="77777777" w:rsidR="00526B27" w:rsidRDefault="00526B27" w:rsidP="00526B27">
      <w:pPr>
        <w:spacing w:line="360" w:lineRule="auto"/>
        <w:ind w:left="720"/>
        <w:contextualSpacing/>
        <w:jc w:val="both"/>
        <w:rPr>
          <w:rFonts w:ascii="Palatino Linotype" w:eastAsia="Calibri" w:hAnsi="Palatino Linotype" w:cs="Tahoma"/>
          <w:bCs/>
          <w:sz w:val="22"/>
          <w:szCs w:val="22"/>
          <w:lang w:eastAsia="en-US"/>
        </w:rPr>
      </w:pPr>
    </w:p>
    <w:p w14:paraId="6FE920FB" w14:textId="77777777" w:rsidR="00526B27" w:rsidRDefault="00526B27" w:rsidP="00526B27">
      <w:pPr>
        <w:numPr>
          <w:ilvl w:val="0"/>
          <w:numId w:val="5"/>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Promover, fomentar y difundir la cultura de la transparencia en el ejercicio de la función pública, el acceso a la información y la participación ciudadana, así como, la rendición de cuentas.</w:t>
      </w:r>
    </w:p>
    <w:p w14:paraId="5DA33BE3" w14:textId="77777777" w:rsidR="00526B27" w:rsidRDefault="00526B27" w:rsidP="00526B27">
      <w:pPr>
        <w:spacing w:line="360" w:lineRule="auto"/>
        <w:jc w:val="both"/>
        <w:rPr>
          <w:rFonts w:ascii="Palatino Linotype" w:eastAsia="Calibri" w:hAnsi="Palatino Linotype" w:cs="Tahoma"/>
          <w:bCs/>
          <w:sz w:val="22"/>
          <w:szCs w:val="22"/>
          <w:lang w:eastAsia="en-US"/>
        </w:rPr>
      </w:pPr>
    </w:p>
    <w:p w14:paraId="5A3D534C" w14:textId="77777777" w:rsidR="00526B27" w:rsidRDefault="00526B27" w:rsidP="00526B2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Conforme a lo anterior, se deprende que </w:t>
      </w:r>
      <w:r>
        <w:rPr>
          <w:rFonts w:ascii="Palatino Linotype" w:eastAsia="Calibri" w:hAnsi="Palatino Linotype" w:cs="Tahoma"/>
          <w:b/>
          <w:bCs/>
          <w:sz w:val="22"/>
          <w:szCs w:val="22"/>
          <w:lang w:eastAsia="en-US"/>
        </w:rPr>
        <w:t>los objetivos de la Ley de la materia,</w:t>
      </w:r>
      <w:r>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7DB170A9" w14:textId="77777777" w:rsidR="00526B27" w:rsidRDefault="00526B27" w:rsidP="00526B27">
      <w:pPr>
        <w:spacing w:line="360" w:lineRule="auto"/>
        <w:jc w:val="both"/>
        <w:rPr>
          <w:rFonts w:ascii="Palatino Linotype" w:eastAsia="Calibri" w:hAnsi="Palatino Linotype" w:cs="Tahoma"/>
          <w:bCs/>
          <w:sz w:val="22"/>
          <w:szCs w:val="22"/>
          <w:lang w:eastAsia="en-US"/>
        </w:rPr>
      </w:pPr>
    </w:p>
    <w:p w14:paraId="1B3BEC5F" w14:textId="77777777" w:rsidR="00526B27" w:rsidRDefault="00526B27" w:rsidP="003F1490">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Pr>
          <w:rFonts w:ascii="Palatino Linotype" w:eastAsia="Calibri" w:hAnsi="Palatino Linotype" w:cs="Tahoma"/>
          <w:b/>
          <w:bCs/>
          <w:sz w:val="22"/>
          <w:szCs w:val="22"/>
          <w:lang w:eastAsia="en-US"/>
        </w:rPr>
        <w:t>principio de máxima publicidad</w:t>
      </w:r>
      <w:r>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w:t>
      </w:r>
      <w:r>
        <w:rPr>
          <w:rFonts w:ascii="Palatino Linotype" w:eastAsia="Calibri" w:hAnsi="Palatino Linotype" w:cs="Tahoma"/>
          <w:bCs/>
          <w:sz w:val="22"/>
          <w:szCs w:val="22"/>
          <w:lang w:eastAsia="en-US"/>
        </w:rPr>
        <w:lastRenderedPageBreak/>
        <w:t>claro régimen de excepciones que deberán estar definidas y ser legítimas y estrictamente necesarias en una sociedad democrática.</w:t>
      </w:r>
    </w:p>
    <w:p w14:paraId="2980FAC5" w14:textId="77777777" w:rsidR="00526B27" w:rsidRDefault="00526B27" w:rsidP="00526B27">
      <w:pPr>
        <w:spacing w:line="360" w:lineRule="auto"/>
        <w:jc w:val="both"/>
        <w:rPr>
          <w:rFonts w:ascii="Palatino Linotype" w:eastAsia="Calibri" w:hAnsi="Palatino Linotype" w:cs="Tahoma"/>
          <w:bCs/>
          <w:sz w:val="22"/>
          <w:szCs w:val="22"/>
          <w:lang w:eastAsia="en-US"/>
        </w:rPr>
      </w:pPr>
    </w:p>
    <w:p w14:paraId="5421209F" w14:textId="77777777" w:rsidR="00526B27" w:rsidRDefault="00526B27" w:rsidP="00526B27">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5ED516D" w14:textId="77777777" w:rsidR="00526B27" w:rsidRDefault="00526B27" w:rsidP="00526B27">
      <w:pPr>
        <w:spacing w:line="360" w:lineRule="auto"/>
        <w:jc w:val="both"/>
        <w:rPr>
          <w:rFonts w:ascii="Palatino Linotype" w:eastAsia="Calibri" w:hAnsi="Palatino Linotype" w:cs="Tahoma"/>
          <w:bCs/>
          <w:color w:val="000000"/>
          <w:sz w:val="22"/>
          <w:szCs w:val="22"/>
          <w:lang w:eastAsia="en-US"/>
        </w:rPr>
      </w:pPr>
    </w:p>
    <w:p w14:paraId="4C597805" w14:textId="77777777" w:rsidR="00526B27" w:rsidRDefault="00526B27" w:rsidP="00526B27">
      <w:pPr>
        <w:numPr>
          <w:ilvl w:val="0"/>
          <w:numId w:val="6"/>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F5E4537" w14:textId="77777777" w:rsidR="00526B27" w:rsidRDefault="00526B27" w:rsidP="00526B27">
      <w:pPr>
        <w:spacing w:line="360" w:lineRule="auto"/>
        <w:ind w:left="720"/>
        <w:contextualSpacing/>
        <w:jc w:val="both"/>
        <w:rPr>
          <w:rFonts w:ascii="Palatino Linotype" w:eastAsia="Calibri" w:hAnsi="Palatino Linotype" w:cs="Tahoma"/>
          <w:bCs/>
          <w:sz w:val="22"/>
          <w:szCs w:val="22"/>
          <w:lang w:eastAsia="en-US"/>
        </w:rPr>
      </w:pPr>
    </w:p>
    <w:p w14:paraId="7E9209F2" w14:textId="77777777" w:rsidR="00526B27" w:rsidRDefault="00526B27" w:rsidP="00526B27">
      <w:pPr>
        <w:numPr>
          <w:ilvl w:val="0"/>
          <w:numId w:val="6"/>
        </w:num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Las respuestas a los requerimientos informativos deberán notificarse al interesado en el menor tiempo posible, que no podrá exceder </w:t>
      </w:r>
      <w:r>
        <w:rPr>
          <w:rFonts w:ascii="Palatino Linotype" w:eastAsia="Calibri" w:hAnsi="Palatino Linotype" w:cs="Tahoma"/>
          <w:b/>
          <w:bCs/>
          <w:sz w:val="22"/>
          <w:szCs w:val="22"/>
          <w:lang w:eastAsia="en-US"/>
        </w:rPr>
        <w:t>quince días, contados a partir del día siguiente a la presentación de ésta.</w:t>
      </w:r>
      <w:r>
        <w:rPr>
          <w:rFonts w:ascii="Palatino Linotype" w:eastAsia="Calibri" w:hAnsi="Palatino Linotype" w:cs="Tahoma"/>
          <w:bCs/>
          <w:sz w:val="22"/>
          <w:szCs w:val="22"/>
          <w:lang w:eastAsia="en-US"/>
        </w:rPr>
        <w:t xml:space="preserve"> Excepcionalmente, el plazo referido podrá ampliarse por siete días hábiles más, cuando existan razones fundadas y motivadas, a través del Comité de Transparencia;</w:t>
      </w:r>
    </w:p>
    <w:p w14:paraId="4394873E" w14:textId="77777777" w:rsidR="00526B27" w:rsidRDefault="00526B27" w:rsidP="00526B27">
      <w:pPr>
        <w:spacing w:line="360" w:lineRule="auto"/>
        <w:ind w:left="720"/>
        <w:contextualSpacing/>
        <w:jc w:val="both"/>
        <w:rPr>
          <w:rFonts w:ascii="Palatino Linotype" w:eastAsia="Calibri" w:hAnsi="Palatino Linotype" w:cs="Tahoma"/>
          <w:bCs/>
          <w:sz w:val="22"/>
          <w:szCs w:val="22"/>
          <w:lang w:eastAsia="en-US"/>
        </w:rPr>
      </w:pPr>
    </w:p>
    <w:p w14:paraId="341538F4" w14:textId="77777777" w:rsidR="00526B27" w:rsidRDefault="00526B27" w:rsidP="00526B27">
      <w:pPr>
        <w:numPr>
          <w:ilvl w:val="0"/>
          <w:numId w:val="6"/>
        </w:num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Pr>
          <w:rFonts w:ascii="Palatino Linotype" w:eastAsia="Calibri" w:hAnsi="Palatino Linotype" w:cs="Tahoma"/>
          <w:b/>
          <w:bCs/>
          <w:sz w:val="22"/>
          <w:szCs w:val="22"/>
          <w:lang w:eastAsia="en-US"/>
        </w:rPr>
        <w:t>que se encuentren en sus archivos o que estén constreñidos a elaborar;</w:t>
      </w:r>
    </w:p>
    <w:p w14:paraId="2D36C3E8" w14:textId="77777777" w:rsidR="00526B27" w:rsidRDefault="00526B27" w:rsidP="00526B27">
      <w:pPr>
        <w:spacing w:line="360" w:lineRule="auto"/>
        <w:ind w:left="720"/>
        <w:contextualSpacing/>
        <w:jc w:val="both"/>
        <w:rPr>
          <w:rFonts w:ascii="Palatino Linotype" w:eastAsia="Calibri" w:hAnsi="Palatino Linotype" w:cs="Tahoma"/>
          <w:b/>
          <w:bCs/>
          <w:sz w:val="22"/>
          <w:szCs w:val="22"/>
          <w:lang w:eastAsia="en-US"/>
        </w:rPr>
      </w:pPr>
    </w:p>
    <w:p w14:paraId="290657E6" w14:textId="77777777" w:rsidR="00526B27" w:rsidRDefault="00526B27" w:rsidP="00526B27">
      <w:pPr>
        <w:numPr>
          <w:ilvl w:val="0"/>
          <w:numId w:val="6"/>
        </w:num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366EA5E" w14:textId="77777777" w:rsidR="00526B27" w:rsidRDefault="00526B27" w:rsidP="00526B27">
      <w:pPr>
        <w:spacing w:line="360" w:lineRule="auto"/>
        <w:ind w:left="720"/>
        <w:contextualSpacing/>
        <w:rPr>
          <w:rFonts w:ascii="Palatino Linotype" w:eastAsia="Calibri" w:hAnsi="Palatino Linotype" w:cs="Tahoma"/>
          <w:b/>
          <w:bCs/>
          <w:sz w:val="22"/>
          <w:szCs w:val="22"/>
          <w:lang w:eastAsia="en-US"/>
        </w:rPr>
      </w:pPr>
    </w:p>
    <w:p w14:paraId="4E3A13DB" w14:textId="77777777" w:rsidR="00526B27" w:rsidRDefault="00526B27" w:rsidP="00526B27">
      <w:pPr>
        <w:numPr>
          <w:ilvl w:val="0"/>
          <w:numId w:val="6"/>
        </w:num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25188E34" w14:textId="77777777" w:rsidR="00526B27" w:rsidRDefault="00526B27" w:rsidP="00526B27">
      <w:pPr>
        <w:spacing w:line="360" w:lineRule="auto"/>
        <w:ind w:left="720"/>
        <w:contextualSpacing/>
        <w:jc w:val="both"/>
        <w:rPr>
          <w:rFonts w:ascii="Palatino Linotype" w:eastAsia="Calibri" w:hAnsi="Palatino Linotype" w:cs="Tahoma"/>
          <w:b/>
          <w:bCs/>
          <w:sz w:val="22"/>
          <w:szCs w:val="22"/>
          <w:lang w:eastAsia="en-US"/>
        </w:rPr>
      </w:pPr>
    </w:p>
    <w:p w14:paraId="3A142BF8" w14:textId="77777777" w:rsidR="00526B27" w:rsidRDefault="00526B27" w:rsidP="00526B27">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Cs/>
          <w:sz w:val="22"/>
          <w:szCs w:val="22"/>
          <w:lang w:eastAsia="en-US"/>
        </w:rPr>
        <w:t xml:space="preserve">Una vez establecido lo anterior, es de indicar que el agravio del Recurrente consistió en que, a la fecha de la interposición del Recurso de Revisión, el Ayuntamiento de Ecatepec de Morelos, no había registrado respuesta al requerimiento de acceso a la información, el cual fue presentado </w:t>
      </w:r>
      <w:r>
        <w:rPr>
          <w:rFonts w:ascii="Palatino Linotype" w:eastAsia="Calibri" w:hAnsi="Palatino Linotype" w:cs="Tahoma"/>
          <w:b/>
          <w:bCs/>
          <w:sz w:val="22"/>
          <w:szCs w:val="22"/>
          <w:lang w:eastAsia="en-US"/>
        </w:rPr>
        <w:t xml:space="preserve">el dieciocho de abril de dos mil veintidós. </w:t>
      </w:r>
    </w:p>
    <w:p w14:paraId="32E7A315" w14:textId="77777777" w:rsidR="00526B27" w:rsidRDefault="00526B27" w:rsidP="00526B27">
      <w:pPr>
        <w:spacing w:line="360" w:lineRule="auto"/>
        <w:jc w:val="both"/>
        <w:rPr>
          <w:rFonts w:ascii="Palatino Linotype" w:hAnsi="Palatino Linotype" w:cs="Tahoma"/>
          <w:bCs/>
          <w:sz w:val="22"/>
          <w:szCs w:val="24"/>
        </w:rPr>
      </w:pPr>
    </w:p>
    <w:p w14:paraId="7B683C3C" w14:textId="77777777" w:rsidR="00526B27" w:rsidRDefault="00526B27" w:rsidP="00526B27">
      <w:pPr>
        <w:spacing w:line="360" w:lineRule="auto"/>
        <w:jc w:val="both"/>
        <w:rPr>
          <w:rFonts w:ascii="Palatino Linotype" w:eastAsia="Calibri" w:hAnsi="Palatino Linotype" w:cs="Tahoma"/>
          <w:color w:val="000000"/>
          <w:sz w:val="22"/>
          <w:szCs w:val="22"/>
          <w:lang w:eastAsia="en-US"/>
        </w:rPr>
      </w:pPr>
      <w:bookmarkStart w:id="1" w:name="_Hlk56162634"/>
      <w:r>
        <w:rPr>
          <w:rFonts w:ascii="Palatino Linotype" w:eastAsia="Calibri" w:hAnsi="Palatino Linotype" w:cs="Tahoma"/>
          <w:bCs/>
          <w:color w:val="000000"/>
          <w:sz w:val="22"/>
          <w:szCs w:val="22"/>
          <w:lang w:eastAsia="en-US"/>
        </w:rPr>
        <w:t xml:space="preserve">En ese orden de ideas, el plazo con el que contaba el Sujeto Obligado para emitir contestación al requerimiento informativo, comenzó a correr el </w:t>
      </w:r>
      <w:r>
        <w:rPr>
          <w:rFonts w:ascii="Palatino Linotype" w:eastAsia="Calibri" w:hAnsi="Palatino Linotype" w:cs="Tahoma"/>
          <w:b/>
          <w:color w:val="000000"/>
          <w:sz w:val="22"/>
          <w:szCs w:val="22"/>
          <w:lang w:eastAsia="en-US"/>
        </w:rPr>
        <w:t>dieci</w:t>
      </w:r>
      <w:r>
        <w:rPr>
          <w:rFonts w:ascii="Palatino Linotype" w:eastAsia="Calibri" w:hAnsi="Palatino Linotype" w:cs="Tahoma"/>
          <w:b/>
          <w:bCs/>
          <w:color w:val="000000"/>
          <w:sz w:val="22"/>
          <w:szCs w:val="22"/>
          <w:lang w:eastAsia="en-US"/>
        </w:rPr>
        <w:t xml:space="preserve">nueve de abril </w:t>
      </w:r>
      <w:r>
        <w:rPr>
          <w:rFonts w:ascii="Palatino Linotype" w:eastAsia="Calibri" w:hAnsi="Palatino Linotype" w:cs="Tahoma"/>
          <w:bCs/>
          <w:color w:val="000000"/>
          <w:sz w:val="22"/>
          <w:szCs w:val="22"/>
          <w:lang w:eastAsia="en-US"/>
        </w:rPr>
        <w:t xml:space="preserve">y feneció el </w:t>
      </w:r>
      <w:r>
        <w:rPr>
          <w:rFonts w:ascii="Palatino Linotype" w:eastAsia="Calibri" w:hAnsi="Palatino Linotype" w:cs="Tahoma"/>
          <w:b/>
          <w:bCs/>
          <w:color w:val="000000"/>
          <w:sz w:val="22"/>
          <w:szCs w:val="22"/>
          <w:lang w:eastAsia="en-US"/>
        </w:rPr>
        <w:t xml:space="preserve">diez de mayo, ambos de la presente anualidad; </w:t>
      </w:r>
      <w:r>
        <w:rPr>
          <w:rFonts w:ascii="Palatino Linotype" w:eastAsia="Calibri" w:hAnsi="Palatino Linotype" w:cs="Tahoma"/>
          <w:bCs/>
          <w:color w:val="000000"/>
          <w:sz w:val="22"/>
          <w:szCs w:val="22"/>
          <w:lang w:eastAsia="en-US"/>
        </w:rPr>
        <w:t xml:space="preserve">lo anterior, sin contar los días veintitrés, veinticuatro y treinta de abril, así como, primero, siete y ocho de mayo, todos del año en curso, al ser inhábiles, </w:t>
      </w:r>
      <w:bookmarkEnd w:id="1"/>
      <w:r>
        <w:rPr>
          <w:rFonts w:ascii="Palatino Linotype" w:eastAsia="Batang" w:hAnsi="Palatino Linotype" w:cs="Tahoma"/>
          <w:bCs/>
          <w:color w:val="000000"/>
          <w:sz w:val="22"/>
          <w:szCs w:val="22"/>
          <w:lang w:eastAsia="en-US"/>
        </w:rPr>
        <w:t xml:space="preserve">de conformidad con los artículos 3°, fracción X, de la Ley de Transparencia y Acceso a la Información Pública del Estado de México y Municipios y el </w:t>
      </w:r>
      <w:r>
        <w:rPr>
          <w:rFonts w:ascii="Palatino Linotype" w:eastAsia="Batang" w:hAnsi="Palatino Linotype" w:cs="Tahoma"/>
          <w:color w:val="000000"/>
          <w:sz w:val="22"/>
          <w:szCs w:val="22"/>
          <w:lang w:val="es-ES" w:eastAsia="en-US"/>
        </w:rPr>
        <w:t>Calendario Oficial en Materia de Transparencia, Acceso a la Información Pública y Protección de Datos Personales del Estado de México y Municipios, así como de laborales de este Instituto, para el año dos mil veintidós y enero dos mil veintitrés.</w:t>
      </w:r>
    </w:p>
    <w:p w14:paraId="68DBC14E" w14:textId="77777777" w:rsidR="00526B27" w:rsidRDefault="00526B27" w:rsidP="00526B27">
      <w:pPr>
        <w:spacing w:line="360" w:lineRule="auto"/>
        <w:jc w:val="both"/>
        <w:rPr>
          <w:rFonts w:ascii="Palatino Linotype" w:eastAsia="Calibri" w:hAnsi="Palatino Linotype"/>
          <w:color w:val="000000"/>
          <w:sz w:val="22"/>
          <w:szCs w:val="22"/>
          <w:lang w:eastAsia="en-US"/>
        </w:rPr>
      </w:pPr>
    </w:p>
    <w:p w14:paraId="5193C2BF" w14:textId="77777777" w:rsidR="00526B27" w:rsidRDefault="00526B27" w:rsidP="00526B27">
      <w:pPr>
        <w:spacing w:line="360" w:lineRule="auto"/>
        <w:jc w:val="both"/>
        <w:rPr>
          <w:rFonts w:ascii="Palatino Linotype" w:eastAsia="Calibri" w:hAnsi="Palatino Linotype" w:cs="Tahoma"/>
          <w:color w:val="000000"/>
          <w:sz w:val="22"/>
          <w:szCs w:val="22"/>
          <w:lang w:val="es-ES" w:eastAsia="en-US"/>
        </w:rPr>
      </w:pPr>
      <w:r>
        <w:rPr>
          <w:rFonts w:ascii="Palatino Linotype" w:eastAsia="Calibri" w:hAnsi="Palatino Linotype" w:cs="Tahoma"/>
          <w:bCs/>
          <w:color w:val="000000"/>
          <w:sz w:val="22"/>
          <w:szCs w:val="22"/>
          <w:lang w:eastAsia="en-US"/>
        </w:rPr>
        <w:lastRenderedPageBreak/>
        <w:t xml:space="preserve">Así, este Instituto verificó que, en efecto, no se registró una respuesta a la solicitud del ahora Recurrente, en el </w:t>
      </w:r>
      <w:r>
        <w:rPr>
          <w:rFonts w:ascii="Palatino Linotype" w:eastAsia="Calibri" w:hAnsi="Palatino Linotype" w:cs="Tahoma"/>
          <w:color w:val="000000"/>
          <w:sz w:val="22"/>
          <w:szCs w:val="22"/>
          <w:lang w:val="es-ES" w:eastAsia="en-US"/>
        </w:rPr>
        <w:t>Sistema de Acceso a la Información Mexiquense (SAIMEX), tal como se observa a continuación:</w:t>
      </w:r>
    </w:p>
    <w:p w14:paraId="2CA30B6E" w14:textId="77777777" w:rsidR="00526B27" w:rsidRDefault="00526B27" w:rsidP="00526B27">
      <w:pPr>
        <w:spacing w:line="360" w:lineRule="auto"/>
        <w:jc w:val="both"/>
        <w:rPr>
          <w:rFonts w:ascii="Palatino Linotype" w:eastAsia="Calibri" w:hAnsi="Palatino Linotype" w:cs="Tahoma"/>
          <w:color w:val="000000"/>
          <w:sz w:val="22"/>
          <w:szCs w:val="22"/>
          <w:lang w:val="es-ES" w:eastAsia="en-US"/>
        </w:rPr>
      </w:pPr>
    </w:p>
    <w:p w14:paraId="05FA3FF9" w14:textId="76FDF240" w:rsidR="00526B27" w:rsidRDefault="00526B27" w:rsidP="00526B27">
      <w:pPr>
        <w:spacing w:line="360" w:lineRule="auto"/>
        <w:jc w:val="center"/>
        <w:rPr>
          <w:rFonts w:ascii="Palatino Linotype" w:hAnsi="Palatino Linotype" w:cs="Tahoma"/>
          <w:bCs/>
          <w:sz w:val="22"/>
          <w:szCs w:val="24"/>
        </w:rPr>
      </w:pPr>
      <w:r>
        <w:rPr>
          <w:rFonts w:ascii="Palatino Linotype" w:hAnsi="Palatino Linotype"/>
          <w:noProof/>
        </w:rPr>
        <w:drawing>
          <wp:inline distT="0" distB="0" distL="0" distR="0" wp14:anchorId="7A3134EB" wp14:editId="6D7685F5">
            <wp:extent cx="2838450"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l="18358" t="38354" r="57845" b="28659"/>
                    <a:stretch>
                      <a:fillRect/>
                    </a:stretch>
                  </pic:blipFill>
                  <pic:spPr bwMode="auto">
                    <a:xfrm>
                      <a:off x="0" y="0"/>
                      <a:ext cx="2838450" cy="2209800"/>
                    </a:xfrm>
                    <a:prstGeom prst="rect">
                      <a:avLst/>
                    </a:prstGeom>
                    <a:noFill/>
                    <a:ln>
                      <a:noFill/>
                    </a:ln>
                  </pic:spPr>
                </pic:pic>
              </a:graphicData>
            </a:graphic>
          </wp:inline>
        </w:drawing>
      </w:r>
    </w:p>
    <w:p w14:paraId="6C74F218" w14:textId="77777777" w:rsidR="00526B27" w:rsidRDefault="00526B27" w:rsidP="00526B27">
      <w:pPr>
        <w:spacing w:line="360" w:lineRule="auto"/>
        <w:jc w:val="both"/>
        <w:rPr>
          <w:rFonts w:ascii="Palatino Linotype" w:hAnsi="Palatino Linotype" w:cs="Tahoma"/>
          <w:bCs/>
          <w:color w:val="0D0D0D" w:themeColor="text1" w:themeTint="F2"/>
          <w:sz w:val="22"/>
          <w:szCs w:val="22"/>
        </w:rPr>
      </w:pPr>
    </w:p>
    <w:p w14:paraId="2D623AA5" w14:textId="7EFD755D" w:rsidR="003F1490" w:rsidRPr="003F1490" w:rsidRDefault="003F1490" w:rsidP="003F1490">
      <w:pPr>
        <w:tabs>
          <w:tab w:val="left" w:pos="4962"/>
        </w:tabs>
        <w:spacing w:line="360" w:lineRule="auto"/>
        <w:jc w:val="both"/>
        <w:rPr>
          <w:rFonts w:ascii="Palatino Linotype" w:eastAsia="Calibri" w:hAnsi="Palatino Linotype" w:cs="Tahoma"/>
          <w:b/>
          <w:color w:val="000000"/>
          <w:sz w:val="22"/>
          <w:szCs w:val="22"/>
          <w:lang w:eastAsia="en-US"/>
        </w:rPr>
      </w:pPr>
      <w:r w:rsidRPr="003F1490">
        <w:rPr>
          <w:rFonts w:ascii="Palatino Linotype" w:eastAsia="Calibri" w:hAnsi="Palatino Linotype" w:cs="Tahoma"/>
          <w:bCs/>
          <w:color w:val="000000"/>
          <w:sz w:val="22"/>
          <w:szCs w:val="22"/>
          <w:lang w:eastAsia="en-US"/>
        </w:rPr>
        <w:t xml:space="preserve">Conforme a lo anterior, se colige que, tal como lo precisó el Recurrente, el </w:t>
      </w:r>
      <w:r w:rsidRPr="003F1490">
        <w:rPr>
          <w:rFonts w:ascii="Palatino Linotype" w:eastAsia="Calibri" w:hAnsi="Palatino Linotype" w:cs="Tahoma"/>
          <w:color w:val="000000" w:themeColor="text1"/>
          <w:sz w:val="22"/>
          <w:szCs w:val="22"/>
          <w:lang w:eastAsia="en-US"/>
        </w:rPr>
        <w:t xml:space="preserve">Ayuntamiento de </w:t>
      </w:r>
      <w:r>
        <w:rPr>
          <w:rFonts w:ascii="Palatino Linotype" w:eastAsia="Calibri" w:hAnsi="Palatino Linotype" w:cs="Tahoma"/>
          <w:color w:val="000000" w:themeColor="text1"/>
          <w:sz w:val="22"/>
          <w:szCs w:val="22"/>
          <w:lang w:eastAsia="en-US"/>
        </w:rPr>
        <w:t>Huehuetoca</w:t>
      </w:r>
      <w:r w:rsidRPr="003F1490">
        <w:rPr>
          <w:rFonts w:ascii="Palatino Linotype" w:eastAsia="Calibri" w:hAnsi="Palatino Linotype" w:cs="Tahoma"/>
          <w:color w:val="000000"/>
          <w:sz w:val="22"/>
          <w:szCs w:val="22"/>
          <w:lang w:eastAsia="en-US"/>
        </w:rPr>
        <w:t>, no</w:t>
      </w:r>
      <w:r w:rsidRPr="003F1490">
        <w:rPr>
          <w:rFonts w:ascii="Palatino Linotype" w:eastAsia="Calibri" w:hAnsi="Palatino Linotype" w:cs="Tahoma"/>
          <w:bCs/>
          <w:color w:val="000000"/>
          <w:sz w:val="22"/>
          <w:szCs w:val="22"/>
          <w:lang w:eastAsia="en-US"/>
        </w:rPr>
        <w:t xml:space="preserve"> emitió respuesta para dar contestación a la solicitud de acceso a la información pública, dentro de los plazos establecidos en el artículo 163, de la Ley de Transparencia y Acceso a la Información Pública del Estado de México y Municipios, pues </w:t>
      </w:r>
      <w:r w:rsidRPr="003F1490">
        <w:rPr>
          <w:rFonts w:ascii="Palatino Linotype" w:eastAsia="Calibri" w:hAnsi="Palatino Linotype" w:cs="Tahoma"/>
          <w:b/>
          <w:color w:val="000000"/>
          <w:sz w:val="22"/>
          <w:szCs w:val="22"/>
          <w:lang w:eastAsia="en-US"/>
        </w:rPr>
        <w:t xml:space="preserve">tenía hasta el </w:t>
      </w:r>
      <w:r>
        <w:rPr>
          <w:rFonts w:ascii="Palatino Linotype" w:eastAsia="Calibri" w:hAnsi="Palatino Linotype" w:cs="Tahoma"/>
          <w:b/>
          <w:color w:val="000000"/>
          <w:sz w:val="22"/>
          <w:szCs w:val="22"/>
          <w:lang w:eastAsia="en-US"/>
        </w:rPr>
        <w:t>diez de mayo</w:t>
      </w:r>
      <w:r w:rsidRPr="003F1490">
        <w:rPr>
          <w:rFonts w:ascii="Palatino Linotype" w:eastAsia="Calibri" w:hAnsi="Palatino Linotype" w:cs="Tahoma"/>
          <w:b/>
          <w:color w:val="000000"/>
          <w:sz w:val="22"/>
          <w:szCs w:val="22"/>
          <w:lang w:eastAsia="en-US"/>
        </w:rPr>
        <w:t xml:space="preserve"> de la presente anualidad</w:t>
      </w:r>
      <w:r w:rsidRPr="003F1490">
        <w:rPr>
          <w:rFonts w:ascii="Palatino Linotype" w:eastAsia="Calibri" w:hAnsi="Palatino Linotype" w:cs="Tahoma"/>
          <w:bCs/>
          <w:color w:val="000000"/>
          <w:sz w:val="22"/>
          <w:szCs w:val="22"/>
          <w:lang w:eastAsia="en-US"/>
        </w:rPr>
        <w:t xml:space="preserve">, para realizar dicha situación, por lo que es evidente que el agravio es </w:t>
      </w:r>
      <w:r w:rsidRPr="003F1490">
        <w:rPr>
          <w:rFonts w:ascii="Palatino Linotype" w:eastAsia="Calibri" w:hAnsi="Palatino Linotype" w:cs="Tahoma"/>
          <w:b/>
          <w:color w:val="000000"/>
          <w:sz w:val="22"/>
          <w:szCs w:val="22"/>
          <w:lang w:eastAsia="en-US"/>
        </w:rPr>
        <w:t>FUNDADO.</w:t>
      </w:r>
    </w:p>
    <w:p w14:paraId="2C70930D" w14:textId="77777777" w:rsidR="003F1490" w:rsidRPr="003F1490" w:rsidRDefault="003F1490" w:rsidP="003F1490">
      <w:pPr>
        <w:tabs>
          <w:tab w:val="left" w:pos="4962"/>
        </w:tabs>
        <w:spacing w:line="360" w:lineRule="auto"/>
        <w:jc w:val="both"/>
        <w:rPr>
          <w:rFonts w:ascii="Palatino Linotype" w:eastAsia="Calibri" w:hAnsi="Palatino Linotype" w:cs="Tahoma"/>
          <w:b/>
          <w:color w:val="000000"/>
          <w:sz w:val="22"/>
          <w:szCs w:val="22"/>
          <w:lang w:eastAsia="en-US"/>
        </w:rPr>
      </w:pPr>
    </w:p>
    <w:p w14:paraId="75C61BA8" w14:textId="1F229CF5" w:rsidR="003F1490" w:rsidRDefault="003F1490" w:rsidP="003F1490">
      <w:pPr>
        <w:tabs>
          <w:tab w:val="left" w:pos="4962"/>
        </w:tabs>
        <w:spacing w:line="360" w:lineRule="auto"/>
        <w:jc w:val="both"/>
        <w:rPr>
          <w:rFonts w:ascii="Palatino Linotype" w:eastAsia="Calibri" w:hAnsi="Palatino Linotype" w:cs="Tahoma"/>
          <w:bCs/>
          <w:color w:val="000000"/>
          <w:sz w:val="22"/>
          <w:szCs w:val="22"/>
          <w:lang w:eastAsia="en-US"/>
        </w:rPr>
      </w:pPr>
      <w:r w:rsidRPr="003F1490">
        <w:rPr>
          <w:rFonts w:ascii="Palatino Linotype" w:eastAsia="Calibri" w:hAnsi="Palatino Linotype" w:cs="Tahoma"/>
          <w:bCs/>
          <w:color w:val="000000"/>
          <w:sz w:val="22"/>
          <w:szCs w:val="22"/>
          <w:lang w:eastAsia="en-US"/>
        </w:rPr>
        <w:t xml:space="preserve">No obstante, toda vez que, durante la sustanciación del Medio de Impugnación, el Sujeto Obligado emitió respuesta a la solicitud de información, se procede analizar dicha circunstancia; para lo cual, en primera instancia, es necesario </w:t>
      </w:r>
      <w:r>
        <w:rPr>
          <w:rFonts w:ascii="Palatino Linotype" w:eastAsia="Calibri" w:hAnsi="Palatino Linotype" w:cs="Tahoma"/>
          <w:bCs/>
          <w:color w:val="000000"/>
          <w:sz w:val="22"/>
          <w:szCs w:val="22"/>
          <w:lang w:eastAsia="en-US"/>
        </w:rPr>
        <w:t>recordar que la pretensión del ahora Recurrente es obtener el número total de plazas (base y confianza) con las que contaba el Ayuntamiento de Huehuetoca, al dieciocho de abril de dos mil veintidós.</w:t>
      </w:r>
    </w:p>
    <w:p w14:paraId="0DEC27CB" w14:textId="37BF407B" w:rsidR="003F1490" w:rsidRDefault="003F1490" w:rsidP="003F1490">
      <w:pPr>
        <w:tabs>
          <w:tab w:val="left" w:pos="4962"/>
        </w:tabs>
        <w:spacing w:line="360" w:lineRule="auto"/>
        <w:jc w:val="both"/>
        <w:rPr>
          <w:rFonts w:ascii="Palatino Linotype" w:eastAsia="Calibri" w:hAnsi="Palatino Linotype" w:cs="Tahoma"/>
          <w:bCs/>
          <w:color w:val="000000"/>
          <w:sz w:val="22"/>
          <w:szCs w:val="22"/>
          <w:lang w:eastAsia="en-US"/>
        </w:rPr>
      </w:pPr>
    </w:p>
    <w:p w14:paraId="3F198F31" w14:textId="4809BA00" w:rsidR="003F1490" w:rsidRDefault="003F1490" w:rsidP="003F1490">
      <w:pPr>
        <w:tabs>
          <w:tab w:val="left" w:pos="4962"/>
        </w:tabs>
        <w:spacing w:line="360" w:lineRule="auto"/>
        <w:jc w:val="both"/>
        <w:rPr>
          <w:rFonts w:ascii="Palatino Linotype" w:eastAsia="Calibri" w:hAnsi="Palatino Linotype" w:cs="Tahoma"/>
          <w:bCs/>
          <w:color w:val="000000"/>
          <w:sz w:val="22"/>
          <w:szCs w:val="22"/>
          <w:lang w:eastAsia="en-US"/>
        </w:rPr>
      </w:pPr>
      <w:r>
        <w:rPr>
          <w:rFonts w:ascii="Palatino Linotype" w:eastAsia="Calibri" w:hAnsi="Palatino Linotype" w:cs="Tahoma"/>
          <w:bCs/>
          <w:color w:val="000000"/>
          <w:sz w:val="22"/>
          <w:szCs w:val="22"/>
          <w:lang w:eastAsia="en-US"/>
        </w:rPr>
        <w:lastRenderedPageBreak/>
        <w:t>Ahora bien, tal como se precisó en el Considerando SEGUNDO, el Sujeto Obligado turno la solicitud de información, a la unidad administrativa competente para conocer de lo peticionado, a saber, la Dirección de Administración, por lo que, cumplió</w:t>
      </w:r>
      <w:r w:rsidR="009D7307">
        <w:rPr>
          <w:rFonts w:ascii="Palatino Linotype" w:eastAsia="Calibri" w:hAnsi="Palatino Linotype" w:cs="Tahoma"/>
          <w:bCs/>
          <w:color w:val="000000"/>
          <w:sz w:val="22"/>
          <w:szCs w:val="22"/>
          <w:lang w:eastAsia="en-US"/>
        </w:rPr>
        <w:t xml:space="preserve"> con parte de lo establecido en el artículo 162 de la Ley de la materia.</w:t>
      </w:r>
    </w:p>
    <w:p w14:paraId="56B704B2" w14:textId="463C0D63" w:rsidR="009D7307" w:rsidRDefault="009D7307" w:rsidP="003F1490">
      <w:pPr>
        <w:tabs>
          <w:tab w:val="left" w:pos="4962"/>
        </w:tabs>
        <w:spacing w:line="360" w:lineRule="auto"/>
        <w:jc w:val="both"/>
        <w:rPr>
          <w:rFonts w:ascii="Palatino Linotype" w:eastAsia="Calibri" w:hAnsi="Palatino Linotype" w:cs="Tahoma"/>
          <w:bCs/>
          <w:color w:val="000000"/>
          <w:sz w:val="22"/>
          <w:szCs w:val="22"/>
          <w:lang w:eastAsia="en-US"/>
        </w:rPr>
      </w:pPr>
    </w:p>
    <w:p w14:paraId="2B4568D5" w14:textId="40D2D861" w:rsidR="009D7307" w:rsidRDefault="009D7307" w:rsidP="009D7307">
      <w:pPr>
        <w:spacing w:line="360" w:lineRule="auto"/>
        <w:jc w:val="both"/>
        <w:rPr>
          <w:rFonts w:ascii="Palatino Linotype" w:hAnsi="Palatino Linotype" w:cs="Tahoma"/>
          <w:sz w:val="22"/>
          <w:szCs w:val="22"/>
          <w:lang w:val="es-ES"/>
        </w:rPr>
      </w:pPr>
      <w:r>
        <w:rPr>
          <w:rFonts w:ascii="Palatino Linotype" w:eastAsia="Calibri" w:hAnsi="Palatino Linotype" w:cs="Tahoma"/>
          <w:bCs/>
          <w:color w:val="000000"/>
          <w:sz w:val="22"/>
          <w:szCs w:val="22"/>
          <w:lang w:eastAsia="en-US"/>
        </w:rPr>
        <w:t>En ese sentido, de las constancias que obran en el expediente, se logra vislumbrar que dicha área omitió realizar un pronunciamiento expreso sobre la información peticionada; s</w:t>
      </w:r>
      <w:proofErr w:type="spellStart"/>
      <w:r w:rsidRPr="009D7307">
        <w:rPr>
          <w:rFonts w:ascii="Palatino Linotype" w:hAnsi="Palatino Linotype" w:cs="Tahoma"/>
          <w:sz w:val="22"/>
          <w:szCs w:val="22"/>
          <w:lang w:val="es-ES"/>
        </w:rPr>
        <w:t>obre</w:t>
      </w:r>
      <w:proofErr w:type="spellEnd"/>
      <w:r w:rsidRPr="009D7307">
        <w:rPr>
          <w:rFonts w:ascii="Palatino Linotype" w:hAnsi="Palatino Linotype" w:cs="Tahoma"/>
          <w:sz w:val="22"/>
          <w:szCs w:val="22"/>
          <w:lang w:val="es-ES"/>
        </w:rPr>
        <w:t xml:space="preserve"> el tema, el artículo 1.8, fracción XIII, del Código Administrativo del Estado de México, establece que para que tenga validez, todo acto administrativo deberá resolver todos los puntos propuestos por los interesados</w:t>
      </w:r>
      <w:r>
        <w:rPr>
          <w:rFonts w:ascii="Palatino Linotype" w:hAnsi="Palatino Linotype" w:cs="Tahoma"/>
          <w:sz w:val="22"/>
          <w:szCs w:val="22"/>
          <w:lang w:val="es-ES"/>
        </w:rPr>
        <w:t>.</w:t>
      </w:r>
    </w:p>
    <w:p w14:paraId="6F2B0B85" w14:textId="77777777" w:rsidR="009D7307" w:rsidRDefault="009D7307" w:rsidP="009D7307">
      <w:pPr>
        <w:spacing w:line="360" w:lineRule="auto"/>
        <w:jc w:val="both"/>
        <w:rPr>
          <w:rFonts w:ascii="Palatino Linotype" w:hAnsi="Palatino Linotype" w:cs="Tahoma"/>
          <w:sz w:val="22"/>
          <w:szCs w:val="22"/>
          <w:lang w:val="es-ES"/>
        </w:rPr>
      </w:pPr>
    </w:p>
    <w:p w14:paraId="61F99310" w14:textId="6165F0E4" w:rsidR="009D7307" w:rsidRPr="009D7307" w:rsidRDefault="009D7307" w:rsidP="009D7307">
      <w:pPr>
        <w:spacing w:line="360" w:lineRule="auto"/>
        <w:jc w:val="both"/>
        <w:rPr>
          <w:rFonts w:ascii="Palatino Linotype" w:eastAsia="Calibri" w:hAnsi="Palatino Linotype" w:cs="Tahoma"/>
          <w:color w:val="000000"/>
          <w:sz w:val="22"/>
          <w:szCs w:val="22"/>
          <w:lang w:eastAsia="es-MX"/>
        </w:rPr>
      </w:pPr>
      <w:r>
        <w:rPr>
          <w:rFonts w:ascii="Palatino Linotype" w:hAnsi="Palatino Linotype" w:cs="Tahoma"/>
          <w:sz w:val="22"/>
          <w:szCs w:val="22"/>
          <w:lang w:val="es-ES"/>
        </w:rPr>
        <w:t>S</w:t>
      </w:r>
      <w:proofErr w:type="spellStart"/>
      <w:r w:rsidRPr="009D7307">
        <w:rPr>
          <w:rFonts w:ascii="Palatino Linotype" w:eastAsia="Calibri" w:hAnsi="Palatino Linotype" w:cs="Tahoma"/>
          <w:color w:val="000000"/>
          <w:sz w:val="22"/>
          <w:szCs w:val="22"/>
          <w:lang w:eastAsia="es-MX"/>
        </w:rPr>
        <w:t>ituación</w:t>
      </w:r>
      <w:proofErr w:type="spellEnd"/>
      <w:r w:rsidRPr="009D7307">
        <w:rPr>
          <w:rFonts w:ascii="Palatino Linotype" w:eastAsia="Calibri" w:hAnsi="Palatino Linotype" w:cs="Tahoma"/>
          <w:color w:val="000000"/>
          <w:sz w:val="22"/>
          <w:szCs w:val="22"/>
          <w:lang w:eastAsia="es-MX"/>
        </w:rPr>
        <w:t xml:space="preserve"> que se robustece, con el Criterio 02/17, del Instituto Nacional de Transparencia, Acceso a la Información y Protección de Datos Personales, el cual establece lo siguiente:</w:t>
      </w:r>
    </w:p>
    <w:p w14:paraId="3E8BBC88" w14:textId="77777777" w:rsidR="009D7307" w:rsidRPr="009D7307" w:rsidRDefault="009D7307" w:rsidP="009D7307">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1CC8094" w14:textId="77777777" w:rsidR="009D7307" w:rsidRPr="009D7307" w:rsidRDefault="009D7307" w:rsidP="009D7307">
      <w:pPr>
        <w:spacing w:line="360" w:lineRule="auto"/>
        <w:ind w:left="567" w:right="567"/>
        <w:jc w:val="both"/>
        <w:rPr>
          <w:rFonts w:ascii="Palatino Linotype" w:eastAsia="Calibri" w:hAnsi="Palatino Linotype" w:cs="Tahoma"/>
          <w:bCs/>
          <w:i/>
          <w:lang w:eastAsia="en-US"/>
        </w:rPr>
      </w:pPr>
      <w:r w:rsidRPr="009D7307">
        <w:rPr>
          <w:rFonts w:ascii="Palatino Linotype" w:eastAsia="Calibri" w:hAnsi="Palatino Linotype" w:cs="Tahoma"/>
          <w:b/>
          <w:bCs/>
          <w:i/>
          <w:lang w:eastAsia="en-US"/>
        </w:rPr>
        <w:t xml:space="preserve">“Congruencia y exhaustividad. Sus alcances para garantizar el derecho de acceso a la información. </w:t>
      </w:r>
      <w:r w:rsidRPr="009D7307">
        <w:rPr>
          <w:rFonts w:ascii="Palatino Linotype" w:eastAsia="Calibri" w:hAnsi="Palatino Linotype" w:cs="Tahoma"/>
          <w:bCs/>
          <w:i/>
          <w:lang w:eastAsia="en-U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w:t>
      </w:r>
      <w:r w:rsidRPr="009D7307">
        <w:rPr>
          <w:rFonts w:ascii="Palatino Linotype" w:eastAsia="Calibri" w:hAnsi="Palatino Linotype" w:cs="Tahoma"/>
          <w:i/>
          <w:lang w:eastAsia="en-US"/>
        </w:rPr>
        <w:t>atiendan de manera puntual y expresa, cada uno de los contenidos de información.”</w:t>
      </w:r>
    </w:p>
    <w:p w14:paraId="6D6D7911" w14:textId="77777777" w:rsidR="009D7307" w:rsidRPr="009D7307" w:rsidRDefault="009D7307" w:rsidP="009D7307">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1BCA7012" w14:textId="73C3E052" w:rsidR="009D7307" w:rsidRDefault="009D7307" w:rsidP="009D7307">
      <w:pPr>
        <w:autoSpaceDE w:val="0"/>
        <w:autoSpaceDN w:val="0"/>
        <w:adjustRightInd w:val="0"/>
        <w:spacing w:line="360" w:lineRule="auto"/>
        <w:jc w:val="both"/>
        <w:rPr>
          <w:rFonts w:ascii="Palatino Linotype" w:eastAsia="Calibri" w:hAnsi="Palatino Linotype" w:cs="Tahoma"/>
          <w:bCs/>
          <w:sz w:val="22"/>
          <w:szCs w:val="24"/>
          <w:lang w:eastAsia="es-MX"/>
        </w:rPr>
      </w:pPr>
      <w:r w:rsidRPr="009D7307">
        <w:rPr>
          <w:rFonts w:ascii="Palatino Linotype" w:eastAsia="Calibri" w:hAnsi="Palatino Linotype" w:cs="Tahoma"/>
          <w:sz w:val="22"/>
          <w:szCs w:val="24"/>
          <w:lang w:eastAsia="es-MX"/>
        </w:rPr>
        <w:t xml:space="preserve">De lo citado, se desprende que </w:t>
      </w:r>
      <w:r w:rsidRPr="009D7307">
        <w:rPr>
          <w:rFonts w:ascii="Palatino Linotype" w:eastAsia="Calibri" w:hAnsi="Palatino Linotype" w:cs="Tahoma"/>
          <w:bCs/>
          <w:sz w:val="22"/>
          <w:szCs w:val="24"/>
          <w:lang w:eastAsia="es-MX"/>
        </w:rPr>
        <w:t xml:space="preserve">todo acto administrativo debe apegarse al </w:t>
      </w:r>
      <w:r w:rsidRPr="009D7307">
        <w:rPr>
          <w:rFonts w:ascii="Palatino Linotype" w:eastAsia="Calibri" w:hAnsi="Palatino Linotype" w:cs="Tahoma"/>
          <w:b/>
          <w:bCs/>
          <w:sz w:val="22"/>
          <w:szCs w:val="24"/>
          <w:lang w:eastAsia="es-MX"/>
        </w:rPr>
        <w:t>principio de exhaustividad</w:t>
      </w:r>
      <w:r w:rsidRPr="009D7307">
        <w:rPr>
          <w:rFonts w:ascii="Palatino Linotype" w:eastAsia="Calibri" w:hAnsi="Palatino Linotype" w:cs="Tahoma"/>
          <w:bCs/>
          <w:sz w:val="22"/>
          <w:szCs w:val="24"/>
          <w:lang w:eastAsia="es-MX"/>
        </w:rPr>
        <w:t xml:space="preserve">, entendiendo por éste que se pronuncie expresamente sobre cada uno de los </w:t>
      </w:r>
      <w:r w:rsidRPr="009D7307">
        <w:rPr>
          <w:rFonts w:ascii="Palatino Linotype" w:eastAsia="Calibri" w:hAnsi="Palatino Linotype" w:cs="Tahoma"/>
          <w:bCs/>
          <w:sz w:val="22"/>
          <w:szCs w:val="24"/>
          <w:lang w:eastAsia="es-MX"/>
        </w:rPr>
        <w:lastRenderedPageBreak/>
        <w:t>puntos requeridos, lo cual en materia de transparencia y acceso a la información pública se traduce en que, las respuestas que emitan los sujetos obligados, deben atender de manera puntual y expresa, cada uno de los contenidos de información.</w:t>
      </w:r>
    </w:p>
    <w:p w14:paraId="3C8196E3" w14:textId="77777777" w:rsidR="009D7307" w:rsidRPr="009D7307" w:rsidRDefault="009D7307" w:rsidP="009D7307">
      <w:pPr>
        <w:autoSpaceDE w:val="0"/>
        <w:autoSpaceDN w:val="0"/>
        <w:adjustRightInd w:val="0"/>
        <w:spacing w:line="360" w:lineRule="auto"/>
        <w:jc w:val="both"/>
        <w:rPr>
          <w:rFonts w:ascii="Palatino Linotype" w:eastAsia="Calibri" w:hAnsi="Palatino Linotype" w:cs="Tahoma"/>
          <w:bCs/>
          <w:sz w:val="22"/>
          <w:szCs w:val="24"/>
          <w:lang w:eastAsia="es-MX"/>
        </w:rPr>
      </w:pPr>
    </w:p>
    <w:p w14:paraId="5F3C9AC4" w14:textId="1AC9B36E" w:rsidR="009D7307" w:rsidRDefault="009D7307" w:rsidP="009D7307">
      <w:pPr>
        <w:spacing w:line="360" w:lineRule="auto"/>
        <w:jc w:val="both"/>
        <w:rPr>
          <w:rFonts w:ascii="Palatino Linotype" w:eastAsia="Calibri" w:hAnsi="Palatino Linotype" w:cs="Tahoma"/>
          <w:sz w:val="22"/>
          <w:szCs w:val="22"/>
          <w:lang w:eastAsia="en-US"/>
        </w:rPr>
      </w:pPr>
      <w:r w:rsidRPr="009D7307">
        <w:rPr>
          <w:rFonts w:ascii="Palatino Linotype" w:eastAsia="Calibri" w:hAnsi="Palatino Linotype" w:cs="Tahoma"/>
          <w:sz w:val="22"/>
          <w:szCs w:val="24"/>
          <w:lang w:eastAsia="es-MX"/>
        </w:rPr>
        <w:t xml:space="preserve">En esa tesitura, se concluye que el Sujeto Obligado no satisfizo el derecho de acceso </w:t>
      </w:r>
      <w:r w:rsidRPr="009D7307">
        <w:rPr>
          <w:rFonts w:ascii="Palatino Linotype" w:eastAsia="Calibri" w:hAnsi="Palatino Linotype" w:cs="Tahoma"/>
          <w:bCs/>
          <w:sz w:val="22"/>
          <w:szCs w:val="22"/>
          <w:lang w:eastAsia="en-US"/>
        </w:rPr>
        <w:t xml:space="preserve">a la información del Recurrente, </w:t>
      </w:r>
      <w:r w:rsidRPr="009D7307">
        <w:rPr>
          <w:rFonts w:ascii="Palatino Linotype" w:eastAsia="Calibri" w:hAnsi="Palatino Linotype" w:cs="Tahoma"/>
          <w:b/>
          <w:bCs/>
          <w:sz w:val="22"/>
          <w:szCs w:val="22"/>
          <w:lang w:eastAsia="en-US"/>
        </w:rPr>
        <w:t xml:space="preserve">al incumplir el principio de exhaustividad, </w:t>
      </w:r>
      <w:r w:rsidRPr="009D7307">
        <w:rPr>
          <w:rFonts w:ascii="Palatino Linotype" w:eastAsia="Calibri" w:hAnsi="Palatino Linotype" w:cs="Tahoma"/>
          <w:sz w:val="22"/>
          <w:szCs w:val="22"/>
          <w:lang w:eastAsia="en-US"/>
        </w:rPr>
        <w:t xml:space="preserve">toda vez </w:t>
      </w:r>
      <w:r>
        <w:rPr>
          <w:rFonts w:ascii="Palatino Linotype" w:eastAsia="Calibri" w:hAnsi="Palatino Linotype" w:cs="Tahoma"/>
          <w:sz w:val="22"/>
          <w:szCs w:val="22"/>
          <w:lang w:eastAsia="en-US"/>
        </w:rPr>
        <w:t>que la Dirección de Administración no se pronunció sobre el número total de plazas con las que contaba el Ayuntamiento</w:t>
      </w:r>
      <w:r w:rsidR="00715E5C">
        <w:rPr>
          <w:rFonts w:ascii="Palatino Linotype" w:eastAsia="Calibri" w:hAnsi="Palatino Linotype" w:cs="Tahoma"/>
          <w:sz w:val="22"/>
          <w:szCs w:val="22"/>
          <w:lang w:eastAsia="en-US"/>
        </w:rPr>
        <w:t xml:space="preserve">; </w:t>
      </w:r>
      <w:r w:rsidR="00715E5C" w:rsidRPr="00715E5C">
        <w:rPr>
          <w:rFonts w:ascii="Palatino Linotype" w:eastAsia="Calibri" w:hAnsi="Palatino Linotype" w:cs="Tahoma"/>
          <w:sz w:val="22"/>
          <w:szCs w:val="22"/>
          <w:lang w:eastAsia="en-US"/>
        </w:rPr>
        <w:t>por lo que, se considera que para dar por atendido dicho información, en términos de los artículos 12, 160 y 162 de la Ley de Transparencia y Acceso a la Información Pública del Estado de México, deberá realizar una búsqueda exhaustiva y razonable en sus archivos, a efecto de proporcionar las expresiones documentales que contenga lo peticionado.</w:t>
      </w:r>
    </w:p>
    <w:p w14:paraId="46F55635" w14:textId="4CF90186" w:rsidR="00715E5C" w:rsidRDefault="00715E5C" w:rsidP="009D7307">
      <w:pPr>
        <w:spacing w:line="360" w:lineRule="auto"/>
        <w:jc w:val="both"/>
        <w:rPr>
          <w:rFonts w:ascii="Palatino Linotype" w:eastAsia="Calibri" w:hAnsi="Palatino Linotype" w:cs="Tahoma"/>
          <w:sz w:val="22"/>
          <w:szCs w:val="22"/>
          <w:lang w:eastAsia="en-US"/>
        </w:rPr>
      </w:pPr>
    </w:p>
    <w:p w14:paraId="07BC5C75" w14:textId="4600ACBF" w:rsidR="00715E5C" w:rsidRDefault="00715E5C" w:rsidP="009D7307">
      <w:pPr>
        <w:spacing w:line="360" w:lineRule="auto"/>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Situación que toma relevancia, pues conforme a los artículos 70, fracción X, de la Ley General de Transparencia y Acceso a la Información Pública, y 92, fracción X, de la Ley de Transparencia y Acceso a la Información Pública del Estado de México y Municipios, es una obligación común de transparencia, dar a conocer el número total de plazas con las que cuenta.</w:t>
      </w:r>
    </w:p>
    <w:p w14:paraId="22EFF441" w14:textId="6A7A256C" w:rsidR="00715E5C" w:rsidRDefault="00715E5C" w:rsidP="009D7307">
      <w:pPr>
        <w:spacing w:line="360" w:lineRule="auto"/>
        <w:jc w:val="both"/>
        <w:rPr>
          <w:rFonts w:ascii="Palatino Linotype" w:eastAsia="Calibri" w:hAnsi="Palatino Linotype" w:cs="Tahoma"/>
          <w:sz w:val="22"/>
          <w:szCs w:val="22"/>
          <w:lang w:eastAsia="en-US"/>
        </w:rPr>
      </w:pPr>
    </w:p>
    <w:p w14:paraId="32311B65" w14:textId="46D1454A" w:rsidR="0091429B" w:rsidRPr="0091429B" w:rsidRDefault="0091429B" w:rsidP="0091429B">
      <w:pPr>
        <w:autoSpaceDE w:val="0"/>
        <w:autoSpaceDN w:val="0"/>
        <w:adjustRightInd w:val="0"/>
        <w:spacing w:line="360" w:lineRule="auto"/>
        <w:jc w:val="both"/>
        <w:rPr>
          <w:rFonts w:ascii="Palatino Linotype" w:hAnsi="Palatino Linotype"/>
          <w:sz w:val="22"/>
          <w:szCs w:val="22"/>
          <w:lang w:val="es-ES"/>
        </w:rPr>
      </w:pPr>
      <w:r w:rsidRPr="0091429B">
        <w:rPr>
          <w:rFonts w:ascii="Palatino Linotype" w:hAnsi="Palatino Linotype"/>
          <w:sz w:val="22"/>
          <w:szCs w:val="22"/>
          <w:lang w:val="es-ES"/>
        </w:rPr>
        <w:t xml:space="preserve">Además, </w:t>
      </w:r>
      <w:r w:rsidRPr="0091429B">
        <w:rPr>
          <w:rFonts w:ascii="Palatino Linotype" w:eastAsia="Calibri" w:hAnsi="Palatino Linotype"/>
          <w:color w:val="000000"/>
          <w:sz w:val="22"/>
          <w:szCs w:val="22"/>
          <w:lang w:val="es-ES" w:eastAsia="en-US"/>
        </w:rPr>
        <w:t>el punto III.</w:t>
      </w:r>
      <w:r w:rsidR="00DD7B99">
        <w:rPr>
          <w:rFonts w:ascii="Palatino Linotype" w:eastAsia="Calibri" w:hAnsi="Palatino Linotype"/>
          <w:color w:val="000000"/>
          <w:sz w:val="22"/>
          <w:szCs w:val="22"/>
          <w:lang w:val="es-ES" w:eastAsia="en-US"/>
        </w:rPr>
        <w:t>3</w:t>
      </w:r>
      <w:r w:rsidRPr="0091429B">
        <w:rPr>
          <w:rFonts w:ascii="Palatino Linotype" w:eastAsia="Calibri" w:hAnsi="Palatino Linotype"/>
          <w:color w:val="000000"/>
          <w:sz w:val="22"/>
          <w:szCs w:val="22"/>
          <w:lang w:val="es-ES" w:eastAsia="en-US"/>
        </w:rPr>
        <w:t xml:space="preserve">.1 Lineamientos generales, </w:t>
      </w:r>
      <w:r w:rsidR="00DD7B99">
        <w:rPr>
          <w:rFonts w:ascii="Palatino Linotype" w:eastAsia="Calibri" w:hAnsi="Palatino Linotype"/>
          <w:color w:val="000000"/>
          <w:sz w:val="22"/>
          <w:szCs w:val="22"/>
          <w:lang w:val="es-ES" w:eastAsia="en-US"/>
        </w:rPr>
        <w:t>del</w:t>
      </w:r>
      <w:r w:rsidRPr="0091429B">
        <w:rPr>
          <w:rFonts w:ascii="Palatino Linotype" w:eastAsia="Calibri" w:hAnsi="Palatino Linotype"/>
          <w:color w:val="000000"/>
          <w:sz w:val="22"/>
          <w:szCs w:val="22"/>
          <w:lang w:val="es-ES" w:eastAsia="en-US"/>
        </w:rPr>
        <w:t xml:space="preserve"> Manual</w:t>
      </w:r>
      <w:r w:rsidRPr="0091429B">
        <w:rPr>
          <w:rFonts w:ascii="Palatino Linotype" w:hAnsi="Palatino Linotype" w:cs="Tahoma"/>
          <w:sz w:val="22"/>
          <w:szCs w:val="22"/>
        </w:rPr>
        <w:t xml:space="preserve"> para la Planeación, Programación y Presupuesto de Egresos Municipal para el Ejercicio Fiscal</w:t>
      </w:r>
      <w:r w:rsidR="00DD7B99">
        <w:rPr>
          <w:rFonts w:ascii="Palatino Linotype" w:hAnsi="Palatino Linotype" w:cs="Tahoma"/>
          <w:sz w:val="22"/>
          <w:szCs w:val="22"/>
        </w:rPr>
        <w:t xml:space="preserve"> dos mil veintidós</w:t>
      </w:r>
      <w:r w:rsidRPr="0091429B">
        <w:rPr>
          <w:rFonts w:ascii="Palatino Linotype" w:eastAsia="Calibri" w:hAnsi="Palatino Linotype"/>
          <w:color w:val="000000"/>
          <w:sz w:val="22"/>
          <w:szCs w:val="22"/>
          <w:lang w:val="es-ES" w:eastAsia="en-US"/>
        </w:rPr>
        <w:t>, establece los Formatos que integran el Proyecto de Presupuesto de Egresos, entre los cuales se encuentra el (PbRM-05) Tabulador de Sueldos, que tiene como objetivo registrar</w:t>
      </w:r>
      <w:r w:rsidRPr="0091429B">
        <w:rPr>
          <w:rFonts w:ascii="Palatino Linotype" w:hAnsi="Palatino Linotype"/>
          <w:sz w:val="22"/>
          <w:szCs w:val="22"/>
          <w:lang w:val="es-ES"/>
        </w:rPr>
        <w:t xml:space="preserve"> las remuneraciones que se perciben por el empleo, cargo o comisión de cualquier naturaleza por los servidores públicos, tales como las dietas, sueldo base, compensación, gratificaciones, otras percepciones, aguinaldo, prima vacacional, todos por puesto funcional, a través del siguiente formato</w:t>
      </w:r>
      <w:r w:rsidR="00DD7B99">
        <w:rPr>
          <w:rFonts w:ascii="Palatino Linotype" w:hAnsi="Palatino Linotype"/>
          <w:sz w:val="22"/>
          <w:szCs w:val="22"/>
          <w:lang w:val="es-ES"/>
        </w:rPr>
        <w:t>; además que contendrá el número de plazas, correspondiente al número de puestos que tendrán la misma asignación de responsabilidad.</w:t>
      </w:r>
    </w:p>
    <w:p w14:paraId="08DA57F3" w14:textId="5EAD16F1" w:rsidR="009D7307" w:rsidRDefault="0091429B" w:rsidP="00DD7B99">
      <w:pPr>
        <w:spacing w:line="360" w:lineRule="auto"/>
        <w:jc w:val="both"/>
        <w:rPr>
          <w:rFonts w:ascii="Palatino Linotype" w:hAnsi="Palatino Linotype"/>
          <w:sz w:val="22"/>
          <w:szCs w:val="22"/>
          <w:lang w:val="es-ES"/>
        </w:rPr>
      </w:pPr>
      <w:r w:rsidRPr="0091429B">
        <w:rPr>
          <w:rFonts w:ascii="Palatino Linotype" w:hAnsi="Palatino Linotype"/>
          <w:sz w:val="22"/>
          <w:szCs w:val="22"/>
          <w:lang w:val="es-ES"/>
        </w:rPr>
        <w:lastRenderedPageBreak/>
        <w:t xml:space="preserve">Conforme a lo anterior, se logra advertir que el Sujeto Obligado </w:t>
      </w:r>
      <w:r w:rsidR="00DD7B99">
        <w:rPr>
          <w:rFonts w:ascii="Palatino Linotype" w:hAnsi="Palatino Linotype"/>
          <w:sz w:val="22"/>
          <w:szCs w:val="22"/>
          <w:lang w:val="es-ES"/>
        </w:rPr>
        <w:t>si cuenta con la información que da cuenta de lo peticionado, por lo que, en el presente caso, para dar cumplimiento a los artículos 12 y 160 de la Ley de Transparencia y Acceso a la Información Pública del Estado de México y Municipios, deberá proporcionar el número total de plazas (base y confianza), con las que contaba el Ayuntamiento, al dieciocho de abril de dos mil veintidós.</w:t>
      </w:r>
    </w:p>
    <w:p w14:paraId="4D8E1BA9" w14:textId="3155F817" w:rsidR="00DD7B99" w:rsidRDefault="00DD7B99" w:rsidP="00DD7B99">
      <w:pPr>
        <w:spacing w:line="360" w:lineRule="auto"/>
        <w:jc w:val="both"/>
        <w:rPr>
          <w:rFonts w:ascii="Palatino Linotype" w:eastAsia="Calibri" w:hAnsi="Palatino Linotype" w:cs="Tahoma"/>
          <w:bCs/>
          <w:color w:val="000000"/>
          <w:sz w:val="22"/>
          <w:szCs w:val="22"/>
          <w:lang w:eastAsia="en-US"/>
        </w:rPr>
      </w:pPr>
    </w:p>
    <w:p w14:paraId="649F2E98" w14:textId="77777777" w:rsidR="00DD7B99" w:rsidRPr="00DD7B99" w:rsidRDefault="00DD7B99" w:rsidP="00DD7B99">
      <w:pPr>
        <w:spacing w:line="360" w:lineRule="auto"/>
        <w:jc w:val="both"/>
        <w:rPr>
          <w:rFonts w:ascii="Palatino Linotype" w:eastAsia="Calibri" w:hAnsi="Palatino Linotype" w:cs="Tahoma"/>
          <w:b/>
          <w:color w:val="000000"/>
          <w:sz w:val="22"/>
          <w:szCs w:val="22"/>
          <w:lang w:eastAsia="en-US"/>
        </w:rPr>
      </w:pPr>
      <w:r w:rsidRPr="00DD7B99">
        <w:rPr>
          <w:rFonts w:ascii="Palatino Linotype" w:eastAsia="Calibri" w:hAnsi="Palatino Linotype" w:cs="Tahoma"/>
          <w:b/>
          <w:color w:val="000000"/>
          <w:sz w:val="22"/>
          <w:szCs w:val="22"/>
          <w:lang w:eastAsia="en-US"/>
        </w:rPr>
        <w:t xml:space="preserve">SEXTO. Decisión. </w:t>
      </w:r>
    </w:p>
    <w:p w14:paraId="49CB6EA9" w14:textId="77777777" w:rsidR="00DD7B99" w:rsidRPr="00DD7B99" w:rsidRDefault="00DD7B99" w:rsidP="00DD7B99">
      <w:pPr>
        <w:spacing w:after="160" w:line="360" w:lineRule="auto"/>
        <w:contextualSpacing/>
        <w:jc w:val="both"/>
        <w:rPr>
          <w:rFonts w:ascii="Palatino Linotype" w:eastAsia="Calibri" w:hAnsi="Palatino Linotype" w:cs="Tahoma"/>
          <w:b/>
          <w:color w:val="000000"/>
          <w:sz w:val="22"/>
          <w:szCs w:val="22"/>
          <w:highlight w:val="yellow"/>
          <w:lang w:eastAsia="en-US"/>
        </w:rPr>
      </w:pPr>
    </w:p>
    <w:p w14:paraId="0F9CC441" w14:textId="3B01A0AF" w:rsidR="00B420E2" w:rsidRDefault="00DD7B99" w:rsidP="00B420E2">
      <w:pPr>
        <w:spacing w:line="360" w:lineRule="auto"/>
        <w:jc w:val="both"/>
        <w:rPr>
          <w:rFonts w:ascii="Palatino Linotype" w:hAnsi="Palatino Linotype"/>
          <w:sz w:val="22"/>
          <w:szCs w:val="22"/>
          <w:lang w:val="es-ES"/>
        </w:rPr>
      </w:pPr>
      <w:r w:rsidRPr="00DD7B99">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DD7B99">
        <w:rPr>
          <w:rFonts w:ascii="Palatino Linotype" w:hAnsi="Palatino Linotype" w:cs="Tahoma"/>
          <w:b/>
          <w:bCs/>
          <w:sz w:val="22"/>
          <w:szCs w:val="22"/>
        </w:rPr>
        <w:t>ORDENAR</w:t>
      </w:r>
      <w:r w:rsidRPr="00DD7B99">
        <w:rPr>
          <w:rFonts w:ascii="Palatino Linotype" w:hAnsi="Palatino Linotype" w:cs="Tahoma"/>
          <w:sz w:val="22"/>
          <w:szCs w:val="22"/>
        </w:rPr>
        <w:t xml:space="preserve"> al Sujeto Obligado,</w:t>
      </w:r>
      <w:r w:rsidRPr="00DD7B99">
        <w:rPr>
          <w:rFonts w:ascii="Palatino Linotype" w:eastAsia="Calibri" w:hAnsi="Palatino Linotype" w:cs="Tahoma"/>
          <w:sz w:val="22"/>
          <w:szCs w:val="22"/>
          <w:lang w:eastAsia="en-US"/>
        </w:rPr>
        <w:t xml:space="preserve"> a efecto de que, previa búsqueda exhaustiva y razonable en la Dirección de Administración, entregue, a través del Sistema de Acceso a la Información Mexiquense (SAIMEX), </w:t>
      </w:r>
      <w:r w:rsidR="00B420E2">
        <w:rPr>
          <w:rFonts w:ascii="Palatino Linotype" w:eastAsia="Calibri" w:hAnsi="Palatino Linotype" w:cs="Tahoma"/>
          <w:sz w:val="22"/>
          <w:szCs w:val="22"/>
          <w:lang w:eastAsia="en-US"/>
        </w:rPr>
        <w:t xml:space="preserve">el documento donde conste </w:t>
      </w:r>
      <w:r w:rsidR="00B420E2">
        <w:rPr>
          <w:rFonts w:ascii="Palatino Linotype" w:hAnsi="Palatino Linotype"/>
          <w:sz w:val="22"/>
          <w:szCs w:val="22"/>
          <w:lang w:val="es-ES"/>
        </w:rPr>
        <w:t>el número total de plazas (base y confianza), con las que contaba el Ayuntamiento de Huehuetoca, al dieciocho de abril de dos mil veintidós.</w:t>
      </w:r>
    </w:p>
    <w:p w14:paraId="55974636" w14:textId="77777777" w:rsidR="00DD7B99" w:rsidRPr="00DD7B99" w:rsidRDefault="00DD7B99" w:rsidP="00DD7B99">
      <w:pPr>
        <w:spacing w:line="360" w:lineRule="auto"/>
        <w:jc w:val="both"/>
        <w:rPr>
          <w:rFonts w:ascii="Palatino Linotype" w:eastAsia="Calibri" w:hAnsi="Palatino Linotype" w:cs="Tahoma"/>
          <w:sz w:val="22"/>
          <w:szCs w:val="22"/>
          <w:lang w:eastAsia="en-US"/>
        </w:rPr>
      </w:pPr>
    </w:p>
    <w:p w14:paraId="276D56C4" w14:textId="77777777" w:rsidR="00DD7B99" w:rsidRPr="00DD7B99" w:rsidRDefault="00DD7B99" w:rsidP="00DD7B99">
      <w:pPr>
        <w:widowControl w:val="0"/>
        <w:spacing w:line="360" w:lineRule="auto"/>
        <w:jc w:val="both"/>
        <w:rPr>
          <w:rFonts w:ascii="Palatino Linotype" w:hAnsi="Palatino Linotype"/>
          <w:bCs/>
          <w:iCs/>
          <w:sz w:val="22"/>
          <w:szCs w:val="22"/>
          <w:lang w:val="es-ES"/>
        </w:rPr>
      </w:pPr>
      <w:r w:rsidRPr="00DD7B99">
        <w:rPr>
          <w:rFonts w:ascii="Palatino Linotype" w:hAnsi="Palatino Linotype"/>
          <w:bCs/>
          <w:iCs/>
          <w:sz w:val="22"/>
          <w:szCs w:val="22"/>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8A66C2E" w14:textId="77777777" w:rsidR="00DD7B99" w:rsidRPr="00DD7B99" w:rsidRDefault="00DD7B99" w:rsidP="00DD7B99">
      <w:pPr>
        <w:spacing w:line="360" w:lineRule="auto"/>
        <w:jc w:val="both"/>
        <w:rPr>
          <w:rFonts w:ascii="Palatino Linotype" w:hAnsi="Palatino Linotype" w:cs="Tahoma"/>
          <w:sz w:val="22"/>
          <w:szCs w:val="22"/>
        </w:rPr>
      </w:pPr>
    </w:p>
    <w:p w14:paraId="1390E56C" w14:textId="77777777" w:rsidR="00DD7B99" w:rsidRPr="00DD7B99" w:rsidRDefault="00DD7B99" w:rsidP="00DD7B99">
      <w:pPr>
        <w:autoSpaceDE w:val="0"/>
        <w:autoSpaceDN w:val="0"/>
        <w:adjustRightInd w:val="0"/>
        <w:spacing w:line="360" w:lineRule="auto"/>
        <w:jc w:val="both"/>
        <w:rPr>
          <w:rFonts w:ascii="Palatino Linotype" w:eastAsia="Calibri" w:hAnsi="Palatino Linotype" w:cs="Tahoma"/>
          <w:b/>
          <w:bCs/>
          <w:iCs/>
          <w:sz w:val="22"/>
          <w:szCs w:val="22"/>
          <w:lang w:val="es-ES" w:eastAsia="en-US"/>
        </w:rPr>
      </w:pPr>
      <w:r w:rsidRPr="00DD7B99">
        <w:rPr>
          <w:rFonts w:ascii="Palatino Linotype" w:eastAsia="Calibri" w:hAnsi="Palatino Linotype" w:cs="Tahoma"/>
          <w:b/>
          <w:bCs/>
          <w:iCs/>
          <w:sz w:val="22"/>
          <w:szCs w:val="22"/>
          <w:lang w:val="es-ES" w:eastAsia="en-US"/>
        </w:rPr>
        <w:t>Términos de la Resolución para conocimiento del Particular.</w:t>
      </w:r>
    </w:p>
    <w:p w14:paraId="38BE295D" w14:textId="77777777" w:rsidR="00DD7B99" w:rsidRPr="00DD7B99" w:rsidRDefault="00DD7B99" w:rsidP="00DD7B99">
      <w:pPr>
        <w:autoSpaceDE w:val="0"/>
        <w:autoSpaceDN w:val="0"/>
        <w:adjustRightInd w:val="0"/>
        <w:spacing w:line="360" w:lineRule="auto"/>
        <w:jc w:val="both"/>
        <w:rPr>
          <w:rFonts w:ascii="Palatino Linotype" w:eastAsia="Calibri" w:hAnsi="Palatino Linotype" w:cs="Tahoma"/>
          <w:b/>
          <w:bCs/>
          <w:iCs/>
          <w:sz w:val="22"/>
          <w:szCs w:val="22"/>
          <w:lang w:val="es-ES" w:eastAsia="en-US"/>
        </w:rPr>
      </w:pPr>
    </w:p>
    <w:p w14:paraId="7245B969" w14:textId="002F2A85" w:rsidR="00DD7B99" w:rsidRPr="00DD7B99" w:rsidRDefault="00DD7B99" w:rsidP="00DD7B99">
      <w:pPr>
        <w:widowControl w:val="0"/>
        <w:autoSpaceDE w:val="0"/>
        <w:autoSpaceDN w:val="0"/>
        <w:adjustRightInd w:val="0"/>
        <w:spacing w:line="360" w:lineRule="auto"/>
        <w:jc w:val="both"/>
        <w:rPr>
          <w:rFonts w:ascii="Palatino Linotype" w:eastAsia="Calibri" w:hAnsi="Palatino Linotype" w:cs="Tahoma"/>
          <w:bCs/>
          <w:iCs/>
          <w:sz w:val="22"/>
          <w:szCs w:val="22"/>
          <w:lang w:val="es-ES" w:eastAsia="en-US"/>
        </w:rPr>
      </w:pPr>
      <w:r w:rsidRPr="00DD7B99">
        <w:rPr>
          <w:rFonts w:ascii="Palatino Linotype" w:eastAsia="Calibri" w:hAnsi="Palatino Linotype" w:cs="Tahoma"/>
          <w:bCs/>
          <w:iCs/>
          <w:sz w:val="22"/>
          <w:szCs w:val="22"/>
          <w:lang w:val="es-ES" w:eastAsia="en-US"/>
        </w:rPr>
        <w:t xml:space="preserve">Se le hace del conocimiento al Particular, que, en el presente caso, se le da la razón, pues el Ayuntamiento de </w:t>
      </w:r>
      <w:r w:rsidR="00B420E2">
        <w:rPr>
          <w:rFonts w:ascii="Palatino Linotype" w:eastAsia="Calibri" w:hAnsi="Palatino Linotype" w:cs="Tahoma"/>
          <w:bCs/>
          <w:iCs/>
          <w:sz w:val="22"/>
          <w:szCs w:val="22"/>
          <w:lang w:val="es-ES" w:eastAsia="en-US"/>
        </w:rPr>
        <w:t xml:space="preserve">Huehuetoca </w:t>
      </w:r>
      <w:r w:rsidRPr="00DD7B99">
        <w:rPr>
          <w:rFonts w:ascii="Palatino Linotype" w:eastAsia="Calibri" w:hAnsi="Palatino Linotype" w:cs="Tahoma"/>
          <w:bCs/>
          <w:iCs/>
          <w:sz w:val="22"/>
          <w:szCs w:val="22"/>
          <w:lang w:val="es-ES" w:eastAsia="en-US"/>
        </w:rPr>
        <w:t xml:space="preserve">no emitió contestación </w:t>
      </w:r>
      <w:r w:rsidR="00B420E2">
        <w:rPr>
          <w:rFonts w:ascii="Palatino Linotype" w:eastAsia="Calibri" w:hAnsi="Palatino Linotype" w:cs="Tahoma"/>
          <w:bCs/>
          <w:iCs/>
          <w:sz w:val="22"/>
          <w:szCs w:val="22"/>
          <w:lang w:val="es-ES" w:eastAsia="en-US"/>
        </w:rPr>
        <w:t>en tiempo</w:t>
      </w:r>
      <w:r w:rsidRPr="00DD7B99">
        <w:rPr>
          <w:rFonts w:ascii="Palatino Linotype" w:eastAsia="Calibri" w:hAnsi="Palatino Linotype" w:cs="Tahoma"/>
          <w:bCs/>
          <w:iCs/>
          <w:sz w:val="22"/>
          <w:szCs w:val="22"/>
          <w:lang w:val="es-ES" w:eastAsia="en-US"/>
        </w:rPr>
        <w:t>; por otra parte, si bien durante la substanciación del Medio de Impugnación, dio respuesta a la solicitud, lo cierto es que no proporcionó toda la información requerida</w:t>
      </w:r>
      <w:r w:rsidR="00B420E2">
        <w:rPr>
          <w:rFonts w:ascii="Palatino Linotype" w:eastAsia="Calibri" w:hAnsi="Palatino Linotype" w:cs="Tahoma"/>
          <w:bCs/>
          <w:iCs/>
          <w:sz w:val="22"/>
          <w:szCs w:val="22"/>
          <w:lang w:val="es-ES" w:eastAsia="en-US"/>
        </w:rPr>
        <w:t>.</w:t>
      </w:r>
    </w:p>
    <w:p w14:paraId="662394F1" w14:textId="46A7176E" w:rsidR="00DD7B99" w:rsidRPr="00DD7B99" w:rsidRDefault="00DD7B99" w:rsidP="00DD7B99">
      <w:pPr>
        <w:spacing w:line="360" w:lineRule="auto"/>
        <w:jc w:val="both"/>
        <w:rPr>
          <w:rFonts w:ascii="Palatino Linotype" w:eastAsia="Calibri" w:hAnsi="Palatino Linotype" w:cs="Tahoma"/>
          <w:bCs/>
          <w:iCs/>
          <w:sz w:val="22"/>
          <w:szCs w:val="22"/>
          <w:lang w:eastAsia="en-US"/>
        </w:rPr>
      </w:pPr>
      <w:r w:rsidRPr="00DD7B99">
        <w:rPr>
          <w:rFonts w:ascii="Palatino Linotype" w:eastAsia="Calibri" w:hAnsi="Palatino Linotype" w:cs="Tahoma"/>
          <w:bCs/>
          <w:iCs/>
          <w:sz w:val="22"/>
          <w:szCs w:val="22"/>
          <w:lang w:val="es-ES" w:eastAsia="es-ES_tradnl"/>
        </w:rPr>
        <w:lastRenderedPageBreak/>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r w:rsidRPr="00DD7B99">
        <w:rPr>
          <w:rFonts w:ascii="Palatino Linotype" w:eastAsia="Calibri" w:hAnsi="Palatino Linotype" w:cs="Tahoma"/>
          <w:bCs/>
          <w:iCs/>
          <w:sz w:val="22"/>
          <w:szCs w:val="22"/>
          <w:lang w:eastAsia="en-US"/>
        </w:rPr>
        <w:t>Finalmente, labor del Instituto, es apoyar a la población a acceder a la información pública y garantizar la protección de sus datos personales.</w:t>
      </w:r>
    </w:p>
    <w:p w14:paraId="7E15D2D7" w14:textId="77777777" w:rsidR="00DD7B99" w:rsidRPr="00DD7B99" w:rsidRDefault="00DD7B99" w:rsidP="00DD7B99">
      <w:pPr>
        <w:spacing w:line="360" w:lineRule="auto"/>
        <w:jc w:val="both"/>
        <w:rPr>
          <w:rFonts w:ascii="Palatino Linotype" w:hAnsi="Palatino Linotype" w:cs="Tahoma"/>
          <w:bCs/>
          <w:sz w:val="22"/>
          <w:szCs w:val="22"/>
        </w:rPr>
      </w:pPr>
    </w:p>
    <w:p w14:paraId="26467486" w14:textId="77777777" w:rsidR="00DD7B99" w:rsidRPr="00DD7B99" w:rsidRDefault="00DD7B99" w:rsidP="00DD7B99">
      <w:pPr>
        <w:spacing w:line="360" w:lineRule="auto"/>
        <w:jc w:val="both"/>
        <w:rPr>
          <w:rFonts w:ascii="Palatino Linotype" w:hAnsi="Palatino Linotype" w:cs="Tahoma"/>
          <w:b/>
          <w:bCs/>
          <w:iCs/>
          <w:sz w:val="22"/>
          <w:szCs w:val="22"/>
        </w:rPr>
      </w:pPr>
      <w:r w:rsidRPr="00DD7B99">
        <w:rPr>
          <w:rFonts w:ascii="Palatino Linotype" w:hAnsi="Palatino Linotype" w:cs="Tahoma"/>
          <w:b/>
          <w:bCs/>
          <w:iCs/>
          <w:sz w:val="22"/>
          <w:szCs w:val="22"/>
        </w:rPr>
        <w:t xml:space="preserve">SÉPTIMO. Vista a la Contraloría Interna y Órgano de Control y Vigilancia. </w:t>
      </w:r>
    </w:p>
    <w:p w14:paraId="77F0FA3D" w14:textId="77777777" w:rsidR="00DD7B99" w:rsidRPr="00DD7B99" w:rsidRDefault="00DD7B99" w:rsidP="00DD7B99">
      <w:pPr>
        <w:spacing w:line="360" w:lineRule="auto"/>
        <w:jc w:val="both"/>
        <w:rPr>
          <w:rFonts w:ascii="Palatino Linotype" w:hAnsi="Palatino Linotype" w:cs="Tahoma"/>
          <w:bCs/>
          <w:sz w:val="22"/>
          <w:szCs w:val="22"/>
        </w:rPr>
      </w:pPr>
    </w:p>
    <w:p w14:paraId="5769BE51" w14:textId="6B38378E" w:rsidR="00DD7B99" w:rsidRPr="00DD7B99" w:rsidRDefault="00DD7B99" w:rsidP="00DD7B99">
      <w:pPr>
        <w:spacing w:line="360" w:lineRule="auto"/>
        <w:jc w:val="both"/>
        <w:rPr>
          <w:rFonts w:ascii="Palatino Linotype" w:hAnsi="Palatino Linotype" w:cs="Tahoma"/>
          <w:bCs/>
          <w:sz w:val="22"/>
          <w:szCs w:val="22"/>
        </w:rPr>
      </w:pPr>
      <w:r w:rsidRPr="00DD7B99">
        <w:rPr>
          <w:rFonts w:ascii="Palatino Linotype" w:hAnsi="Palatino Linotype" w:cs="Tahoma"/>
          <w:bCs/>
          <w:sz w:val="22"/>
          <w:szCs w:val="22"/>
        </w:rPr>
        <w:t xml:space="preserve">En el caso en estudio, ha quedado acreditado que el </w:t>
      </w:r>
      <w:r w:rsidRPr="00DD7B99">
        <w:rPr>
          <w:rFonts w:ascii="Palatino Linotype" w:eastAsia="Calibri" w:hAnsi="Palatino Linotype"/>
          <w:color w:val="000000"/>
          <w:sz w:val="22"/>
          <w:szCs w:val="22"/>
          <w:lang w:eastAsia="en-US"/>
        </w:rPr>
        <w:t xml:space="preserve">Ayuntamiento de </w:t>
      </w:r>
      <w:r w:rsidR="00B420E2">
        <w:rPr>
          <w:rFonts w:ascii="Palatino Linotype" w:eastAsia="Calibri" w:hAnsi="Palatino Linotype"/>
          <w:color w:val="000000"/>
          <w:sz w:val="22"/>
          <w:szCs w:val="22"/>
          <w:lang w:eastAsia="en-US"/>
        </w:rPr>
        <w:t>Huehuetoca</w:t>
      </w:r>
      <w:r w:rsidRPr="00DD7B99">
        <w:rPr>
          <w:rFonts w:ascii="Palatino Linotype" w:hAnsi="Palatino Linotype" w:cs="Tahoma"/>
          <w:bCs/>
          <w:sz w:val="22"/>
          <w:szCs w:val="22"/>
        </w:rPr>
        <w:t xml:space="preserve">,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0EB71061" w14:textId="77777777" w:rsidR="00DD7B99" w:rsidRPr="00DD7B99" w:rsidRDefault="00DD7B99" w:rsidP="00DD7B99">
      <w:pPr>
        <w:spacing w:line="360" w:lineRule="auto"/>
        <w:jc w:val="both"/>
        <w:rPr>
          <w:rFonts w:ascii="Palatino Linotype" w:hAnsi="Palatino Linotype" w:cs="Tahoma"/>
          <w:bCs/>
          <w:sz w:val="22"/>
          <w:szCs w:val="22"/>
        </w:rPr>
      </w:pPr>
    </w:p>
    <w:p w14:paraId="1FFC22BF" w14:textId="77777777" w:rsidR="00DD7B99" w:rsidRPr="00DD7B99" w:rsidRDefault="00DD7B99" w:rsidP="00DD7B99">
      <w:pPr>
        <w:spacing w:line="360" w:lineRule="auto"/>
        <w:jc w:val="both"/>
        <w:rPr>
          <w:rFonts w:ascii="Palatino Linotype" w:hAnsi="Palatino Linotype" w:cs="Tahoma"/>
          <w:bCs/>
          <w:sz w:val="22"/>
          <w:szCs w:val="22"/>
        </w:rPr>
      </w:pPr>
      <w:r w:rsidRPr="00DD7B99">
        <w:rPr>
          <w:rFonts w:ascii="Palatino Linotype" w:hAnsi="Palatino Linotype" w:cs="Tahoma"/>
          <w:bCs/>
          <w:sz w:val="22"/>
          <w:szCs w:val="22"/>
        </w:rPr>
        <w:t>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w:t>
      </w:r>
    </w:p>
    <w:p w14:paraId="26CDB422" w14:textId="77777777" w:rsidR="00DD7B99" w:rsidRPr="00DD7B99" w:rsidRDefault="00DD7B99" w:rsidP="00DD7B99">
      <w:pPr>
        <w:spacing w:line="360" w:lineRule="auto"/>
        <w:jc w:val="both"/>
        <w:rPr>
          <w:rFonts w:ascii="Palatino Linotype" w:hAnsi="Palatino Linotype" w:cs="Tahoma"/>
          <w:bCs/>
          <w:sz w:val="22"/>
          <w:szCs w:val="22"/>
        </w:rPr>
      </w:pPr>
    </w:p>
    <w:p w14:paraId="5D4FA795" w14:textId="77777777" w:rsidR="00DD7B99" w:rsidRPr="00DD7B99" w:rsidRDefault="00DD7B99" w:rsidP="00DD7B99">
      <w:pPr>
        <w:spacing w:line="360" w:lineRule="auto"/>
        <w:jc w:val="both"/>
        <w:rPr>
          <w:rFonts w:ascii="Palatino Linotype" w:hAnsi="Palatino Linotype" w:cs="Tahoma"/>
          <w:bCs/>
          <w:sz w:val="22"/>
          <w:szCs w:val="22"/>
        </w:rPr>
      </w:pPr>
      <w:r w:rsidRPr="00DD7B99">
        <w:rPr>
          <w:rFonts w:ascii="Palatino Linotype" w:hAnsi="Palatino Linotype" w:cs="Tahoma"/>
          <w:bCs/>
          <w:sz w:val="22"/>
          <w:szCs w:val="22"/>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53DCF4EA" w14:textId="77777777" w:rsidR="00DD7B99" w:rsidRPr="00DD7B99" w:rsidRDefault="00DD7B99" w:rsidP="00DD7B99">
      <w:pPr>
        <w:spacing w:line="360" w:lineRule="auto"/>
        <w:jc w:val="both"/>
        <w:rPr>
          <w:rFonts w:ascii="Palatino Linotype" w:hAnsi="Palatino Linotype" w:cs="Tahoma"/>
          <w:bCs/>
          <w:sz w:val="22"/>
          <w:szCs w:val="22"/>
        </w:rPr>
      </w:pPr>
    </w:p>
    <w:p w14:paraId="5EACA387" w14:textId="77777777" w:rsidR="00DD7B99" w:rsidRPr="00DD7B99" w:rsidRDefault="00DD7B99" w:rsidP="00DD7B99">
      <w:pPr>
        <w:spacing w:line="360" w:lineRule="auto"/>
        <w:jc w:val="both"/>
        <w:rPr>
          <w:rFonts w:ascii="Palatino Linotype" w:hAnsi="Palatino Linotype" w:cs="Tahoma"/>
          <w:bCs/>
          <w:sz w:val="22"/>
          <w:szCs w:val="22"/>
        </w:rPr>
      </w:pPr>
      <w:r w:rsidRPr="00DD7B99">
        <w:rPr>
          <w:rFonts w:ascii="Palatino Linotype" w:hAnsi="Palatino Linotype" w:cs="Tahoma"/>
          <w:bCs/>
          <w:sz w:val="22"/>
          <w:szCs w:val="22"/>
        </w:rPr>
        <w:lastRenderedPageBreak/>
        <w:t xml:space="preserve">Sobre la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DD7B99">
        <w:rPr>
          <w:rFonts w:ascii="Palatino Linotype" w:hAnsi="Palatino Linotype" w:cs="Tahoma"/>
          <w:bCs/>
          <w:sz w:val="22"/>
          <w:szCs w:val="22"/>
          <w:lang w:val="es-ES_tradnl"/>
        </w:rPr>
        <w:t>al Contralor Interno y Titular del Órgano de Control y Vigilancia de este Instituto</w:t>
      </w:r>
      <w:r w:rsidRPr="00DD7B99">
        <w:rPr>
          <w:rFonts w:ascii="Palatino Linotype" w:hAnsi="Palatino Linotype" w:cs="Tahoma"/>
          <w:bCs/>
          <w:sz w:val="22"/>
          <w:szCs w:val="22"/>
        </w:rPr>
        <w:t>.</w:t>
      </w:r>
    </w:p>
    <w:p w14:paraId="200A48D0" w14:textId="77777777" w:rsidR="00DD7B99" w:rsidRPr="00DD7B99" w:rsidRDefault="00DD7B99" w:rsidP="00DD7B99">
      <w:pPr>
        <w:spacing w:line="360" w:lineRule="auto"/>
        <w:jc w:val="both"/>
        <w:rPr>
          <w:rFonts w:ascii="Palatino Linotype" w:hAnsi="Palatino Linotype" w:cs="Tahoma"/>
          <w:bCs/>
          <w:sz w:val="22"/>
          <w:szCs w:val="22"/>
        </w:rPr>
      </w:pPr>
    </w:p>
    <w:p w14:paraId="45981413" w14:textId="77777777" w:rsidR="00DD7B99" w:rsidRPr="00DD7B99" w:rsidRDefault="00DD7B99" w:rsidP="00DD7B99">
      <w:pPr>
        <w:spacing w:line="360" w:lineRule="auto"/>
        <w:jc w:val="both"/>
        <w:rPr>
          <w:rFonts w:ascii="Palatino Linotype" w:hAnsi="Palatino Linotype" w:cs="Tahoma"/>
          <w:bCs/>
          <w:sz w:val="22"/>
          <w:szCs w:val="22"/>
        </w:rPr>
      </w:pPr>
      <w:r w:rsidRPr="00DD7B99">
        <w:rPr>
          <w:rFonts w:ascii="Palatino Linotype" w:hAnsi="Palatino Linotype" w:cs="Tahoma"/>
          <w:bCs/>
          <w:sz w:val="22"/>
          <w:szCs w:val="22"/>
        </w:rPr>
        <w:t>Por lo expuesto y fundado, este Pleno:</w:t>
      </w:r>
    </w:p>
    <w:p w14:paraId="764705CD" w14:textId="77777777" w:rsidR="00DD7B99" w:rsidRPr="00DD7B99" w:rsidRDefault="00DD7B99" w:rsidP="00DD7B99">
      <w:pPr>
        <w:spacing w:line="360" w:lineRule="auto"/>
        <w:jc w:val="both"/>
        <w:rPr>
          <w:rFonts w:ascii="Palatino Linotype" w:hAnsi="Palatino Linotype" w:cs="Tahoma"/>
          <w:bCs/>
          <w:sz w:val="22"/>
          <w:szCs w:val="22"/>
        </w:rPr>
      </w:pPr>
    </w:p>
    <w:p w14:paraId="1DB66EB4" w14:textId="77777777" w:rsidR="00DD7B99" w:rsidRPr="00DD7B99" w:rsidRDefault="00DD7B99" w:rsidP="00DD7B99">
      <w:pPr>
        <w:spacing w:line="360" w:lineRule="auto"/>
        <w:jc w:val="center"/>
        <w:rPr>
          <w:rFonts w:ascii="Palatino Linotype" w:hAnsi="Palatino Linotype" w:cs="Tahoma"/>
          <w:b/>
          <w:bCs/>
          <w:sz w:val="22"/>
          <w:szCs w:val="22"/>
        </w:rPr>
      </w:pPr>
      <w:r w:rsidRPr="00DD7B99">
        <w:rPr>
          <w:rFonts w:ascii="Palatino Linotype" w:hAnsi="Palatino Linotype" w:cs="Tahoma"/>
          <w:b/>
          <w:bCs/>
          <w:sz w:val="22"/>
          <w:szCs w:val="22"/>
        </w:rPr>
        <w:t>R E S U E L V E:</w:t>
      </w:r>
    </w:p>
    <w:p w14:paraId="7AC1B226" w14:textId="77777777" w:rsidR="00DD7B99" w:rsidRPr="00DD7B99" w:rsidRDefault="00DD7B99" w:rsidP="00DD7B99">
      <w:pPr>
        <w:spacing w:line="360" w:lineRule="auto"/>
        <w:ind w:right="113"/>
        <w:jc w:val="both"/>
        <w:rPr>
          <w:rFonts w:ascii="Palatino Linotype" w:hAnsi="Palatino Linotype" w:cs="Arial"/>
          <w:b/>
          <w:sz w:val="22"/>
          <w:szCs w:val="22"/>
        </w:rPr>
      </w:pPr>
    </w:p>
    <w:p w14:paraId="73DC55EF" w14:textId="799D7EB5" w:rsidR="00DD7B99" w:rsidRPr="00DD7B99" w:rsidRDefault="00DD7B99" w:rsidP="00DD7B99">
      <w:pPr>
        <w:spacing w:line="360" w:lineRule="auto"/>
        <w:jc w:val="both"/>
        <w:rPr>
          <w:rFonts w:ascii="Palatino Linotype" w:eastAsia="Calibri" w:hAnsi="Palatino Linotype" w:cs="Tahoma"/>
          <w:b/>
          <w:bCs/>
          <w:color w:val="000000" w:themeColor="text1"/>
          <w:sz w:val="22"/>
          <w:szCs w:val="22"/>
          <w:lang w:eastAsia="en-US"/>
        </w:rPr>
      </w:pPr>
      <w:r w:rsidRPr="00DD7B99">
        <w:rPr>
          <w:rFonts w:ascii="Palatino Linotype" w:eastAsia="Calibri" w:hAnsi="Palatino Linotype" w:cs="Tahoma"/>
          <w:b/>
          <w:bCs/>
          <w:color w:val="000000" w:themeColor="text1"/>
          <w:sz w:val="22"/>
          <w:szCs w:val="22"/>
          <w:lang w:eastAsia="en-US"/>
        </w:rPr>
        <w:t xml:space="preserve">PRIMERO. </w:t>
      </w:r>
      <w:r w:rsidRPr="00DD7B99">
        <w:rPr>
          <w:rFonts w:ascii="Palatino Linotype" w:eastAsia="Calibri" w:hAnsi="Palatino Linotype" w:cs="Tahoma"/>
          <w:bCs/>
          <w:color w:val="000000" w:themeColor="text1"/>
          <w:sz w:val="22"/>
          <w:szCs w:val="22"/>
          <w:lang w:eastAsia="en-US"/>
        </w:rPr>
        <w:t xml:space="preserve">Resultan </w:t>
      </w:r>
      <w:r w:rsidRPr="00DD7B99">
        <w:rPr>
          <w:rFonts w:ascii="Palatino Linotype" w:eastAsia="Calibri" w:hAnsi="Palatino Linotype" w:cs="Tahoma"/>
          <w:b/>
          <w:bCs/>
          <w:color w:val="000000" w:themeColor="text1"/>
          <w:sz w:val="22"/>
          <w:szCs w:val="22"/>
          <w:lang w:eastAsia="en-US"/>
        </w:rPr>
        <w:t>FUNDADAS</w:t>
      </w:r>
      <w:r w:rsidRPr="00DD7B99">
        <w:rPr>
          <w:rFonts w:ascii="Palatino Linotype" w:eastAsia="Calibri" w:hAnsi="Palatino Linotype" w:cs="Tahoma"/>
          <w:bCs/>
          <w:color w:val="000000" w:themeColor="text1"/>
          <w:sz w:val="22"/>
          <w:szCs w:val="22"/>
          <w:lang w:eastAsia="en-US"/>
        </w:rPr>
        <w:t xml:space="preserve"> las razones o motivos de inconformidad hechos valer por el Recurrente, en el Medio de Impugnación con número </w:t>
      </w:r>
      <w:r w:rsidR="00B420E2" w:rsidRPr="002B3420">
        <w:rPr>
          <w:rFonts w:ascii="Palatino Linotype" w:hAnsi="Palatino Linotype"/>
          <w:sz w:val="22"/>
          <w:szCs w:val="22"/>
        </w:rPr>
        <w:t>00071/HUEHUETO/IP/2022</w:t>
      </w:r>
      <w:r w:rsidRPr="00DD7B99">
        <w:rPr>
          <w:rFonts w:ascii="Palatino Linotype" w:eastAsia="Calibri" w:hAnsi="Palatino Linotype" w:cs="Tahoma"/>
          <w:color w:val="000000" w:themeColor="text1"/>
          <w:sz w:val="22"/>
          <w:szCs w:val="22"/>
          <w:lang w:eastAsia="en-US"/>
        </w:rPr>
        <w:t>, en términos de los Considerando QUINTO y SEXTO de la presente Resolución.</w:t>
      </w:r>
    </w:p>
    <w:p w14:paraId="66D9B506" w14:textId="77777777" w:rsidR="00DD7B99" w:rsidRPr="00DD7B99" w:rsidRDefault="00DD7B99" w:rsidP="00DD7B99">
      <w:pPr>
        <w:spacing w:line="360" w:lineRule="auto"/>
        <w:jc w:val="both"/>
        <w:rPr>
          <w:rFonts w:ascii="Palatino Linotype" w:eastAsia="Calibri" w:hAnsi="Palatino Linotype" w:cs="Tahoma"/>
          <w:color w:val="000000" w:themeColor="text1"/>
          <w:sz w:val="22"/>
          <w:szCs w:val="22"/>
          <w:lang w:eastAsia="en-US"/>
        </w:rPr>
      </w:pPr>
    </w:p>
    <w:p w14:paraId="4902831E" w14:textId="41B4F2AA" w:rsidR="00DD7B99" w:rsidRPr="00DD7B99" w:rsidRDefault="00DD7B99" w:rsidP="00DD7B99">
      <w:pPr>
        <w:spacing w:line="360" w:lineRule="auto"/>
        <w:jc w:val="both"/>
        <w:rPr>
          <w:rFonts w:ascii="Palatino Linotype" w:eastAsia="Calibri" w:hAnsi="Palatino Linotype" w:cs="Tahoma"/>
          <w:bCs/>
          <w:iCs/>
          <w:sz w:val="22"/>
          <w:szCs w:val="22"/>
          <w:lang w:eastAsia="en-US"/>
        </w:rPr>
      </w:pPr>
      <w:r w:rsidRPr="00DD7B99">
        <w:rPr>
          <w:rFonts w:ascii="Palatino Linotype" w:eastAsia="Calibri" w:hAnsi="Palatino Linotype" w:cs="Tahoma"/>
          <w:b/>
          <w:bCs/>
          <w:color w:val="000000" w:themeColor="text1"/>
          <w:sz w:val="22"/>
          <w:szCs w:val="22"/>
          <w:lang w:eastAsia="en-US"/>
        </w:rPr>
        <w:t xml:space="preserve">SEGUNDO. </w:t>
      </w:r>
      <w:r w:rsidRPr="00DD7B99">
        <w:rPr>
          <w:rFonts w:ascii="Palatino Linotype" w:eastAsia="Calibri" w:hAnsi="Palatino Linotype" w:cs="Tahoma"/>
          <w:bCs/>
          <w:color w:val="000000" w:themeColor="text1"/>
          <w:sz w:val="22"/>
          <w:szCs w:val="22"/>
          <w:lang w:eastAsia="en-US"/>
        </w:rPr>
        <w:t xml:space="preserve">Se </w:t>
      </w:r>
      <w:r w:rsidRPr="00DD7B99">
        <w:rPr>
          <w:rFonts w:ascii="Palatino Linotype" w:eastAsia="Calibri" w:hAnsi="Palatino Linotype" w:cs="Tahoma"/>
          <w:b/>
          <w:bCs/>
          <w:color w:val="000000" w:themeColor="text1"/>
          <w:sz w:val="22"/>
          <w:szCs w:val="22"/>
          <w:lang w:eastAsia="en-US"/>
        </w:rPr>
        <w:t>ORDENA</w:t>
      </w:r>
      <w:r w:rsidRPr="00DD7B99">
        <w:rPr>
          <w:rFonts w:ascii="Palatino Linotype" w:eastAsia="Calibri" w:hAnsi="Palatino Linotype" w:cs="Tahoma"/>
          <w:bCs/>
          <w:color w:val="000000" w:themeColor="text1"/>
          <w:sz w:val="22"/>
          <w:szCs w:val="22"/>
          <w:lang w:eastAsia="en-US"/>
        </w:rPr>
        <w:t xml:space="preserve"> </w:t>
      </w:r>
      <w:r w:rsidRPr="00DD7B99">
        <w:rPr>
          <w:rFonts w:ascii="Palatino Linotype" w:eastAsia="Calibri" w:hAnsi="Palatino Linotype" w:cs="Tahoma"/>
          <w:bCs/>
          <w:color w:val="000000" w:themeColor="text1"/>
          <w:sz w:val="22"/>
          <w:szCs w:val="22"/>
          <w:lang w:val="es-ES_tradnl" w:eastAsia="en-US"/>
        </w:rPr>
        <w:t xml:space="preserve">al Sujeto Obligado, </w:t>
      </w:r>
      <w:r w:rsidRPr="00DD7B99">
        <w:rPr>
          <w:rFonts w:ascii="Palatino Linotype" w:eastAsia="Calibri" w:hAnsi="Palatino Linotype" w:cs="Tahoma"/>
          <w:bCs/>
          <w:color w:val="000000" w:themeColor="text1"/>
          <w:sz w:val="22"/>
          <w:szCs w:val="22"/>
          <w:lang w:eastAsia="en-US"/>
        </w:rPr>
        <w:t xml:space="preserve">a efecto de que, </w:t>
      </w:r>
      <w:r w:rsidRPr="00DD7B99">
        <w:rPr>
          <w:rFonts w:ascii="Palatino Linotype" w:hAnsi="Palatino Linotype" w:cs="Tahoma"/>
          <w:bCs/>
          <w:sz w:val="22"/>
          <w:szCs w:val="22"/>
        </w:rPr>
        <w:t xml:space="preserve">previa búsqueda exhaustiva y razonable, en los archivos de todas las unidades administrativas competentes, entregue, a través del Sistema de Acceso a la Información Mexiquense (SAIMEX), </w:t>
      </w:r>
      <w:r w:rsidR="00B420E2">
        <w:rPr>
          <w:rFonts w:ascii="Palatino Linotype" w:eastAsia="Calibri" w:hAnsi="Palatino Linotype" w:cs="Tahoma"/>
          <w:bCs/>
          <w:iCs/>
          <w:sz w:val="22"/>
          <w:szCs w:val="22"/>
          <w:lang w:eastAsia="en-US"/>
        </w:rPr>
        <w:t>los documentos donde conste lo siguiente:</w:t>
      </w:r>
    </w:p>
    <w:p w14:paraId="006CEADF" w14:textId="77777777" w:rsidR="00DD7B99" w:rsidRPr="00DD7B99" w:rsidRDefault="00DD7B99" w:rsidP="00DD7B99">
      <w:pPr>
        <w:spacing w:line="360" w:lineRule="auto"/>
        <w:ind w:right="-93"/>
        <w:jc w:val="both"/>
        <w:rPr>
          <w:rFonts w:ascii="Palatino Linotype" w:eastAsia="Calibri" w:hAnsi="Palatino Linotype" w:cs="Tahoma"/>
          <w:iCs/>
          <w:color w:val="000000" w:themeColor="text1"/>
          <w:sz w:val="22"/>
          <w:szCs w:val="22"/>
          <w:lang w:eastAsia="es-ES_tradnl"/>
        </w:rPr>
      </w:pPr>
    </w:p>
    <w:p w14:paraId="2EBD1019" w14:textId="57240315" w:rsidR="00DD7B99" w:rsidRPr="00DD7B99" w:rsidRDefault="00B420E2" w:rsidP="00DD7B99">
      <w:pPr>
        <w:numPr>
          <w:ilvl w:val="0"/>
          <w:numId w:val="7"/>
        </w:numPr>
        <w:tabs>
          <w:tab w:val="left" w:pos="4962"/>
        </w:tabs>
        <w:autoSpaceDE w:val="0"/>
        <w:autoSpaceDN w:val="0"/>
        <w:adjustRightInd w:val="0"/>
        <w:spacing w:after="160" w:line="360" w:lineRule="auto"/>
        <w:contextualSpacing/>
        <w:jc w:val="both"/>
        <w:rPr>
          <w:rFonts w:ascii="Palatino Linotype" w:eastAsiaTheme="minorHAnsi" w:hAnsi="Palatino Linotype" w:cs="Tahoma"/>
          <w:iCs/>
          <w:color w:val="000000" w:themeColor="text1"/>
          <w:sz w:val="22"/>
          <w:szCs w:val="22"/>
          <w:lang w:eastAsia="es-ES_tradnl"/>
        </w:rPr>
      </w:pPr>
      <w:r>
        <w:rPr>
          <w:rFonts w:ascii="Palatino Linotype" w:eastAsiaTheme="minorHAnsi" w:hAnsi="Palatino Linotype" w:cs="Tahoma"/>
          <w:bCs/>
          <w:color w:val="000000" w:themeColor="text1"/>
          <w:sz w:val="22"/>
          <w:szCs w:val="22"/>
          <w:lang w:val="es-ES_tradnl" w:eastAsia="en-US"/>
        </w:rPr>
        <w:t xml:space="preserve">El </w:t>
      </w:r>
      <w:r w:rsidRPr="00B420E2">
        <w:rPr>
          <w:rFonts w:ascii="Palatino Linotype" w:eastAsiaTheme="minorHAnsi" w:hAnsi="Palatino Linotype" w:cs="Tahoma"/>
          <w:bCs/>
          <w:color w:val="000000" w:themeColor="text1"/>
          <w:sz w:val="22"/>
          <w:szCs w:val="22"/>
          <w:lang w:val="es-ES_tradnl" w:eastAsia="en-US"/>
        </w:rPr>
        <w:t>número total de plazas (base y confianza), con las que contaba el Ayuntamiento, al dieciocho de abril de dos mil veintidós.</w:t>
      </w:r>
    </w:p>
    <w:p w14:paraId="261F6939" w14:textId="77777777" w:rsidR="00DD7B99" w:rsidRPr="00DD7B99" w:rsidRDefault="00DD7B99" w:rsidP="00DD7B99">
      <w:pPr>
        <w:tabs>
          <w:tab w:val="left" w:pos="4962"/>
        </w:tabs>
        <w:autoSpaceDE w:val="0"/>
        <w:autoSpaceDN w:val="0"/>
        <w:adjustRightInd w:val="0"/>
        <w:spacing w:line="360" w:lineRule="auto"/>
        <w:ind w:left="720"/>
        <w:contextualSpacing/>
        <w:jc w:val="both"/>
        <w:rPr>
          <w:rFonts w:ascii="Palatino Linotype" w:eastAsiaTheme="minorHAnsi" w:hAnsi="Palatino Linotype" w:cs="Tahoma"/>
          <w:iCs/>
          <w:color w:val="000000" w:themeColor="text1"/>
          <w:sz w:val="22"/>
          <w:szCs w:val="22"/>
          <w:lang w:eastAsia="es-ES_tradnl"/>
        </w:rPr>
      </w:pPr>
    </w:p>
    <w:p w14:paraId="3677E906" w14:textId="77777777" w:rsidR="00DD7B99" w:rsidRPr="00DD7B99" w:rsidRDefault="00DD7B99" w:rsidP="00DD7B99">
      <w:pPr>
        <w:spacing w:line="360" w:lineRule="auto"/>
        <w:jc w:val="both"/>
        <w:rPr>
          <w:rFonts w:ascii="Palatino Linotype" w:eastAsia="Calibri" w:hAnsi="Palatino Linotype" w:cs="Tahoma"/>
          <w:bCs/>
          <w:iCs/>
          <w:sz w:val="22"/>
          <w:szCs w:val="22"/>
        </w:rPr>
      </w:pPr>
      <w:r w:rsidRPr="00DD7B99">
        <w:rPr>
          <w:rFonts w:ascii="Palatino Linotype" w:eastAsia="Calibri" w:hAnsi="Palatino Linotype" w:cs="Tahoma"/>
          <w:b/>
          <w:bCs/>
          <w:iCs/>
          <w:sz w:val="22"/>
          <w:szCs w:val="22"/>
          <w:lang w:val="es-ES"/>
        </w:rPr>
        <w:t>TERCERO</w:t>
      </w:r>
      <w:r w:rsidRPr="00DD7B99">
        <w:rPr>
          <w:rFonts w:ascii="Palatino Linotype" w:eastAsia="Calibri" w:hAnsi="Palatino Linotype" w:cs="Tahoma"/>
          <w:b/>
          <w:bCs/>
          <w:sz w:val="22"/>
          <w:szCs w:val="22"/>
          <w:lang w:eastAsia="en-US"/>
        </w:rPr>
        <w:t xml:space="preserve">. </w:t>
      </w:r>
      <w:r w:rsidRPr="00DD7B99">
        <w:rPr>
          <w:rFonts w:ascii="Palatino Linotype" w:eastAsia="Calibri"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Recurrente que tiene derecho a interponer nuevamente Recurso de Revisión ante este Instituto, por la respuesta que dé el Sujeto Obligado, en cumplimiento a esta Resolución.  </w:t>
      </w:r>
    </w:p>
    <w:p w14:paraId="313348D9" w14:textId="77777777" w:rsidR="00DD7B99" w:rsidRPr="00DD7B99" w:rsidRDefault="00DD7B99" w:rsidP="00DD7B99">
      <w:pPr>
        <w:spacing w:line="360" w:lineRule="auto"/>
        <w:jc w:val="both"/>
        <w:rPr>
          <w:rFonts w:ascii="Palatino Linotype" w:eastAsia="Calibri" w:hAnsi="Palatino Linotype" w:cs="Tahoma"/>
          <w:b/>
          <w:bCs/>
          <w:sz w:val="22"/>
          <w:szCs w:val="22"/>
          <w:lang w:eastAsia="en-US"/>
        </w:rPr>
      </w:pPr>
    </w:p>
    <w:p w14:paraId="177E731E" w14:textId="77777777" w:rsidR="00DD7B99" w:rsidRPr="00DD7B99" w:rsidRDefault="00DD7B99" w:rsidP="00DD7B99">
      <w:pPr>
        <w:spacing w:line="360" w:lineRule="auto"/>
        <w:jc w:val="both"/>
        <w:rPr>
          <w:rFonts w:ascii="Palatino Linotype" w:hAnsi="Palatino Linotype" w:cs="Tahoma"/>
          <w:i/>
          <w:sz w:val="22"/>
          <w:szCs w:val="22"/>
        </w:rPr>
      </w:pPr>
      <w:r w:rsidRPr="00DD7B99">
        <w:rPr>
          <w:rFonts w:ascii="Palatino Linotype" w:eastAsia="Calibri" w:hAnsi="Palatino Linotype" w:cs="Tahoma"/>
          <w:b/>
          <w:sz w:val="22"/>
          <w:szCs w:val="22"/>
          <w:lang w:eastAsia="es-MX"/>
        </w:rPr>
        <w:lastRenderedPageBreak/>
        <w:t>CUARTO</w:t>
      </w:r>
      <w:r w:rsidRPr="00DD7B99">
        <w:rPr>
          <w:rFonts w:ascii="Palatino Linotype" w:eastAsia="Calibri" w:hAnsi="Palatino Linotype" w:cs="Tahoma"/>
          <w:b/>
          <w:bCs/>
          <w:sz w:val="22"/>
          <w:szCs w:val="22"/>
          <w:lang w:eastAsia="en-US"/>
        </w:rPr>
        <w:t xml:space="preserve">. </w:t>
      </w:r>
      <w:r w:rsidRPr="00DD7B99">
        <w:rPr>
          <w:rFonts w:ascii="Palatino Linotype" w:hAnsi="Palatino Linotype" w:cs="Tahoma"/>
          <w:b/>
          <w:sz w:val="22"/>
          <w:szCs w:val="22"/>
        </w:rPr>
        <w:t xml:space="preserve">NOTIFÍQUESE </w:t>
      </w:r>
      <w:r w:rsidRPr="00DD7B99">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691307E8" w14:textId="77777777" w:rsidR="00DD7B99" w:rsidRPr="00DD7B99" w:rsidRDefault="00DD7B99" w:rsidP="00DD7B99">
      <w:pPr>
        <w:spacing w:line="360" w:lineRule="auto"/>
        <w:jc w:val="both"/>
        <w:rPr>
          <w:rFonts w:ascii="Palatino Linotype" w:eastAsia="Calibri" w:hAnsi="Palatino Linotype" w:cs="Tahoma"/>
          <w:sz w:val="22"/>
          <w:szCs w:val="22"/>
          <w:lang w:eastAsia="es-MX"/>
        </w:rPr>
      </w:pPr>
    </w:p>
    <w:p w14:paraId="1A235076" w14:textId="77777777" w:rsidR="00DD7B99" w:rsidRPr="00DD7B99" w:rsidRDefault="00DD7B99" w:rsidP="00DD7B99">
      <w:pPr>
        <w:spacing w:line="360" w:lineRule="auto"/>
        <w:jc w:val="both"/>
        <w:rPr>
          <w:rFonts w:ascii="Palatino Linotype" w:hAnsi="Palatino Linotype" w:cs="Tahoma"/>
          <w:sz w:val="22"/>
          <w:szCs w:val="22"/>
        </w:rPr>
      </w:pPr>
      <w:r w:rsidRPr="00DD7B99">
        <w:rPr>
          <w:rFonts w:ascii="Palatino Linotype" w:eastAsia="Calibri" w:hAnsi="Palatino Linotype" w:cs="Tahoma"/>
          <w:b/>
          <w:bCs/>
          <w:iCs/>
          <w:sz w:val="22"/>
          <w:szCs w:val="22"/>
          <w:lang w:val="es-ES"/>
        </w:rPr>
        <w:t>QUINTO</w:t>
      </w:r>
      <w:r w:rsidRPr="00DD7B99">
        <w:rPr>
          <w:rFonts w:ascii="Palatino Linotype" w:eastAsia="Calibri" w:hAnsi="Palatino Linotype" w:cs="Tahoma"/>
          <w:bCs/>
          <w:iCs/>
          <w:sz w:val="22"/>
          <w:szCs w:val="22"/>
          <w:lang w:val="es-ES"/>
        </w:rPr>
        <w:t>.</w:t>
      </w:r>
      <w:r w:rsidRPr="00DD7B99">
        <w:rPr>
          <w:rFonts w:ascii="Palatino Linotype" w:hAnsi="Palatino Linotype" w:cs="Tahoma"/>
          <w:b/>
          <w:sz w:val="22"/>
          <w:szCs w:val="22"/>
        </w:rPr>
        <w:t>NOTIFÍQUESE</w:t>
      </w:r>
      <w:r w:rsidRPr="00DD7B99">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7D27809" w14:textId="77777777" w:rsidR="00DD7B99" w:rsidRPr="00DD7B99" w:rsidRDefault="00DD7B99" w:rsidP="00DD7B99">
      <w:pPr>
        <w:spacing w:line="360" w:lineRule="auto"/>
        <w:jc w:val="both"/>
        <w:rPr>
          <w:rFonts w:ascii="Palatino Linotype" w:hAnsi="Palatino Linotype" w:cs="Tahoma"/>
          <w:sz w:val="22"/>
          <w:szCs w:val="22"/>
        </w:rPr>
      </w:pPr>
    </w:p>
    <w:p w14:paraId="4053E1D0" w14:textId="77777777" w:rsidR="00DD7B99" w:rsidRPr="00DD7B99" w:rsidRDefault="00DD7B99" w:rsidP="00DD7B99">
      <w:pPr>
        <w:spacing w:line="360" w:lineRule="auto"/>
        <w:jc w:val="both"/>
        <w:rPr>
          <w:rFonts w:ascii="Palatino Linotype" w:eastAsia="Calibri" w:hAnsi="Palatino Linotype"/>
          <w:color w:val="000000" w:themeColor="text1"/>
          <w:sz w:val="22"/>
          <w:szCs w:val="22"/>
          <w:lang w:eastAsia="en-US"/>
        </w:rPr>
      </w:pPr>
      <w:r w:rsidRPr="00DD7B99">
        <w:rPr>
          <w:rFonts w:ascii="Palatino Linotype" w:eastAsia="Calibri" w:hAnsi="Palatino Linotype"/>
          <w:b/>
          <w:bCs/>
          <w:color w:val="000000" w:themeColor="text1"/>
          <w:sz w:val="22"/>
          <w:szCs w:val="22"/>
          <w:lang w:eastAsia="en-US"/>
        </w:rPr>
        <w:t>SEXTO.</w:t>
      </w:r>
      <w:r w:rsidRPr="00DD7B99">
        <w:rPr>
          <w:rFonts w:ascii="Palatino Linotype" w:eastAsia="Calibri" w:hAnsi="Palatino Linotype"/>
          <w:color w:val="000000" w:themeColor="text1"/>
          <w:sz w:val="22"/>
          <w:szCs w:val="22"/>
          <w:lang w:eastAsia="en-US"/>
        </w:rPr>
        <w:t xml:space="preserve"> Con fundamento en el artículo 198 de la Ley de Transparencia y Acceso a la Información Pública del Estado de México y Municipios, se apercibe al Sujeto Obligado a que, en caso de negarse a cumplir la presente resolución o hacerlo de manera parcial se actuará de conformidad con lo previsto en los artículos 213, 214, 216 y 217 de dicha Ley.</w:t>
      </w:r>
    </w:p>
    <w:p w14:paraId="6D0ABBA8" w14:textId="77777777" w:rsidR="00DD7B99" w:rsidRPr="00DD7B99" w:rsidRDefault="00DD7B99" w:rsidP="00DD7B99">
      <w:pPr>
        <w:spacing w:line="360" w:lineRule="auto"/>
        <w:ind w:right="-93"/>
        <w:jc w:val="both"/>
        <w:rPr>
          <w:rFonts w:ascii="Palatino Linotype" w:hAnsi="Palatino Linotype"/>
          <w:color w:val="000000"/>
          <w:sz w:val="22"/>
          <w:szCs w:val="22"/>
          <w:shd w:val="clear" w:color="auto" w:fill="FFFFFF"/>
        </w:rPr>
      </w:pPr>
    </w:p>
    <w:p w14:paraId="4FCE06BA" w14:textId="77777777" w:rsidR="00DD7B99" w:rsidRPr="00DD7B99" w:rsidRDefault="00DD7B99" w:rsidP="00DD7B99">
      <w:pPr>
        <w:spacing w:line="360" w:lineRule="auto"/>
        <w:ind w:right="-93"/>
        <w:jc w:val="both"/>
        <w:rPr>
          <w:rFonts w:ascii="Palatino Linotype" w:eastAsia="Calibri" w:hAnsi="Palatino Linotype" w:cs="Tahoma"/>
          <w:bCs/>
          <w:sz w:val="22"/>
          <w:szCs w:val="22"/>
          <w:lang w:eastAsia="en-US"/>
        </w:rPr>
      </w:pPr>
      <w:r w:rsidRPr="00DD7B99">
        <w:rPr>
          <w:rFonts w:ascii="Palatino Linotype" w:hAnsi="Palatino Linotype" w:cs="Tahoma"/>
          <w:b/>
          <w:color w:val="000000"/>
          <w:sz w:val="22"/>
          <w:szCs w:val="22"/>
        </w:rPr>
        <w:t xml:space="preserve">SÉPTIMO. </w:t>
      </w:r>
      <w:r w:rsidRPr="00DD7B99">
        <w:rPr>
          <w:rFonts w:ascii="Palatino Linotype" w:eastAsia="Calibri" w:hAnsi="Palatino Linotype" w:cs="Tahoma"/>
          <w:bCs/>
          <w:sz w:val="22"/>
          <w:szCs w:val="22"/>
          <w:lang w:eastAsia="en-US"/>
        </w:rPr>
        <w:t xml:space="preserve">Con fundamento en lo dispuesto en los artículos 190 de la </w:t>
      </w:r>
      <w:r w:rsidRPr="00DD7B99">
        <w:rPr>
          <w:rFonts w:ascii="Palatino Linotype" w:hAnsi="Palatino Linotype" w:cs="Tahoma"/>
          <w:sz w:val="22"/>
          <w:szCs w:val="22"/>
        </w:rPr>
        <w:t xml:space="preserve">Ley de Transparencia y Acceso a la Información Pública del Estado de México y Municipios, gírese </w:t>
      </w:r>
      <w:r w:rsidRPr="00DD7B99">
        <w:rPr>
          <w:rFonts w:ascii="Palatino Linotype" w:eastAsia="Calibri" w:hAnsi="Palatino Linotype" w:cs="Tahoma"/>
          <w:bCs/>
          <w:sz w:val="22"/>
          <w:szCs w:val="22"/>
          <w:lang w:eastAsia="en-US"/>
        </w:rPr>
        <w:t xml:space="preserve">oficio al Contralor Interno y Titular del Órgano de Control y Vigilancia de este Instituto con la finalidad de que actúe en razón de su competencia, en términos de lo dispuesto en el Considerando </w:t>
      </w:r>
      <w:r w:rsidRPr="00DD7B99">
        <w:rPr>
          <w:rFonts w:ascii="Palatino Linotype" w:eastAsia="Calibri" w:hAnsi="Palatino Linotype" w:cs="Tahoma"/>
          <w:sz w:val="22"/>
          <w:szCs w:val="22"/>
          <w:lang w:eastAsia="en-US"/>
        </w:rPr>
        <w:t xml:space="preserve">SÉPTIMO </w:t>
      </w:r>
      <w:r w:rsidRPr="00DD7B99">
        <w:rPr>
          <w:rFonts w:ascii="Palatino Linotype" w:eastAsia="Calibri" w:hAnsi="Palatino Linotype" w:cs="Tahoma"/>
          <w:bCs/>
          <w:sz w:val="22"/>
          <w:szCs w:val="22"/>
          <w:lang w:eastAsia="en-US"/>
        </w:rPr>
        <w:t>de la presente Resolución.</w:t>
      </w:r>
    </w:p>
    <w:p w14:paraId="4A1B4A58" w14:textId="77777777" w:rsidR="00DD7B99" w:rsidRPr="003F1490" w:rsidRDefault="00DD7B99" w:rsidP="00DD7B99">
      <w:pPr>
        <w:spacing w:line="360" w:lineRule="auto"/>
        <w:jc w:val="both"/>
        <w:rPr>
          <w:rFonts w:ascii="Palatino Linotype" w:eastAsia="Calibri" w:hAnsi="Palatino Linotype" w:cs="Tahoma"/>
          <w:bCs/>
          <w:color w:val="000000"/>
          <w:sz w:val="22"/>
          <w:szCs w:val="22"/>
          <w:lang w:eastAsia="en-US"/>
        </w:rPr>
      </w:pPr>
    </w:p>
    <w:p w14:paraId="679D9346" w14:textId="19F736E3" w:rsidR="008160FF" w:rsidRPr="002B3420" w:rsidRDefault="008160FF" w:rsidP="009B438A">
      <w:pPr>
        <w:spacing w:line="360" w:lineRule="auto"/>
        <w:jc w:val="both"/>
        <w:rPr>
          <w:rFonts w:ascii="Palatino Linotype" w:eastAsia="Calibri" w:hAnsi="Palatino Linotype" w:cs="Arial"/>
          <w:color w:val="000000"/>
          <w:sz w:val="22"/>
          <w:szCs w:val="22"/>
          <w:lang w:eastAsia="en-US"/>
        </w:rPr>
      </w:pPr>
      <w:r w:rsidRPr="002B3420">
        <w:rPr>
          <w:rFonts w:ascii="Palatino Linotype" w:eastAsia="Calibri" w:hAnsi="Palatino Linotype"/>
          <w:color w:val="000000"/>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w:t>
      </w:r>
      <w:r w:rsidRPr="002B3420">
        <w:rPr>
          <w:rFonts w:ascii="Palatino Linotype" w:eastAsia="Calibri" w:hAnsi="Palatino Linotype"/>
          <w:color w:val="000000"/>
          <w:sz w:val="22"/>
          <w:szCs w:val="22"/>
          <w:lang w:eastAsia="en-US"/>
        </w:rPr>
        <w:lastRenderedPageBreak/>
        <w:t xml:space="preserve">SHARON CRISTINA MORALES MARTÍNEZ; LUIS GUSTAVO PARRA NORIEGA Y GUADALUPE RAMÍREZ PEÑA; EN LA VIGÉSIMA </w:t>
      </w:r>
      <w:r w:rsidR="007C1C02">
        <w:rPr>
          <w:rFonts w:ascii="Palatino Linotype" w:eastAsia="Calibri" w:hAnsi="Palatino Linotype"/>
          <w:color w:val="000000"/>
          <w:sz w:val="22"/>
          <w:szCs w:val="22"/>
          <w:lang w:eastAsia="en-US"/>
        </w:rPr>
        <w:t>OCTAVA</w:t>
      </w:r>
      <w:r w:rsidRPr="002B3420">
        <w:rPr>
          <w:rFonts w:ascii="Palatino Linotype" w:eastAsia="Calibri" w:hAnsi="Palatino Linotype"/>
          <w:color w:val="000000"/>
          <w:sz w:val="22"/>
          <w:szCs w:val="22"/>
          <w:lang w:eastAsia="en-US"/>
        </w:rPr>
        <w:t xml:space="preserve"> SESIÓN ORDINARIA CELEBRADA EL </w:t>
      </w:r>
      <w:r w:rsidR="007C1C02">
        <w:rPr>
          <w:rFonts w:ascii="Palatino Linotype" w:eastAsia="Calibri" w:hAnsi="Palatino Linotype"/>
          <w:color w:val="000000"/>
          <w:sz w:val="22"/>
          <w:szCs w:val="22"/>
          <w:lang w:eastAsia="en-US"/>
        </w:rPr>
        <w:t>DIEZ</w:t>
      </w:r>
      <w:r w:rsidR="004F0F15" w:rsidRPr="002B3420">
        <w:rPr>
          <w:rFonts w:ascii="Palatino Linotype" w:eastAsia="Calibri" w:hAnsi="Palatino Linotype"/>
          <w:color w:val="000000"/>
          <w:sz w:val="22"/>
          <w:szCs w:val="22"/>
          <w:lang w:eastAsia="en-US"/>
        </w:rPr>
        <w:t xml:space="preserve"> DE AGOSTO</w:t>
      </w:r>
      <w:r w:rsidRPr="002B3420">
        <w:rPr>
          <w:rFonts w:ascii="Palatino Linotype" w:eastAsia="Calibri" w:hAnsi="Palatino Linotype"/>
          <w:color w:val="000000"/>
          <w:sz w:val="22"/>
          <w:szCs w:val="22"/>
          <w:lang w:eastAsia="en-US"/>
        </w:rPr>
        <w:t xml:space="preserve"> DE DOS MIL VEINTIDÓS, ANTE EL SECRETARIO TÉCNICO DEL PLENO, ALEXIS TAPIA RAMÍREZ.</w:t>
      </w:r>
    </w:p>
    <w:p w14:paraId="1F3300FA" w14:textId="01DCA0FF" w:rsidR="00DF2634" w:rsidRDefault="00DF2634">
      <w:pPr>
        <w:spacing w:after="160" w:line="259" w:lineRule="auto"/>
        <w:rPr>
          <w:rFonts w:ascii="Palatino Linotype" w:hAnsi="Palatino Linotype"/>
        </w:rPr>
      </w:pPr>
      <w:r>
        <w:rPr>
          <w:rFonts w:ascii="Palatino Linotype" w:hAnsi="Palatino Linotype"/>
        </w:rPr>
        <w:br w:type="page"/>
      </w:r>
    </w:p>
    <w:p w14:paraId="08190E50" w14:textId="77777777" w:rsidR="004F0F15" w:rsidRPr="002B3420" w:rsidRDefault="004F0F15" w:rsidP="009B438A">
      <w:pPr>
        <w:spacing w:line="360" w:lineRule="auto"/>
        <w:rPr>
          <w:rFonts w:ascii="Palatino Linotype" w:hAnsi="Palatino Linotype"/>
        </w:rPr>
      </w:pPr>
    </w:p>
    <w:sectPr w:rsidR="004F0F15" w:rsidRPr="002B3420" w:rsidSect="00B57B76">
      <w:headerReference w:type="even" r:id="rId11"/>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4CDEE" w14:textId="77777777" w:rsidR="00DD09E7" w:rsidRDefault="00DD09E7" w:rsidP="004C5F72">
      <w:r>
        <w:separator/>
      </w:r>
    </w:p>
  </w:endnote>
  <w:endnote w:type="continuationSeparator" w:id="0">
    <w:p w14:paraId="750CEA76" w14:textId="77777777" w:rsidR="00DD09E7" w:rsidRDefault="00DD09E7" w:rsidP="004C5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34E4823E" w14:textId="77777777" w:rsidR="00DF620C" w:rsidRDefault="00DF263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18</w:t>
            </w:r>
            <w:r>
              <w:rPr>
                <w:b/>
                <w:bCs/>
                <w:sz w:val="24"/>
                <w:szCs w:val="24"/>
              </w:rPr>
              <w:fldChar w:fldCharType="end"/>
            </w:r>
          </w:p>
        </w:sdtContent>
      </w:sdt>
    </w:sdtContent>
  </w:sdt>
  <w:p w14:paraId="3D655512" w14:textId="77777777" w:rsidR="00DF620C" w:rsidRDefault="00DF26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5A72C28F" w14:textId="77777777" w:rsidR="00DF620C" w:rsidRDefault="00DF2634">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18</w:t>
            </w:r>
            <w:r>
              <w:rPr>
                <w:b/>
                <w:bCs/>
                <w:sz w:val="24"/>
                <w:szCs w:val="24"/>
              </w:rPr>
              <w:fldChar w:fldCharType="end"/>
            </w:r>
          </w:p>
        </w:sdtContent>
      </w:sdt>
    </w:sdtContent>
  </w:sdt>
  <w:p w14:paraId="7F9EC72E" w14:textId="77777777" w:rsidR="00DF620C" w:rsidRDefault="00DF26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03F26" w14:textId="77777777" w:rsidR="00DD09E7" w:rsidRDefault="00DD09E7" w:rsidP="004C5F72">
      <w:r>
        <w:separator/>
      </w:r>
    </w:p>
  </w:footnote>
  <w:footnote w:type="continuationSeparator" w:id="0">
    <w:p w14:paraId="6BF07F7C" w14:textId="77777777" w:rsidR="00DD09E7" w:rsidRDefault="00DD09E7" w:rsidP="004C5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E1E2D" w14:textId="77777777" w:rsidR="00DF620C" w:rsidRDefault="00DF2634">
    <w:pPr>
      <w:pStyle w:val="Encabezado"/>
    </w:pPr>
    <w:r>
      <w:rPr>
        <w:noProof/>
        <w:lang w:eastAsia="es-MX"/>
      </w:rPr>
      <w:pict w14:anchorId="37B317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1025"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2127"/>
      <w:gridCol w:w="7229"/>
    </w:tblGrid>
    <w:tr w:rsidR="00DF620C" w:rsidRPr="005C106F" w14:paraId="060559EE" w14:textId="77777777" w:rsidTr="00B810D4">
      <w:trPr>
        <w:trHeight w:val="1435"/>
      </w:trPr>
      <w:tc>
        <w:tcPr>
          <w:tcW w:w="2127" w:type="dxa"/>
          <w:shd w:val="clear" w:color="auto" w:fill="auto"/>
        </w:tcPr>
        <w:p w14:paraId="46602073" w14:textId="77777777" w:rsidR="00DF620C" w:rsidRPr="005C106F" w:rsidRDefault="00DF2634"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7728" behindDoc="1" locked="0" layoutInCell="0" allowOverlap="1" wp14:anchorId="4A109EC1" wp14:editId="31AAEB6B">
                <wp:simplePos x="0" y="0"/>
                <wp:positionH relativeFrom="page">
                  <wp:posOffset>-1008380</wp:posOffset>
                </wp:positionH>
                <wp:positionV relativeFrom="page">
                  <wp:posOffset>-655320</wp:posOffset>
                </wp:positionV>
                <wp:extent cx="8426450" cy="10972800"/>
                <wp:effectExtent l="0" t="0" r="0" b="0"/>
                <wp:wrapNone/>
                <wp:docPr id="4" name="Imagen 4"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7229" w:type="dxa"/>
          <w:shd w:val="clear" w:color="auto" w:fill="auto"/>
        </w:tcPr>
        <w:p w14:paraId="6B47ADF9" w14:textId="77777777" w:rsidR="002B3420" w:rsidRDefault="002B3420"/>
        <w:tbl>
          <w:tblPr>
            <w:tblStyle w:val="Tablaconcuadrcula"/>
            <w:tblW w:w="6096" w:type="dxa"/>
            <w:tblInd w:w="1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544"/>
          </w:tblGrid>
          <w:tr w:rsidR="00DF620C" w14:paraId="664AE91C" w14:textId="77777777" w:rsidTr="00EF6D0F">
            <w:trPr>
              <w:trHeight w:val="144"/>
            </w:trPr>
            <w:tc>
              <w:tcPr>
                <w:tcW w:w="2552" w:type="dxa"/>
              </w:tcPr>
              <w:p w14:paraId="70C9B0BE" w14:textId="77777777" w:rsidR="00DF620C" w:rsidRPr="00431A70" w:rsidRDefault="00DF2634"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4" w:type="dxa"/>
              </w:tcPr>
              <w:p w14:paraId="048E687B" w14:textId="1B99DB5C" w:rsidR="00DF620C" w:rsidRPr="00431A70" w:rsidRDefault="00DF2634" w:rsidP="00B810D4">
                <w:pPr>
                  <w:tabs>
                    <w:tab w:val="right" w:pos="8838"/>
                  </w:tabs>
                  <w:ind w:left="-28" w:right="-102"/>
                  <w:jc w:val="both"/>
                  <w:rPr>
                    <w:rFonts w:ascii="Palatino Linotype" w:eastAsia="Calibri" w:hAnsi="Palatino Linotype" w:cs="Tahoma"/>
                    <w:b/>
                    <w:bCs/>
                    <w:sz w:val="22"/>
                    <w:szCs w:val="22"/>
                    <w:lang w:eastAsia="en-US"/>
                  </w:rPr>
                </w:pPr>
                <w:r>
                  <w:rPr>
                    <w:rFonts w:ascii="Palatino Linotype" w:eastAsia="Calibri" w:hAnsi="Palatino Linotype" w:cs="Tahoma"/>
                    <w:sz w:val="22"/>
                    <w:szCs w:val="22"/>
                    <w:lang w:val="es-MX" w:eastAsia="en-US"/>
                  </w:rPr>
                  <w:t xml:space="preserve"> </w:t>
                </w:r>
                <w:r w:rsidR="00EF6D0F">
                  <w:rPr>
                    <w:rFonts w:ascii="Palatino Linotype" w:eastAsia="Calibri" w:hAnsi="Palatino Linotype" w:cs="Tahoma"/>
                    <w:sz w:val="22"/>
                    <w:szCs w:val="22"/>
                    <w:lang w:val="es-MX" w:eastAsia="en-US"/>
                  </w:rPr>
                  <w:t>1033</w:t>
                </w:r>
                <w:r>
                  <w:rPr>
                    <w:rFonts w:ascii="Palatino Linotype" w:eastAsia="Calibri" w:hAnsi="Palatino Linotype" w:cs="Tahoma"/>
                    <w:sz w:val="22"/>
                    <w:szCs w:val="22"/>
                    <w:lang w:val="es-MX" w:eastAsia="en-US"/>
                  </w:rPr>
                  <w:t>6</w:t>
                </w:r>
                <w:r w:rsidRPr="00B810D4">
                  <w:rPr>
                    <w:rFonts w:ascii="Palatino Linotype" w:eastAsia="Calibri" w:hAnsi="Palatino Linotype" w:cs="Tahoma"/>
                    <w:sz w:val="22"/>
                    <w:szCs w:val="22"/>
                    <w:lang w:val="es-MX" w:eastAsia="en-US"/>
                  </w:rPr>
                  <w:t xml:space="preserve">/INFOEM/IP/RR/2022 </w:t>
                </w:r>
              </w:p>
            </w:tc>
          </w:tr>
          <w:tr w:rsidR="00DF620C" w14:paraId="1A327391" w14:textId="77777777" w:rsidTr="00EF6D0F">
            <w:trPr>
              <w:trHeight w:val="80"/>
            </w:trPr>
            <w:tc>
              <w:tcPr>
                <w:tcW w:w="2552" w:type="dxa"/>
              </w:tcPr>
              <w:p w14:paraId="62DDBA60" w14:textId="77777777" w:rsidR="00DF620C" w:rsidRPr="00431A70" w:rsidRDefault="00DF2634"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4" w:type="dxa"/>
              </w:tcPr>
              <w:p w14:paraId="6F43E198" w14:textId="47FF6DDF" w:rsidR="00DF620C" w:rsidRPr="00431A70" w:rsidRDefault="00EF6D0F" w:rsidP="00B810D4">
                <w:pPr>
                  <w:tabs>
                    <w:tab w:val="left" w:pos="2834"/>
                    <w:tab w:val="right" w:pos="8838"/>
                  </w:tabs>
                  <w:ind w:right="323"/>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val="es-MX" w:eastAsia="en-US"/>
                  </w:rPr>
                  <w:t>Ayuntamiento de Huehuetoca</w:t>
                </w:r>
              </w:p>
            </w:tc>
          </w:tr>
          <w:tr w:rsidR="00DF620C" w14:paraId="6D953540" w14:textId="77777777" w:rsidTr="00EF6D0F">
            <w:trPr>
              <w:trHeight w:val="283"/>
            </w:trPr>
            <w:tc>
              <w:tcPr>
                <w:tcW w:w="2552" w:type="dxa"/>
              </w:tcPr>
              <w:p w14:paraId="1C883228" w14:textId="77777777" w:rsidR="00DF620C" w:rsidRPr="00431A70" w:rsidRDefault="00DF2634"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4" w:type="dxa"/>
              </w:tcPr>
              <w:p w14:paraId="2FF8F004" w14:textId="77777777" w:rsidR="00DF620C" w:rsidRDefault="00DF2634" w:rsidP="00E43A0F">
                <w:pPr>
                  <w:tabs>
                    <w:tab w:val="right" w:pos="8838"/>
                  </w:tabs>
                  <w:ind w:right="171"/>
                  <w:jc w:val="both"/>
                  <w:rPr>
                    <w:rFonts w:ascii="Palatino Linotype" w:eastAsia="Calibri" w:hAnsi="Palatino Linotype" w:cs="Tahoma"/>
                    <w:sz w:val="22"/>
                    <w:szCs w:val="22"/>
                    <w:lang w:eastAsia="en-US"/>
                  </w:rPr>
                </w:pPr>
                <w:r w:rsidRPr="00431A70">
                  <w:rPr>
                    <w:rFonts w:ascii="Palatino Linotype" w:eastAsia="Calibri" w:hAnsi="Palatino Linotype" w:cs="Tahoma"/>
                    <w:sz w:val="22"/>
                    <w:szCs w:val="22"/>
                    <w:lang w:eastAsia="en-US"/>
                  </w:rPr>
                  <w:t>Luis Gustavo Parra Noriega</w:t>
                </w:r>
              </w:p>
              <w:p w14:paraId="7C1C87DD" w14:textId="77777777" w:rsidR="00DF620C" w:rsidRPr="00431A70" w:rsidRDefault="00DF2634" w:rsidP="00E43A0F">
                <w:pPr>
                  <w:tabs>
                    <w:tab w:val="right" w:pos="8838"/>
                  </w:tabs>
                  <w:ind w:right="171"/>
                  <w:jc w:val="both"/>
                  <w:rPr>
                    <w:rFonts w:ascii="Palatino Linotype" w:eastAsia="Calibri" w:hAnsi="Palatino Linotype" w:cs="Tahoma"/>
                    <w:b/>
                    <w:sz w:val="22"/>
                    <w:szCs w:val="22"/>
                    <w:lang w:eastAsia="en-US"/>
                  </w:rPr>
                </w:pPr>
              </w:p>
            </w:tc>
          </w:tr>
        </w:tbl>
        <w:p w14:paraId="1028BDC8" w14:textId="77777777" w:rsidR="00DF620C" w:rsidRPr="005C106F" w:rsidRDefault="00DF2634" w:rsidP="005743D2">
          <w:pPr>
            <w:tabs>
              <w:tab w:val="right" w:pos="8838"/>
            </w:tabs>
            <w:ind w:left="-28"/>
            <w:jc w:val="both"/>
            <w:rPr>
              <w:rFonts w:ascii="Arial" w:eastAsia="Calibri" w:hAnsi="Arial" w:cs="Arial"/>
              <w:b/>
              <w:sz w:val="22"/>
              <w:szCs w:val="22"/>
              <w:lang w:eastAsia="en-US"/>
            </w:rPr>
          </w:pPr>
        </w:p>
      </w:tc>
    </w:tr>
  </w:tbl>
  <w:p w14:paraId="1657C2C0" w14:textId="77777777" w:rsidR="00DF620C" w:rsidRPr="00443C6B" w:rsidRDefault="00DF2634" w:rsidP="00EF4A64">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1985"/>
      <w:gridCol w:w="7371"/>
    </w:tblGrid>
    <w:tr w:rsidR="00DF620C" w:rsidRPr="00330DA7" w14:paraId="5D0F0C21" w14:textId="77777777" w:rsidTr="00B810D4">
      <w:trPr>
        <w:trHeight w:val="1435"/>
      </w:trPr>
      <w:tc>
        <w:tcPr>
          <w:tcW w:w="1985" w:type="dxa"/>
          <w:shd w:val="clear" w:color="auto" w:fill="auto"/>
        </w:tcPr>
        <w:p w14:paraId="2F5E0274" w14:textId="77777777" w:rsidR="00DF620C" w:rsidRPr="00330DA7" w:rsidRDefault="00DF2634" w:rsidP="00DB7E5F">
          <w:pPr>
            <w:tabs>
              <w:tab w:val="right" w:pos="4273"/>
            </w:tabs>
            <w:rPr>
              <w:rFonts w:ascii="Garamond" w:eastAsia="Calibri" w:hAnsi="Garamond"/>
              <w:sz w:val="22"/>
              <w:szCs w:val="22"/>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78F230F5" wp14:editId="45E791A4">
                <wp:simplePos x="0" y="0"/>
                <wp:positionH relativeFrom="page">
                  <wp:posOffset>-1010920</wp:posOffset>
                </wp:positionH>
                <wp:positionV relativeFrom="page">
                  <wp:posOffset>-495935</wp:posOffset>
                </wp:positionV>
                <wp:extent cx="8426450" cy="10972800"/>
                <wp:effectExtent l="0" t="0" r="0" b="0"/>
                <wp:wrapNone/>
                <wp:docPr id="17" name="Imagen 17"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7371" w:type="dxa"/>
          <w:shd w:val="clear" w:color="auto" w:fill="auto"/>
        </w:tcPr>
        <w:p w14:paraId="6E878F55" w14:textId="77777777" w:rsidR="002B3420" w:rsidRDefault="002B3420"/>
        <w:tbl>
          <w:tblPr>
            <w:tblStyle w:val="Tablaconcuadrcula"/>
            <w:tblW w:w="5528" w:type="dxa"/>
            <w:tblInd w:w="1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2976"/>
          </w:tblGrid>
          <w:tr w:rsidR="00DF620C" w:rsidRPr="00431A70" w14:paraId="42749E98" w14:textId="77777777" w:rsidTr="004C5F72">
            <w:trPr>
              <w:trHeight w:val="144"/>
            </w:trPr>
            <w:tc>
              <w:tcPr>
                <w:tcW w:w="2552" w:type="dxa"/>
              </w:tcPr>
              <w:p w14:paraId="4490E259" w14:textId="77777777" w:rsidR="00DF620C" w:rsidRPr="00431A70" w:rsidRDefault="00DF2634"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2976" w:type="dxa"/>
              </w:tcPr>
              <w:p w14:paraId="054851BE" w14:textId="62B1A4AD" w:rsidR="00DF620C" w:rsidRPr="00B810D4" w:rsidRDefault="004C5F72" w:rsidP="00B810D4">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10336</w:t>
                </w:r>
                <w:r w:rsidRPr="00B810D4">
                  <w:rPr>
                    <w:rFonts w:ascii="Palatino Linotype" w:eastAsia="Calibri" w:hAnsi="Palatino Linotype" w:cs="Tahoma"/>
                    <w:sz w:val="22"/>
                    <w:szCs w:val="22"/>
                    <w:lang w:eastAsia="en-US"/>
                  </w:rPr>
                  <w:t>/INFOEM/IP/RR/2022</w:t>
                </w:r>
              </w:p>
            </w:tc>
          </w:tr>
          <w:tr w:rsidR="00DF620C" w:rsidRPr="00431A70" w14:paraId="1F2588E4" w14:textId="77777777" w:rsidTr="004C5F72">
            <w:trPr>
              <w:trHeight w:val="144"/>
            </w:trPr>
            <w:tc>
              <w:tcPr>
                <w:tcW w:w="2552" w:type="dxa"/>
              </w:tcPr>
              <w:p w14:paraId="0EF50C62" w14:textId="77777777" w:rsidR="00DF620C" w:rsidRPr="00431A70" w:rsidRDefault="00DF2634"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2976" w:type="dxa"/>
              </w:tcPr>
              <w:p w14:paraId="69E8B2F0" w14:textId="77777777" w:rsidR="00DF620C" w:rsidRPr="00B810D4" w:rsidRDefault="00DF2634" w:rsidP="00B810D4">
                <w:pPr>
                  <w:tabs>
                    <w:tab w:val="left" w:pos="3122"/>
                    <w:tab w:val="right" w:pos="8838"/>
                  </w:tabs>
                  <w:ind w:left="-74" w:right="-105"/>
                  <w:jc w:val="both"/>
                  <w:rPr>
                    <w:rFonts w:ascii="Palatino Linotype" w:eastAsia="Calibri" w:hAnsi="Palatino Linotype" w:cs="Tahoma"/>
                    <w:sz w:val="22"/>
                    <w:szCs w:val="22"/>
                    <w:lang w:eastAsia="en-US"/>
                  </w:rPr>
                </w:pPr>
              </w:p>
            </w:tc>
          </w:tr>
          <w:tr w:rsidR="00DF620C" w:rsidRPr="000578D3" w14:paraId="56F11066" w14:textId="77777777" w:rsidTr="004C5F72">
            <w:trPr>
              <w:trHeight w:val="283"/>
            </w:trPr>
            <w:tc>
              <w:tcPr>
                <w:tcW w:w="2552" w:type="dxa"/>
              </w:tcPr>
              <w:p w14:paraId="7E015549" w14:textId="77777777" w:rsidR="00DF620C" w:rsidRPr="00431A70" w:rsidRDefault="00DF2634"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2976" w:type="dxa"/>
              </w:tcPr>
              <w:p w14:paraId="1431D625" w14:textId="07CF50DB" w:rsidR="00DF620C" w:rsidRPr="00B810D4" w:rsidRDefault="004C5F72" w:rsidP="00B810D4">
                <w:pPr>
                  <w:tabs>
                    <w:tab w:val="left" w:pos="2834"/>
                    <w:tab w:val="right" w:pos="8838"/>
                  </w:tabs>
                  <w:ind w:left="-74" w:right="-105"/>
                  <w:jc w:val="both"/>
                  <w:rPr>
                    <w:rFonts w:ascii="Palatino Linotype" w:eastAsia="Calibri" w:hAnsi="Palatino Linotype" w:cs="Tahoma"/>
                    <w:sz w:val="22"/>
                    <w:szCs w:val="22"/>
                    <w:lang w:eastAsia="en-US"/>
                  </w:rPr>
                </w:pPr>
                <w:r>
                  <w:rPr>
                    <w:rFonts w:ascii="Palatino Linotype" w:hAnsi="Palatino Linotype"/>
                    <w:bCs/>
                    <w:color w:val="000000"/>
                    <w:sz w:val="22"/>
                    <w:szCs w:val="22"/>
                  </w:rPr>
                  <w:t>Ayuntamiento de Huehuetoca</w:t>
                </w:r>
              </w:p>
            </w:tc>
          </w:tr>
          <w:tr w:rsidR="00DF620C" w:rsidRPr="00431A70" w14:paraId="21AC38FD" w14:textId="77777777" w:rsidTr="004C5F72">
            <w:trPr>
              <w:trHeight w:val="283"/>
            </w:trPr>
            <w:tc>
              <w:tcPr>
                <w:tcW w:w="2552" w:type="dxa"/>
              </w:tcPr>
              <w:p w14:paraId="790EF36A" w14:textId="77777777" w:rsidR="00DF620C" w:rsidRPr="00431A70" w:rsidRDefault="00DF2634"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2976" w:type="dxa"/>
              </w:tcPr>
              <w:p w14:paraId="4D9D2BF5" w14:textId="77777777" w:rsidR="00DF620C" w:rsidRPr="00B810D4" w:rsidRDefault="00DF2634" w:rsidP="00B810D4">
                <w:pPr>
                  <w:tabs>
                    <w:tab w:val="right" w:pos="8838"/>
                  </w:tabs>
                  <w:ind w:left="-74" w:right="-105"/>
                  <w:jc w:val="both"/>
                  <w:rPr>
                    <w:rFonts w:ascii="Palatino Linotype" w:eastAsia="Calibri" w:hAnsi="Palatino Linotype" w:cs="Tahoma"/>
                    <w:sz w:val="22"/>
                    <w:szCs w:val="22"/>
                    <w:lang w:eastAsia="en-US"/>
                  </w:rPr>
                </w:pPr>
                <w:r w:rsidRPr="00B810D4">
                  <w:rPr>
                    <w:rFonts w:ascii="Palatino Linotype" w:eastAsia="Calibri" w:hAnsi="Palatino Linotype" w:cs="Tahoma"/>
                    <w:sz w:val="22"/>
                    <w:szCs w:val="22"/>
                    <w:lang w:eastAsia="en-US"/>
                  </w:rPr>
                  <w:t>Luis Gustavo Parra Noriega</w:t>
                </w:r>
              </w:p>
            </w:tc>
          </w:tr>
        </w:tbl>
        <w:p w14:paraId="6712F35C" w14:textId="77777777" w:rsidR="00DF620C" w:rsidRPr="00330DA7" w:rsidRDefault="00DF2634" w:rsidP="00DB7E5F">
          <w:pPr>
            <w:tabs>
              <w:tab w:val="right" w:pos="8838"/>
            </w:tabs>
            <w:ind w:left="-28"/>
            <w:jc w:val="both"/>
            <w:rPr>
              <w:rFonts w:ascii="Arial" w:eastAsia="Calibri" w:hAnsi="Arial" w:cs="Arial"/>
              <w:b/>
              <w:sz w:val="22"/>
              <w:szCs w:val="22"/>
              <w:lang w:eastAsia="en-US"/>
            </w:rPr>
          </w:pPr>
        </w:p>
      </w:tc>
    </w:tr>
  </w:tbl>
  <w:p w14:paraId="2551238F" w14:textId="77777777" w:rsidR="00DF620C" w:rsidRPr="00330DA7" w:rsidRDefault="00DF2634"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8302D"/>
    <w:multiLevelType w:val="multilevel"/>
    <w:tmpl w:val="283830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00856AF"/>
    <w:multiLevelType w:val="hybridMultilevel"/>
    <w:tmpl w:val="EE94567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4F7B5B68"/>
    <w:multiLevelType w:val="hybridMultilevel"/>
    <w:tmpl w:val="8110C692"/>
    <w:lvl w:ilvl="0" w:tplc="C460118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 w15:restartNumberingAfterBreak="0">
    <w:nsid w:val="75422B96"/>
    <w:multiLevelType w:val="multilevel"/>
    <w:tmpl w:val="75422B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124811382">
    <w:abstractNumId w:val="2"/>
  </w:num>
  <w:num w:numId="2" w16cid:durableId="1583370809">
    <w:abstractNumId w:val="0"/>
  </w:num>
  <w:num w:numId="3" w16cid:durableId="678119914">
    <w:abstractNumId w:val="4"/>
  </w:num>
  <w:num w:numId="4" w16cid:durableId="1242595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412298">
    <w:abstractNumId w:val="0"/>
  </w:num>
  <w:num w:numId="6" w16cid:durableId="1869372747">
    <w:abstractNumId w:val="4"/>
  </w:num>
  <w:num w:numId="7" w16cid:durableId="1390878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F72"/>
    <w:rsid w:val="00140389"/>
    <w:rsid w:val="002400D5"/>
    <w:rsid w:val="002547F8"/>
    <w:rsid w:val="00280F55"/>
    <w:rsid w:val="002B3420"/>
    <w:rsid w:val="002D4FA5"/>
    <w:rsid w:val="00354574"/>
    <w:rsid w:val="003F1490"/>
    <w:rsid w:val="0042279C"/>
    <w:rsid w:val="004C5F72"/>
    <w:rsid w:val="004F0F15"/>
    <w:rsid w:val="0050402F"/>
    <w:rsid w:val="00526B27"/>
    <w:rsid w:val="00715E5C"/>
    <w:rsid w:val="00794DD0"/>
    <w:rsid w:val="007C1C02"/>
    <w:rsid w:val="008160FF"/>
    <w:rsid w:val="00835217"/>
    <w:rsid w:val="00840209"/>
    <w:rsid w:val="00860E8C"/>
    <w:rsid w:val="008C1B76"/>
    <w:rsid w:val="008E37E3"/>
    <w:rsid w:val="0091429B"/>
    <w:rsid w:val="00955C54"/>
    <w:rsid w:val="009B438A"/>
    <w:rsid w:val="009D2A47"/>
    <w:rsid w:val="009D7307"/>
    <w:rsid w:val="00AA26E3"/>
    <w:rsid w:val="00AB09C4"/>
    <w:rsid w:val="00AD57E5"/>
    <w:rsid w:val="00B01A4B"/>
    <w:rsid w:val="00B420E2"/>
    <w:rsid w:val="00C3601F"/>
    <w:rsid w:val="00C62CA3"/>
    <w:rsid w:val="00CB0567"/>
    <w:rsid w:val="00D1409B"/>
    <w:rsid w:val="00D81B0F"/>
    <w:rsid w:val="00DD09E7"/>
    <w:rsid w:val="00DD7B99"/>
    <w:rsid w:val="00DF2634"/>
    <w:rsid w:val="00E22DF4"/>
    <w:rsid w:val="00EC53B2"/>
    <w:rsid w:val="00EE6C02"/>
    <w:rsid w:val="00EF6D0F"/>
    <w:rsid w:val="00F93288"/>
    <w:rsid w:val="00FA7250"/>
    <w:rsid w:val="00FC70A7"/>
    <w:rsid w:val="00FF34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060E1"/>
  <w15:chartTrackingRefBased/>
  <w15:docId w15:val="{D5471EC2-A8AB-44D9-83C8-3EF610BC0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0E2"/>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C5F72"/>
    <w:pPr>
      <w:tabs>
        <w:tab w:val="center" w:pos="4419"/>
        <w:tab w:val="right" w:pos="8838"/>
      </w:tabs>
    </w:pPr>
  </w:style>
  <w:style w:type="character" w:customStyle="1" w:styleId="EncabezadoCar">
    <w:name w:val="Encabezado Car"/>
    <w:basedOn w:val="Fuentedeprrafopredeter"/>
    <w:link w:val="Encabezado"/>
    <w:uiPriority w:val="99"/>
    <w:rsid w:val="004C5F72"/>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4C5F72"/>
    <w:pPr>
      <w:tabs>
        <w:tab w:val="center" w:pos="4419"/>
        <w:tab w:val="right" w:pos="8838"/>
      </w:tabs>
    </w:pPr>
  </w:style>
  <w:style w:type="character" w:customStyle="1" w:styleId="PiedepginaCar">
    <w:name w:val="Pie de página Car"/>
    <w:basedOn w:val="Fuentedeprrafopredeter"/>
    <w:link w:val="Piedepgina"/>
    <w:uiPriority w:val="99"/>
    <w:rsid w:val="004C5F72"/>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C5F7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4C5F72"/>
    <w:rPr>
      <w:rFonts w:ascii="Century Gothic" w:eastAsia="Times New Roman" w:hAnsi="Century Gothic" w:cs="Times New Roman"/>
      <w:szCs w:val="24"/>
      <w:lang w:eastAsia="es-ES"/>
    </w:rPr>
  </w:style>
  <w:style w:type="table" w:styleId="Tablaconcuadrcula">
    <w:name w:val="Table Grid"/>
    <w:basedOn w:val="Tablanormal"/>
    <w:uiPriority w:val="39"/>
    <w:rsid w:val="004C5F7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C5F72"/>
    <w:pPr>
      <w:spacing w:before="100" w:beforeAutospacing="1" w:after="100" w:afterAutospacing="1"/>
    </w:pPr>
    <w:rPr>
      <w:sz w:val="24"/>
      <w:szCs w:val="24"/>
      <w:lang w:eastAsia="es-MX"/>
    </w:rPr>
  </w:style>
  <w:style w:type="character" w:customStyle="1" w:styleId="normaltextrun">
    <w:name w:val="normaltextrun"/>
    <w:basedOn w:val="Fuentedeprrafopredeter"/>
    <w:rsid w:val="004C5F72"/>
  </w:style>
  <w:style w:type="character" w:customStyle="1" w:styleId="eop">
    <w:name w:val="eop"/>
    <w:basedOn w:val="Fuentedeprrafopredeter"/>
    <w:rsid w:val="004C5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05242">
      <w:bodyDiv w:val="1"/>
      <w:marLeft w:val="0"/>
      <w:marRight w:val="0"/>
      <w:marTop w:val="0"/>
      <w:marBottom w:val="0"/>
      <w:divBdr>
        <w:top w:val="none" w:sz="0" w:space="0" w:color="auto"/>
        <w:left w:val="none" w:sz="0" w:space="0" w:color="auto"/>
        <w:bottom w:val="none" w:sz="0" w:space="0" w:color="auto"/>
        <w:right w:val="none" w:sz="0" w:space="0" w:color="auto"/>
      </w:divBdr>
    </w:div>
    <w:div w:id="225998883">
      <w:bodyDiv w:val="1"/>
      <w:marLeft w:val="0"/>
      <w:marRight w:val="0"/>
      <w:marTop w:val="0"/>
      <w:marBottom w:val="0"/>
      <w:divBdr>
        <w:top w:val="none" w:sz="0" w:space="0" w:color="auto"/>
        <w:left w:val="none" w:sz="0" w:space="0" w:color="auto"/>
        <w:bottom w:val="none" w:sz="0" w:space="0" w:color="auto"/>
        <w:right w:val="none" w:sz="0" w:space="0" w:color="auto"/>
      </w:divBdr>
    </w:div>
    <w:div w:id="386608143">
      <w:bodyDiv w:val="1"/>
      <w:marLeft w:val="0"/>
      <w:marRight w:val="0"/>
      <w:marTop w:val="0"/>
      <w:marBottom w:val="0"/>
      <w:divBdr>
        <w:top w:val="none" w:sz="0" w:space="0" w:color="auto"/>
        <w:left w:val="none" w:sz="0" w:space="0" w:color="auto"/>
        <w:bottom w:val="none" w:sz="0" w:space="0" w:color="auto"/>
        <w:right w:val="none" w:sz="0" w:space="0" w:color="auto"/>
      </w:divBdr>
    </w:div>
    <w:div w:id="447162131">
      <w:bodyDiv w:val="1"/>
      <w:marLeft w:val="0"/>
      <w:marRight w:val="0"/>
      <w:marTop w:val="0"/>
      <w:marBottom w:val="0"/>
      <w:divBdr>
        <w:top w:val="none" w:sz="0" w:space="0" w:color="auto"/>
        <w:left w:val="none" w:sz="0" w:space="0" w:color="auto"/>
        <w:bottom w:val="none" w:sz="0" w:space="0" w:color="auto"/>
        <w:right w:val="none" w:sz="0" w:space="0" w:color="auto"/>
      </w:divBdr>
    </w:div>
    <w:div w:id="502746005">
      <w:bodyDiv w:val="1"/>
      <w:marLeft w:val="0"/>
      <w:marRight w:val="0"/>
      <w:marTop w:val="0"/>
      <w:marBottom w:val="0"/>
      <w:divBdr>
        <w:top w:val="none" w:sz="0" w:space="0" w:color="auto"/>
        <w:left w:val="none" w:sz="0" w:space="0" w:color="auto"/>
        <w:bottom w:val="none" w:sz="0" w:space="0" w:color="auto"/>
        <w:right w:val="none" w:sz="0" w:space="0" w:color="auto"/>
      </w:divBdr>
    </w:div>
    <w:div w:id="622078709">
      <w:bodyDiv w:val="1"/>
      <w:marLeft w:val="0"/>
      <w:marRight w:val="0"/>
      <w:marTop w:val="0"/>
      <w:marBottom w:val="0"/>
      <w:divBdr>
        <w:top w:val="none" w:sz="0" w:space="0" w:color="auto"/>
        <w:left w:val="none" w:sz="0" w:space="0" w:color="auto"/>
        <w:bottom w:val="none" w:sz="0" w:space="0" w:color="auto"/>
        <w:right w:val="none" w:sz="0" w:space="0" w:color="auto"/>
      </w:divBdr>
    </w:div>
    <w:div w:id="771895025">
      <w:bodyDiv w:val="1"/>
      <w:marLeft w:val="0"/>
      <w:marRight w:val="0"/>
      <w:marTop w:val="0"/>
      <w:marBottom w:val="0"/>
      <w:divBdr>
        <w:top w:val="none" w:sz="0" w:space="0" w:color="auto"/>
        <w:left w:val="none" w:sz="0" w:space="0" w:color="auto"/>
        <w:bottom w:val="none" w:sz="0" w:space="0" w:color="auto"/>
        <w:right w:val="none" w:sz="0" w:space="0" w:color="auto"/>
      </w:divBdr>
    </w:div>
    <w:div w:id="785270332">
      <w:bodyDiv w:val="1"/>
      <w:marLeft w:val="0"/>
      <w:marRight w:val="0"/>
      <w:marTop w:val="0"/>
      <w:marBottom w:val="0"/>
      <w:divBdr>
        <w:top w:val="none" w:sz="0" w:space="0" w:color="auto"/>
        <w:left w:val="none" w:sz="0" w:space="0" w:color="auto"/>
        <w:bottom w:val="none" w:sz="0" w:space="0" w:color="auto"/>
        <w:right w:val="none" w:sz="0" w:space="0" w:color="auto"/>
      </w:divBdr>
    </w:div>
    <w:div w:id="907349422">
      <w:bodyDiv w:val="1"/>
      <w:marLeft w:val="0"/>
      <w:marRight w:val="0"/>
      <w:marTop w:val="0"/>
      <w:marBottom w:val="0"/>
      <w:divBdr>
        <w:top w:val="none" w:sz="0" w:space="0" w:color="auto"/>
        <w:left w:val="none" w:sz="0" w:space="0" w:color="auto"/>
        <w:bottom w:val="none" w:sz="0" w:space="0" w:color="auto"/>
        <w:right w:val="none" w:sz="0" w:space="0" w:color="auto"/>
      </w:divBdr>
    </w:div>
    <w:div w:id="1039087876">
      <w:bodyDiv w:val="1"/>
      <w:marLeft w:val="0"/>
      <w:marRight w:val="0"/>
      <w:marTop w:val="0"/>
      <w:marBottom w:val="0"/>
      <w:divBdr>
        <w:top w:val="none" w:sz="0" w:space="0" w:color="auto"/>
        <w:left w:val="none" w:sz="0" w:space="0" w:color="auto"/>
        <w:bottom w:val="none" w:sz="0" w:space="0" w:color="auto"/>
        <w:right w:val="none" w:sz="0" w:space="0" w:color="auto"/>
      </w:divBdr>
    </w:div>
    <w:div w:id="1190677955">
      <w:bodyDiv w:val="1"/>
      <w:marLeft w:val="0"/>
      <w:marRight w:val="0"/>
      <w:marTop w:val="0"/>
      <w:marBottom w:val="0"/>
      <w:divBdr>
        <w:top w:val="none" w:sz="0" w:space="0" w:color="auto"/>
        <w:left w:val="none" w:sz="0" w:space="0" w:color="auto"/>
        <w:bottom w:val="none" w:sz="0" w:space="0" w:color="auto"/>
        <w:right w:val="none" w:sz="0" w:space="0" w:color="auto"/>
      </w:divBdr>
    </w:div>
    <w:div w:id="1224948894">
      <w:bodyDiv w:val="1"/>
      <w:marLeft w:val="0"/>
      <w:marRight w:val="0"/>
      <w:marTop w:val="0"/>
      <w:marBottom w:val="0"/>
      <w:divBdr>
        <w:top w:val="none" w:sz="0" w:space="0" w:color="auto"/>
        <w:left w:val="none" w:sz="0" w:space="0" w:color="auto"/>
        <w:bottom w:val="none" w:sz="0" w:space="0" w:color="auto"/>
        <w:right w:val="none" w:sz="0" w:space="0" w:color="auto"/>
      </w:divBdr>
    </w:div>
    <w:div w:id="1341278377">
      <w:bodyDiv w:val="1"/>
      <w:marLeft w:val="0"/>
      <w:marRight w:val="0"/>
      <w:marTop w:val="0"/>
      <w:marBottom w:val="0"/>
      <w:divBdr>
        <w:top w:val="none" w:sz="0" w:space="0" w:color="auto"/>
        <w:left w:val="none" w:sz="0" w:space="0" w:color="auto"/>
        <w:bottom w:val="none" w:sz="0" w:space="0" w:color="auto"/>
        <w:right w:val="none" w:sz="0" w:space="0" w:color="auto"/>
      </w:divBdr>
    </w:div>
    <w:div w:id="1350251693">
      <w:bodyDiv w:val="1"/>
      <w:marLeft w:val="0"/>
      <w:marRight w:val="0"/>
      <w:marTop w:val="0"/>
      <w:marBottom w:val="0"/>
      <w:divBdr>
        <w:top w:val="none" w:sz="0" w:space="0" w:color="auto"/>
        <w:left w:val="none" w:sz="0" w:space="0" w:color="auto"/>
        <w:bottom w:val="none" w:sz="0" w:space="0" w:color="auto"/>
        <w:right w:val="none" w:sz="0" w:space="0" w:color="auto"/>
      </w:divBdr>
    </w:div>
    <w:div w:id="1391924142">
      <w:bodyDiv w:val="1"/>
      <w:marLeft w:val="0"/>
      <w:marRight w:val="0"/>
      <w:marTop w:val="0"/>
      <w:marBottom w:val="0"/>
      <w:divBdr>
        <w:top w:val="none" w:sz="0" w:space="0" w:color="auto"/>
        <w:left w:val="none" w:sz="0" w:space="0" w:color="auto"/>
        <w:bottom w:val="none" w:sz="0" w:space="0" w:color="auto"/>
        <w:right w:val="none" w:sz="0" w:space="0" w:color="auto"/>
      </w:divBdr>
    </w:div>
    <w:div w:id="1460109215">
      <w:bodyDiv w:val="1"/>
      <w:marLeft w:val="0"/>
      <w:marRight w:val="0"/>
      <w:marTop w:val="0"/>
      <w:marBottom w:val="0"/>
      <w:divBdr>
        <w:top w:val="none" w:sz="0" w:space="0" w:color="auto"/>
        <w:left w:val="none" w:sz="0" w:space="0" w:color="auto"/>
        <w:bottom w:val="none" w:sz="0" w:space="0" w:color="auto"/>
        <w:right w:val="none" w:sz="0" w:space="0" w:color="auto"/>
      </w:divBdr>
    </w:div>
    <w:div w:id="1585189037">
      <w:bodyDiv w:val="1"/>
      <w:marLeft w:val="0"/>
      <w:marRight w:val="0"/>
      <w:marTop w:val="0"/>
      <w:marBottom w:val="0"/>
      <w:divBdr>
        <w:top w:val="none" w:sz="0" w:space="0" w:color="auto"/>
        <w:left w:val="none" w:sz="0" w:space="0" w:color="auto"/>
        <w:bottom w:val="none" w:sz="0" w:space="0" w:color="auto"/>
        <w:right w:val="none" w:sz="0" w:space="0" w:color="auto"/>
      </w:divBdr>
    </w:div>
    <w:div w:id="1646158562">
      <w:bodyDiv w:val="1"/>
      <w:marLeft w:val="0"/>
      <w:marRight w:val="0"/>
      <w:marTop w:val="0"/>
      <w:marBottom w:val="0"/>
      <w:divBdr>
        <w:top w:val="none" w:sz="0" w:space="0" w:color="auto"/>
        <w:left w:val="none" w:sz="0" w:space="0" w:color="auto"/>
        <w:bottom w:val="none" w:sz="0" w:space="0" w:color="auto"/>
        <w:right w:val="none" w:sz="0" w:space="0" w:color="auto"/>
      </w:divBdr>
    </w:div>
    <w:div w:id="1685205884">
      <w:bodyDiv w:val="1"/>
      <w:marLeft w:val="0"/>
      <w:marRight w:val="0"/>
      <w:marTop w:val="0"/>
      <w:marBottom w:val="0"/>
      <w:divBdr>
        <w:top w:val="none" w:sz="0" w:space="0" w:color="auto"/>
        <w:left w:val="none" w:sz="0" w:space="0" w:color="auto"/>
        <w:bottom w:val="none" w:sz="0" w:space="0" w:color="auto"/>
        <w:right w:val="none" w:sz="0" w:space="0" w:color="auto"/>
      </w:divBdr>
    </w:div>
    <w:div w:id="1864323304">
      <w:bodyDiv w:val="1"/>
      <w:marLeft w:val="0"/>
      <w:marRight w:val="0"/>
      <w:marTop w:val="0"/>
      <w:marBottom w:val="0"/>
      <w:divBdr>
        <w:top w:val="none" w:sz="0" w:space="0" w:color="auto"/>
        <w:left w:val="none" w:sz="0" w:space="0" w:color="auto"/>
        <w:bottom w:val="none" w:sz="0" w:space="0" w:color="auto"/>
        <w:right w:val="none" w:sz="0" w:space="0" w:color="auto"/>
      </w:divBdr>
    </w:div>
    <w:div w:id="1918857701">
      <w:bodyDiv w:val="1"/>
      <w:marLeft w:val="0"/>
      <w:marRight w:val="0"/>
      <w:marTop w:val="0"/>
      <w:marBottom w:val="0"/>
      <w:divBdr>
        <w:top w:val="none" w:sz="0" w:space="0" w:color="auto"/>
        <w:left w:val="none" w:sz="0" w:space="0" w:color="auto"/>
        <w:bottom w:val="none" w:sz="0" w:space="0" w:color="auto"/>
        <w:right w:val="none" w:sz="0" w:space="0" w:color="auto"/>
      </w:divBdr>
    </w:div>
    <w:div w:id="1935282194">
      <w:bodyDiv w:val="1"/>
      <w:marLeft w:val="0"/>
      <w:marRight w:val="0"/>
      <w:marTop w:val="0"/>
      <w:marBottom w:val="0"/>
      <w:divBdr>
        <w:top w:val="none" w:sz="0" w:space="0" w:color="auto"/>
        <w:left w:val="none" w:sz="0" w:space="0" w:color="auto"/>
        <w:bottom w:val="none" w:sz="0" w:space="0" w:color="auto"/>
        <w:right w:val="none" w:sz="0" w:space="0" w:color="auto"/>
      </w:divBdr>
    </w:div>
    <w:div w:id="1975982200">
      <w:bodyDiv w:val="1"/>
      <w:marLeft w:val="0"/>
      <w:marRight w:val="0"/>
      <w:marTop w:val="0"/>
      <w:marBottom w:val="0"/>
      <w:divBdr>
        <w:top w:val="none" w:sz="0" w:space="0" w:color="auto"/>
        <w:left w:val="none" w:sz="0" w:space="0" w:color="auto"/>
        <w:bottom w:val="none" w:sz="0" w:space="0" w:color="auto"/>
        <w:right w:val="none" w:sz="0" w:space="0" w:color="auto"/>
      </w:divBdr>
    </w:div>
    <w:div w:id="1992098854">
      <w:bodyDiv w:val="1"/>
      <w:marLeft w:val="0"/>
      <w:marRight w:val="0"/>
      <w:marTop w:val="0"/>
      <w:marBottom w:val="0"/>
      <w:divBdr>
        <w:top w:val="none" w:sz="0" w:space="0" w:color="auto"/>
        <w:left w:val="none" w:sz="0" w:space="0" w:color="auto"/>
        <w:bottom w:val="none" w:sz="0" w:space="0" w:color="auto"/>
        <w:right w:val="none" w:sz="0" w:space="0" w:color="auto"/>
      </w:divBdr>
    </w:div>
    <w:div w:id="2011323595">
      <w:bodyDiv w:val="1"/>
      <w:marLeft w:val="0"/>
      <w:marRight w:val="0"/>
      <w:marTop w:val="0"/>
      <w:marBottom w:val="0"/>
      <w:divBdr>
        <w:top w:val="none" w:sz="0" w:space="0" w:color="auto"/>
        <w:left w:val="none" w:sz="0" w:space="0" w:color="auto"/>
        <w:bottom w:val="none" w:sz="0" w:space="0" w:color="auto"/>
        <w:right w:val="none" w:sz="0" w:space="0" w:color="auto"/>
      </w:divBdr>
    </w:div>
    <w:div w:id="2043554485">
      <w:bodyDiv w:val="1"/>
      <w:marLeft w:val="0"/>
      <w:marRight w:val="0"/>
      <w:marTop w:val="0"/>
      <w:marBottom w:val="0"/>
      <w:divBdr>
        <w:top w:val="none" w:sz="0" w:space="0" w:color="auto"/>
        <w:left w:val="none" w:sz="0" w:space="0" w:color="auto"/>
        <w:bottom w:val="none" w:sz="0" w:space="0" w:color="auto"/>
        <w:right w:val="none" w:sz="0" w:space="0" w:color="auto"/>
      </w:divBdr>
    </w:div>
    <w:div w:id="207581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6092</Words>
  <Characters>33509</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Oswaldo Hernández</cp:lastModifiedBy>
  <cp:revision>3</cp:revision>
  <dcterms:created xsi:type="dcterms:W3CDTF">2022-08-03T17:20:00Z</dcterms:created>
  <dcterms:modified xsi:type="dcterms:W3CDTF">2022-08-11T13:24:00Z</dcterms:modified>
</cp:coreProperties>
</file>