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258B3BB"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C240C6">
        <w:rPr>
          <w:rFonts w:ascii="Palatino Linotype" w:hAnsi="Palatino Linotype"/>
        </w:rPr>
        <w:t>treinta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549F95E"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F64B1B">
        <w:rPr>
          <w:rFonts w:ascii="Palatino Linotype" w:hAnsi="Palatino Linotype"/>
          <w:b/>
          <w:lang w:val="es-ES_tradnl"/>
        </w:rPr>
        <w:t>1614</w:t>
      </w:r>
      <w:r w:rsidR="00C240C6">
        <w:rPr>
          <w:rFonts w:ascii="Palatino Linotype" w:hAnsi="Palatino Linotype"/>
          <w:b/>
          <w:lang w:val="es-ES_tradnl"/>
        </w:rPr>
        <w:t>2</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96FCCDA"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C240C6">
        <w:rPr>
          <w:rFonts w:ascii="Palatino Linotype" w:hAnsi="Palatino Linotype"/>
          <w:b/>
          <w:bCs/>
          <w:lang w:val="es-ES"/>
        </w:rPr>
        <w:t xml:space="preserve">cinco de octubre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C240C6" w:rsidRPr="00C240C6">
        <w:rPr>
          <w:rFonts w:ascii="Palatino Linotype" w:hAnsi="Palatino Linotype" w:cs="Arial"/>
          <w:b/>
          <w:bCs/>
        </w:rPr>
        <w:t xml:space="preserve"> </w:t>
      </w:r>
      <w:r w:rsidR="00F64B1B" w:rsidRPr="00F64B1B">
        <w:rPr>
          <w:rFonts w:ascii="Palatino Linotype" w:hAnsi="Palatino Linotype" w:cs="Arial"/>
          <w:b/>
          <w:bCs/>
        </w:rPr>
        <w:t>00951/ZINACANT/IP/2022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4A9682AA"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F64B1B" w:rsidRPr="00F64B1B">
        <w:rPr>
          <w:rFonts w:ascii="Palatino Linotype" w:hAnsi="Palatino Linotype" w:cs="Arial"/>
          <w:i/>
          <w:sz w:val="22"/>
          <w:szCs w:val="22"/>
        </w:rPr>
        <w:t>SOLICITO LAS FACTURAS DE PAGO EFECTUADAS PARA LA REMODELACIÓN DEL ZÓCALO DEL MUNICIPIO, ASÍ COMO EL PROCESO ADQUISITIVO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B1F8C54" w14:textId="77777777" w:rsidR="00F64B1B" w:rsidRDefault="00F64B1B" w:rsidP="00A606B9">
      <w:pPr>
        <w:tabs>
          <w:tab w:val="left" w:pos="851"/>
        </w:tabs>
        <w:ind w:left="851" w:right="901"/>
        <w:jc w:val="both"/>
        <w:rPr>
          <w:rFonts w:ascii="Palatino Linotype" w:hAnsi="Palatino Linotype" w:cs="Arial"/>
          <w:i/>
          <w:sz w:val="22"/>
          <w:szCs w:val="22"/>
        </w:rPr>
      </w:pPr>
    </w:p>
    <w:p w14:paraId="54571A74" w14:textId="77777777" w:rsidR="00F64B1B" w:rsidRPr="00984657" w:rsidRDefault="00F64B1B" w:rsidP="00A606B9">
      <w:pPr>
        <w:tabs>
          <w:tab w:val="left" w:pos="851"/>
        </w:tabs>
        <w:ind w:left="851" w:right="901"/>
        <w:jc w:val="both"/>
        <w:rPr>
          <w:rFonts w:ascii="Palatino Linotype" w:hAnsi="Palatino Linotype" w:cs="Arial"/>
          <w:i/>
          <w:sz w:val="22"/>
          <w:szCs w:val="22"/>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03A29D5A" w14:textId="7D289F99"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C240C6">
        <w:rPr>
          <w:rFonts w:ascii="Palatino Linotype" w:hAnsi="Palatino Linotype"/>
          <w:b/>
          <w:color w:val="000000" w:themeColor="text1"/>
        </w:rPr>
        <w:t xml:space="preserve">doce de octubre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2DD56765" w14:textId="77777777" w:rsidR="00001DC1" w:rsidRPr="00001DC1" w:rsidRDefault="00A46E00" w:rsidP="00001DC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001DC1" w:rsidRPr="00001DC1">
        <w:rPr>
          <w:rFonts w:ascii="Palatino Linotype" w:eastAsia="Palatino Linotype" w:hAnsi="Palatino Linotype" w:cs="Palatino Linotype"/>
          <w:i/>
          <w:color w:val="000000"/>
          <w:sz w:val="22"/>
          <w:szCs w:val="22"/>
          <w:lang w:eastAsia="es-MX"/>
        </w:rPr>
        <w:t>Folio de la solicitud: 00951/ZINACANT/IP/2022</w:t>
      </w:r>
    </w:p>
    <w:p w14:paraId="6EEC6A86" w14:textId="77777777" w:rsidR="00001DC1" w:rsidRPr="00001DC1" w:rsidRDefault="00001DC1" w:rsidP="00001DC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001DC1">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7EBF98E7" w14:textId="77777777" w:rsidR="00001DC1" w:rsidRPr="00001DC1" w:rsidRDefault="00001DC1" w:rsidP="00001DC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001DC1">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759CA6F" w14:textId="77777777" w:rsidR="00001DC1" w:rsidRPr="00001DC1" w:rsidRDefault="00001DC1" w:rsidP="00001DC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001DC1">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AB7C92E" w14:textId="77777777" w:rsidR="00001DC1" w:rsidRPr="00001DC1" w:rsidRDefault="00001DC1" w:rsidP="00001DC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001DC1">
        <w:rPr>
          <w:rFonts w:ascii="Palatino Linotype" w:eastAsia="Palatino Linotype" w:hAnsi="Palatino Linotype" w:cs="Palatino Linotype"/>
          <w:i/>
          <w:color w:val="000000"/>
          <w:sz w:val="22"/>
          <w:szCs w:val="22"/>
          <w:lang w:eastAsia="es-MX"/>
        </w:rPr>
        <w:t>ATENTAMENTE</w:t>
      </w:r>
    </w:p>
    <w:p w14:paraId="2F3D506D" w14:textId="27ADE725" w:rsidR="00A46E00" w:rsidRDefault="00001DC1" w:rsidP="00001DC1">
      <w:pPr>
        <w:widowControl w:val="0"/>
        <w:pBdr>
          <w:top w:val="nil"/>
          <w:left w:val="nil"/>
          <w:bottom w:val="nil"/>
          <w:right w:val="nil"/>
          <w:between w:val="nil"/>
        </w:pBdr>
        <w:ind w:left="850" w:right="901"/>
        <w:jc w:val="both"/>
        <w:rPr>
          <w:rFonts w:ascii="Palatino Linotype" w:hAnsi="Palatino Linotype"/>
          <w:b/>
          <w:sz w:val="28"/>
          <w:szCs w:val="28"/>
        </w:rPr>
      </w:pPr>
      <w:r w:rsidRPr="00001DC1">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4DB129B2" w14:textId="77777777" w:rsidR="00C240C6" w:rsidRDefault="00C240C6"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0B19066A" w:rsidR="00A46E00" w:rsidRDefault="00A46E00" w:rsidP="00A46E0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w:t>
      </w:r>
      <w:r w:rsidR="00C240C6">
        <w:rPr>
          <w:rFonts w:ascii="Palatino Linotype" w:hAnsi="Palatino Linotype" w:cs="Arial"/>
          <w:b/>
        </w:rPr>
        <w:t xml:space="preserve">doce de octubre </w:t>
      </w:r>
      <w:r w:rsidRPr="00EA3676">
        <w:rPr>
          <w:rFonts w:ascii="Palatino Linotype" w:hAnsi="Palatino Linotype" w:cs="Arial"/>
          <w:b/>
        </w:rPr>
        <w:t xml:space="preserve">de dos mil veintidós, EL RECURRENTE </w:t>
      </w:r>
      <w:r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Pr>
          <w:rFonts w:ascii="Palatino Linotype" w:hAnsi="Palatino Linotype"/>
          <w:color w:val="000000" w:themeColor="text1"/>
        </w:rPr>
        <w:t xml:space="preserve">tal y como </w:t>
      </w:r>
      <w:r w:rsidRPr="00EA3676">
        <w:rPr>
          <w:rFonts w:ascii="Palatino Linotype" w:hAnsi="Palatino Linotype"/>
          <w:color w:val="000000" w:themeColor="text1"/>
        </w:rPr>
        <w:t>se aprecia en la imagen siguiente:</w:t>
      </w:r>
    </w:p>
    <w:p w14:paraId="304B1921" w14:textId="77777777" w:rsidR="00A46E00" w:rsidRDefault="00A46E00" w:rsidP="00A46E00">
      <w:pPr>
        <w:spacing w:line="360" w:lineRule="auto"/>
        <w:jc w:val="both"/>
        <w:rPr>
          <w:rFonts w:ascii="Palatino Linotype" w:hAnsi="Palatino Linotype"/>
          <w:b/>
          <w:sz w:val="28"/>
          <w:szCs w:val="28"/>
        </w:rPr>
      </w:pPr>
    </w:p>
    <w:p w14:paraId="13E9718C" w14:textId="38B5EE58" w:rsidR="00E3583E" w:rsidRPr="00FD3D01" w:rsidRDefault="00001DC1" w:rsidP="00F67B0E">
      <w:pPr>
        <w:spacing w:line="360" w:lineRule="auto"/>
        <w:jc w:val="both"/>
        <w:rPr>
          <w:rFonts w:ascii="Palatino Linotype" w:hAnsi="Palatino Linotype"/>
          <w:b/>
          <w:sz w:val="28"/>
          <w:szCs w:val="28"/>
        </w:rPr>
      </w:pPr>
      <w:r>
        <w:rPr>
          <w:noProof/>
          <w:lang w:eastAsia="es-MX"/>
        </w:rPr>
        <w:lastRenderedPageBreak/>
        <w:drawing>
          <wp:inline distT="0" distB="0" distL="0" distR="0" wp14:anchorId="36857C96" wp14:editId="0619C2D5">
            <wp:extent cx="5791835" cy="27324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32405"/>
                    </a:xfrm>
                    <a:prstGeom prst="rect">
                      <a:avLst/>
                    </a:prstGeom>
                  </pic:spPr>
                </pic:pic>
              </a:graphicData>
            </a:graphic>
          </wp:inline>
        </w:drawing>
      </w:r>
    </w:p>
    <w:p w14:paraId="49F7D386" w14:textId="77777777" w:rsidR="00AB28AB" w:rsidRPr="00001DC1" w:rsidRDefault="00AB28AB" w:rsidP="00F67B0E">
      <w:pPr>
        <w:spacing w:line="360" w:lineRule="auto"/>
        <w:jc w:val="both"/>
        <w:rPr>
          <w:rFonts w:ascii="Palatino Linotype" w:hAnsi="Palatino Linotype"/>
          <w:b/>
        </w:rPr>
      </w:pPr>
    </w:p>
    <w:p w14:paraId="1A3DA050" w14:textId="7899B0FF" w:rsidR="00C240C6" w:rsidRPr="00980A79" w:rsidRDefault="00C240C6" w:rsidP="00C240C6">
      <w:pPr>
        <w:spacing w:line="360" w:lineRule="auto"/>
        <w:jc w:val="both"/>
        <w:rPr>
          <w:rFonts w:ascii="Palatino Linotype" w:hAnsi="Palatino Linotype"/>
          <w:b/>
          <w:sz w:val="28"/>
          <w:szCs w:val="28"/>
        </w:rPr>
      </w:pPr>
      <w:r>
        <w:rPr>
          <w:rFonts w:ascii="Palatino Linotype" w:hAnsi="Palatino Linotype"/>
          <w:b/>
          <w:sz w:val="28"/>
          <w:szCs w:val="28"/>
        </w:rPr>
        <w:t>IV</w:t>
      </w:r>
      <w:r w:rsidRPr="00980A79">
        <w:rPr>
          <w:rFonts w:ascii="Palatino Linotype" w:hAnsi="Palatino Linotype"/>
          <w:b/>
          <w:sz w:val="28"/>
          <w:szCs w:val="28"/>
        </w:rPr>
        <w:t>. Turno de requerimiento del Sujeto Obligado</w:t>
      </w:r>
    </w:p>
    <w:p w14:paraId="5A930FD7" w14:textId="71D325B3" w:rsidR="00C240C6" w:rsidRDefault="00C240C6" w:rsidP="00C240C6">
      <w:pPr>
        <w:spacing w:line="360" w:lineRule="auto"/>
        <w:jc w:val="both"/>
        <w:rPr>
          <w:rFonts w:ascii="Palatino Linotype" w:hAnsi="Palatino Linotype"/>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veinte de octubre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6ED44F50" w14:textId="77777777" w:rsidR="00C240C6" w:rsidRDefault="00C240C6" w:rsidP="005C250B">
      <w:pPr>
        <w:spacing w:line="360" w:lineRule="auto"/>
        <w:jc w:val="both"/>
        <w:rPr>
          <w:rFonts w:ascii="Palatino Linotype" w:hAnsi="Palatino Linotype"/>
          <w:b/>
          <w:sz w:val="28"/>
          <w:szCs w:val="28"/>
        </w:rPr>
      </w:pPr>
    </w:p>
    <w:p w14:paraId="3DD01EFE" w14:textId="713CED6E" w:rsidR="00C240C6" w:rsidRDefault="00001DC1" w:rsidP="005C250B">
      <w:pPr>
        <w:spacing w:line="360" w:lineRule="auto"/>
        <w:jc w:val="both"/>
        <w:rPr>
          <w:rFonts w:ascii="Palatino Linotype" w:hAnsi="Palatino Linotype"/>
          <w:b/>
          <w:sz w:val="28"/>
          <w:szCs w:val="28"/>
        </w:rPr>
      </w:pPr>
      <w:r>
        <w:rPr>
          <w:noProof/>
          <w:lang w:eastAsia="es-MX"/>
        </w:rPr>
        <w:drawing>
          <wp:inline distT="0" distB="0" distL="0" distR="0" wp14:anchorId="496D7F6F" wp14:editId="5527532E">
            <wp:extent cx="5791835" cy="4578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57835"/>
                    </a:xfrm>
                    <a:prstGeom prst="rect">
                      <a:avLst/>
                    </a:prstGeom>
                  </pic:spPr>
                </pic:pic>
              </a:graphicData>
            </a:graphic>
          </wp:inline>
        </w:drawing>
      </w:r>
    </w:p>
    <w:p w14:paraId="6CA9C65F" w14:textId="77777777" w:rsidR="001E32E0" w:rsidRDefault="001E32E0" w:rsidP="005C250B">
      <w:pPr>
        <w:spacing w:line="360" w:lineRule="auto"/>
        <w:jc w:val="both"/>
        <w:rPr>
          <w:rFonts w:ascii="Palatino Linotype" w:hAnsi="Palatino Linotype"/>
          <w:b/>
          <w:sz w:val="28"/>
          <w:szCs w:val="28"/>
        </w:rPr>
      </w:pPr>
    </w:p>
    <w:p w14:paraId="60AEF189" w14:textId="77777777" w:rsidR="00001DC1" w:rsidRDefault="00001DC1" w:rsidP="005C250B">
      <w:pPr>
        <w:spacing w:line="360" w:lineRule="auto"/>
        <w:jc w:val="both"/>
        <w:rPr>
          <w:rFonts w:ascii="Palatino Linotype" w:hAnsi="Palatino Linotype"/>
          <w:b/>
          <w:sz w:val="28"/>
          <w:szCs w:val="28"/>
        </w:rPr>
      </w:pPr>
    </w:p>
    <w:p w14:paraId="3BD6FFCC" w14:textId="77777777" w:rsidR="00001DC1" w:rsidRDefault="00001DC1" w:rsidP="005C250B">
      <w:pPr>
        <w:spacing w:line="360" w:lineRule="auto"/>
        <w:jc w:val="both"/>
        <w:rPr>
          <w:rFonts w:ascii="Palatino Linotype" w:hAnsi="Palatino Linotype"/>
          <w:b/>
          <w:sz w:val="28"/>
          <w:szCs w:val="28"/>
        </w:rPr>
      </w:pPr>
    </w:p>
    <w:p w14:paraId="6A8E91EB" w14:textId="56D394D4"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lastRenderedPageBreak/>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0E016E2C"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C240C6">
        <w:rPr>
          <w:rFonts w:ascii="Palatino Linotype" w:hAnsi="Palatino Linotype" w:cs="Arial"/>
          <w:b/>
          <w:color w:val="000000" w:themeColor="text1"/>
          <w:sz w:val="28"/>
        </w:rPr>
        <w:t>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10FEEE98"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001DC1">
        <w:rPr>
          <w:rFonts w:ascii="Palatino Linotype" w:hAnsi="Palatino Linotype" w:cs="Arial"/>
          <w:b/>
          <w:color w:val="000000" w:themeColor="text1"/>
        </w:rPr>
        <w:t>cuatro</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001DC1">
        <w:rPr>
          <w:rFonts w:ascii="Palatino Linotype" w:hAnsi="Palatino Linotype" w:cs="Arial"/>
          <w:b/>
          <w:color w:val="000000" w:themeColor="text1"/>
          <w:lang w:val="es-ES"/>
        </w:rPr>
        <w:t>1614</w:t>
      </w:r>
      <w:r w:rsidR="001E32E0">
        <w:rPr>
          <w:rFonts w:ascii="Palatino Linotype" w:hAnsi="Palatino Linotype" w:cs="Arial"/>
          <w:b/>
          <w:color w:val="000000" w:themeColor="text1"/>
          <w:lang w:val="es-ES"/>
        </w:rPr>
        <w:t>2</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r w:rsidR="001F22CE" w:rsidRPr="001E32E0">
        <w:rPr>
          <w:rFonts w:ascii="Palatino Linotype" w:hAnsi="Palatino Linotype" w:cs="Arial"/>
          <w:color w:val="000000" w:themeColor="text1"/>
          <w:lang w:val="es-419"/>
        </w:rPr>
        <w:t>cto</w:t>
      </w:r>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2A33FACA" w14:textId="77777777" w:rsidR="001E32E0" w:rsidRPr="00FF410E" w:rsidRDefault="001E32E0" w:rsidP="001E32E0">
      <w:pPr>
        <w:spacing w:line="360" w:lineRule="auto"/>
        <w:jc w:val="both"/>
        <w:rPr>
          <w:rFonts w:ascii="Palatino Linotype" w:hAnsi="Palatino Linotype" w:cs="Arial"/>
          <w:b/>
          <w:color w:val="000000" w:themeColor="text1"/>
        </w:rPr>
      </w:pPr>
    </w:p>
    <w:p w14:paraId="2C6F5F38" w14:textId="1CDDCC15"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E32E0" w:rsidRPr="001E32E0">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7DBE1F"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3583E">
        <w:rPr>
          <w:rFonts w:ascii="Palatino Linotype" w:hAnsi="Palatino Linotype" w:cs="Arial"/>
          <w:b/>
          <w:color w:val="000000" w:themeColor="text1"/>
          <w:sz w:val="28"/>
          <w:szCs w:val="28"/>
        </w:rPr>
        <w:t>I</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62310EA"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001DC1">
        <w:rPr>
          <w:rFonts w:ascii="Palatino Linotype" w:hAnsi="Palatino Linotype" w:cs="Arial"/>
          <w:b/>
          <w:color w:val="000000" w:themeColor="text1"/>
        </w:rPr>
        <w:t>cuatro</w:t>
      </w:r>
      <w:r w:rsidR="001E32E0" w:rsidRPr="001E32E0">
        <w:rPr>
          <w:rFonts w:ascii="Palatino Linotype" w:hAnsi="Palatino Linotype" w:cs="Arial"/>
          <w:b/>
          <w:color w:val="000000" w:themeColor="text1"/>
        </w:rPr>
        <w:t xml:space="preserv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B1ABBDA" w14:textId="77777777" w:rsidR="001F22CE" w:rsidRDefault="001F22CE" w:rsidP="0066637D">
      <w:pPr>
        <w:spacing w:line="360" w:lineRule="auto"/>
        <w:jc w:val="both"/>
        <w:rPr>
          <w:rFonts w:ascii="Palatino Linotype" w:hAnsi="Palatino Linotype" w:cs="Arial"/>
          <w:color w:val="000000" w:themeColor="text1"/>
        </w:rPr>
      </w:pPr>
    </w:p>
    <w:p w14:paraId="1F13E9A7" w14:textId="77777777" w:rsidR="00001DC1" w:rsidRDefault="00001DC1"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35A45955"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001DC1">
        <w:rPr>
          <w:rFonts w:ascii="Palatino Linotype" w:hAnsi="Palatino Linotype" w:cs="Arial"/>
          <w:b/>
          <w:color w:val="000000" w:themeColor="text1"/>
        </w:rPr>
        <w:t>siete</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42085C4E" w:rsidR="00CE22BE" w:rsidRDefault="00001DC1" w:rsidP="00C77536">
      <w:pPr>
        <w:spacing w:line="360" w:lineRule="auto"/>
        <w:jc w:val="center"/>
        <w:rPr>
          <w:rFonts w:ascii="Palatino Linotype" w:hAnsi="Palatino Linotype" w:cs="Arial"/>
        </w:rPr>
      </w:pPr>
      <w:r>
        <w:rPr>
          <w:noProof/>
          <w:lang w:eastAsia="es-MX"/>
        </w:rPr>
        <w:drawing>
          <wp:inline distT="0" distB="0" distL="0" distR="0" wp14:anchorId="55CA0529" wp14:editId="2E0AA63D">
            <wp:extent cx="5791835" cy="1317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1762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c</w:t>
      </w:r>
      <w:r w:rsidR="00F74A05" w:rsidRPr="00A563E0">
        <w:rPr>
          <w:rFonts w:ascii="Palatino Linotype" w:hAnsi="Palatino Linotype" w:cs="Arial"/>
          <w:b/>
          <w:bCs/>
        </w:rPr>
        <w:t>) Cierre de Instrucción</w:t>
      </w:r>
    </w:p>
    <w:p w14:paraId="1A9B19D0" w14:textId="0E27C189"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001DC1">
        <w:rPr>
          <w:rFonts w:ascii="Palatino Linotype" w:hAnsi="Palatino Linotype"/>
          <w:b/>
          <w:bCs/>
          <w:color w:val="000000" w:themeColor="text1"/>
        </w:rPr>
        <w:t>diecisiete</w:t>
      </w:r>
      <w:r w:rsidR="003D4B4E">
        <w:rPr>
          <w:rFonts w:ascii="Palatino Linotype" w:hAnsi="Palatino Linotype"/>
          <w:b/>
          <w:bCs/>
          <w:color w:val="000000" w:themeColor="text1"/>
        </w:rPr>
        <w:t xml:space="preserve"> de </w:t>
      </w:r>
      <w:r w:rsidR="001E32E0">
        <w:rPr>
          <w:rFonts w:ascii="Palatino Linotype" w:hAnsi="Palatino Linotype"/>
          <w:b/>
          <w:bCs/>
          <w:color w:val="000000" w:themeColor="text1"/>
        </w:rPr>
        <w:t>noviembre</w:t>
      </w:r>
      <w:r w:rsidR="003D4B4E">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Default="009260D0" w:rsidP="0066637D">
      <w:pPr>
        <w:spacing w:line="360" w:lineRule="auto"/>
        <w:ind w:right="50"/>
        <w:jc w:val="both"/>
        <w:rPr>
          <w:rFonts w:ascii="Palatino Linotype" w:hAnsi="Palatino Linotype" w:cs="Arial"/>
          <w:color w:val="000000" w:themeColor="text1"/>
        </w:rPr>
      </w:pPr>
    </w:p>
    <w:p w14:paraId="26385AB8" w14:textId="77777777" w:rsidR="00001DC1" w:rsidRDefault="00001DC1" w:rsidP="0066637D">
      <w:pPr>
        <w:spacing w:line="360" w:lineRule="auto"/>
        <w:ind w:right="50"/>
        <w:jc w:val="both"/>
        <w:rPr>
          <w:rFonts w:ascii="Palatino Linotype" w:hAnsi="Palatino Linotype" w:cs="Arial"/>
          <w:color w:val="000000" w:themeColor="text1"/>
        </w:rPr>
      </w:pPr>
    </w:p>
    <w:p w14:paraId="5AFD164A" w14:textId="77777777" w:rsidR="00001DC1" w:rsidRPr="00984657" w:rsidRDefault="00001DC1"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lastRenderedPageBreak/>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w:t>
      </w:r>
      <w:r>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lastRenderedPageBreak/>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4CFFBB"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w:t>
      </w:r>
      <w:r w:rsidRPr="005C250B">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Default="00A24688" w:rsidP="005C250B">
      <w:pPr>
        <w:jc w:val="both"/>
        <w:rPr>
          <w:rFonts w:ascii="Palatino Linotype" w:hAnsi="Palatino Linotype" w:cs="Arial"/>
          <w:color w:val="000000" w:themeColor="text1"/>
          <w:sz w:val="22"/>
          <w:szCs w:val="22"/>
          <w:lang w:val="es-ES"/>
        </w:rPr>
      </w:pPr>
    </w:p>
    <w:p w14:paraId="11F5D11C" w14:textId="77777777" w:rsidR="001E32E0" w:rsidRPr="005C250B" w:rsidRDefault="001E32E0"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lastRenderedPageBreak/>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w:t>
      </w:r>
      <w:r>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6D523304" w14:textId="77777777" w:rsidR="001E32E0" w:rsidRDefault="001E32E0"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E32E0"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6FB8386" w14:textId="77777777" w:rsidR="00001DC1" w:rsidRDefault="00001DC1"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w:t>
      </w:r>
      <w:r>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w:t>
      </w:r>
      <w:r>
        <w:rPr>
          <w:rFonts w:ascii="Palatino Linotype" w:eastAsia="Calibri" w:hAnsi="Palatino Linotype"/>
          <w:szCs w:val="22"/>
          <w:lang w:eastAsia="en-US"/>
        </w:rPr>
        <w:lastRenderedPageBreak/>
        <w:t xml:space="preserve">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9F1764E" w14:textId="77777777" w:rsidR="00001DC1" w:rsidRDefault="00001DC1"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w:t>
      </w:r>
      <w:r>
        <w:rPr>
          <w:rFonts w:ascii="Palatino Linotype" w:hAnsi="Palatino Linotype" w:cs="Arial"/>
        </w:rPr>
        <w:lastRenderedPageBreak/>
        <w:t>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548B3D" w14:textId="77777777" w:rsidR="00001DC1" w:rsidRDefault="00001DC1"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B2592B2" w14:textId="77777777" w:rsidR="001E32E0" w:rsidRDefault="001E32E0"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B799F91" w14:textId="77777777" w:rsidR="001E32E0" w:rsidRDefault="001E32E0"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43502630" w14:textId="77777777" w:rsidR="00001DC1" w:rsidRDefault="00001DC1"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74D5CB1D" w14:textId="77777777" w:rsidR="00001DC1" w:rsidRDefault="00001DC1"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96E9B7F" w14:textId="77777777" w:rsidR="00001DC1" w:rsidRDefault="00001DC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81F73E7" w14:textId="0822635D"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001DC1">
        <w:rPr>
          <w:rFonts w:ascii="Palatino Linotype" w:hAnsi="Palatino Linotype"/>
          <w:b/>
        </w:rPr>
        <w:lastRenderedPageBreak/>
        <w:t>1614</w:t>
      </w:r>
      <w:r w:rsidR="001E32E0">
        <w:rPr>
          <w:rFonts w:ascii="Palatino Linotype" w:hAnsi="Palatino Linotype"/>
          <w:b/>
        </w:rPr>
        <w:t>2</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30C981D9" w14:textId="77777777" w:rsidR="00394F5C" w:rsidRDefault="00394F5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3D8739A6" w14:textId="77777777" w:rsidR="00394F5C" w:rsidRDefault="00394F5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C057ECF"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774F9C87"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4434EAE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D250739"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5092E4F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2E6751C4"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786EC5E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7A6329">
        <w:rPr>
          <w:rFonts w:ascii="Palatino Linotype" w:hAnsi="Palatino Linotype" w:cs="Arial"/>
          <w:color w:val="000000" w:themeColor="text1"/>
        </w:rPr>
        <w:t xml:space="preserve"> TERCERA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7A6329">
        <w:rPr>
          <w:rFonts w:ascii="Palatino Linotype" w:hAnsi="Palatino Linotype" w:cs="Arial"/>
          <w:color w:val="000000" w:themeColor="text1"/>
        </w:rPr>
        <w:t>TREINTA</w:t>
      </w:r>
      <w:r w:rsidR="00030890">
        <w:rPr>
          <w:rFonts w:ascii="Palatino Linotype" w:hAnsi="Palatino Linotype" w:cs="Arial"/>
          <w:color w:val="000000" w:themeColor="text1"/>
        </w:rPr>
        <w:t xml:space="preserve"> DE NOVIEMBRE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D6B59" w14:textId="77777777" w:rsidR="000B4CC6" w:rsidRDefault="000B4CC6" w:rsidP="00C80F8C">
      <w:r>
        <w:separator/>
      </w:r>
    </w:p>
  </w:endnote>
  <w:endnote w:type="continuationSeparator" w:id="0">
    <w:p w14:paraId="547A36C7" w14:textId="77777777" w:rsidR="000B4CC6" w:rsidRDefault="000B4C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4693">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469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46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469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4D81E" w14:textId="77777777" w:rsidR="000B4CC6" w:rsidRDefault="000B4CC6" w:rsidP="00C80F8C">
      <w:r>
        <w:separator/>
      </w:r>
    </w:p>
  </w:footnote>
  <w:footnote w:type="continuationSeparator" w:id="0">
    <w:p w14:paraId="5F7BBA7B" w14:textId="77777777" w:rsidR="000B4CC6" w:rsidRDefault="000B4CC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8469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8469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19783A2" w:rsidR="00F74502" w:rsidRPr="00664658" w:rsidRDefault="00F64B1B" w:rsidP="002C6D7E">
          <w:pPr>
            <w:jc w:val="both"/>
            <w:rPr>
              <w:rFonts w:ascii="Palatino Linotype" w:hAnsi="Palatino Linotype"/>
              <w:b/>
              <w:sz w:val="22"/>
              <w:szCs w:val="22"/>
              <w:lang w:val="es-ES_tradnl"/>
            </w:rPr>
          </w:pPr>
          <w:r>
            <w:rPr>
              <w:rFonts w:ascii="Palatino Linotype" w:hAnsi="Palatino Linotype"/>
              <w:b/>
              <w:sz w:val="22"/>
              <w:szCs w:val="22"/>
              <w:lang w:val="es-ES_tradnl"/>
            </w:rPr>
            <w:t>1614</w:t>
          </w:r>
          <w:r w:rsidR="00C240C6">
            <w:rPr>
              <w:rFonts w:ascii="Palatino Linotype" w:hAnsi="Palatino Linotype"/>
              <w:b/>
              <w:sz w:val="22"/>
              <w:szCs w:val="22"/>
              <w:lang w:val="es-ES_tradnl"/>
            </w:rPr>
            <w:t>2</w:t>
          </w:r>
          <w:r w:rsidR="007F4976" w:rsidRPr="007F4976">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8469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99B89BC" w:rsidR="00F74502" w:rsidRPr="008F2CCC" w:rsidRDefault="00F64B1B" w:rsidP="00F64B1B">
          <w:pPr>
            <w:jc w:val="both"/>
            <w:rPr>
              <w:rFonts w:ascii="Palatino Linotype" w:hAnsi="Palatino Linotype"/>
              <w:b/>
              <w:sz w:val="22"/>
              <w:szCs w:val="22"/>
              <w:lang w:val="es-ES_tradnl"/>
            </w:rPr>
          </w:pPr>
          <w:r>
            <w:rPr>
              <w:rFonts w:ascii="Palatino Linotype" w:hAnsi="Palatino Linotype"/>
              <w:b/>
              <w:sz w:val="22"/>
              <w:szCs w:val="22"/>
              <w:lang w:val="es-ES_tradnl"/>
            </w:rPr>
            <w:t>16142</w:t>
          </w:r>
          <w:r w:rsidR="007F4976" w:rsidRPr="007F497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CC6"/>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1D0"/>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693"/>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2ED1"/>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73E"/>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B44C-A65A-4037-9E6A-FC1C36F6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8766</Words>
  <Characters>48219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2022-12-02T15:28:00Z</cp:lastPrinted>
  <dcterms:created xsi:type="dcterms:W3CDTF">2022-11-24T18:40:00Z</dcterms:created>
  <dcterms:modified xsi:type="dcterms:W3CDTF">2022-12-02T15:28:00Z</dcterms:modified>
</cp:coreProperties>
</file>