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3269B" w:rsidR="00B03EDE" w:rsidP="00275B5D" w:rsidRDefault="00B03EDE" w14:paraId="2F1F87E7" w14:textId="054CD52B">
      <w:pPr>
        <w:spacing w:line="360" w:lineRule="auto"/>
        <w:contextualSpacing/>
        <w:jc w:val="both"/>
        <w:rPr>
          <w:rFonts w:ascii="Palatino Linotype" w:hAnsi="Palatino Linotype"/>
          <w:noProof/>
          <w:sz w:val="22"/>
          <w:szCs w:val="22"/>
          <w:lang w:val="es-ES"/>
        </w:rPr>
      </w:pPr>
      <w:r w:rsidRPr="00E3269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E3269B" w:rsidR="000D520E">
        <w:rPr>
          <w:rFonts w:ascii="Palatino Linotype" w:hAnsi="Palatino Linotype" w:cs="Tahoma"/>
          <w:bCs/>
          <w:sz w:val="22"/>
          <w:szCs w:val="22"/>
        </w:rPr>
        <w:t>once de mayo</w:t>
      </w:r>
      <w:r w:rsidRPr="00E3269B" w:rsidR="0066424F">
        <w:rPr>
          <w:rFonts w:ascii="Palatino Linotype" w:hAnsi="Palatino Linotype" w:cs="Tahoma"/>
          <w:bCs/>
          <w:sz w:val="22"/>
          <w:szCs w:val="22"/>
        </w:rPr>
        <w:t xml:space="preserve"> </w:t>
      </w:r>
      <w:r w:rsidRPr="00E3269B">
        <w:rPr>
          <w:rFonts w:ascii="Palatino Linotype" w:hAnsi="Palatino Linotype" w:cs="Tahoma"/>
          <w:bCs/>
          <w:sz w:val="22"/>
          <w:szCs w:val="22"/>
        </w:rPr>
        <w:t>de dos mil veinti</w:t>
      </w:r>
      <w:r w:rsidRPr="00E3269B" w:rsidR="00E0050F">
        <w:rPr>
          <w:rFonts w:ascii="Palatino Linotype" w:hAnsi="Palatino Linotype" w:cs="Tahoma"/>
          <w:bCs/>
          <w:sz w:val="22"/>
          <w:szCs w:val="22"/>
        </w:rPr>
        <w:t>dós</w:t>
      </w:r>
      <w:r w:rsidRPr="00E3269B">
        <w:rPr>
          <w:rFonts w:ascii="Palatino Linotype" w:hAnsi="Palatino Linotype" w:cs="Tahoma"/>
          <w:bCs/>
          <w:sz w:val="22"/>
          <w:szCs w:val="22"/>
        </w:rPr>
        <w:t>.</w:t>
      </w:r>
    </w:p>
    <w:p w:rsidRPr="00E3269B" w:rsidR="00B03EDE" w:rsidP="00275B5D" w:rsidRDefault="00B03EDE" w14:paraId="67AD71AC" w14:textId="77777777">
      <w:pPr>
        <w:spacing w:line="360" w:lineRule="auto"/>
        <w:contextualSpacing/>
        <w:jc w:val="both"/>
        <w:rPr>
          <w:rFonts w:ascii="Palatino Linotype" w:hAnsi="Palatino Linotype"/>
          <w:noProof/>
          <w:sz w:val="22"/>
          <w:szCs w:val="22"/>
          <w:lang w:val="es-ES"/>
        </w:rPr>
      </w:pPr>
    </w:p>
    <w:p w:rsidRPr="00E3269B" w:rsidR="00B03EDE" w:rsidP="00275B5D" w:rsidRDefault="00B03EDE" w14:paraId="03EEBBA4" w14:textId="1FF49FD0">
      <w:pPr>
        <w:spacing w:line="360" w:lineRule="auto"/>
        <w:contextualSpacing/>
        <w:jc w:val="both"/>
        <w:rPr>
          <w:rFonts w:ascii="Palatino Linotype" w:hAnsi="Palatino Linotype" w:eastAsia="Calibri" w:cs="Tahoma"/>
          <w:sz w:val="22"/>
          <w:szCs w:val="22"/>
          <w:lang w:val="es-ES" w:eastAsia="en-US"/>
        </w:rPr>
      </w:pPr>
      <w:r w:rsidRPr="0EEAB144" w:rsidR="0EEAB144">
        <w:rPr>
          <w:rFonts w:ascii="Palatino Linotype" w:hAnsi="Palatino Linotype" w:cs="Tahoma"/>
          <w:b w:val="1"/>
          <w:bCs w:val="1"/>
          <w:color w:val="0D0D0D" w:themeColor="text1" w:themeTint="F2" w:themeShade="FF"/>
          <w:sz w:val="22"/>
          <w:szCs w:val="22"/>
        </w:rPr>
        <w:t>VISTO</w:t>
      </w:r>
      <w:r w:rsidRPr="0EEAB144" w:rsidR="0EEAB144">
        <w:rPr>
          <w:rFonts w:ascii="Palatino Linotype" w:hAnsi="Palatino Linotype" w:cs="Tahoma"/>
          <w:color w:val="0D0D0D" w:themeColor="text1" w:themeTint="F2" w:themeShade="FF"/>
          <w:sz w:val="22"/>
          <w:szCs w:val="22"/>
        </w:rPr>
        <w:t xml:space="preserve"> el expediente conformado con motivo del Recurso de Revisión </w:t>
      </w:r>
      <w:r w:rsidRPr="0EEAB144" w:rsidR="0EEAB144">
        <w:rPr>
          <w:rFonts w:ascii="Palatino Linotype" w:hAnsi="Palatino Linotype" w:eastAsia="Calibri" w:cs="Tahoma"/>
          <w:sz w:val="22"/>
          <w:szCs w:val="22"/>
          <w:lang w:eastAsia="en-US"/>
        </w:rPr>
        <w:t xml:space="preserve">01566/INFOEM/IP/RR/2022, </w:t>
      </w:r>
      <w:r w:rsidRPr="0EEAB144" w:rsidR="0EEAB144">
        <w:rPr>
          <w:rFonts w:ascii="Palatino Linotype" w:hAnsi="Palatino Linotype" w:cs="Tahoma"/>
          <w:color w:val="0D0D0D" w:themeColor="text1" w:themeTint="F2" w:themeShade="FF"/>
          <w:sz w:val="22"/>
          <w:szCs w:val="22"/>
        </w:rPr>
        <w:t xml:space="preserve">interpuesto por </w:t>
      </w:r>
      <w:r w:rsidRPr="0EEAB144" w:rsidR="0EEAB144">
        <w:rPr>
          <w:rFonts w:ascii="Palatino Linotype" w:hAnsi="Palatino Linotype" w:cs="Tahoma"/>
          <w:color w:val="0D0D0D" w:themeColor="text1" w:themeTint="F2" w:themeShade="FF"/>
          <w:sz w:val="22"/>
          <w:szCs w:val="22"/>
          <w:highlight w:val="black"/>
        </w:rPr>
        <w:t>XXXXXXXXXXXXXXXXXXXX</w:t>
      </w:r>
      <w:r w:rsidRPr="0EEAB144" w:rsidR="0EEAB144">
        <w:rPr>
          <w:rFonts w:ascii="Palatino Linotype" w:hAnsi="Palatino Linotype" w:cs="Tahoma"/>
          <w:color w:val="0D0D0D" w:themeColor="text1" w:themeTint="F2" w:themeShade="FF"/>
          <w:sz w:val="22"/>
          <w:szCs w:val="22"/>
        </w:rPr>
        <w:t xml:space="preserve">, </w:t>
      </w:r>
      <w:r w:rsidRPr="0EEAB144" w:rsidR="0EEAB144">
        <w:rPr>
          <w:rFonts w:ascii="Palatino Linotype" w:hAnsi="Palatino Linotype" w:eastAsia="Calibri" w:cs="Tahoma"/>
          <w:sz w:val="22"/>
          <w:szCs w:val="22"/>
          <w:lang w:val="es-ES" w:eastAsia="en-US"/>
        </w:rPr>
        <w:t xml:space="preserve">en contra de la respuesta del Sujeto Obligado, </w:t>
      </w:r>
      <w:r w:rsidRPr="0EEAB144" w:rsidR="0EEAB144">
        <w:rPr>
          <w:rFonts w:ascii="Palatino Linotype" w:hAnsi="Palatino Linotype" w:eastAsia="Calibri" w:cs="Tahoma"/>
          <w:sz w:val="22"/>
          <w:szCs w:val="22"/>
          <w:lang w:eastAsia="en-US"/>
        </w:rPr>
        <w:t>Instituto de Seguridad Social del Estado de México y Municipios</w:t>
      </w:r>
      <w:r w:rsidRPr="0EEAB144" w:rsidR="0EEAB144">
        <w:rPr>
          <w:rFonts w:ascii="Palatino Linotype" w:hAnsi="Palatino Linotype" w:eastAsia="Calibri" w:cs="Tahoma"/>
          <w:sz w:val="22"/>
          <w:szCs w:val="22"/>
          <w:lang w:val="es-ES" w:eastAsia="en-US"/>
        </w:rPr>
        <w:t xml:space="preserve">, a la solicitud de acceso a la información </w:t>
      </w:r>
      <w:r w:rsidRPr="0EEAB144" w:rsidR="0EEAB144">
        <w:rPr>
          <w:rFonts w:ascii="Palatino Linotype" w:hAnsi="Palatino Linotype" w:eastAsia="Calibri" w:cs="Tahoma"/>
          <w:sz w:val="22"/>
          <w:szCs w:val="22"/>
          <w:lang w:eastAsia="en-US"/>
        </w:rPr>
        <w:t>00101/ISSEMYM/IP/2022</w:t>
      </w:r>
      <w:r w:rsidRPr="0EEAB144" w:rsidR="0EEAB144">
        <w:rPr>
          <w:rFonts w:ascii="Palatino Linotype" w:hAnsi="Palatino Linotype" w:eastAsia="Calibri" w:cs="Tahoma"/>
          <w:sz w:val="22"/>
          <w:szCs w:val="22"/>
          <w:lang w:val="es-ES" w:eastAsia="en-US"/>
        </w:rPr>
        <w:t>, se emite la presente Resolución, con base en los Antecedentes y Consideraciones que a continuación se exponen:</w:t>
      </w:r>
    </w:p>
    <w:p w:rsidRPr="00E3269B" w:rsidR="00B03EDE" w:rsidP="00275B5D" w:rsidRDefault="00B03EDE" w14:paraId="78A1221F" w14:textId="77777777">
      <w:pPr>
        <w:tabs>
          <w:tab w:val="left" w:pos="2835"/>
        </w:tabs>
        <w:spacing w:line="360" w:lineRule="auto"/>
        <w:ind w:right="-93"/>
        <w:contextualSpacing/>
        <w:jc w:val="both"/>
        <w:rPr>
          <w:rFonts w:ascii="Palatino Linotype" w:hAnsi="Palatino Linotype" w:eastAsia="Calibri" w:cs="Tahoma"/>
          <w:b/>
          <w:bCs/>
          <w:sz w:val="22"/>
          <w:szCs w:val="22"/>
          <w:lang w:eastAsia="en-US"/>
        </w:rPr>
      </w:pPr>
    </w:p>
    <w:p w:rsidRPr="00E3269B" w:rsidR="00B03EDE" w:rsidP="00275B5D" w:rsidRDefault="00B03EDE" w14:paraId="58A6EB28" w14:textId="77777777">
      <w:pPr>
        <w:spacing w:line="360" w:lineRule="auto"/>
        <w:ind w:right="-93"/>
        <w:contextualSpacing/>
        <w:jc w:val="center"/>
        <w:rPr>
          <w:rFonts w:ascii="Palatino Linotype" w:hAnsi="Palatino Linotype" w:eastAsia="Calibri" w:cs="Tahoma"/>
          <w:b/>
          <w:bCs/>
          <w:sz w:val="22"/>
          <w:szCs w:val="22"/>
          <w:lang w:eastAsia="en-US"/>
        </w:rPr>
      </w:pPr>
      <w:r w:rsidRPr="00E3269B">
        <w:rPr>
          <w:rFonts w:ascii="Palatino Linotype" w:hAnsi="Palatino Linotype" w:eastAsia="Calibri" w:cs="Tahoma"/>
          <w:b/>
          <w:bCs/>
          <w:sz w:val="22"/>
          <w:szCs w:val="22"/>
          <w:lang w:eastAsia="en-US"/>
        </w:rPr>
        <w:t>A N T E C E D E N T E S:</w:t>
      </w:r>
    </w:p>
    <w:p w:rsidRPr="00E3269B" w:rsidR="00B03EDE" w:rsidP="00275B5D" w:rsidRDefault="00B03EDE" w14:paraId="16984CF4" w14:textId="77777777">
      <w:pPr>
        <w:spacing w:line="360" w:lineRule="auto"/>
        <w:ind w:right="-93"/>
        <w:contextualSpacing/>
        <w:jc w:val="both"/>
        <w:rPr>
          <w:rFonts w:ascii="Palatino Linotype" w:hAnsi="Palatino Linotype" w:eastAsia="Calibri" w:cs="Tahoma"/>
          <w:bCs/>
          <w:sz w:val="22"/>
          <w:szCs w:val="22"/>
          <w:lang w:eastAsia="en-US"/>
        </w:rPr>
      </w:pPr>
    </w:p>
    <w:p w:rsidRPr="00E3269B" w:rsidR="00B03EDE" w:rsidP="00275B5D" w:rsidRDefault="00B03EDE" w14:paraId="6BCCE3EF" w14:textId="7F56FAA6">
      <w:pPr>
        <w:spacing w:line="360" w:lineRule="auto"/>
        <w:contextualSpacing/>
        <w:jc w:val="both"/>
        <w:rPr>
          <w:rFonts w:ascii="Palatino Linotype" w:hAnsi="Palatino Linotype" w:eastAsia="Calibri" w:cs="Tahoma"/>
          <w:b/>
          <w:bCs/>
          <w:sz w:val="22"/>
          <w:szCs w:val="22"/>
          <w:lang w:eastAsia="en-US"/>
        </w:rPr>
      </w:pPr>
      <w:r w:rsidRPr="00E3269B">
        <w:rPr>
          <w:rFonts w:ascii="Palatino Linotype" w:hAnsi="Palatino Linotype" w:eastAsia="Calibri" w:cs="Tahoma"/>
          <w:b/>
          <w:bCs/>
          <w:sz w:val="22"/>
          <w:szCs w:val="22"/>
          <w:lang w:eastAsia="en-US"/>
        </w:rPr>
        <w:t>I. Presentación de la solicitud de información.</w:t>
      </w:r>
      <w:r w:rsidRPr="00E3269B" w:rsidR="00046E37">
        <w:rPr>
          <w:rFonts w:ascii="Palatino Linotype" w:hAnsi="Palatino Linotype" w:eastAsia="Calibri" w:cs="Tahoma"/>
          <w:b/>
          <w:bCs/>
          <w:sz w:val="22"/>
          <w:szCs w:val="22"/>
          <w:lang w:eastAsia="en-US"/>
        </w:rPr>
        <w:t xml:space="preserve"> </w:t>
      </w:r>
    </w:p>
    <w:p w:rsidRPr="00E3269B" w:rsidR="00B03EDE" w:rsidP="00275B5D" w:rsidRDefault="00B03EDE" w14:paraId="2E5149FA" w14:textId="77777777">
      <w:pPr>
        <w:autoSpaceDE w:val="0"/>
        <w:autoSpaceDN w:val="0"/>
        <w:adjustRightInd w:val="0"/>
        <w:spacing w:line="360" w:lineRule="auto"/>
        <w:jc w:val="both"/>
        <w:rPr>
          <w:rFonts w:ascii="Palatino Linotype" w:hAnsi="Palatino Linotype" w:cs="Tahoma"/>
          <w:sz w:val="22"/>
          <w:szCs w:val="22"/>
        </w:rPr>
      </w:pPr>
    </w:p>
    <w:p w:rsidRPr="00E3269B" w:rsidR="008932D9" w:rsidP="00275B5D" w:rsidRDefault="008932D9" w14:paraId="5F947485" w14:textId="11F982DB">
      <w:pPr>
        <w:autoSpaceDE w:val="0"/>
        <w:autoSpaceDN w:val="0"/>
        <w:adjustRightInd w:val="0"/>
        <w:spacing w:line="360" w:lineRule="auto"/>
        <w:jc w:val="both"/>
        <w:rPr>
          <w:rFonts w:ascii="Palatino Linotype" w:hAnsi="Palatino Linotype" w:cs="Tahoma" w:eastAsiaTheme="minorHAnsi"/>
          <w:bCs/>
          <w:color w:val="000000" w:themeColor="text1"/>
          <w:sz w:val="22"/>
          <w:szCs w:val="22"/>
          <w:lang w:eastAsia="en-US"/>
        </w:rPr>
      </w:pPr>
      <w:r w:rsidRPr="00E3269B">
        <w:rPr>
          <w:rFonts w:ascii="Palatino Linotype" w:hAnsi="Palatino Linotype" w:cs="Tahoma" w:eastAsiaTheme="minorHAnsi"/>
          <w:color w:val="000000" w:themeColor="text1"/>
          <w:sz w:val="22"/>
          <w:szCs w:val="22"/>
          <w:lang w:eastAsia="en-US"/>
        </w:rPr>
        <w:t xml:space="preserve">Con fecha </w:t>
      </w:r>
      <w:r w:rsidRPr="00E3269B" w:rsidR="000D520E">
        <w:rPr>
          <w:rFonts w:ascii="Palatino Linotype" w:hAnsi="Palatino Linotype" w:cs="Tahoma" w:eastAsiaTheme="minorHAnsi"/>
          <w:color w:val="000000" w:themeColor="text1"/>
          <w:sz w:val="22"/>
          <w:szCs w:val="22"/>
          <w:lang w:eastAsia="en-US"/>
        </w:rPr>
        <w:t xml:space="preserve">dos de febrero </w:t>
      </w:r>
      <w:r w:rsidRPr="00E3269B">
        <w:rPr>
          <w:rFonts w:ascii="Palatino Linotype" w:hAnsi="Palatino Linotype" w:cs="Tahoma" w:eastAsiaTheme="minorHAnsi"/>
          <w:color w:val="000000" w:themeColor="text1"/>
          <w:sz w:val="22"/>
          <w:szCs w:val="22"/>
          <w:lang w:eastAsia="en-US"/>
        </w:rPr>
        <w:t xml:space="preserve"> de dos mil veinti</w:t>
      </w:r>
      <w:r w:rsidRPr="00E3269B" w:rsidR="009516F9">
        <w:rPr>
          <w:rFonts w:ascii="Palatino Linotype" w:hAnsi="Palatino Linotype" w:cs="Tahoma" w:eastAsiaTheme="minorHAnsi"/>
          <w:color w:val="000000" w:themeColor="text1"/>
          <w:sz w:val="22"/>
          <w:szCs w:val="22"/>
          <w:lang w:eastAsia="en-US"/>
        </w:rPr>
        <w:t>dós</w:t>
      </w:r>
      <w:r w:rsidRPr="00E3269B">
        <w:rPr>
          <w:rFonts w:ascii="Palatino Linotype" w:hAnsi="Palatino Linotype" w:cs="Tahoma" w:eastAsiaTheme="minorHAnsi"/>
          <w:color w:val="000000" w:themeColor="text1"/>
          <w:sz w:val="22"/>
          <w:szCs w:val="22"/>
          <w:lang w:eastAsia="en-US"/>
        </w:rPr>
        <w:t xml:space="preserve">, el Particular presentó una solicitud de acceso a la información pública, a través del Sistema de Acceso a la Información Mexiquense (SAIMEX), ante el </w:t>
      </w:r>
      <w:r w:rsidRPr="00E3269B" w:rsidR="000D520E">
        <w:rPr>
          <w:rFonts w:ascii="Palatino Linotype" w:hAnsi="Palatino Linotype" w:cs="Tahoma" w:eastAsiaTheme="minorHAnsi"/>
          <w:color w:val="000000" w:themeColor="text1"/>
          <w:sz w:val="22"/>
          <w:szCs w:val="22"/>
          <w:lang w:eastAsia="en-US"/>
        </w:rPr>
        <w:t>Instituto de Seguridad Social del Estado de México y Municipios</w:t>
      </w:r>
      <w:r w:rsidRPr="00E3269B">
        <w:rPr>
          <w:rFonts w:ascii="Palatino Linotype" w:hAnsi="Palatino Linotype" w:cs="Tahoma" w:eastAsiaTheme="minorHAnsi"/>
          <w:bCs/>
          <w:color w:val="000000" w:themeColor="text1"/>
          <w:sz w:val="22"/>
          <w:szCs w:val="22"/>
          <w:lang w:eastAsia="en-US"/>
        </w:rPr>
        <w:t>, en los siguientes términos:</w:t>
      </w:r>
    </w:p>
    <w:p w:rsidRPr="00E3269B" w:rsidR="00B03EDE" w:rsidP="00275B5D" w:rsidRDefault="00B03EDE" w14:paraId="4935E666" w14:textId="77777777">
      <w:pPr>
        <w:spacing w:line="360" w:lineRule="auto"/>
        <w:ind w:right="567"/>
        <w:contextualSpacing/>
        <w:jc w:val="both"/>
        <w:rPr>
          <w:rFonts w:ascii="Palatino Linotype" w:hAnsi="Palatino Linotype" w:cs="Tahoma"/>
          <w:b/>
          <w:i/>
          <w:iCs/>
          <w:sz w:val="22"/>
          <w:szCs w:val="22"/>
        </w:rPr>
      </w:pPr>
    </w:p>
    <w:p w:rsidRPr="00E3269B" w:rsidR="00B03EDE" w:rsidP="00275B5D" w:rsidRDefault="00B03EDE" w14:paraId="33D4AAE7" w14:textId="77777777">
      <w:pPr>
        <w:spacing w:line="360" w:lineRule="auto"/>
        <w:ind w:left="567" w:right="567"/>
        <w:contextualSpacing/>
        <w:jc w:val="both"/>
        <w:rPr>
          <w:rFonts w:ascii="Palatino Linotype" w:hAnsi="Palatino Linotype" w:cs="Tahoma"/>
          <w:b/>
          <w:i/>
          <w:iCs/>
        </w:rPr>
      </w:pPr>
      <w:r w:rsidRPr="00E3269B">
        <w:rPr>
          <w:rFonts w:ascii="Palatino Linotype" w:hAnsi="Palatino Linotype" w:cs="Tahoma"/>
          <w:b/>
          <w:i/>
          <w:iCs/>
        </w:rPr>
        <w:t>“DESCRIPCIÓN CLARA Y PRECISA DE LA INFORMACIÓN SOLICITADA</w:t>
      </w:r>
    </w:p>
    <w:p w:rsidRPr="00E3269B" w:rsidR="00B03EDE" w:rsidP="00275B5D" w:rsidRDefault="000D520E" w14:paraId="00AD1D37" w14:textId="2D5592D5">
      <w:pPr>
        <w:spacing w:line="360" w:lineRule="auto"/>
        <w:ind w:left="567" w:right="567"/>
        <w:contextualSpacing/>
        <w:jc w:val="both"/>
        <w:rPr>
          <w:rFonts w:ascii="Palatino Linotype" w:hAnsi="Palatino Linotype"/>
          <w:bCs/>
          <w:i/>
          <w:iCs/>
          <w:color w:val="000000"/>
        </w:rPr>
      </w:pPr>
      <w:r w:rsidRPr="00E3269B">
        <w:rPr>
          <w:rFonts w:ascii="Palatino Linotype" w:hAnsi="Palatino Linotype"/>
          <w:bCs/>
          <w:i/>
          <w:iCs/>
          <w:color w:val="000000"/>
        </w:rPr>
        <w:t xml:space="preserve">Necesito la información consistente en 1.-el nombre de los médicos especialistas en otorrinolaringología que laboran en el Hospital Regional de Toluca, 2.- durante el inicio de la contingencia ocasionada por el SARS-CoV-2 en el año dos mil veinte, a la fecha; cuantas consultas de la especialidad en otorrinolaringología fueron atendidas, 3.- en caso de que no se hayan atendido mencione los motivos y causas de la determinación, 4.- en relación con la pregunta anterior, el oficio o documento por el que les dan a conocer al personal médico y administrativo los motivos y causas </w:t>
      </w:r>
      <w:r w:rsidRPr="00E3269B">
        <w:rPr>
          <w:rFonts w:ascii="Palatino Linotype" w:hAnsi="Palatino Linotype"/>
          <w:bCs/>
          <w:i/>
          <w:iCs/>
          <w:color w:val="000000"/>
        </w:rPr>
        <w:lastRenderedPageBreak/>
        <w:t>del porque no se dieran consultas, 5 cual es el número de consultas y cirugías que ha realizado la Dra. Selene Jasso Ruiz, desde el inicio de la contingencia hasta la fecha.</w:t>
      </w:r>
      <w:r w:rsidRPr="00E3269B" w:rsidR="00B03EDE">
        <w:rPr>
          <w:rFonts w:ascii="Palatino Linotype" w:hAnsi="Palatino Linotype"/>
          <w:bCs/>
          <w:i/>
          <w:iCs/>
          <w:color w:val="000000"/>
        </w:rPr>
        <w:t xml:space="preserve">” </w:t>
      </w:r>
      <w:r w:rsidRPr="00E3269B" w:rsidR="00C1189C">
        <w:rPr>
          <w:rFonts w:ascii="Palatino Linotype" w:hAnsi="Palatino Linotype"/>
          <w:bCs/>
          <w:i/>
          <w:iCs/>
          <w:color w:val="000000"/>
        </w:rPr>
        <w:t>(Sic)</w:t>
      </w:r>
    </w:p>
    <w:p w:rsidRPr="00E3269B" w:rsidR="00C87E36" w:rsidP="00275B5D" w:rsidRDefault="00C87E36" w14:paraId="7B8FEF4D" w14:textId="77777777">
      <w:pPr>
        <w:spacing w:line="360" w:lineRule="auto"/>
        <w:ind w:left="567" w:right="567"/>
        <w:contextualSpacing/>
        <w:jc w:val="both"/>
        <w:rPr>
          <w:rFonts w:ascii="Palatino Linotype" w:hAnsi="Palatino Linotype"/>
          <w:bCs/>
          <w:i/>
          <w:iCs/>
          <w:color w:val="000000"/>
        </w:rPr>
      </w:pPr>
    </w:p>
    <w:p w:rsidRPr="00E3269B" w:rsidR="00B03EDE" w:rsidP="00275B5D" w:rsidRDefault="00B03EDE" w14:paraId="046D87DB" w14:textId="77777777">
      <w:pPr>
        <w:tabs>
          <w:tab w:val="left" w:pos="4667"/>
        </w:tabs>
        <w:spacing w:line="360" w:lineRule="auto"/>
        <w:ind w:left="567" w:right="567"/>
        <w:jc w:val="both"/>
        <w:rPr>
          <w:rFonts w:ascii="Palatino Linotype" w:hAnsi="Palatino Linotype" w:cs="Tahoma"/>
          <w:b/>
          <w:bCs/>
          <w:i/>
          <w:iCs/>
        </w:rPr>
      </w:pPr>
      <w:r w:rsidRPr="00E3269B">
        <w:rPr>
          <w:rFonts w:ascii="Palatino Linotype" w:hAnsi="Palatino Linotype" w:cs="Tahoma"/>
          <w:b/>
          <w:bCs/>
          <w:i/>
          <w:iCs/>
        </w:rPr>
        <w:t>“MODALIDAD DE ENTREGA</w:t>
      </w:r>
    </w:p>
    <w:p w:rsidRPr="00E3269B" w:rsidR="00B03EDE" w:rsidP="00275B5D" w:rsidRDefault="00CC1F76" w14:paraId="79019AA2" w14:textId="21AB2B6D">
      <w:pPr>
        <w:spacing w:line="360" w:lineRule="auto"/>
        <w:ind w:left="567" w:right="567"/>
        <w:jc w:val="both"/>
        <w:rPr>
          <w:rFonts w:ascii="Palatino Linotype" w:hAnsi="Palatino Linotype" w:cs="Arial"/>
          <w:bCs/>
          <w:i/>
          <w:iCs/>
        </w:rPr>
      </w:pPr>
      <w:r w:rsidRPr="00E3269B">
        <w:rPr>
          <w:rFonts w:ascii="Palatino Linotype" w:hAnsi="Palatino Linotype" w:cs="Arial"/>
          <w:bCs/>
          <w:i/>
          <w:iCs/>
        </w:rPr>
        <w:t>A través de SAIMEX</w:t>
      </w:r>
      <w:r w:rsidRPr="00E3269B" w:rsidR="00D03E52">
        <w:rPr>
          <w:rFonts w:ascii="Palatino Linotype" w:hAnsi="Palatino Linotype" w:cs="Arial"/>
          <w:bCs/>
          <w:i/>
          <w:iCs/>
        </w:rPr>
        <w:t>”</w:t>
      </w:r>
    </w:p>
    <w:p w:rsidRPr="00E3269B" w:rsidR="00630102" w:rsidP="00275B5D" w:rsidRDefault="00630102" w14:paraId="31B89E49" w14:textId="77777777">
      <w:pPr>
        <w:tabs>
          <w:tab w:val="left" w:pos="567"/>
        </w:tabs>
        <w:spacing w:line="360" w:lineRule="auto"/>
        <w:ind w:left="-153"/>
        <w:jc w:val="both"/>
        <w:rPr>
          <w:rFonts w:ascii="Palatino Linotype" w:hAnsi="Palatino Linotype" w:cs="Tahoma"/>
          <w:szCs w:val="22"/>
        </w:rPr>
      </w:pPr>
    </w:p>
    <w:p w:rsidRPr="00E3269B" w:rsidR="00763041" w:rsidP="00275B5D" w:rsidRDefault="007E6BB3" w14:paraId="39C0F6C7" w14:textId="79B41BF7">
      <w:pPr>
        <w:pStyle w:val="Prrafodelista"/>
        <w:tabs>
          <w:tab w:val="left" w:pos="567"/>
        </w:tabs>
        <w:spacing w:line="360" w:lineRule="auto"/>
        <w:ind w:left="0"/>
        <w:jc w:val="both"/>
        <w:rPr>
          <w:rFonts w:ascii="Palatino Linotype" w:hAnsi="Palatino Linotype" w:cs="Tahoma"/>
          <w:b/>
          <w:szCs w:val="22"/>
        </w:rPr>
      </w:pPr>
      <w:r w:rsidRPr="00E3269B">
        <w:rPr>
          <w:rFonts w:ascii="Palatino Linotype" w:hAnsi="Palatino Linotype" w:cs="Tahoma"/>
          <w:b/>
          <w:szCs w:val="22"/>
        </w:rPr>
        <w:t>I</w:t>
      </w:r>
      <w:r w:rsidRPr="00E3269B" w:rsidR="005D12CF">
        <w:rPr>
          <w:rFonts w:ascii="Palatino Linotype" w:hAnsi="Palatino Linotype" w:cs="Tahoma"/>
          <w:b/>
          <w:szCs w:val="22"/>
        </w:rPr>
        <w:t>I</w:t>
      </w:r>
      <w:r w:rsidRPr="00E3269B">
        <w:rPr>
          <w:rFonts w:ascii="Palatino Linotype" w:hAnsi="Palatino Linotype" w:cs="Tahoma"/>
          <w:b/>
          <w:szCs w:val="22"/>
        </w:rPr>
        <w:t xml:space="preserve">. </w:t>
      </w:r>
      <w:r w:rsidRPr="00E3269B" w:rsidR="00B03EDE">
        <w:rPr>
          <w:rFonts w:ascii="Palatino Linotype" w:hAnsi="Palatino Linotype" w:cs="Tahoma"/>
          <w:b/>
          <w:szCs w:val="22"/>
        </w:rPr>
        <w:t>Respuesta del Sujeto Obligado.</w:t>
      </w:r>
      <w:r w:rsidRPr="00E3269B" w:rsidR="00763041">
        <w:rPr>
          <w:rFonts w:ascii="Palatino Linotype" w:hAnsi="Palatino Linotype" w:cs="Tahoma"/>
          <w:b/>
          <w:szCs w:val="22"/>
        </w:rPr>
        <w:t xml:space="preserve"> </w:t>
      </w:r>
    </w:p>
    <w:p w:rsidRPr="00E3269B" w:rsidR="00516218" w:rsidP="00275B5D" w:rsidRDefault="00516218" w14:paraId="22811529" w14:textId="77777777">
      <w:pPr>
        <w:pStyle w:val="Prrafodelista"/>
        <w:tabs>
          <w:tab w:val="left" w:pos="567"/>
        </w:tabs>
        <w:spacing w:line="360" w:lineRule="auto"/>
        <w:ind w:left="0"/>
        <w:jc w:val="both"/>
        <w:rPr>
          <w:rFonts w:ascii="Palatino Linotype" w:hAnsi="Palatino Linotype" w:cs="Tahoma"/>
          <w:bCs/>
          <w:szCs w:val="22"/>
        </w:rPr>
      </w:pPr>
    </w:p>
    <w:p w:rsidRPr="00E3269B" w:rsidR="00B03EDE" w:rsidP="00275B5D" w:rsidRDefault="00B03EDE" w14:paraId="3895366D" w14:textId="1C374EFC">
      <w:pPr>
        <w:pStyle w:val="Prrafodelista"/>
        <w:tabs>
          <w:tab w:val="left" w:pos="567"/>
        </w:tabs>
        <w:spacing w:line="360" w:lineRule="auto"/>
        <w:ind w:left="0"/>
        <w:jc w:val="both"/>
        <w:rPr>
          <w:rFonts w:ascii="Palatino Linotype" w:hAnsi="Palatino Linotype" w:cs="Tahoma"/>
          <w:szCs w:val="22"/>
        </w:rPr>
      </w:pPr>
      <w:r w:rsidRPr="00E3269B">
        <w:rPr>
          <w:rFonts w:ascii="Palatino Linotype" w:hAnsi="Palatino Linotype" w:cs="Tahoma"/>
          <w:bCs/>
          <w:szCs w:val="22"/>
        </w:rPr>
        <w:t xml:space="preserve">Con fecha </w:t>
      </w:r>
      <w:r w:rsidRPr="00E3269B" w:rsidR="008F4293">
        <w:rPr>
          <w:rFonts w:ascii="Palatino Linotype" w:hAnsi="Palatino Linotype" w:cs="Tahoma"/>
          <w:bCs/>
          <w:szCs w:val="22"/>
        </w:rPr>
        <w:t>veinti</w:t>
      </w:r>
      <w:r w:rsidRPr="00E3269B" w:rsidR="009516F9">
        <w:rPr>
          <w:rFonts w:ascii="Palatino Linotype" w:hAnsi="Palatino Linotype" w:cs="Tahoma"/>
          <w:bCs/>
          <w:szCs w:val="22"/>
        </w:rPr>
        <w:t>dós</w:t>
      </w:r>
      <w:r w:rsidRPr="00E3269B" w:rsidR="00847CE9">
        <w:rPr>
          <w:rFonts w:ascii="Palatino Linotype" w:hAnsi="Palatino Linotype" w:cs="Tahoma"/>
          <w:bCs/>
          <w:szCs w:val="22"/>
        </w:rPr>
        <w:t xml:space="preserve"> de </w:t>
      </w:r>
      <w:r w:rsidRPr="00E3269B" w:rsidR="009516F9">
        <w:rPr>
          <w:rFonts w:ascii="Palatino Linotype" w:hAnsi="Palatino Linotype" w:cs="Tahoma"/>
          <w:bCs/>
          <w:szCs w:val="22"/>
        </w:rPr>
        <w:t>febrero</w:t>
      </w:r>
      <w:r w:rsidRPr="00E3269B">
        <w:rPr>
          <w:rFonts w:ascii="Palatino Linotype" w:hAnsi="Palatino Linotype" w:cs="Tahoma"/>
          <w:bCs/>
          <w:szCs w:val="22"/>
        </w:rPr>
        <w:t xml:space="preserve"> de dos mil veinti</w:t>
      </w:r>
      <w:r w:rsidRPr="00E3269B" w:rsidR="008F4293">
        <w:rPr>
          <w:rFonts w:ascii="Palatino Linotype" w:hAnsi="Palatino Linotype" w:cs="Tahoma"/>
          <w:bCs/>
          <w:szCs w:val="22"/>
        </w:rPr>
        <w:t>dós</w:t>
      </w:r>
      <w:r w:rsidRPr="00E3269B">
        <w:rPr>
          <w:rFonts w:ascii="Palatino Linotype" w:hAnsi="Palatino Linotype" w:cs="Tahoma"/>
          <w:bCs/>
          <w:szCs w:val="22"/>
        </w:rPr>
        <w:t xml:space="preserve">, el Sujeto Obligado notificó la respuesta a la solicitud de acceso a la información, a través del </w:t>
      </w:r>
      <w:r w:rsidRPr="00E3269B">
        <w:rPr>
          <w:rFonts w:ascii="Palatino Linotype" w:hAnsi="Palatino Linotype" w:cs="Tahoma"/>
          <w:szCs w:val="22"/>
        </w:rPr>
        <w:t xml:space="preserve">Sistema de Acceso a la Información Mexiquense (SAIMEX), </w:t>
      </w:r>
      <w:r w:rsidRPr="00E3269B" w:rsidR="00250344">
        <w:rPr>
          <w:rFonts w:ascii="Palatino Linotype" w:hAnsi="Palatino Linotype" w:cs="Tahoma"/>
          <w:szCs w:val="22"/>
        </w:rPr>
        <w:t xml:space="preserve">por medio del oficio número </w:t>
      </w:r>
      <w:r w:rsidRPr="00E3269B" w:rsidR="000D520E">
        <w:rPr>
          <w:rFonts w:ascii="Palatino Linotype" w:hAnsi="Palatino Linotype" w:cs="Tahoma"/>
          <w:szCs w:val="22"/>
        </w:rPr>
        <w:t>207C0401210001S-UT-280/2022</w:t>
      </w:r>
      <w:r w:rsidRPr="00E3269B" w:rsidR="00250344">
        <w:rPr>
          <w:rFonts w:ascii="Palatino Linotype" w:hAnsi="Palatino Linotype" w:cs="Tahoma"/>
          <w:szCs w:val="22"/>
        </w:rPr>
        <w:t xml:space="preserve">, </w:t>
      </w:r>
      <w:r w:rsidRPr="00E3269B" w:rsidR="000D520E">
        <w:rPr>
          <w:rFonts w:ascii="Palatino Linotype" w:hAnsi="Palatino Linotype" w:cs="Tahoma"/>
          <w:szCs w:val="22"/>
        </w:rPr>
        <w:t>del dieciocho</w:t>
      </w:r>
      <w:r w:rsidRPr="00E3269B" w:rsidR="00F34C9F">
        <w:rPr>
          <w:rFonts w:ascii="Palatino Linotype" w:hAnsi="Palatino Linotype" w:cs="Tahoma"/>
          <w:szCs w:val="22"/>
        </w:rPr>
        <w:t xml:space="preserve"> </w:t>
      </w:r>
      <w:r w:rsidR="00E3269B">
        <w:rPr>
          <w:rFonts w:ascii="Palatino Linotype" w:hAnsi="Palatino Linotype" w:cs="Tahoma"/>
          <w:szCs w:val="22"/>
        </w:rPr>
        <w:t>de dicho mes y año</w:t>
      </w:r>
      <w:r w:rsidRPr="00E3269B" w:rsidR="00250344">
        <w:rPr>
          <w:rFonts w:ascii="Palatino Linotype" w:hAnsi="Palatino Linotype" w:cs="Tahoma"/>
          <w:szCs w:val="22"/>
        </w:rPr>
        <w:t xml:space="preserve">, suscrito por </w:t>
      </w:r>
      <w:r w:rsidRPr="00E3269B" w:rsidR="000D520E">
        <w:rPr>
          <w:rFonts w:ascii="Palatino Linotype" w:hAnsi="Palatino Linotype" w:cs="Tahoma"/>
          <w:szCs w:val="22"/>
        </w:rPr>
        <w:t>la Titular de la</w:t>
      </w:r>
      <w:r w:rsidRPr="00E3269B" w:rsidR="00F34C9F">
        <w:rPr>
          <w:rFonts w:ascii="Palatino Linotype" w:hAnsi="Palatino Linotype" w:cs="Tahoma"/>
          <w:szCs w:val="22"/>
        </w:rPr>
        <w:t xml:space="preserve"> Unidad de Transparencia</w:t>
      </w:r>
      <w:r w:rsidRPr="00E3269B" w:rsidR="00250344">
        <w:rPr>
          <w:rFonts w:ascii="Palatino Linotype" w:hAnsi="Palatino Linotype" w:cs="Tahoma"/>
          <w:szCs w:val="22"/>
        </w:rPr>
        <w:t xml:space="preserve">, </w:t>
      </w:r>
      <w:r w:rsidRPr="00E3269B" w:rsidR="00370D56">
        <w:rPr>
          <w:rFonts w:ascii="Palatino Linotype" w:hAnsi="Palatino Linotype" w:cs="Tahoma"/>
          <w:szCs w:val="22"/>
        </w:rPr>
        <w:t>en el que manifestó lo</w:t>
      </w:r>
      <w:r w:rsidRPr="00E3269B" w:rsidR="00250344">
        <w:rPr>
          <w:rFonts w:ascii="Palatino Linotype" w:hAnsi="Palatino Linotype" w:cs="Tahoma"/>
          <w:szCs w:val="22"/>
        </w:rPr>
        <w:t xml:space="preserve"> siguiente</w:t>
      </w:r>
      <w:r w:rsidRPr="00E3269B" w:rsidR="008932D9">
        <w:rPr>
          <w:rFonts w:ascii="Palatino Linotype" w:hAnsi="Palatino Linotype" w:cs="Tahoma"/>
          <w:szCs w:val="22"/>
        </w:rPr>
        <w:t>:</w:t>
      </w:r>
    </w:p>
    <w:p w:rsidRPr="00E3269B" w:rsidR="008932D9" w:rsidP="00275B5D" w:rsidRDefault="008932D9" w14:paraId="5ABC613A" w14:textId="07EAE091">
      <w:pPr>
        <w:pStyle w:val="Prrafodelista"/>
        <w:tabs>
          <w:tab w:val="left" w:pos="567"/>
        </w:tabs>
        <w:spacing w:line="360" w:lineRule="auto"/>
        <w:ind w:left="0"/>
        <w:jc w:val="both"/>
        <w:rPr>
          <w:rFonts w:ascii="Palatino Linotype" w:hAnsi="Palatino Linotype" w:cs="Tahoma"/>
          <w:szCs w:val="22"/>
        </w:rPr>
      </w:pPr>
    </w:p>
    <w:p w:rsidRPr="00E3269B" w:rsidR="00F34C9F" w:rsidP="00275B5D" w:rsidRDefault="008932D9" w14:paraId="53AED1D8" w14:textId="77777777">
      <w:pPr>
        <w:pStyle w:val="Prrafodelista"/>
        <w:tabs>
          <w:tab w:val="left" w:pos="567"/>
        </w:tabs>
        <w:spacing w:line="360" w:lineRule="auto"/>
        <w:ind w:left="567" w:right="567"/>
        <w:jc w:val="both"/>
        <w:rPr>
          <w:rFonts w:ascii="Palatino Linotype" w:hAnsi="Palatino Linotype" w:cs="Tahoma"/>
          <w:i/>
          <w:iCs/>
          <w:sz w:val="20"/>
          <w:szCs w:val="20"/>
        </w:rPr>
      </w:pPr>
      <w:bookmarkStart w:name="_Hlk96424462" w:id="0"/>
      <w:r w:rsidRPr="00E3269B">
        <w:rPr>
          <w:rFonts w:ascii="Palatino Linotype" w:hAnsi="Palatino Linotype" w:cs="Tahoma"/>
          <w:i/>
          <w:iCs/>
          <w:sz w:val="20"/>
          <w:szCs w:val="20"/>
        </w:rPr>
        <w:t>“</w:t>
      </w:r>
      <w:r w:rsidRPr="00E3269B" w:rsidR="00971829">
        <w:rPr>
          <w:rFonts w:ascii="Palatino Linotype" w:hAnsi="Palatino Linotype" w:cs="Tahoma"/>
          <w:i/>
          <w:iCs/>
          <w:sz w:val="20"/>
          <w:szCs w:val="20"/>
        </w:rPr>
        <w:t xml:space="preserve">… </w:t>
      </w:r>
    </w:p>
    <w:p w:rsidRPr="00E3269B" w:rsidR="00971829" w:rsidP="00275B5D" w:rsidRDefault="000D520E" w14:paraId="4030EE9F" w14:textId="1212EB65">
      <w:pPr>
        <w:pStyle w:val="Prrafodelista"/>
        <w:tabs>
          <w:tab w:val="left" w:pos="567"/>
        </w:tabs>
        <w:spacing w:line="360" w:lineRule="auto"/>
        <w:ind w:left="567" w:right="567"/>
        <w:jc w:val="both"/>
        <w:rPr>
          <w:rFonts w:ascii="Palatino Linotype" w:hAnsi="Palatino Linotype" w:cs="Tahoma"/>
          <w:i/>
          <w:iCs/>
          <w:sz w:val="20"/>
          <w:szCs w:val="20"/>
        </w:rPr>
      </w:pPr>
      <w:r w:rsidRPr="00E3269B">
        <w:rPr>
          <w:rFonts w:ascii="Palatino Linotype" w:hAnsi="Palatino Linotype" w:cs="Tahoma"/>
          <w:i/>
          <w:iCs/>
          <w:sz w:val="20"/>
          <w:szCs w:val="20"/>
        </w:rPr>
        <w:t xml:space="preserve">Respecto a: “…1.- El nombre de los médicos especialistas en otorrinolaringología que laboran en el Hospital Regional de Toluca…”(SIC), son los siguientes: </w:t>
      </w:r>
    </w:p>
    <w:p w:rsidRPr="00E3269B" w:rsidR="000D520E" w:rsidP="00275B5D" w:rsidRDefault="000D520E" w14:paraId="25291D11"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E3269B" w:rsidR="000D520E" w:rsidP="000D520E" w:rsidRDefault="000D520E" w14:paraId="354CDE9B" w14:textId="3AA491E9">
      <w:pPr>
        <w:pStyle w:val="Prrafodelista"/>
        <w:tabs>
          <w:tab w:val="left" w:pos="567"/>
        </w:tabs>
        <w:spacing w:line="360" w:lineRule="auto"/>
        <w:ind w:left="567" w:right="567"/>
        <w:jc w:val="center"/>
        <w:rPr>
          <w:rFonts w:ascii="Palatino Linotype" w:hAnsi="Palatino Linotype" w:cs="Tahoma"/>
          <w:i/>
          <w:iCs/>
          <w:sz w:val="20"/>
          <w:szCs w:val="20"/>
        </w:rPr>
      </w:pPr>
      <w:r w:rsidRPr="00E3269B">
        <w:rPr>
          <w:rFonts w:ascii="Palatino Linotype" w:hAnsi="Palatino Linotype"/>
          <w:noProof/>
          <w:lang w:eastAsia="es-MX"/>
        </w:rPr>
        <w:drawing>
          <wp:inline distT="0" distB="0" distL="0" distR="0" wp14:anchorId="567E6B1D" wp14:editId="646CD48A">
            <wp:extent cx="2813197" cy="86516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02" t="29949" r="24309" b="57033"/>
                    <a:stretch/>
                  </pic:blipFill>
                  <pic:spPr bwMode="auto">
                    <a:xfrm>
                      <a:off x="0" y="0"/>
                      <a:ext cx="2813418" cy="865232"/>
                    </a:xfrm>
                    <a:prstGeom prst="rect">
                      <a:avLst/>
                    </a:prstGeom>
                    <a:ln>
                      <a:noFill/>
                    </a:ln>
                    <a:extLst>
                      <a:ext uri="{53640926-AAD7-44D8-BBD7-CCE9431645EC}">
                        <a14:shadowObscured xmlns:a14="http://schemas.microsoft.com/office/drawing/2010/main"/>
                      </a:ext>
                    </a:extLst>
                  </pic:spPr>
                </pic:pic>
              </a:graphicData>
            </a:graphic>
          </wp:inline>
        </w:drawing>
      </w:r>
    </w:p>
    <w:p w:rsidRPr="00E3269B" w:rsidR="000D520E" w:rsidP="00275B5D" w:rsidRDefault="000D520E" w14:paraId="6104BA72"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E3269B" w:rsidR="000D520E" w:rsidP="00275B5D" w:rsidRDefault="000D520E" w14:paraId="6A394515" w14:textId="6D64ED0C">
      <w:pPr>
        <w:pStyle w:val="Prrafodelista"/>
        <w:tabs>
          <w:tab w:val="left" w:pos="567"/>
        </w:tabs>
        <w:spacing w:line="360" w:lineRule="auto"/>
        <w:ind w:left="567" w:right="567"/>
        <w:jc w:val="both"/>
        <w:rPr>
          <w:rFonts w:ascii="Palatino Linotype" w:hAnsi="Palatino Linotype" w:cs="Tahoma"/>
          <w:i/>
          <w:iCs/>
          <w:sz w:val="20"/>
          <w:szCs w:val="20"/>
        </w:rPr>
      </w:pPr>
      <w:r w:rsidRPr="00E3269B">
        <w:rPr>
          <w:rFonts w:ascii="Palatino Linotype" w:hAnsi="Palatino Linotype" w:cs="Tahoma"/>
          <w:i/>
          <w:iCs/>
          <w:sz w:val="20"/>
          <w:szCs w:val="20"/>
        </w:rPr>
        <w:t>En cuanto s:”… 2.- durante el inicio de la contingencia ocasionada por el SARS-CoV-2 en el año dos mil veinte, a la fecha; cuantas consultas de la especialidad en otorrin</w:t>
      </w:r>
      <w:r w:rsidRPr="00E3269B" w:rsidR="004F4EF7">
        <w:rPr>
          <w:rFonts w:ascii="Palatino Linotype" w:hAnsi="Palatino Linotype" w:cs="Tahoma"/>
          <w:i/>
          <w:iCs/>
          <w:sz w:val="20"/>
          <w:szCs w:val="20"/>
        </w:rPr>
        <w:t xml:space="preserve">olaringología fueron atendidas…”(SIC), se informa al particular que la información referente a las consultas 2020, a la fecha en dicha especialidad son los siguientes: </w:t>
      </w:r>
    </w:p>
    <w:p w:rsidRPr="00E3269B" w:rsidR="004F4EF7" w:rsidP="004F4EF7" w:rsidRDefault="004F4EF7" w14:paraId="0B9BA711" w14:textId="5D5ED0CC">
      <w:pPr>
        <w:pStyle w:val="Prrafodelista"/>
        <w:tabs>
          <w:tab w:val="left" w:pos="567"/>
        </w:tabs>
        <w:spacing w:line="360" w:lineRule="auto"/>
        <w:ind w:left="567" w:right="567"/>
        <w:jc w:val="center"/>
        <w:rPr>
          <w:rFonts w:ascii="Palatino Linotype" w:hAnsi="Palatino Linotype" w:cs="Tahoma"/>
          <w:i/>
          <w:iCs/>
          <w:sz w:val="20"/>
          <w:szCs w:val="20"/>
        </w:rPr>
      </w:pPr>
      <w:r w:rsidRPr="00E3269B">
        <w:rPr>
          <w:rFonts w:ascii="Palatino Linotype" w:hAnsi="Palatino Linotype"/>
          <w:noProof/>
          <w:lang w:eastAsia="es-MX"/>
        </w:rPr>
        <w:lastRenderedPageBreak/>
        <w:drawing>
          <wp:inline distT="0" distB="0" distL="0" distR="0" wp14:anchorId="197CFCC6" wp14:editId="6C19D4BE">
            <wp:extent cx="2290949" cy="11852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629" t="36884" r="38271" b="38674"/>
                    <a:stretch/>
                  </pic:blipFill>
                  <pic:spPr bwMode="auto">
                    <a:xfrm>
                      <a:off x="0" y="0"/>
                      <a:ext cx="2319082" cy="1199809"/>
                    </a:xfrm>
                    <a:prstGeom prst="rect">
                      <a:avLst/>
                    </a:prstGeom>
                    <a:ln>
                      <a:noFill/>
                    </a:ln>
                    <a:extLst>
                      <a:ext uri="{53640926-AAD7-44D8-BBD7-CCE9431645EC}">
                        <a14:shadowObscured xmlns:a14="http://schemas.microsoft.com/office/drawing/2010/main"/>
                      </a:ext>
                    </a:extLst>
                  </pic:spPr>
                </pic:pic>
              </a:graphicData>
            </a:graphic>
          </wp:inline>
        </w:drawing>
      </w:r>
    </w:p>
    <w:p w:rsidRPr="00E3269B" w:rsidR="004F4EF7" w:rsidP="00275B5D" w:rsidRDefault="004F4EF7" w14:paraId="53E6D633"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E3269B" w:rsidR="004F4EF7" w:rsidP="00275B5D" w:rsidRDefault="004F4EF7" w14:paraId="15A90D24" w14:textId="491EC6F9">
      <w:pPr>
        <w:pStyle w:val="Prrafodelista"/>
        <w:tabs>
          <w:tab w:val="left" w:pos="567"/>
        </w:tabs>
        <w:spacing w:line="360" w:lineRule="auto"/>
        <w:ind w:left="567" w:right="567"/>
        <w:jc w:val="both"/>
        <w:rPr>
          <w:rFonts w:ascii="Palatino Linotype" w:hAnsi="Palatino Linotype" w:cs="Tahoma"/>
          <w:i/>
          <w:iCs/>
          <w:sz w:val="20"/>
          <w:szCs w:val="20"/>
        </w:rPr>
      </w:pPr>
      <w:r w:rsidRPr="00E3269B">
        <w:rPr>
          <w:rFonts w:ascii="Palatino Linotype" w:hAnsi="Palatino Linotype" w:cs="Tahoma"/>
          <w:i/>
          <w:iCs/>
          <w:sz w:val="20"/>
          <w:szCs w:val="20"/>
        </w:rPr>
        <w:t>En lo referente a “…</w:t>
      </w:r>
      <w:r w:rsidRPr="00E3269B" w:rsidR="000D520E">
        <w:rPr>
          <w:rFonts w:ascii="Palatino Linotype" w:hAnsi="Palatino Linotype" w:cs="Tahoma"/>
          <w:i/>
          <w:iCs/>
          <w:sz w:val="20"/>
          <w:szCs w:val="20"/>
        </w:rPr>
        <w:t>3.- en caso de que no se hayan atendido mencione los motivos y causas de la determinación</w:t>
      </w:r>
      <w:r w:rsidRPr="00E3269B">
        <w:rPr>
          <w:rFonts w:ascii="Palatino Linotype" w:hAnsi="Palatino Linotype" w:cs="Tahoma"/>
          <w:i/>
          <w:iCs/>
          <w:sz w:val="20"/>
          <w:szCs w:val="20"/>
        </w:rPr>
        <w:t>…” (SIC), se informa al Particular que la causa y motivo de la determinación para no atender todas las consultas en dicha especialidad fue derivado de la contingencia por SARS-CoV-2.</w:t>
      </w:r>
    </w:p>
    <w:p w:rsidRPr="00E3269B" w:rsidR="004F4EF7" w:rsidP="00275B5D" w:rsidRDefault="004F4EF7" w14:paraId="044794A9"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E3269B" w:rsidR="004F4EF7" w:rsidP="00275B5D" w:rsidRDefault="004F4EF7" w14:paraId="55118A12" w14:textId="295E830B">
      <w:pPr>
        <w:pStyle w:val="Prrafodelista"/>
        <w:tabs>
          <w:tab w:val="left" w:pos="567"/>
        </w:tabs>
        <w:spacing w:line="360" w:lineRule="auto"/>
        <w:ind w:left="567" w:right="567"/>
        <w:jc w:val="both"/>
        <w:rPr>
          <w:rFonts w:ascii="Palatino Linotype" w:hAnsi="Palatino Linotype" w:cs="Tahoma"/>
          <w:i/>
          <w:iCs/>
          <w:sz w:val="20"/>
          <w:szCs w:val="20"/>
        </w:rPr>
      </w:pPr>
      <w:r w:rsidRPr="00E3269B">
        <w:rPr>
          <w:rFonts w:ascii="Palatino Linotype" w:hAnsi="Palatino Linotype" w:cs="Tahoma"/>
          <w:i/>
          <w:iCs/>
          <w:sz w:val="20"/>
          <w:szCs w:val="20"/>
        </w:rPr>
        <w:t>Relativo a :”…</w:t>
      </w:r>
      <w:r w:rsidRPr="00E3269B" w:rsidR="000D520E">
        <w:rPr>
          <w:rFonts w:ascii="Palatino Linotype" w:hAnsi="Palatino Linotype" w:cs="Tahoma"/>
          <w:i/>
          <w:iCs/>
          <w:sz w:val="20"/>
          <w:szCs w:val="20"/>
        </w:rPr>
        <w:t>4.- en relación con la pregunta anterior, el oficio o documento por el que les dan a conocer al personal médico y administrativo los motivos y causas del porque no se dieran consultas</w:t>
      </w:r>
      <w:r w:rsidRPr="00E3269B">
        <w:rPr>
          <w:rFonts w:ascii="Palatino Linotype" w:hAnsi="Palatino Linotype" w:cs="Tahoma"/>
          <w:i/>
          <w:iCs/>
          <w:sz w:val="20"/>
          <w:szCs w:val="20"/>
        </w:rPr>
        <w:t>…” (SIC) se informa al Particular que s</w:t>
      </w:r>
      <w:r w:rsidRPr="00E3269B" w:rsidR="00DA0D89">
        <w:rPr>
          <w:rFonts w:ascii="Palatino Linotype" w:hAnsi="Palatino Linotype" w:cs="Tahoma"/>
          <w:i/>
          <w:iCs/>
          <w:sz w:val="20"/>
          <w:szCs w:val="20"/>
        </w:rPr>
        <w:t>e</w:t>
      </w:r>
      <w:r w:rsidRPr="00E3269B">
        <w:rPr>
          <w:rFonts w:ascii="Palatino Linotype" w:hAnsi="Palatino Linotype" w:cs="Tahoma"/>
          <w:i/>
          <w:iCs/>
          <w:sz w:val="20"/>
          <w:szCs w:val="20"/>
        </w:rPr>
        <w:t xml:space="preserve"> </w:t>
      </w:r>
      <w:r w:rsidRPr="00E3269B" w:rsidR="00DA0D89">
        <w:rPr>
          <w:rFonts w:ascii="Palatino Linotype" w:hAnsi="Palatino Linotype" w:cs="Tahoma"/>
          <w:i/>
          <w:iCs/>
          <w:sz w:val="20"/>
          <w:szCs w:val="20"/>
        </w:rPr>
        <w:t>anexa</w:t>
      </w:r>
      <w:r w:rsidRPr="00E3269B">
        <w:rPr>
          <w:rFonts w:ascii="Palatino Linotype" w:hAnsi="Palatino Linotype" w:cs="Tahoma"/>
          <w:i/>
          <w:iCs/>
          <w:sz w:val="20"/>
          <w:szCs w:val="20"/>
        </w:rPr>
        <w:t xml:space="preserve"> oficio 207C040104000000/DHRT/01019/2020, en el cual se informa de las acciones para procedimientos quirúrgicos y anestésicos dentro de esta unidad, así como oficio 207C04010400000/DHRT/0913/2021, también se hace de su conocimiento al personal de esta Unidad los </w:t>
      </w:r>
      <w:r w:rsidRPr="00E3269B" w:rsidR="00DA0D89">
        <w:rPr>
          <w:rFonts w:ascii="Palatino Linotype" w:hAnsi="Palatino Linotype" w:cs="Tahoma"/>
          <w:i/>
          <w:iCs/>
          <w:sz w:val="20"/>
          <w:szCs w:val="20"/>
        </w:rPr>
        <w:t>Lineamientos</w:t>
      </w:r>
      <w:r w:rsidRPr="00E3269B">
        <w:rPr>
          <w:rFonts w:ascii="Palatino Linotype" w:hAnsi="Palatino Linotype" w:cs="Tahoma"/>
          <w:i/>
          <w:iCs/>
          <w:sz w:val="20"/>
          <w:szCs w:val="20"/>
        </w:rPr>
        <w:t xml:space="preserve"> para un regreso seguro a las actividades médico quirúrgico </w:t>
      </w:r>
      <w:r w:rsidRPr="00E3269B" w:rsidR="00DA0D89">
        <w:rPr>
          <w:rFonts w:ascii="Palatino Linotype" w:hAnsi="Palatino Linotype" w:cs="Tahoma"/>
          <w:i/>
          <w:iCs/>
          <w:sz w:val="20"/>
          <w:szCs w:val="20"/>
        </w:rPr>
        <w:t>asistenciales</w:t>
      </w:r>
      <w:r w:rsidRPr="00E3269B">
        <w:rPr>
          <w:rFonts w:ascii="Palatino Linotype" w:hAnsi="Palatino Linotype" w:cs="Tahoma"/>
          <w:i/>
          <w:iCs/>
          <w:sz w:val="20"/>
          <w:szCs w:val="20"/>
        </w:rPr>
        <w:t xml:space="preserve"> en semáforo epidemiológico verde, lo anterior motivo y causa del </w:t>
      </w:r>
      <w:r w:rsidRPr="00E3269B" w:rsidR="00DA0D89">
        <w:rPr>
          <w:rFonts w:ascii="Palatino Linotype" w:hAnsi="Palatino Linotype" w:cs="Tahoma"/>
          <w:i/>
          <w:iCs/>
          <w:sz w:val="20"/>
          <w:szCs w:val="20"/>
        </w:rPr>
        <w:t>porque</w:t>
      </w:r>
      <w:r w:rsidRPr="00E3269B">
        <w:rPr>
          <w:rFonts w:ascii="Palatino Linotype" w:hAnsi="Palatino Linotype" w:cs="Tahoma"/>
          <w:i/>
          <w:iCs/>
          <w:sz w:val="20"/>
          <w:szCs w:val="20"/>
        </w:rPr>
        <w:t xml:space="preserve"> no s</w:t>
      </w:r>
      <w:r w:rsidRPr="00E3269B" w:rsidR="00DA0D89">
        <w:rPr>
          <w:rFonts w:ascii="Palatino Linotype" w:hAnsi="Palatino Linotype" w:cs="Tahoma"/>
          <w:i/>
          <w:iCs/>
          <w:sz w:val="20"/>
          <w:szCs w:val="20"/>
        </w:rPr>
        <w:t>e</w:t>
      </w:r>
      <w:r w:rsidRPr="00E3269B">
        <w:rPr>
          <w:rFonts w:ascii="Palatino Linotype" w:hAnsi="Palatino Linotype" w:cs="Tahoma"/>
          <w:i/>
          <w:iCs/>
          <w:sz w:val="20"/>
          <w:szCs w:val="20"/>
        </w:rPr>
        <w:t xml:space="preserve"> </w:t>
      </w:r>
      <w:r w:rsidRPr="00E3269B" w:rsidR="00DA0D89">
        <w:rPr>
          <w:rFonts w:ascii="Palatino Linotype" w:hAnsi="Palatino Linotype" w:cs="Tahoma"/>
          <w:i/>
          <w:iCs/>
          <w:sz w:val="20"/>
          <w:szCs w:val="20"/>
        </w:rPr>
        <w:t>llevaron</w:t>
      </w:r>
      <w:r w:rsidRPr="00E3269B">
        <w:rPr>
          <w:rFonts w:ascii="Palatino Linotype" w:hAnsi="Palatino Linotype" w:cs="Tahoma"/>
          <w:i/>
          <w:iCs/>
          <w:sz w:val="20"/>
          <w:szCs w:val="20"/>
        </w:rPr>
        <w:t xml:space="preserve"> a </w:t>
      </w:r>
      <w:r w:rsidRPr="00E3269B" w:rsidR="00DA0D89">
        <w:rPr>
          <w:rFonts w:ascii="Palatino Linotype" w:hAnsi="Palatino Linotype" w:cs="Tahoma"/>
          <w:i/>
          <w:iCs/>
          <w:sz w:val="20"/>
          <w:szCs w:val="20"/>
        </w:rPr>
        <w:t>cabo</w:t>
      </w:r>
      <w:r w:rsidRPr="00E3269B">
        <w:rPr>
          <w:rFonts w:ascii="Palatino Linotype" w:hAnsi="Palatino Linotype" w:cs="Tahoma"/>
          <w:i/>
          <w:iCs/>
          <w:sz w:val="20"/>
          <w:szCs w:val="20"/>
        </w:rPr>
        <w:t xml:space="preserve"> todas las consultas, en el oficio 207C040010400000L/CSS/000930/2021</w:t>
      </w:r>
      <w:r w:rsidRPr="00E3269B" w:rsidR="00DA0D89">
        <w:rPr>
          <w:rFonts w:ascii="Palatino Linotype" w:hAnsi="Palatino Linotype" w:cs="Tahoma"/>
          <w:i/>
          <w:iCs/>
          <w:sz w:val="20"/>
          <w:szCs w:val="20"/>
        </w:rPr>
        <w:t>.</w:t>
      </w:r>
    </w:p>
    <w:p w:rsidRPr="00E3269B" w:rsidR="00DA0D89" w:rsidP="00275B5D" w:rsidRDefault="00DA0D89" w14:paraId="62436941"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E3269B" w:rsidR="000D520E" w:rsidP="00275B5D" w:rsidRDefault="00DA0D89" w14:paraId="596C6A45" w14:textId="5657E40D">
      <w:pPr>
        <w:pStyle w:val="Prrafodelista"/>
        <w:tabs>
          <w:tab w:val="left" w:pos="567"/>
        </w:tabs>
        <w:spacing w:line="360" w:lineRule="auto"/>
        <w:ind w:left="567" w:right="567"/>
        <w:jc w:val="both"/>
        <w:rPr>
          <w:rFonts w:ascii="Palatino Linotype" w:hAnsi="Palatino Linotype" w:cs="Tahoma"/>
          <w:i/>
          <w:iCs/>
          <w:sz w:val="20"/>
          <w:szCs w:val="20"/>
        </w:rPr>
      </w:pPr>
      <w:r w:rsidRPr="00E3269B">
        <w:rPr>
          <w:rFonts w:ascii="Palatino Linotype" w:hAnsi="Palatino Linotype" w:cs="Tahoma"/>
          <w:i/>
          <w:iCs/>
          <w:sz w:val="20"/>
          <w:szCs w:val="20"/>
        </w:rPr>
        <w:t xml:space="preserve">Finalmente, en lo relacionado con: “… </w:t>
      </w:r>
      <w:r w:rsidRPr="00E3269B" w:rsidR="000D520E">
        <w:rPr>
          <w:rFonts w:ascii="Palatino Linotype" w:hAnsi="Palatino Linotype" w:cs="Tahoma"/>
          <w:i/>
          <w:iCs/>
          <w:sz w:val="20"/>
          <w:szCs w:val="20"/>
        </w:rPr>
        <w:t xml:space="preserve">5 </w:t>
      </w:r>
      <w:r w:rsidRPr="00E3269B" w:rsidR="00DD634D">
        <w:rPr>
          <w:rFonts w:ascii="Palatino Linotype" w:hAnsi="Palatino Linotype" w:cs="Tahoma"/>
          <w:i/>
          <w:iCs/>
          <w:sz w:val="20"/>
          <w:szCs w:val="20"/>
        </w:rPr>
        <w:t>cuál</w:t>
      </w:r>
      <w:r w:rsidRPr="00E3269B" w:rsidR="000D520E">
        <w:rPr>
          <w:rFonts w:ascii="Palatino Linotype" w:hAnsi="Palatino Linotype" w:cs="Tahoma"/>
          <w:i/>
          <w:iCs/>
          <w:sz w:val="20"/>
          <w:szCs w:val="20"/>
        </w:rPr>
        <w:t xml:space="preserve"> es el número de consultas y cirugías que ha realizado la Dra. Selene Jasso Ruiz, desde el inicio de la contingencia hasta la fecha</w:t>
      </w:r>
      <w:r w:rsidRPr="00E3269B">
        <w:rPr>
          <w:rFonts w:ascii="Palatino Linotype" w:hAnsi="Palatino Linotype" w:cs="Tahoma"/>
          <w:i/>
          <w:iCs/>
          <w:sz w:val="20"/>
          <w:szCs w:val="20"/>
        </w:rPr>
        <w:t>.” (SIC),  se informa al particular el número de consultas y cirugías de otorrinolaringología realizadas por la Dra. Selene Jasso Ruíz desde el inicio de la contingencia hasta la fecha</w:t>
      </w:r>
    </w:p>
    <w:bookmarkEnd w:id="0"/>
    <w:p w:rsidRPr="00E3269B" w:rsidR="00DA0D89" w:rsidP="00275B5D" w:rsidRDefault="00DA0D89" w14:paraId="23925549" w14:textId="77777777">
      <w:pPr>
        <w:autoSpaceDE w:val="0"/>
        <w:autoSpaceDN w:val="0"/>
        <w:adjustRightInd w:val="0"/>
        <w:spacing w:line="360" w:lineRule="auto"/>
        <w:ind w:right="-28"/>
        <w:rPr>
          <w:rFonts w:ascii="Palatino Linotype" w:hAnsi="Palatino Linotype"/>
          <w:noProof/>
          <w:lang w:eastAsia="es-MX"/>
        </w:rPr>
      </w:pPr>
    </w:p>
    <w:p w:rsidRPr="00E3269B" w:rsidR="000D520E" w:rsidP="00DA0D89" w:rsidRDefault="00DA0D89" w14:paraId="7ADD3191" w14:textId="17E2505C">
      <w:pPr>
        <w:autoSpaceDE w:val="0"/>
        <w:autoSpaceDN w:val="0"/>
        <w:adjustRightInd w:val="0"/>
        <w:spacing w:line="360" w:lineRule="auto"/>
        <w:ind w:right="-28"/>
        <w:jc w:val="center"/>
        <w:rPr>
          <w:rFonts w:ascii="Palatino Linotype" w:hAnsi="Palatino Linotype" w:cs="Tahoma"/>
          <w:sz w:val="22"/>
          <w:szCs w:val="22"/>
        </w:rPr>
      </w:pPr>
      <w:r w:rsidRPr="00E3269B">
        <w:rPr>
          <w:rFonts w:ascii="Palatino Linotype" w:hAnsi="Palatino Linotype"/>
          <w:noProof/>
          <w:lang w:eastAsia="es-MX"/>
        </w:rPr>
        <w:lastRenderedPageBreak/>
        <w:drawing>
          <wp:inline distT="0" distB="0" distL="0" distR="0" wp14:anchorId="60319A75" wp14:editId="22361D8C">
            <wp:extent cx="2949252" cy="1483509"/>
            <wp:effectExtent l="0" t="0" r="381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92" t="25599" r="31998" b="39646"/>
                    <a:stretch/>
                  </pic:blipFill>
                  <pic:spPr bwMode="auto">
                    <a:xfrm>
                      <a:off x="0" y="0"/>
                      <a:ext cx="2958928" cy="1488376"/>
                    </a:xfrm>
                    <a:prstGeom prst="rect">
                      <a:avLst/>
                    </a:prstGeom>
                    <a:ln>
                      <a:noFill/>
                    </a:ln>
                    <a:extLst>
                      <a:ext uri="{53640926-AAD7-44D8-BBD7-CCE9431645EC}">
                        <a14:shadowObscured xmlns:a14="http://schemas.microsoft.com/office/drawing/2010/main"/>
                      </a:ext>
                    </a:extLst>
                  </pic:spPr>
                </pic:pic>
              </a:graphicData>
            </a:graphic>
          </wp:inline>
        </w:drawing>
      </w:r>
    </w:p>
    <w:p w:rsidRPr="00E3269B" w:rsidR="00DA0D89" w:rsidP="00E3269B" w:rsidRDefault="00E3269B" w14:paraId="11184F3E" w14:textId="1320B801">
      <w:pPr>
        <w:pStyle w:val="Prrafodelista"/>
        <w:tabs>
          <w:tab w:val="left" w:pos="567"/>
        </w:tabs>
        <w:spacing w:line="360" w:lineRule="auto"/>
        <w:ind w:left="567" w:right="567"/>
        <w:jc w:val="both"/>
        <w:rPr>
          <w:rFonts w:ascii="Palatino Linotype" w:hAnsi="Palatino Linotype" w:cs="Tahoma"/>
          <w:bCs/>
          <w:i/>
          <w:iCs/>
          <w:sz w:val="20"/>
          <w:szCs w:val="20"/>
        </w:rPr>
      </w:pPr>
      <w:r w:rsidRPr="00E3269B">
        <w:rPr>
          <w:rFonts w:ascii="Palatino Linotype" w:hAnsi="Palatino Linotype" w:cs="Tahoma"/>
          <w:bCs/>
          <w:i/>
          <w:iCs/>
          <w:sz w:val="20"/>
          <w:szCs w:val="20"/>
        </w:rPr>
        <w:t>…”</w:t>
      </w:r>
    </w:p>
    <w:p w:rsidR="00E3269B" w:rsidP="00275B5D" w:rsidRDefault="00E3269B" w14:paraId="4A68845B" w14:textId="77777777">
      <w:pPr>
        <w:autoSpaceDE w:val="0"/>
        <w:autoSpaceDN w:val="0"/>
        <w:adjustRightInd w:val="0"/>
        <w:spacing w:line="360" w:lineRule="auto"/>
        <w:jc w:val="both"/>
        <w:rPr>
          <w:rFonts w:ascii="Palatino Linotype" w:hAnsi="Palatino Linotype" w:cs="Tahoma"/>
          <w:b/>
          <w:sz w:val="22"/>
          <w:szCs w:val="22"/>
        </w:rPr>
      </w:pPr>
    </w:p>
    <w:p w:rsidRPr="00E3269B" w:rsidR="00B03EDE" w:rsidP="00275B5D" w:rsidRDefault="005D12CF" w14:paraId="4FE2F672" w14:textId="693FA9F8">
      <w:pPr>
        <w:autoSpaceDE w:val="0"/>
        <w:autoSpaceDN w:val="0"/>
        <w:adjustRightInd w:val="0"/>
        <w:spacing w:line="360" w:lineRule="auto"/>
        <w:jc w:val="both"/>
        <w:rPr>
          <w:rFonts w:ascii="Palatino Linotype" w:hAnsi="Palatino Linotype" w:cs="Tahoma"/>
          <w:b/>
          <w:sz w:val="22"/>
          <w:szCs w:val="22"/>
        </w:rPr>
      </w:pPr>
      <w:r w:rsidRPr="00E3269B">
        <w:rPr>
          <w:rFonts w:ascii="Palatino Linotype" w:hAnsi="Palatino Linotype" w:cs="Tahoma"/>
          <w:b/>
          <w:sz w:val="22"/>
          <w:szCs w:val="22"/>
        </w:rPr>
        <w:t>III</w:t>
      </w:r>
      <w:r w:rsidRPr="00E3269B" w:rsidR="00B03EDE">
        <w:rPr>
          <w:rFonts w:ascii="Palatino Linotype" w:hAnsi="Palatino Linotype" w:cs="Tahoma"/>
          <w:b/>
          <w:sz w:val="22"/>
          <w:szCs w:val="22"/>
        </w:rPr>
        <w:t>. Interposición del Recurso de Revisión.</w:t>
      </w:r>
    </w:p>
    <w:p w:rsidRPr="00E3269B" w:rsidR="006B5469" w:rsidP="00275B5D" w:rsidRDefault="006B5469" w14:paraId="22AA4538" w14:textId="77777777">
      <w:pPr>
        <w:widowControl w:val="0"/>
        <w:spacing w:line="360" w:lineRule="auto"/>
        <w:jc w:val="both"/>
        <w:rPr>
          <w:rFonts w:ascii="Palatino Linotype" w:hAnsi="Palatino Linotype" w:cs="Tahoma"/>
          <w:sz w:val="22"/>
          <w:szCs w:val="22"/>
        </w:rPr>
      </w:pPr>
    </w:p>
    <w:p w:rsidRPr="00E3269B" w:rsidR="00B03EDE" w:rsidP="00275B5D" w:rsidRDefault="00F96491" w14:paraId="37A39AE9" w14:textId="7C35E584">
      <w:pPr>
        <w:widowControl w:val="0"/>
        <w:spacing w:line="360" w:lineRule="auto"/>
        <w:jc w:val="both"/>
        <w:rPr>
          <w:rFonts w:ascii="Palatino Linotype" w:hAnsi="Palatino Linotype" w:cs="Tahoma"/>
          <w:sz w:val="22"/>
          <w:szCs w:val="22"/>
          <w:lang w:val="es-ES"/>
        </w:rPr>
      </w:pPr>
      <w:r w:rsidRPr="00E3269B">
        <w:rPr>
          <w:rFonts w:ascii="Palatino Linotype" w:hAnsi="Palatino Linotype" w:cs="Tahoma"/>
          <w:sz w:val="22"/>
          <w:szCs w:val="22"/>
          <w:lang w:val="es-ES"/>
        </w:rPr>
        <w:t>Con fecha</w:t>
      </w:r>
      <w:r w:rsidRPr="00E3269B" w:rsidR="00B03EDE">
        <w:rPr>
          <w:rFonts w:ascii="Palatino Linotype" w:hAnsi="Palatino Linotype" w:cs="Tahoma"/>
          <w:sz w:val="22"/>
          <w:szCs w:val="22"/>
          <w:lang w:val="es-ES"/>
        </w:rPr>
        <w:t xml:space="preserve"> </w:t>
      </w:r>
      <w:r w:rsidRPr="00E3269B" w:rsidR="00250344">
        <w:rPr>
          <w:rFonts w:ascii="Palatino Linotype" w:hAnsi="Palatino Linotype" w:cs="Tahoma"/>
          <w:sz w:val="22"/>
          <w:szCs w:val="22"/>
          <w:lang w:val="es-ES"/>
        </w:rPr>
        <w:t>veinti</w:t>
      </w:r>
      <w:r w:rsidRPr="00E3269B" w:rsidR="00DA0D89">
        <w:rPr>
          <w:rFonts w:ascii="Palatino Linotype" w:hAnsi="Palatino Linotype" w:cs="Tahoma"/>
          <w:sz w:val="22"/>
          <w:szCs w:val="22"/>
          <w:lang w:val="es-ES"/>
        </w:rPr>
        <w:t xml:space="preserve">trés </w:t>
      </w:r>
      <w:r w:rsidRPr="00E3269B" w:rsidR="00651CBC">
        <w:rPr>
          <w:rFonts w:ascii="Palatino Linotype" w:hAnsi="Palatino Linotype" w:cs="Tahoma"/>
          <w:sz w:val="22"/>
          <w:szCs w:val="22"/>
          <w:lang w:val="es-ES"/>
        </w:rPr>
        <w:t xml:space="preserve"> de </w:t>
      </w:r>
      <w:r w:rsidRPr="00E3269B" w:rsidR="00435D57">
        <w:rPr>
          <w:rFonts w:ascii="Palatino Linotype" w:hAnsi="Palatino Linotype" w:cs="Tahoma"/>
          <w:sz w:val="22"/>
          <w:szCs w:val="22"/>
          <w:lang w:val="es-ES"/>
        </w:rPr>
        <w:t>febrero</w:t>
      </w:r>
      <w:r w:rsidRPr="00E3269B" w:rsidR="00B03EDE">
        <w:rPr>
          <w:rFonts w:ascii="Palatino Linotype" w:hAnsi="Palatino Linotype" w:cs="Tahoma"/>
          <w:sz w:val="22"/>
          <w:szCs w:val="22"/>
          <w:lang w:val="es-ES"/>
        </w:rPr>
        <w:t xml:space="preserve"> de dos mil veinti</w:t>
      </w:r>
      <w:r w:rsidRPr="00E3269B" w:rsidR="00250344">
        <w:rPr>
          <w:rFonts w:ascii="Palatino Linotype" w:hAnsi="Palatino Linotype" w:cs="Tahoma"/>
          <w:sz w:val="22"/>
          <w:szCs w:val="22"/>
          <w:lang w:val="es-ES"/>
        </w:rPr>
        <w:t>dós</w:t>
      </w:r>
      <w:r w:rsidRPr="00E3269B" w:rsidR="00B03EDE">
        <w:rPr>
          <w:rFonts w:ascii="Palatino Linotype" w:hAnsi="Palatino Linotype" w:cs="Tahoma"/>
          <w:sz w:val="22"/>
          <w:szCs w:val="22"/>
          <w:lang w:val="es-ES"/>
        </w:rPr>
        <w:t xml:space="preserve">, </w:t>
      </w:r>
      <w:r w:rsidRPr="00E3269B" w:rsidR="00D510C5">
        <w:rPr>
          <w:rFonts w:ascii="Palatino Linotype" w:hAnsi="Palatino Linotype" w:cs="Tahoma"/>
          <w:sz w:val="22"/>
          <w:szCs w:val="22"/>
          <w:lang w:val="es-ES"/>
        </w:rPr>
        <w:t xml:space="preserve">se </w:t>
      </w:r>
      <w:r w:rsidRPr="00E3269B" w:rsidR="006B5469">
        <w:rPr>
          <w:rFonts w:ascii="Palatino Linotype" w:hAnsi="Palatino Linotype" w:cs="Tahoma"/>
          <w:sz w:val="22"/>
          <w:szCs w:val="22"/>
          <w:lang w:val="es-ES"/>
        </w:rPr>
        <w:t>presentó</w:t>
      </w:r>
      <w:r w:rsidRPr="00E3269B" w:rsidR="00D510C5">
        <w:rPr>
          <w:rFonts w:ascii="Palatino Linotype" w:hAnsi="Palatino Linotype" w:cs="Tahoma"/>
          <w:sz w:val="22"/>
          <w:szCs w:val="22"/>
          <w:lang w:val="es-ES"/>
        </w:rPr>
        <w:t xml:space="preserve"> un</w:t>
      </w:r>
      <w:r w:rsidRPr="00E3269B" w:rsidR="00B03EDE">
        <w:rPr>
          <w:rFonts w:ascii="Palatino Linotype" w:hAnsi="Palatino Linotype" w:cs="Tahoma"/>
          <w:sz w:val="22"/>
          <w:szCs w:val="22"/>
          <w:lang w:val="es-ES"/>
        </w:rPr>
        <w:t xml:space="preserve"> Recurso de Revisión ante este Instituto, </w:t>
      </w:r>
      <w:r w:rsidRPr="00E3269B" w:rsidR="00D510C5">
        <w:rPr>
          <w:rFonts w:ascii="Palatino Linotype" w:hAnsi="Palatino Linotype" w:cs="Tahoma"/>
          <w:sz w:val="22"/>
          <w:szCs w:val="22"/>
          <w:lang w:val="es-ES"/>
        </w:rPr>
        <w:t xml:space="preserve">por parte del Solicitante, </w:t>
      </w:r>
      <w:r w:rsidRPr="00E3269B" w:rsidR="00B03EDE">
        <w:rPr>
          <w:rFonts w:ascii="Palatino Linotype" w:hAnsi="Palatino Linotype" w:cs="Tahoma"/>
          <w:sz w:val="22"/>
          <w:szCs w:val="22"/>
          <w:lang w:val="es-ES"/>
        </w:rPr>
        <w:t xml:space="preserve">a través del Sistema de Acceso a la Información Mexiquense (SAIMEX), en contra de la respuesta otorgada por el </w:t>
      </w:r>
      <w:r w:rsidRPr="00E3269B" w:rsidR="00DA0D89">
        <w:rPr>
          <w:rFonts w:ascii="Palatino Linotype" w:hAnsi="Palatino Linotype" w:cs="Tahoma"/>
          <w:sz w:val="22"/>
          <w:szCs w:val="22"/>
          <w:lang w:val="es-ES"/>
        </w:rPr>
        <w:t>Instituto de Seguridad Social del Estado de México y Municipios</w:t>
      </w:r>
      <w:r w:rsidRPr="00E3269B" w:rsidR="00B03EDE">
        <w:rPr>
          <w:rFonts w:ascii="Palatino Linotype" w:hAnsi="Palatino Linotype" w:cs="Tahoma"/>
          <w:sz w:val="22"/>
          <w:szCs w:val="22"/>
          <w:lang w:val="es-ES"/>
        </w:rPr>
        <w:t>, a la</w:t>
      </w:r>
      <w:r w:rsidRPr="00E3269B" w:rsidR="00651CBC">
        <w:rPr>
          <w:rFonts w:ascii="Palatino Linotype" w:hAnsi="Palatino Linotype" w:cs="Tahoma"/>
          <w:sz w:val="22"/>
          <w:szCs w:val="22"/>
          <w:lang w:val="es-ES"/>
        </w:rPr>
        <w:t xml:space="preserve"> </w:t>
      </w:r>
      <w:r w:rsidRPr="00E3269B" w:rsidR="00B03EDE">
        <w:rPr>
          <w:rFonts w:ascii="Palatino Linotype" w:hAnsi="Palatino Linotype" w:cs="Tahoma"/>
          <w:sz w:val="22"/>
          <w:szCs w:val="22"/>
          <w:lang w:val="es-ES"/>
        </w:rPr>
        <w:t>solicitud</w:t>
      </w:r>
      <w:r w:rsidRPr="00E3269B" w:rsidR="00651CBC">
        <w:rPr>
          <w:rFonts w:ascii="Palatino Linotype" w:hAnsi="Palatino Linotype" w:cs="Tahoma"/>
          <w:sz w:val="22"/>
          <w:szCs w:val="22"/>
          <w:lang w:val="es-ES"/>
        </w:rPr>
        <w:t xml:space="preserve"> </w:t>
      </w:r>
      <w:r w:rsidRPr="00E3269B" w:rsidR="00B03EDE">
        <w:rPr>
          <w:rFonts w:ascii="Palatino Linotype" w:hAnsi="Palatino Linotype" w:cs="Tahoma"/>
          <w:sz w:val="22"/>
          <w:szCs w:val="22"/>
          <w:lang w:val="es-ES"/>
        </w:rPr>
        <w:t>de información</w:t>
      </w:r>
      <w:r w:rsidRPr="00E3269B" w:rsidR="00FB170C">
        <w:rPr>
          <w:rFonts w:ascii="Palatino Linotype" w:hAnsi="Palatino Linotype" w:cs="Tahoma"/>
          <w:b/>
          <w:sz w:val="22"/>
          <w:szCs w:val="22"/>
        </w:rPr>
        <w:t>;</w:t>
      </w:r>
      <w:r w:rsidRPr="00E3269B" w:rsidR="00FB170C">
        <w:rPr>
          <w:rFonts w:ascii="Palatino Linotype" w:hAnsi="Palatino Linotype" w:cs="Tahoma"/>
          <w:sz w:val="22"/>
          <w:szCs w:val="22"/>
          <w:lang w:val="es-ES"/>
        </w:rPr>
        <w:t xml:space="preserve"> </w:t>
      </w:r>
      <w:r w:rsidRPr="00E3269B" w:rsidR="00B03EDE">
        <w:rPr>
          <w:rFonts w:ascii="Palatino Linotype" w:hAnsi="Palatino Linotype" w:cs="Tahoma"/>
          <w:sz w:val="22"/>
          <w:szCs w:val="22"/>
          <w:lang w:val="es-ES"/>
        </w:rPr>
        <w:t>en los siguientes términos:</w:t>
      </w:r>
      <w:r w:rsidRPr="00E3269B" w:rsidR="00046E37">
        <w:rPr>
          <w:rFonts w:ascii="Palatino Linotype" w:hAnsi="Palatino Linotype" w:cs="Tahoma"/>
          <w:sz w:val="22"/>
          <w:szCs w:val="22"/>
          <w:lang w:val="es-ES"/>
        </w:rPr>
        <w:t xml:space="preserve"> </w:t>
      </w:r>
    </w:p>
    <w:p w:rsidRPr="00E3269B" w:rsidR="00B03EDE" w:rsidP="00275B5D" w:rsidRDefault="00B03EDE" w14:paraId="1A7AA1A8" w14:textId="77777777">
      <w:pPr>
        <w:widowControl w:val="0"/>
        <w:spacing w:line="360" w:lineRule="auto"/>
        <w:jc w:val="both"/>
        <w:rPr>
          <w:rFonts w:ascii="Palatino Linotype" w:hAnsi="Palatino Linotype" w:cs="Tahoma"/>
          <w:b/>
          <w:bCs/>
          <w:sz w:val="22"/>
          <w:szCs w:val="22"/>
          <w:lang w:val="es-ES"/>
        </w:rPr>
      </w:pPr>
    </w:p>
    <w:p w:rsidRPr="00E3269B" w:rsidR="00B03EDE" w:rsidP="00275B5D" w:rsidRDefault="00B03EDE" w14:paraId="6D9868AB" w14:textId="77777777">
      <w:pPr>
        <w:spacing w:line="360" w:lineRule="auto"/>
        <w:ind w:left="567" w:right="567"/>
        <w:contextualSpacing/>
        <w:jc w:val="both"/>
        <w:rPr>
          <w:rFonts w:ascii="Palatino Linotype" w:hAnsi="Palatino Linotype" w:cs="Tahoma"/>
          <w:b/>
          <w:i/>
          <w:iCs/>
        </w:rPr>
      </w:pPr>
      <w:r w:rsidRPr="00E3269B">
        <w:rPr>
          <w:rFonts w:ascii="Palatino Linotype" w:hAnsi="Palatino Linotype" w:cs="Tahoma"/>
          <w:b/>
          <w:i/>
          <w:iCs/>
        </w:rPr>
        <w:t xml:space="preserve"> “ACTO IMPUGNADO</w:t>
      </w:r>
    </w:p>
    <w:p w:rsidRPr="00E3269B" w:rsidR="00B03EDE" w:rsidP="00275B5D" w:rsidRDefault="00DA0D89" w14:paraId="0AF462A2" w14:textId="22D4FB83">
      <w:pPr>
        <w:spacing w:line="360" w:lineRule="auto"/>
        <w:ind w:left="567" w:right="567"/>
        <w:contextualSpacing/>
        <w:jc w:val="both"/>
        <w:rPr>
          <w:rFonts w:ascii="Palatino Linotype" w:hAnsi="Palatino Linotype" w:cs="Tahoma"/>
          <w:i/>
          <w:iCs/>
        </w:rPr>
      </w:pPr>
      <w:r w:rsidRPr="00E3269B">
        <w:rPr>
          <w:rFonts w:ascii="Palatino Linotype" w:hAnsi="Palatino Linotype" w:cs="Tahoma"/>
          <w:i/>
          <w:iCs/>
        </w:rPr>
        <w:t>la respuesta a mi solicitud de información de fecha veintidós del año 2022 en donde señala que adjunta tres oficios.</w:t>
      </w:r>
      <w:r w:rsidRPr="00E3269B" w:rsidR="00B03EDE">
        <w:rPr>
          <w:rFonts w:ascii="Palatino Linotype" w:hAnsi="Palatino Linotype" w:cs="Tahoma"/>
          <w:i/>
          <w:iCs/>
        </w:rPr>
        <w:t>”</w:t>
      </w:r>
      <w:r w:rsidRPr="00E3269B" w:rsidR="00971829">
        <w:rPr>
          <w:rFonts w:ascii="Palatino Linotype" w:hAnsi="Palatino Linotype" w:cs="Tahoma"/>
          <w:i/>
          <w:iCs/>
        </w:rPr>
        <w:t xml:space="preserve"> (Sic.)</w:t>
      </w:r>
    </w:p>
    <w:p w:rsidRPr="00E3269B" w:rsidR="00763041" w:rsidP="00275B5D" w:rsidRDefault="00763041" w14:paraId="67ECEAF1" w14:textId="77777777">
      <w:pPr>
        <w:spacing w:line="360" w:lineRule="auto"/>
        <w:ind w:left="567" w:right="567"/>
        <w:contextualSpacing/>
        <w:jc w:val="both"/>
        <w:rPr>
          <w:rFonts w:ascii="Palatino Linotype" w:hAnsi="Palatino Linotype" w:cs="Tahoma"/>
          <w:b/>
        </w:rPr>
      </w:pPr>
    </w:p>
    <w:p w:rsidRPr="00E3269B" w:rsidR="00B03EDE" w:rsidP="00275B5D" w:rsidRDefault="00B03EDE" w14:paraId="18C82D3A" w14:textId="77777777">
      <w:pPr>
        <w:spacing w:line="360" w:lineRule="auto"/>
        <w:ind w:left="567" w:right="567"/>
        <w:contextualSpacing/>
        <w:jc w:val="both"/>
        <w:rPr>
          <w:rFonts w:ascii="Palatino Linotype" w:hAnsi="Palatino Linotype" w:cs="Tahoma"/>
          <w:b/>
          <w:i/>
          <w:iCs/>
        </w:rPr>
      </w:pPr>
      <w:r w:rsidRPr="00E3269B">
        <w:rPr>
          <w:rFonts w:ascii="Palatino Linotype" w:hAnsi="Palatino Linotype" w:cs="Tahoma"/>
          <w:b/>
          <w:i/>
          <w:iCs/>
        </w:rPr>
        <w:t>“RAZONES O MOTIVOS DE LA INCONFORMIDAD</w:t>
      </w:r>
    </w:p>
    <w:p w:rsidRPr="00E3269B" w:rsidR="00B03EDE" w:rsidP="00275B5D" w:rsidRDefault="00DA0D89" w14:paraId="527BB7B3" w14:textId="3B8B366F">
      <w:pPr>
        <w:spacing w:line="360" w:lineRule="auto"/>
        <w:ind w:left="567" w:right="567"/>
        <w:contextualSpacing/>
        <w:jc w:val="both"/>
        <w:rPr>
          <w:rFonts w:ascii="Palatino Linotype" w:hAnsi="Palatino Linotype" w:cs="Tahoma"/>
          <w:b/>
          <w:i/>
          <w:iCs/>
        </w:rPr>
      </w:pPr>
      <w:r w:rsidRPr="00E3269B">
        <w:rPr>
          <w:rFonts w:ascii="Palatino Linotype" w:hAnsi="Palatino Linotype" w:eastAsia="Calibri" w:cs="Tahoma"/>
          <w:bCs/>
          <w:i/>
          <w:iCs/>
          <w:lang w:eastAsia="en-US"/>
        </w:rPr>
        <w:t>.faltan sobre</w:t>
      </w:r>
      <w:r w:rsidRPr="00E3269B" w:rsidR="00B03EDE">
        <w:rPr>
          <w:rFonts w:ascii="Palatino Linotype" w:hAnsi="Palatino Linotype" w:eastAsia="Calibri" w:cs="Tahoma"/>
          <w:bCs/>
          <w:i/>
          <w:iCs/>
          <w:lang w:eastAsia="en-US"/>
        </w:rPr>
        <w:t>”</w:t>
      </w:r>
      <w:r w:rsidRPr="00E3269B" w:rsidR="00971829">
        <w:rPr>
          <w:rFonts w:ascii="Palatino Linotype" w:hAnsi="Palatino Linotype" w:eastAsia="Calibri" w:cs="Tahoma"/>
          <w:bCs/>
          <w:i/>
          <w:iCs/>
          <w:lang w:eastAsia="en-US"/>
        </w:rPr>
        <w:t xml:space="preserve"> (Sic.)</w:t>
      </w:r>
    </w:p>
    <w:p w:rsidRPr="00E3269B" w:rsidR="00B03EDE" w:rsidP="00275B5D" w:rsidRDefault="00B03EDE" w14:paraId="6F433F9E" w14:textId="77777777">
      <w:pPr>
        <w:spacing w:line="360" w:lineRule="auto"/>
        <w:ind w:right="567"/>
        <w:contextualSpacing/>
        <w:jc w:val="both"/>
        <w:rPr>
          <w:rFonts w:ascii="Palatino Linotype" w:hAnsi="Palatino Linotype" w:eastAsia="Calibri" w:cs="Tahoma"/>
          <w:bCs/>
          <w:sz w:val="22"/>
          <w:szCs w:val="22"/>
          <w:lang w:eastAsia="en-US"/>
        </w:rPr>
      </w:pPr>
    </w:p>
    <w:p w:rsidRPr="00E3269B" w:rsidR="00B03EDE" w:rsidP="00275B5D" w:rsidRDefault="005D12CF" w14:paraId="01EC7854" w14:textId="4D5DE984">
      <w:pPr>
        <w:spacing w:line="360" w:lineRule="auto"/>
        <w:jc w:val="both"/>
        <w:rPr>
          <w:rFonts w:ascii="Palatino Linotype" w:hAnsi="Palatino Linotype" w:eastAsia="Batang" w:cs="Tahoma"/>
          <w:b/>
          <w:bCs/>
          <w:sz w:val="22"/>
          <w:szCs w:val="22"/>
        </w:rPr>
      </w:pPr>
      <w:r w:rsidRPr="00E3269B">
        <w:rPr>
          <w:rFonts w:ascii="Palatino Linotype" w:hAnsi="Palatino Linotype" w:cs="Tahoma"/>
          <w:b/>
          <w:sz w:val="22"/>
          <w:szCs w:val="22"/>
        </w:rPr>
        <w:t>IV</w:t>
      </w:r>
      <w:r w:rsidRPr="00E3269B" w:rsidR="00B03EDE">
        <w:rPr>
          <w:rFonts w:ascii="Palatino Linotype" w:hAnsi="Palatino Linotype" w:cs="Tahoma"/>
          <w:b/>
          <w:sz w:val="22"/>
          <w:szCs w:val="22"/>
        </w:rPr>
        <w:t xml:space="preserve">. </w:t>
      </w:r>
      <w:r w:rsidRPr="00E3269B" w:rsidR="00B03EDE">
        <w:rPr>
          <w:rFonts w:ascii="Palatino Linotype" w:hAnsi="Palatino Linotype" w:eastAsia="Batang" w:cs="Tahoma"/>
          <w:b/>
          <w:bCs/>
          <w:sz w:val="22"/>
          <w:szCs w:val="22"/>
        </w:rPr>
        <w:t>Trámite del Recurso de Revisión</w:t>
      </w:r>
      <w:r w:rsidRPr="00E3269B" w:rsidR="00B03EDE">
        <w:rPr>
          <w:rFonts w:ascii="Palatino Linotype" w:hAnsi="Palatino Linotype" w:cs="Tahoma"/>
          <w:b/>
          <w:sz w:val="22"/>
          <w:szCs w:val="22"/>
        </w:rPr>
        <w:t xml:space="preserve"> </w:t>
      </w:r>
      <w:r w:rsidRPr="00E3269B" w:rsidR="00B03EDE">
        <w:rPr>
          <w:rFonts w:ascii="Palatino Linotype" w:hAnsi="Palatino Linotype" w:eastAsia="Batang" w:cs="Tahoma"/>
          <w:b/>
          <w:bCs/>
          <w:sz w:val="22"/>
          <w:szCs w:val="22"/>
        </w:rPr>
        <w:t>ante el Instituto.</w:t>
      </w:r>
    </w:p>
    <w:p w:rsidRPr="00E3269B" w:rsidR="00B03EDE" w:rsidP="00275B5D" w:rsidRDefault="00B03EDE" w14:paraId="67D0DF97" w14:textId="77777777">
      <w:pPr>
        <w:spacing w:line="360" w:lineRule="auto"/>
        <w:jc w:val="both"/>
        <w:rPr>
          <w:rFonts w:ascii="Palatino Linotype" w:hAnsi="Palatino Linotype" w:eastAsia="Batang" w:cs="Tahoma"/>
          <w:b/>
          <w:bCs/>
          <w:sz w:val="22"/>
          <w:szCs w:val="22"/>
        </w:rPr>
      </w:pPr>
    </w:p>
    <w:p w:rsidRPr="00E3269B" w:rsidR="00B03EDE" w:rsidP="00275B5D" w:rsidRDefault="00B03EDE" w14:paraId="531EA316" w14:textId="517C6320">
      <w:pPr>
        <w:spacing w:line="360" w:lineRule="auto"/>
        <w:jc w:val="both"/>
        <w:rPr>
          <w:rFonts w:ascii="Palatino Linotype" w:hAnsi="Palatino Linotype" w:eastAsia="Batang" w:cs="Tahoma"/>
          <w:b/>
          <w:bCs/>
          <w:sz w:val="22"/>
          <w:szCs w:val="22"/>
        </w:rPr>
      </w:pPr>
      <w:r w:rsidRPr="00E3269B">
        <w:rPr>
          <w:rFonts w:ascii="Palatino Linotype" w:hAnsi="Palatino Linotype" w:eastAsia="Batang" w:cs="Tahoma"/>
          <w:b/>
          <w:bCs/>
          <w:sz w:val="22"/>
          <w:szCs w:val="22"/>
        </w:rPr>
        <w:t xml:space="preserve">a) Turno del Recurso de Revisión. </w:t>
      </w:r>
      <w:r w:rsidRPr="00E3269B">
        <w:rPr>
          <w:rFonts w:ascii="Palatino Linotype" w:hAnsi="Palatino Linotype" w:eastAsia="Batang" w:cs="Tahoma"/>
          <w:sz w:val="22"/>
          <w:szCs w:val="22"/>
        </w:rPr>
        <w:t xml:space="preserve">El </w:t>
      </w:r>
      <w:r w:rsidRPr="00E3269B" w:rsidR="00DA0D89">
        <w:rPr>
          <w:rFonts w:ascii="Palatino Linotype" w:hAnsi="Palatino Linotype" w:cs="Tahoma"/>
          <w:sz w:val="22"/>
          <w:szCs w:val="22"/>
          <w:lang w:val="es-ES"/>
        </w:rPr>
        <w:t>veintitrés</w:t>
      </w:r>
      <w:r w:rsidRPr="00E3269B" w:rsidR="00731FDC">
        <w:rPr>
          <w:rFonts w:ascii="Palatino Linotype" w:hAnsi="Palatino Linotype" w:cs="Tahoma"/>
          <w:sz w:val="22"/>
          <w:szCs w:val="22"/>
          <w:lang w:val="es-ES"/>
        </w:rPr>
        <w:t xml:space="preserve"> de </w:t>
      </w:r>
      <w:r w:rsidRPr="00E3269B" w:rsidR="00226317">
        <w:rPr>
          <w:rFonts w:ascii="Palatino Linotype" w:hAnsi="Palatino Linotype" w:cs="Tahoma"/>
          <w:sz w:val="22"/>
          <w:szCs w:val="22"/>
          <w:lang w:val="es-ES"/>
        </w:rPr>
        <w:t>febrero</w:t>
      </w:r>
      <w:r w:rsidRPr="00E3269B" w:rsidR="00731FDC">
        <w:rPr>
          <w:rFonts w:ascii="Palatino Linotype" w:hAnsi="Palatino Linotype" w:cs="Tahoma"/>
          <w:sz w:val="22"/>
          <w:szCs w:val="22"/>
          <w:lang w:val="es-ES"/>
        </w:rPr>
        <w:t xml:space="preserve"> de dos mil veinti</w:t>
      </w:r>
      <w:r w:rsidRPr="00E3269B" w:rsidR="00971829">
        <w:rPr>
          <w:rFonts w:ascii="Palatino Linotype" w:hAnsi="Palatino Linotype" w:cs="Tahoma"/>
          <w:sz w:val="22"/>
          <w:szCs w:val="22"/>
          <w:lang w:val="es-ES"/>
        </w:rPr>
        <w:t>dós</w:t>
      </w:r>
      <w:r w:rsidRPr="00E3269B">
        <w:rPr>
          <w:rFonts w:ascii="Palatino Linotype" w:hAnsi="Palatino Linotype" w:eastAsia="Batang" w:cs="Tahoma"/>
          <w:sz w:val="22"/>
          <w:szCs w:val="22"/>
        </w:rPr>
        <w:t xml:space="preserve">, el </w:t>
      </w:r>
      <w:r w:rsidRPr="00E3269B">
        <w:rPr>
          <w:rFonts w:ascii="Palatino Linotype" w:hAnsi="Palatino Linotype" w:eastAsia="Batang" w:cs="Tahoma"/>
          <w:sz w:val="22"/>
          <w:szCs w:val="22"/>
          <w:lang w:val="es-ES"/>
        </w:rPr>
        <w:t>Sistema de Acceso a la Información Mexiquense (SAIMEX),</w:t>
      </w:r>
      <w:r w:rsidRPr="00E3269B">
        <w:rPr>
          <w:rFonts w:ascii="Palatino Linotype" w:hAnsi="Palatino Linotype" w:eastAsia="Batang" w:cs="Tahoma"/>
          <w:sz w:val="22"/>
          <w:szCs w:val="22"/>
        </w:rPr>
        <w:t xml:space="preserve"> asignó el número de expediente </w:t>
      </w:r>
      <w:r w:rsidRPr="00E3269B" w:rsidR="00DA0D89">
        <w:rPr>
          <w:rFonts w:ascii="Palatino Linotype" w:hAnsi="Palatino Linotype" w:eastAsia="Calibri" w:cs="Tahoma"/>
          <w:b/>
          <w:bCs/>
          <w:sz w:val="22"/>
          <w:szCs w:val="22"/>
        </w:rPr>
        <w:t>01566</w:t>
      </w:r>
      <w:r w:rsidRPr="00E3269B" w:rsidR="00226317">
        <w:rPr>
          <w:rFonts w:ascii="Palatino Linotype" w:hAnsi="Palatino Linotype" w:eastAsia="Calibri" w:cs="Tahoma"/>
          <w:b/>
          <w:bCs/>
          <w:sz w:val="22"/>
          <w:szCs w:val="22"/>
        </w:rPr>
        <w:t>/INFOEM/IP/RR/2022</w:t>
      </w:r>
      <w:r w:rsidRPr="00E3269B">
        <w:rPr>
          <w:rFonts w:ascii="Palatino Linotype" w:hAnsi="Palatino Linotype" w:eastAsia="Batang" w:cs="Tahoma"/>
          <w:sz w:val="22"/>
          <w:szCs w:val="22"/>
        </w:rPr>
        <w:t xml:space="preserve">, al medio de impugnación que nos ocupa, con base en el sistema </w:t>
      </w:r>
      <w:r w:rsidRPr="00E3269B">
        <w:rPr>
          <w:rFonts w:ascii="Palatino Linotype" w:hAnsi="Palatino Linotype" w:eastAsia="Batang" w:cs="Tahoma"/>
          <w:sz w:val="22"/>
          <w:szCs w:val="22"/>
        </w:rPr>
        <w:lastRenderedPageBreak/>
        <w:t xml:space="preserve">aprobado por el Pleno de este Órgano Garante y lo turnó al </w:t>
      </w:r>
      <w:r w:rsidRPr="00E3269B">
        <w:rPr>
          <w:rFonts w:ascii="Palatino Linotype" w:hAnsi="Palatino Linotype" w:eastAsia="Batang" w:cs="Tahoma"/>
          <w:b/>
          <w:bCs/>
          <w:sz w:val="22"/>
          <w:szCs w:val="22"/>
        </w:rPr>
        <w:t>Comisionado Ponente Luis Gustavo Parra Noriega</w:t>
      </w:r>
      <w:r w:rsidRPr="00E3269B">
        <w:rPr>
          <w:rFonts w:ascii="Palatino Linotype" w:hAnsi="Palatino Linotype" w:eastAsia="Batang" w:cs="Tahoma"/>
          <w:sz w:val="22"/>
          <w:szCs w:val="22"/>
        </w:rPr>
        <w:t>, para los efectos del artículo 185, fracción I de la Ley de Transparencia y Acceso a la Información Pública del Estado de México y Municipios.</w:t>
      </w:r>
    </w:p>
    <w:p w:rsidRPr="00E3269B" w:rsidR="00B03EDE" w:rsidP="00275B5D" w:rsidRDefault="00B03EDE" w14:paraId="59635DCE" w14:textId="77777777">
      <w:pPr>
        <w:spacing w:line="360" w:lineRule="auto"/>
        <w:jc w:val="both"/>
        <w:rPr>
          <w:rFonts w:ascii="Palatino Linotype" w:hAnsi="Palatino Linotype" w:eastAsia="Batang" w:cs="Tahoma"/>
          <w:b/>
          <w:bCs/>
          <w:sz w:val="22"/>
          <w:szCs w:val="22"/>
        </w:rPr>
      </w:pPr>
    </w:p>
    <w:p w:rsidRPr="00E3269B" w:rsidR="00B03EDE" w:rsidP="00275B5D" w:rsidRDefault="00B03EDE" w14:paraId="5412875E" w14:textId="0B80BE3C">
      <w:pPr>
        <w:spacing w:line="360" w:lineRule="auto"/>
        <w:jc w:val="both"/>
        <w:rPr>
          <w:rFonts w:ascii="Palatino Linotype" w:hAnsi="Palatino Linotype" w:eastAsia="Batang" w:cs="Tahoma"/>
          <w:b/>
          <w:bCs/>
          <w:sz w:val="22"/>
          <w:szCs w:val="22"/>
        </w:rPr>
      </w:pPr>
      <w:r w:rsidRPr="00E3269B">
        <w:rPr>
          <w:rFonts w:ascii="Palatino Linotype" w:hAnsi="Palatino Linotype" w:eastAsia="Batang" w:cs="Tahoma"/>
          <w:b/>
          <w:bCs/>
          <w:sz w:val="22"/>
          <w:szCs w:val="22"/>
        </w:rPr>
        <w:t>b) Admisión del Recurso de Revisión</w:t>
      </w:r>
      <w:r w:rsidRPr="00E3269B">
        <w:rPr>
          <w:rFonts w:ascii="Palatino Linotype" w:hAnsi="Palatino Linotype" w:eastAsia="Batang" w:cs="Tahoma"/>
          <w:b/>
          <w:bCs/>
          <w:sz w:val="22"/>
          <w:szCs w:val="22"/>
          <w:lang w:val="es-ES_tradnl"/>
        </w:rPr>
        <w:t xml:space="preserve">. </w:t>
      </w:r>
      <w:r w:rsidRPr="00E3269B">
        <w:rPr>
          <w:rFonts w:ascii="Palatino Linotype" w:hAnsi="Palatino Linotype" w:eastAsia="Batang" w:cs="Tahoma"/>
          <w:sz w:val="22"/>
          <w:szCs w:val="22"/>
          <w:lang w:val="es-ES_tradnl"/>
        </w:rPr>
        <w:t xml:space="preserve">El </w:t>
      </w:r>
      <w:r w:rsidRPr="00E3269B" w:rsidR="00DA0D89">
        <w:rPr>
          <w:rFonts w:ascii="Palatino Linotype" w:hAnsi="Palatino Linotype" w:eastAsia="Batang" w:cs="Tahoma"/>
          <w:sz w:val="22"/>
          <w:szCs w:val="22"/>
          <w:lang w:val="es-ES_tradnl"/>
        </w:rPr>
        <w:t xml:space="preserve">veintiocho de febrero </w:t>
      </w:r>
      <w:r w:rsidRPr="00E3269B">
        <w:rPr>
          <w:rFonts w:ascii="Palatino Linotype" w:hAnsi="Palatino Linotype" w:eastAsia="Batang" w:cs="Tahoma"/>
          <w:sz w:val="22"/>
          <w:szCs w:val="22"/>
          <w:lang w:val="es-ES_tradnl"/>
        </w:rPr>
        <w:t>de dos mil veinti</w:t>
      </w:r>
      <w:r w:rsidRPr="00E3269B" w:rsidR="00971829">
        <w:rPr>
          <w:rFonts w:ascii="Palatino Linotype" w:hAnsi="Palatino Linotype" w:eastAsia="Batang" w:cs="Tahoma"/>
          <w:sz w:val="22"/>
          <w:szCs w:val="22"/>
          <w:lang w:val="es-ES_tradnl"/>
        </w:rPr>
        <w:t>dós</w:t>
      </w:r>
      <w:r w:rsidRPr="00E3269B">
        <w:rPr>
          <w:rFonts w:ascii="Palatino Linotype" w:hAnsi="Palatino Linotype" w:eastAsia="Batang" w:cs="Tahoma"/>
          <w:sz w:val="22"/>
          <w:szCs w:val="22"/>
          <w:lang w:val="es-ES_tradnl"/>
        </w:rPr>
        <w:t xml:space="preserve">,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w:t>
      </w:r>
      <w:r w:rsidRPr="00E3269B" w:rsidR="00226317">
        <w:rPr>
          <w:rFonts w:ascii="Palatino Linotype" w:hAnsi="Palatino Linotype" w:eastAsia="Batang" w:cs="Tahoma"/>
          <w:sz w:val="22"/>
          <w:szCs w:val="22"/>
          <w:lang w:val="es-ES_tradnl"/>
        </w:rPr>
        <w:t>siete del mismo</w:t>
      </w:r>
      <w:r w:rsidRPr="00E3269B" w:rsidR="00B72741">
        <w:rPr>
          <w:rFonts w:ascii="Palatino Linotype" w:hAnsi="Palatino Linotype" w:eastAsia="Batang" w:cs="Tahoma"/>
          <w:sz w:val="22"/>
          <w:szCs w:val="22"/>
          <w:lang w:val="es-ES_tradnl"/>
        </w:rPr>
        <w:t xml:space="preserve"> </w:t>
      </w:r>
      <w:r w:rsidRPr="00E3269B" w:rsidR="00D510C5">
        <w:rPr>
          <w:rFonts w:ascii="Palatino Linotype" w:hAnsi="Palatino Linotype" w:eastAsia="Batang" w:cs="Tahoma"/>
          <w:sz w:val="22"/>
          <w:szCs w:val="22"/>
          <w:lang w:val="es-ES_tradnl"/>
        </w:rPr>
        <w:t>mes y año</w:t>
      </w:r>
      <w:r w:rsidRPr="00E3269B">
        <w:rPr>
          <w:rFonts w:ascii="Palatino Linotype" w:hAnsi="Palatino Linotype" w:eastAsia="Batang" w:cs="Tahoma"/>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E3269B" w:rsidR="00B03EDE" w:rsidP="00275B5D" w:rsidRDefault="00B03EDE" w14:paraId="65E011B0" w14:textId="77777777">
      <w:pPr>
        <w:spacing w:line="360" w:lineRule="auto"/>
        <w:jc w:val="both"/>
        <w:rPr>
          <w:rFonts w:ascii="Palatino Linotype" w:hAnsi="Palatino Linotype" w:eastAsia="Batang" w:cs="Tahoma"/>
          <w:bCs/>
          <w:sz w:val="22"/>
          <w:szCs w:val="22"/>
        </w:rPr>
      </w:pPr>
    </w:p>
    <w:p w:rsidRPr="00E3269B" w:rsidR="0067039B" w:rsidP="00275B5D" w:rsidRDefault="00B03EDE" w14:paraId="7AF152E2" w14:textId="515082A3">
      <w:pPr>
        <w:widowControl w:val="0"/>
        <w:spacing w:line="360" w:lineRule="auto"/>
        <w:jc w:val="both"/>
        <w:rPr>
          <w:rFonts w:ascii="Palatino Linotype" w:hAnsi="Palatino Linotype"/>
          <w:bCs/>
          <w:sz w:val="22"/>
          <w:szCs w:val="22"/>
          <w:lang w:val="es-ES_tradnl"/>
        </w:rPr>
      </w:pPr>
      <w:r w:rsidRPr="00E3269B">
        <w:rPr>
          <w:rFonts w:ascii="Palatino Linotype" w:hAnsi="Palatino Linotype"/>
          <w:b/>
          <w:bCs/>
          <w:sz w:val="22"/>
          <w:szCs w:val="22"/>
        </w:rPr>
        <w:t xml:space="preserve">c) </w:t>
      </w:r>
      <w:r w:rsidRPr="00E3269B">
        <w:rPr>
          <w:rFonts w:ascii="Palatino Linotype" w:hAnsi="Palatino Linotype"/>
          <w:b/>
          <w:sz w:val="22"/>
          <w:szCs w:val="22"/>
          <w:lang w:val="es-ES_tradnl"/>
        </w:rPr>
        <w:t>Informe Justificado</w:t>
      </w:r>
      <w:r w:rsidRPr="00E3269B" w:rsidR="00930F5B">
        <w:rPr>
          <w:rFonts w:ascii="Palatino Linotype" w:hAnsi="Palatino Linotype"/>
          <w:b/>
          <w:sz w:val="22"/>
          <w:szCs w:val="22"/>
          <w:lang w:val="es-ES_tradnl"/>
        </w:rPr>
        <w:t xml:space="preserve"> o manifestaciones</w:t>
      </w:r>
      <w:r w:rsidRPr="00E3269B">
        <w:rPr>
          <w:rFonts w:ascii="Palatino Linotype" w:hAnsi="Palatino Linotype"/>
          <w:b/>
          <w:sz w:val="22"/>
          <w:szCs w:val="22"/>
          <w:lang w:val="es-ES_tradnl"/>
        </w:rPr>
        <w:t xml:space="preserve">. </w:t>
      </w:r>
      <w:r w:rsidRPr="00E3269B" w:rsidR="00717A0C">
        <w:rPr>
          <w:rFonts w:ascii="Palatino Linotype" w:hAnsi="Palatino Linotype"/>
          <w:bCs/>
          <w:sz w:val="22"/>
          <w:szCs w:val="22"/>
          <w:lang w:val="es-ES_tradnl"/>
        </w:rPr>
        <w:t xml:space="preserve">El </w:t>
      </w:r>
      <w:r w:rsidRPr="00E3269B" w:rsidR="00DA0D89">
        <w:rPr>
          <w:rFonts w:ascii="Palatino Linotype" w:hAnsi="Palatino Linotype"/>
          <w:bCs/>
          <w:sz w:val="22"/>
          <w:szCs w:val="22"/>
          <w:lang w:val="es-ES_tradnl"/>
        </w:rPr>
        <w:t>primero</w:t>
      </w:r>
      <w:r w:rsidRPr="00E3269B" w:rsidR="00717A0C">
        <w:rPr>
          <w:rFonts w:ascii="Palatino Linotype" w:hAnsi="Palatino Linotype"/>
          <w:bCs/>
          <w:sz w:val="22"/>
          <w:szCs w:val="22"/>
          <w:lang w:val="es-ES_tradnl"/>
        </w:rPr>
        <w:t xml:space="preserve"> de </w:t>
      </w:r>
      <w:r w:rsidRPr="00E3269B" w:rsidR="00226317">
        <w:rPr>
          <w:rFonts w:ascii="Palatino Linotype" w:hAnsi="Palatino Linotype"/>
          <w:bCs/>
          <w:sz w:val="22"/>
          <w:szCs w:val="22"/>
          <w:lang w:val="es-ES_tradnl"/>
        </w:rPr>
        <w:t>marzo</w:t>
      </w:r>
      <w:r w:rsidRPr="00E3269B" w:rsidR="00717A0C">
        <w:rPr>
          <w:rFonts w:ascii="Palatino Linotype" w:hAnsi="Palatino Linotype"/>
          <w:bCs/>
          <w:sz w:val="22"/>
          <w:szCs w:val="22"/>
          <w:lang w:val="es-ES_tradnl"/>
        </w:rPr>
        <w:t xml:space="preserve"> de dos mil veinti</w:t>
      </w:r>
      <w:r w:rsidRPr="00E3269B" w:rsidR="00971829">
        <w:rPr>
          <w:rFonts w:ascii="Palatino Linotype" w:hAnsi="Palatino Linotype"/>
          <w:bCs/>
          <w:sz w:val="22"/>
          <w:szCs w:val="22"/>
          <w:lang w:val="es-ES_tradnl"/>
        </w:rPr>
        <w:t>dós</w:t>
      </w:r>
      <w:r w:rsidRPr="00E3269B" w:rsidR="00717A0C">
        <w:rPr>
          <w:rFonts w:ascii="Palatino Linotype" w:hAnsi="Palatino Linotype"/>
          <w:bCs/>
          <w:sz w:val="22"/>
          <w:szCs w:val="22"/>
          <w:lang w:val="es-ES_tradnl"/>
        </w:rPr>
        <w:t xml:space="preserve">, se recibió, a través de Sistema de Acceso a la Información Mexiquense (SAIMEX), el Informe Justificado del Sujeto Obligado, por medio del oficio </w:t>
      </w:r>
      <w:r w:rsidRPr="00E3269B" w:rsidR="00331F7E">
        <w:rPr>
          <w:rFonts w:ascii="Palatino Linotype" w:hAnsi="Palatino Linotype"/>
          <w:bCs/>
          <w:sz w:val="22"/>
          <w:szCs w:val="22"/>
          <w:lang w:val="es-ES_tradnl"/>
        </w:rPr>
        <w:t>núm</w:t>
      </w:r>
      <w:r w:rsidRPr="00E3269B" w:rsidR="006140C5">
        <w:rPr>
          <w:rFonts w:ascii="Palatino Linotype" w:hAnsi="Palatino Linotype"/>
          <w:bCs/>
          <w:sz w:val="22"/>
          <w:szCs w:val="22"/>
          <w:lang w:val="es-ES_tradnl"/>
        </w:rPr>
        <w:t>ero</w:t>
      </w:r>
      <w:r w:rsidRPr="00E3269B" w:rsidR="00331F7E">
        <w:rPr>
          <w:rFonts w:ascii="Palatino Linotype" w:hAnsi="Palatino Linotype"/>
          <w:bCs/>
          <w:sz w:val="22"/>
          <w:szCs w:val="22"/>
          <w:lang w:val="es-ES_tradnl"/>
        </w:rPr>
        <w:t xml:space="preserve"> </w:t>
      </w:r>
      <w:r w:rsidRPr="00E3269B" w:rsidR="00DA0D89">
        <w:rPr>
          <w:rFonts w:ascii="Palatino Linotype" w:hAnsi="Palatino Linotype"/>
          <w:bCs/>
          <w:sz w:val="22"/>
          <w:szCs w:val="22"/>
          <w:lang w:val="es-ES_tradnl"/>
        </w:rPr>
        <w:t>2070401210001S-UTS330/2022</w:t>
      </w:r>
      <w:r w:rsidRPr="00E3269B" w:rsidR="00717A0C">
        <w:rPr>
          <w:rFonts w:ascii="Palatino Linotype" w:hAnsi="Palatino Linotype"/>
          <w:bCs/>
          <w:sz w:val="22"/>
          <w:szCs w:val="22"/>
          <w:lang w:val="es-ES_tradnl"/>
        </w:rPr>
        <w:t xml:space="preserve">, </w:t>
      </w:r>
      <w:r w:rsidRPr="00E3269B" w:rsidR="00625557">
        <w:rPr>
          <w:rFonts w:ascii="Palatino Linotype" w:hAnsi="Palatino Linotype"/>
          <w:bCs/>
          <w:sz w:val="22"/>
          <w:szCs w:val="22"/>
          <w:lang w:val="es-ES_tradnl"/>
        </w:rPr>
        <w:t>suscrito por la</w:t>
      </w:r>
      <w:r w:rsidRPr="00E3269B" w:rsidR="00923AB3">
        <w:rPr>
          <w:rFonts w:ascii="Palatino Linotype" w:hAnsi="Palatino Linotype"/>
          <w:bCs/>
          <w:sz w:val="22"/>
          <w:szCs w:val="22"/>
          <w:lang w:val="es-ES_tradnl"/>
        </w:rPr>
        <w:t xml:space="preserve"> Titular de la Unidad</w:t>
      </w:r>
      <w:r w:rsidRPr="00E3269B" w:rsidR="00226317">
        <w:rPr>
          <w:rFonts w:ascii="Palatino Linotype" w:hAnsi="Palatino Linotype"/>
          <w:bCs/>
          <w:sz w:val="22"/>
          <w:szCs w:val="22"/>
          <w:lang w:val="es-ES_tradnl"/>
        </w:rPr>
        <w:t xml:space="preserve"> de Transparencia</w:t>
      </w:r>
      <w:r w:rsidRPr="00E3269B" w:rsidR="00711435">
        <w:rPr>
          <w:rFonts w:ascii="Palatino Linotype" w:hAnsi="Palatino Linotype"/>
          <w:bCs/>
          <w:sz w:val="22"/>
          <w:szCs w:val="22"/>
          <w:lang w:val="es-ES_tradnl"/>
        </w:rPr>
        <w:t>,</w:t>
      </w:r>
      <w:r w:rsidRPr="00E3269B" w:rsidR="00717A0C">
        <w:rPr>
          <w:rFonts w:ascii="Palatino Linotype" w:hAnsi="Palatino Linotype"/>
          <w:bCs/>
          <w:sz w:val="22"/>
          <w:szCs w:val="22"/>
          <w:lang w:val="es-ES_tradnl"/>
        </w:rPr>
        <w:t xml:space="preserve"> por medio del cual</w:t>
      </w:r>
      <w:r w:rsidRPr="00E3269B" w:rsidR="00A75C14">
        <w:rPr>
          <w:rFonts w:ascii="Palatino Linotype" w:hAnsi="Palatino Linotype"/>
          <w:bCs/>
          <w:sz w:val="22"/>
          <w:szCs w:val="22"/>
          <w:lang w:val="es-ES_tradnl"/>
        </w:rPr>
        <w:t xml:space="preserve"> </w:t>
      </w:r>
      <w:r w:rsidRPr="00E3269B" w:rsidR="00C51A56">
        <w:rPr>
          <w:rFonts w:ascii="Palatino Linotype" w:hAnsi="Palatino Linotype"/>
          <w:bCs/>
          <w:sz w:val="22"/>
          <w:szCs w:val="22"/>
          <w:lang w:val="es-ES_tradnl"/>
        </w:rPr>
        <w:t xml:space="preserve">manifiesta y expone lo siguiente: </w:t>
      </w:r>
    </w:p>
    <w:p w:rsidRPr="00E3269B" w:rsidR="00C1322E" w:rsidP="00275B5D" w:rsidRDefault="00C1322E" w14:paraId="5D71A762" w14:textId="77777777">
      <w:pPr>
        <w:pStyle w:val="Prrafodelista"/>
        <w:widowControl w:val="0"/>
        <w:spacing w:line="360" w:lineRule="auto"/>
        <w:ind w:left="1080" w:right="567"/>
        <w:jc w:val="both"/>
        <w:rPr>
          <w:rFonts w:ascii="Palatino Linotype" w:hAnsi="Palatino Linotype" w:cs="Tahoma"/>
          <w:bCs/>
          <w:szCs w:val="22"/>
        </w:rPr>
      </w:pPr>
      <w:bookmarkStart w:name="_Hlk84950917" w:id="1"/>
    </w:p>
    <w:p w:rsidRPr="00E3269B" w:rsidR="00331F7E" w:rsidP="00275B5D" w:rsidRDefault="00503A18" w14:paraId="0CE6FDEB" w14:textId="7165522F">
      <w:pPr>
        <w:pStyle w:val="Prrafodelista"/>
        <w:widowControl w:val="0"/>
        <w:spacing w:line="360" w:lineRule="auto"/>
        <w:ind w:left="567" w:right="567"/>
        <w:jc w:val="both"/>
        <w:rPr>
          <w:rFonts w:ascii="Palatino Linotype" w:hAnsi="Palatino Linotype" w:cs="Tahoma"/>
          <w:bCs/>
          <w:i/>
          <w:iCs/>
          <w:sz w:val="20"/>
          <w:szCs w:val="20"/>
        </w:rPr>
      </w:pPr>
      <w:r w:rsidRPr="00E3269B">
        <w:rPr>
          <w:rFonts w:ascii="Palatino Linotype" w:hAnsi="Palatino Linotype" w:cs="Tahoma"/>
          <w:bCs/>
          <w:i/>
          <w:iCs/>
          <w:sz w:val="20"/>
          <w:szCs w:val="20"/>
        </w:rPr>
        <w:t>“…</w:t>
      </w:r>
    </w:p>
    <w:p w:rsidRPr="00E3269B" w:rsidR="00D10A34" w:rsidP="00275B5D" w:rsidRDefault="00A91CA7" w14:paraId="11D0372F" w14:textId="5866C426">
      <w:pPr>
        <w:spacing w:line="360" w:lineRule="auto"/>
        <w:ind w:left="567" w:right="567"/>
        <w:jc w:val="both"/>
        <w:rPr>
          <w:rFonts w:ascii="Palatino Linotype" w:hAnsi="Palatino Linotype"/>
          <w:i/>
          <w:iCs/>
        </w:rPr>
      </w:pPr>
      <w:r w:rsidRPr="00E3269B">
        <w:rPr>
          <w:rFonts w:ascii="Palatino Linotype" w:hAnsi="Palatino Linotype"/>
          <w:i/>
          <w:iCs/>
        </w:rPr>
        <w:t xml:space="preserve">Por un error humano involuntario, no se adjuntaron los oficios números 207C04010400000/DHRT/01019/2020 de fecha 11 de septiembre de  2020, en el cual se informan las acciones para procedimientos quirúrgicos y anestésicos, el oficio número 207C04010400000/DHRT/0913/2021, del día 30 de junio de 2021 y 207C040010400000L/CSS/000930/2021 de fecha 18 de junio de 2021, todos emitidos por el Hospital Regional de Toluca, mediante los cuales e hace del conocimiento al personal de dicha </w:t>
      </w:r>
      <w:r w:rsidRPr="00E3269B">
        <w:rPr>
          <w:rFonts w:ascii="Palatino Linotype" w:hAnsi="Palatino Linotype"/>
          <w:i/>
          <w:iCs/>
        </w:rPr>
        <w:lastRenderedPageBreak/>
        <w:t>unidad, los Lineamientos para un regreso seguro a las actividades médico quirúrgico asistenciales en semáforo epidemiológico verde, los cuales se anexan al presente.</w:t>
      </w:r>
    </w:p>
    <w:p w:rsidRPr="00E3269B" w:rsidR="00A91CA7" w:rsidP="00275B5D" w:rsidRDefault="00A91CA7" w14:paraId="6DDE8389" w14:textId="561A0104">
      <w:pPr>
        <w:spacing w:line="360" w:lineRule="auto"/>
        <w:ind w:left="567" w:right="567"/>
        <w:jc w:val="both"/>
        <w:rPr>
          <w:rFonts w:ascii="Palatino Linotype" w:hAnsi="Palatino Linotype"/>
          <w:i/>
          <w:iCs/>
        </w:rPr>
      </w:pPr>
      <w:r w:rsidRPr="00E3269B">
        <w:rPr>
          <w:rFonts w:ascii="Palatino Linotype" w:hAnsi="Palatino Linotype"/>
          <w:i/>
          <w:iCs/>
        </w:rPr>
        <w:t>…</w:t>
      </w:r>
    </w:p>
    <w:p w:rsidR="00A91CA7" w:rsidP="00275B5D" w:rsidRDefault="00A91CA7" w14:paraId="54842E89" w14:textId="6BD8D21D">
      <w:pPr>
        <w:spacing w:line="360" w:lineRule="auto"/>
        <w:ind w:left="567" w:right="567"/>
        <w:jc w:val="both"/>
        <w:rPr>
          <w:rFonts w:ascii="Palatino Linotype" w:hAnsi="Palatino Linotype"/>
          <w:i/>
          <w:iCs/>
        </w:rPr>
      </w:pPr>
      <w:r w:rsidRPr="00E3269B">
        <w:rPr>
          <w:rFonts w:ascii="Palatino Linotype" w:hAnsi="Palatino Linotype"/>
          <w:i/>
          <w:iCs/>
        </w:rPr>
        <w:t>Se adjuntan al presente:</w:t>
      </w:r>
    </w:p>
    <w:p w:rsidRPr="00E3269B" w:rsidR="00A91CA7" w:rsidP="00275B5D" w:rsidRDefault="00A91CA7" w14:paraId="4193FF14" w14:textId="448CEFF6">
      <w:pPr>
        <w:spacing w:line="360" w:lineRule="auto"/>
        <w:ind w:left="567" w:right="567"/>
        <w:jc w:val="both"/>
        <w:rPr>
          <w:rFonts w:ascii="Palatino Linotype" w:hAnsi="Palatino Linotype"/>
          <w:i/>
          <w:iCs/>
        </w:rPr>
      </w:pPr>
      <w:r w:rsidRPr="00E3269B">
        <w:rPr>
          <w:rFonts w:ascii="Palatino Linotype" w:hAnsi="Palatino Linotype"/>
          <w:i/>
          <w:iCs/>
        </w:rPr>
        <w:t>1.- Oficio número 207C04010400000/DHRT/01019/2020 de fecha 11 de septiembre de  2020.</w:t>
      </w:r>
    </w:p>
    <w:p w:rsidRPr="00E3269B" w:rsidR="00A91CA7" w:rsidP="00275B5D" w:rsidRDefault="00A91CA7" w14:paraId="6F794394" w14:textId="77777777">
      <w:pPr>
        <w:spacing w:line="360" w:lineRule="auto"/>
        <w:ind w:left="567" w:right="567"/>
        <w:jc w:val="both"/>
        <w:rPr>
          <w:rFonts w:ascii="Palatino Linotype" w:hAnsi="Palatino Linotype"/>
          <w:i/>
          <w:iCs/>
        </w:rPr>
      </w:pPr>
      <w:r w:rsidRPr="00E3269B">
        <w:rPr>
          <w:rFonts w:ascii="Palatino Linotype" w:hAnsi="Palatino Linotype"/>
          <w:i/>
          <w:iCs/>
        </w:rPr>
        <w:t>2.- Oficio número 207C04010400000/DHRT/0913/2021, del día 30 de junio de 2021.</w:t>
      </w:r>
    </w:p>
    <w:p w:rsidRPr="00E3269B" w:rsidR="00A91CA7" w:rsidP="00275B5D" w:rsidRDefault="00A91CA7" w14:paraId="09B8CFC5" w14:textId="0833C158">
      <w:pPr>
        <w:spacing w:line="360" w:lineRule="auto"/>
        <w:ind w:left="567" w:right="567"/>
        <w:jc w:val="both"/>
        <w:rPr>
          <w:rFonts w:ascii="Palatino Linotype" w:hAnsi="Palatino Linotype"/>
          <w:i/>
          <w:iCs/>
        </w:rPr>
      </w:pPr>
      <w:r w:rsidRPr="00E3269B">
        <w:rPr>
          <w:rFonts w:ascii="Palatino Linotype" w:hAnsi="Palatino Linotype"/>
          <w:i/>
          <w:iCs/>
        </w:rPr>
        <w:t>3.- Oficio 207C040010400000L/CSS/000930/2021 de fecha 18 de junio de 2021</w:t>
      </w:r>
    </w:p>
    <w:p w:rsidRPr="00E3269B" w:rsidR="00682618" w:rsidP="00275B5D" w:rsidRDefault="00474B0B" w14:paraId="25C81E92" w14:textId="3CB0B151">
      <w:pPr>
        <w:spacing w:line="360" w:lineRule="auto"/>
        <w:ind w:left="567" w:right="567"/>
        <w:jc w:val="both"/>
        <w:rPr>
          <w:rFonts w:ascii="Palatino Linotype" w:hAnsi="Palatino Linotype"/>
          <w:noProof/>
        </w:rPr>
      </w:pPr>
      <w:r w:rsidRPr="00E3269B">
        <w:rPr>
          <w:rFonts w:ascii="Palatino Linotype" w:hAnsi="Palatino Linotype"/>
          <w:i/>
          <w:iCs/>
        </w:rPr>
        <w:t>…</w:t>
      </w:r>
      <w:r w:rsidRPr="00E3269B" w:rsidR="008D7D3D">
        <w:rPr>
          <w:rFonts w:ascii="Palatino Linotype" w:hAnsi="Palatino Linotype"/>
          <w:i/>
          <w:iCs/>
        </w:rPr>
        <w:t>”</w:t>
      </w:r>
    </w:p>
    <w:bookmarkEnd w:id="1"/>
    <w:p w:rsidRPr="00E3269B" w:rsidR="00682618" w:rsidP="00275B5D" w:rsidRDefault="00682618" w14:paraId="0599A535" w14:textId="77777777">
      <w:pPr>
        <w:widowControl w:val="0"/>
        <w:spacing w:line="360" w:lineRule="auto"/>
        <w:jc w:val="both"/>
        <w:rPr>
          <w:rFonts w:ascii="Palatino Linotype" w:hAnsi="Palatino Linotype"/>
          <w:sz w:val="22"/>
          <w:szCs w:val="22"/>
          <w:lang w:val="es-ES_tradnl"/>
        </w:rPr>
      </w:pPr>
    </w:p>
    <w:p w:rsidRPr="00E3269B" w:rsidR="003D2454" w:rsidP="006B1C63" w:rsidRDefault="003D2454" w14:paraId="4AE048BE" w14:textId="2DEA6A8D">
      <w:pPr>
        <w:widowControl w:val="0"/>
        <w:spacing w:line="360" w:lineRule="auto"/>
        <w:jc w:val="both"/>
        <w:rPr>
          <w:rFonts w:ascii="Palatino Linotype" w:hAnsi="Palatino Linotype"/>
          <w:sz w:val="22"/>
          <w:szCs w:val="22"/>
          <w:lang w:val="es-ES_tradnl"/>
        </w:rPr>
      </w:pPr>
      <w:r w:rsidRPr="00E3269B">
        <w:rPr>
          <w:rFonts w:ascii="Palatino Linotype" w:hAnsi="Palatino Linotype"/>
          <w:sz w:val="22"/>
          <w:szCs w:val="22"/>
          <w:lang w:val="es-ES_tradnl"/>
        </w:rPr>
        <w:t>El Sujeto Obliga</w:t>
      </w:r>
      <w:r w:rsidRPr="00E3269B" w:rsidR="006B1C63">
        <w:rPr>
          <w:rFonts w:ascii="Palatino Linotype" w:hAnsi="Palatino Linotype"/>
          <w:sz w:val="22"/>
          <w:szCs w:val="22"/>
          <w:lang w:val="es-ES_tradnl"/>
        </w:rPr>
        <w:t>do adjuntó la digitalización de</w:t>
      </w:r>
      <w:r w:rsidRPr="00E3269B">
        <w:rPr>
          <w:rFonts w:ascii="Palatino Linotype" w:hAnsi="Palatino Linotype"/>
          <w:sz w:val="22"/>
          <w:szCs w:val="22"/>
          <w:lang w:val="es-ES_tradnl"/>
        </w:rPr>
        <w:t xml:space="preserve"> </w:t>
      </w:r>
      <w:r w:rsidRPr="00E3269B" w:rsidR="006B1C63">
        <w:rPr>
          <w:rFonts w:ascii="Palatino Linotype" w:hAnsi="Palatino Linotype"/>
          <w:sz w:val="22"/>
          <w:szCs w:val="22"/>
          <w:lang w:val="es-ES_tradnl"/>
        </w:rPr>
        <w:t>los oficios 207C04010400000/DHRT/01019/2020,  207C04010400000/DHRT/0913/2021, y 207C040010400000L/CSS/000930/2021.</w:t>
      </w:r>
    </w:p>
    <w:p w:rsidRPr="00E3269B" w:rsidR="003D2454" w:rsidP="00275B5D" w:rsidRDefault="003D2454" w14:paraId="19537685" w14:textId="77777777">
      <w:pPr>
        <w:widowControl w:val="0"/>
        <w:spacing w:line="360" w:lineRule="auto"/>
        <w:jc w:val="both"/>
        <w:rPr>
          <w:rFonts w:ascii="Palatino Linotype" w:hAnsi="Palatino Linotype"/>
          <w:b/>
          <w:sz w:val="22"/>
          <w:szCs w:val="22"/>
          <w:lang w:val="es-ES_tradnl"/>
        </w:rPr>
      </w:pPr>
    </w:p>
    <w:p w:rsidRPr="00E3269B" w:rsidR="00625557" w:rsidP="00625557" w:rsidRDefault="00625557" w14:paraId="5BC78526" w14:textId="3A418143">
      <w:pPr>
        <w:widowControl w:val="0"/>
        <w:spacing w:line="360" w:lineRule="auto"/>
        <w:jc w:val="both"/>
        <w:rPr>
          <w:rFonts w:ascii="Palatino Linotype" w:hAnsi="Palatino Linotype"/>
          <w:bCs/>
          <w:sz w:val="22"/>
          <w:szCs w:val="22"/>
          <w:lang w:val="es-ES_tradnl"/>
        </w:rPr>
      </w:pPr>
      <w:r w:rsidRPr="00E3269B">
        <w:rPr>
          <w:rFonts w:ascii="Palatino Linotype" w:hAnsi="Palatino Linotype"/>
          <w:b/>
          <w:sz w:val="22"/>
          <w:szCs w:val="22"/>
          <w:lang w:val="es-ES_tradnl"/>
        </w:rPr>
        <w:t>d) Ampliación de plazo para resolver.</w:t>
      </w:r>
      <w:r w:rsidRPr="00E3269B">
        <w:rPr>
          <w:rFonts w:ascii="Palatino Linotype" w:hAnsi="Palatino Linotype"/>
          <w:bCs/>
          <w:sz w:val="22"/>
          <w:szCs w:val="22"/>
          <w:lang w:val="es-ES_tradnl"/>
        </w:rPr>
        <w:t xml:space="preserve"> El veinte de abril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el veintinueve </w:t>
      </w:r>
      <w:r w:rsidR="00891FDF">
        <w:rPr>
          <w:rFonts w:ascii="Palatino Linotype" w:hAnsi="Palatino Linotype"/>
          <w:bCs/>
          <w:sz w:val="22"/>
          <w:szCs w:val="22"/>
          <w:lang w:val="es-ES_tradnl"/>
        </w:rPr>
        <w:t>de dicho mes y año</w:t>
      </w:r>
      <w:r w:rsidRPr="00E3269B">
        <w:rPr>
          <w:rFonts w:ascii="Palatino Linotype" w:hAnsi="Palatino Linotype"/>
          <w:bCs/>
          <w:sz w:val="22"/>
          <w:szCs w:val="22"/>
          <w:lang w:val="es-ES_tradnl"/>
        </w:rPr>
        <w:t>, mediante el Sistema de Acceso a la Información Mexiquense (SAIMEX).</w:t>
      </w:r>
    </w:p>
    <w:p w:rsidRPr="00E3269B" w:rsidR="00625557" w:rsidP="00275B5D" w:rsidRDefault="00625557" w14:paraId="47DD960A" w14:textId="77777777">
      <w:pPr>
        <w:widowControl w:val="0"/>
        <w:spacing w:line="360" w:lineRule="auto"/>
        <w:jc w:val="both"/>
        <w:rPr>
          <w:rFonts w:ascii="Palatino Linotype" w:hAnsi="Palatino Linotype"/>
          <w:b/>
          <w:sz w:val="22"/>
          <w:szCs w:val="22"/>
          <w:lang w:val="es-ES_tradnl"/>
        </w:rPr>
      </w:pPr>
    </w:p>
    <w:p w:rsidRPr="00E3269B" w:rsidR="00717A0C" w:rsidP="00275B5D" w:rsidRDefault="00967698" w14:paraId="300463F4" w14:textId="27D2274D">
      <w:pPr>
        <w:widowControl w:val="0"/>
        <w:spacing w:line="360" w:lineRule="auto"/>
        <w:jc w:val="both"/>
        <w:rPr>
          <w:rFonts w:ascii="Palatino Linotype" w:hAnsi="Palatino Linotype"/>
          <w:bCs/>
          <w:sz w:val="22"/>
          <w:szCs w:val="22"/>
          <w:lang w:val="es-ES_tradnl"/>
        </w:rPr>
      </w:pPr>
      <w:r w:rsidRPr="00E3269B">
        <w:rPr>
          <w:rFonts w:ascii="Palatino Linotype" w:hAnsi="Palatino Linotype"/>
          <w:b/>
          <w:sz w:val="22"/>
          <w:szCs w:val="22"/>
          <w:lang w:val="es-ES_tradnl"/>
        </w:rPr>
        <w:t xml:space="preserve">e) </w:t>
      </w:r>
      <w:r w:rsidRPr="00E3269B" w:rsidR="00F03133">
        <w:rPr>
          <w:rFonts w:ascii="Palatino Linotype" w:hAnsi="Palatino Linotype"/>
          <w:b/>
          <w:sz w:val="22"/>
          <w:szCs w:val="22"/>
          <w:lang w:val="es-ES_tradnl"/>
        </w:rPr>
        <w:t>Vista del Informe Justificado.</w:t>
      </w:r>
      <w:r w:rsidRPr="00E3269B" w:rsidR="00F03133">
        <w:rPr>
          <w:rFonts w:ascii="Palatino Linotype" w:hAnsi="Palatino Linotype"/>
          <w:bCs/>
          <w:sz w:val="22"/>
          <w:szCs w:val="22"/>
          <w:lang w:val="es-ES_tradnl"/>
        </w:rPr>
        <w:t xml:space="preserve"> El </w:t>
      </w:r>
      <w:r w:rsidRPr="00E3269B" w:rsidR="006B1C63">
        <w:rPr>
          <w:rFonts w:ascii="Palatino Linotype" w:hAnsi="Palatino Linotype"/>
          <w:bCs/>
          <w:sz w:val="22"/>
          <w:szCs w:val="22"/>
          <w:lang w:val="es-ES_tradnl"/>
        </w:rPr>
        <w:t>dos de mayo</w:t>
      </w:r>
      <w:r w:rsidRPr="00E3269B">
        <w:rPr>
          <w:rFonts w:ascii="Palatino Linotype" w:hAnsi="Palatino Linotype"/>
          <w:bCs/>
          <w:sz w:val="22"/>
          <w:szCs w:val="22"/>
          <w:lang w:val="es-ES_tradnl"/>
        </w:rPr>
        <w:t xml:space="preserve"> de dos mil veintidós</w:t>
      </w:r>
      <w:r w:rsidRPr="00E3269B" w:rsidR="00F03133">
        <w:rPr>
          <w:rFonts w:ascii="Palatino Linotype" w:hAnsi="Palatino Linotype"/>
          <w:bCs/>
          <w:sz w:val="22"/>
          <w:szCs w:val="22"/>
          <w:lang w:val="es-ES_tradnl"/>
        </w:rPr>
        <w:t xml:space="preserve">, </w:t>
      </w:r>
      <w:r w:rsidRPr="00E3269B" w:rsidR="004529ED">
        <w:rPr>
          <w:rFonts w:ascii="Palatino Linotype" w:hAnsi="Palatino Linotype"/>
          <w:bCs/>
          <w:sz w:val="22"/>
          <w:szCs w:val="22"/>
          <w:lang w:val="es-ES_tradnl"/>
        </w:rPr>
        <w:t xml:space="preserve">se dictó acuerdo mediante el cual se puso a la vista del Particular el Informe Justificado, entregado por el Sujeto Obligado, </w:t>
      </w:r>
      <w:r w:rsidR="00BB634D">
        <w:rPr>
          <w:rFonts w:ascii="Palatino Linotype" w:hAnsi="Palatino Linotype"/>
          <w:bCs/>
          <w:sz w:val="22"/>
          <w:szCs w:val="22"/>
          <w:lang w:val="es-ES_tradnl"/>
        </w:rPr>
        <w:t>dado que modificaba la respuesta inicial</w:t>
      </w:r>
      <w:r w:rsidRPr="00E3269B" w:rsidR="004529ED">
        <w:rPr>
          <w:rFonts w:ascii="Palatino Linotype" w:hAnsi="Palatino Linotype"/>
          <w:bCs/>
          <w:sz w:val="22"/>
          <w:szCs w:val="22"/>
          <w:lang w:val="es-ES_tradnl"/>
        </w:rPr>
        <w:t>, el cual fue notificado a las partes</w:t>
      </w:r>
      <w:r w:rsidR="00891FDF">
        <w:rPr>
          <w:rFonts w:ascii="Palatino Linotype" w:hAnsi="Palatino Linotype"/>
          <w:bCs/>
          <w:sz w:val="22"/>
          <w:szCs w:val="22"/>
          <w:lang w:val="es-ES_tradnl"/>
        </w:rPr>
        <w:t>, el mismo día</w:t>
      </w:r>
      <w:r w:rsidRPr="00E3269B" w:rsidR="004529ED">
        <w:rPr>
          <w:rFonts w:ascii="Palatino Linotype" w:hAnsi="Palatino Linotype"/>
          <w:bCs/>
          <w:sz w:val="22"/>
          <w:szCs w:val="22"/>
          <w:lang w:val="es-ES_tradnl"/>
        </w:rPr>
        <w:t xml:space="preserve">, a través del Sistema de Acceso a la Información Mexiquense (SAIMEX). </w:t>
      </w:r>
      <w:r w:rsidRPr="00E3269B" w:rsidR="004529ED">
        <w:rPr>
          <w:rFonts w:ascii="Palatino Linotype" w:hAnsi="Palatino Linotype"/>
          <w:b/>
          <w:sz w:val="22"/>
          <w:szCs w:val="22"/>
          <w:lang w:val="es-ES_tradnl"/>
        </w:rPr>
        <w:t>Cabe señalar que el Recurrente fue omiso en realizar alguna manifestación que a su derecho conviniera y asistiera.</w:t>
      </w:r>
      <w:r w:rsidRPr="00E3269B" w:rsidR="004529ED">
        <w:rPr>
          <w:rFonts w:ascii="Palatino Linotype" w:hAnsi="Palatino Linotype"/>
          <w:bCs/>
          <w:sz w:val="22"/>
          <w:szCs w:val="22"/>
          <w:lang w:val="es-ES_tradnl"/>
        </w:rPr>
        <w:t xml:space="preserve"> </w:t>
      </w:r>
    </w:p>
    <w:p w:rsidRPr="00E3269B" w:rsidR="00B03EDE" w:rsidP="00275B5D" w:rsidRDefault="00625557" w14:paraId="1AD10A0A" w14:textId="264404AB">
      <w:pPr>
        <w:spacing w:line="360" w:lineRule="auto"/>
        <w:jc w:val="both"/>
        <w:rPr>
          <w:rFonts w:ascii="Palatino Linotype" w:hAnsi="Palatino Linotype" w:cs="Tahoma"/>
          <w:sz w:val="22"/>
          <w:szCs w:val="22"/>
        </w:rPr>
      </w:pPr>
      <w:r w:rsidRPr="00E3269B">
        <w:rPr>
          <w:rFonts w:ascii="Palatino Linotype" w:hAnsi="Palatino Linotype" w:cs="Tahoma"/>
          <w:b/>
          <w:sz w:val="22"/>
          <w:szCs w:val="22"/>
        </w:rPr>
        <w:lastRenderedPageBreak/>
        <w:t>f</w:t>
      </w:r>
      <w:r w:rsidRPr="00E3269B" w:rsidR="00B03EDE">
        <w:rPr>
          <w:rFonts w:ascii="Palatino Linotype" w:hAnsi="Palatino Linotype" w:cs="Tahoma"/>
          <w:b/>
          <w:sz w:val="22"/>
          <w:szCs w:val="22"/>
        </w:rPr>
        <w:t>) Cierre de instrucción.</w:t>
      </w:r>
      <w:r w:rsidRPr="00E3269B" w:rsidR="00B03EDE">
        <w:rPr>
          <w:rFonts w:ascii="Palatino Linotype" w:hAnsi="Palatino Linotype" w:cs="Tahoma"/>
          <w:sz w:val="22"/>
          <w:szCs w:val="22"/>
        </w:rPr>
        <w:t xml:space="preserve"> El </w:t>
      </w:r>
      <w:r w:rsidRPr="00E3269B" w:rsidR="006B1C63">
        <w:rPr>
          <w:rFonts w:ascii="Palatino Linotype" w:hAnsi="Palatino Linotype" w:cs="Tahoma"/>
          <w:sz w:val="22"/>
          <w:szCs w:val="22"/>
        </w:rPr>
        <w:t>seis de mayo</w:t>
      </w:r>
      <w:r w:rsidRPr="00E3269B" w:rsidR="00967698">
        <w:rPr>
          <w:rFonts w:ascii="Palatino Linotype" w:hAnsi="Palatino Linotype" w:cs="Tahoma"/>
          <w:sz w:val="22"/>
          <w:szCs w:val="22"/>
          <w:lang w:val="es-ES"/>
        </w:rPr>
        <w:t xml:space="preserve"> de dos mil veintidós</w:t>
      </w:r>
      <w:r w:rsidRPr="00E3269B" w:rsidR="00B03EDE">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E3269B" w:rsidR="00B03EDE">
        <w:rPr>
          <w:rFonts w:ascii="Palatino Linotype" w:hAnsi="Palatino Linotype" w:cs="Tahoma"/>
          <w:sz w:val="22"/>
          <w:szCs w:val="22"/>
          <w:lang w:val="es-ES"/>
        </w:rPr>
        <w:t>Sistema de Acceso a la Información Mexiquense (SAIMEX)</w:t>
      </w:r>
      <w:r w:rsidRPr="00E3269B" w:rsidR="00B03EDE">
        <w:rPr>
          <w:rFonts w:ascii="Palatino Linotype" w:hAnsi="Palatino Linotype" w:cs="Tahoma"/>
          <w:sz w:val="22"/>
          <w:szCs w:val="22"/>
        </w:rPr>
        <w:t>.</w:t>
      </w:r>
    </w:p>
    <w:p w:rsidRPr="00E3269B" w:rsidR="00625557" w:rsidP="00275B5D" w:rsidRDefault="00625557" w14:paraId="1A73DCE1" w14:textId="77777777">
      <w:pPr>
        <w:spacing w:line="360" w:lineRule="auto"/>
        <w:jc w:val="both"/>
        <w:rPr>
          <w:rFonts w:ascii="Palatino Linotype" w:hAnsi="Palatino Linotype" w:cs="Tahoma"/>
          <w:color w:val="000000"/>
          <w:sz w:val="22"/>
          <w:szCs w:val="22"/>
        </w:rPr>
      </w:pPr>
    </w:p>
    <w:p w:rsidRPr="00E3269B" w:rsidR="00B03EDE" w:rsidP="00275B5D" w:rsidRDefault="00B03EDE" w14:paraId="6595EA97" w14:textId="77777777">
      <w:pPr>
        <w:spacing w:line="360" w:lineRule="auto"/>
        <w:jc w:val="both"/>
        <w:rPr>
          <w:rFonts w:ascii="Palatino Linotype" w:hAnsi="Palatino Linotype" w:cs="Tahoma"/>
          <w:color w:val="000000"/>
          <w:sz w:val="22"/>
          <w:szCs w:val="22"/>
        </w:rPr>
      </w:pPr>
      <w:r w:rsidRPr="00E3269B">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E3269B" w:rsidR="00B03EDE" w:rsidP="00275B5D" w:rsidRDefault="00B03EDE" w14:paraId="42A8DE4F" w14:textId="77777777">
      <w:pPr>
        <w:spacing w:line="360" w:lineRule="auto"/>
        <w:jc w:val="center"/>
        <w:rPr>
          <w:rFonts w:ascii="Palatino Linotype" w:hAnsi="Palatino Linotype" w:cs="Tahoma"/>
          <w:b/>
          <w:sz w:val="22"/>
          <w:szCs w:val="22"/>
        </w:rPr>
      </w:pPr>
      <w:r w:rsidRPr="00E3269B">
        <w:rPr>
          <w:rFonts w:ascii="Palatino Linotype" w:hAnsi="Palatino Linotype" w:cs="Tahoma"/>
          <w:b/>
          <w:sz w:val="22"/>
          <w:szCs w:val="22"/>
        </w:rPr>
        <w:t>C O N S I D E R A N D O S</w:t>
      </w:r>
    </w:p>
    <w:p w:rsidRPr="00E3269B" w:rsidR="00B03EDE" w:rsidP="00275B5D" w:rsidRDefault="00B03EDE" w14:paraId="63655676" w14:textId="77777777">
      <w:pPr>
        <w:spacing w:line="360" w:lineRule="auto"/>
        <w:rPr>
          <w:rFonts w:ascii="Palatino Linotype" w:hAnsi="Palatino Linotype" w:cs="Tahoma"/>
          <w:b/>
          <w:sz w:val="22"/>
          <w:szCs w:val="22"/>
        </w:rPr>
      </w:pPr>
    </w:p>
    <w:p w:rsidRPr="00E3269B" w:rsidR="00962E78" w:rsidP="00275B5D" w:rsidRDefault="00962E78" w14:paraId="56997B87" w14:textId="77777777">
      <w:pPr>
        <w:spacing w:line="360" w:lineRule="auto"/>
        <w:jc w:val="both"/>
        <w:rPr>
          <w:rFonts w:ascii="Palatino Linotype" w:hAnsi="Palatino Linotype" w:eastAsia="Batang" w:cs="Tahoma"/>
          <w:b/>
          <w:bCs/>
          <w:sz w:val="22"/>
          <w:szCs w:val="22"/>
        </w:rPr>
      </w:pPr>
      <w:r w:rsidRPr="00E3269B">
        <w:rPr>
          <w:rFonts w:ascii="Palatino Linotype" w:hAnsi="Palatino Linotype" w:eastAsia="Batang" w:cs="Tahoma"/>
          <w:b/>
          <w:bCs/>
          <w:sz w:val="22"/>
          <w:szCs w:val="22"/>
        </w:rPr>
        <w:t xml:space="preserve">PRIMERO. Competencia. </w:t>
      </w:r>
    </w:p>
    <w:p w:rsidRPr="00E3269B" w:rsidR="00962E78" w:rsidP="00275B5D" w:rsidRDefault="00962E78" w14:paraId="5924D111" w14:textId="77777777">
      <w:pPr>
        <w:spacing w:line="360" w:lineRule="auto"/>
        <w:jc w:val="both"/>
        <w:rPr>
          <w:rFonts w:ascii="Palatino Linotype" w:hAnsi="Palatino Linotype" w:eastAsia="Batang" w:cs="Tahoma"/>
          <w:b/>
          <w:bCs/>
          <w:sz w:val="22"/>
          <w:szCs w:val="22"/>
        </w:rPr>
      </w:pPr>
    </w:p>
    <w:p w:rsidRPr="00E3269B" w:rsidR="00962E78" w:rsidP="00275B5D" w:rsidRDefault="00962E78" w14:paraId="74757002" w14:textId="77777777">
      <w:pPr>
        <w:spacing w:line="360" w:lineRule="auto"/>
        <w:jc w:val="both"/>
        <w:rPr>
          <w:rFonts w:ascii="Palatino Linotype" w:hAnsi="Palatino Linotype" w:cs="Tahoma"/>
          <w:bCs/>
          <w:sz w:val="22"/>
          <w:szCs w:val="22"/>
        </w:rPr>
      </w:pPr>
      <w:bookmarkStart w:name="_Hlk63334754" w:id="2"/>
      <w:r w:rsidRPr="00E3269B">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3269B">
        <w:rPr>
          <w:rFonts w:ascii="Palatino Linotype" w:hAnsi="Palatino Linotype"/>
          <w:bCs/>
          <w:sz w:val="22"/>
          <w:szCs w:val="22"/>
        </w:rPr>
        <w:t xml:space="preserve"> 7°, </w:t>
      </w:r>
      <w:r w:rsidRPr="00E3269B">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bookmarkEnd w:id="2"/>
    <w:p w:rsidRPr="00E3269B" w:rsidR="0084610A" w:rsidP="00275B5D" w:rsidRDefault="0084610A" w14:paraId="7745D552" w14:textId="529F4F2C">
      <w:pPr>
        <w:spacing w:line="360" w:lineRule="auto"/>
        <w:jc w:val="both"/>
        <w:rPr>
          <w:rFonts w:ascii="Palatino Linotype" w:hAnsi="Palatino Linotype" w:cs="Tahoma"/>
          <w:b/>
          <w:bCs/>
          <w:sz w:val="22"/>
          <w:szCs w:val="24"/>
          <w:lang w:val="es-ES"/>
        </w:rPr>
      </w:pPr>
      <w:r w:rsidRPr="00E3269B">
        <w:rPr>
          <w:rFonts w:ascii="Palatino Linotype" w:hAnsi="Palatino Linotype" w:eastAsia="Calibri" w:cs="Tahoma"/>
          <w:b/>
          <w:color w:val="000000"/>
          <w:sz w:val="22"/>
          <w:szCs w:val="24"/>
          <w:lang w:val="es-ES" w:eastAsia="es-MX"/>
        </w:rPr>
        <w:lastRenderedPageBreak/>
        <w:t>SEGUNDO</w:t>
      </w:r>
      <w:r w:rsidRPr="00E3269B">
        <w:rPr>
          <w:rFonts w:ascii="Palatino Linotype" w:hAnsi="Palatino Linotype" w:eastAsia="Calibri" w:cs="Tahoma"/>
          <w:color w:val="000000"/>
          <w:sz w:val="22"/>
          <w:szCs w:val="24"/>
          <w:lang w:val="es-ES" w:eastAsia="es-MX"/>
        </w:rPr>
        <w:t xml:space="preserve">. </w:t>
      </w:r>
      <w:r w:rsidRPr="00E3269B">
        <w:rPr>
          <w:rFonts w:ascii="Palatino Linotype" w:hAnsi="Palatino Linotype" w:cs="Tahoma"/>
          <w:b/>
          <w:bCs/>
          <w:sz w:val="22"/>
          <w:szCs w:val="24"/>
          <w:lang w:val="es-ES"/>
        </w:rPr>
        <w:t>Causales de improcedencia.</w:t>
      </w:r>
    </w:p>
    <w:p w:rsidRPr="00E3269B" w:rsidR="00452CE8" w:rsidP="00275B5D" w:rsidRDefault="00452CE8" w14:paraId="1B98EEEC" w14:textId="77777777">
      <w:pPr>
        <w:spacing w:line="360" w:lineRule="auto"/>
        <w:jc w:val="both"/>
        <w:rPr>
          <w:rFonts w:ascii="Palatino Linotype" w:hAnsi="Palatino Linotype" w:cs="Tahoma"/>
          <w:b/>
          <w:bCs/>
          <w:sz w:val="22"/>
          <w:szCs w:val="24"/>
          <w:lang w:val="es-ES"/>
        </w:rPr>
      </w:pPr>
    </w:p>
    <w:p w:rsidRPr="00E3269B" w:rsidR="0084610A" w:rsidP="00275B5D" w:rsidRDefault="0084610A" w14:paraId="4D1593C3" w14:textId="77777777">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3269B" w:rsidR="0084610A" w:rsidP="00275B5D" w:rsidRDefault="0084610A" w14:paraId="4FD28C1C" w14:textId="77777777">
      <w:pPr>
        <w:spacing w:line="360" w:lineRule="auto"/>
        <w:jc w:val="both"/>
        <w:rPr>
          <w:rFonts w:ascii="Palatino Linotype" w:hAnsi="Palatino Linotype" w:cs="Tahoma"/>
          <w:sz w:val="22"/>
          <w:szCs w:val="24"/>
          <w:lang w:val="es-ES"/>
        </w:rPr>
      </w:pPr>
    </w:p>
    <w:p w:rsidRPr="00E3269B" w:rsidR="0084610A" w:rsidP="00275B5D" w:rsidRDefault="0084610A" w14:paraId="0C674D99" w14:textId="72F12A07">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r w:rsidRPr="00E3269B" w:rsidR="00FD6E21">
        <w:rPr>
          <w:rFonts w:ascii="Palatino Linotype" w:hAnsi="Palatino Linotype" w:cs="Tahoma"/>
          <w:sz w:val="22"/>
          <w:szCs w:val="24"/>
          <w:lang w:val="es-ES"/>
        </w:rPr>
        <w:t>.</w:t>
      </w:r>
    </w:p>
    <w:p w:rsidRPr="00E3269B" w:rsidR="001B0D19" w:rsidP="00275B5D" w:rsidRDefault="001B0D19" w14:paraId="2F2E227C" w14:textId="77777777">
      <w:pPr>
        <w:spacing w:line="360" w:lineRule="auto"/>
        <w:jc w:val="both"/>
        <w:rPr>
          <w:rFonts w:ascii="Palatino Linotype" w:hAnsi="Palatino Linotype" w:cs="Tahoma"/>
          <w:sz w:val="22"/>
          <w:szCs w:val="24"/>
          <w:lang w:val="es-ES"/>
        </w:rPr>
      </w:pPr>
    </w:p>
    <w:p w:rsidRPr="00E3269B" w:rsidR="0084610A" w:rsidP="00275B5D" w:rsidRDefault="0084610A" w14:paraId="72189DE0" w14:textId="3838CE77">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 xml:space="preserve">Asimismo, se actualiza la causal de procedencia del Recurso de Revisión </w:t>
      </w:r>
      <w:r w:rsidRPr="00E3269B" w:rsidR="00DD17F4">
        <w:rPr>
          <w:rFonts w:ascii="Palatino Linotype" w:hAnsi="Palatino Linotype" w:cs="Tahoma"/>
          <w:sz w:val="22"/>
          <w:szCs w:val="24"/>
          <w:lang w:val="es-ES"/>
        </w:rPr>
        <w:t>establecida</w:t>
      </w:r>
      <w:r w:rsidRPr="00E3269B">
        <w:rPr>
          <w:rFonts w:ascii="Palatino Linotype" w:hAnsi="Palatino Linotype" w:cs="Tahoma"/>
          <w:sz w:val="22"/>
          <w:szCs w:val="24"/>
          <w:lang w:val="es-ES"/>
        </w:rPr>
        <w:t xml:space="preserve"> en el artículo 179, fracción V, </w:t>
      </w:r>
      <w:r w:rsidRPr="00E3269B" w:rsidR="006E19AF">
        <w:rPr>
          <w:rFonts w:ascii="Palatino Linotype" w:hAnsi="Palatino Linotype" w:cs="Tahoma"/>
          <w:sz w:val="22"/>
          <w:szCs w:val="24"/>
          <w:lang w:val="es-ES"/>
        </w:rPr>
        <w:t>de la Ley de Transparencia y Acceso a la Información Pública del Estado de México y Municipios</w:t>
      </w:r>
      <w:r w:rsidRPr="00E3269B" w:rsidR="00DD17F4">
        <w:rPr>
          <w:rFonts w:ascii="Palatino Linotype" w:hAnsi="Palatino Linotype" w:cs="Tahoma"/>
          <w:sz w:val="22"/>
          <w:szCs w:val="24"/>
          <w:lang w:val="es-ES"/>
        </w:rPr>
        <w:t xml:space="preserve">, referente a la entrega </w:t>
      </w:r>
      <w:r w:rsidRPr="00E3269B" w:rsidR="00CD5BCE">
        <w:rPr>
          <w:rFonts w:ascii="Palatino Linotype" w:hAnsi="Palatino Linotype" w:cs="Tahoma"/>
          <w:sz w:val="22"/>
          <w:szCs w:val="24"/>
          <w:lang w:val="es-ES"/>
        </w:rPr>
        <w:t>de información incompleta</w:t>
      </w:r>
      <w:r w:rsidRPr="00E3269B" w:rsidR="00DD17F4">
        <w:rPr>
          <w:rFonts w:ascii="Palatino Linotype" w:hAnsi="Palatino Linotype" w:cs="Tahoma"/>
          <w:sz w:val="22"/>
          <w:szCs w:val="24"/>
          <w:lang w:val="es-ES"/>
        </w:rPr>
        <w:t>.</w:t>
      </w:r>
    </w:p>
    <w:p w:rsidRPr="00E3269B" w:rsidR="0084610A" w:rsidP="00275B5D" w:rsidRDefault="0084610A" w14:paraId="356D9C87" w14:textId="77777777">
      <w:pPr>
        <w:spacing w:line="360" w:lineRule="auto"/>
        <w:jc w:val="both"/>
        <w:rPr>
          <w:rFonts w:ascii="Palatino Linotype" w:hAnsi="Palatino Linotype" w:cs="Tahoma"/>
          <w:sz w:val="22"/>
          <w:szCs w:val="24"/>
          <w:lang w:val="es-ES"/>
        </w:rPr>
      </w:pPr>
    </w:p>
    <w:p w:rsidRPr="00E3269B" w:rsidR="0084610A" w:rsidP="00275B5D" w:rsidRDefault="0084610A" w14:paraId="491AAE26" w14:textId="77777777">
      <w:pPr>
        <w:spacing w:line="360" w:lineRule="auto"/>
        <w:jc w:val="both"/>
        <w:rPr>
          <w:rFonts w:ascii="Palatino Linotype" w:hAnsi="Palatino Linotype" w:cs="Tahoma"/>
          <w:b/>
          <w:bCs/>
          <w:sz w:val="22"/>
          <w:szCs w:val="24"/>
          <w:lang w:val="es-ES"/>
        </w:rPr>
      </w:pPr>
      <w:r w:rsidRPr="00E3269B">
        <w:rPr>
          <w:rFonts w:ascii="Palatino Linotype" w:hAnsi="Palatino Linotype" w:cs="Tahoma"/>
          <w:b/>
          <w:bCs/>
          <w:sz w:val="22"/>
          <w:szCs w:val="24"/>
          <w:lang w:val="es-ES"/>
        </w:rPr>
        <w:t>TERCERO. Causales de sobreseimiento.</w:t>
      </w:r>
    </w:p>
    <w:p w:rsidRPr="00E3269B" w:rsidR="0084610A" w:rsidP="00275B5D" w:rsidRDefault="0084610A" w14:paraId="1F97D01B" w14:textId="77777777">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 xml:space="preserve"> </w:t>
      </w:r>
    </w:p>
    <w:p w:rsidRPr="00E3269B" w:rsidR="0084610A" w:rsidP="00275B5D" w:rsidRDefault="0084610A" w14:paraId="1E176FA8" w14:textId="77777777">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lastRenderedPageBreak/>
        <w:t>Por ser de previo y especial pronunciamiento, este Instituto analiza si se actualiza alguna causal de sobreseimiento.</w:t>
      </w:r>
    </w:p>
    <w:p w:rsidRPr="00E3269B" w:rsidR="0084610A" w:rsidP="00275B5D" w:rsidRDefault="0084610A" w14:paraId="04233D54" w14:textId="77777777">
      <w:pPr>
        <w:spacing w:line="360" w:lineRule="auto"/>
        <w:jc w:val="both"/>
        <w:rPr>
          <w:rFonts w:ascii="Palatino Linotype" w:hAnsi="Palatino Linotype" w:cs="Tahoma"/>
          <w:sz w:val="22"/>
          <w:szCs w:val="24"/>
          <w:lang w:val="es-ES"/>
        </w:rPr>
      </w:pPr>
    </w:p>
    <w:p w:rsidRPr="00E3269B" w:rsidR="0084610A" w:rsidP="00275B5D" w:rsidRDefault="0084610A" w14:paraId="56F462F5" w14:textId="77777777">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IV y V, toda vez que no hay constancias en el expediente en que se actúa, de que el recurrente se haya desistido del recurso, haya fallecido, sobreviniera alguna causal de improcedencia, o bien, haya quedado sin materia.</w:t>
      </w:r>
    </w:p>
    <w:p w:rsidRPr="00E3269B" w:rsidR="0084610A" w:rsidP="00275B5D" w:rsidRDefault="0084610A" w14:paraId="7885279E" w14:textId="77777777">
      <w:pPr>
        <w:spacing w:line="360" w:lineRule="auto"/>
        <w:jc w:val="both"/>
        <w:rPr>
          <w:rFonts w:ascii="Palatino Linotype" w:hAnsi="Palatino Linotype" w:cs="Tahoma"/>
          <w:sz w:val="22"/>
          <w:szCs w:val="24"/>
          <w:lang w:val="es-ES"/>
        </w:rPr>
      </w:pPr>
    </w:p>
    <w:p w:rsidRPr="00E3269B" w:rsidR="0084610A" w:rsidP="00275B5D" w:rsidRDefault="0084610A" w14:paraId="274DD7B4" w14:textId="5B794268">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 xml:space="preserve">No obstante, toda vez que durante la sustanciación del Recurso de Revisión </w:t>
      </w:r>
      <w:r w:rsidRPr="00E3269B" w:rsidR="006B1C63">
        <w:rPr>
          <w:rFonts w:ascii="Palatino Linotype" w:hAnsi="Palatino Linotype" w:cs="Tahoma"/>
          <w:sz w:val="22"/>
          <w:szCs w:val="24"/>
          <w:lang w:val="es-ES"/>
        </w:rPr>
        <w:t>01566/INFOEM/IP/RR/2022</w:t>
      </w:r>
      <w:r w:rsidRPr="00E3269B">
        <w:rPr>
          <w:rFonts w:ascii="Palatino Linotype" w:hAnsi="Palatino Linotype" w:cs="Tahoma"/>
          <w:sz w:val="22"/>
          <w:szCs w:val="24"/>
          <w:lang w:val="es-ES"/>
        </w:rPr>
        <w:t xml:space="preserve">, el </w:t>
      </w:r>
      <w:r w:rsidRPr="00E3269B" w:rsidR="006B1C63">
        <w:rPr>
          <w:rFonts w:ascii="Palatino Linotype" w:hAnsi="Palatino Linotype" w:cs="Tahoma"/>
          <w:sz w:val="22"/>
          <w:szCs w:val="24"/>
          <w:lang w:val="es-ES"/>
        </w:rPr>
        <w:t xml:space="preserve">Instituto de Seguridad Social del Estado de México y Municipios </w:t>
      </w:r>
      <w:r w:rsidRPr="00E3269B">
        <w:rPr>
          <w:rFonts w:ascii="Palatino Linotype" w:hAnsi="Palatino Linotype" w:cs="Tahoma"/>
          <w:sz w:val="22"/>
          <w:szCs w:val="24"/>
          <w:lang w:val="es-ES"/>
        </w:rPr>
        <w:t>modificó su respuesta, a través de su Informe Justificado, se estima procedente entrar al estudio de la causal de sobreseimiento prevista en la fracción III del precepto legal previamente señalado.</w:t>
      </w:r>
    </w:p>
    <w:p w:rsidRPr="00E3269B" w:rsidR="0084610A" w:rsidP="00275B5D" w:rsidRDefault="0084610A" w14:paraId="7058DF3E" w14:textId="77777777">
      <w:pPr>
        <w:spacing w:line="360" w:lineRule="auto"/>
        <w:jc w:val="both"/>
        <w:rPr>
          <w:rFonts w:ascii="Palatino Linotype" w:hAnsi="Palatino Linotype" w:cs="Tahoma"/>
          <w:sz w:val="22"/>
          <w:szCs w:val="24"/>
          <w:lang w:val="es-ES"/>
        </w:rPr>
      </w:pPr>
    </w:p>
    <w:p w:rsidR="006B1C63" w:rsidP="00275B5D" w:rsidRDefault="0084610A" w14:paraId="4440EFEE" w14:textId="3923FA91">
      <w:pPr>
        <w:spacing w:line="360" w:lineRule="auto"/>
        <w:jc w:val="both"/>
        <w:rPr>
          <w:rFonts w:ascii="Palatino Linotype" w:hAnsi="Palatino Linotype" w:cs="Tahoma"/>
          <w:sz w:val="22"/>
          <w:szCs w:val="24"/>
          <w:lang w:val="es-ES"/>
        </w:rPr>
      </w:pPr>
      <w:r w:rsidRPr="00E3269B">
        <w:rPr>
          <w:rFonts w:ascii="Palatino Linotype" w:hAnsi="Palatino Linotype" w:cs="Tahoma"/>
          <w:sz w:val="22"/>
          <w:szCs w:val="24"/>
          <w:lang w:val="es-ES"/>
        </w:rPr>
        <w:t>Al respecto, a efecto de verificar si se actualiza la causal de sobreseimiento</w:t>
      </w:r>
      <w:r w:rsidR="00BB634D">
        <w:rPr>
          <w:rFonts w:ascii="Palatino Linotype" w:hAnsi="Palatino Linotype" w:cs="Tahoma"/>
          <w:sz w:val="22"/>
          <w:szCs w:val="24"/>
          <w:lang w:val="es-ES"/>
        </w:rPr>
        <w:t xml:space="preserve"> y con el fin de tener claridad entre lo requerido y lo entregado, se realiza el siguiente cuadro, con los puntos solicitados, la respuesta entregada, el agravio realizado y los alegatos manifestados:</w:t>
      </w:r>
    </w:p>
    <w:p w:rsidR="00BB634D" w:rsidP="00275B5D" w:rsidRDefault="00BB634D" w14:paraId="34505402" w14:textId="08B3A792">
      <w:pPr>
        <w:spacing w:line="360" w:lineRule="auto"/>
        <w:jc w:val="both"/>
        <w:rPr>
          <w:rFonts w:ascii="Palatino Linotype" w:hAnsi="Palatino Linotype" w:cs="Tahoma"/>
          <w:sz w:val="22"/>
          <w:szCs w:val="24"/>
          <w:lang w:val="es-ES"/>
        </w:rPr>
      </w:pPr>
    </w:p>
    <w:tbl>
      <w:tblPr>
        <w:tblStyle w:val="Tablaconcuadrcula"/>
        <w:tblW w:w="0" w:type="auto"/>
        <w:tblLook w:val="04A0" w:firstRow="1" w:lastRow="0" w:firstColumn="1" w:lastColumn="0" w:noHBand="0" w:noVBand="1"/>
      </w:tblPr>
      <w:tblGrid>
        <w:gridCol w:w="2030"/>
        <w:gridCol w:w="3574"/>
        <w:gridCol w:w="1644"/>
        <w:gridCol w:w="1786"/>
      </w:tblGrid>
      <w:tr w:rsidR="00BB634D" w:rsidTr="00BB634D" w14:paraId="227D9917" w14:textId="77777777">
        <w:tc>
          <w:tcPr>
            <w:tcW w:w="2258" w:type="dxa"/>
            <w:shd w:val="clear" w:color="auto" w:fill="D9D9D9" w:themeFill="background1" w:themeFillShade="D9"/>
          </w:tcPr>
          <w:p w:rsidRPr="00A43E31" w:rsidR="00BB634D" w:rsidP="00A43E31" w:rsidRDefault="00BB634D" w14:paraId="5AB50D21" w14:textId="4971243F">
            <w:pPr>
              <w:spacing w:line="360" w:lineRule="auto"/>
              <w:jc w:val="center"/>
              <w:rPr>
                <w:rFonts w:ascii="Palatino Linotype" w:hAnsi="Palatino Linotype" w:cs="Tahoma"/>
                <w:b/>
                <w:bCs/>
                <w:szCs w:val="22"/>
              </w:rPr>
            </w:pPr>
            <w:r w:rsidRPr="00A43E31">
              <w:rPr>
                <w:rFonts w:ascii="Palatino Linotype" w:hAnsi="Palatino Linotype" w:cs="Tahoma"/>
                <w:b/>
                <w:bCs/>
                <w:szCs w:val="22"/>
              </w:rPr>
              <w:t>Solicitud</w:t>
            </w:r>
          </w:p>
        </w:tc>
        <w:tc>
          <w:tcPr>
            <w:tcW w:w="2258" w:type="dxa"/>
            <w:shd w:val="clear" w:color="auto" w:fill="D9D9D9" w:themeFill="background1" w:themeFillShade="D9"/>
          </w:tcPr>
          <w:p w:rsidRPr="00A43E31" w:rsidR="00BB634D" w:rsidP="00A43E31" w:rsidRDefault="00BB634D" w14:paraId="6EC59E73" w14:textId="5802A066">
            <w:pPr>
              <w:spacing w:line="360" w:lineRule="auto"/>
              <w:jc w:val="center"/>
              <w:rPr>
                <w:rFonts w:ascii="Palatino Linotype" w:hAnsi="Palatino Linotype" w:cs="Tahoma"/>
                <w:b/>
                <w:bCs/>
                <w:szCs w:val="22"/>
              </w:rPr>
            </w:pPr>
            <w:r w:rsidRPr="00A43E31">
              <w:rPr>
                <w:rFonts w:ascii="Palatino Linotype" w:hAnsi="Palatino Linotype" w:cs="Tahoma"/>
                <w:b/>
                <w:bCs/>
                <w:szCs w:val="22"/>
              </w:rPr>
              <w:t>Respuesta</w:t>
            </w:r>
            <w:r w:rsidRPr="00A43E31" w:rsidR="00283B2F">
              <w:rPr>
                <w:rFonts w:ascii="Palatino Linotype" w:hAnsi="Palatino Linotype" w:cs="Tahoma"/>
                <w:b/>
                <w:bCs/>
                <w:szCs w:val="22"/>
              </w:rPr>
              <w:t xml:space="preserve"> de la Coordinación de Servicios de Salud</w:t>
            </w:r>
          </w:p>
        </w:tc>
        <w:tc>
          <w:tcPr>
            <w:tcW w:w="2259" w:type="dxa"/>
            <w:shd w:val="clear" w:color="auto" w:fill="D9D9D9" w:themeFill="background1" w:themeFillShade="D9"/>
          </w:tcPr>
          <w:p w:rsidRPr="00A43E31" w:rsidR="00BB634D" w:rsidP="00A43E31" w:rsidRDefault="00BB634D" w14:paraId="2E5C9E76" w14:textId="7EAE14E7">
            <w:pPr>
              <w:spacing w:line="360" w:lineRule="auto"/>
              <w:jc w:val="center"/>
              <w:rPr>
                <w:rFonts w:ascii="Palatino Linotype" w:hAnsi="Palatino Linotype" w:cs="Tahoma"/>
                <w:b/>
                <w:bCs/>
                <w:szCs w:val="22"/>
              </w:rPr>
            </w:pPr>
            <w:r w:rsidRPr="00A43E31">
              <w:rPr>
                <w:rFonts w:ascii="Palatino Linotype" w:hAnsi="Palatino Linotype" w:cs="Tahoma"/>
                <w:b/>
                <w:bCs/>
                <w:szCs w:val="22"/>
              </w:rPr>
              <w:t>Inconformidad</w:t>
            </w:r>
          </w:p>
        </w:tc>
        <w:tc>
          <w:tcPr>
            <w:tcW w:w="2259" w:type="dxa"/>
            <w:shd w:val="clear" w:color="auto" w:fill="D9D9D9" w:themeFill="background1" w:themeFillShade="D9"/>
          </w:tcPr>
          <w:p w:rsidRPr="00A43E31" w:rsidR="00BB634D" w:rsidP="00A43E31" w:rsidRDefault="00BB634D" w14:paraId="3237D1EF" w14:textId="675D8D55">
            <w:pPr>
              <w:spacing w:line="360" w:lineRule="auto"/>
              <w:jc w:val="center"/>
              <w:rPr>
                <w:rFonts w:ascii="Palatino Linotype" w:hAnsi="Palatino Linotype" w:cs="Tahoma"/>
                <w:b/>
                <w:bCs/>
                <w:szCs w:val="22"/>
              </w:rPr>
            </w:pPr>
            <w:r w:rsidRPr="00A43E31">
              <w:rPr>
                <w:rFonts w:ascii="Palatino Linotype" w:hAnsi="Palatino Linotype" w:cs="Tahoma"/>
                <w:b/>
                <w:bCs/>
                <w:szCs w:val="22"/>
              </w:rPr>
              <w:t>Informe Justificado</w:t>
            </w:r>
          </w:p>
        </w:tc>
      </w:tr>
      <w:tr w:rsidR="00BB634D" w:rsidTr="00BB634D" w14:paraId="26252C9D" w14:textId="77777777">
        <w:tc>
          <w:tcPr>
            <w:tcW w:w="2258" w:type="dxa"/>
          </w:tcPr>
          <w:p w:rsidRPr="00A43E31" w:rsidR="00BB634D" w:rsidP="00A43E31" w:rsidRDefault="00BB634D" w14:paraId="4766C3F9" w14:textId="7C892D28">
            <w:pPr>
              <w:spacing w:line="360" w:lineRule="auto"/>
              <w:jc w:val="both"/>
              <w:rPr>
                <w:rFonts w:ascii="Palatino Linotype" w:hAnsi="Palatino Linotype" w:cs="Tahoma"/>
                <w:szCs w:val="22"/>
              </w:rPr>
            </w:pPr>
            <w:r w:rsidRPr="00A43E31">
              <w:rPr>
                <w:rFonts w:ascii="Palatino Linotype" w:hAnsi="Palatino Linotype" w:cs="Tahoma"/>
                <w:szCs w:val="22"/>
              </w:rPr>
              <w:t xml:space="preserve">1. Nombre de los médicos especialistas en </w:t>
            </w:r>
            <w:r w:rsidRPr="00A43E31">
              <w:rPr>
                <w:rFonts w:ascii="Palatino Linotype" w:hAnsi="Palatino Linotype" w:cs="Tahoma"/>
                <w:szCs w:val="22"/>
              </w:rPr>
              <w:lastRenderedPageBreak/>
              <w:t>otorrinolaringología que laboraban en el Hospital Regional de Toluca.</w:t>
            </w:r>
          </w:p>
        </w:tc>
        <w:tc>
          <w:tcPr>
            <w:tcW w:w="2258" w:type="dxa"/>
          </w:tcPr>
          <w:p w:rsidRPr="00A43E31" w:rsidR="00BF0DC4" w:rsidP="00A43E31" w:rsidRDefault="00BF0DC4" w14:paraId="4C78FF46" w14:textId="707E0598">
            <w:pPr>
              <w:spacing w:line="360" w:lineRule="auto"/>
              <w:jc w:val="both"/>
              <w:rPr>
                <w:rFonts w:ascii="Palatino Linotype" w:hAnsi="Palatino Linotype" w:cs="Tahoma"/>
                <w:szCs w:val="22"/>
              </w:rPr>
            </w:pPr>
            <w:r w:rsidRPr="00A43E31">
              <w:rPr>
                <w:rFonts w:ascii="Palatino Linotype" w:hAnsi="Palatino Linotype" w:cs="Tahoma"/>
                <w:szCs w:val="22"/>
              </w:rPr>
              <w:lastRenderedPageBreak/>
              <w:t xml:space="preserve">Proporcionó </w:t>
            </w:r>
            <w:r w:rsidRPr="00A43E31" w:rsidR="00283B2F">
              <w:rPr>
                <w:rFonts w:ascii="Palatino Linotype" w:hAnsi="Palatino Linotype" w:cs="Tahoma"/>
                <w:szCs w:val="22"/>
              </w:rPr>
              <w:t>el listado con los médicos especialistas en otorrinolaringología.</w:t>
            </w:r>
          </w:p>
        </w:tc>
        <w:tc>
          <w:tcPr>
            <w:tcW w:w="2259" w:type="dxa"/>
          </w:tcPr>
          <w:p w:rsidRPr="00A43E31" w:rsidR="00BB634D" w:rsidP="00A43E31" w:rsidRDefault="00A36A8A" w14:paraId="58E5F5C6" w14:textId="48658517">
            <w:pPr>
              <w:spacing w:line="360" w:lineRule="auto"/>
              <w:jc w:val="center"/>
              <w:rPr>
                <w:rFonts w:ascii="Palatino Linotype" w:hAnsi="Palatino Linotype" w:cs="Tahoma"/>
                <w:szCs w:val="22"/>
              </w:rPr>
            </w:pPr>
            <w:r w:rsidRPr="00A43E31">
              <w:rPr>
                <w:rFonts w:ascii="Palatino Linotype" w:hAnsi="Palatino Linotype" w:cs="Tahoma"/>
                <w:szCs w:val="22"/>
              </w:rPr>
              <w:t>No emitió inconformidad alguna.</w:t>
            </w:r>
          </w:p>
        </w:tc>
        <w:tc>
          <w:tcPr>
            <w:tcW w:w="2259" w:type="dxa"/>
          </w:tcPr>
          <w:p w:rsidRPr="00A43E31" w:rsidR="00BB634D" w:rsidP="00A43E31" w:rsidRDefault="00A36A8A" w14:paraId="09128280" w14:textId="72C3E1D1">
            <w:pPr>
              <w:spacing w:line="360" w:lineRule="auto"/>
              <w:jc w:val="center"/>
              <w:rPr>
                <w:rFonts w:ascii="Palatino Linotype" w:hAnsi="Palatino Linotype" w:cs="Tahoma"/>
                <w:szCs w:val="22"/>
              </w:rPr>
            </w:pPr>
            <w:r w:rsidRPr="00A43E31">
              <w:rPr>
                <w:rFonts w:ascii="Palatino Linotype" w:hAnsi="Palatino Linotype" w:cs="Tahoma"/>
                <w:szCs w:val="22"/>
              </w:rPr>
              <w:t>No realizó pronunciamiento alguno.</w:t>
            </w:r>
          </w:p>
        </w:tc>
      </w:tr>
      <w:tr w:rsidR="00BB634D" w:rsidTr="00BB634D" w14:paraId="46254FD7" w14:textId="77777777">
        <w:tc>
          <w:tcPr>
            <w:tcW w:w="2258" w:type="dxa"/>
          </w:tcPr>
          <w:p w:rsidRPr="00A43E31" w:rsidR="00BB634D" w:rsidP="00A43E31" w:rsidRDefault="00BB634D" w14:paraId="79BFF64D" w14:textId="013405E9">
            <w:pPr>
              <w:spacing w:line="360" w:lineRule="auto"/>
              <w:jc w:val="both"/>
              <w:rPr>
                <w:rFonts w:ascii="Palatino Linotype" w:hAnsi="Palatino Linotype" w:cs="Tahoma"/>
                <w:szCs w:val="22"/>
              </w:rPr>
            </w:pPr>
            <w:r w:rsidRPr="00A43E31">
              <w:rPr>
                <w:rFonts w:ascii="Palatino Linotype" w:hAnsi="Palatino Linotype" w:cs="Tahoma"/>
                <w:szCs w:val="22"/>
              </w:rPr>
              <w:t xml:space="preserve">2. Número de </w:t>
            </w:r>
            <w:r w:rsidRPr="00A43E31" w:rsidR="00BF0DC4">
              <w:rPr>
                <w:rFonts w:ascii="Palatino Linotype" w:hAnsi="Palatino Linotype" w:cs="Tahoma"/>
                <w:szCs w:val="22"/>
              </w:rPr>
              <w:t xml:space="preserve">consultas atendidas en la especialidad en </w:t>
            </w:r>
            <w:r w:rsidRPr="00A43E31" w:rsidR="00BF0DC4">
              <w:rPr>
                <w:rFonts w:ascii="Palatino Linotype" w:hAnsi="Palatino Linotype" w:cs="Tahoma"/>
                <w:szCs w:val="22"/>
                <w:lang w:val="es-MX"/>
              </w:rPr>
              <w:t>otorrinolaringología fueron atendidas, del primero de enero de dos mil veinte al dos de febrero de dos mil veintidós.</w:t>
            </w:r>
          </w:p>
        </w:tc>
        <w:tc>
          <w:tcPr>
            <w:tcW w:w="2258" w:type="dxa"/>
          </w:tcPr>
          <w:p w:rsidRPr="00A43E31" w:rsidR="00BB634D" w:rsidP="00A43E31" w:rsidRDefault="00283B2F" w14:paraId="5458F3CA" w14:textId="7879DD21">
            <w:pPr>
              <w:spacing w:line="360" w:lineRule="auto"/>
              <w:jc w:val="both"/>
              <w:rPr>
                <w:rFonts w:ascii="Palatino Linotype" w:hAnsi="Palatino Linotype" w:cs="Tahoma"/>
                <w:szCs w:val="22"/>
              </w:rPr>
            </w:pPr>
            <w:r w:rsidRPr="00A43E31">
              <w:rPr>
                <w:rFonts w:ascii="Palatino Linotype" w:hAnsi="Palatino Linotype" w:cs="Tahoma"/>
                <w:szCs w:val="22"/>
              </w:rPr>
              <w:t>Entregó una relación de las consultas otorgadas por cada uno de los médicos entregados en el punto anterior, del periodo requerido.</w:t>
            </w:r>
          </w:p>
        </w:tc>
        <w:tc>
          <w:tcPr>
            <w:tcW w:w="2259" w:type="dxa"/>
          </w:tcPr>
          <w:p w:rsidRPr="00A43E31" w:rsidR="00BB634D" w:rsidP="00A43E31" w:rsidRDefault="00A36A8A" w14:paraId="738D641F" w14:textId="1E49782B">
            <w:pPr>
              <w:spacing w:line="360" w:lineRule="auto"/>
              <w:jc w:val="center"/>
              <w:rPr>
                <w:rFonts w:ascii="Palatino Linotype" w:hAnsi="Palatino Linotype" w:cs="Tahoma"/>
                <w:szCs w:val="22"/>
              </w:rPr>
            </w:pPr>
            <w:r w:rsidRPr="00A43E31">
              <w:rPr>
                <w:rFonts w:ascii="Palatino Linotype" w:hAnsi="Palatino Linotype" w:cs="Tahoma"/>
                <w:szCs w:val="22"/>
              </w:rPr>
              <w:t>No emitió inconformidad alguna.</w:t>
            </w:r>
          </w:p>
        </w:tc>
        <w:tc>
          <w:tcPr>
            <w:tcW w:w="2259" w:type="dxa"/>
          </w:tcPr>
          <w:p w:rsidRPr="00A43E31" w:rsidR="00BB634D" w:rsidP="00A43E31" w:rsidRDefault="00A36A8A" w14:paraId="1246EE01" w14:textId="575D0ACC">
            <w:pPr>
              <w:spacing w:line="360" w:lineRule="auto"/>
              <w:jc w:val="center"/>
              <w:rPr>
                <w:rFonts w:ascii="Palatino Linotype" w:hAnsi="Palatino Linotype" w:cs="Tahoma"/>
                <w:szCs w:val="22"/>
              </w:rPr>
            </w:pPr>
            <w:r w:rsidRPr="00A43E31">
              <w:rPr>
                <w:rFonts w:ascii="Palatino Linotype" w:hAnsi="Palatino Linotype" w:cs="Tahoma"/>
                <w:szCs w:val="22"/>
              </w:rPr>
              <w:t>No realizó pronunciamiento alguno.</w:t>
            </w:r>
          </w:p>
        </w:tc>
      </w:tr>
      <w:tr w:rsidR="00BB634D" w:rsidTr="00BB634D" w14:paraId="6C13C610" w14:textId="77777777">
        <w:tc>
          <w:tcPr>
            <w:tcW w:w="2258" w:type="dxa"/>
          </w:tcPr>
          <w:p w:rsidRPr="00A43E31" w:rsidR="00BB634D" w:rsidP="00A43E31" w:rsidRDefault="00BF0DC4" w14:paraId="25665719" w14:textId="6D788D74">
            <w:pPr>
              <w:spacing w:line="360" w:lineRule="auto"/>
              <w:jc w:val="both"/>
              <w:rPr>
                <w:rFonts w:ascii="Palatino Linotype" w:hAnsi="Palatino Linotype" w:cs="Tahoma"/>
                <w:szCs w:val="22"/>
              </w:rPr>
            </w:pPr>
            <w:r w:rsidRPr="00A43E31">
              <w:rPr>
                <w:rFonts w:ascii="Palatino Linotype" w:hAnsi="Palatino Linotype" w:cs="Tahoma"/>
                <w:szCs w:val="22"/>
              </w:rPr>
              <w:t>3. Motivos y circunstancias por los cuales no fueron atendidas las consultas en el periodo señalado en el punto anterior.</w:t>
            </w:r>
          </w:p>
        </w:tc>
        <w:tc>
          <w:tcPr>
            <w:tcW w:w="2258" w:type="dxa"/>
          </w:tcPr>
          <w:p w:rsidRPr="00A43E31" w:rsidR="00BB634D" w:rsidP="00A43E31" w:rsidRDefault="00283B2F" w14:paraId="62282AA1" w14:textId="4EC3B38D">
            <w:pPr>
              <w:spacing w:line="360" w:lineRule="auto"/>
              <w:jc w:val="both"/>
              <w:rPr>
                <w:rFonts w:ascii="Palatino Linotype" w:hAnsi="Palatino Linotype" w:cs="Tahoma"/>
                <w:szCs w:val="22"/>
              </w:rPr>
            </w:pPr>
            <w:r w:rsidRPr="00A43E31">
              <w:rPr>
                <w:rFonts w:ascii="Palatino Linotype" w:hAnsi="Palatino Linotype" w:cs="Tahoma"/>
                <w:szCs w:val="22"/>
              </w:rPr>
              <w:t>Precisó que los motivos y causas para no atender consultas en la especialidad requerida, fue la contingencia por SARS-CoV-2.</w:t>
            </w:r>
          </w:p>
        </w:tc>
        <w:tc>
          <w:tcPr>
            <w:tcW w:w="2259" w:type="dxa"/>
          </w:tcPr>
          <w:p w:rsidRPr="00A43E31" w:rsidR="00BB634D" w:rsidP="00A43E31" w:rsidRDefault="00A36A8A" w14:paraId="39F84671" w14:textId="6B4ACFB3">
            <w:pPr>
              <w:spacing w:line="360" w:lineRule="auto"/>
              <w:jc w:val="center"/>
              <w:rPr>
                <w:rFonts w:ascii="Palatino Linotype" w:hAnsi="Palatino Linotype" w:cs="Tahoma"/>
                <w:szCs w:val="22"/>
              </w:rPr>
            </w:pPr>
            <w:r w:rsidRPr="00A43E31">
              <w:rPr>
                <w:rFonts w:ascii="Palatino Linotype" w:hAnsi="Palatino Linotype" w:cs="Tahoma"/>
                <w:szCs w:val="22"/>
              </w:rPr>
              <w:t>No emitió inconformidad alguna.</w:t>
            </w:r>
          </w:p>
        </w:tc>
        <w:tc>
          <w:tcPr>
            <w:tcW w:w="2259" w:type="dxa"/>
          </w:tcPr>
          <w:p w:rsidRPr="00A43E31" w:rsidR="00BB634D" w:rsidP="00A43E31" w:rsidRDefault="00A36A8A" w14:paraId="04B342BB" w14:textId="55DBD130">
            <w:pPr>
              <w:spacing w:line="360" w:lineRule="auto"/>
              <w:jc w:val="center"/>
              <w:rPr>
                <w:rFonts w:ascii="Palatino Linotype" w:hAnsi="Palatino Linotype" w:cs="Tahoma"/>
                <w:szCs w:val="22"/>
              </w:rPr>
            </w:pPr>
            <w:r w:rsidRPr="00A43E31">
              <w:rPr>
                <w:rFonts w:ascii="Palatino Linotype" w:hAnsi="Palatino Linotype" w:cs="Tahoma"/>
                <w:szCs w:val="22"/>
              </w:rPr>
              <w:t>No realizó pronunciamiento alguno.</w:t>
            </w:r>
          </w:p>
        </w:tc>
      </w:tr>
      <w:tr w:rsidR="00BB634D" w:rsidTr="00BB634D" w14:paraId="65A64022" w14:textId="77777777">
        <w:tc>
          <w:tcPr>
            <w:tcW w:w="2258" w:type="dxa"/>
          </w:tcPr>
          <w:p w:rsidRPr="00A43E31" w:rsidR="00BB634D" w:rsidP="00A43E31" w:rsidRDefault="00BF0DC4" w14:paraId="6C7B8D1E" w14:textId="24CC9602">
            <w:pPr>
              <w:spacing w:line="360" w:lineRule="auto"/>
              <w:jc w:val="both"/>
              <w:rPr>
                <w:rFonts w:ascii="Palatino Linotype" w:hAnsi="Palatino Linotype" w:cs="Tahoma"/>
                <w:szCs w:val="22"/>
              </w:rPr>
            </w:pPr>
            <w:r w:rsidRPr="00A43E31">
              <w:rPr>
                <w:rFonts w:ascii="Palatino Linotype" w:hAnsi="Palatino Linotype" w:cs="Tahoma"/>
                <w:szCs w:val="22"/>
              </w:rPr>
              <w:t xml:space="preserve">4. Oficio o documento, mediante el cual se dan a conocer al personal del Hospital, los motivos y causas </w:t>
            </w:r>
            <w:r w:rsidRPr="00A43E31">
              <w:rPr>
                <w:rFonts w:ascii="Palatino Linotype" w:hAnsi="Palatino Linotype" w:cs="Tahoma"/>
                <w:szCs w:val="22"/>
              </w:rPr>
              <w:lastRenderedPageBreak/>
              <w:t>para que no dieran consultas.</w:t>
            </w:r>
          </w:p>
        </w:tc>
        <w:tc>
          <w:tcPr>
            <w:tcW w:w="2258" w:type="dxa"/>
          </w:tcPr>
          <w:p w:rsidRPr="00A43E31" w:rsidR="00F14BF0" w:rsidP="00A43E31" w:rsidRDefault="00283B2F" w14:paraId="5AE19B54" w14:textId="6AC18C94">
            <w:pPr>
              <w:spacing w:line="360" w:lineRule="auto"/>
              <w:jc w:val="both"/>
              <w:rPr>
                <w:rFonts w:ascii="Palatino Linotype" w:hAnsi="Palatino Linotype" w:cs="Tahoma"/>
                <w:szCs w:val="22"/>
                <w:lang w:val="es-MX"/>
              </w:rPr>
            </w:pPr>
            <w:r w:rsidRPr="00A43E31">
              <w:rPr>
                <w:rFonts w:ascii="Palatino Linotype" w:hAnsi="Palatino Linotype" w:cs="Tahoma"/>
                <w:szCs w:val="22"/>
              </w:rPr>
              <w:lastRenderedPageBreak/>
              <w:t xml:space="preserve">Indicó que proporcionaba el oficio </w:t>
            </w:r>
            <w:r w:rsidRPr="00A43E31" w:rsidR="005038CE">
              <w:rPr>
                <w:rFonts w:ascii="Palatino Linotype" w:hAnsi="Palatino Linotype" w:cs="Tahoma"/>
                <w:szCs w:val="22"/>
              </w:rPr>
              <w:t>207C04010400000/DHRT/01019/2020,</w:t>
            </w:r>
            <w:r w:rsidRPr="00A43E31" w:rsidR="00F14BF0">
              <w:rPr>
                <w:rFonts w:ascii="Palatino Linotype" w:hAnsi="Palatino Linotype" w:cs="Tahoma"/>
                <w:szCs w:val="22"/>
              </w:rPr>
              <w:t xml:space="preserve"> mediante el cual informaba al personal las acciones para procedimientos quirúrgicos y anestésicos, así como, el diverso </w:t>
            </w:r>
            <w:r w:rsidRPr="00A43E31" w:rsidR="00F14BF0">
              <w:rPr>
                <w:rFonts w:ascii="Palatino Linotype" w:hAnsi="Palatino Linotype" w:cs="Tahoma"/>
                <w:szCs w:val="22"/>
                <w:lang w:val="es-MX"/>
              </w:rPr>
              <w:t xml:space="preserve">207C04010400000/DHRT/0913/2021, </w:t>
            </w:r>
            <w:r w:rsidRPr="00A43E31" w:rsidR="00F14BF0">
              <w:rPr>
                <w:rFonts w:ascii="Palatino Linotype" w:hAnsi="Palatino Linotype" w:cs="Tahoma"/>
                <w:szCs w:val="22"/>
                <w:lang w:val="es-MX"/>
              </w:rPr>
              <w:lastRenderedPageBreak/>
              <w:t>por los cuales se dan a conocer los Lineamientos para el regreso seguro a las actividades médico quirúrgico asistenciales</w:t>
            </w:r>
            <w:r w:rsidRPr="00A43E31" w:rsidR="00A36A8A">
              <w:rPr>
                <w:rFonts w:ascii="Palatino Linotype" w:hAnsi="Palatino Linotype" w:cs="Tahoma"/>
                <w:szCs w:val="22"/>
                <w:lang w:val="es-MX"/>
              </w:rPr>
              <w:t>, localizado en el oficio 207C040010400000L/CSS/000930/2021.</w:t>
            </w:r>
          </w:p>
        </w:tc>
        <w:tc>
          <w:tcPr>
            <w:tcW w:w="2259" w:type="dxa"/>
          </w:tcPr>
          <w:p w:rsidRPr="00A43E31" w:rsidR="00BB634D" w:rsidP="00A43E31" w:rsidRDefault="00A36A8A" w14:paraId="1C10C0DB" w14:textId="1071FD26">
            <w:pPr>
              <w:spacing w:line="360" w:lineRule="auto"/>
              <w:jc w:val="center"/>
              <w:rPr>
                <w:rFonts w:ascii="Palatino Linotype" w:hAnsi="Palatino Linotype" w:cs="Tahoma"/>
                <w:szCs w:val="22"/>
              </w:rPr>
            </w:pPr>
            <w:r w:rsidRPr="00A43E31">
              <w:rPr>
                <w:rFonts w:ascii="Palatino Linotype" w:hAnsi="Palatino Linotype" w:cs="Tahoma"/>
                <w:szCs w:val="22"/>
              </w:rPr>
              <w:lastRenderedPageBreak/>
              <w:t>Se inconformó con la entrega de información</w:t>
            </w:r>
            <w:r w:rsidRPr="00A43E31" w:rsidR="008A3254">
              <w:rPr>
                <w:rFonts w:ascii="Palatino Linotype" w:hAnsi="Palatino Linotype" w:cs="Tahoma"/>
                <w:szCs w:val="22"/>
              </w:rPr>
              <w:t xml:space="preserve"> incompleta</w:t>
            </w:r>
            <w:r w:rsidRPr="00A43E31" w:rsidR="00251156">
              <w:rPr>
                <w:rFonts w:ascii="Palatino Linotype" w:hAnsi="Palatino Linotype" w:cs="Tahoma"/>
                <w:szCs w:val="22"/>
              </w:rPr>
              <w:t xml:space="preserve">, al señalar que no le habían entregado los </w:t>
            </w:r>
            <w:r w:rsidRPr="00A43E31" w:rsidR="00251156">
              <w:rPr>
                <w:rFonts w:ascii="Palatino Linotype" w:hAnsi="Palatino Linotype" w:cs="Tahoma"/>
                <w:szCs w:val="22"/>
              </w:rPr>
              <w:lastRenderedPageBreak/>
              <w:t>tres oficios señalados en respuesta.</w:t>
            </w:r>
          </w:p>
        </w:tc>
        <w:tc>
          <w:tcPr>
            <w:tcW w:w="2259" w:type="dxa"/>
          </w:tcPr>
          <w:p w:rsidRPr="00A43E31" w:rsidR="00BB634D" w:rsidP="00A43E31" w:rsidRDefault="00A36A8A" w14:paraId="49C35525" w14:textId="2347180A">
            <w:pPr>
              <w:spacing w:line="360" w:lineRule="auto"/>
              <w:jc w:val="center"/>
              <w:rPr>
                <w:rFonts w:ascii="Palatino Linotype" w:hAnsi="Palatino Linotype" w:cs="Tahoma"/>
                <w:szCs w:val="22"/>
              </w:rPr>
            </w:pPr>
            <w:r w:rsidRPr="00A43E31">
              <w:rPr>
                <w:rFonts w:ascii="Palatino Linotype" w:hAnsi="Palatino Linotype" w:cs="Tahoma"/>
                <w:szCs w:val="22"/>
              </w:rPr>
              <w:lastRenderedPageBreak/>
              <w:t>Entregó los tres oficios señalados en respuesta.</w:t>
            </w:r>
          </w:p>
        </w:tc>
      </w:tr>
      <w:tr w:rsidR="00BB634D" w:rsidTr="00BB634D" w14:paraId="0C0E6046" w14:textId="77777777">
        <w:tc>
          <w:tcPr>
            <w:tcW w:w="2258" w:type="dxa"/>
          </w:tcPr>
          <w:p w:rsidRPr="00A43E31" w:rsidR="00BB634D" w:rsidP="00A43E31" w:rsidRDefault="00BF0DC4" w14:paraId="599CF8FF" w14:textId="7736DF34">
            <w:pPr>
              <w:spacing w:line="360" w:lineRule="auto"/>
              <w:jc w:val="both"/>
              <w:rPr>
                <w:rFonts w:ascii="Palatino Linotype" w:hAnsi="Palatino Linotype" w:cs="Tahoma"/>
                <w:szCs w:val="22"/>
              </w:rPr>
            </w:pPr>
            <w:r w:rsidRPr="00A43E31">
              <w:rPr>
                <w:rFonts w:ascii="Palatino Linotype" w:hAnsi="Palatino Linotype" w:cs="Tahoma"/>
                <w:szCs w:val="22"/>
              </w:rPr>
              <w:t xml:space="preserve">5. Número de consultas y cirugías que ha realizado una doctora, desde el inicio de la pandemia al dos de febrero de dos mil veintidós. </w:t>
            </w:r>
          </w:p>
        </w:tc>
        <w:tc>
          <w:tcPr>
            <w:tcW w:w="2258" w:type="dxa"/>
          </w:tcPr>
          <w:p w:rsidRPr="00A43E31" w:rsidR="00BB634D" w:rsidP="00A43E31" w:rsidRDefault="00A36A8A" w14:paraId="76092C5E" w14:textId="6A68FF02">
            <w:pPr>
              <w:spacing w:line="360" w:lineRule="auto"/>
              <w:jc w:val="both"/>
              <w:rPr>
                <w:rFonts w:ascii="Palatino Linotype" w:hAnsi="Palatino Linotype" w:cs="Tahoma"/>
                <w:szCs w:val="22"/>
              </w:rPr>
            </w:pPr>
            <w:r w:rsidRPr="00A43E31">
              <w:rPr>
                <w:rFonts w:ascii="Palatino Linotype" w:hAnsi="Palatino Linotype" w:cs="Tahoma"/>
                <w:szCs w:val="22"/>
              </w:rPr>
              <w:t>Proporcionó una relación con el número de consultas y cirugías realizadas por una doctora, por año.</w:t>
            </w:r>
          </w:p>
        </w:tc>
        <w:tc>
          <w:tcPr>
            <w:tcW w:w="2259" w:type="dxa"/>
          </w:tcPr>
          <w:p w:rsidRPr="00A43E31" w:rsidR="00BB634D" w:rsidP="00A43E31" w:rsidRDefault="00A36A8A" w14:paraId="58F81B44" w14:textId="3A4765D1">
            <w:pPr>
              <w:spacing w:line="360" w:lineRule="auto"/>
              <w:jc w:val="center"/>
              <w:rPr>
                <w:rFonts w:ascii="Palatino Linotype" w:hAnsi="Palatino Linotype" w:cs="Tahoma"/>
                <w:szCs w:val="22"/>
              </w:rPr>
            </w:pPr>
            <w:r w:rsidRPr="00A43E31">
              <w:rPr>
                <w:rFonts w:ascii="Palatino Linotype" w:hAnsi="Palatino Linotype" w:cs="Tahoma"/>
                <w:szCs w:val="22"/>
              </w:rPr>
              <w:t>No emitió inconformidad alguna.</w:t>
            </w:r>
          </w:p>
        </w:tc>
        <w:tc>
          <w:tcPr>
            <w:tcW w:w="2259" w:type="dxa"/>
          </w:tcPr>
          <w:p w:rsidRPr="00A43E31" w:rsidR="00BB634D" w:rsidP="00A43E31" w:rsidRDefault="00A36A8A" w14:paraId="413AE921" w14:textId="790F45AB">
            <w:pPr>
              <w:spacing w:line="360" w:lineRule="auto"/>
              <w:jc w:val="center"/>
              <w:rPr>
                <w:rFonts w:ascii="Palatino Linotype" w:hAnsi="Palatino Linotype" w:cs="Tahoma"/>
                <w:szCs w:val="22"/>
              </w:rPr>
            </w:pPr>
            <w:r w:rsidRPr="00A43E31">
              <w:rPr>
                <w:rFonts w:ascii="Palatino Linotype" w:hAnsi="Palatino Linotype" w:cs="Tahoma"/>
                <w:szCs w:val="22"/>
              </w:rPr>
              <w:t>No realizó pronunciamiento alguno.</w:t>
            </w:r>
          </w:p>
        </w:tc>
      </w:tr>
    </w:tbl>
    <w:p w:rsidR="00BB634D" w:rsidP="00275B5D" w:rsidRDefault="00BB634D" w14:paraId="6F305385" w14:textId="2C00FA19">
      <w:pPr>
        <w:spacing w:line="360" w:lineRule="auto"/>
        <w:jc w:val="both"/>
        <w:rPr>
          <w:rFonts w:ascii="Palatino Linotype" w:hAnsi="Palatino Linotype" w:cs="Tahoma"/>
          <w:sz w:val="22"/>
          <w:szCs w:val="24"/>
          <w:lang w:val="es-ES"/>
        </w:rPr>
      </w:pPr>
    </w:p>
    <w:p w:rsidRPr="00E3269B" w:rsidR="005843D0" w:rsidP="00275B5D" w:rsidRDefault="005843D0" w14:paraId="2322CFA9" w14:textId="447B62B9">
      <w:pPr>
        <w:tabs>
          <w:tab w:val="left" w:pos="4962"/>
        </w:tabs>
        <w:spacing w:line="360" w:lineRule="auto"/>
        <w:jc w:val="both"/>
        <w:rPr>
          <w:rFonts w:ascii="Palatino Linotype" w:hAnsi="Palatino Linotype" w:eastAsia="Calibri" w:cs="Tahoma"/>
          <w:iCs/>
          <w:color w:val="000000" w:themeColor="text1"/>
          <w:sz w:val="22"/>
          <w:szCs w:val="22"/>
          <w:lang w:val="es-ES" w:eastAsia="es-ES_tradnl"/>
        </w:rPr>
      </w:pPr>
      <w:r w:rsidRPr="00E3269B">
        <w:rPr>
          <w:rFonts w:ascii="Palatino Linotype" w:hAnsi="Palatino Linotype" w:eastAsia="Calibri" w:cs="Tahoma"/>
          <w:iCs/>
          <w:color w:val="000000" w:themeColor="text1"/>
          <w:sz w:val="22"/>
          <w:szCs w:val="22"/>
          <w:lang w:val="es-ES" w:eastAsia="es-ES_tradnl"/>
        </w:rPr>
        <w:t xml:space="preserve">Conforme a lo anterior, se logra vislumbrar que el ahora Recurrente </w:t>
      </w:r>
      <w:r w:rsidR="00251156">
        <w:rPr>
          <w:rFonts w:ascii="Palatino Linotype" w:hAnsi="Palatino Linotype" w:eastAsia="Calibri" w:cs="Tahoma"/>
          <w:iCs/>
          <w:color w:val="000000" w:themeColor="text1"/>
          <w:sz w:val="22"/>
          <w:szCs w:val="22"/>
          <w:lang w:val="es-ES" w:eastAsia="es-ES_tradnl"/>
        </w:rPr>
        <w:t>únicamente se</w:t>
      </w:r>
      <w:r w:rsidRPr="00E3269B">
        <w:rPr>
          <w:rFonts w:ascii="Palatino Linotype" w:hAnsi="Palatino Linotype" w:eastAsia="Calibri" w:cs="Tahoma"/>
          <w:iCs/>
          <w:color w:val="000000" w:themeColor="text1"/>
          <w:sz w:val="22"/>
          <w:szCs w:val="22"/>
          <w:lang w:val="es-ES" w:eastAsia="es-ES_tradnl"/>
        </w:rPr>
        <w:t xml:space="preserve"> agravió </w:t>
      </w:r>
      <w:r w:rsidR="00251156">
        <w:rPr>
          <w:rFonts w:ascii="Palatino Linotype" w:hAnsi="Palatino Linotype" w:eastAsia="Calibri" w:cs="Tahoma"/>
          <w:iCs/>
          <w:color w:val="000000" w:themeColor="text1"/>
          <w:sz w:val="22"/>
          <w:szCs w:val="22"/>
          <w:lang w:val="es-ES" w:eastAsia="es-ES_tradnl"/>
        </w:rPr>
        <w:t>del punto 4 de la solicitud de información</w:t>
      </w:r>
      <w:r w:rsidRPr="00E3269B">
        <w:rPr>
          <w:rFonts w:ascii="Palatino Linotype" w:hAnsi="Palatino Linotype" w:eastAsia="Calibri" w:cs="Tahoma"/>
          <w:iCs/>
          <w:color w:val="000000" w:themeColor="text1"/>
          <w:sz w:val="22"/>
          <w:szCs w:val="22"/>
          <w:lang w:val="es-ES" w:eastAsia="es-ES_tradnl"/>
        </w:rPr>
        <w:t xml:space="preserve">; </w:t>
      </w:r>
      <w:r w:rsidRPr="00E3269B">
        <w:rPr>
          <w:rFonts w:ascii="Palatino Linotype" w:hAnsi="Palatino Linotype" w:cs="Tahoma" w:eastAsiaTheme="minorHAnsi"/>
          <w:bCs/>
          <w:iCs/>
          <w:color w:val="000000"/>
          <w:sz w:val="22"/>
          <w:szCs w:val="22"/>
          <w:lang w:eastAsia="en-US"/>
        </w:rPr>
        <w:t xml:space="preserve">por lo que, </w:t>
      </w:r>
      <w:r w:rsidRPr="00E3269B">
        <w:rPr>
          <w:rFonts w:ascii="Palatino Linotype" w:hAnsi="Palatino Linotype" w:cs="Tahoma" w:eastAsiaTheme="minorHAnsi"/>
          <w:bCs/>
          <w:iCs/>
          <w:color w:val="000000"/>
          <w:sz w:val="22"/>
          <w:szCs w:val="22"/>
          <w:lang w:val="es-ES" w:eastAsia="en-US"/>
        </w:rPr>
        <w:t>no se hará pronunciamiento alguno</w:t>
      </w:r>
      <w:r w:rsidR="00251156">
        <w:rPr>
          <w:rFonts w:ascii="Palatino Linotype" w:hAnsi="Palatino Linotype" w:cs="Tahoma" w:eastAsiaTheme="minorHAnsi"/>
          <w:bCs/>
          <w:iCs/>
          <w:color w:val="000000"/>
          <w:sz w:val="22"/>
          <w:szCs w:val="22"/>
          <w:lang w:val="es-ES" w:eastAsia="en-US"/>
        </w:rPr>
        <w:t xml:space="preserve"> respecto a los puntos 1, 2, 3 y 5,</w:t>
      </w:r>
      <w:r w:rsidRPr="00E3269B">
        <w:rPr>
          <w:rFonts w:ascii="Palatino Linotype" w:hAnsi="Palatino Linotype" w:cs="Tahoma" w:eastAsiaTheme="minorHAnsi"/>
          <w:bCs/>
          <w:iCs/>
          <w:color w:val="000000"/>
          <w:sz w:val="22"/>
          <w:szCs w:val="22"/>
          <w:lang w:val="es-ES" w:eastAsia="en-US"/>
        </w:rPr>
        <w:t xml:space="preserve"> de conformidad con el artículo 195 </w:t>
      </w:r>
      <w:r w:rsidRPr="00E3269B">
        <w:rPr>
          <w:rFonts w:ascii="Palatino Linotype" w:hAnsi="Palatino Linotype" w:cs="Tahoma" w:eastAsiaTheme="minorHAnsi"/>
          <w:bCs/>
          <w:iCs/>
          <w:color w:val="000000"/>
          <w:sz w:val="22"/>
          <w:szCs w:val="22"/>
          <w:lang w:eastAsia="en-US"/>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E3269B">
        <w:rPr>
          <w:rFonts w:ascii="Palatino Linotype" w:hAnsi="Palatino Linotype" w:cs="Tahoma" w:eastAsiaTheme="minorHAnsi"/>
          <w:b/>
          <w:bCs/>
          <w:iCs/>
          <w:color w:val="000000"/>
          <w:sz w:val="22"/>
          <w:szCs w:val="22"/>
          <w:lang w:eastAsia="en-US"/>
        </w:rPr>
        <w:t>los actos que se hayan consentido tácitamente,</w:t>
      </w:r>
      <w:r w:rsidRPr="00E3269B">
        <w:rPr>
          <w:rFonts w:ascii="Palatino Linotype" w:hAnsi="Palatino Linotype" w:cs="Tahoma" w:eastAsiaTheme="minorHAnsi"/>
          <w:bCs/>
          <w:iCs/>
          <w:color w:val="000000"/>
          <w:sz w:val="22"/>
          <w:szCs w:val="22"/>
          <w:lang w:eastAsia="en-US"/>
        </w:rPr>
        <w:t xml:space="preserve"> entendiéndose por estos cuando el agravio no se haya promovido en el plazo señalado para el efecto.</w:t>
      </w:r>
    </w:p>
    <w:p w:rsidRPr="00E3269B" w:rsidR="005843D0" w:rsidP="00275B5D" w:rsidRDefault="005843D0" w14:paraId="098544E3" w14:textId="77777777">
      <w:pPr>
        <w:spacing w:line="360" w:lineRule="auto"/>
        <w:jc w:val="both"/>
        <w:rPr>
          <w:rFonts w:ascii="Palatino Linotype" w:hAnsi="Palatino Linotype" w:cs="Tahoma"/>
          <w:bCs/>
          <w:sz w:val="22"/>
          <w:szCs w:val="22"/>
        </w:rPr>
      </w:pPr>
    </w:p>
    <w:p w:rsidRPr="00E3269B" w:rsidR="005843D0" w:rsidP="00275B5D" w:rsidRDefault="005843D0" w14:paraId="58B07EAC" w14:textId="77777777">
      <w:pPr>
        <w:spacing w:line="360" w:lineRule="auto"/>
        <w:jc w:val="both"/>
        <w:rPr>
          <w:rFonts w:ascii="Palatino Linotype" w:hAnsi="Palatino Linotype" w:cs="Tahoma"/>
          <w:bCs/>
          <w:sz w:val="22"/>
          <w:szCs w:val="22"/>
        </w:rPr>
      </w:pPr>
      <w:r w:rsidRPr="00E3269B">
        <w:rPr>
          <w:rFonts w:ascii="Palatino Linotype" w:hAnsi="Palatino Linotype" w:cs="Tahoma"/>
          <w:bCs/>
          <w:sz w:val="22"/>
          <w:szCs w:val="22"/>
        </w:rPr>
        <w:t xml:space="preserve">De la misma manera resulta aplicable el criterio sostenido por el Poder Judicial de la Federación de rubro </w:t>
      </w:r>
      <w:r w:rsidRPr="00E3269B">
        <w:rPr>
          <w:rFonts w:ascii="Palatino Linotype" w:hAnsi="Palatino Linotype" w:cs="Tahoma"/>
          <w:b/>
          <w:sz w:val="22"/>
          <w:szCs w:val="22"/>
        </w:rPr>
        <w:t>ACTOS CONSENTIDOS TÁCITAMENTE</w:t>
      </w:r>
      <w:r w:rsidRPr="00E3269B">
        <w:rPr>
          <w:rFonts w:ascii="Palatino Linotype" w:hAnsi="Palatino Linotype" w:cs="Tahoma"/>
          <w:bCs/>
          <w:sz w:val="22"/>
          <w:szCs w:val="22"/>
        </w:rPr>
        <w:t xml:space="preserve">, Tesis VI.2o. J/21, emitida en la novena época, por el Segundo Tribunal Colegiado del Sexto Circuito, publicada en la Gaceta del Semanario Judicial de la Federación en agosto de 1995, página 291, número de registro </w:t>
      </w:r>
      <w:r w:rsidRPr="00E3269B">
        <w:rPr>
          <w:rFonts w:ascii="Palatino Linotype" w:hAnsi="Palatino Linotype" w:cs="Tahoma"/>
          <w:bCs/>
          <w:sz w:val="22"/>
          <w:szCs w:val="22"/>
        </w:rPr>
        <w:lastRenderedPageBreak/>
        <w:t>204707, del que se desprende que cuando no se reclaman los actos de autoridad en la vía y plazos establecidos en la Ley, se presume que el Particular está conforme con los mismos.</w:t>
      </w:r>
    </w:p>
    <w:p w:rsidRPr="00E3269B" w:rsidR="005843D0" w:rsidP="00275B5D" w:rsidRDefault="005843D0" w14:paraId="05F86DE5" w14:textId="77777777">
      <w:pPr>
        <w:spacing w:line="360" w:lineRule="auto"/>
        <w:jc w:val="both"/>
        <w:rPr>
          <w:rFonts w:ascii="Palatino Linotype" w:hAnsi="Palatino Linotype" w:cs="Tahoma"/>
          <w:bCs/>
          <w:sz w:val="22"/>
          <w:szCs w:val="22"/>
        </w:rPr>
      </w:pPr>
    </w:p>
    <w:p w:rsidRPr="00E3269B" w:rsidR="005843D0" w:rsidP="00275B5D" w:rsidRDefault="005843D0" w14:paraId="269CA2C4" w14:textId="77777777">
      <w:pPr>
        <w:spacing w:line="360" w:lineRule="auto"/>
        <w:jc w:val="both"/>
        <w:rPr>
          <w:rFonts w:ascii="Palatino Linotype" w:hAnsi="Palatino Linotype" w:cs="Tahoma"/>
          <w:bCs/>
          <w:sz w:val="22"/>
          <w:szCs w:val="22"/>
        </w:rPr>
      </w:pPr>
      <w:r w:rsidRPr="00E3269B">
        <w:rPr>
          <w:rFonts w:ascii="Palatino Linotype" w:hAnsi="Palatino Linotype" w:cs="Tahoma"/>
          <w:bCs/>
          <w:sz w:val="22"/>
          <w:szCs w:val="22"/>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Pr="00E3269B" w:rsidR="005843D0" w:rsidP="00275B5D" w:rsidRDefault="005843D0" w14:paraId="621CF1FF" w14:textId="77777777">
      <w:pPr>
        <w:spacing w:line="360" w:lineRule="auto"/>
        <w:jc w:val="both"/>
        <w:rPr>
          <w:rFonts w:ascii="Palatino Linotype" w:hAnsi="Palatino Linotype" w:cs="Tahoma"/>
          <w:bCs/>
          <w:sz w:val="22"/>
          <w:szCs w:val="22"/>
        </w:rPr>
      </w:pPr>
    </w:p>
    <w:p w:rsidRPr="00E3269B" w:rsidR="005843D0" w:rsidP="00275B5D" w:rsidRDefault="005843D0" w14:paraId="0B7CB7B4" w14:textId="77777777">
      <w:pPr>
        <w:spacing w:line="360" w:lineRule="auto"/>
        <w:jc w:val="both"/>
        <w:rPr>
          <w:rFonts w:ascii="Palatino Linotype" w:hAnsi="Palatino Linotype" w:cs="Tahoma"/>
          <w:bCs/>
          <w:sz w:val="22"/>
          <w:szCs w:val="22"/>
        </w:rPr>
      </w:pPr>
      <w:r w:rsidRPr="00E3269B">
        <w:rPr>
          <w:rFonts w:ascii="Palatino Linotype" w:hAnsi="Palatino Linotype" w:cs="Tahoma"/>
          <w:bCs/>
          <w:sz w:val="22"/>
          <w:szCs w:val="22"/>
        </w:rPr>
        <w:t>Asimismo, resulta relevante traer a colación el Criterio 01/20, emitido por el Instituto Nacional de Transparencia, Acceso a la Información y Protección de Datos Personales, que establece lo siguiente:</w:t>
      </w:r>
    </w:p>
    <w:p w:rsidRPr="00E3269B" w:rsidR="005843D0" w:rsidP="00275B5D" w:rsidRDefault="005843D0" w14:paraId="4AA035BA" w14:textId="77777777">
      <w:pPr>
        <w:spacing w:line="360" w:lineRule="auto"/>
        <w:jc w:val="both"/>
        <w:rPr>
          <w:rFonts w:ascii="Palatino Linotype" w:hAnsi="Palatino Linotype" w:cs="Tahoma"/>
          <w:bCs/>
          <w:sz w:val="22"/>
          <w:szCs w:val="22"/>
        </w:rPr>
      </w:pPr>
    </w:p>
    <w:p w:rsidRPr="00E3269B" w:rsidR="005843D0" w:rsidP="00275B5D" w:rsidRDefault="005843D0" w14:paraId="7F3A0964" w14:textId="77777777">
      <w:pPr>
        <w:spacing w:line="360" w:lineRule="auto"/>
        <w:ind w:left="567" w:right="567"/>
        <w:jc w:val="both"/>
        <w:rPr>
          <w:rFonts w:ascii="Palatino Linotype" w:hAnsi="Palatino Linotype" w:cs="Tahoma" w:eastAsiaTheme="minorHAnsi"/>
          <w:bCs/>
          <w:i/>
          <w:color w:val="000000"/>
          <w:lang w:eastAsia="en-US"/>
        </w:rPr>
      </w:pPr>
      <w:r w:rsidRPr="00E3269B">
        <w:rPr>
          <w:rFonts w:ascii="Palatino Linotype" w:hAnsi="Palatino Linotype" w:cs="Tahoma" w:eastAsiaTheme="minorHAnsi"/>
          <w:b/>
          <w:bCs/>
          <w:i/>
          <w:color w:val="000000"/>
          <w:lang w:eastAsia="en-US"/>
        </w:rPr>
        <w:t xml:space="preserve">“Actos consentidos tácitamente. Improcedencia de su análisis. </w:t>
      </w:r>
      <w:r w:rsidRPr="00E3269B">
        <w:rPr>
          <w:rFonts w:ascii="Palatino Linotype" w:hAnsi="Palatino Linotype" w:cs="Tahoma" w:eastAsiaTheme="minorHAnsi"/>
          <w:bCs/>
          <w:i/>
          <w:color w:val="000000"/>
          <w:lang w:eastAsia="en-U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E3269B" w:rsidR="005843D0" w:rsidP="00275B5D" w:rsidRDefault="005843D0" w14:paraId="708745F3" w14:textId="77777777">
      <w:pPr>
        <w:spacing w:line="360" w:lineRule="auto"/>
        <w:ind w:left="567" w:right="567"/>
        <w:jc w:val="both"/>
        <w:rPr>
          <w:rFonts w:ascii="Palatino Linotype" w:hAnsi="Palatino Linotype" w:cs="Tahoma" w:eastAsiaTheme="minorHAnsi"/>
          <w:bCs/>
          <w:iCs/>
          <w:color w:val="000000"/>
          <w:sz w:val="22"/>
          <w:szCs w:val="22"/>
          <w:lang w:eastAsia="en-US"/>
        </w:rPr>
      </w:pPr>
    </w:p>
    <w:p w:rsidRPr="00E3269B" w:rsidR="005843D0" w:rsidP="00275B5D" w:rsidRDefault="005843D0" w14:paraId="1093689A" w14:textId="7A485678">
      <w:pPr>
        <w:spacing w:line="360" w:lineRule="auto"/>
        <w:jc w:val="both"/>
        <w:rPr>
          <w:rFonts w:ascii="Palatino Linotype" w:hAnsi="Palatino Linotype" w:cs="Tahoma"/>
          <w:bCs/>
          <w:sz w:val="22"/>
          <w:szCs w:val="22"/>
        </w:rPr>
      </w:pPr>
      <w:r w:rsidRPr="00E3269B">
        <w:rPr>
          <w:rFonts w:ascii="Palatino Linotype" w:hAnsi="Palatino Linotype" w:cs="Tahoma"/>
          <w:bCs/>
          <w:sz w:val="22"/>
          <w:szCs w:val="22"/>
        </w:rPr>
        <w:t xml:space="preserve">Conforme al Criterio establecido, es improcedente entrar al análisis de las partes de la respuesta del Sujeto Obligado que no fueron impugnadas por el Recurrente; por lo que, en el presente caso, se tiene por consentida la información </w:t>
      </w:r>
      <w:r w:rsidRPr="00E3269B" w:rsidR="00EF5A78">
        <w:rPr>
          <w:rFonts w:ascii="Palatino Linotype" w:hAnsi="Palatino Linotype" w:cs="Tahoma"/>
          <w:bCs/>
          <w:sz w:val="22"/>
          <w:szCs w:val="22"/>
        </w:rPr>
        <w:t xml:space="preserve">proporcionada </w:t>
      </w:r>
      <w:r w:rsidR="00251156">
        <w:rPr>
          <w:rFonts w:ascii="Palatino Linotype" w:hAnsi="Palatino Linotype" w:cs="Tahoma"/>
          <w:bCs/>
          <w:sz w:val="22"/>
          <w:szCs w:val="22"/>
        </w:rPr>
        <w:t>en los puntos 1 a 3, y 5; por lo que, únicamente se entrará analizar la información relacionada con el punto 4.</w:t>
      </w:r>
    </w:p>
    <w:p w:rsidRPr="00E3269B" w:rsidR="005843D0" w:rsidP="00275B5D" w:rsidRDefault="005843D0" w14:paraId="414A16FD" w14:textId="77777777">
      <w:pPr>
        <w:spacing w:line="360" w:lineRule="auto"/>
        <w:jc w:val="both"/>
        <w:rPr>
          <w:rFonts w:ascii="Palatino Linotype" w:hAnsi="Palatino Linotype" w:eastAsia="Calibri" w:cs="Tahoma"/>
          <w:color w:val="000000" w:themeColor="text1"/>
          <w:sz w:val="22"/>
          <w:szCs w:val="22"/>
          <w:lang w:eastAsia="en-US"/>
        </w:rPr>
      </w:pPr>
    </w:p>
    <w:p w:rsidRPr="00E3269B" w:rsidR="0084610A" w:rsidP="00275B5D" w:rsidRDefault="0084610A" w14:paraId="7BC71B42" w14:textId="77777777">
      <w:pPr>
        <w:spacing w:line="360" w:lineRule="auto"/>
        <w:jc w:val="both"/>
        <w:rPr>
          <w:rFonts w:ascii="Palatino Linotype" w:hAnsi="Palatino Linotype" w:cs="Tahoma"/>
          <w:bCs/>
          <w:iCs/>
          <w:sz w:val="22"/>
          <w:szCs w:val="22"/>
        </w:rPr>
      </w:pPr>
      <w:r w:rsidRPr="00E3269B">
        <w:rPr>
          <w:rFonts w:ascii="Palatino Linotype" w:hAnsi="Palatino Linotype" w:cs="Tahoma"/>
          <w:bCs/>
          <w:iCs/>
          <w:sz w:val="22"/>
          <w:szCs w:val="22"/>
        </w:rPr>
        <w:t xml:space="preserve">Lo anterior, se desprende de las documentales que obran en el expediente de referencia, materia de la presente resolución, consistente en: la solicitud de información; la respuesta del Sujeto Obligado; el escrito recursal y el Informe Justificado del Ente Recurrido, instrumentales </w:t>
      </w:r>
      <w:r w:rsidRPr="00E3269B">
        <w:rPr>
          <w:rFonts w:ascii="Palatino Linotype" w:hAnsi="Palatino Linotype" w:cs="Tahoma"/>
          <w:bCs/>
          <w:iCs/>
          <w:sz w:val="22"/>
          <w:szCs w:val="22"/>
        </w:rPr>
        <w:lastRenderedPageBreak/>
        <w:t>que se toman en cuenta a efecto de resolver el presente medio de impugnación, conforme a lo dispuesto por el artículo 185, fracción IV, de la Ley de Transparencia y Acceso a la Información Pública del Estado de México y Municipios.</w:t>
      </w:r>
    </w:p>
    <w:p w:rsidRPr="00E3269B" w:rsidR="005E0934" w:rsidP="00275B5D" w:rsidRDefault="005E0934" w14:paraId="04D3A779" w14:textId="77777777">
      <w:pPr>
        <w:spacing w:line="360" w:lineRule="auto"/>
        <w:jc w:val="both"/>
        <w:rPr>
          <w:rFonts w:ascii="Palatino Linotype" w:hAnsi="Palatino Linotype" w:cs="Tahoma"/>
          <w:bCs/>
          <w:iCs/>
          <w:sz w:val="22"/>
          <w:szCs w:val="22"/>
        </w:rPr>
      </w:pPr>
    </w:p>
    <w:p w:rsidRPr="00E3269B" w:rsidR="0084610A" w:rsidP="00275B5D" w:rsidRDefault="0084610A" w14:paraId="2D17DFE9" w14:textId="16383990">
      <w:pPr>
        <w:spacing w:line="360" w:lineRule="auto"/>
        <w:jc w:val="both"/>
        <w:rPr>
          <w:rFonts w:ascii="Palatino Linotype" w:hAnsi="Palatino Linotype" w:cs="Tahoma" w:eastAsiaTheme="minorHAnsi"/>
          <w:bCs/>
          <w:color w:val="0D0D0D"/>
          <w:sz w:val="22"/>
          <w:szCs w:val="22"/>
          <w:lang w:eastAsia="en-US"/>
        </w:rPr>
      </w:pPr>
      <w:r w:rsidRPr="00E3269B">
        <w:rPr>
          <w:rFonts w:ascii="Palatino Linotype" w:hAnsi="Palatino Linotype" w:eastAsia="Calibri" w:cs="Tahoma"/>
          <w:color w:val="000000"/>
          <w:sz w:val="22"/>
          <w:szCs w:val="22"/>
          <w:lang w:eastAsia="en-US"/>
        </w:rPr>
        <w:t>Ahora bien, cabe señalar</w:t>
      </w:r>
      <w:r w:rsidRPr="00E3269B">
        <w:rPr>
          <w:rFonts w:ascii="Palatino Linotype" w:hAnsi="Palatino Linotype" w:cs="Tahoma" w:eastAsiaTheme="minorHAnsi"/>
          <w:bCs/>
          <w:color w:val="0D0D0D"/>
          <w:sz w:val="22"/>
          <w:szCs w:val="22"/>
          <w:lang w:eastAsia="en-US"/>
        </w:rPr>
        <w:t xml:space="preserve"> que el </w:t>
      </w:r>
      <w:r w:rsidRPr="00E3269B" w:rsidR="00C52888">
        <w:rPr>
          <w:rFonts w:ascii="Palatino Linotype" w:hAnsi="Palatino Linotype" w:cs="Tahoma" w:eastAsiaTheme="minorHAnsi"/>
          <w:bCs/>
          <w:color w:val="0D0D0D"/>
          <w:sz w:val="22"/>
          <w:szCs w:val="22"/>
          <w:lang w:eastAsia="en-US"/>
        </w:rPr>
        <w:t>Instituto de Seguridad Social del Estado de México y Municipios</w:t>
      </w:r>
      <w:r w:rsidRPr="00E3269B">
        <w:rPr>
          <w:rFonts w:ascii="Palatino Linotype" w:hAnsi="Palatino Linotype" w:cs="Tahoma" w:eastAsiaTheme="minorHAnsi"/>
          <w:bCs/>
          <w:color w:val="0D0D0D"/>
          <w:sz w:val="22"/>
          <w:szCs w:val="22"/>
          <w:lang w:eastAsia="en-US"/>
        </w:rPr>
        <w:t xml:space="preserve">, turnó la solicitud de información, tanto en respuesta, como </w:t>
      </w:r>
      <w:r w:rsidRPr="00E3269B" w:rsidR="00F1564B">
        <w:rPr>
          <w:rFonts w:ascii="Palatino Linotype" w:hAnsi="Palatino Linotype" w:cs="Tahoma" w:eastAsiaTheme="minorHAnsi"/>
          <w:bCs/>
          <w:color w:val="0D0D0D"/>
          <w:sz w:val="22"/>
          <w:szCs w:val="22"/>
          <w:lang w:eastAsia="en-US"/>
        </w:rPr>
        <w:t>en Informe Justificado</w:t>
      </w:r>
      <w:r w:rsidRPr="00E3269B">
        <w:rPr>
          <w:rFonts w:ascii="Palatino Linotype" w:hAnsi="Palatino Linotype" w:cs="Tahoma" w:eastAsiaTheme="minorHAnsi"/>
          <w:bCs/>
          <w:color w:val="0D0D0D"/>
          <w:sz w:val="22"/>
          <w:szCs w:val="22"/>
          <w:lang w:eastAsia="en-US"/>
        </w:rPr>
        <w:t xml:space="preserve">, a la </w:t>
      </w:r>
      <w:r w:rsidRPr="00E3269B" w:rsidR="00EF280E">
        <w:rPr>
          <w:rFonts w:ascii="Palatino Linotype" w:hAnsi="Palatino Linotype" w:cs="Tahoma" w:eastAsiaTheme="minorHAnsi"/>
          <w:bCs/>
          <w:color w:val="0D0D0D"/>
          <w:sz w:val="22"/>
          <w:szCs w:val="22"/>
          <w:lang w:eastAsia="en-US"/>
        </w:rPr>
        <w:t>Coordinación de Servicios de Salud</w:t>
      </w:r>
      <w:r w:rsidRPr="00E3269B">
        <w:rPr>
          <w:rFonts w:ascii="Palatino Linotype" w:hAnsi="Palatino Linotype" w:eastAsia="Calibri" w:cs="Arial"/>
          <w:bCs/>
          <w:color w:val="000000"/>
          <w:sz w:val="22"/>
          <w:szCs w:val="22"/>
          <w:lang w:val="es-ES" w:eastAsia="en-US"/>
        </w:rPr>
        <w:t xml:space="preserve">; </w:t>
      </w:r>
      <w:r w:rsidRPr="00E3269B">
        <w:rPr>
          <w:rFonts w:ascii="Palatino Linotype" w:hAnsi="Palatino Linotype" w:eastAsiaTheme="minorHAnsi" w:cstheme="minorBidi"/>
          <w:bCs/>
          <w:color w:val="000000" w:themeColor="text1"/>
          <w:sz w:val="22"/>
          <w:szCs w:val="22"/>
          <w:lang w:val="es-ES" w:eastAsia="en-US"/>
        </w:rPr>
        <w:t xml:space="preserve">por lo que, es oportuno </w:t>
      </w:r>
      <w:r w:rsidRPr="00E3269B">
        <w:rPr>
          <w:rFonts w:ascii="Palatino Linotype" w:hAnsi="Palatino Linotype" w:eastAsiaTheme="minorHAnsi" w:cstheme="minorBidi"/>
          <w:bCs/>
          <w:color w:val="000000" w:themeColor="text1"/>
          <w:sz w:val="22"/>
          <w:szCs w:val="22"/>
          <w:lang w:eastAsia="en-US"/>
        </w:rPr>
        <w:t xml:space="preserve">hacer referencia al </w:t>
      </w:r>
      <w:r w:rsidRPr="00E3269B">
        <w:rPr>
          <w:rFonts w:ascii="Palatino Linotype" w:hAnsi="Palatino Linotype" w:eastAsiaTheme="minorHAnsi" w:cstheme="minorBidi"/>
          <w:b/>
          <w:bCs/>
          <w:color w:val="000000" w:themeColor="text1"/>
          <w:sz w:val="22"/>
          <w:szCs w:val="22"/>
          <w:lang w:eastAsia="en-US"/>
        </w:rPr>
        <w:t>procedimiento de búsqueda que deben de seguir los Sujetos Obligados para localizar la información</w:t>
      </w:r>
      <w:r w:rsidRPr="00E3269B">
        <w:rPr>
          <w:rFonts w:ascii="Palatino Linotype" w:hAnsi="Palatino Linotype" w:eastAsiaTheme="minorHAnsi" w:cstheme="minorBidi"/>
          <w:bCs/>
          <w:color w:val="000000" w:themeColor="text1"/>
          <w:sz w:val="22"/>
          <w:szCs w:val="22"/>
          <w:lang w:eastAsia="en-US"/>
        </w:rPr>
        <w:t xml:space="preserve">, el cual se encuentra previsto en los artículos 160 y 162 de la Ley de Transparencia y Acceso a la Información Pública del Estado de México y Municipios, mismo que es el </w:t>
      </w:r>
      <w:r w:rsidRPr="00E3269B">
        <w:rPr>
          <w:rFonts w:ascii="Palatino Linotype" w:hAnsi="Palatino Linotype" w:eastAsia="Calibri" w:cs="Tahoma"/>
          <w:bCs/>
          <w:color w:val="000000"/>
          <w:sz w:val="22"/>
          <w:szCs w:val="22"/>
          <w:lang w:eastAsia="en-US"/>
        </w:rPr>
        <w:t>siguiente:</w:t>
      </w:r>
    </w:p>
    <w:p w:rsidRPr="00E3269B" w:rsidR="00D633C2" w:rsidP="00275B5D" w:rsidRDefault="00D633C2" w14:paraId="3621AF9C" w14:textId="77777777">
      <w:pPr>
        <w:spacing w:line="360" w:lineRule="auto"/>
        <w:jc w:val="both"/>
        <w:rPr>
          <w:rFonts w:ascii="Palatino Linotype" w:hAnsi="Palatino Linotype"/>
          <w:color w:val="000000" w:themeColor="text1"/>
          <w:sz w:val="22"/>
          <w:szCs w:val="22"/>
          <w:lang w:eastAsia="es-MX"/>
        </w:rPr>
      </w:pPr>
    </w:p>
    <w:p w:rsidRPr="00E3269B" w:rsidR="0084610A" w:rsidP="00275B5D" w:rsidRDefault="0084610A" w14:paraId="07F5B20F" w14:textId="77777777">
      <w:pPr>
        <w:numPr>
          <w:ilvl w:val="0"/>
          <w:numId w:val="1"/>
        </w:numPr>
        <w:spacing w:line="360" w:lineRule="auto"/>
        <w:jc w:val="both"/>
        <w:rPr>
          <w:rFonts w:ascii="Palatino Linotype" w:hAnsi="Palatino Linotype" w:eastAsiaTheme="minorHAnsi" w:cstheme="minorBidi"/>
          <w:bCs/>
          <w:color w:val="000000" w:themeColor="text1"/>
          <w:sz w:val="22"/>
          <w:szCs w:val="22"/>
          <w:lang w:val="es-ES" w:eastAsia="en-US"/>
        </w:rPr>
      </w:pPr>
      <w:r w:rsidRPr="00E3269B">
        <w:rPr>
          <w:rFonts w:ascii="Palatino Linotype" w:hAnsi="Palatino Linotype" w:eastAsiaTheme="minorHAnsi" w:cstheme="minorBidi"/>
          <w:bCs/>
          <w:color w:val="000000" w:themeColor="text1"/>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E3269B" w:rsidR="0084610A" w:rsidP="00275B5D" w:rsidRDefault="0084610A" w14:paraId="77BC96B4" w14:textId="77777777">
      <w:pPr>
        <w:spacing w:line="360" w:lineRule="auto"/>
        <w:jc w:val="both"/>
        <w:rPr>
          <w:rFonts w:ascii="Palatino Linotype" w:hAnsi="Palatino Linotype" w:eastAsiaTheme="minorHAnsi" w:cstheme="minorBidi"/>
          <w:bCs/>
          <w:color w:val="000000" w:themeColor="text1"/>
          <w:sz w:val="22"/>
          <w:szCs w:val="22"/>
          <w:lang w:val="es-ES" w:eastAsia="en-US"/>
        </w:rPr>
      </w:pPr>
    </w:p>
    <w:p w:rsidRPr="00E3269B" w:rsidR="0084610A" w:rsidP="00275B5D" w:rsidRDefault="0084610A" w14:paraId="18EE6C82" w14:textId="77777777">
      <w:pPr>
        <w:numPr>
          <w:ilvl w:val="0"/>
          <w:numId w:val="1"/>
        </w:numPr>
        <w:spacing w:line="360" w:lineRule="auto"/>
        <w:jc w:val="both"/>
        <w:rPr>
          <w:rFonts w:ascii="Palatino Linotype" w:hAnsi="Palatino Linotype" w:eastAsiaTheme="minorHAnsi" w:cstheme="minorBidi"/>
          <w:bCs/>
          <w:color w:val="000000" w:themeColor="text1"/>
          <w:sz w:val="22"/>
          <w:szCs w:val="22"/>
          <w:lang w:val="es-ES" w:eastAsia="en-US"/>
        </w:rPr>
      </w:pPr>
      <w:r w:rsidRPr="00E3269B">
        <w:rPr>
          <w:rFonts w:ascii="Palatino Linotype" w:hAnsi="Palatino Linotype" w:eastAsiaTheme="minorHAnsi" w:cstheme="minorBidi"/>
          <w:bCs/>
          <w:color w:val="000000" w:themeColor="text1"/>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E3269B" w:rsidR="0084610A" w:rsidP="00275B5D" w:rsidRDefault="0084610A" w14:paraId="0DC5671C" w14:textId="77777777">
      <w:pPr>
        <w:spacing w:line="360" w:lineRule="auto"/>
        <w:jc w:val="both"/>
        <w:rPr>
          <w:rFonts w:ascii="Palatino Linotype" w:hAnsi="Palatino Linotype" w:eastAsia="Calibri" w:cs="Tahoma"/>
          <w:bCs/>
          <w:color w:val="000000"/>
          <w:sz w:val="22"/>
          <w:szCs w:val="22"/>
          <w:highlight w:val="green"/>
          <w:lang w:val="es-ES" w:eastAsia="en-US"/>
        </w:rPr>
      </w:pPr>
    </w:p>
    <w:p w:rsidRPr="00E3269B" w:rsidR="00331544" w:rsidP="00331544" w:rsidRDefault="00F1564B" w14:paraId="445E09CE" w14:textId="756832CD">
      <w:pPr>
        <w:autoSpaceDE w:val="0"/>
        <w:autoSpaceDN w:val="0"/>
        <w:adjustRightInd w:val="0"/>
        <w:spacing w:line="360" w:lineRule="auto"/>
        <w:jc w:val="both"/>
        <w:rPr>
          <w:rFonts w:ascii="Palatino Linotype" w:hAnsi="Palatino Linotype"/>
          <w:bCs/>
          <w:sz w:val="22"/>
          <w:szCs w:val="22"/>
        </w:rPr>
      </w:pPr>
      <w:r w:rsidRPr="00E3269B">
        <w:rPr>
          <w:rFonts w:ascii="Palatino Linotype" w:hAnsi="Palatino Linotype"/>
          <w:bCs/>
          <w:sz w:val="22"/>
          <w:szCs w:val="22"/>
          <w:lang w:val="es-ES"/>
        </w:rPr>
        <w:t>Así</w:t>
      </w:r>
      <w:r w:rsidRPr="00E3269B" w:rsidR="005A44A9">
        <w:rPr>
          <w:rFonts w:ascii="Palatino Linotype" w:hAnsi="Palatino Linotype"/>
          <w:bCs/>
          <w:sz w:val="22"/>
          <w:szCs w:val="22"/>
          <w:lang w:val="es-ES"/>
        </w:rPr>
        <w:t>, a efecto de determinar si el Sujeto Obligado siguió el procedimiento antes descrito, es necesario traer a colación</w:t>
      </w:r>
      <w:r w:rsidRPr="00E3269B" w:rsidR="005A44A9">
        <w:rPr>
          <w:rFonts w:ascii="Palatino Linotype" w:hAnsi="Palatino Linotype"/>
          <w:bCs/>
          <w:sz w:val="22"/>
          <w:szCs w:val="22"/>
          <w:lang w:val="x-none"/>
        </w:rPr>
        <w:t xml:space="preserve"> </w:t>
      </w:r>
      <w:r w:rsidRPr="00E3269B" w:rsidR="00331544">
        <w:rPr>
          <w:rFonts w:ascii="Palatino Linotype" w:hAnsi="Palatino Linotype"/>
          <w:bCs/>
          <w:sz w:val="22"/>
          <w:szCs w:val="22"/>
        </w:rPr>
        <w:t xml:space="preserve">los artículos 13 y  16 fracción III del Reglamento Interior del Instituto de Seguridad Social del Estado de México y Municipios, que contemplan que el Sujeto </w:t>
      </w:r>
      <w:r w:rsidRPr="00E3269B" w:rsidR="00331544">
        <w:rPr>
          <w:rFonts w:ascii="Palatino Linotype" w:hAnsi="Palatino Linotype"/>
          <w:bCs/>
          <w:sz w:val="22"/>
          <w:szCs w:val="22"/>
        </w:rPr>
        <w:lastRenderedPageBreak/>
        <w:t xml:space="preserve">Obligado cuenta </w:t>
      </w:r>
      <w:r w:rsidR="00184DA2">
        <w:rPr>
          <w:rFonts w:ascii="Palatino Linotype" w:hAnsi="Palatino Linotype"/>
          <w:bCs/>
          <w:sz w:val="22"/>
          <w:szCs w:val="22"/>
        </w:rPr>
        <w:t xml:space="preserve">con </w:t>
      </w:r>
      <w:r w:rsidRPr="00E3269B" w:rsidR="00331544">
        <w:rPr>
          <w:rFonts w:ascii="Palatino Linotype" w:hAnsi="Palatino Linotype"/>
          <w:bCs/>
          <w:sz w:val="22"/>
          <w:szCs w:val="22"/>
        </w:rPr>
        <w:t>diversas unidades administrativas</w:t>
      </w:r>
      <w:r w:rsidR="00184DA2">
        <w:rPr>
          <w:rFonts w:ascii="Palatino Linotype" w:hAnsi="Palatino Linotype"/>
          <w:bCs/>
          <w:sz w:val="22"/>
          <w:szCs w:val="22"/>
        </w:rPr>
        <w:t xml:space="preserve"> para el ejercicio de sus funciones</w:t>
      </w:r>
      <w:r w:rsidRPr="00E3269B" w:rsidR="00331544">
        <w:rPr>
          <w:rFonts w:ascii="Palatino Linotype" w:hAnsi="Palatino Linotype"/>
          <w:bCs/>
          <w:sz w:val="22"/>
          <w:szCs w:val="22"/>
        </w:rPr>
        <w:t>, entre las que se encuentra la Coordinación de Servicios de Salud, encargada de organizar, supervisar, controlar y evaluar el funcionamiento de las unidades médicas del Instituto y disponer, en su caso, las medidas para mejorar la eficiencia y calidad de sus servicios.</w:t>
      </w:r>
      <w:r w:rsidRPr="00E3269B" w:rsidR="00331544">
        <w:rPr>
          <w:rFonts w:ascii="Palatino Linotype" w:hAnsi="Palatino Linotype"/>
          <w:bCs/>
          <w:sz w:val="22"/>
          <w:szCs w:val="22"/>
        </w:rPr>
        <w:cr/>
      </w:r>
    </w:p>
    <w:p w:rsidRPr="00E3269B" w:rsidR="005A44A9" w:rsidP="00331544" w:rsidRDefault="00FA56B0" w14:paraId="301B5BB9" w14:textId="58E95E34">
      <w:pPr>
        <w:autoSpaceDE w:val="0"/>
        <w:autoSpaceDN w:val="0"/>
        <w:adjustRightInd w:val="0"/>
        <w:spacing w:line="360" w:lineRule="auto"/>
        <w:jc w:val="both"/>
        <w:rPr>
          <w:rFonts w:ascii="Palatino Linotype" w:hAnsi="Palatino Linotype" w:cs="Tahoma"/>
          <w:bCs/>
          <w:color w:val="0D0D0D"/>
          <w:sz w:val="22"/>
          <w:szCs w:val="22"/>
          <w:lang w:val="es-ES"/>
        </w:rPr>
      </w:pPr>
      <w:r w:rsidRPr="00E3269B">
        <w:rPr>
          <w:rFonts w:ascii="Palatino Linotype" w:hAnsi="Palatino Linotype" w:cs="Tahoma"/>
          <w:bCs/>
          <w:color w:val="0D0D0D"/>
          <w:sz w:val="22"/>
          <w:szCs w:val="22"/>
          <w:lang w:val="es-ES"/>
        </w:rPr>
        <w:t>De tal situación</w:t>
      </w:r>
      <w:r w:rsidRPr="00E3269B" w:rsidR="005A44A9">
        <w:rPr>
          <w:rFonts w:ascii="Palatino Linotype" w:hAnsi="Palatino Linotype" w:cs="Tahoma"/>
          <w:bCs/>
          <w:color w:val="0D0D0D"/>
          <w:sz w:val="22"/>
          <w:szCs w:val="22"/>
          <w:lang w:val="es-ES"/>
        </w:rPr>
        <w:t>, se logra advertir que el Sujeto Obligado cuenta con</w:t>
      </w:r>
      <w:r w:rsidRPr="00E3269B" w:rsidR="006C7DF4">
        <w:rPr>
          <w:rFonts w:ascii="Palatino Linotype" w:hAnsi="Palatino Linotype" w:cs="Tahoma"/>
          <w:bCs/>
          <w:color w:val="0D0D0D"/>
          <w:sz w:val="22"/>
          <w:szCs w:val="22"/>
          <w:lang w:val="es-ES"/>
        </w:rPr>
        <w:t xml:space="preserve"> </w:t>
      </w:r>
      <w:r w:rsidRPr="00E3269B" w:rsidR="00331544">
        <w:rPr>
          <w:rFonts w:ascii="Palatino Linotype" w:hAnsi="Palatino Linotype" w:cs="Tahoma"/>
          <w:bCs/>
          <w:color w:val="0D0D0D"/>
          <w:sz w:val="22"/>
          <w:szCs w:val="22"/>
          <w:lang w:val="es-ES"/>
        </w:rPr>
        <w:t xml:space="preserve">la  </w:t>
      </w:r>
      <w:r w:rsidRPr="00E3269B" w:rsidR="006C7DF4">
        <w:rPr>
          <w:rFonts w:ascii="Palatino Linotype" w:hAnsi="Palatino Linotype" w:cs="Tahoma"/>
          <w:bCs/>
          <w:color w:val="0D0D0D"/>
          <w:sz w:val="22"/>
          <w:szCs w:val="22"/>
          <w:lang w:val="es-ES"/>
        </w:rPr>
        <w:t>u</w:t>
      </w:r>
      <w:r w:rsidRPr="00E3269B" w:rsidR="005A44A9">
        <w:rPr>
          <w:rFonts w:ascii="Palatino Linotype" w:hAnsi="Palatino Linotype" w:cs="Tahoma"/>
          <w:bCs/>
          <w:color w:val="0D0D0D"/>
          <w:sz w:val="22"/>
          <w:szCs w:val="22"/>
          <w:lang w:val="es-ES"/>
        </w:rPr>
        <w:t>nidad</w:t>
      </w:r>
      <w:r w:rsidRPr="00E3269B" w:rsidR="00331544">
        <w:rPr>
          <w:rFonts w:ascii="Palatino Linotype" w:hAnsi="Palatino Linotype" w:cs="Tahoma"/>
          <w:bCs/>
          <w:color w:val="0D0D0D"/>
          <w:sz w:val="22"/>
          <w:szCs w:val="22"/>
          <w:lang w:val="es-ES"/>
        </w:rPr>
        <w:t xml:space="preserve"> </w:t>
      </w:r>
      <w:r w:rsidRPr="00E3269B" w:rsidR="005A44A9">
        <w:rPr>
          <w:rFonts w:ascii="Palatino Linotype" w:hAnsi="Palatino Linotype" w:cs="Tahoma"/>
          <w:bCs/>
          <w:color w:val="0D0D0D"/>
          <w:sz w:val="22"/>
          <w:szCs w:val="22"/>
          <w:lang w:val="es-ES"/>
        </w:rPr>
        <w:t xml:space="preserve"> administrativa idónea</w:t>
      </w:r>
      <w:r w:rsidRPr="00E3269B" w:rsidR="00331544">
        <w:rPr>
          <w:rFonts w:ascii="Palatino Linotype" w:hAnsi="Palatino Linotype" w:cs="Tahoma"/>
          <w:bCs/>
          <w:color w:val="0D0D0D"/>
          <w:sz w:val="22"/>
          <w:szCs w:val="22"/>
          <w:lang w:val="es-ES"/>
        </w:rPr>
        <w:t xml:space="preserve"> </w:t>
      </w:r>
      <w:r w:rsidRPr="00E3269B" w:rsidR="005A44A9">
        <w:rPr>
          <w:rFonts w:ascii="Palatino Linotype" w:hAnsi="Palatino Linotype" w:cs="Tahoma"/>
          <w:bCs/>
          <w:color w:val="0D0D0D"/>
          <w:sz w:val="22"/>
          <w:szCs w:val="22"/>
          <w:lang w:val="es-ES"/>
        </w:rPr>
        <w:t xml:space="preserve"> para conocer de la información solicitada, a saber, </w:t>
      </w:r>
      <w:r w:rsidRPr="00E3269B" w:rsidR="00F91C44">
        <w:rPr>
          <w:rFonts w:ascii="Palatino Linotype" w:hAnsi="Palatino Linotype" w:cs="Tahoma"/>
          <w:bCs/>
          <w:color w:val="0D0D0D"/>
          <w:sz w:val="22"/>
          <w:szCs w:val="22"/>
          <w:lang w:val="es-ES"/>
        </w:rPr>
        <w:t xml:space="preserve">la </w:t>
      </w:r>
      <w:r w:rsidRPr="00E3269B" w:rsidR="00331544">
        <w:rPr>
          <w:rFonts w:ascii="Palatino Linotype" w:hAnsi="Palatino Linotype" w:cs="Tahoma"/>
          <w:bCs/>
          <w:color w:val="0D0D0D"/>
          <w:sz w:val="22"/>
          <w:szCs w:val="22"/>
          <w:lang w:val="es-ES"/>
        </w:rPr>
        <w:t>Coordinación de Servicios de Salud</w:t>
      </w:r>
      <w:r w:rsidRPr="00E3269B" w:rsidR="005A44A9">
        <w:rPr>
          <w:rFonts w:ascii="Palatino Linotype" w:hAnsi="Palatino Linotype" w:cs="Tahoma"/>
          <w:bCs/>
          <w:color w:val="0D0D0D"/>
          <w:sz w:val="22"/>
          <w:szCs w:val="22"/>
        </w:rPr>
        <w:t xml:space="preserve">, </w:t>
      </w:r>
      <w:r w:rsidRPr="00E3269B" w:rsidR="005A44A9">
        <w:rPr>
          <w:rFonts w:ascii="Palatino Linotype" w:hAnsi="Palatino Linotype" w:cs="Tahoma"/>
          <w:bCs/>
          <w:color w:val="0D0D0D"/>
          <w:sz w:val="22"/>
          <w:szCs w:val="22"/>
          <w:lang w:val="es-ES"/>
        </w:rPr>
        <w:t>por lo que, se colige que cumplió con parte de lo establecido en el artículo 162 de la Ley de Transparencia y Acceso a la Información Pública del Estado de México y Municipios.</w:t>
      </w:r>
    </w:p>
    <w:p w:rsidR="0010362A" w:rsidP="00331544" w:rsidRDefault="0010362A" w14:paraId="7731D553" w14:textId="5DB012AC">
      <w:pPr>
        <w:autoSpaceDE w:val="0"/>
        <w:autoSpaceDN w:val="0"/>
        <w:adjustRightInd w:val="0"/>
        <w:spacing w:line="360" w:lineRule="auto"/>
        <w:jc w:val="both"/>
        <w:rPr>
          <w:rFonts w:ascii="Palatino Linotype" w:hAnsi="Palatino Linotype" w:cs="Tahoma"/>
          <w:bCs/>
          <w:color w:val="0D0D0D"/>
          <w:sz w:val="22"/>
          <w:szCs w:val="22"/>
          <w:lang w:val="es-ES"/>
        </w:rPr>
      </w:pPr>
    </w:p>
    <w:p w:rsidRPr="00E3269B" w:rsidR="00FA4EB0" w:rsidP="00FA4EB0" w:rsidRDefault="00FA4EB0" w14:paraId="7E2725AF" w14:textId="2B6E63E6">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bCs/>
          <w:color w:val="0D0D0D"/>
          <w:sz w:val="22"/>
          <w:szCs w:val="22"/>
          <w:lang w:val="es-ES"/>
        </w:rPr>
        <w:t xml:space="preserve">Ahora bien, dicha unidad administrativa precisó que los oficios por los que dieron a conocer al personal médico y administrativo, los motivos y causas por las cuales no se dieran consultas, consistía en los oficios </w:t>
      </w:r>
      <w:bookmarkStart w:name="_Hlk102569415" w:id="3"/>
      <w:r w:rsidRPr="00E3269B">
        <w:rPr>
          <w:rFonts w:ascii="Palatino Linotype" w:hAnsi="Palatino Linotype"/>
          <w:sz w:val="22"/>
          <w:szCs w:val="22"/>
          <w:lang w:val="es-ES_tradnl"/>
        </w:rPr>
        <w:t>207C04010400000/DHRT/01019/2020</w:t>
      </w:r>
      <w:bookmarkEnd w:id="3"/>
      <w:r w:rsidRPr="00E3269B">
        <w:rPr>
          <w:rFonts w:ascii="Palatino Linotype" w:hAnsi="Palatino Linotype"/>
          <w:sz w:val="22"/>
          <w:szCs w:val="22"/>
          <w:lang w:val="es-ES_tradnl"/>
        </w:rPr>
        <w:t>,  207C04010400000/DHRT/0913/2021, y 207C040010400000L/CSS/000930/2021</w:t>
      </w:r>
      <w:r>
        <w:rPr>
          <w:rFonts w:ascii="Palatino Linotype" w:hAnsi="Palatino Linotype"/>
          <w:sz w:val="22"/>
          <w:szCs w:val="22"/>
          <w:lang w:val="es-ES_tradnl"/>
        </w:rPr>
        <w:t>; a</w:t>
      </w:r>
      <w:r w:rsidRPr="00E3269B">
        <w:rPr>
          <w:rFonts w:ascii="Palatino Linotype" w:hAnsi="Palatino Linotype" w:eastAsia="Calibri" w:cs="Tahoma"/>
          <w:color w:val="000000"/>
          <w:sz w:val="22"/>
          <w:szCs w:val="22"/>
          <w:lang w:val="es-ES" w:eastAsia="en-US"/>
        </w:rPr>
        <w:t>l respecto</w:t>
      </w:r>
      <w:r w:rsidRPr="00E3269B">
        <w:rPr>
          <w:rFonts w:ascii="Palatino Linotype" w:hAnsi="Palatino Linotype" w:eastAsia="Calibri" w:cs="Tahoma"/>
          <w:bCs/>
          <w:sz w:val="22"/>
          <w:szCs w:val="22"/>
          <w:lang w:val="es-ES" w:eastAsia="en-US"/>
        </w:rPr>
        <w:t xml:space="preserve">, cabe señalar que </w:t>
      </w:r>
      <w:r w:rsidRPr="00E3269B">
        <w:rPr>
          <w:rFonts w:ascii="Palatino Linotype" w:hAnsi="Palatino Linotype" w:cs="Tahoma"/>
          <w:sz w:val="22"/>
          <w:szCs w:val="22"/>
          <w:lang w:val="es-ES"/>
        </w:rPr>
        <w:t>este Instituto, no tiene atribuciones para pronunciarse sobre la veracidad de la información, sobre todo si se pronuncia el área competente; apoya lo anterior, el Criterio histórico 31/10, emitido por el Pleno del entonces Instituto Federal de Acceso a la Información y Protección de Datos, que a continuación se cita:</w:t>
      </w:r>
    </w:p>
    <w:p w:rsidRPr="00E3269B" w:rsidR="00FA4EB0" w:rsidP="00FA4EB0" w:rsidRDefault="00FA4EB0" w14:paraId="3EDD9D71" w14:textId="77777777">
      <w:pPr>
        <w:spacing w:line="360" w:lineRule="auto"/>
        <w:jc w:val="both"/>
        <w:rPr>
          <w:rFonts w:ascii="Palatino Linotype" w:hAnsi="Palatino Linotype" w:cs="Tahoma"/>
          <w:sz w:val="22"/>
          <w:szCs w:val="22"/>
          <w:lang w:val="es-ES"/>
        </w:rPr>
      </w:pPr>
    </w:p>
    <w:p w:rsidRPr="00E3269B" w:rsidR="00FA4EB0" w:rsidP="00FA4EB0" w:rsidRDefault="00FA4EB0" w14:paraId="56EDBD0F" w14:textId="77777777">
      <w:pPr>
        <w:spacing w:line="360" w:lineRule="auto"/>
        <w:ind w:left="567" w:right="567"/>
        <w:jc w:val="both"/>
        <w:rPr>
          <w:rFonts w:ascii="Palatino Linotype" w:hAnsi="Palatino Linotype" w:cs="Tahoma"/>
          <w:i/>
          <w:lang w:val="es-ES"/>
        </w:rPr>
      </w:pPr>
      <w:r w:rsidRPr="00E3269B">
        <w:rPr>
          <w:rFonts w:ascii="Palatino Linotype" w:hAnsi="Palatino Linotype" w:cs="Tahoma"/>
          <w:b/>
          <w:i/>
          <w:lang w:val="es-ES"/>
        </w:rPr>
        <w:t xml:space="preserve">“El Instituto Federal de Acceso a la Información y Protección de Datos </w:t>
      </w:r>
      <w:r w:rsidRPr="00E3269B">
        <w:rPr>
          <w:rFonts w:ascii="Palatino Linotype" w:hAnsi="Palatino Linotype" w:cs="Tahoma"/>
          <w:b/>
          <w:i/>
          <w:u w:val="single"/>
          <w:lang w:val="es-ES"/>
        </w:rPr>
        <w:t xml:space="preserve">no cuenta con facultades para pronunciarse respecto de la veracidad de los documentos proporcionados por los sujetos obligados. </w:t>
      </w:r>
      <w:r w:rsidRPr="00E3269B">
        <w:rPr>
          <w:rFonts w:ascii="Palatino Linotype" w:hAnsi="Palatino Linotype" w:cs="Tahoma"/>
          <w:i/>
          <w:lang w:val="es-ES"/>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w:t>
      </w:r>
      <w:r w:rsidRPr="00E3269B">
        <w:rPr>
          <w:rFonts w:ascii="Palatino Linotype" w:hAnsi="Palatino Linotype" w:cs="Tahoma"/>
          <w:i/>
          <w:lang w:val="es-ES"/>
        </w:rPr>
        <w:lastRenderedPageBreak/>
        <w:t>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A4EB0" w:rsidP="00331544" w:rsidRDefault="00FA4EB0" w14:paraId="03C35165" w14:textId="77165406">
      <w:pPr>
        <w:autoSpaceDE w:val="0"/>
        <w:autoSpaceDN w:val="0"/>
        <w:adjustRightInd w:val="0"/>
        <w:spacing w:line="360" w:lineRule="auto"/>
        <w:jc w:val="both"/>
        <w:rPr>
          <w:rFonts w:ascii="Palatino Linotype" w:hAnsi="Palatino Linotype"/>
          <w:sz w:val="22"/>
          <w:szCs w:val="22"/>
          <w:lang w:val="es-ES_tradnl"/>
        </w:rPr>
      </w:pPr>
    </w:p>
    <w:p w:rsidR="00EE1ABB" w:rsidP="00EE1ABB" w:rsidRDefault="00FA4EB0" w14:paraId="005F5748" w14:textId="77777777">
      <w:pPr>
        <w:tabs>
          <w:tab w:val="left" w:pos="4962"/>
        </w:tabs>
        <w:spacing w:line="360" w:lineRule="auto"/>
        <w:jc w:val="both"/>
        <w:rPr>
          <w:rFonts w:ascii="Palatino Linotype" w:hAnsi="Palatino Linotype" w:eastAsia="Calibri"/>
          <w:color w:val="000000" w:themeColor="text1"/>
          <w:sz w:val="22"/>
          <w:szCs w:val="22"/>
          <w:lang w:eastAsia="en-US"/>
        </w:rPr>
      </w:pPr>
      <w:r>
        <w:rPr>
          <w:rFonts w:ascii="Palatino Linotype" w:hAnsi="Palatino Linotype" w:cs="Tahoma"/>
          <w:bCs/>
          <w:color w:val="0D0D0D"/>
          <w:sz w:val="22"/>
          <w:szCs w:val="22"/>
          <w:lang w:val="es-ES"/>
        </w:rPr>
        <w:t>En ese contexto, si bien el Sujeto Obligado precisó cuales eran los documentos que daban cuenta de lo peticionado</w:t>
      </w:r>
      <w:r w:rsidR="00EE1ABB">
        <w:rPr>
          <w:rFonts w:ascii="Palatino Linotype" w:hAnsi="Palatino Linotype" w:cs="Tahoma"/>
          <w:bCs/>
          <w:color w:val="0D0D0D"/>
          <w:sz w:val="22"/>
          <w:szCs w:val="22"/>
          <w:lang w:val="es-ES"/>
        </w:rPr>
        <w:t xml:space="preserve">, lo cierto es que no los proporcionó, por lo que, se logra vislumbrar que la respuesta no fue exhaustiva; </w:t>
      </w:r>
      <w:r w:rsidR="00EE1ABB">
        <w:rPr>
          <w:rFonts w:ascii="Palatino Linotype" w:hAnsi="Palatino Linotype" w:eastAsia="Calibri" w:cs="Tahoma"/>
          <w:bCs/>
          <w:iCs/>
          <w:color w:val="000000"/>
          <w:sz w:val="22"/>
          <w:szCs w:val="24"/>
          <w:lang w:eastAsia="es-MX"/>
        </w:rPr>
        <w:t>sobre el tema</w:t>
      </w:r>
      <w:r w:rsidR="00EE1ABB">
        <w:rPr>
          <w:rFonts w:ascii="Palatino Linotype" w:hAnsi="Palatino Linotype" w:eastAsia="Calibri"/>
          <w:color w:val="000000" w:themeColor="text1"/>
          <w:sz w:val="22"/>
          <w:szCs w:val="22"/>
          <w:lang w:eastAsia="en-US"/>
        </w:rPr>
        <w:t>, el artículo 1.8, fracción XIII, del Código Administrativo del Estado de México, establece que para que tenga validez, todo acto administrativo deberá resolver todos los puntos propuestos por los interesados.</w:t>
      </w:r>
    </w:p>
    <w:p w:rsidR="00EE1ABB" w:rsidP="00EE1ABB" w:rsidRDefault="00EE1ABB" w14:paraId="64A40F90" w14:textId="77777777">
      <w:pPr>
        <w:widowControl w:val="0"/>
        <w:autoSpaceDE w:val="0"/>
        <w:autoSpaceDN w:val="0"/>
        <w:adjustRightInd w:val="0"/>
        <w:spacing w:line="360" w:lineRule="auto"/>
        <w:jc w:val="both"/>
        <w:rPr>
          <w:rFonts w:ascii="Palatino Linotype" w:hAnsi="Palatino Linotype" w:eastAsia="Calibri" w:cs="Tahoma"/>
          <w:bCs/>
          <w:color w:val="000000"/>
          <w:sz w:val="22"/>
          <w:szCs w:val="22"/>
          <w:lang w:eastAsia="en-US"/>
        </w:rPr>
      </w:pPr>
    </w:p>
    <w:p w:rsidR="00EE1ABB" w:rsidP="00EE1ABB" w:rsidRDefault="00EE1ABB" w14:paraId="04F6002D" w14:textId="642C871C">
      <w:pPr>
        <w:spacing w:line="360" w:lineRule="auto"/>
        <w:jc w:val="both"/>
        <w:rPr>
          <w:rFonts w:ascii="Palatino Linotype" w:hAnsi="Palatino Linotype" w:eastAsia="Calibri"/>
          <w:color w:val="000000" w:themeColor="text1"/>
          <w:sz w:val="22"/>
          <w:szCs w:val="22"/>
          <w:lang w:eastAsia="en-US"/>
        </w:rPr>
      </w:pPr>
      <w:r>
        <w:rPr>
          <w:rFonts w:ascii="Palatino Linotype" w:hAnsi="Palatino Linotype" w:eastAsia="Calibri"/>
          <w:color w:val="000000" w:themeColor="text1"/>
          <w:sz w:val="22"/>
          <w:szCs w:val="22"/>
          <w:lang w:eastAsia="en-US"/>
        </w:rPr>
        <w:t xml:space="preserve">Situación que se robustece, con el Criterio 02/17, del Instituto Nacional de Transparencia, Acceso a la Información y Protección de Datos Personales, el cual establece que todo acto administrativo debe apegarse al </w:t>
      </w:r>
      <w:r>
        <w:rPr>
          <w:rFonts w:ascii="Palatino Linotype" w:hAnsi="Palatino Linotype" w:eastAsia="Calibri"/>
          <w:b/>
          <w:bCs/>
          <w:color w:val="000000" w:themeColor="text1"/>
          <w:sz w:val="22"/>
          <w:szCs w:val="22"/>
          <w:lang w:eastAsia="en-US"/>
        </w:rPr>
        <w:t>principio de exhaustividad</w:t>
      </w:r>
      <w:r>
        <w:rPr>
          <w:rFonts w:ascii="Palatino Linotype" w:hAnsi="Palatino Linotype" w:eastAsia="Calibri"/>
          <w:color w:val="000000" w:themeColor="text1"/>
          <w:sz w:val="22"/>
          <w:szCs w:val="22"/>
          <w:lang w:eastAsia="en-U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EE1ABB" w:rsidP="00EE1ABB" w:rsidRDefault="00EE1ABB" w14:paraId="1B482985" w14:textId="77777777">
      <w:pPr>
        <w:spacing w:line="360" w:lineRule="auto"/>
        <w:jc w:val="both"/>
        <w:rPr>
          <w:rFonts w:ascii="Palatino Linotype" w:hAnsi="Palatino Linotype" w:eastAsia="Calibri"/>
          <w:color w:val="000000" w:themeColor="text1"/>
          <w:sz w:val="22"/>
          <w:szCs w:val="22"/>
          <w:lang w:eastAsia="en-US"/>
        </w:rPr>
      </w:pPr>
    </w:p>
    <w:p w:rsidR="00FA4EB0" w:rsidP="00EE1ABB" w:rsidRDefault="00EE1ABB" w14:paraId="2EA25D32" w14:textId="56A150C6">
      <w:pPr>
        <w:autoSpaceDE w:val="0"/>
        <w:autoSpaceDN w:val="0"/>
        <w:adjustRightInd w:val="0"/>
        <w:spacing w:line="360" w:lineRule="auto"/>
        <w:jc w:val="both"/>
        <w:rPr>
          <w:rFonts w:ascii="Palatino Linotype" w:hAnsi="Palatino Linotype" w:cs="Tahoma"/>
          <w:bCs/>
          <w:color w:val="0D0D0D"/>
          <w:sz w:val="22"/>
          <w:szCs w:val="22"/>
          <w:lang w:val="es-ES"/>
        </w:rPr>
      </w:pPr>
      <w:r>
        <w:rPr>
          <w:rFonts w:ascii="Palatino Linotype" w:hAnsi="Palatino Linotype" w:eastAsia="Calibri"/>
          <w:color w:val="000000" w:themeColor="text1"/>
          <w:sz w:val="22"/>
          <w:szCs w:val="22"/>
          <w:lang w:eastAsia="en-US"/>
        </w:rPr>
        <w:t xml:space="preserve">En esa tesitura, se concluye que el Sujeto Obligado no satisfizo el derecho de acceso a la información del Solicitante, al incumplir el principio de exhaustividad; no obstante, durante la sustanciación del Medio de Impugnación, la </w:t>
      </w:r>
      <w:r w:rsidRPr="00E3269B">
        <w:rPr>
          <w:rFonts w:ascii="Palatino Linotype" w:hAnsi="Palatino Linotype"/>
          <w:bCs/>
          <w:sz w:val="22"/>
          <w:szCs w:val="22"/>
        </w:rPr>
        <w:t>Coordinación de Servicios de Salud</w:t>
      </w:r>
      <w:r>
        <w:rPr>
          <w:rFonts w:ascii="Palatino Linotype" w:hAnsi="Palatino Linotype"/>
          <w:bCs/>
          <w:sz w:val="22"/>
          <w:szCs w:val="22"/>
        </w:rPr>
        <w:t xml:space="preserve">, proporcionó los oficios </w:t>
      </w:r>
      <w:r w:rsidR="00C73DBF">
        <w:rPr>
          <w:rFonts w:ascii="Palatino Linotype" w:hAnsi="Palatino Linotype"/>
          <w:bCs/>
          <w:sz w:val="22"/>
          <w:szCs w:val="22"/>
        </w:rPr>
        <w:t>señalados en respuesta.</w:t>
      </w:r>
    </w:p>
    <w:p w:rsidRPr="00E3269B" w:rsidR="00B57103" w:rsidP="00331544" w:rsidRDefault="00B57103" w14:paraId="63CD6523" w14:textId="77777777">
      <w:pPr>
        <w:autoSpaceDE w:val="0"/>
        <w:autoSpaceDN w:val="0"/>
        <w:adjustRightInd w:val="0"/>
        <w:spacing w:line="360" w:lineRule="auto"/>
        <w:jc w:val="both"/>
        <w:rPr>
          <w:rFonts w:ascii="Palatino Linotype" w:hAnsi="Palatino Linotype" w:cs="Tahoma"/>
          <w:bCs/>
          <w:color w:val="0D0D0D"/>
          <w:sz w:val="22"/>
          <w:szCs w:val="22"/>
          <w:lang w:val="es-ES"/>
        </w:rPr>
      </w:pPr>
    </w:p>
    <w:p w:rsidR="00FA56B0" w:rsidP="00275B5D" w:rsidRDefault="00C73DBF" w14:paraId="2F2A7FFE" w14:textId="7D2DB6A1">
      <w:pPr>
        <w:spacing w:line="360" w:lineRule="auto"/>
        <w:jc w:val="both"/>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 w:eastAsia="en-US"/>
        </w:rPr>
        <w:lastRenderedPageBreak/>
        <w:t xml:space="preserve">En ese contexto, mediante el oficio </w:t>
      </w:r>
      <w:r w:rsidRPr="00C64CF8" w:rsidR="00C64CF8">
        <w:rPr>
          <w:rFonts w:ascii="Palatino Linotype" w:hAnsi="Palatino Linotype" w:eastAsia="Calibri" w:cs="Tahoma"/>
          <w:bCs/>
          <w:sz w:val="22"/>
          <w:szCs w:val="22"/>
          <w:lang w:val="es-ES_tradnl" w:eastAsia="en-US"/>
        </w:rPr>
        <w:t>207C04010400000/DHRT/01019/2020</w:t>
      </w:r>
      <w:r w:rsidR="00C64CF8">
        <w:rPr>
          <w:rFonts w:ascii="Palatino Linotype" w:hAnsi="Palatino Linotype" w:eastAsia="Calibri" w:cs="Tahoma"/>
          <w:bCs/>
          <w:sz w:val="22"/>
          <w:szCs w:val="22"/>
          <w:lang w:val="es-ES_tradnl" w:eastAsia="en-US"/>
        </w:rPr>
        <w:t xml:space="preserve">, se informa la reconversión hospitalaria </w:t>
      </w:r>
      <w:r w:rsidR="00292B1B">
        <w:rPr>
          <w:rFonts w:ascii="Palatino Linotype" w:hAnsi="Palatino Linotype" w:eastAsia="Calibri" w:cs="Tahoma"/>
          <w:bCs/>
          <w:sz w:val="22"/>
          <w:szCs w:val="22"/>
          <w:lang w:val="es-ES_tradnl" w:eastAsia="en-US"/>
        </w:rPr>
        <w:t>del Hospital Regional Toluca, para la reanudación de actividades programadas y electivas de los procedimientos realizados en dicha institución de salubridad.</w:t>
      </w:r>
    </w:p>
    <w:p w:rsidR="00292B1B" w:rsidP="00275B5D" w:rsidRDefault="00292B1B" w14:paraId="5DC43BB1" w14:textId="4C32E338">
      <w:pPr>
        <w:spacing w:line="360" w:lineRule="auto"/>
        <w:jc w:val="both"/>
        <w:rPr>
          <w:rFonts w:ascii="Palatino Linotype" w:hAnsi="Palatino Linotype" w:eastAsia="Calibri" w:cs="Tahoma"/>
          <w:bCs/>
          <w:sz w:val="22"/>
          <w:szCs w:val="22"/>
          <w:lang w:val="es-ES_tradnl" w:eastAsia="en-US"/>
        </w:rPr>
      </w:pPr>
    </w:p>
    <w:p w:rsidR="008925BB" w:rsidP="00275B5D" w:rsidRDefault="00292B1B" w14:paraId="471BA57B" w14:textId="77777777">
      <w:pPr>
        <w:spacing w:line="360" w:lineRule="auto"/>
        <w:jc w:val="both"/>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t>Sobre dicha situación, los Lineamientos de Reconversión Hospitalaria</w:t>
      </w:r>
      <w:r w:rsidR="008925BB">
        <w:rPr>
          <w:rFonts w:ascii="Palatino Linotype" w:hAnsi="Palatino Linotype" w:eastAsia="Calibri" w:cs="Tahoma"/>
          <w:bCs/>
          <w:sz w:val="22"/>
          <w:szCs w:val="22"/>
          <w:lang w:val="es-ES_tradnl" w:eastAsia="en-US"/>
        </w:rPr>
        <w:t xml:space="preserve"> (consultados en la liga </w:t>
      </w:r>
      <w:r w:rsidRPr="008925BB" w:rsidR="008925BB">
        <w:rPr>
          <w:rFonts w:ascii="Palatino Linotype" w:hAnsi="Palatino Linotype" w:eastAsia="Calibri" w:cs="Tahoma"/>
          <w:bCs/>
          <w:sz w:val="22"/>
          <w:szCs w:val="22"/>
          <w:lang w:val="es-ES_tradnl" w:eastAsia="en-US"/>
        </w:rPr>
        <w:t>https://coronavirus.gob.mx/wp-content/uploads/2020/07/Lineamientos-Reconversion-Hospitalaria_05042020_2.pdf</w:t>
      </w:r>
      <w:r w:rsidR="008925BB">
        <w:rPr>
          <w:rFonts w:ascii="Palatino Linotype" w:hAnsi="Palatino Linotype" w:eastAsia="Calibri" w:cs="Tahoma"/>
          <w:bCs/>
          <w:sz w:val="22"/>
          <w:szCs w:val="22"/>
          <w:lang w:val="es-ES_tradnl" w:eastAsia="en-US"/>
        </w:rPr>
        <w:t>)</w:t>
      </w:r>
      <w:r>
        <w:rPr>
          <w:rFonts w:ascii="Palatino Linotype" w:hAnsi="Palatino Linotype" w:eastAsia="Calibri" w:cs="Tahoma"/>
          <w:bCs/>
          <w:sz w:val="22"/>
          <w:szCs w:val="22"/>
          <w:lang w:val="es-ES_tradnl" w:eastAsia="en-US"/>
        </w:rPr>
        <w:t xml:space="preserve">, </w:t>
      </w:r>
      <w:r w:rsidR="008925BB">
        <w:rPr>
          <w:rFonts w:ascii="Palatino Linotype" w:hAnsi="Palatino Linotype" w:eastAsia="Calibri" w:cs="Tahoma"/>
          <w:bCs/>
          <w:sz w:val="22"/>
          <w:szCs w:val="22"/>
          <w:lang w:val="es-ES_tradnl" w:eastAsia="en-US"/>
        </w:rPr>
        <w:t>establece que la reconversión hospitalaria, consiste en la adaptación de la atención hospitalaria, para considerar la capacidad instalada y ampliada, con el objetivo de atender oportunamente los modelos de prevención de la propagación del virus SARS-CoV2.</w:t>
      </w:r>
    </w:p>
    <w:p w:rsidR="008925BB" w:rsidP="00275B5D" w:rsidRDefault="008925BB" w14:paraId="6FFBFAA5" w14:textId="77777777">
      <w:pPr>
        <w:spacing w:line="360" w:lineRule="auto"/>
        <w:jc w:val="both"/>
        <w:rPr>
          <w:rFonts w:ascii="Palatino Linotype" w:hAnsi="Palatino Linotype" w:eastAsia="Calibri" w:cs="Tahoma"/>
          <w:bCs/>
          <w:sz w:val="22"/>
          <w:szCs w:val="22"/>
          <w:lang w:val="es-ES_tradnl" w:eastAsia="en-US"/>
        </w:rPr>
      </w:pPr>
    </w:p>
    <w:p w:rsidR="00292B1B" w:rsidP="00275B5D" w:rsidRDefault="00A529B5" w14:paraId="5743C717" w14:textId="416B9BCA">
      <w:pPr>
        <w:spacing w:line="360" w:lineRule="auto"/>
        <w:jc w:val="both"/>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t>En ese orden de ideas, conforme al oficio en comento, se dio a conocer las medidas que se debían implementar para brindar los servicios de salud, dentro del Hospital Regional de Toluca</w:t>
      </w:r>
      <w:r w:rsidR="00114BFE">
        <w:rPr>
          <w:rFonts w:ascii="Palatino Linotype" w:hAnsi="Palatino Linotype" w:eastAsia="Calibri" w:cs="Tahoma"/>
          <w:bCs/>
          <w:sz w:val="22"/>
          <w:szCs w:val="22"/>
          <w:lang w:val="es-ES_tradnl" w:eastAsia="en-US"/>
        </w:rPr>
        <w:t xml:space="preserve">, entre las cuales se encontraba la capacidad de atención, así como, </w:t>
      </w:r>
      <w:r w:rsidR="00BB6CFF">
        <w:rPr>
          <w:rFonts w:ascii="Palatino Linotype" w:hAnsi="Palatino Linotype" w:eastAsia="Calibri" w:cs="Tahoma"/>
          <w:bCs/>
          <w:sz w:val="22"/>
          <w:szCs w:val="22"/>
          <w:lang w:val="es-ES_tradnl" w:eastAsia="en-US"/>
        </w:rPr>
        <w:t>las áreas destinas para atender los casos positivos o posibles relacionados con el virus SARS-CoV2.</w:t>
      </w:r>
    </w:p>
    <w:p w:rsidR="00BB6CFF" w:rsidP="00275B5D" w:rsidRDefault="00BB6CFF" w14:paraId="584477A9" w14:textId="55AF8215">
      <w:pPr>
        <w:spacing w:line="360" w:lineRule="auto"/>
        <w:jc w:val="both"/>
        <w:rPr>
          <w:rFonts w:ascii="Palatino Linotype" w:hAnsi="Palatino Linotype" w:eastAsia="Calibri" w:cs="Tahoma"/>
          <w:bCs/>
          <w:sz w:val="22"/>
          <w:szCs w:val="22"/>
          <w:lang w:val="es-ES_tradnl" w:eastAsia="en-US"/>
        </w:rPr>
      </w:pPr>
    </w:p>
    <w:p w:rsidR="00BB6CFF" w:rsidP="00275B5D" w:rsidRDefault="00BB6CFF" w14:paraId="491E4ADA" w14:textId="537A8177">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 xml:space="preserve">Además, mediante los oficios </w:t>
      </w:r>
      <w:r w:rsidRPr="00E3269B">
        <w:rPr>
          <w:rFonts w:ascii="Palatino Linotype" w:hAnsi="Palatino Linotype"/>
          <w:sz w:val="22"/>
          <w:szCs w:val="22"/>
          <w:lang w:val="es-ES_tradnl"/>
        </w:rPr>
        <w:t>207C04010400000/DHRT/0913/2021, y 207C040010400000L/CSS/000930/2021</w:t>
      </w:r>
      <w:r>
        <w:rPr>
          <w:rFonts w:ascii="Palatino Linotype" w:hAnsi="Palatino Linotype"/>
          <w:sz w:val="22"/>
          <w:szCs w:val="22"/>
          <w:lang w:val="es-ES_tradnl"/>
        </w:rPr>
        <w:t xml:space="preserve">, se dan a conocer los Lineamientos para un regreso seguro a las actividades médico quirúrgicos asistenciales en semáforo epidemiológico verde, mediante el cual informa que al iniciar el semáforo verde, </w:t>
      </w:r>
      <w:r w:rsidR="000F5D60">
        <w:rPr>
          <w:rFonts w:ascii="Palatino Linotype" w:hAnsi="Palatino Linotype"/>
          <w:sz w:val="22"/>
          <w:szCs w:val="22"/>
          <w:lang w:val="es-ES_tradnl"/>
        </w:rPr>
        <w:t>el Hospital Regional de Toluca debía trabajar al cien por ciento de su capacidad para los casos de consulta externa de medicina, general, familiar y de especialidad; es decir, aclara que previo al semáforo verde, el Hospital no funcionaba con la totalidad de capacidad, con el fin de prevenir los contagios originados por la enfermedad conocida como “</w:t>
      </w:r>
      <w:proofErr w:type="spellStart"/>
      <w:r w:rsidR="000F5D60">
        <w:rPr>
          <w:rFonts w:ascii="Palatino Linotype" w:hAnsi="Palatino Linotype"/>
          <w:sz w:val="22"/>
          <w:szCs w:val="22"/>
          <w:lang w:val="es-ES_tradnl"/>
        </w:rPr>
        <w:t>Covid</w:t>
      </w:r>
      <w:proofErr w:type="spellEnd"/>
      <w:r w:rsidR="000F5D60">
        <w:rPr>
          <w:rFonts w:ascii="Palatino Linotype" w:hAnsi="Palatino Linotype"/>
          <w:sz w:val="22"/>
          <w:szCs w:val="22"/>
          <w:lang w:val="es-ES_tradnl"/>
        </w:rPr>
        <w:t xml:space="preserve"> 19”.</w:t>
      </w:r>
    </w:p>
    <w:p w:rsidR="000F5D60" w:rsidP="00275B5D" w:rsidRDefault="000F5D60" w14:paraId="1DC5A267" w14:textId="41F3F9AC">
      <w:pPr>
        <w:spacing w:line="360" w:lineRule="auto"/>
        <w:jc w:val="both"/>
        <w:rPr>
          <w:rFonts w:ascii="Palatino Linotype" w:hAnsi="Palatino Linotype"/>
          <w:sz w:val="22"/>
          <w:szCs w:val="22"/>
          <w:lang w:val="es-ES_tradnl"/>
        </w:rPr>
      </w:pPr>
    </w:p>
    <w:p w:rsidR="0037366F" w:rsidP="00275B5D" w:rsidRDefault="000F5D60" w14:paraId="17AC8C14" w14:textId="77777777">
      <w:pPr>
        <w:spacing w:line="360" w:lineRule="auto"/>
        <w:jc w:val="both"/>
        <w:rPr>
          <w:rFonts w:ascii="Palatino Linotype" w:hAnsi="Palatino Linotype" w:eastAsia="Calibri" w:cs="Tahoma"/>
          <w:bCs/>
          <w:sz w:val="22"/>
          <w:szCs w:val="22"/>
          <w:lang w:val="es-ES_tradnl" w:eastAsia="en-US"/>
        </w:rPr>
      </w:pPr>
      <w:r>
        <w:rPr>
          <w:rFonts w:ascii="Palatino Linotype" w:hAnsi="Palatino Linotype"/>
          <w:sz w:val="22"/>
          <w:szCs w:val="22"/>
          <w:lang w:val="es-ES_tradnl"/>
        </w:rPr>
        <w:lastRenderedPageBreak/>
        <w:t xml:space="preserve">Como se logra observar, el Sujeto Obligado </w:t>
      </w:r>
      <w:r w:rsidR="00B92FBC">
        <w:rPr>
          <w:rFonts w:ascii="Palatino Linotype" w:hAnsi="Palatino Linotype"/>
          <w:sz w:val="22"/>
          <w:szCs w:val="22"/>
          <w:lang w:val="es-ES_tradnl"/>
        </w:rPr>
        <w:t xml:space="preserve">proporcionó los oficios por los cuales, se informa al personal del Hospital Regional de Toluca, la </w:t>
      </w:r>
      <w:r w:rsidR="00B92FBC">
        <w:rPr>
          <w:rFonts w:ascii="Palatino Linotype" w:hAnsi="Palatino Linotype" w:eastAsia="Calibri" w:cs="Tahoma"/>
          <w:bCs/>
          <w:sz w:val="22"/>
          <w:szCs w:val="22"/>
          <w:lang w:val="es-ES_tradnl" w:eastAsia="en-US"/>
        </w:rPr>
        <w:t xml:space="preserve">Reconversión Hospitalaria, mediante el cual se reduce la capacidad </w:t>
      </w:r>
      <w:r w:rsidR="0037366F">
        <w:rPr>
          <w:rFonts w:ascii="Palatino Linotype" w:hAnsi="Palatino Linotype" w:eastAsia="Calibri" w:cs="Tahoma"/>
          <w:bCs/>
          <w:sz w:val="22"/>
          <w:szCs w:val="22"/>
          <w:lang w:val="es-ES_tradnl" w:eastAsia="en-US"/>
        </w:rPr>
        <w:t>de los servicios de salud brindados; así como, aquellos mediante los cuales, se establece la normalidad en dichos servidos; por lo que, el Sujeto Obligado proporcionó los documentos que obraban en sus archivos y dan cuenta de lo peticionado.</w:t>
      </w:r>
    </w:p>
    <w:p w:rsidR="0037366F" w:rsidP="00275B5D" w:rsidRDefault="0037366F" w14:paraId="34130A32" w14:textId="77777777">
      <w:pPr>
        <w:spacing w:line="360" w:lineRule="auto"/>
        <w:jc w:val="both"/>
        <w:rPr>
          <w:rFonts w:ascii="Palatino Linotype" w:hAnsi="Palatino Linotype" w:eastAsia="Calibri" w:cs="Tahoma"/>
          <w:bCs/>
          <w:sz w:val="22"/>
          <w:szCs w:val="22"/>
          <w:lang w:val="es-ES_tradnl" w:eastAsia="en-US"/>
        </w:rPr>
      </w:pPr>
    </w:p>
    <w:p w:rsidR="0037366F" w:rsidP="0037366F" w:rsidRDefault="0037366F" w14:paraId="5FD75B4F" w14:textId="6C76043B">
      <w:pPr>
        <w:spacing w:line="360" w:lineRule="auto"/>
        <w:jc w:val="both"/>
        <w:rPr>
          <w:rFonts w:ascii="Palatino Linotype" w:hAnsi="Palatino Linotype" w:cs="Tahoma"/>
          <w:sz w:val="22"/>
          <w:szCs w:val="24"/>
          <w:lang w:val="es-ES"/>
        </w:rPr>
      </w:pPr>
      <w:r>
        <w:rPr>
          <w:rFonts w:ascii="Palatino Linotype" w:hAnsi="Palatino Linotype" w:eastAsia="Calibri" w:cs="Tahoma"/>
          <w:bCs/>
          <w:color w:val="000000" w:themeColor="text1"/>
          <w:sz w:val="22"/>
          <w:szCs w:val="22"/>
          <w:lang w:eastAsia="es-MX"/>
        </w:rPr>
        <w:t>D</w:t>
      </w:r>
      <w:proofErr w:type="spellStart"/>
      <w:r>
        <w:rPr>
          <w:rFonts w:ascii="Palatino Linotype" w:hAnsi="Palatino Linotype" w:cs="Tahoma"/>
          <w:sz w:val="22"/>
          <w:szCs w:val="24"/>
          <w:lang w:val="es-ES"/>
        </w:rPr>
        <w:t>icha</w:t>
      </w:r>
      <w:proofErr w:type="spellEnd"/>
      <w:r>
        <w:rPr>
          <w:rFonts w:ascii="Palatino Linotype" w:hAnsi="Palatino Linotype" w:cs="Tahoma"/>
          <w:sz w:val="22"/>
          <w:szCs w:val="24"/>
          <w:lang w:val="es-ES"/>
        </w:rPr>
        <w:t xml:space="preserve">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37366F" w:rsidP="0037366F" w:rsidRDefault="0037366F" w14:paraId="63D6C24F" w14:textId="77777777">
      <w:pPr>
        <w:spacing w:line="360" w:lineRule="auto"/>
        <w:jc w:val="both"/>
        <w:rPr>
          <w:rFonts w:ascii="Palatino Linotype" w:hAnsi="Palatino Linotype" w:cs="Tahoma"/>
          <w:sz w:val="22"/>
          <w:szCs w:val="24"/>
          <w:lang w:val="es-ES"/>
        </w:rPr>
      </w:pPr>
    </w:p>
    <w:p w:rsidR="0037366F" w:rsidP="0037366F" w:rsidRDefault="0037366F" w14:paraId="40E93E05" w14:textId="77777777">
      <w:pPr>
        <w:spacing w:line="360" w:lineRule="auto"/>
        <w:jc w:val="both"/>
        <w:rPr>
          <w:rFonts w:ascii="Palatino Linotype" w:hAnsi="Palatino Linotype" w:cs="Tahoma"/>
          <w:i/>
          <w:iCs/>
          <w:lang w:val="es-ES"/>
        </w:rPr>
      </w:pPr>
      <w:r>
        <w:rPr>
          <w:rFonts w:ascii="Palatino Linotype" w:hAnsi="Palatino Linotype" w:cs="Tahoma"/>
          <w:sz w:val="22"/>
          <w:szCs w:val="24"/>
          <w:lang w:val="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0037366F" w:rsidP="0037366F" w:rsidRDefault="0037366F" w14:paraId="4EFD202E" w14:textId="77777777">
      <w:pPr>
        <w:spacing w:line="360" w:lineRule="auto"/>
        <w:jc w:val="both"/>
        <w:rPr>
          <w:rFonts w:ascii="Palatino Linotype" w:hAnsi="Palatino Linotype" w:cs="Tahoma"/>
          <w:sz w:val="22"/>
          <w:szCs w:val="24"/>
          <w:lang w:val="es-ES"/>
        </w:rPr>
      </w:pPr>
    </w:p>
    <w:p w:rsidR="0037366F" w:rsidP="0037366F" w:rsidRDefault="0037366F" w14:paraId="5FC860CC" w14:textId="19D2E6F5">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w:t>
      </w:r>
      <w:r w:rsidR="00A43E31">
        <w:rPr>
          <w:rFonts w:ascii="Palatino Linotype" w:hAnsi="Palatino Linotype" w:cs="Tahoma"/>
          <w:sz w:val="22"/>
          <w:szCs w:val="24"/>
          <w:lang w:val="es-ES"/>
        </w:rPr>
        <w:t>los documentos mediante los cuales se menciona la reducción y aumento de la capacidad de los servicios de salud brindados por el Hospital Regional de Toluca.</w:t>
      </w:r>
    </w:p>
    <w:p w:rsidR="0037366F" w:rsidP="0037366F" w:rsidRDefault="0037366F" w14:paraId="25365504" w14:textId="45A8E593">
      <w:pPr>
        <w:spacing w:line="360" w:lineRule="auto"/>
        <w:jc w:val="both"/>
        <w:rPr>
          <w:rFonts w:ascii="Palatino Linotype" w:hAnsi="Palatino Linotype" w:cs="Tahoma"/>
          <w:sz w:val="22"/>
          <w:szCs w:val="24"/>
          <w:lang w:val="es-ES"/>
        </w:rPr>
      </w:pPr>
    </w:p>
    <w:p w:rsidR="00A43E31" w:rsidP="0037366F" w:rsidRDefault="00A43E31" w14:paraId="7B7C1ADB" w14:textId="77777777">
      <w:pPr>
        <w:spacing w:line="360" w:lineRule="auto"/>
        <w:jc w:val="both"/>
        <w:rPr>
          <w:rFonts w:ascii="Palatino Linotype" w:hAnsi="Palatino Linotype" w:cs="Tahoma"/>
          <w:sz w:val="22"/>
          <w:szCs w:val="24"/>
          <w:lang w:val="es-ES"/>
        </w:rPr>
      </w:pPr>
    </w:p>
    <w:p w:rsidR="0037366F" w:rsidP="0037366F" w:rsidRDefault="0037366F" w14:paraId="30684B4D" w14:textId="77777777">
      <w:pPr>
        <w:spacing w:line="360" w:lineRule="auto"/>
        <w:jc w:val="both"/>
        <w:rPr>
          <w:rFonts w:ascii="Palatino Linotype" w:hAnsi="Palatino Linotype" w:eastAsia="Calibri"/>
          <w:b/>
          <w:color w:val="000000" w:themeColor="text1"/>
          <w:sz w:val="22"/>
          <w:szCs w:val="22"/>
          <w:lang w:eastAsia="en-US"/>
        </w:rPr>
      </w:pPr>
      <w:r>
        <w:rPr>
          <w:rFonts w:ascii="Palatino Linotype" w:hAnsi="Palatino Linotype" w:cs="Tahoma"/>
          <w:sz w:val="22"/>
          <w:szCs w:val="24"/>
          <w:lang w:val="es-ES"/>
        </w:rPr>
        <w:t>Conforme a lo anterior, se colige que, durante la sustanciación del Medio de Impugnación, el Sujeto Obligado modificó su actuar y en cumplimiento a los artículos 12 y 160 de la Ley de la materia, proporcionó la información que obraba en sus archivos y da cuenta de lo peticionado,</w:t>
      </w:r>
      <w:r>
        <w:rPr>
          <w:rFonts w:ascii="Palatino Linotype" w:hAnsi="Palatino Linotype" w:eastAsia="Calibri"/>
          <w:b/>
          <w:color w:val="000000" w:themeColor="text1"/>
          <w:sz w:val="22"/>
          <w:szCs w:val="22"/>
          <w:lang w:eastAsia="en-US"/>
        </w:rPr>
        <w:t xml:space="preserve"> por lo que,</w:t>
      </w:r>
      <w:r>
        <w:rPr>
          <w:rFonts w:ascii="Palatino Linotype" w:hAnsi="Palatino Linotype" w:eastAsia="Calibri"/>
          <w:b/>
          <w:color w:val="000000" w:themeColor="text1"/>
          <w:sz w:val="22"/>
          <w:szCs w:val="22"/>
          <w:lang w:val="x-none" w:eastAsia="en-US"/>
        </w:rPr>
        <w:t xml:space="preserve"> se considera que la impugnación que se dirime ha quedado sin materia.</w:t>
      </w:r>
    </w:p>
    <w:p w:rsidR="00A43E31" w:rsidP="00275B5D" w:rsidRDefault="0037366F" w14:paraId="4D466516" w14:textId="577D849E">
      <w:pPr>
        <w:spacing w:line="360" w:lineRule="auto"/>
        <w:jc w:val="both"/>
        <w:rPr>
          <w:rFonts w:ascii="Palatino Linotype" w:hAnsi="Palatino Linotype" w:cs="Tahoma"/>
          <w:b/>
          <w:sz w:val="22"/>
          <w:szCs w:val="22"/>
          <w:lang w:val="es-ES"/>
        </w:rPr>
      </w:pPr>
      <w:r>
        <w:rPr>
          <w:rFonts w:ascii="Palatino Linotype" w:hAnsi="Palatino Linotype" w:eastAsia="Calibri" w:cs="Tahoma"/>
          <w:bCs/>
          <w:sz w:val="22"/>
          <w:szCs w:val="22"/>
          <w:lang w:val="es-ES_tradnl" w:eastAsia="en-US"/>
        </w:rPr>
        <w:t xml:space="preserve"> </w:t>
      </w:r>
    </w:p>
    <w:p w:rsidR="0084610A" w:rsidP="00275B5D" w:rsidRDefault="0084610A" w14:paraId="57F5D2F2" w14:textId="2AEFD18A">
      <w:pPr>
        <w:spacing w:line="360" w:lineRule="auto"/>
        <w:jc w:val="both"/>
        <w:rPr>
          <w:rFonts w:ascii="Palatino Linotype" w:hAnsi="Palatino Linotype" w:cs="Tahoma"/>
          <w:b/>
          <w:sz w:val="22"/>
          <w:szCs w:val="22"/>
          <w:lang w:val="es-ES"/>
        </w:rPr>
      </w:pPr>
      <w:r w:rsidRPr="00E3269B">
        <w:rPr>
          <w:rFonts w:ascii="Palatino Linotype" w:hAnsi="Palatino Linotype" w:cs="Tahoma"/>
          <w:b/>
          <w:sz w:val="22"/>
          <w:szCs w:val="22"/>
          <w:lang w:val="es-ES"/>
        </w:rPr>
        <w:t xml:space="preserve">CUARTO. Decisión. </w:t>
      </w:r>
    </w:p>
    <w:p w:rsidRPr="00E3269B" w:rsidR="00A43E31" w:rsidP="00275B5D" w:rsidRDefault="00A43E31" w14:paraId="3B7FA528" w14:textId="77777777">
      <w:pPr>
        <w:spacing w:line="360" w:lineRule="auto"/>
        <w:jc w:val="both"/>
        <w:rPr>
          <w:rFonts w:ascii="Palatino Linotype" w:hAnsi="Palatino Linotype" w:cs="Tahoma"/>
          <w:b/>
          <w:sz w:val="22"/>
          <w:szCs w:val="22"/>
          <w:lang w:val="es-ES"/>
        </w:rPr>
      </w:pPr>
    </w:p>
    <w:p w:rsidRPr="00E3269B" w:rsidR="0084610A" w:rsidP="00275B5D" w:rsidRDefault="0084610A" w14:paraId="0174DC1E" w14:textId="77777777">
      <w:pPr>
        <w:spacing w:line="360" w:lineRule="auto"/>
        <w:jc w:val="both"/>
        <w:rPr>
          <w:rFonts w:ascii="Palatino Linotype" w:hAnsi="Palatino Linotype" w:cs="Tahoma"/>
          <w:sz w:val="22"/>
          <w:szCs w:val="22"/>
        </w:rPr>
      </w:pPr>
      <w:r w:rsidRPr="00E3269B">
        <w:rPr>
          <w:rFonts w:ascii="Palatino Linotype" w:hAnsi="Palatino Linotype" w:cs="Tahoma"/>
          <w:sz w:val="22"/>
          <w:szCs w:val="22"/>
        </w:rPr>
        <w:t xml:space="preserve">Con fundamento en lo dispuesto en el artículo 186, fracción I, de la Ley de Transparencia y Acceso a la Información Pública del Estado de México y Municipios, se considera procedente </w:t>
      </w:r>
      <w:r w:rsidRPr="00E3269B">
        <w:rPr>
          <w:rFonts w:ascii="Palatino Linotype" w:hAnsi="Palatino Linotype" w:cs="Tahoma"/>
          <w:b/>
          <w:sz w:val="22"/>
          <w:szCs w:val="22"/>
        </w:rPr>
        <w:t xml:space="preserve">SOBRESEER </w:t>
      </w:r>
      <w:r w:rsidRPr="00E3269B">
        <w:rPr>
          <w:rFonts w:ascii="Palatino Linotype" w:hAnsi="Palatino Linotype" w:cs="Tahoma"/>
          <w:sz w:val="22"/>
          <w:szCs w:val="22"/>
        </w:rPr>
        <w:t>el Recurso de Revisión, en virtud de que se actualiza la hipótesis normativa prevista en la fracción III, del artículo 192, del citado ordenamiento legal.</w:t>
      </w:r>
    </w:p>
    <w:p w:rsidRPr="00E3269B" w:rsidR="0084610A" w:rsidP="00275B5D" w:rsidRDefault="0084610A" w14:paraId="7B2D09B1" w14:textId="77777777">
      <w:pPr>
        <w:spacing w:line="360" w:lineRule="auto"/>
        <w:jc w:val="both"/>
        <w:rPr>
          <w:rFonts w:ascii="Palatino Linotype" w:hAnsi="Palatino Linotype" w:cs="Tahoma"/>
          <w:sz w:val="22"/>
          <w:szCs w:val="22"/>
          <w:lang w:val="es-ES"/>
        </w:rPr>
      </w:pPr>
    </w:p>
    <w:p w:rsidRPr="00E3269B" w:rsidR="0084610A" w:rsidP="00275B5D" w:rsidRDefault="0084610A" w14:paraId="09D9BE3F" w14:textId="77777777">
      <w:pPr>
        <w:autoSpaceDE w:val="0"/>
        <w:autoSpaceDN w:val="0"/>
        <w:adjustRightInd w:val="0"/>
        <w:spacing w:line="360" w:lineRule="auto"/>
        <w:contextualSpacing/>
        <w:jc w:val="both"/>
        <w:rPr>
          <w:rFonts w:ascii="Palatino Linotype" w:hAnsi="Palatino Linotype" w:eastAsia="Calibri" w:cs="Tahoma"/>
          <w:b/>
          <w:bCs/>
          <w:iCs/>
          <w:sz w:val="22"/>
          <w:szCs w:val="22"/>
          <w:lang w:val="es-ES" w:eastAsia="es-ES_tradnl"/>
        </w:rPr>
      </w:pPr>
      <w:r w:rsidRPr="00E3269B">
        <w:rPr>
          <w:rFonts w:ascii="Palatino Linotype" w:hAnsi="Palatino Linotype" w:eastAsia="Calibri" w:cs="Tahoma"/>
          <w:b/>
          <w:bCs/>
          <w:iCs/>
          <w:sz w:val="22"/>
          <w:szCs w:val="22"/>
          <w:lang w:val="es-ES" w:eastAsia="es-ES_tradnl"/>
        </w:rPr>
        <w:t>Términos de la Resolución para conocimiento del Particular.</w:t>
      </w:r>
    </w:p>
    <w:p w:rsidRPr="00E3269B" w:rsidR="0084610A" w:rsidP="00275B5D" w:rsidRDefault="0084610A" w14:paraId="016427F8" w14:textId="77777777">
      <w:pPr>
        <w:spacing w:line="360" w:lineRule="auto"/>
        <w:jc w:val="both"/>
        <w:rPr>
          <w:rFonts w:ascii="Palatino Linotype" w:hAnsi="Palatino Linotype" w:cs="Tahoma"/>
          <w:sz w:val="22"/>
          <w:szCs w:val="22"/>
          <w:lang w:val="es-ES"/>
        </w:rPr>
      </w:pPr>
    </w:p>
    <w:p w:rsidR="00A43E31" w:rsidP="00275B5D" w:rsidRDefault="0084610A" w14:paraId="3F0EACA8" w14:textId="77777777">
      <w:pPr>
        <w:spacing w:line="360" w:lineRule="auto"/>
        <w:jc w:val="both"/>
        <w:rPr>
          <w:rFonts w:ascii="Palatino Linotype" w:hAnsi="Palatino Linotype" w:cs="Tahoma"/>
          <w:sz w:val="22"/>
          <w:szCs w:val="22"/>
          <w:lang w:val="es-ES"/>
        </w:rPr>
      </w:pPr>
      <w:r w:rsidRPr="00E3269B">
        <w:rPr>
          <w:rFonts w:ascii="Palatino Linotype" w:hAnsi="Palatino Linotype" w:cs="Tahoma"/>
          <w:sz w:val="22"/>
          <w:szCs w:val="22"/>
          <w:lang w:val="es-ES"/>
        </w:rPr>
        <w:t>Se le hace del conocimiento al Particular, que si bien, en el presente caso se le daba la razón</w:t>
      </w:r>
      <w:r w:rsidRPr="00E3269B" w:rsidR="00E75DFF">
        <w:rPr>
          <w:rFonts w:ascii="Palatino Linotype" w:hAnsi="Palatino Linotype" w:cs="Tahoma"/>
          <w:sz w:val="22"/>
          <w:szCs w:val="22"/>
          <w:lang w:val="es-ES"/>
        </w:rPr>
        <w:t xml:space="preserve">, lo cierto es </w:t>
      </w:r>
      <w:r w:rsidRPr="00E3269B" w:rsidR="0043527F">
        <w:rPr>
          <w:rFonts w:ascii="Palatino Linotype" w:hAnsi="Palatino Linotype" w:cs="Tahoma"/>
          <w:sz w:val="22"/>
          <w:szCs w:val="22"/>
          <w:lang w:val="es-ES"/>
        </w:rPr>
        <w:t>que,</w:t>
      </w:r>
      <w:r w:rsidRPr="00E3269B" w:rsidR="00E75DFF">
        <w:rPr>
          <w:rFonts w:ascii="Palatino Linotype" w:hAnsi="Palatino Linotype" w:cs="Tahoma"/>
          <w:sz w:val="22"/>
          <w:szCs w:val="22"/>
          <w:lang w:val="es-ES"/>
        </w:rPr>
        <w:t xml:space="preserve"> durante la sustanciación del Medio de Impugnación, el Sujeto Obligado </w:t>
      </w:r>
      <w:r w:rsidRPr="00E3269B" w:rsidR="00275B5D">
        <w:rPr>
          <w:rFonts w:ascii="Palatino Linotype" w:hAnsi="Palatino Linotype" w:cs="Tahoma"/>
          <w:sz w:val="22"/>
          <w:szCs w:val="22"/>
          <w:lang w:val="es-ES"/>
        </w:rPr>
        <w:t xml:space="preserve">proporcionó los </w:t>
      </w:r>
      <w:r w:rsidRPr="00E3269B" w:rsidR="00000831">
        <w:rPr>
          <w:rFonts w:ascii="Palatino Linotype" w:hAnsi="Palatino Linotype" w:cs="Tahoma"/>
          <w:sz w:val="22"/>
          <w:szCs w:val="22"/>
          <w:lang w:val="es-ES"/>
        </w:rPr>
        <w:t xml:space="preserve">oficios </w:t>
      </w:r>
      <w:r w:rsidR="00A43E31">
        <w:rPr>
          <w:rFonts w:ascii="Palatino Linotype" w:hAnsi="Palatino Linotype" w:cs="Tahoma"/>
          <w:sz w:val="22"/>
          <w:szCs w:val="22"/>
          <w:lang w:val="es-ES"/>
        </w:rPr>
        <w:t>que dan cuenta de lo peticionado,</w:t>
      </w:r>
      <w:r w:rsidRPr="00E3269B" w:rsidR="00000831">
        <w:rPr>
          <w:rFonts w:ascii="Palatino Linotype" w:hAnsi="Palatino Linotype" w:cs="Tahoma"/>
          <w:sz w:val="22"/>
          <w:szCs w:val="22"/>
          <w:lang w:val="es-ES"/>
        </w:rPr>
        <w:t xml:space="preserve"> </w:t>
      </w:r>
      <w:r w:rsidRPr="00E3269B" w:rsidR="00275B5D">
        <w:rPr>
          <w:rFonts w:ascii="Palatino Linotype" w:hAnsi="Palatino Linotype" w:cs="Tahoma"/>
          <w:sz w:val="22"/>
          <w:szCs w:val="22"/>
          <w:lang w:val="es-ES"/>
        </w:rPr>
        <w:t>lo cual deja sin materia, el presente Medio de Impugnación.</w:t>
      </w:r>
      <w:r w:rsidRPr="00E3269B" w:rsidR="0012443B">
        <w:rPr>
          <w:rFonts w:ascii="Palatino Linotype" w:hAnsi="Palatino Linotype" w:cs="Tahoma"/>
          <w:sz w:val="22"/>
          <w:szCs w:val="22"/>
          <w:lang w:val="es-ES"/>
        </w:rPr>
        <w:t xml:space="preserve"> </w:t>
      </w:r>
    </w:p>
    <w:p w:rsidR="00A43E31" w:rsidP="00275B5D" w:rsidRDefault="00A43E31" w14:paraId="4701E697" w14:textId="77777777">
      <w:pPr>
        <w:spacing w:line="360" w:lineRule="auto"/>
        <w:jc w:val="both"/>
        <w:rPr>
          <w:rFonts w:ascii="Palatino Linotype" w:hAnsi="Palatino Linotype" w:cs="Tahoma"/>
          <w:sz w:val="22"/>
          <w:szCs w:val="22"/>
          <w:lang w:val="es-ES"/>
        </w:rPr>
      </w:pPr>
    </w:p>
    <w:p w:rsidRPr="00E3269B" w:rsidR="0084610A" w:rsidP="00275B5D" w:rsidRDefault="0084610A" w14:paraId="5643394C" w14:textId="310279A8">
      <w:pPr>
        <w:spacing w:line="360" w:lineRule="auto"/>
        <w:jc w:val="both"/>
        <w:rPr>
          <w:rFonts w:ascii="Palatino Linotype" w:hAnsi="Palatino Linotype" w:eastAsia="Calibri" w:cs="Tahoma"/>
          <w:bCs/>
          <w:iCs/>
          <w:sz w:val="22"/>
          <w:szCs w:val="22"/>
          <w:lang w:eastAsia="en-US"/>
        </w:rPr>
      </w:pPr>
      <w:r w:rsidRPr="00E3269B">
        <w:rPr>
          <w:rFonts w:ascii="Palatino Linotype" w:hAnsi="Palatino Linotype" w:eastAsia="Calibri" w:cs="Tahoma"/>
          <w:bCs/>
          <w:iCs/>
          <w:sz w:val="22"/>
          <w:szCs w:val="22"/>
          <w:lang w:eastAsia="en-US"/>
        </w:rPr>
        <w:t xml:space="preserve">Finalmente, labor </w:t>
      </w:r>
      <w:r w:rsidRPr="00E3269B" w:rsidR="0043527F">
        <w:rPr>
          <w:rFonts w:ascii="Palatino Linotype" w:hAnsi="Palatino Linotype" w:eastAsia="Calibri" w:cs="Tahoma"/>
          <w:bCs/>
          <w:iCs/>
          <w:sz w:val="22"/>
          <w:szCs w:val="22"/>
          <w:lang w:eastAsia="en-US"/>
        </w:rPr>
        <w:t>del Instituto de Transparencia, Acceso a la Información Pública y Protección de Datos Personales del Estado de México y Municipios</w:t>
      </w:r>
      <w:r w:rsidRPr="00E3269B">
        <w:rPr>
          <w:rFonts w:ascii="Palatino Linotype" w:hAnsi="Palatino Linotype" w:eastAsia="Calibri" w:cs="Tahoma"/>
          <w:bCs/>
          <w:iCs/>
          <w:sz w:val="22"/>
          <w:szCs w:val="22"/>
          <w:lang w:eastAsia="en-US"/>
        </w:rPr>
        <w:t>, es apoyar a la población a acceder a la información pública y garantizar la protección de sus datos personales.</w:t>
      </w:r>
    </w:p>
    <w:p w:rsidRPr="00E3269B" w:rsidR="0084610A" w:rsidP="00275B5D" w:rsidRDefault="0084610A" w14:paraId="71B6D657" w14:textId="77777777">
      <w:pPr>
        <w:spacing w:line="360" w:lineRule="auto"/>
        <w:jc w:val="both"/>
        <w:rPr>
          <w:rFonts w:ascii="Palatino Linotype" w:hAnsi="Palatino Linotype" w:eastAsia="Calibri" w:cs="Tahoma"/>
          <w:bCs/>
          <w:sz w:val="22"/>
          <w:szCs w:val="22"/>
          <w:lang w:eastAsia="en-US"/>
        </w:rPr>
      </w:pPr>
      <w:r w:rsidRPr="00E3269B">
        <w:rPr>
          <w:rFonts w:ascii="Palatino Linotype" w:hAnsi="Palatino Linotype" w:eastAsia="Calibri" w:cs="Tahoma"/>
          <w:bCs/>
          <w:sz w:val="22"/>
          <w:szCs w:val="22"/>
          <w:lang w:eastAsia="en-US"/>
        </w:rPr>
        <w:t>Por lo expuesto y fundado, este Pleno:</w:t>
      </w:r>
    </w:p>
    <w:p w:rsidR="0084610A" w:rsidP="00275B5D" w:rsidRDefault="0084610A" w14:paraId="0E49B454" w14:textId="0555831C">
      <w:pPr>
        <w:spacing w:line="360" w:lineRule="auto"/>
        <w:ind w:right="-91"/>
        <w:jc w:val="center"/>
        <w:rPr>
          <w:rFonts w:ascii="Palatino Linotype" w:hAnsi="Palatino Linotype" w:eastAsia="Calibri" w:cs="Tahoma"/>
          <w:b/>
          <w:bCs/>
          <w:sz w:val="22"/>
          <w:szCs w:val="22"/>
          <w:lang w:eastAsia="en-US"/>
        </w:rPr>
      </w:pPr>
    </w:p>
    <w:p w:rsidR="00A43E31" w:rsidP="00275B5D" w:rsidRDefault="00A43E31" w14:paraId="3C937741" w14:textId="0052C74B">
      <w:pPr>
        <w:spacing w:line="360" w:lineRule="auto"/>
        <w:ind w:right="-91"/>
        <w:jc w:val="center"/>
        <w:rPr>
          <w:rFonts w:ascii="Palatino Linotype" w:hAnsi="Palatino Linotype" w:eastAsia="Calibri" w:cs="Tahoma"/>
          <w:b/>
          <w:bCs/>
          <w:sz w:val="22"/>
          <w:szCs w:val="22"/>
          <w:lang w:eastAsia="en-US"/>
        </w:rPr>
      </w:pPr>
    </w:p>
    <w:p w:rsidRPr="00E3269B" w:rsidR="00A43E31" w:rsidP="00275B5D" w:rsidRDefault="00A43E31" w14:paraId="06675808" w14:textId="77777777">
      <w:pPr>
        <w:spacing w:line="360" w:lineRule="auto"/>
        <w:ind w:right="-91"/>
        <w:jc w:val="center"/>
        <w:rPr>
          <w:rFonts w:ascii="Palatino Linotype" w:hAnsi="Palatino Linotype" w:eastAsia="Calibri" w:cs="Tahoma"/>
          <w:b/>
          <w:bCs/>
          <w:sz w:val="22"/>
          <w:szCs w:val="22"/>
          <w:lang w:eastAsia="en-US"/>
        </w:rPr>
      </w:pPr>
    </w:p>
    <w:p w:rsidRPr="00E3269B" w:rsidR="0084610A" w:rsidP="00275B5D" w:rsidRDefault="0084610A" w14:paraId="3C97C392" w14:textId="77777777">
      <w:pPr>
        <w:spacing w:line="360" w:lineRule="auto"/>
        <w:ind w:right="-91"/>
        <w:jc w:val="center"/>
        <w:rPr>
          <w:rFonts w:ascii="Palatino Linotype" w:hAnsi="Palatino Linotype" w:eastAsia="Calibri" w:cs="Tahoma"/>
          <w:b/>
          <w:bCs/>
          <w:sz w:val="22"/>
          <w:szCs w:val="22"/>
          <w:lang w:eastAsia="en-US"/>
        </w:rPr>
      </w:pPr>
      <w:r w:rsidRPr="00E3269B">
        <w:rPr>
          <w:rFonts w:ascii="Palatino Linotype" w:hAnsi="Palatino Linotype" w:eastAsia="Calibri" w:cs="Tahoma"/>
          <w:b/>
          <w:bCs/>
          <w:sz w:val="22"/>
          <w:szCs w:val="22"/>
          <w:lang w:eastAsia="en-US"/>
        </w:rPr>
        <w:t>RESUELVE:</w:t>
      </w:r>
    </w:p>
    <w:p w:rsidRPr="00E3269B" w:rsidR="0084610A" w:rsidP="00275B5D" w:rsidRDefault="0084610A" w14:paraId="253695B4" w14:textId="77777777">
      <w:pPr>
        <w:spacing w:line="360" w:lineRule="auto"/>
        <w:jc w:val="both"/>
        <w:rPr>
          <w:rFonts w:ascii="Palatino Linotype" w:hAnsi="Palatino Linotype" w:cs="Arial"/>
          <w:b/>
          <w:bCs/>
          <w:color w:val="000000"/>
          <w:sz w:val="22"/>
          <w:szCs w:val="22"/>
          <w:lang w:val="es-ES"/>
        </w:rPr>
      </w:pPr>
    </w:p>
    <w:p w:rsidRPr="00E3269B" w:rsidR="0084610A" w:rsidP="00275B5D" w:rsidRDefault="0084610A" w14:paraId="3A19CFD1" w14:textId="6FD71018">
      <w:pPr>
        <w:spacing w:line="360" w:lineRule="auto"/>
        <w:jc w:val="both"/>
        <w:rPr>
          <w:rFonts w:ascii="Palatino Linotype" w:hAnsi="Palatino Linotype" w:cs="Tahoma"/>
          <w:b/>
          <w:bCs/>
          <w:iCs/>
          <w:sz w:val="22"/>
          <w:szCs w:val="24"/>
          <w:lang w:val="es-ES_tradnl"/>
        </w:rPr>
      </w:pPr>
      <w:r w:rsidRPr="00E3269B">
        <w:rPr>
          <w:rFonts w:ascii="Palatino Linotype" w:hAnsi="Palatino Linotype" w:cs="Arial"/>
          <w:b/>
          <w:bCs/>
          <w:color w:val="000000"/>
          <w:sz w:val="22"/>
          <w:szCs w:val="22"/>
          <w:lang w:val="es-ES"/>
        </w:rPr>
        <w:t xml:space="preserve">PRIMERO. </w:t>
      </w:r>
      <w:r w:rsidRPr="00E3269B">
        <w:rPr>
          <w:rFonts w:ascii="Palatino Linotype" w:hAnsi="Palatino Linotype" w:cs="Arial"/>
          <w:bCs/>
          <w:color w:val="000000"/>
          <w:sz w:val="22"/>
          <w:szCs w:val="22"/>
          <w:lang w:val="es-ES"/>
        </w:rPr>
        <w:t xml:space="preserve">Se </w:t>
      </w:r>
      <w:r w:rsidRPr="00E3269B">
        <w:rPr>
          <w:rFonts w:ascii="Palatino Linotype" w:hAnsi="Palatino Linotype" w:cs="Arial"/>
          <w:b/>
          <w:bCs/>
          <w:color w:val="000000"/>
          <w:sz w:val="22"/>
          <w:szCs w:val="22"/>
          <w:lang w:val="es-ES"/>
        </w:rPr>
        <w:t>SOBRESEE</w:t>
      </w:r>
      <w:r w:rsidRPr="00E3269B">
        <w:rPr>
          <w:rFonts w:ascii="Palatino Linotype" w:hAnsi="Palatino Linotype" w:cs="Arial"/>
          <w:bCs/>
          <w:color w:val="000000"/>
          <w:sz w:val="22"/>
          <w:szCs w:val="22"/>
          <w:lang w:val="es-ES"/>
        </w:rPr>
        <w:t xml:space="preserve"> el Recurso de Revisión número </w:t>
      </w:r>
      <w:r w:rsidRPr="00E3269B" w:rsidR="00000831">
        <w:rPr>
          <w:rFonts w:ascii="Palatino Linotype" w:hAnsi="Palatino Linotype" w:cs="Arial"/>
          <w:b/>
          <w:bCs/>
          <w:color w:val="000000"/>
          <w:sz w:val="22"/>
          <w:szCs w:val="22"/>
        </w:rPr>
        <w:t>01566/INFOEM/IP/RR/2022</w:t>
      </w:r>
      <w:r w:rsidRPr="00E3269B">
        <w:rPr>
          <w:rFonts w:ascii="Palatino Linotype" w:hAnsi="Palatino Linotype" w:cs="Arial"/>
          <w:b/>
          <w:bCs/>
          <w:color w:val="000000"/>
          <w:sz w:val="22"/>
          <w:szCs w:val="22"/>
          <w:lang w:val="es-ES"/>
        </w:rPr>
        <w:t>,</w:t>
      </w:r>
      <w:r w:rsidRPr="00E3269B">
        <w:rPr>
          <w:rFonts w:ascii="Palatino Linotype" w:hAnsi="Palatino Linotype" w:cs="Arial"/>
          <w:bCs/>
          <w:color w:val="000000"/>
          <w:sz w:val="22"/>
          <w:szCs w:val="22"/>
          <w:lang w:val="es-ES"/>
        </w:rPr>
        <w:t xml:space="preserve"> </w:t>
      </w:r>
      <w:r w:rsidRPr="00E3269B">
        <w:rPr>
          <w:rFonts w:ascii="Palatino Linotype" w:hAnsi="Palatino Linotype" w:cs="Tahoma"/>
          <w:bCs/>
          <w:iCs/>
          <w:sz w:val="22"/>
          <w:szCs w:val="24"/>
          <w:lang w:val="es-ES_tradnl"/>
        </w:rPr>
        <w:t xml:space="preserve">porque el Sujeto Obligado al modificar la respuesta de la solicitud de acceso a la información con número de folio </w:t>
      </w:r>
      <w:r w:rsidRPr="00E3269B" w:rsidR="00000831">
        <w:rPr>
          <w:rFonts w:ascii="Palatino Linotype" w:hAnsi="Palatino Linotype" w:eastAsia="Calibri" w:cs="Tahoma"/>
          <w:color w:val="000000"/>
          <w:sz w:val="22"/>
          <w:szCs w:val="22"/>
          <w:lang w:eastAsia="en-US"/>
        </w:rPr>
        <w:t>00101/ISSEMYM/IP/2022</w:t>
      </w:r>
      <w:r w:rsidRPr="00E3269B">
        <w:rPr>
          <w:rFonts w:ascii="Palatino Linotype" w:hAnsi="Palatino Linotype" w:cs="Tahoma"/>
          <w:bCs/>
          <w:iCs/>
          <w:sz w:val="22"/>
          <w:szCs w:val="24"/>
          <w:lang w:val="es-ES_tradnl"/>
        </w:rPr>
        <w:t xml:space="preserve">, el Medio de Impugnación quedó sin materia, en términos de los Considerandos </w:t>
      </w:r>
      <w:r w:rsidRPr="00E3269B">
        <w:rPr>
          <w:rFonts w:ascii="Palatino Linotype" w:hAnsi="Palatino Linotype" w:cs="Tahoma"/>
          <w:iCs/>
          <w:sz w:val="22"/>
          <w:szCs w:val="24"/>
          <w:lang w:val="es-ES_tradnl"/>
        </w:rPr>
        <w:t>TERCERO y CUARTO</w:t>
      </w:r>
      <w:r w:rsidRPr="00E3269B">
        <w:rPr>
          <w:rFonts w:ascii="Palatino Linotype" w:hAnsi="Palatino Linotype" w:cs="Tahoma"/>
          <w:bCs/>
          <w:iCs/>
          <w:sz w:val="22"/>
          <w:szCs w:val="24"/>
          <w:lang w:val="es-ES_tradnl"/>
        </w:rPr>
        <w:t xml:space="preserve"> de la presente Resolución.    </w:t>
      </w:r>
    </w:p>
    <w:p w:rsidRPr="00E3269B" w:rsidR="0084610A" w:rsidP="00275B5D" w:rsidRDefault="0084610A" w14:paraId="0B464BF6" w14:textId="77777777">
      <w:pPr>
        <w:spacing w:line="360" w:lineRule="auto"/>
        <w:jc w:val="both"/>
        <w:rPr>
          <w:rFonts w:ascii="Palatino Linotype" w:hAnsi="Palatino Linotype" w:cs="Arial"/>
          <w:b/>
          <w:bCs/>
          <w:color w:val="000000"/>
          <w:sz w:val="22"/>
          <w:szCs w:val="22"/>
          <w:lang w:val="es-ES"/>
        </w:rPr>
      </w:pPr>
    </w:p>
    <w:p w:rsidRPr="00E3269B" w:rsidR="0084610A" w:rsidP="00A43E31" w:rsidRDefault="0084610A" w14:paraId="22DCD756" w14:textId="7A7D4762">
      <w:pPr>
        <w:spacing w:line="360" w:lineRule="auto"/>
        <w:jc w:val="both"/>
        <w:rPr>
          <w:rFonts w:ascii="Palatino Linotype" w:hAnsi="Palatino Linotype" w:cs="Arial"/>
          <w:bCs/>
          <w:color w:val="000000"/>
          <w:sz w:val="22"/>
          <w:szCs w:val="22"/>
          <w:lang w:val="es-ES"/>
        </w:rPr>
      </w:pPr>
      <w:r w:rsidRPr="00E3269B">
        <w:rPr>
          <w:rFonts w:ascii="Palatino Linotype" w:hAnsi="Palatino Linotype" w:cs="Arial"/>
          <w:b/>
          <w:bCs/>
          <w:color w:val="000000"/>
          <w:sz w:val="22"/>
          <w:szCs w:val="22"/>
          <w:lang w:val="es-ES"/>
        </w:rPr>
        <w:t>SEGUNDO.</w:t>
      </w:r>
      <w:r w:rsidRPr="00E3269B">
        <w:rPr>
          <w:rFonts w:ascii="Palatino Linotype" w:hAnsi="Palatino Linotype" w:cs="Arial"/>
          <w:bCs/>
          <w:color w:val="000000"/>
          <w:sz w:val="22"/>
          <w:szCs w:val="22"/>
          <w:lang w:val="es-ES"/>
        </w:rPr>
        <w:t xml:space="preserve"> </w:t>
      </w:r>
      <w:r w:rsidRPr="00E3269B">
        <w:rPr>
          <w:rFonts w:ascii="Palatino Linotype" w:hAnsi="Palatino Linotype" w:cs="Arial"/>
          <w:b/>
          <w:bCs/>
          <w:color w:val="000000"/>
          <w:sz w:val="22"/>
          <w:szCs w:val="22"/>
          <w:lang w:val="es-ES"/>
        </w:rPr>
        <w:t xml:space="preserve">NOTIFÍQUESE </w:t>
      </w:r>
      <w:r w:rsidRPr="00E3269B">
        <w:rPr>
          <w:rFonts w:ascii="Palatino Linotype" w:hAnsi="Palatino Linotype" w:cs="Arial"/>
          <w:bCs/>
          <w:color w:val="000000"/>
          <w:sz w:val="22"/>
          <w:szCs w:val="22"/>
          <w:lang w:val="es-ES"/>
        </w:rPr>
        <w:t>la presente Resolución</w:t>
      </w:r>
      <w:r w:rsidRPr="00E3269B">
        <w:rPr>
          <w:rFonts w:ascii="Palatino Linotype" w:hAnsi="Palatino Linotype" w:cs="Arial"/>
          <w:b/>
          <w:bCs/>
          <w:color w:val="000000"/>
          <w:sz w:val="22"/>
          <w:szCs w:val="22"/>
          <w:lang w:val="es-ES"/>
        </w:rPr>
        <w:t xml:space="preserve"> </w:t>
      </w:r>
      <w:r w:rsidRPr="00E3269B">
        <w:rPr>
          <w:rFonts w:ascii="Palatino Linotype" w:hAnsi="Palatino Linotype" w:cs="Arial"/>
          <w:bCs/>
          <w:color w:val="000000"/>
          <w:sz w:val="22"/>
          <w:szCs w:val="22"/>
          <w:lang w:val="es-ES"/>
        </w:rPr>
        <w:t xml:space="preserve">al Titular de la Unidad de Transparencia </w:t>
      </w:r>
      <w:r w:rsidRPr="00E3269B" w:rsidR="00936848">
        <w:rPr>
          <w:rFonts w:ascii="Palatino Linotype" w:hAnsi="Palatino Linotype" w:cs="Arial"/>
          <w:bCs/>
          <w:color w:val="000000"/>
          <w:sz w:val="22"/>
          <w:szCs w:val="22"/>
          <w:lang w:val="es-ES"/>
        </w:rPr>
        <w:t xml:space="preserve">del </w:t>
      </w:r>
      <w:r w:rsidRPr="00A43E31" w:rsidR="00A43E31">
        <w:rPr>
          <w:rFonts w:ascii="Palatino Linotype" w:hAnsi="Palatino Linotype" w:cs="Arial"/>
          <w:bCs/>
          <w:color w:val="000000"/>
          <w:sz w:val="22"/>
          <w:szCs w:val="22"/>
        </w:rPr>
        <w:t>Instituto de Seguridad Social del Estado de México y Municipios</w:t>
      </w:r>
      <w:r w:rsidRPr="00E3269B" w:rsidR="00936848">
        <w:rPr>
          <w:rFonts w:ascii="Palatino Linotype" w:hAnsi="Palatino Linotype" w:cs="Arial"/>
          <w:bCs/>
          <w:color w:val="000000"/>
          <w:sz w:val="22"/>
          <w:szCs w:val="22"/>
          <w:lang w:val="es-ES"/>
        </w:rPr>
        <w:t>.</w:t>
      </w:r>
    </w:p>
    <w:p w:rsidRPr="00E3269B" w:rsidR="0084610A" w:rsidP="00275B5D" w:rsidRDefault="0084610A" w14:paraId="0D3DD636" w14:textId="77777777">
      <w:pPr>
        <w:spacing w:line="360" w:lineRule="auto"/>
        <w:jc w:val="both"/>
        <w:rPr>
          <w:rFonts w:ascii="Palatino Linotype" w:hAnsi="Palatino Linotype" w:cs="Arial"/>
          <w:bCs/>
          <w:color w:val="000000"/>
          <w:sz w:val="22"/>
          <w:szCs w:val="22"/>
          <w:lang w:val="es-ES"/>
        </w:rPr>
      </w:pPr>
    </w:p>
    <w:p w:rsidRPr="00E3269B" w:rsidR="0084610A" w:rsidP="00275B5D" w:rsidRDefault="0084610A" w14:paraId="184F9289" w14:textId="77777777">
      <w:pPr>
        <w:spacing w:line="360" w:lineRule="auto"/>
        <w:jc w:val="both"/>
        <w:rPr>
          <w:rFonts w:ascii="Palatino Linotype" w:hAnsi="Palatino Linotype" w:cs="Tahoma"/>
          <w:sz w:val="22"/>
          <w:szCs w:val="22"/>
        </w:rPr>
      </w:pPr>
      <w:r w:rsidRPr="00E3269B">
        <w:rPr>
          <w:rFonts w:ascii="Palatino Linotype" w:hAnsi="Palatino Linotype" w:cs="Arial"/>
          <w:b/>
          <w:bCs/>
          <w:color w:val="000000"/>
          <w:sz w:val="22"/>
          <w:szCs w:val="22"/>
          <w:lang w:val="es-ES"/>
        </w:rPr>
        <w:t>TERCERO.</w:t>
      </w:r>
      <w:r w:rsidRPr="00E3269B">
        <w:rPr>
          <w:rFonts w:ascii="Palatino Linotype" w:hAnsi="Palatino Linotype" w:cs="Arial"/>
          <w:bCs/>
          <w:color w:val="000000"/>
          <w:sz w:val="22"/>
          <w:szCs w:val="22"/>
          <w:lang w:val="es-ES"/>
        </w:rPr>
        <w:t xml:space="preserve"> </w:t>
      </w:r>
      <w:r w:rsidRPr="00E3269B">
        <w:rPr>
          <w:rFonts w:ascii="Palatino Linotype" w:hAnsi="Palatino Linotype" w:cs="Tahoma"/>
          <w:b/>
          <w:sz w:val="22"/>
          <w:szCs w:val="22"/>
        </w:rPr>
        <w:t xml:space="preserve">NOTIFÍQUESE </w:t>
      </w:r>
      <w:r w:rsidRPr="00E3269B">
        <w:rPr>
          <w:rFonts w:ascii="Palatino Linotype" w:hAnsi="Palatino Linotype" w:cs="Tahoma"/>
          <w:sz w:val="22"/>
          <w:szCs w:val="22"/>
        </w:rPr>
        <w:t xml:space="preserve">al Recurrente la presente Resolución, </w:t>
      </w:r>
      <w:r w:rsidRPr="00E3269B">
        <w:rPr>
          <w:rFonts w:ascii="Palatino Linotype" w:hAnsi="Palatino Linotype" w:cs="Tahoma"/>
          <w:sz w:val="22"/>
        </w:rPr>
        <w:t>a través del Sistema de Acceso a la Información Mexiquense (SAIMEX),</w:t>
      </w:r>
      <w:r w:rsidRPr="00E3269B">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3269B" w:rsidR="00B03EDE" w:rsidP="00275B5D" w:rsidRDefault="00B03EDE" w14:paraId="5AF7DD7B" w14:textId="77777777">
      <w:pPr>
        <w:spacing w:line="360" w:lineRule="auto"/>
        <w:ind w:right="-93"/>
        <w:jc w:val="both"/>
        <w:rPr>
          <w:rFonts w:ascii="Palatino Linotype" w:hAnsi="Palatino Linotype" w:cs="Tahoma"/>
          <w:sz w:val="22"/>
          <w:szCs w:val="22"/>
        </w:rPr>
      </w:pPr>
    </w:p>
    <w:p w:rsidRPr="00E3269B" w:rsidR="00867A39" w:rsidP="002F106C" w:rsidRDefault="002F106C" w14:paraId="6EE5260C" w14:textId="6970BC5C">
      <w:pPr>
        <w:spacing w:line="360" w:lineRule="auto"/>
        <w:jc w:val="both"/>
        <w:rPr>
          <w:rFonts w:ascii="Palatino Linotype" w:hAnsi="Palatino Linotype" w:eastAsia="Calibri" w:cs="Tahoma"/>
          <w:b/>
          <w:bCs/>
          <w:sz w:val="22"/>
          <w:szCs w:val="22"/>
          <w:lang w:eastAsia="en-US"/>
        </w:rPr>
      </w:pPr>
      <w:r w:rsidRPr="00E3269B">
        <w:rPr>
          <w:rFonts w:ascii="Palatino Linotype" w:hAnsi="Palatino Linotype" w:cs="Tahoma"/>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DE MAYO DE DOS MIL VEINTIDÓS, ANTE EL SECRETARIO TÉCNICO DEL PLENO, ALEXIS TAPIA RAMÍREZ.</w:t>
      </w:r>
      <w:r w:rsidRPr="00E3269B" w:rsidR="00B03EDE">
        <w:rPr>
          <w:rFonts w:ascii="Palatino Linotype" w:hAnsi="Palatino Linotype" w:eastAsia="Calibri" w:cs="Tahoma"/>
          <w:b/>
          <w:bCs/>
          <w:sz w:val="22"/>
          <w:szCs w:val="22"/>
          <w:lang w:eastAsia="en-US"/>
        </w:rPr>
        <w:br w:type="page"/>
      </w:r>
    </w:p>
    <w:sectPr w:rsidRPr="00E3269B" w:rsidR="00867A39" w:rsidSect="00D83492">
      <w:headerReference w:type="even" r:id="rId11"/>
      <w:headerReference w:type="default" r:id="rId12"/>
      <w:footerReference w:type="default" r:id="rId13"/>
      <w:headerReference w:type="first" r:id="rId14"/>
      <w:footerReference w:type="first" r:id="rId15"/>
      <w:pgSz w:w="12240" w:h="15840" w:orient="portrait"/>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4E63" w:rsidP="00FC7A26" w:rsidRDefault="00F94E63" w14:paraId="6B94E694" w14:textId="77777777">
      <w:r>
        <w:separator/>
      </w:r>
    </w:p>
  </w:endnote>
  <w:endnote w:type="continuationSeparator" w:id="0">
    <w:p w:rsidR="00F94E63" w:rsidP="00FC7A26" w:rsidRDefault="00F94E63" w14:paraId="2A78A33A" w14:textId="77777777">
      <w:r>
        <w:continuationSeparator/>
      </w:r>
    </w:p>
  </w:endnote>
  <w:endnote w:type="continuationNotice" w:id="1">
    <w:p w:rsidR="00F94E63" w:rsidRDefault="00F94E63" w14:paraId="2A9678E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Pr="00C13895" w:rsidR="003135D1" w:rsidRDefault="0099219B" w14:paraId="54BFC472" w14:textId="77777777">
            <w:pPr>
              <w:pStyle w:val="Piedepgina"/>
              <w:jc w:val="right"/>
              <w:rPr>
                <w:sz w:val="26"/>
                <w:szCs w:val="26"/>
              </w:rPr>
            </w:pPr>
          </w:p>
          <w:p w:rsidR="003135D1" w:rsidRDefault="00BF14ED" w14:paraId="5BE01B4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25557">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25557">
              <w:rPr>
                <w:b/>
                <w:bCs/>
                <w:noProof/>
              </w:rPr>
              <w:t>19</w:t>
            </w:r>
            <w:r>
              <w:rPr>
                <w:b/>
                <w:bCs/>
                <w:sz w:val="24"/>
                <w:szCs w:val="24"/>
              </w:rPr>
              <w:fldChar w:fldCharType="end"/>
            </w:r>
          </w:p>
        </w:sdtContent>
      </w:sdt>
    </w:sdtContent>
  </w:sdt>
  <w:p w:rsidR="003135D1" w:rsidRDefault="0099219B" w14:paraId="3F8493F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5D1" w:rsidRDefault="0099219B" w14:paraId="215FCE47" w14:textId="77777777">
    <w:pPr>
      <w:pStyle w:val="Piedepgina"/>
      <w:jc w:val="right"/>
    </w:pPr>
  </w:p>
  <w:p w:rsidR="003135D1" w:rsidRDefault="0099219B" w14:paraId="73795115" w14:textId="77777777">
    <w:pPr>
      <w:pStyle w:val="Piedepgina"/>
      <w:jc w:val="right"/>
    </w:pPr>
  </w:p>
  <w:p w:rsidR="003135D1" w:rsidRDefault="0099219B" w14:paraId="102883EC" w14:textId="77777777">
    <w:pPr>
      <w:pStyle w:val="Piedepgina"/>
      <w:jc w:val="right"/>
    </w:pPr>
  </w:p>
  <w:p w:rsidR="003135D1" w:rsidRDefault="00BF14ED" w14:paraId="7D59C0C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255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25557">
      <w:rPr>
        <w:b/>
        <w:bCs/>
        <w:noProof/>
      </w:rPr>
      <w:t>19</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4E63" w:rsidP="00FC7A26" w:rsidRDefault="00F94E63" w14:paraId="7FF9F431" w14:textId="77777777">
      <w:r>
        <w:separator/>
      </w:r>
    </w:p>
  </w:footnote>
  <w:footnote w:type="continuationSeparator" w:id="0">
    <w:p w:rsidR="00F94E63" w:rsidP="00FC7A26" w:rsidRDefault="00F94E63" w14:paraId="06AEE67F" w14:textId="77777777">
      <w:r>
        <w:continuationSeparator/>
      </w:r>
    </w:p>
  </w:footnote>
  <w:footnote w:type="continuationNotice" w:id="1">
    <w:p w:rsidR="00F94E63" w:rsidRDefault="00F94E63" w14:paraId="24B8FB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5D1" w:rsidRDefault="0099219B" w14:paraId="6DE40B1D" w14:textId="77777777">
    <w:pPr>
      <w:pStyle w:val="Encabezado"/>
    </w:pPr>
    <w:r>
      <w:rPr>
        <w:noProof/>
        <w:lang w:eastAsia="es-MX"/>
      </w:rPr>
      <w:pict w14:anchorId="74A766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2" style="position:absolute;margin-left:0;margin-top:0;width:663.5pt;height:12in;z-index:-251659776;mso-position-horizontal:center;mso-position-horizontal-relative:margin;mso-position-vertical:center;mso-position-vertical-relative:margin" o:spid="_x0000_s1026" o:allowincell="f" type="#_x0000_t75">
          <v:imagedata o:title="marcaaguaINFOEM"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6858" w:rsidR="008B41A2" w:rsidP="009E6858" w:rsidRDefault="0099219B" w14:paraId="58ACADB4" w14:textId="77777777">
    <w:pPr>
      <w:tabs>
        <w:tab w:val="left" w:pos="3416"/>
      </w:tabs>
      <w:rPr>
        <w:sz w:val="22"/>
        <w:szCs w:val="22"/>
      </w:rPr>
    </w:pPr>
    <w:r>
      <w:rPr>
        <w:noProof/>
        <w:sz w:val="14"/>
        <w:lang w:eastAsia="es-MX"/>
      </w:rPr>
      <w:pict w14:anchorId="550EA6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3" style="position:absolute;margin-left:-100.7pt;margin-top:-142pt;width:663.5pt;height:12in;z-index:-251658752;mso-position-horizontal-relative:margin;mso-position-vertical-relative:margin" o:spid="_x0000_s1027" o:allowincell="f" type="#_x0000_t75">
          <v:imagedata o:title="marcaaguaINFOEM" r:id="rId1"/>
          <w10:wrap anchorx="margin" anchory="margin"/>
        </v:shape>
      </w:pict>
    </w:r>
  </w:p>
  <w:tbl>
    <w:tblPr>
      <w:tblW w:w="10170" w:type="dxa"/>
      <w:tblLayout w:type="fixed"/>
      <w:tblLook w:val="04A0" w:firstRow="1" w:lastRow="0" w:firstColumn="1" w:lastColumn="0" w:noHBand="0" w:noVBand="1"/>
    </w:tblPr>
    <w:tblGrid>
      <w:gridCol w:w="2977"/>
      <w:gridCol w:w="7193"/>
    </w:tblGrid>
    <w:tr w:rsidRPr="005C106F" w:rsidR="008B41A2" w:rsidTr="00F13C03" w14:paraId="54DC5BBB" w14:textId="77777777">
      <w:trPr>
        <w:trHeight w:val="70"/>
      </w:trPr>
      <w:tc>
        <w:tcPr>
          <w:tcW w:w="2977" w:type="dxa"/>
          <w:shd w:val="clear" w:color="auto" w:fill="auto"/>
        </w:tcPr>
        <w:p w:rsidRPr="005C106F" w:rsidR="008B41A2" w:rsidP="008B41A2" w:rsidRDefault="0099219B" w14:paraId="7390C447" w14:textId="77777777">
          <w:pPr>
            <w:tabs>
              <w:tab w:val="right" w:pos="4273"/>
            </w:tabs>
            <w:rPr>
              <w:rFonts w:ascii="Garamond" w:hAnsi="Garamond" w:eastAsia="Calibri"/>
              <w:sz w:val="16"/>
              <w:szCs w:val="16"/>
            </w:rPr>
          </w:pPr>
        </w:p>
      </w:tc>
      <w:tc>
        <w:tcPr>
          <w:tcW w:w="7193" w:type="dxa"/>
          <w:shd w:val="clear" w:color="auto" w:fill="auto"/>
        </w:tcPr>
        <w:p w:rsidR="00275B5D" w:rsidRDefault="00275B5D" w14:paraId="432BD860" w14:textId="77777777"/>
        <w:tbl>
          <w:tblPr>
            <w:tblStyle w:val="Tablaconcuadrcula"/>
            <w:tblW w:w="6793" w:type="dxa"/>
            <w:tblInd w:w="3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8"/>
            <w:gridCol w:w="4385"/>
          </w:tblGrid>
          <w:tr w:rsidR="008B41A2" w:rsidTr="00E3269B" w14:paraId="19911F35" w14:textId="77777777">
            <w:trPr>
              <w:trHeight w:val="128"/>
            </w:trPr>
            <w:tc>
              <w:tcPr>
                <w:tcW w:w="2408" w:type="dxa"/>
                <w:vAlign w:val="bottom"/>
              </w:tcPr>
              <w:p w:rsidRPr="008B41A2" w:rsidR="008B41A2" w:rsidP="008B41A2" w:rsidRDefault="00BF14ED" w14:paraId="13C6DB98"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Recurso de Revisión:</w:t>
                </w:r>
              </w:p>
            </w:tc>
            <w:tc>
              <w:tcPr>
                <w:tcW w:w="4385" w:type="dxa"/>
              </w:tcPr>
              <w:p w:rsidRPr="00651A13" w:rsidR="008B41A2" w:rsidP="00B43BFA" w:rsidRDefault="00DA0D89" w14:paraId="79E321B5" w14:textId="321A90AC">
                <w:pPr>
                  <w:tabs>
                    <w:tab w:val="right" w:pos="8838"/>
                  </w:tabs>
                  <w:ind w:left="-28" w:right="683"/>
                  <w:rPr>
                    <w:rFonts w:ascii="Palatino Linotype" w:hAnsi="Palatino Linotype" w:eastAsia="Calibri" w:cs="Tahoma"/>
                    <w:sz w:val="22"/>
                    <w:szCs w:val="22"/>
                  </w:rPr>
                </w:pPr>
                <w:r>
                  <w:rPr>
                    <w:rFonts w:ascii="Palatino Linotype" w:hAnsi="Palatino Linotype" w:eastAsia="Calibri" w:cs="Tahoma"/>
                    <w:sz w:val="22"/>
                    <w:szCs w:val="22"/>
                    <w:lang w:val="es-MX"/>
                  </w:rPr>
                  <w:t>01566</w:t>
                </w:r>
                <w:r w:rsidRPr="00143D8B" w:rsidR="00143D8B">
                  <w:rPr>
                    <w:rFonts w:ascii="Palatino Linotype" w:hAnsi="Palatino Linotype" w:eastAsia="Calibri" w:cs="Tahoma"/>
                    <w:sz w:val="22"/>
                    <w:szCs w:val="22"/>
                    <w:lang w:val="es-MX"/>
                  </w:rPr>
                  <w:t>/INFOEM/IP/RR/2022</w:t>
                </w:r>
              </w:p>
            </w:tc>
          </w:tr>
          <w:tr w:rsidR="008B41A2" w:rsidTr="00E3269B" w14:paraId="5FC9045B" w14:textId="77777777">
            <w:trPr>
              <w:trHeight w:val="251"/>
            </w:trPr>
            <w:tc>
              <w:tcPr>
                <w:tcW w:w="2408" w:type="dxa"/>
              </w:tcPr>
              <w:p w:rsidRPr="008B41A2" w:rsidR="008B41A2" w:rsidP="008B41A2" w:rsidRDefault="00BF14ED" w14:paraId="6F66F0D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Sujeto Obligado:</w:t>
                </w:r>
              </w:p>
            </w:tc>
            <w:tc>
              <w:tcPr>
                <w:tcW w:w="4385" w:type="dxa"/>
              </w:tcPr>
              <w:p w:rsidR="00000831" w:rsidP="00143D8B" w:rsidRDefault="00DA0D89" w14:paraId="1C3D5939" w14:textId="77777777">
                <w:pPr>
                  <w:tabs>
                    <w:tab w:val="right" w:pos="8838"/>
                  </w:tabs>
                  <w:ind w:right="116"/>
                  <w:rPr>
                    <w:rFonts w:ascii="Palatino Linotype" w:hAnsi="Palatino Linotype" w:eastAsia="Calibri" w:cs="Tahoma"/>
                    <w:sz w:val="22"/>
                    <w:szCs w:val="22"/>
                    <w:lang w:val="es-MX"/>
                  </w:rPr>
                </w:pPr>
                <w:r w:rsidRPr="00DA0D89">
                  <w:rPr>
                    <w:rFonts w:ascii="Palatino Linotype" w:hAnsi="Palatino Linotype" w:eastAsia="Calibri" w:cs="Tahoma"/>
                    <w:sz w:val="22"/>
                    <w:szCs w:val="22"/>
                    <w:lang w:val="es-MX"/>
                  </w:rPr>
                  <w:t xml:space="preserve">Instituto de Seguridad Social del </w:t>
                </w:r>
              </w:p>
              <w:p w:rsidRPr="008B41A2" w:rsidR="008B41A2" w:rsidP="00143D8B" w:rsidRDefault="00DA0D89" w14:paraId="5B3372D4" w14:textId="7894A743">
                <w:pPr>
                  <w:tabs>
                    <w:tab w:val="right" w:pos="8838"/>
                  </w:tabs>
                  <w:ind w:right="116"/>
                  <w:rPr>
                    <w:rFonts w:ascii="Palatino Linotype" w:hAnsi="Palatino Linotype" w:eastAsia="Calibri" w:cs="Tahoma"/>
                    <w:sz w:val="22"/>
                    <w:szCs w:val="22"/>
                    <w:lang w:val="es-MX"/>
                  </w:rPr>
                </w:pPr>
                <w:r w:rsidRPr="00DA0D89">
                  <w:rPr>
                    <w:rFonts w:ascii="Palatino Linotype" w:hAnsi="Palatino Linotype" w:eastAsia="Calibri" w:cs="Tahoma"/>
                    <w:sz w:val="22"/>
                    <w:szCs w:val="22"/>
                    <w:lang w:val="es-MX"/>
                  </w:rPr>
                  <w:t>Estado de México y Municipios</w:t>
                </w:r>
              </w:p>
            </w:tc>
          </w:tr>
          <w:tr w:rsidR="008B41A2" w:rsidTr="00E3269B" w14:paraId="0EA3B3B7" w14:textId="77777777">
            <w:trPr>
              <w:trHeight w:val="251"/>
            </w:trPr>
            <w:tc>
              <w:tcPr>
                <w:tcW w:w="2408" w:type="dxa"/>
              </w:tcPr>
              <w:p w:rsidRPr="008B41A2" w:rsidR="008B41A2" w:rsidP="008B41A2" w:rsidRDefault="00BF14ED" w14:paraId="3DB912F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Comisionado Ponente:</w:t>
                </w:r>
              </w:p>
            </w:tc>
            <w:tc>
              <w:tcPr>
                <w:tcW w:w="4385" w:type="dxa"/>
              </w:tcPr>
              <w:p w:rsidR="008B41A2" w:rsidP="008B41A2" w:rsidRDefault="00BF14ED" w14:paraId="002D3455" w14:textId="77777777">
                <w:pPr>
                  <w:tabs>
                    <w:tab w:val="right" w:pos="8838"/>
                  </w:tabs>
                  <w:ind w:right="-32"/>
                  <w:rPr>
                    <w:rFonts w:ascii="Palatino Linotype" w:hAnsi="Palatino Linotype" w:eastAsia="Calibri" w:cs="Tahoma"/>
                    <w:sz w:val="22"/>
                    <w:szCs w:val="22"/>
                    <w:lang w:val="es-MX"/>
                  </w:rPr>
                </w:pPr>
                <w:r w:rsidRPr="008B41A2">
                  <w:rPr>
                    <w:rFonts w:ascii="Palatino Linotype" w:hAnsi="Palatino Linotype" w:eastAsia="Calibri" w:cs="Tahoma"/>
                    <w:sz w:val="22"/>
                    <w:szCs w:val="22"/>
                    <w:lang w:val="es-MX"/>
                  </w:rPr>
                  <w:t>Luis Gustavo Parra Noriega</w:t>
                </w:r>
              </w:p>
              <w:p w:rsidRPr="008B41A2" w:rsidR="00275B5D" w:rsidP="008B41A2" w:rsidRDefault="00275B5D" w14:paraId="001A5E63" w14:textId="77777777">
                <w:pPr>
                  <w:tabs>
                    <w:tab w:val="right" w:pos="8838"/>
                  </w:tabs>
                  <w:ind w:right="-32"/>
                  <w:rPr>
                    <w:rFonts w:ascii="Palatino Linotype" w:hAnsi="Palatino Linotype" w:eastAsia="Calibri" w:cs="Tahoma"/>
                    <w:b/>
                    <w:sz w:val="22"/>
                    <w:szCs w:val="22"/>
                    <w:lang w:val="es-MX"/>
                  </w:rPr>
                </w:pPr>
              </w:p>
            </w:tc>
          </w:tr>
        </w:tbl>
        <w:p w:rsidRPr="005C106F" w:rsidR="008B41A2" w:rsidP="008B41A2" w:rsidRDefault="0099219B" w14:paraId="39322C5A" w14:textId="77777777">
          <w:pPr>
            <w:tabs>
              <w:tab w:val="right" w:pos="8838"/>
            </w:tabs>
            <w:ind w:left="-28"/>
            <w:rPr>
              <w:rFonts w:ascii="Arial" w:hAnsi="Arial" w:eastAsia="Calibri" w:cs="Arial"/>
              <w:b/>
            </w:rPr>
          </w:pPr>
        </w:p>
      </w:tc>
    </w:tr>
  </w:tbl>
  <w:p w:rsidR="003135D1" w:rsidP="000930AE" w:rsidRDefault="0099219B" w14:paraId="413B7D7D" w14:textId="77777777">
    <w:pPr>
      <w:pStyle w:val="Encabezado"/>
      <w:rPr>
        <w:sz w:val="14"/>
      </w:rPr>
    </w:pPr>
  </w:p>
  <w:p w:rsidRPr="00443C6B" w:rsidR="003135D1" w:rsidP="000930AE" w:rsidRDefault="0099219B" w14:paraId="2249EFA4" w14:textId="7777777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5"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685"/>
    </w:tblGrid>
    <w:tr w:rsidRPr="00264223" w:rsidR="003135D1" w:rsidTr="0EEAB144" w14:paraId="0296A02D" w14:textId="77777777">
      <w:trPr>
        <w:trHeight w:val="284"/>
      </w:trPr>
      <w:tc>
        <w:tcPr>
          <w:tcW w:w="2410" w:type="dxa"/>
          <w:tcMar/>
        </w:tcPr>
        <w:p w:rsidRPr="00D3618F" w:rsidR="003135D1" w:rsidP="00155288" w:rsidRDefault="00BF14ED" w14:paraId="7A127E60" w14:textId="08F305BE">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Recurso de Revisión:</w:t>
          </w:r>
        </w:p>
      </w:tc>
      <w:tc>
        <w:tcPr>
          <w:tcW w:w="3685" w:type="dxa"/>
          <w:tcMar/>
        </w:tcPr>
        <w:p w:rsidRPr="00651A13" w:rsidR="003135D1" w:rsidP="00B43BFA" w:rsidRDefault="000D520E" w14:paraId="328710A7" w14:textId="21AB28E8">
          <w:pPr>
            <w:tabs>
              <w:tab w:val="right" w:pos="8838"/>
            </w:tabs>
            <w:ind w:left="-28"/>
            <w:jc w:val="both"/>
            <w:rPr>
              <w:rFonts w:ascii="Palatino Linotype" w:hAnsi="Palatino Linotype" w:eastAsia="Calibri" w:cs="Tahoma"/>
              <w:sz w:val="22"/>
              <w:szCs w:val="22"/>
              <w:lang w:eastAsia="en-US"/>
            </w:rPr>
          </w:pPr>
          <w:r>
            <w:rPr>
              <w:rFonts w:ascii="Palatino Linotype" w:hAnsi="Palatino Linotype" w:eastAsia="Calibri" w:cs="Tahoma"/>
              <w:sz w:val="22"/>
              <w:szCs w:val="22"/>
              <w:lang w:val="es-MX" w:eastAsia="en-US"/>
            </w:rPr>
            <w:t>01566</w:t>
          </w:r>
          <w:r w:rsidRPr="00143D8B" w:rsidR="00143D8B">
            <w:rPr>
              <w:rFonts w:ascii="Palatino Linotype" w:hAnsi="Palatino Linotype" w:eastAsia="Calibri" w:cs="Tahoma"/>
              <w:sz w:val="22"/>
              <w:szCs w:val="22"/>
              <w:lang w:val="es-MX" w:eastAsia="en-US"/>
            </w:rPr>
            <w:t>/INFOEM/IP/RR/2022</w:t>
          </w:r>
        </w:p>
      </w:tc>
    </w:tr>
    <w:tr w:rsidRPr="00264223" w:rsidR="003135D1" w:rsidTr="0EEAB144" w14:paraId="612E08F0" w14:textId="77777777">
      <w:trPr>
        <w:trHeight w:val="122"/>
      </w:trPr>
      <w:tc>
        <w:tcPr>
          <w:tcW w:w="2410" w:type="dxa"/>
          <w:tcMar/>
        </w:tcPr>
        <w:p w:rsidRPr="00D3618F" w:rsidR="003135D1" w:rsidP="00D3618F" w:rsidRDefault="00BF14ED" w14:paraId="678B9917"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Recurrente:</w:t>
          </w:r>
        </w:p>
      </w:tc>
      <w:tc>
        <w:tcPr>
          <w:tcW w:w="3685" w:type="dxa"/>
          <w:tcMar/>
        </w:tcPr>
        <w:p w:rsidRPr="00EE2A06" w:rsidR="003135D1" w:rsidP="0EEAB144" w:rsidRDefault="0099219B" w14:paraId="717CF0C7" w14:textId="3B0B408E">
          <w:pPr>
            <w:tabs>
              <w:tab w:val="right" w:pos="8838"/>
            </w:tabs>
            <w:ind w:left="-28"/>
            <w:jc w:val="both"/>
            <w:rPr>
              <w:rFonts w:ascii="Palatino Linotype" w:hAnsi="Palatino Linotype" w:eastAsia="Calibri" w:cs="Tahoma"/>
              <w:sz w:val="22"/>
              <w:szCs w:val="22"/>
              <w:highlight w:val="black"/>
              <w:lang w:val="es-MX" w:eastAsia="en-US"/>
            </w:rPr>
          </w:pPr>
          <w:r w:rsidRPr="0EEAB144" w:rsidR="0EEAB144">
            <w:rPr>
              <w:rFonts w:ascii="Palatino Linotype" w:hAnsi="Palatino Linotype" w:eastAsia="Calibri" w:cs="Tahoma"/>
              <w:sz w:val="22"/>
              <w:szCs w:val="22"/>
              <w:highlight w:val="black"/>
              <w:lang w:val="es-MX" w:eastAsia="en-US"/>
            </w:rPr>
            <w:t>XXXXXXXXXXXXXXXXXXX</w:t>
          </w:r>
        </w:p>
      </w:tc>
    </w:tr>
    <w:tr w:rsidRPr="00264223" w:rsidR="003135D1" w:rsidTr="0EEAB144" w14:paraId="3A9CDB69" w14:textId="77777777">
      <w:trPr>
        <w:trHeight w:val="234"/>
      </w:trPr>
      <w:tc>
        <w:tcPr>
          <w:tcW w:w="2410" w:type="dxa"/>
          <w:tcMar/>
        </w:tcPr>
        <w:p w:rsidRPr="00D3618F" w:rsidR="003135D1" w:rsidP="00D3618F" w:rsidRDefault="00BF14ED" w14:paraId="3E19C8C3"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Sujeto Obligado:</w:t>
          </w:r>
        </w:p>
      </w:tc>
      <w:tc>
        <w:tcPr>
          <w:tcW w:w="3685" w:type="dxa"/>
          <w:tcMar/>
        </w:tcPr>
        <w:p w:rsidRPr="00651A13" w:rsidR="003135D1" w:rsidP="00516218" w:rsidRDefault="000D520E" w14:paraId="7E37B80E" w14:textId="1133F642">
          <w:pPr>
            <w:tabs>
              <w:tab w:val="right" w:pos="8838"/>
            </w:tabs>
            <w:rPr>
              <w:rFonts w:ascii="Palatino Linotype" w:hAnsi="Palatino Linotype" w:eastAsia="Calibri" w:cs="Tahoma"/>
              <w:sz w:val="22"/>
              <w:szCs w:val="22"/>
              <w:lang w:val="es-MX" w:eastAsia="en-US"/>
            </w:rPr>
          </w:pPr>
          <w:r w:rsidRPr="000D520E">
            <w:rPr>
              <w:rFonts w:ascii="Palatino Linotype" w:hAnsi="Palatino Linotype" w:eastAsia="Calibri" w:cs="Tahoma"/>
              <w:sz w:val="22"/>
              <w:szCs w:val="22"/>
              <w:lang w:val="es-MX" w:eastAsia="en-US"/>
            </w:rPr>
            <w:t>Instituto de Seguridad Social del Estado de México y Municipios</w:t>
          </w:r>
        </w:p>
      </w:tc>
    </w:tr>
    <w:tr w:rsidRPr="00264223" w:rsidR="003135D1" w:rsidTr="0EEAB144" w14:paraId="1AF8B0BB" w14:textId="77777777">
      <w:trPr>
        <w:trHeight w:val="234"/>
      </w:trPr>
      <w:tc>
        <w:tcPr>
          <w:tcW w:w="2410" w:type="dxa"/>
          <w:tcMar/>
        </w:tcPr>
        <w:p w:rsidRPr="00D3618F" w:rsidR="003135D1" w:rsidP="00D3618F" w:rsidRDefault="00BF14ED" w14:paraId="2E9A1B65"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Comisionado Ponente:</w:t>
          </w:r>
        </w:p>
      </w:tc>
      <w:tc>
        <w:tcPr>
          <w:tcW w:w="3685" w:type="dxa"/>
          <w:tcMar/>
        </w:tcPr>
        <w:p w:rsidRPr="00D3618F" w:rsidR="003135D1" w:rsidP="00B935BA" w:rsidRDefault="00BF14ED" w14:paraId="6919B9C5" w14:textId="77777777">
          <w:pPr>
            <w:tabs>
              <w:tab w:val="right" w:pos="8838"/>
            </w:tabs>
            <w:ind w:left="-28"/>
            <w:rPr>
              <w:rFonts w:ascii="Palatino Linotype" w:hAnsi="Palatino Linotype" w:eastAsia="Calibri" w:cs="Tahoma"/>
              <w:sz w:val="22"/>
              <w:szCs w:val="22"/>
              <w:lang w:val="es-MX" w:eastAsia="en-US"/>
            </w:rPr>
          </w:pPr>
          <w:r w:rsidRPr="00D3618F">
            <w:rPr>
              <w:rFonts w:ascii="Palatino Linotype" w:hAnsi="Palatino Linotype" w:eastAsia="Calibri" w:cs="Tahoma"/>
              <w:sz w:val="22"/>
              <w:szCs w:val="22"/>
              <w:lang w:val="es-MX" w:eastAsia="en-US"/>
            </w:rPr>
            <w:t>Luis Gustavo Parra Noriega</w:t>
          </w:r>
        </w:p>
      </w:tc>
    </w:tr>
  </w:tbl>
  <w:p w:rsidR="003135D1" w:rsidRDefault="0099219B" w14:paraId="51A0BA91" w14:textId="77777777">
    <w:r>
      <w:rPr>
        <w:noProof/>
        <w:lang w:eastAsia="es-MX"/>
      </w:rPr>
      <w:pict w14:anchorId="2E181B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1" style="position:absolute;margin-left:-92.55pt;margin-top:-120.95pt;width:663.5pt;height:12in;z-index:-251657728;mso-position-horizontal-relative:margin;mso-position-vertical-relative:margin" o:spid="_x0000_s1025" o:allowincell="f" type="#_x0000_t75">
          <v:imagedata o:title="marcaaguaINFOEM"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4451"/>
    <w:multiLevelType w:val="hybridMultilevel"/>
    <w:tmpl w:val="13F8882E"/>
    <w:lvl w:ilvl="0" w:tplc="8A988F1C">
      <w:start w:val="1"/>
      <w:numFmt w:val="lowerRoman"/>
      <w:lvlText w:val="%1)"/>
      <w:lvlJc w:val="left"/>
      <w:pPr>
        <w:ind w:left="3054" w:hanging="360"/>
      </w:pPr>
      <w:rPr>
        <w:rFonts w:hint="default"/>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1" w15:restartNumberingAfterBreak="0">
    <w:nsid w:val="21CF385F"/>
    <w:multiLevelType w:val="hybridMultilevel"/>
    <w:tmpl w:val="9E64D05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2709451E"/>
    <w:multiLevelType w:val="hybridMultilevel"/>
    <w:tmpl w:val="CBACFD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8FF5265"/>
    <w:multiLevelType w:val="hybridMultilevel"/>
    <w:tmpl w:val="3962E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C3F0654"/>
    <w:multiLevelType w:val="hybridMultilevel"/>
    <w:tmpl w:val="E940DB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15:restartNumberingAfterBreak="0">
    <w:nsid w:val="467A056F"/>
    <w:multiLevelType w:val="hybridMultilevel"/>
    <w:tmpl w:val="62C49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8C464C8"/>
    <w:multiLevelType w:val="hybridMultilevel"/>
    <w:tmpl w:val="333CE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74A834FE"/>
    <w:multiLevelType w:val="hybridMultilevel"/>
    <w:tmpl w:val="5846D10A"/>
    <w:lvl w:ilvl="0" w:tplc="439C3BAC">
      <w:start w:val="1"/>
      <w:numFmt w:val="decimal"/>
      <w:lvlText w:val="%1."/>
      <w:lvlJc w:val="left"/>
      <w:pPr>
        <w:ind w:left="1287"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75481E7F"/>
    <w:multiLevelType w:val="hybridMultilevel"/>
    <w:tmpl w:val="563A5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817280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3265417">
    <w:abstractNumId w:val="1"/>
  </w:num>
  <w:num w:numId="3" w16cid:durableId="1666007928">
    <w:abstractNumId w:val="3"/>
  </w:num>
  <w:num w:numId="4" w16cid:durableId="972060904">
    <w:abstractNumId w:val="0"/>
  </w:num>
  <w:num w:numId="5" w16cid:durableId="1066687424">
    <w:abstractNumId w:val="8"/>
  </w:num>
  <w:num w:numId="6" w16cid:durableId="1072653156">
    <w:abstractNumId w:val="5"/>
  </w:num>
  <w:num w:numId="7" w16cid:durableId="1397239841">
    <w:abstractNumId w:val="9"/>
  </w:num>
  <w:num w:numId="8" w16cid:durableId="335883029">
    <w:abstractNumId w:val="2"/>
  </w:num>
  <w:num w:numId="9" w16cid:durableId="888225293">
    <w:abstractNumId w:val="4"/>
  </w:num>
  <w:num w:numId="10" w16cid:durableId="207180505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DE"/>
    <w:rsid w:val="00000831"/>
    <w:rsid w:val="00007463"/>
    <w:rsid w:val="00011665"/>
    <w:rsid w:val="000227D4"/>
    <w:rsid w:val="00027602"/>
    <w:rsid w:val="00027B1A"/>
    <w:rsid w:val="000315BC"/>
    <w:rsid w:val="0003214D"/>
    <w:rsid w:val="00035465"/>
    <w:rsid w:val="00041105"/>
    <w:rsid w:val="00042AF8"/>
    <w:rsid w:val="00044EB7"/>
    <w:rsid w:val="00045040"/>
    <w:rsid w:val="0004614A"/>
    <w:rsid w:val="00046E37"/>
    <w:rsid w:val="000500C2"/>
    <w:rsid w:val="00053263"/>
    <w:rsid w:val="00057F3C"/>
    <w:rsid w:val="00061CF3"/>
    <w:rsid w:val="000730C7"/>
    <w:rsid w:val="00080B6A"/>
    <w:rsid w:val="00080E67"/>
    <w:rsid w:val="00082AA6"/>
    <w:rsid w:val="00091543"/>
    <w:rsid w:val="00095A89"/>
    <w:rsid w:val="000A3B9A"/>
    <w:rsid w:val="000B48A4"/>
    <w:rsid w:val="000C37FA"/>
    <w:rsid w:val="000C71F5"/>
    <w:rsid w:val="000D12DE"/>
    <w:rsid w:val="000D29BC"/>
    <w:rsid w:val="000D34ED"/>
    <w:rsid w:val="000D520E"/>
    <w:rsid w:val="000D53EB"/>
    <w:rsid w:val="000D6E9A"/>
    <w:rsid w:val="000E0287"/>
    <w:rsid w:val="000E606C"/>
    <w:rsid w:val="000F1A23"/>
    <w:rsid w:val="000F5D60"/>
    <w:rsid w:val="000F6C40"/>
    <w:rsid w:val="001004E7"/>
    <w:rsid w:val="001013A5"/>
    <w:rsid w:val="0010362A"/>
    <w:rsid w:val="00112024"/>
    <w:rsid w:val="00114BFE"/>
    <w:rsid w:val="00116DC0"/>
    <w:rsid w:val="00123871"/>
    <w:rsid w:val="0012443B"/>
    <w:rsid w:val="00127BFE"/>
    <w:rsid w:val="00131B30"/>
    <w:rsid w:val="00133DC8"/>
    <w:rsid w:val="00134635"/>
    <w:rsid w:val="00134803"/>
    <w:rsid w:val="00137BB0"/>
    <w:rsid w:val="0014223F"/>
    <w:rsid w:val="001425A4"/>
    <w:rsid w:val="00143D8B"/>
    <w:rsid w:val="00147084"/>
    <w:rsid w:val="0014762D"/>
    <w:rsid w:val="0014775F"/>
    <w:rsid w:val="00150B3D"/>
    <w:rsid w:val="001567FA"/>
    <w:rsid w:val="00156E72"/>
    <w:rsid w:val="00161D14"/>
    <w:rsid w:val="00165C2C"/>
    <w:rsid w:val="00173765"/>
    <w:rsid w:val="00184DA2"/>
    <w:rsid w:val="001875A9"/>
    <w:rsid w:val="001904EF"/>
    <w:rsid w:val="00190AF6"/>
    <w:rsid w:val="00190D99"/>
    <w:rsid w:val="001A10B3"/>
    <w:rsid w:val="001B0D19"/>
    <w:rsid w:val="001B246F"/>
    <w:rsid w:val="001C0F48"/>
    <w:rsid w:val="001C3AD9"/>
    <w:rsid w:val="001C450F"/>
    <w:rsid w:val="001C759E"/>
    <w:rsid w:val="001D222B"/>
    <w:rsid w:val="001D7477"/>
    <w:rsid w:val="001E5539"/>
    <w:rsid w:val="001E59FD"/>
    <w:rsid w:val="001E6E6E"/>
    <w:rsid w:val="001E78ED"/>
    <w:rsid w:val="00200F81"/>
    <w:rsid w:val="00207B2D"/>
    <w:rsid w:val="00207F72"/>
    <w:rsid w:val="00210108"/>
    <w:rsid w:val="0022135B"/>
    <w:rsid w:val="00221416"/>
    <w:rsid w:val="00226317"/>
    <w:rsid w:val="00230DDF"/>
    <w:rsid w:val="0023372D"/>
    <w:rsid w:val="00236277"/>
    <w:rsid w:val="0024045C"/>
    <w:rsid w:val="0024073D"/>
    <w:rsid w:val="00241BF2"/>
    <w:rsid w:val="002425E2"/>
    <w:rsid w:val="00244FC7"/>
    <w:rsid w:val="00250344"/>
    <w:rsid w:val="00251156"/>
    <w:rsid w:val="00253FFD"/>
    <w:rsid w:val="00256424"/>
    <w:rsid w:val="00263744"/>
    <w:rsid w:val="00275B5D"/>
    <w:rsid w:val="0028189F"/>
    <w:rsid w:val="00283B2F"/>
    <w:rsid w:val="00285630"/>
    <w:rsid w:val="00292B1B"/>
    <w:rsid w:val="002A308B"/>
    <w:rsid w:val="002A40CB"/>
    <w:rsid w:val="002A49D0"/>
    <w:rsid w:val="002A4C64"/>
    <w:rsid w:val="002A7B9E"/>
    <w:rsid w:val="002B025D"/>
    <w:rsid w:val="002B4CF2"/>
    <w:rsid w:val="002C073E"/>
    <w:rsid w:val="002C0A0C"/>
    <w:rsid w:val="002C356D"/>
    <w:rsid w:val="002C4869"/>
    <w:rsid w:val="002C4F7B"/>
    <w:rsid w:val="002D339E"/>
    <w:rsid w:val="002D345E"/>
    <w:rsid w:val="002D4A4D"/>
    <w:rsid w:val="002D5C1D"/>
    <w:rsid w:val="002E446A"/>
    <w:rsid w:val="002F106C"/>
    <w:rsid w:val="002F1AA9"/>
    <w:rsid w:val="002F3B8D"/>
    <w:rsid w:val="002F3D3B"/>
    <w:rsid w:val="002F5B41"/>
    <w:rsid w:val="00311CA5"/>
    <w:rsid w:val="00321562"/>
    <w:rsid w:val="003248BF"/>
    <w:rsid w:val="00327365"/>
    <w:rsid w:val="00330163"/>
    <w:rsid w:val="00330AE8"/>
    <w:rsid w:val="00331544"/>
    <w:rsid w:val="00331F7E"/>
    <w:rsid w:val="00332F98"/>
    <w:rsid w:val="00334908"/>
    <w:rsid w:val="0034142F"/>
    <w:rsid w:val="00341710"/>
    <w:rsid w:val="00345C53"/>
    <w:rsid w:val="0035025E"/>
    <w:rsid w:val="00357B4D"/>
    <w:rsid w:val="00362F37"/>
    <w:rsid w:val="003650A8"/>
    <w:rsid w:val="00370D56"/>
    <w:rsid w:val="0037277E"/>
    <w:rsid w:val="0037366F"/>
    <w:rsid w:val="0037403C"/>
    <w:rsid w:val="0038370C"/>
    <w:rsid w:val="003843A4"/>
    <w:rsid w:val="00386E35"/>
    <w:rsid w:val="0039288A"/>
    <w:rsid w:val="003945E3"/>
    <w:rsid w:val="00394A8D"/>
    <w:rsid w:val="003A7FA8"/>
    <w:rsid w:val="003B08A4"/>
    <w:rsid w:val="003C3A57"/>
    <w:rsid w:val="003C490F"/>
    <w:rsid w:val="003C687A"/>
    <w:rsid w:val="003C6C91"/>
    <w:rsid w:val="003C6CA1"/>
    <w:rsid w:val="003D2454"/>
    <w:rsid w:val="003E215A"/>
    <w:rsid w:val="003E35F9"/>
    <w:rsid w:val="003E3F56"/>
    <w:rsid w:val="003E4FC1"/>
    <w:rsid w:val="003F5D7F"/>
    <w:rsid w:val="004054D7"/>
    <w:rsid w:val="0040764B"/>
    <w:rsid w:val="00411440"/>
    <w:rsid w:val="00416901"/>
    <w:rsid w:val="00420F22"/>
    <w:rsid w:val="00420F61"/>
    <w:rsid w:val="004226E1"/>
    <w:rsid w:val="0042634D"/>
    <w:rsid w:val="004327B9"/>
    <w:rsid w:val="0043527F"/>
    <w:rsid w:val="00435D57"/>
    <w:rsid w:val="00436FEE"/>
    <w:rsid w:val="00443F40"/>
    <w:rsid w:val="00444298"/>
    <w:rsid w:val="00452014"/>
    <w:rsid w:val="004529ED"/>
    <w:rsid w:val="00452CE8"/>
    <w:rsid w:val="004563F0"/>
    <w:rsid w:val="00461E91"/>
    <w:rsid w:val="00463F05"/>
    <w:rsid w:val="00464A4B"/>
    <w:rsid w:val="00464E71"/>
    <w:rsid w:val="00465166"/>
    <w:rsid w:val="00467102"/>
    <w:rsid w:val="00473523"/>
    <w:rsid w:val="00474B0B"/>
    <w:rsid w:val="00475BFB"/>
    <w:rsid w:val="00477714"/>
    <w:rsid w:val="00486F58"/>
    <w:rsid w:val="004A0B13"/>
    <w:rsid w:val="004A141E"/>
    <w:rsid w:val="004A6423"/>
    <w:rsid w:val="004B22AD"/>
    <w:rsid w:val="004C3C05"/>
    <w:rsid w:val="004C636B"/>
    <w:rsid w:val="004D3D8A"/>
    <w:rsid w:val="004D580B"/>
    <w:rsid w:val="004E092E"/>
    <w:rsid w:val="004E2049"/>
    <w:rsid w:val="004E474E"/>
    <w:rsid w:val="004F44CB"/>
    <w:rsid w:val="004F45D5"/>
    <w:rsid w:val="004F4774"/>
    <w:rsid w:val="004F4EF7"/>
    <w:rsid w:val="00501BFE"/>
    <w:rsid w:val="005038CE"/>
    <w:rsid w:val="00503A18"/>
    <w:rsid w:val="0051321B"/>
    <w:rsid w:val="00516218"/>
    <w:rsid w:val="0051775F"/>
    <w:rsid w:val="0052168E"/>
    <w:rsid w:val="00527B64"/>
    <w:rsid w:val="00533909"/>
    <w:rsid w:val="005360CC"/>
    <w:rsid w:val="00542E55"/>
    <w:rsid w:val="00544E16"/>
    <w:rsid w:val="00545769"/>
    <w:rsid w:val="00547DCF"/>
    <w:rsid w:val="005501EB"/>
    <w:rsid w:val="00553AF4"/>
    <w:rsid w:val="00562601"/>
    <w:rsid w:val="00564BEA"/>
    <w:rsid w:val="00565189"/>
    <w:rsid w:val="00575786"/>
    <w:rsid w:val="00576102"/>
    <w:rsid w:val="005769E1"/>
    <w:rsid w:val="00577873"/>
    <w:rsid w:val="00580E40"/>
    <w:rsid w:val="0058347D"/>
    <w:rsid w:val="005843D0"/>
    <w:rsid w:val="005A2AA5"/>
    <w:rsid w:val="005A44A9"/>
    <w:rsid w:val="005A78BC"/>
    <w:rsid w:val="005B03F7"/>
    <w:rsid w:val="005B1591"/>
    <w:rsid w:val="005B2724"/>
    <w:rsid w:val="005B6AE8"/>
    <w:rsid w:val="005C497A"/>
    <w:rsid w:val="005D02A6"/>
    <w:rsid w:val="005D12CF"/>
    <w:rsid w:val="005E0934"/>
    <w:rsid w:val="005E7B22"/>
    <w:rsid w:val="005F7F1D"/>
    <w:rsid w:val="00605324"/>
    <w:rsid w:val="006140C5"/>
    <w:rsid w:val="00615F5E"/>
    <w:rsid w:val="006177AC"/>
    <w:rsid w:val="00620DDB"/>
    <w:rsid w:val="00622A40"/>
    <w:rsid w:val="0062509E"/>
    <w:rsid w:val="00625557"/>
    <w:rsid w:val="00630102"/>
    <w:rsid w:val="00646ED4"/>
    <w:rsid w:val="00647F5E"/>
    <w:rsid w:val="00651A13"/>
    <w:rsid w:val="00651CBC"/>
    <w:rsid w:val="006543CB"/>
    <w:rsid w:val="00654867"/>
    <w:rsid w:val="006548C6"/>
    <w:rsid w:val="00657DAD"/>
    <w:rsid w:val="0066424F"/>
    <w:rsid w:val="0067039B"/>
    <w:rsid w:val="00673038"/>
    <w:rsid w:val="006762A8"/>
    <w:rsid w:val="00682618"/>
    <w:rsid w:val="00682834"/>
    <w:rsid w:val="006841B7"/>
    <w:rsid w:val="00685149"/>
    <w:rsid w:val="006869B3"/>
    <w:rsid w:val="0069111A"/>
    <w:rsid w:val="006A40B6"/>
    <w:rsid w:val="006A6335"/>
    <w:rsid w:val="006A79D2"/>
    <w:rsid w:val="006A7E80"/>
    <w:rsid w:val="006B022F"/>
    <w:rsid w:val="006B05AA"/>
    <w:rsid w:val="006B123A"/>
    <w:rsid w:val="006B1909"/>
    <w:rsid w:val="006B1C63"/>
    <w:rsid w:val="006B347A"/>
    <w:rsid w:val="006B3C36"/>
    <w:rsid w:val="006B453B"/>
    <w:rsid w:val="006B5469"/>
    <w:rsid w:val="006C35D5"/>
    <w:rsid w:val="006C7888"/>
    <w:rsid w:val="006C7DF4"/>
    <w:rsid w:val="006E19AF"/>
    <w:rsid w:val="006E3868"/>
    <w:rsid w:val="006F24F6"/>
    <w:rsid w:val="006F397F"/>
    <w:rsid w:val="007037AF"/>
    <w:rsid w:val="00705EC7"/>
    <w:rsid w:val="00711435"/>
    <w:rsid w:val="00717A0C"/>
    <w:rsid w:val="00723F14"/>
    <w:rsid w:val="00724062"/>
    <w:rsid w:val="00725680"/>
    <w:rsid w:val="00726144"/>
    <w:rsid w:val="00731FDC"/>
    <w:rsid w:val="00732A44"/>
    <w:rsid w:val="0073594C"/>
    <w:rsid w:val="0074570A"/>
    <w:rsid w:val="00745E69"/>
    <w:rsid w:val="00753E39"/>
    <w:rsid w:val="007542C0"/>
    <w:rsid w:val="00763041"/>
    <w:rsid w:val="00766A5B"/>
    <w:rsid w:val="00767700"/>
    <w:rsid w:val="007711AC"/>
    <w:rsid w:val="00774B75"/>
    <w:rsid w:val="00775AD6"/>
    <w:rsid w:val="00781DE1"/>
    <w:rsid w:val="00785507"/>
    <w:rsid w:val="0078598B"/>
    <w:rsid w:val="00796584"/>
    <w:rsid w:val="007A1265"/>
    <w:rsid w:val="007A18E6"/>
    <w:rsid w:val="007A34CE"/>
    <w:rsid w:val="007A3701"/>
    <w:rsid w:val="007B0305"/>
    <w:rsid w:val="007B6774"/>
    <w:rsid w:val="007C29EC"/>
    <w:rsid w:val="007C3E4E"/>
    <w:rsid w:val="007C4A13"/>
    <w:rsid w:val="007D165C"/>
    <w:rsid w:val="007D27B6"/>
    <w:rsid w:val="007D4F12"/>
    <w:rsid w:val="007D6069"/>
    <w:rsid w:val="007E4724"/>
    <w:rsid w:val="007E5697"/>
    <w:rsid w:val="007E6BB3"/>
    <w:rsid w:val="007F0F29"/>
    <w:rsid w:val="007F1526"/>
    <w:rsid w:val="007F610D"/>
    <w:rsid w:val="00800F13"/>
    <w:rsid w:val="00801676"/>
    <w:rsid w:val="0080704F"/>
    <w:rsid w:val="00807FDD"/>
    <w:rsid w:val="00814BA4"/>
    <w:rsid w:val="00823EE0"/>
    <w:rsid w:val="00830C1C"/>
    <w:rsid w:val="00831F10"/>
    <w:rsid w:val="0083345D"/>
    <w:rsid w:val="0083373C"/>
    <w:rsid w:val="00836858"/>
    <w:rsid w:val="00840688"/>
    <w:rsid w:val="00840779"/>
    <w:rsid w:val="00845C37"/>
    <w:rsid w:val="00845DB2"/>
    <w:rsid w:val="0084610A"/>
    <w:rsid w:val="00846822"/>
    <w:rsid w:val="00847CE9"/>
    <w:rsid w:val="008537FC"/>
    <w:rsid w:val="00854DC8"/>
    <w:rsid w:val="008624BC"/>
    <w:rsid w:val="008640E0"/>
    <w:rsid w:val="008644C5"/>
    <w:rsid w:val="00867A39"/>
    <w:rsid w:val="0087221D"/>
    <w:rsid w:val="00873C6B"/>
    <w:rsid w:val="00876A02"/>
    <w:rsid w:val="00891FDF"/>
    <w:rsid w:val="008925BB"/>
    <w:rsid w:val="008932D9"/>
    <w:rsid w:val="008A3254"/>
    <w:rsid w:val="008A69CA"/>
    <w:rsid w:val="008B0BBF"/>
    <w:rsid w:val="008B769B"/>
    <w:rsid w:val="008C1BE9"/>
    <w:rsid w:val="008C34B0"/>
    <w:rsid w:val="008C5284"/>
    <w:rsid w:val="008C6674"/>
    <w:rsid w:val="008D5A62"/>
    <w:rsid w:val="008D5EBA"/>
    <w:rsid w:val="008D7D3D"/>
    <w:rsid w:val="008E297E"/>
    <w:rsid w:val="008E2C41"/>
    <w:rsid w:val="008E43A3"/>
    <w:rsid w:val="008F1DED"/>
    <w:rsid w:val="008F39E0"/>
    <w:rsid w:val="008F4293"/>
    <w:rsid w:val="00904980"/>
    <w:rsid w:val="009074EB"/>
    <w:rsid w:val="00907905"/>
    <w:rsid w:val="00910B13"/>
    <w:rsid w:val="00923AB3"/>
    <w:rsid w:val="0092440D"/>
    <w:rsid w:val="00925506"/>
    <w:rsid w:val="0092732B"/>
    <w:rsid w:val="00930F5B"/>
    <w:rsid w:val="00936848"/>
    <w:rsid w:val="00941F39"/>
    <w:rsid w:val="00944027"/>
    <w:rsid w:val="00945867"/>
    <w:rsid w:val="00945D21"/>
    <w:rsid w:val="009479D4"/>
    <w:rsid w:val="009516F9"/>
    <w:rsid w:val="0095213D"/>
    <w:rsid w:val="00952ABF"/>
    <w:rsid w:val="00956AA4"/>
    <w:rsid w:val="00962E78"/>
    <w:rsid w:val="009652C3"/>
    <w:rsid w:val="00965C5B"/>
    <w:rsid w:val="00966F9B"/>
    <w:rsid w:val="00967698"/>
    <w:rsid w:val="00971829"/>
    <w:rsid w:val="00972688"/>
    <w:rsid w:val="00973ADE"/>
    <w:rsid w:val="00981E54"/>
    <w:rsid w:val="00982B16"/>
    <w:rsid w:val="00984724"/>
    <w:rsid w:val="0099096D"/>
    <w:rsid w:val="0099219B"/>
    <w:rsid w:val="009963D3"/>
    <w:rsid w:val="00996BE3"/>
    <w:rsid w:val="009A0A08"/>
    <w:rsid w:val="009A0E49"/>
    <w:rsid w:val="009A251B"/>
    <w:rsid w:val="009A2A84"/>
    <w:rsid w:val="009A3A12"/>
    <w:rsid w:val="009A7A52"/>
    <w:rsid w:val="009B2098"/>
    <w:rsid w:val="009B26AB"/>
    <w:rsid w:val="009B2715"/>
    <w:rsid w:val="009B344F"/>
    <w:rsid w:val="009B36B9"/>
    <w:rsid w:val="009B4BA6"/>
    <w:rsid w:val="009D1C90"/>
    <w:rsid w:val="009E0D9F"/>
    <w:rsid w:val="009E17E8"/>
    <w:rsid w:val="009E5B56"/>
    <w:rsid w:val="009F260C"/>
    <w:rsid w:val="009F39D1"/>
    <w:rsid w:val="009F4DEE"/>
    <w:rsid w:val="009F5B2B"/>
    <w:rsid w:val="00A12F71"/>
    <w:rsid w:val="00A2053F"/>
    <w:rsid w:val="00A22E58"/>
    <w:rsid w:val="00A24EDC"/>
    <w:rsid w:val="00A264E8"/>
    <w:rsid w:val="00A317F9"/>
    <w:rsid w:val="00A337F4"/>
    <w:rsid w:val="00A33DBB"/>
    <w:rsid w:val="00A34CD0"/>
    <w:rsid w:val="00A36A8A"/>
    <w:rsid w:val="00A41A3B"/>
    <w:rsid w:val="00A42E2F"/>
    <w:rsid w:val="00A43E31"/>
    <w:rsid w:val="00A453E5"/>
    <w:rsid w:val="00A47ABA"/>
    <w:rsid w:val="00A5031B"/>
    <w:rsid w:val="00A51D88"/>
    <w:rsid w:val="00A529B5"/>
    <w:rsid w:val="00A576E9"/>
    <w:rsid w:val="00A61AEB"/>
    <w:rsid w:val="00A634A7"/>
    <w:rsid w:val="00A678B7"/>
    <w:rsid w:val="00A73D9D"/>
    <w:rsid w:val="00A74929"/>
    <w:rsid w:val="00A75C14"/>
    <w:rsid w:val="00A8026C"/>
    <w:rsid w:val="00A80303"/>
    <w:rsid w:val="00A82B57"/>
    <w:rsid w:val="00A8392A"/>
    <w:rsid w:val="00A84983"/>
    <w:rsid w:val="00A90DCF"/>
    <w:rsid w:val="00A913B4"/>
    <w:rsid w:val="00A91827"/>
    <w:rsid w:val="00A91CA7"/>
    <w:rsid w:val="00A95DD1"/>
    <w:rsid w:val="00A97D7F"/>
    <w:rsid w:val="00AA2E84"/>
    <w:rsid w:val="00AA41A2"/>
    <w:rsid w:val="00AB0C7A"/>
    <w:rsid w:val="00AB5E4B"/>
    <w:rsid w:val="00AB60C2"/>
    <w:rsid w:val="00AC38FC"/>
    <w:rsid w:val="00AC5B19"/>
    <w:rsid w:val="00AD0313"/>
    <w:rsid w:val="00AD3C39"/>
    <w:rsid w:val="00AD4E98"/>
    <w:rsid w:val="00AD5375"/>
    <w:rsid w:val="00AD665C"/>
    <w:rsid w:val="00AE0479"/>
    <w:rsid w:val="00AE1CB6"/>
    <w:rsid w:val="00AE3803"/>
    <w:rsid w:val="00AE4A2D"/>
    <w:rsid w:val="00AE5CA3"/>
    <w:rsid w:val="00AF006D"/>
    <w:rsid w:val="00B03EDE"/>
    <w:rsid w:val="00B101A9"/>
    <w:rsid w:val="00B12743"/>
    <w:rsid w:val="00B17A59"/>
    <w:rsid w:val="00B2036F"/>
    <w:rsid w:val="00B27233"/>
    <w:rsid w:val="00B277F8"/>
    <w:rsid w:val="00B32716"/>
    <w:rsid w:val="00B33947"/>
    <w:rsid w:val="00B34816"/>
    <w:rsid w:val="00B4067D"/>
    <w:rsid w:val="00B417F8"/>
    <w:rsid w:val="00B4237E"/>
    <w:rsid w:val="00B42BA0"/>
    <w:rsid w:val="00B43BFA"/>
    <w:rsid w:val="00B47F25"/>
    <w:rsid w:val="00B5003B"/>
    <w:rsid w:val="00B521EC"/>
    <w:rsid w:val="00B55179"/>
    <w:rsid w:val="00B551F0"/>
    <w:rsid w:val="00B56BC1"/>
    <w:rsid w:val="00B57103"/>
    <w:rsid w:val="00B6798C"/>
    <w:rsid w:val="00B71C2B"/>
    <w:rsid w:val="00B71EEE"/>
    <w:rsid w:val="00B72741"/>
    <w:rsid w:val="00B7344D"/>
    <w:rsid w:val="00B77C41"/>
    <w:rsid w:val="00B81F0D"/>
    <w:rsid w:val="00B82895"/>
    <w:rsid w:val="00B828E2"/>
    <w:rsid w:val="00B86D0D"/>
    <w:rsid w:val="00B87EFC"/>
    <w:rsid w:val="00B92FBC"/>
    <w:rsid w:val="00B946CE"/>
    <w:rsid w:val="00BA012E"/>
    <w:rsid w:val="00BA0ACE"/>
    <w:rsid w:val="00BA0B7F"/>
    <w:rsid w:val="00BA6085"/>
    <w:rsid w:val="00BB11FD"/>
    <w:rsid w:val="00BB2B58"/>
    <w:rsid w:val="00BB38FC"/>
    <w:rsid w:val="00BB56EF"/>
    <w:rsid w:val="00BB634D"/>
    <w:rsid w:val="00BB69EF"/>
    <w:rsid w:val="00BB6CFF"/>
    <w:rsid w:val="00BC4DCF"/>
    <w:rsid w:val="00BD3344"/>
    <w:rsid w:val="00BE42E0"/>
    <w:rsid w:val="00BE4B33"/>
    <w:rsid w:val="00BE4C73"/>
    <w:rsid w:val="00BE53A0"/>
    <w:rsid w:val="00BF01A6"/>
    <w:rsid w:val="00BF0DC4"/>
    <w:rsid w:val="00BF14ED"/>
    <w:rsid w:val="00BF19D2"/>
    <w:rsid w:val="00BF6339"/>
    <w:rsid w:val="00BF7779"/>
    <w:rsid w:val="00C00510"/>
    <w:rsid w:val="00C00E84"/>
    <w:rsid w:val="00C03811"/>
    <w:rsid w:val="00C1189C"/>
    <w:rsid w:val="00C1322E"/>
    <w:rsid w:val="00C1369F"/>
    <w:rsid w:val="00C168C8"/>
    <w:rsid w:val="00C2133C"/>
    <w:rsid w:val="00C22667"/>
    <w:rsid w:val="00C279D8"/>
    <w:rsid w:val="00C34B10"/>
    <w:rsid w:val="00C364E1"/>
    <w:rsid w:val="00C36852"/>
    <w:rsid w:val="00C36AE4"/>
    <w:rsid w:val="00C37911"/>
    <w:rsid w:val="00C46B84"/>
    <w:rsid w:val="00C47841"/>
    <w:rsid w:val="00C51A56"/>
    <w:rsid w:val="00C52888"/>
    <w:rsid w:val="00C564D6"/>
    <w:rsid w:val="00C56DA6"/>
    <w:rsid w:val="00C64CF8"/>
    <w:rsid w:val="00C7224B"/>
    <w:rsid w:val="00C73B3A"/>
    <w:rsid w:val="00C73DBF"/>
    <w:rsid w:val="00C74A96"/>
    <w:rsid w:val="00C74DBD"/>
    <w:rsid w:val="00C80072"/>
    <w:rsid w:val="00C80FA7"/>
    <w:rsid w:val="00C87E36"/>
    <w:rsid w:val="00C907D1"/>
    <w:rsid w:val="00C94730"/>
    <w:rsid w:val="00C947E1"/>
    <w:rsid w:val="00CA3BE5"/>
    <w:rsid w:val="00CB6000"/>
    <w:rsid w:val="00CB6D50"/>
    <w:rsid w:val="00CB7AF4"/>
    <w:rsid w:val="00CC1B6B"/>
    <w:rsid w:val="00CC1F76"/>
    <w:rsid w:val="00CC2651"/>
    <w:rsid w:val="00CC2BDA"/>
    <w:rsid w:val="00CC5EC2"/>
    <w:rsid w:val="00CD26E0"/>
    <w:rsid w:val="00CD2FD3"/>
    <w:rsid w:val="00CD5BCE"/>
    <w:rsid w:val="00CD65D7"/>
    <w:rsid w:val="00CE5D6E"/>
    <w:rsid w:val="00CF424A"/>
    <w:rsid w:val="00CF4448"/>
    <w:rsid w:val="00D010F5"/>
    <w:rsid w:val="00D03B35"/>
    <w:rsid w:val="00D03E52"/>
    <w:rsid w:val="00D03F96"/>
    <w:rsid w:val="00D05E39"/>
    <w:rsid w:val="00D10A34"/>
    <w:rsid w:val="00D14FE6"/>
    <w:rsid w:val="00D203DC"/>
    <w:rsid w:val="00D20D13"/>
    <w:rsid w:val="00D217BD"/>
    <w:rsid w:val="00D25FE2"/>
    <w:rsid w:val="00D34C71"/>
    <w:rsid w:val="00D3577B"/>
    <w:rsid w:val="00D357A4"/>
    <w:rsid w:val="00D3649E"/>
    <w:rsid w:val="00D40B5B"/>
    <w:rsid w:val="00D44317"/>
    <w:rsid w:val="00D45413"/>
    <w:rsid w:val="00D510C5"/>
    <w:rsid w:val="00D6284F"/>
    <w:rsid w:val="00D630DD"/>
    <w:rsid w:val="00D633C2"/>
    <w:rsid w:val="00D64369"/>
    <w:rsid w:val="00D6464E"/>
    <w:rsid w:val="00D66AF5"/>
    <w:rsid w:val="00D67306"/>
    <w:rsid w:val="00D71B3E"/>
    <w:rsid w:val="00D73E54"/>
    <w:rsid w:val="00D73F44"/>
    <w:rsid w:val="00D761B6"/>
    <w:rsid w:val="00D8789F"/>
    <w:rsid w:val="00D939D4"/>
    <w:rsid w:val="00D96384"/>
    <w:rsid w:val="00DA0579"/>
    <w:rsid w:val="00DA0D89"/>
    <w:rsid w:val="00DA1AC0"/>
    <w:rsid w:val="00DA6CBB"/>
    <w:rsid w:val="00DB03AC"/>
    <w:rsid w:val="00DB0B40"/>
    <w:rsid w:val="00DB249D"/>
    <w:rsid w:val="00DB4E91"/>
    <w:rsid w:val="00DB5B84"/>
    <w:rsid w:val="00DC010D"/>
    <w:rsid w:val="00DC17E4"/>
    <w:rsid w:val="00DC6085"/>
    <w:rsid w:val="00DC6164"/>
    <w:rsid w:val="00DC7952"/>
    <w:rsid w:val="00DD04D3"/>
    <w:rsid w:val="00DD0E57"/>
    <w:rsid w:val="00DD17F4"/>
    <w:rsid w:val="00DD1C73"/>
    <w:rsid w:val="00DD3AA6"/>
    <w:rsid w:val="00DD634D"/>
    <w:rsid w:val="00DD74A1"/>
    <w:rsid w:val="00DD75BC"/>
    <w:rsid w:val="00DE71E3"/>
    <w:rsid w:val="00DF7441"/>
    <w:rsid w:val="00E0050F"/>
    <w:rsid w:val="00E03817"/>
    <w:rsid w:val="00E105B8"/>
    <w:rsid w:val="00E209FC"/>
    <w:rsid w:val="00E22215"/>
    <w:rsid w:val="00E22D3A"/>
    <w:rsid w:val="00E2314B"/>
    <w:rsid w:val="00E25C61"/>
    <w:rsid w:val="00E26F6D"/>
    <w:rsid w:val="00E3153D"/>
    <w:rsid w:val="00E3269B"/>
    <w:rsid w:val="00E35B9A"/>
    <w:rsid w:val="00E467CC"/>
    <w:rsid w:val="00E46B98"/>
    <w:rsid w:val="00E47885"/>
    <w:rsid w:val="00E57B89"/>
    <w:rsid w:val="00E61D50"/>
    <w:rsid w:val="00E622A3"/>
    <w:rsid w:val="00E62F3C"/>
    <w:rsid w:val="00E6681D"/>
    <w:rsid w:val="00E757AD"/>
    <w:rsid w:val="00E75DFF"/>
    <w:rsid w:val="00E76B08"/>
    <w:rsid w:val="00E855F1"/>
    <w:rsid w:val="00E94537"/>
    <w:rsid w:val="00EA14B2"/>
    <w:rsid w:val="00EA27C0"/>
    <w:rsid w:val="00EA4AE7"/>
    <w:rsid w:val="00EA5DCF"/>
    <w:rsid w:val="00EB0747"/>
    <w:rsid w:val="00EB1B1E"/>
    <w:rsid w:val="00EB4AF9"/>
    <w:rsid w:val="00EB7457"/>
    <w:rsid w:val="00EC428A"/>
    <w:rsid w:val="00ED02A5"/>
    <w:rsid w:val="00ED178F"/>
    <w:rsid w:val="00ED3B02"/>
    <w:rsid w:val="00ED6701"/>
    <w:rsid w:val="00EE1ABB"/>
    <w:rsid w:val="00EF280E"/>
    <w:rsid w:val="00EF398E"/>
    <w:rsid w:val="00EF3E5E"/>
    <w:rsid w:val="00EF4A9A"/>
    <w:rsid w:val="00EF4CB0"/>
    <w:rsid w:val="00EF5A78"/>
    <w:rsid w:val="00EF62C1"/>
    <w:rsid w:val="00EF69E9"/>
    <w:rsid w:val="00EF7D1F"/>
    <w:rsid w:val="00F01FA0"/>
    <w:rsid w:val="00F01FB7"/>
    <w:rsid w:val="00F03133"/>
    <w:rsid w:val="00F10308"/>
    <w:rsid w:val="00F12D2E"/>
    <w:rsid w:val="00F14BF0"/>
    <w:rsid w:val="00F1564B"/>
    <w:rsid w:val="00F20BDB"/>
    <w:rsid w:val="00F22CFF"/>
    <w:rsid w:val="00F34C9F"/>
    <w:rsid w:val="00F44094"/>
    <w:rsid w:val="00F44F10"/>
    <w:rsid w:val="00F46B4A"/>
    <w:rsid w:val="00F53043"/>
    <w:rsid w:val="00F61026"/>
    <w:rsid w:val="00F617A9"/>
    <w:rsid w:val="00F61E1B"/>
    <w:rsid w:val="00F650C8"/>
    <w:rsid w:val="00F744E2"/>
    <w:rsid w:val="00F74A11"/>
    <w:rsid w:val="00F8606B"/>
    <w:rsid w:val="00F90699"/>
    <w:rsid w:val="00F91C44"/>
    <w:rsid w:val="00F9206D"/>
    <w:rsid w:val="00F94E63"/>
    <w:rsid w:val="00F96491"/>
    <w:rsid w:val="00FA4EB0"/>
    <w:rsid w:val="00FA56B0"/>
    <w:rsid w:val="00FA7448"/>
    <w:rsid w:val="00FA74D3"/>
    <w:rsid w:val="00FB1090"/>
    <w:rsid w:val="00FB170C"/>
    <w:rsid w:val="00FC601F"/>
    <w:rsid w:val="00FC7A26"/>
    <w:rsid w:val="00FD1F42"/>
    <w:rsid w:val="00FD61F9"/>
    <w:rsid w:val="00FD6E21"/>
    <w:rsid w:val="00FE5B29"/>
    <w:rsid w:val="00FE6964"/>
    <w:rsid w:val="00FF434E"/>
    <w:rsid w:val="00FF7945"/>
    <w:rsid w:val="0EEAB1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E1C2"/>
  <w15:chartTrackingRefBased/>
  <w15:docId w15:val="{FEECCA3C-1AAD-429B-B708-4AF2616F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3153D"/>
    <w:pPr>
      <w:spacing w:after="0" w:line="240" w:lineRule="auto"/>
    </w:pPr>
    <w:rPr>
      <w:rFonts w:ascii="Times New Roman" w:hAnsi="Times New Roman" w:eastAsia="Times New Roman" w:cs="Times New Roman"/>
      <w:sz w:val="20"/>
      <w:szCs w:val="20"/>
      <w:lang w:eastAsia="es-E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B03EDE"/>
    <w:pPr>
      <w:tabs>
        <w:tab w:val="center" w:pos="4419"/>
        <w:tab w:val="right" w:pos="8838"/>
      </w:tabs>
    </w:pPr>
  </w:style>
  <w:style w:type="character" w:styleId="EncabezadoCar" w:customStyle="1">
    <w:name w:val="Encabezado Car"/>
    <w:basedOn w:val="Fuentedeprrafopredeter"/>
    <w:link w:val="Encabezado"/>
    <w:uiPriority w:val="99"/>
    <w:rsid w:val="00B03EDE"/>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styleId="PiedepginaCar" w:customStyle="1">
    <w:name w:val="Pie de página Car"/>
    <w:basedOn w:val="Fuentedeprrafopredeter"/>
    <w:link w:val="Piedepgina"/>
    <w:uiPriority w:val="99"/>
    <w:rsid w:val="00B03EDE"/>
    <w:rPr>
      <w:rFonts w:ascii="Times New Roman" w:hAnsi="Times New Roman" w:eastAsia="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qFormat/>
    <w:rsid w:val="00B03ED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n">
    <w:name w:val="Revision"/>
    <w:hidden/>
    <w:uiPriority w:val="99"/>
    <w:semiHidden/>
    <w:rsid w:val="00256424"/>
    <w:pPr>
      <w:spacing w:after="0" w:line="240" w:lineRule="auto"/>
    </w:pPr>
    <w:rPr>
      <w:rFonts w:ascii="Times New Roman" w:hAnsi="Times New Roman" w:eastAsia="Times New Roman" w:cs="Times New Roman"/>
      <w:sz w:val="20"/>
      <w:szCs w:val="20"/>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styleId="SaludoCar" w:customStyle="1">
    <w:name w:val="Saludo Car"/>
    <w:basedOn w:val="Fuentedeprrafopredeter"/>
    <w:link w:val="Saludo"/>
    <w:uiPriority w:val="99"/>
    <w:rsid w:val="00443F40"/>
    <w:rPr>
      <w:rFonts w:ascii="Times New Roman" w:hAnsi="Times New Roman" w:eastAsia="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styleId="TextoindependienteCar" w:customStyle="1">
    <w:name w:val="Texto independiente Car"/>
    <w:basedOn w:val="Fuentedeprrafopredeter"/>
    <w:link w:val="Textoindependiente"/>
    <w:uiPriority w:val="99"/>
    <w:rsid w:val="00443F40"/>
    <w:rPr>
      <w:rFonts w:ascii="Times New Roman" w:hAnsi="Times New Roman"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styleId="SangradetextonormalCar" w:customStyle="1">
    <w:name w:val="Sangría de texto normal Car"/>
    <w:basedOn w:val="Fuentedeprrafopredeter"/>
    <w:link w:val="Sangradetextonormal"/>
    <w:uiPriority w:val="99"/>
    <w:semiHidden/>
    <w:rsid w:val="00443F40"/>
    <w:rPr>
      <w:rFonts w:ascii="Times New Roman" w:hAnsi="Times New Roman" w:eastAsia="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443F40"/>
    <w:rPr>
      <w:rFonts w:ascii="Times New Roman" w:hAnsi="Times New Roman" w:eastAsia="Times New Roman" w:cs="Times New Roman"/>
      <w:sz w:val="20"/>
      <w:szCs w:val="20"/>
      <w:lang w:eastAsia="es-ES"/>
    </w:rPr>
  </w:style>
  <w:style w:type="character" w:styleId="Mencinsinresolver1" w:customStyle="1">
    <w:name w:val="Mención sin resolver1"/>
    <w:basedOn w:val="Fuentedeprrafopredeter"/>
    <w:uiPriority w:val="99"/>
    <w:semiHidden/>
    <w:unhideWhenUsed/>
    <w:rsid w:val="00E22215"/>
    <w:rPr>
      <w:color w:val="605E5C"/>
      <w:shd w:val="clear" w:color="auto" w:fill="E1DFDD"/>
    </w:rPr>
  </w:style>
  <w:style w:type="paragraph" w:styleId="Textonotaalfinal">
    <w:name w:val="endnote text"/>
    <w:basedOn w:val="Normal"/>
    <w:link w:val="TextonotaalfinalCar"/>
    <w:uiPriority w:val="99"/>
    <w:semiHidden/>
    <w:unhideWhenUsed/>
    <w:rsid w:val="006140C5"/>
  </w:style>
  <w:style w:type="character" w:styleId="TextonotaalfinalCar" w:customStyle="1">
    <w:name w:val="Texto nota al final Car"/>
    <w:basedOn w:val="Fuentedeprrafopredeter"/>
    <w:link w:val="Textonotaalfinal"/>
    <w:uiPriority w:val="99"/>
    <w:semiHidden/>
    <w:rsid w:val="006140C5"/>
    <w:rPr>
      <w:rFonts w:ascii="Times New Roman" w:hAnsi="Times New Roman" w:eastAsia="Times New Roman" w:cs="Times New Roman"/>
      <w:sz w:val="20"/>
      <w:szCs w:val="20"/>
      <w:lang w:eastAsia="es-ES"/>
    </w:rPr>
  </w:style>
  <w:style w:type="character" w:styleId="Refdenotaalfinal">
    <w:name w:val="endnote reference"/>
    <w:basedOn w:val="Fuentedeprrafopredeter"/>
    <w:uiPriority w:val="99"/>
    <w:semiHidden/>
    <w:unhideWhenUsed/>
    <w:rsid w:val="006140C5"/>
    <w:rPr>
      <w:vertAlign w:val="superscript"/>
    </w:rPr>
  </w:style>
  <w:style w:type="character" w:styleId="Mencinsinresolver2" w:customStyle="1">
    <w:name w:val="Mención sin resolver2"/>
    <w:basedOn w:val="Fuentedeprrafopredeter"/>
    <w:uiPriority w:val="99"/>
    <w:semiHidden/>
    <w:unhideWhenUsed/>
    <w:rsid w:val="005A44A9"/>
    <w:rPr>
      <w:color w:val="605E5C"/>
      <w:shd w:val="clear" w:color="auto" w:fill="E1DFDD"/>
    </w:rPr>
  </w:style>
  <w:style w:type="character" w:styleId="Refdecomentario">
    <w:name w:val="annotation reference"/>
    <w:basedOn w:val="Fuentedeprrafopredeter"/>
    <w:uiPriority w:val="99"/>
    <w:semiHidden/>
    <w:unhideWhenUsed/>
    <w:rsid w:val="007E5697"/>
    <w:rPr>
      <w:sz w:val="16"/>
      <w:szCs w:val="16"/>
    </w:rPr>
  </w:style>
  <w:style w:type="paragraph" w:styleId="Textocomentario">
    <w:name w:val="annotation text"/>
    <w:basedOn w:val="Normal"/>
    <w:link w:val="TextocomentarioCar"/>
    <w:uiPriority w:val="99"/>
    <w:semiHidden/>
    <w:unhideWhenUsed/>
    <w:rsid w:val="007E5697"/>
  </w:style>
  <w:style w:type="character" w:styleId="TextocomentarioCar" w:customStyle="1">
    <w:name w:val="Texto comentario Car"/>
    <w:basedOn w:val="Fuentedeprrafopredeter"/>
    <w:link w:val="Textocomentario"/>
    <w:uiPriority w:val="99"/>
    <w:semiHidden/>
    <w:rsid w:val="007E5697"/>
    <w:rPr>
      <w:rFonts w:ascii="Times New Roman" w:hAnsi="Times New Roman"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5697"/>
    <w:rPr>
      <w:b/>
      <w:bCs/>
    </w:rPr>
  </w:style>
  <w:style w:type="character" w:styleId="AsuntodelcomentarioCar" w:customStyle="1">
    <w:name w:val="Asunto del comentario Car"/>
    <w:basedOn w:val="TextocomentarioCar"/>
    <w:link w:val="Asuntodelcomentario"/>
    <w:uiPriority w:val="99"/>
    <w:semiHidden/>
    <w:rsid w:val="007E5697"/>
    <w:rPr>
      <w:rFonts w:ascii="Times New Roman" w:hAnsi="Times New Roman" w:eastAsia="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80244">
      <w:bodyDiv w:val="1"/>
      <w:marLeft w:val="0"/>
      <w:marRight w:val="0"/>
      <w:marTop w:val="0"/>
      <w:marBottom w:val="0"/>
      <w:divBdr>
        <w:top w:val="none" w:sz="0" w:space="0" w:color="auto"/>
        <w:left w:val="none" w:sz="0" w:space="0" w:color="auto"/>
        <w:bottom w:val="none" w:sz="0" w:space="0" w:color="auto"/>
        <w:right w:val="none" w:sz="0" w:space="0" w:color="auto"/>
      </w:divBdr>
    </w:div>
    <w:div w:id="326636063">
      <w:bodyDiv w:val="1"/>
      <w:marLeft w:val="0"/>
      <w:marRight w:val="0"/>
      <w:marTop w:val="0"/>
      <w:marBottom w:val="0"/>
      <w:divBdr>
        <w:top w:val="none" w:sz="0" w:space="0" w:color="auto"/>
        <w:left w:val="none" w:sz="0" w:space="0" w:color="auto"/>
        <w:bottom w:val="none" w:sz="0" w:space="0" w:color="auto"/>
        <w:right w:val="none" w:sz="0" w:space="0" w:color="auto"/>
      </w:divBdr>
    </w:div>
    <w:div w:id="543567554">
      <w:bodyDiv w:val="1"/>
      <w:marLeft w:val="0"/>
      <w:marRight w:val="0"/>
      <w:marTop w:val="0"/>
      <w:marBottom w:val="0"/>
      <w:divBdr>
        <w:top w:val="none" w:sz="0" w:space="0" w:color="auto"/>
        <w:left w:val="none" w:sz="0" w:space="0" w:color="auto"/>
        <w:bottom w:val="none" w:sz="0" w:space="0" w:color="auto"/>
        <w:right w:val="none" w:sz="0" w:space="0" w:color="auto"/>
      </w:divBdr>
    </w:div>
    <w:div w:id="584340133">
      <w:bodyDiv w:val="1"/>
      <w:marLeft w:val="0"/>
      <w:marRight w:val="0"/>
      <w:marTop w:val="0"/>
      <w:marBottom w:val="0"/>
      <w:divBdr>
        <w:top w:val="none" w:sz="0" w:space="0" w:color="auto"/>
        <w:left w:val="none" w:sz="0" w:space="0" w:color="auto"/>
        <w:bottom w:val="none" w:sz="0" w:space="0" w:color="auto"/>
        <w:right w:val="none" w:sz="0" w:space="0" w:color="auto"/>
      </w:divBdr>
    </w:div>
    <w:div w:id="649485715">
      <w:bodyDiv w:val="1"/>
      <w:marLeft w:val="0"/>
      <w:marRight w:val="0"/>
      <w:marTop w:val="0"/>
      <w:marBottom w:val="0"/>
      <w:divBdr>
        <w:top w:val="none" w:sz="0" w:space="0" w:color="auto"/>
        <w:left w:val="none" w:sz="0" w:space="0" w:color="auto"/>
        <w:bottom w:val="none" w:sz="0" w:space="0" w:color="auto"/>
        <w:right w:val="none" w:sz="0" w:space="0" w:color="auto"/>
      </w:divBdr>
    </w:div>
    <w:div w:id="692193070">
      <w:bodyDiv w:val="1"/>
      <w:marLeft w:val="0"/>
      <w:marRight w:val="0"/>
      <w:marTop w:val="0"/>
      <w:marBottom w:val="0"/>
      <w:divBdr>
        <w:top w:val="none" w:sz="0" w:space="0" w:color="auto"/>
        <w:left w:val="none" w:sz="0" w:space="0" w:color="auto"/>
        <w:bottom w:val="none" w:sz="0" w:space="0" w:color="auto"/>
        <w:right w:val="none" w:sz="0" w:space="0" w:color="auto"/>
      </w:divBdr>
    </w:div>
    <w:div w:id="873809006">
      <w:bodyDiv w:val="1"/>
      <w:marLeft w:val="0"/>
      <w:marRight w:val="0"/>
      <w:marTop w:val="0"/>
      <w:marBottom w:val="0"/>
      <w:divBdr>
        <w:top w:val="none" w:sz="0" w:space="0" w:color="auto"/>
        <w:left w:val="none" w:sz="0" w:space="0" w:color="auto"/>
        <w:bottom w:val="none" w:sz="0" w:space="0" w:color="auto"/>
        <w:right w:val="none" w:sz="0" w:space="0" w:color="auto"/>
      </w:divBdr>
    </w:div>
    <w:div w:id="1017199365">
      <w:bodyDiv w:val="1"/>
      <w:marLeft w:val="0"/>
      <w:marRight w:val="0"/>
      <w:marTop w:val="0"/>
      <w:marBottom w:val="0"/>
      <w:divBdr>
        <w:top w:val="none" w:sz="0" w:space="0" w:color="auto"/>
        <w:left w:val="none" w:sz="0" w:space="0" w:color="auto"/>
        <w:bottom w:val="none" w:sz="0" w:space="0" w:color="auto"/>
        <w:right w:val="none" w:sz="0" w:space="0" w:color="auto"/>
      </w:divBdr>
    </w:div>
    <w:div w:id="1066682964">
      <w:bodyDiv w:val="1"/>
      <w:marLeft w:val="0"/>
      <w:marRight w:val="0"/>
      <w:marTop w:val="0"/>
      <w:marBottom w:val="0"/>
      <w:divBdr>
        <w:top w:val="none" w:sz="0" w:space="0" w:color="auto"/>
        <w:left w:val="none" w:sz="0" w:space="0" w:color="auto"/>
        <w:bottom w:val="none" w:sz="0" w:space="0" w:color="auto"/>
        <w:right w:val="none" w:sz="0" w:space="0" w:color="auto"/>
      </w:divBdr>
    </w:div>
    <w:div w:id="1113281724">
      <w:bodyDiv w:val="1"/>
      <w:marLeft w:val="0"/>
      <w:marRight w:val="0"/>
      <w:marTop w:val="0"/>
      <w:marBottom w:val="0"/>
      <w:divBdr>
        <w:top w:val="none" w:sz="0" w:space="0" w:color="auto"/>
        <w:left w:val="none" w:sz="0" w:space="0" w:color="auto"/>
        <w:bottom w:val="none" w:sz="0" w:space="0" w:color="auto"/>
        <w:right w:val="none" w:sz="0" w:space="0" w:color="auto"/>
      </w:divBdr>
    </w:div>
    <w:div w:id="1143422118">
      <w:bodyDiv w:val="1"/>
      <w:marLeft w:val="0"/>
      <w:marRight w:val="0"/>
      <w:marTop w:val="0"/>
      <w:marBottom w:val="0"/>
      <w:divBdr>
        <w:top w:val="none" w:sz="0" w:space="0" w:color="auto"/>
        <w:left w:val="none" w:sz="0" w:space="0" w:color="auto"/>
        <w:bottom w:val="none" w:sz="0" w:space="0" w:color="auto"/>
        <w:right w:val="none" w:sz="0" w:space="0" w:color="auto"/>
      </w:divBdr>
    </w:div>
    <w:div w:id="1168014124">
      <w:bodyDiv w:val="1"/>
      <w:marLeft w:val="0"/>
      <w:marRight w:val="0"/>
      <w:marTop w:val="0"/>
      <w:marBottom w:val="0"/>
      <w:divBdr>
        <w:top w:val="none" w:sz="0" w:space="0" w:color="auto"/>
        <w:left w:val="none" w:sz="0" w:space="0" w:color="auto"/>
        <w:bottom w:val="none" w:sz="0" w:space="0" w:color="auto"/>
        <w:right w:val="none" w:sz="0" w:space="0" w:color="auto"/>
      </w:divBdr>
    </w:div>
    <w:div w:id="1257593460">
      <w:bodyDiv w:val="1"/>
      <w:marLeft w:val="0"/>
      <w:marRight w:val="0"/>
      <w:marTop w:val="0"/>
      <w:marBottom w:val="0"/>
      <w:divBdr>
        <w:top w:val="none" w:sz="0" w:space="0" w:color="auto"/>
        <w:left w:val="none" w:sz="0" w:space="0" w:color="auto"/>
        <w:bottom w:val="none" w:sz="0" w:space="0" w:color="auto"/>
        <w:right w:val="none" w:sz="0" w:space="0" w:color="auto"/>
      </w:divBdr>
    </w:div>
    <w:div w:id="1347367012">
      <w:bodyDiv w:val="1"/>
      <w:marLeft w:val="0"/>
      <w:marRight w:val="0"/>
      <w:marTop w:val="0"/>
      <w:marBottom w:val="0"/>
      <w:divBdr>
        <w:top w:val="none" w:sz="0" w:space="0" w:color="auto"/>
        <w:left w:val="none" w:sz="0" w:space="0" w:color="auto"/>
        <w:bottom w:val="none" w:sz="0" w:space="0" w:color="auto"/>
        <w:right w:val="none" w:sz="0" w:space="0" w:color="auto"/>
      </w:divBdr>
    </w:div>
    <w:div w:id="1392001297">
      <w:bodyDiv w:val="1"/>
      <w:marLeft w:val="0"/>
      <w:marRight w:val="0"/>
      <w:marTop w:val="0"/>
      <w:marBottom w:val="0"/>
      <w:divBdr>
        <w:top w:val="none" w:sz="0" w:space="0" w:color="auto"/>
        <w:left w:val="none" w:sz="0" w:space="0" w:color="auto"/>
        <w:bottom w:val="none" w:sz="0" w:space="0" w:color="auto"/>
        <w:right w:val="none" w:sz="0" w:space="0" w:color="auto"/>
      </w:divBdr>
    </w:div>
    <w:div w:id="1538350096">
      <w:bodyDiv w:val="1"/>
      <w:marLeft w:val="0"/>
      <w:marRight w:val="0"/>
      <w:marTop w:val="0"/>
      <w:marBottom w:val="0"/>
      <w:divBdr>
        <w:top w:val="none" w:sz="0" w:space="0" w:color="auto"/>
        <w:left w:val="none" w:sz="0" w:space="0" w:color="auto"/>
        <w:bottom w:val="none" w:sz="0" w:space="0" w:color="auto"/>
        <w:right w:val="none" w:sz="0" w:space="0" w:color="auto"/>
      </w:divBdr>
    </w:div>
    <w:div w:id="1664359493">
      <w:bodyDiv w:val="1"/>
      <w:marLeft w:val="0"/>
      <w:marRight w:val="0"/>
      <w:marTop w:val="0"/>
      <w:marBottom w:val="0"/>
      <w:divBdr>
        <w:top w:val="none" w:sz="0" w:space="0" w:color="auto"/>
        <w:left w:val="none" w:sz="0" w:space="0" w:color="auto"/>
        <w:bottom w:val="none" w:sz="0" w:space="0" w:color="auto"/>
        <w:right w:val="none" w:sz="0" w:space="0" w:color="auto"/>
      </w:divBdr>
    </w:div>
    <w:div w:id="20292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3.xml" Id="rId14" /><Relationship Type="http://schemas.openxmlformats.org/officeDocument/2006/relationships/glossaryDocument" Target="glossary/document.xml" Id="R1b7d64503f19470b"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31f5a33-90d0-4d76-9b0a-283d6f024dda}"/>
      </w:docPartPr>
      <w:docPartBody>
        <w:p w14:paraId="23DC33B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AD2FC-BC03-4C84-BC27-90E067B286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4</revision>
  <dcterms:created xsi:type="dcterms:W3CDTF">2022-05-04T21:11:00.0000000Z</dcterms:created>
  <dcterms:modified xsi:type="dcterms:W3CDTF">2022-05-20T16:36:41.0118120Z</dcterms:modified>
</coreProperties>
</file>