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Resolución del Pleno del Instituto de Transparencia, Acceso a la Información Pública y Protección de Datos Personales del Estado de México y Municipios, con domicilio en Metepec, Estado de México, a siete de abril de dos mil veintidós. </w:t>
      </w:r>
    </w:p>
    <w:p w:rsidR="00000000" w:rsidDel="00000000" w:rsidP="00000000" w:rsidRDefault="00000000" w:rsidRPr="00000000" w14:paraId="00000002">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VISTO</w:t>
      </w:r>
      <w:r w:rsidDel="00000000" w:rsidR="00000000" w:rsidRPr="00000000">
        <w:rPr>
          <w:rFonts w:ascii="Palatino Linotype" w:cs="Palatino Linotype" w:eastAsia="Palatino Linotype" w:hAnsi="Palatino Linotype"/>
          <w:rtl w:val="0"/>
        </w:rPr>
        <w:t xml:space="preserve"> el expediente formado con motivo del recurso de revisión </w:t>
      </w:r>
      <w:r w:rsidDel="00000000" w:rsidR="00000000" w:rsidRPr="00000000">
        <w:rPr>
          <w:rFonts w:ascii="Palatino Linotype" w:cs="Palatino Linotype" w:eastAsia="Palatino Linotype" w:hAnsi="Palatino Linotype"/>
          <w:b w:val="1"/>
          <w:rtl w:val="0"/>
        </w:rPr>
        <w:t xml:space="preserve">01024/INFOEM/IP/RR/2022</w:t>
      </w:r>
      <w:r w:rsidDel="00000000" w:rsidR="00000000" w:rsidRPr="00000000">
        <w:rPr>
          <w:rFonts w:ascii="Palatino Linotype" w:cs="Palatino Linotype" w:eastAsia="Palatino Linotype" w:hAnsi="Palatino Linotype"/>
          <w:rtl w:val="0"/>
        </w:rPr>
        <w:t xml:space="preserve">, interpuesto por </w:t>
      </w:r>
      <w:r w:rsidDel="00000000" w:rsidR="00000000" w:rsidRPr="00000000">
        <w:rPr>
          <w:rFonts w:ascii="Palatino Linotype" w:cs="Palatino Linotype" w:eastAsia="Palatino Linotype" w:hAnsi="Palatino Linotype"/>
          <w:b w:val="1"/>
          <w:rtl w:val="0"/>
        </w:rPr>
        <w:t xml:space="preserve">un particular que no proporcionó nombre o seudónimo,</w:t>
      </w:r>
      <w:r w:rsidDel="00000000" w:rsidR="00000000" w:rsidRPr="00000000">
        <w:rPr>
          <w:rFonts w:ascii="Palatino Linotype" w:cs="Palatino Linotype" w:eastAsia="Palatino Linotype" w:hAnsi="Palatino Linotype"/>
          <w:rtl w:val="0"/>
        </w:rPr>
        <w:t xml:space="preserve"> en lo sucesivo</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en contra de la respuesta a su solicitud por parte del </w:t>
      </w:r>
      <w:r w:rsidDel="00000000" w:rsidR="00000000" w:rsidRPr="00000000">
        <w:rPr>
          <w:rFonts w:ascii="Palatino Linotype" w:cs="Palatino Linotype" w:eastAsia="Palatino Linotype" w:hAnsi="Palatino Linotype"/>
          <w:b w:val="1"/>
          <w:rtl w:val="0"/>
        </w:rPr>
        <w:t xml:space="preserve">Ayuntamiento de Tequixquiac, </w:t>
      </w:r>
      <w:r w:rsidDel="00000000" w:rsidR="00000000" w:rsidRPr="00000000">
        <w:rPr>
          <w:rFonts w:ascii="Palatino Linotype" w:cs="Palatino Linotype" w:eastAsia="Palatino Linotype" w:hAnsi="Palatino Linotype"/>
          <w:rtl w:val="0"/>
        </w:rPr>
        <w:t xml:space="preserve">en lo sucesivo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se procede a dictar la presente resolución con base en los siguientes: </w:t>
      </w:r>
    </w:p>
    <w:p w:rsidR="00000000" w:rsidDel="00000000" w:rsidP="00000000" w:rsidRDefault="00000000" w:rsidRPr="00000000" w14:paraId="00000003">
      <w:pPr>
        <w:spacing w:after="240" w:before="240" w:line="36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I. A N T E C E D E N T E S</w:t>
      </w:r>
    </w:p>
    <w:p w:rsidR="00000000" w:rsidDel="00000000" w:rsidP="00000000" w:rsidRDefault="00000000" w:rsidRPr="00000000" w14:paraId="00000004">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1. Solicitud de acceso a la información.</w:t>
      </w:r>
      <w:r w:rsidDel="00000000" w:rsidR="00000000" w:rsidRPr="00000000">
        <w:rPr>
          <w:rFonts w:ascii="Palatino Linotype" w:cs="Palatino Linotype" w:eastAsia="Palatino Linotype" w:hAnsi="Palatino Linotype"/>
          <w:rtl w:val="0"/>
        </w:rPr>
        <w:t xml:space="preserve"> Con fecha </w:t>
      </w:r>
      <w:r w:rsidDel="00000000" w:rsidR="00000000" w:rsidRPr="00000000">
        <w:rPr>
          <w:rFonts w:ascii="Palatino Linotype" w:cs="Palatino Linotype" w:eastAsia="Palatino Linotype" w:hAnsi="Palatino Linotype"/>
          <w:b w:val="1"/>
          <w:rtl w:val="0"/>
        </w:rPr>
        <w:t xml:space="preserve">dieciséis de febrero de dos mil veintidós,</w:t>
      </w:r>
      <w:r w:rsidDel="00000000" w:rsidR="00000000" w:rsidRPr="00000000">
        <w:rPr>
          <w:rFonts w:ascii="Palatino Linotype" w:cs="Palatino Linotype" w:eastAsia="Palatino Linotype" w:hAnsi="Palatino Linotype"/>
          <w:rtl w:val="0"/>
        </w:rPr>
        <w:t xml:space="preserve"> la parte </w:t>
      </w:r>
      <w:r w:rsidDel="00000000" w:rsidR="00000000" w:rsidRPr="00000000">
        <w:rPr>
          <w:rFonts w:ascii="Palatino Linotype" w:cs="Palatino Linotype" w:eastAsia="Palatino Linotype" w:hAnsi="Palatino Linotype"/>
          <w:b w:val="1"/>
          <w:rtl w:val="0"/>
        </w:rPr>
        <w:t xml:space="preserve">Recurrente </w:t>
      </w:r>
      <w:r w:rsidDel="00000000" w:rsidR="00000000" w:rsidRPr="00000000">
        <w:rPr>
          <w:rFonts w:ascii="Palatino Linotype" w:cs="Palatino Linotype" w:eastAsia="Palatino Linotype" w:hAnsi="Palatino Linotype"/>
          <w:rtl w:val="0"/>
        </w:rPr>
        <w:t xml:space="preserve">presentó, través del Sistema de Acceso a la Información Mexiquense, en lo subsecuente el </w:t>
      </w:r>
      <w:r w:rsidDel="00000000" w:rsidR="00000000" w:rsidRPr="00000000">
        <w:rPr>
          <w:rFonts w:ascii="Palatino Linotype" w:cs="Palatino Linotype" w:eastAsia="Palatino Linotype" w:hAnsi="Palatino Linotype"/>
          <w:b w:val="1"/>
          <w:rtl w:val="0"/>
        </w:rPr>
        <w:t xml:space="preserve">SAIMEX,</w:t>
      </w:r>
      <w:r w:rsidDel="00000000" w:rsidR="00000000" w:rsidRPr="00000000">
        <w:rPr>
          <w:rFonts w:ascii="Palatino Linotype" w:cs="Palatino Linotype" w:eastAsia="Palatino Linotype" w:hAnsi="Palatino Linotype"/>
          <w:rtl w:val="0"/>
        </w:rPr>
        <w:t xml:space="preserve"> ante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la solicitud de acceso a la información pública, a la que se le asignó el número</w:t>
      </w:r>
      <w:r w:rsidDel="00000000" w:rsidR="00000000" w:rsidRPr="00000000">
        <w:rPr>
          <w:rFonts w:ascii="Palatino Linotype" w:cs="Palatino Linotype" w:eastAsia="Palatino Linotype" w:hAnsi="Palatino Linotype"/>
          <w:b w:val="1"/>
          <w:rtl w:val="0"/>
        </w:rPr>
        <w:t xml:space="preserve"> 00067/TEQUIXQU/IP/20222, </w:t>
      </w:r>
      <w:r w:rsidDel="00000000" w:rsidR="00000000" w:rsidRPr="00000000">
        <w:rPr>
          <w:rFonts w:ascii="Palatino Linotype" w:cs="Palatino Linotype" w:eastAsia="Palatino Linotype" w:hAnsi="Palatino Linotype"/>
          <w:rtl w:val="0"/>
        </w:rPr>
        <w:t xml:space="preserve">mediante la cual requirió la información siguiente: </w:t>
      </w:r>
    </w:p>
    <w:p w:rsidR="00000000" w:rsidDel="00000000" w:rsidP="00000000" w:rsidRDefault="00000000" w:rsidRPr="00000000" w14:paraId="00000005">
      <w:pPr>
        <w:spacing w:after="240" w:before="240" w:lineRule="auto"/>
        <w:ind w:left="851" w:right="902" w:firstLine="0"/>
        <w:jc w:val="both"/>
        <w:rPr>
          <w:rFonts w:ascii="Palatino Linotype" w:cs="Palatino Linotype" w:eastAsia="Palatino Linotype" w:hAnsi="Palatino Linotype"/>
          <w:b w:val="1"/>
          <w:i w:val="1"/>
          <w:sz w:val="22"/>
          <w:szCs w:val="22"/>
        </w:rPr>
      </w:pPr>
      <w:bookmarkStart w:colFirst="0" w:colLast="0" w:name="_heading=h.gjdgxs" w:id="0"/>
      <w:bookmarkEnd w:id="0"/>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u w:val="single"/>
          <w:rtl w:val="0"/>
        </w:rPr>
        <w:t xml:space="preserve">QUÉ RELACIÓN O PARENTESCO EXISTE</w:t>
      </w:r>
      <w:r w:rsidDel="00000000" w:rsidR="00000000" w:rsidRPr="00000000">
        <w:rPr>
          <w:rFonts w:ascii="Palatino Linotype" w:cs="Palatino Linotype" w:eastAsia="Palatino Linotype" w:hAnsi="Palatino Linotype"/>
          <w:i w:val="1"/>
          <w:sz w:val="22"/>
          <w:szCs w:val="22"/>
          <w:rtl w:val="0"/>
        </w:rPr>
        <w:t xml:space="preserve"> ENTRE LA REGIDORA LUCILA TREJO ROMERO Y LA SEÑORA XXXXXXX XXXXXXX XXXXXXXX?” (sic)</w:t>
      </w:r>
      <w:r w:rsidDel="00000000" w:rsidR="00000000" w:rsidRPr="00000000">
        <w:rPr>
          <w:rtl w:val="0"/>
        </w:rPr>
      </w:r>
    </w:p>
    <w:p w:rsidR="00000000" w:rsidDel="00000000" w:rsidP="00000000" w:rsidRDefault="00000000" w:rsidRPr="00000000" w14:paraId="00000006">
      <w:pPr>
        <w:spacing w:after="240" w:before="240" w:line="360" w:lineRule="auto"/>
        <w:ind w:right="90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no adjuntó archivos.</w:t>
      </w:r>
    </w:p>
    <w:p w:rsidR="00000000" w:rsidDel="00000000" w:rsidP="00000000" w:rsidRDefault="00000000" w:rsidRPr="00000000" w14:paraId="00000007">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Modalidad de Entrega:</w:t>
      </w:r>
      <w:r w:rsidDel="00000000" w:rsidR="00000000" w:rsidRPr="00000000">
        <w:rPr>
          <w:rFonts w:ascii="Palatino Linotype" w:cs="Palatino Linotype" w:eastAsia="Palatino Linotype" w:hAnsi="Palatino Linotype"/>
          <w:rtl w:val="0"/>
        </w:rPr>
        <w:t xml:space="preserve"> A través de SAIMEX.</w:t>
      </w:r>
    </w:p>
    <w:p w:rsidR="00000000" w:rsidDel="00000000" w:rsidP="00000000" w:rsidRDefault="00000000" w:rsidRPr="00000000" w14:paraId="00000008">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2. Respuesta. </w:t>
      </w:r>
      <w:r w:rsidDel="00000000" w:rsidR="00000000" w:rsidRPr="00000000">
        <w:rPr>
          <w:rFonts w:ascii="Palatino Linotype" w:cs="Palatino Linotype" w:eastAsia="Palatino Linotype" w:hAnsi="Palatino Linotype"/>
          <w:rtl w:val="0"/>
        </w:rPr>
        <w:t xml:space="preserve">Con fecha </w:t>
      </w:r>
      <w:r w:rsidDel="00000000" w:rsidR="00000000" w:rsidRPr="00000000">
        <w:rPr>
          <w:rFonts w:ascii="Palatino Linotype" w:cs="Palatino Linotype" w:eastAsia="Palatino Linotype" w:hAnsi="Palatino Linotype"/>
          <w:b w:val="1"/>
          <w:rtl w:val="0"/>
        </w:rPr>
        <w:t xml:space="preserve">diecinueve de febrero de dos mil veintidós</w:t>
      </w:r>
      <w:r w:rsidDel="00000000" w:rsidR="00000000" w:rsidRPr="00000000">
        <w:rPr>
          <w:rFonts w:ascii="Palatino Linotype" w:cs="Palatino Linotype" w:eastAsia="Palatino Linotype" w:hAnsi="Palatino Linotype"/>
          <w:rtl w:val="0"/>
        </w:rPr>
        <w:t xml:space="preserve">,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envió su respuesta a la solicitud de acceso a la información a través de SAIMEX, sustancialmente en los términos siguientes:   </w:t>
      </w:r>
      <w:r w:rsidDel="00000000" w:rsidR="00000000" w:rsidRPr="00000000">
        <w:rPr>
          <w:rtl w:val="0"/>
        </w:rPr>
      </w:r>
    </w:p>
    <w:p w:rsidR="00000000" w:rsidDel="00000000" w:rsidP="00000000" w:rsidRDefault="00000000" w:rsidRPr="00000000" w14:paraId="00000009">
      <w:pPr>
        <w:spacing w:after="240" w:before="24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“…después de una minuciosa en los archivos de esta Dirección le comento lo siguiente...” (sic)</w:t>
      </w:r>
    </w:p>
    <w:p w:rsidR="00000000" w:rsidDel="00000000" w:rsidP="00000000" w:rsidRDefault="00000000" w:rsidRPr="00000000" w14:paraId="0000000A">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adjuntó el archivo </w:t>
      </w:r>
      <w:r w:rsidDel="00000000" w:rsidR="00000000" w:rsidRPr="00000000">
        <w:rPr>
          <w:rFonts w:ascii="Palatino Linotype" w:cs="Palatino Linotype" w:eastAsia="Palatino Linotype" w:hAnsi="Palatino Linotype"/>
          <w:i w:val="1"/>
          <w:rtl w:val="0"/>
        </w:rPr>
        <w:t xml:space="preserve">“Solicitu 67.pdf”, </w:t>
      </w:r>
      <w:r w:rsidDel="00000000" w:rsidR="00000000" w:rsidRPr="00000000">
        <w:rPr>
          <w:rFonts w:ascii="Palatino Linotype" w:cs="Palatino Linotype" w:eastAsia="Palatino Linotype" w:hAnsi="Palatino Linotype"/>
          <w:rtl w:val="0"/>
        </w:rPr>
        <w:t xml:space="preserve"> que contiene el escrito de fecha diecinueve de febrero de dos mil veintidós, mediante el cual el Titular de la Unidad de Información hace del conocimiento del particular que lo requerido afecta los derechos fundamentales relativos a la dignidad y honor que tienen las personas a su reputación, buen nombre o fama que gozan ante los demás, encontrándose imposibilitado para revelar dicha información, pues a través del ejercicio otros de derechos no se puede dañar a una persona en su honor o en la estimación y confianza que los demás tienen de ella en el medio social en que se desenvuelve y que es en donde directamente repercute en su agravio. </w:t>
      </w:r>
    </w:p>
    <w:p w:rsidR="00000000" w:rsidDel="00000000" w:rsidP="00000000" w:rsidRDefault="00000000" w:rsidRPr="00000000" w14:paraId="0000000B">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Asimismo, informa al particular que </w:t>
      </w:r>
      <w:r w:rsidDel="00000000" w:rsidR="00000000" w:rsidRPr="00000000">
        <w:rPr>
          <w:rFonts w:ascii="Palatino Linotype" w:cs="Palatino Linotype" w:eastAsia="Palatino Linotype" w:hAnsi="Palatino Linotype"/>
          <w:b w:val="1"/>
          <w:u w:val="single"/>
          <w:rtl w:val="0"/>
        </w:rPr>
        <w:t xml:space="preserve">el derecho de acceso a la información no es la vía para atender lo requerido, al tratarse de cuestionamientos y manifestaciones encaminadas a dañar el honor de una persona y su reputación por parte del Municipio, </w:t>
      </w:r>
      <w:r w:rsidDel="00000000" w:rsidR="00000000" w:rsidRPr="00000000">
        <w:rPr>
          <w:rFonts w:ascii="Palatino Linotype" w:cs="Palatino Linotype" w:eastAsia="Palatino Linotype" w:hAnsi="Palatino Linotype"/>
          <w:rtl w:val="0"/>
        </w:rPr>
        <w:t xml:space="preserve">lo cual no forma parte del derecho invocado, </w:t>
      </w:r>
      <w:r w:rsidDel="00000000" w:rsidR="00000000" w:rsidRPr="00000000">
        <w:rPr>
          <w:rFonts w:ascii="Palatino Linotype" w:cs="Palatino Linotype" w:eastAsia="Palatino Linotype" w:hAnsi="Palatino Linotype"/>
          <w:b w:val="1"/>
          <w:u w:val="single"/>
          <w:rtl w:val="0"/>
        </w:rPr>
        <w:t xml:space="preserve">al no encaminarse a atender información generada, administrada o poseída por el ejercicio de facultades, competencias o funciones</w:t>
      </w:r>
      <w:r w:rsidDel="00000000" w:rsidR="00000000" w:rsidRPr="00000000">
        <w:rPr>
          <w:rFonts w:ascii="Palatino Linotype" w:cs="Palatino Linotype" w:eastAsia="Palatino Linotype" w:hAnsi="Palatino Linotype"/>
          <w:rtl w:val="0"/>
        </w:rPr>
        <w:t xml:space="preserve"> de conformidad con el artículo 19 de la Ley de Transparencia y Acceso a la Información Pública del Estado de México y Municipios, </w:t>
      </w:r>
      <w:r w:rsidDel="00000000" w:rsidR="00000000" w:rsidRPr="00000000">
        <w:rPr>
          <w:rFonts w:ascii="Palatino Linotype" w:cs="Palatino Linotype" w:eastAsia="Palatino Linotype" w:hAnsi="Palatino Linotype"/>
          <w:b w:val="1"/>
          <w:rtl w:val="0"/>
        </w:rPr>
        <w:t xml:space="preserve">sino únicamente a obtener un pronunciamiento específico</w:t>
      </w:r>
      <w:r w:rsidDel="00000000" w:rsidR="00000000" w:rsidRPr="00000000">
        <w:rPr>
          <w:rFonts w:ascii="Palatino Linotype" w:cs="Palatino Linotype" w:eastAsia="Palatino Linotype" w:hAnsi="Palatino Linotype"/>
          <w:rtl w:val="0"/>
        </w:rPr>
        <w:t xml:space="preserve">, precisando finalmente que la información requerida no corresponde a dicho Sujeto Obligado, de conformidad con  a las funciones y atribuciones establecidas en las leyes de la materia, así como en el Reglamento  Interior del Instituto de Transparencia, Acceso a la Información Pública y Protección de Datos Personales del Estado de México y Municipios.</w:t>
      </w:r>
    </w:p>
    <w:p w:rsidR="00000000" w:rsidDel="00000000" w:rsidP="00000000" w:rsidRDefault="00000000" w:rsidRPr="00000000" w14:paraId="0000000C">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3. Interposición del recurso de revisión. </w:t>
      </w:r>
      <w:r w:rsidDel="00000000" w:rsidR="00000000" w:rsidRPr="00000000">
        <w:rPr>
          <w:rFonts w:ascii="Palatino Linotype" w:cs="Palatino Linotype" w:eastAsia="Palatino Linotype" w:hAnsi="Palatino Linotype"/>
          <w:rtl w:val="0"/>
        </w:rPr>
        <w:t xml:space="preserve">Inconforme con los términos de la respuesta emitida por parte del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el </w:t>
      </w:r>
      <w:r w:rsidDel="00000000" w:rsidR="00000000" w:rsidRPr="00000000">
        <w:rPr>
          <w:rFonts w:ascii="Palatino Linotype" w:cs="Palatino Linotype" w:eastAsia="Palatino Linotype" w:hAnsi="Palatino Linotype"/>
          <w:b w:val="1"/>
          <w:rtl w:val="0"/>
        </w:rPr>
        <w:t xml:space="preserve">diecinueve de febrero de dos mil veintidós,</w:t>
      </w:r>
      <w:r w:rsidDel="00000000" w:rsidR="00000000" w:rsidRPr="00000000">
        <w:rPr>
          <w:rFonts w:ascii="Palatino Linotype" w:cs="Palatino Linotype" w:eastAsia="Palatino Linotype" w:hAnsi="Palatino Linotype"/>
          <w:rtl w:val="0"/>
        </w:rPr>
        <w:t xml:space="preserve"> la parte recurrente interpuso el recurso de revisión a través de </w:t>
      </w:r>
      <w:r w:rsidDel="00000000" w:rsidR="00000000" w:rsidRPr="00000000">
        <w:rPr>
          <w:rFonts w:ascii="Palatino Linotype" w:cs="Palatino Linotype" w:eastAsia="Palatino Linotype" w:hAnsi="Palatino Linotype"/>
          <w:b w:val="1"/>
          <w:rtl w:val="0"/>
        </w:rPr>
        <w:t xml:space="preserve">SAIMEX, </w:t>
      </w:r>
      <w:r w:rsidDel="00000000" w:rsidR="00000000" w:rsidRPr="00000000">
        <w:rPr>
          <w:rFonts w:ascii="Palatino Linotype" w:cs="Palatino Linotype" w:eastAsia="Palatino Linotype" w:hAnsi="Palatino Linotype"/>
          <w:rtl w:val="0"/>
        </w:rPr>
        <w:t xml:space="preserve">en donde se manifestó de la siguiente manera:</w:t>
      </w:r>
    </w:p>
    <w:p w:rsidR="00000000" w:rsidDel="00000000" w:rsidP="00000000" w:rsidRDefault="00000000" w:rsidRPr="00000000" w14:paraId="0000000D">
      <w:pPr>
        <w:tabs>
          <w:tab w:val="left" w:pos="2745"/>
        </w:tabs>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Acto impugnado: </w:t>
      </w:r>
    </w:p>
    <w:p w:rsidR="00000000" w:rsidDel="00000000" w:rsidP="00000000" w:rsidRDefault="00000000" w:rsidRPr="00000000" w14:paraId="0000000E">
      <w:pPr>
        <w:tabs>
          <w:tab w:val="left" w:pos="2745"/>
        </w:tabs>
        <w:spacing w:after="240" w:before="240" w:line="360" w:lineRule="auto"/>
        <w:ind w:lef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“SOLICITUD No.67” (sic)</w:t>
      </w:r>
    </w:p>
    <w:p w:rsidR="00000000" w:rsidDel="00000000" w:rsidP="00000000" w:rsidRDefault="00000000" w:rsidRPr="00000000" w14:paraId="0000000F">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Y Razones o motivos de inconformidad</w:t>
      </w: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010">
      <w:pPr>
        <w:ind w:left="851" w:right="902" w:firstLine="0"/>
        <w:jc w:val="both"/>
        <w:rPr>
          <w:rFonts w:ascii="Palatino Linotype" w:cs="Palatino Linotype" w:eastAsia="Palatino Linotype" w:hAnsi="Palatino Linotype"/>
          <w:i w:val="1"/>
          <w:sz w:val="22"/>
          <w:szCs w:val="22"/>
        </w:rPr>
      </w:pPr>
      <w:bookmarkStart w:colFirst="0" w:colLast="0" w:name="_heading=h.30j0zll" w:id="1"/>
      <w:bookmarkEnd w:id="1"/>
      <w:r w:rsidDel="00000000" w:rsidR="00000000" w:rsidRPr="00000000">
        <w:rPr>
          <w:rFonts w:ascii="Palatino Linotype" w:cs="Palatino Linotype" w:eastAsia="Palatino Linotype" w:hAnsi="Palatino Linotype"/>
          <w:i w:val="1"/>
          <w:sz w:val="22"/>
          <w:szCs w:val="22"/>
          <w:rtl w:val="0"/>
        </w:rPr>
        <w:t xml:space="preserve"> “Como ciudadano de Tequixquiac me ofende esa respuesta, es una ignominia” (sic)</w:t>
      </w:r>
    </w:p>
    <w:p w:rsidR="00000000" w:rsidDel="00000000" w:rsidP="00000000" w:rsidRDefault="00000000" w:rsidRPr="00000000" w14:paraId="00000011">
      <w:pPr>
        <w:spacing w:after="240" w:before="240" w:line="360" w:lineRule="auto"/>
        <w:ind w:right="5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Anexos: </w:t>
      </w:r>
      <w:r w:rsidDel="00000000" w:rsidR="00000000" w:rsidRPr="00000000">
        <w:rPr>
          <w:rFonts w:ascii="Palatino Linotype" w:cs="Palatino Linotype" w:eastAsia="Palatino Linotype" w:hAnsi="Palatino Linotype"/>
          <w:rtl w:val="0"/>
        </w:rPr>
        <w:t xml:space="preserve">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adjuntó el archivo “</w:t>
      </w:r>
      <w:r w:rsidDel="00000000" w:rsidR="00000000" w:rsidRPr="00000000">
        <w:rPr>
          <w:rFonts w:ascii="Palatino Linotype" w:cs="Palatino Linotype" w:eastAsia="Palatino Linotype" w:hAnsi="Palatino Linotype"/>
          <w:i w:val="1"/>
          <w:rtl w:val="0"/>
        </w:rPr>
        <w:t xml:space="preserve">Solicitu 67 SAIMEX.pdf</w:t>
      </w:r>
      <w:r w:rsidDel="00000000" w:rsidR="00000000" w:rsidRPr="00000000">
        <w:rPr>
          <w:rFonts w:ascii="Palatino Linotype" w:cs="Palatino Linotype" w:eastAsia="Palatino Linotype" w:hAnsi="Palatino Linotype"/>
          <w:rtl w:val="0"/>
        </w:rPr>
        <w:t xml:space="preserve">”, mediante el cual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atendió la solicitud.</w:t>
      </w:r>
    </w:p>
    <w:p w:rsidR="00000000" w:rsidDel="00000000" w:rsidP="00000000" w:rsidRDefault="00000000" w:rsidRPr="00000000" w14:paraId="00000012">
      <w:pPr>
        <w:spacing w:after="240" w:before="240" w:line="360" w:lineRule="auto"/>
        <w:ind w:right="5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4. Turno. </w:t>
      </w:r>
      <w:r w:rsidDel="00000000" w:rsidR="00000000" w:rsidRPr="00000000">
        <w:rPr>
          <w:rFonts w:ascii="Palatino Linotype" w:cs="Palatino Linotype" w:eastAsia="Palatino Linotype" w:hAnsi="Palatino Linotype"/>
          <w:rtl w:val="0"/>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Del="00000000" w:rsidR="00000000" w:rsidRPr="00000000">
        <w:rPr>
          <w:rFonts w:ascii="Palatino Linotype" w:cs="Palatino Linotype" w:eastAsia="Palatino Linotype" w:hAnsi="Palatino Linotype"/>
          <w:b w:val="1"/>
          <w:rtl w:val="0"/>
        </w:rPr>
        <w:t xml:space="preserve">Guadalupe Ramírez Peña, </w:t>
      </w:r>
      <w:r w:rsidDel="00000000" w:rsidR="00000000" w:rsidRPr="00000000">
        <w:rPr>
          <w:rFonts w:ascii="Palatino Linotype" w:cs="Palatino Linotype" w:eastAsia="Palatino Linotype" w:hAnsi="Palatino Linotype"/>
          <w:rtl w:val="0"/>
        </w:rPr>
        <w:t xml:space="preserve">a efecto de que analizara sobre su admisión o su desechamiento.</w:t>
      </w:r>
    </w:p>
    <w:p w:rsidR="00000000" w:rsidDel="00000000" w:rsidP="00000000" w:rsidRDefault="00000000" w:rsidRPr="00000000" w14:paraId="00000013">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5. Admisión del Recurso de revisión.</w:t>
      </w:r>
      <w:r w:rsidDel="00000000" w:rsidR="00000000" w:rsidRPr="00000000">
        <w:rPr>
          <w:rFonts w:ascii="Palatino Linotype" w:cs="Palatino Linotype" w:eastAsia="Palatino Linotype" w:hAnsi="Palatino Linotype"/>
          <w:rtl w:val="0"/>
        </w:rPr>
        <w:t xml:space="preserve"> Con fecha</w:t>
      </w:r>
      <w:r w:rsidDel="00000000" w:rsidR="00000000" w:rsidRPr="00000000">
        <w:rPr>
          <w:rFonts w:ascii="Palatino Linotype" w:cs="Palatino Linotype" w:eastAsia="Palatino Linotype" w:hAnsi="Palatino Linotype"/>
          <w:b w:val="1"/>
          <w:rtl w:val="0"/>
        </w:rPr>
        <w:t xml:space="preserve"> veinticuatro de febrero de dos mil veintidós, </w:t>
      </w:r>
      <w:r w:rsidDel="00000000" w:rsidR="00000000" w:rsidRPr="00000000">
        <w:rPr>
          <w:rFonts w:ascii="Palatino Linotype" w:cs="Palatino Linotype" w:eastAsia="Palatino Linotype" w:hAnsi="Palatino Linotype"/>
          <w:rtl w:val="0"/>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presentara su informe justificado.</w:t>
      </w:r>
    </w:p>
    <w:p w:rsidR="00000000" w:rsidDel="00000000" w:rsidP="00000000" w:rsidRDefault="00000000" w:rsidRPr="00000000" w14:paraId="00000014">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6. Manifestaciones</w:t>
      </w:r>
      <w:r w:rsidDel="00000000" w:rsidR="00000000" w:rsidRPr="00000000">
        <w:rPr>
          <w:rFonts w:ascii="Palatino Linotype" w:cs="Palatino Linotype" w:eastAsia="Palatino Linotype" w:hAnsi="Palatino Linotype"/>
          <w:rtl w:val="0"/>
        </w:rPr>
        <w:t xml:space="preserve">. De las constancias que obran en el expediente electrónico del SAIMEX se desprende que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no rindió su informe justificado, del mismo modo el ahora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omitió realizar manifestaciones, como se observa a continuación:</w:t>
      </w:r>
    </w:p>
    <w:p w:rsidR="00000000" w:rsidDel="00000000" w:rsidP="00000000" w:rsidRDefault="00000000" w:rsidRPr="00000000" w14:paraId="00000015">
      <w:pPr>
        <w:spacing w:after="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Pr>
        <w:drawing>
          <wp:inline distB="0" distT="0" distL="0" distR="0">
            <wp:extent cx="5610225" cy="1952625"/>
            <wp:effectExtent b="0" l="0" r="0" t="0"/>
            <wp:docPr id="3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610225" cy="1952625"/>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7. Cierre de instrucción. </w:t>
      </w:r>
      <w:r w:rsidDel="00000000" w:rsidR="00000000" w:rsidRPr="00000000">
        <w:rPr>
          <w:rFonts w:ascii="Palatino Linotype" w:cs="Palatino Linotype" w:eastAsia="Palatino Linotype" w:hAnsi="Palatino Linotype"/>
          <w:rtl w:val="0"/>
        </w:rPr>
        <w:t xml:space="preserve">Una vez transcurrido el periodo otorgado a las partes para realizar sus manifestaciones y no habiendo documentos que integrar al expediente, con fecha </w:t>
      </w:r>
      <w:r w:rsidDel="00000000" w:rsidR="00000000" w:rsidRPr="00000000">
        <w:rPr>
          <w:rFonts w:ascii="Palatino Linotype" w:cs="Palatino Linotype" w:eastAsia="Palatino Linotype" w:hAnsi="Palatino Linotype"/>
          <w:b w:val="1"/>
          <w:rtl w:val="0"/>
        </w:rPr>
        <w:t xml:space="preserve">veinticinco de febrero de dos mil veintidós</w:t>
      </w:r>
      <w:r w:rsidDel="00000000" w:rsidR="00000000" w:rsidRPr="00000000">
        <w:rPr>
          <w:rFonts w:ascii="Palatino Linotype" w:cs="Palatino Linotype" w:eastAsia="Palatino Linotype" w:hAnsi="Palatino Linotype"/>
          <w:rtl w:val="0"/>
        </w:rPr>
        <w:t xml:space="preserve">, la Comisionada Ponente determinó el cierre de instrucción en términos de la fracción VI del artículo 185 de la Ley de Transparencia y Acceso a la Información Pública del Estado de México y Municipios.</w:t>
      </w:r>
    </w:p>
    <w:p w:rsidR="00000000" w:rsidDel="00000000" w:rsidP="00000000" w:rsidRDefault="00000000" w:rsidRPr="00000000" w14:paraId="00000017">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razón de que fue debidamente sustanciado el expediente electrónico y no existe diligencia pendiente de desahogo, se emite la Resolución que conforme a Derecho proceda, de acuerdo con los siguientes: </w:t>
      </w:r>
    </w:p>
    <w:p w:rsidR="00000000" w:rsidDel="00000000" w:rsidP="00000000" w:rsidRDefault="00000000" w:rsidRPr="00000000" w14:paraId="00000018">
      <w:pPr>
        <w:widowControl w:val="0"/>
        <w:spacing w:line="36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II. C O N S I D E R A N D O S</w:t>
      </w:r>
    </w:p>
    <w:p w:rsidR="00000000" w:rsidDel="00000000" w:rsidP="00000000" w:rsidRDefault="00000000" w:rsidRPr="00000000" w14:paraId="00000019">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Primero. Competencia.</w:t>
      </w:r>
      <w:r w:rsidDel="00000000" w:rsidR="00000000" w:rsidRPr="00000000">
        <w:rPr>
          <w:rFonts w:ascii="Palatino Linotype" w:cs="Palatino Linotype" w:eastAsia="Palatino Linotype" w:hAnsi="Palatino Linotype"/>
          <w:rtl w:val="0"/>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000000" w:rsidDel="00000000" w:rsidP="00000000" w:rsidRDefault="00000000" w:rsidRPr="00000000" w14:paraId="0000001A">
      <w:pPr>
        <w:spacing w:after="240" w:before="240" w:line="360" w:lineRule="auto"/>
        <w:jc w:val="both"/>
        <w:rPr>
          <w:rFonts w:ascii="Palatino Linotype" w:cs="Palatino Linotype" w:eastAsia="Palatino Linotype" w:hAnsi="Palatino Linotype"/>
        </w:rPr>
      </w:pPr>
      <w:bookmarkStart w:colFirst="0" w:colLast="0" w:name="_heading=h.tyjcwt" w:id="2"/>
      <w:bookmarkEnd w:id="2"/>
      <w:r w:rsidDel="00000000" w:rsidR="00000000" w:rsidRPr="00000000">
        <w:rPr>
          <w:rFonts w:ascii="Palatino Linotype" w:cs="Palatino Linotype" w:eastAsia="Palatino Linotype" w:hAnsi="Palatino Linotype"/>
          <w:b w:val="1"/>
          <w:rtl w:val="0"/>
        </w:rPr>
        <w:t xml:space="preserve">Segundo. Oportunidad y Procedibilidad del Recurso de Revisión</w:t>
      </w:r>
      <w:r w:rsidDel="00000000" w:rsidR="00000000" w:rsidRPr="00000000">
        <w:rPr>
          <w:rFonts w:ascii="Palatino Linotype" w:cs="Palatino Linotype" w:eastAsia="Palatino Linotype" w:hAnsi="Palatino Linotype"/>
          <w:rtl w:val="0"/>
        </w:rPr>
        <w:t xml:space="preserve">.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000000" w:rsidDel="00000000" w:rsidP="00000000" w:rsidRDefault="00000000" w:rsidRPr="00000000" w14:paraId="0000001B">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El recurso de revisión fue interpuesto dentro del plazo de quince días hábiles, previsto en el artículo 178 de la Ley de Transparencia y Acceso a la Información Pública del Estado de México y Municipios, toda vez que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remitió la respuesta a la solicitud de información el día </w:t>
      </w:r>
      <w:r w:rsidDel="00000000" w:rsidR="00000000" w:rsidRPr="00000000">
        <w:rPr>
          <w:rFonts w:ascii="Palatino Linotype" w:cs="Palatino Linotype" w:eastAsia="Palatino Linotype" w:hAnsi="Palatino Linotype"/>
          <w:b w:val="1"/>
          <w:rtl w:val="0"/>
        </w:rPr>
        <w:t xml:space="preserve">diecinueve de febrero de dos mil veintidós, </w:t>
      </w:r>
      <w:r w:rsidDel="00000000" w:rsidR="00000000" w:rsidRPr="00000000">
        <w:rPr>
          <w:rFonts w:ascii="Palatino Linotype" w:cs="Palatino Linotype" w:eastAsia="Palatino Linotype" w:hAnsi="Palatino Linotype"/>
          <w:rtl w:val="0"/>
        </w:rPr>
        <w:t xml:space="preserve">mientras que el recurso de revisión interpuesto por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se tuvo por presentado el día </w:t>
      </w:r>
      <w:r w:rsidDel="00000000" w:rsidR="00000000" w:rsidRPr="00000000">
        <w:rPr>
          <w:rFonts w:ascii="Palatino Linotype" w:cs="Palatino Linotype" w:eastAsia="Palatino Linotype" w:hAnsi="Palatino Linotype"/>
          <w:b w:val="1"/>
          <w:rtl w:val="0"/>
        </w:rPr>
        <w:t xml:space="preserve">diecinueve de febrero de dos mil veintidós</w:t>
      </w:r>
      <w:r w:rsidDel="00000000" w:rsidR="00000000" w:rsidRPr="00000000">
        <w:rPr>
          <w:rFonts w:ascii="Palatino Linotype" w:cs="Palatino Linotype" w:eastAsia="Palatino Linotype" w:hAnsi="Palatino Linotype"/>
          <w:rtl w:val="0"/>
        </w:rPr>
        <w:t xml:space="preserve">, esto es, al segundo día hábil en que tuvo conocimiento de la respuesta impugnada.</w:t>
      </w:r>
    </w:p>
    <w:p w:rsidR="00000000" w:rsidDel="00000000" w:rsidP="00000000" w:rsidRDefault="00000000" w:rsidRPr="00000000" w14:paraId="0000001C">
      <w:pPr>
        <w:spacing w:after="240" w:before="240" w:line="360" w:lineRule="auto"/>
        <w:jc w:val="both"/>
        <w:rPr>
          <w:rFonts w:ascii="Palatino Linotype" w:cs="Palatino Linotype" w:eastAsia="Palatino Linotype" w:hAnsi="Palatino Linotype"/>
        </w:rPr>
      </w:pPr>
      <w:bookmarkStart w:colFirst="0" w:colLast="0" w:name="_heading=h.3znysh7" w:id="3"/>
      <w:bookmarkEnd w:id="3"/>
      <w:r w:rsidDel="00000000" w:rsidR="00000000" w:rsidRPr="00000000">
        <w:rPr>
          <w:rFonts w:ascii="Palatino Linotype" w:cs="Palatino Linotype" w:eastAsia="Palatino Linotype" w:hAnsi="Palatino Linotype"/>
          <w:rtl w:val="0"/>
        </w:rPr>
        <w:t xml:space="preserve">En este sentido, al considerar la fecha en que se formuló la solicitud y la fecha en que respondió a ésta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así como la fecha en que se interpuso el recurso de revisión, se concluye que el presente recurso de revisión se encuentra dentro de los márgenes temporales previstos las disposiciones legales referidas.</w:t>
      </w:r>
    </w:p>
    <w:p w:rsidR="00000000" w:rsidDel="00000000" w:rsidP="00000000" w:rsidRDefault="00000000" w:rsidRPr="00000000" w14:paraId="0000001D">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000000" w:rsidDel="00000000" w:rsidP="00000000" w:rsidRDefault="00000000" w:rsidRPr="00000000" w14:paraId="0000001E">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 efecto de sustentar lo anterior, es de suma importancia mencionar que si bien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no proporcionó nombre o seudónimo </w:t>
      </w:r>
      <w:r w:rsidDel="00000000" w:rsidR="00000000" w:rsidRPr="00000000">
        <w:rPr>
          <w:rFonts w:ascii="Palatino Linotype" w:cs="Palatino Linotype" w:eastAsia="Palatino Linotype" w:hAnsi="Palatino Linotype"/>
          <w:rtl w:val="0"/>
        </w:rPr>
        <w:t xml:space="preserve">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000000" w:rsidDel="00000000" w:rsidP="00000000" w:rsidRDefault="00000000" w:rsidRPr="00000000" w14:paraId="0000001F">
      <w:pPr>
        <w:spacing w:after="120" w:before="120" w:lineRule="auto"/>
        <w:ind w:left="851" w:right="902"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Las solicitudes anónimas</w:t>
      </w:r>
      <w:r w:rsidDel="00000000" w:rsidR="00000000" w:rsidRPr="00000000">
        <w:rPr>
          <w:rFonts w:ascii="Palatino Linotype" w:cs="Palatino Linotype" w:eastAsia="Palatino Linotype" w:hAnsi="Palatino Linotype"/>
          <w:i w:val="1"/>
          <w:sz w:val="22"/>
          <w:szCs w:val="22"/>
          <w:rtl w:val="0"/>
        </w:rPr>
        <w:t xml:space="preserve">, con nombre incompleto o seudónimo </w:t>
      </w:r>
      <w:r w:rsidDel="00000000" w:rsidR="00000000" w:rsidRPr="00000000">
        <w:rPr>
          <w:rFonts w:ascii="Palatino Linotype" w:cs="Palatino Linotype" w:eastAsia="Palatino Linotype" w:hAnsi="Palatino Linotype"/>
          <w:b w:val="1"/>
          <w:i w:val="1"/>
          <w:sz w:val="22"/>
          <w:szCs w:val="22"/>
          <w:rtl w:val="0"/>
        </w:rPr>
        <w:t xml:space="preserve">serán procedentes para su trámite por parte del sujeto obligado ante quien se presente</w:t>
      </w:r>
      <w:r w:rsidDel="00000000" w:rsidR="00000000" w:rsidRPr="00000000">
        <w:rPr>
          <w:rFonts w:ascii="Palatino Linotype" w:cs="Palatino Linotype" w:eastAsia="Palatino Linotype" w:hAnsi="Palatino Linotype"/>
          <w:i w:val="1"/>
          <w:sz w:val="22"/>
          <w:szCs w:val="22"/>
          <w:rtl w:val="0"/>
        </w:rPr>
        <w:t xml:space="preserve">. No podrá requerirse información adicional con motivo del nombre proporcionado por el solicitante."</w:t>
      </w:r>
      <w:r w:rsidDel="00000000" w:rsidR="00000000" w:rsidRPr="00000000">
        <w:rPr>
          <w:rtl w:val="0"/>
        </w:rPr>
      </w:r>
    </w:p>
    <w:p w:rsidR="00000000" w:rsidDel="00000000" w:rsidP="00000000" w:rsidRDefault="00000000" w:rsidRPr="00000000" w14:paraId="00000020">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por lo que, en el presente caso, al haber sido presentado el recurso de revisión vía SAIMEX, dicho requisito resulta innecesario.</w:t>
      </w:r>
    </w:p>
    <w:p w:rsidR="00000000" w:rsidDel="00000000" w:rsidP="00000000" w:rsidRDefault="00000000" w:rsidRPr="00000000" w14:paraId="00000021">
      <w:pPr>
        <w:spacing w:before="240" w:line="360"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b w:val="1"/>
          <w:rtl w:val="0"/>
        </w:rPr>
        <w:t xml:space="preserve">Tercero. Análisis de las causales de sobreseimiento. </w:t>
      </w:r>
      <w:r w:rsidDel="00000000" w:rsidR="00000000" w:rsidRPr="00000000">
        <w:rPr>
          <w:rFonts w:ascii="Palatino Linotype" w:cs="Palatino Linotype" w:eastAsia="Palatino Linotype" w:hAnsi="Palatino Linotype"/>
          <w:rtl w:val="0"/>
        </w:rPr>
        <w:t xml:space="preserve">Previo al análisis de las actuaciones que integran el expediente en el Sistema de Acceso a la Información Mexiquense, en importante primeramente enfatizar que el Derecho de Acceso a la Información Pública </w:t>
      </w:r>
      <w:r w:rsidDel="00000000" w:rsidR="00000000" w:rsidRPr="00000000">
        <w:rPr>
          <w:rFonts w:ascii="Palatino Linotype" w:cs="Palatino Linotype" w:eastAsia="Palatino Linotype" w:hAnsi="Palatino Linotype"/>
          <w:color w:val="000000"/>
          <w:rtl w:val="0"/>
        </w:rPr>
        <w:t xml:space="preserve">consiste en que la </w:t>
      </w:r>
      <w:r w:rsidDel="00000000" w:rsidR="00000000" w:rsidRPr="00000000">
        <w:rPr>
          <w:rFonts w:ascii="Palatino Linotype" w:cs="Palatino Linotype" w:eastAsia="Palatino Linotype" w:hAnsi="Palatino Linotype"/>
          <w:b w:val="1"/>
          <w:color w:val="000000"/>
          <w:u w:val="single"/>
          <w:rtl w:val="0"/>
        </w:rPr>
        <w:t xml:space="preserve">información solicitada conste en un soporte documental</w:t>
      </w:r>
      <w:r w:rsidDel="00000000" w:rsidR="00000000" w:rsidRPr="00000000">
        <w:rPr>
          <w:rFonts w:ascii="Palatino Linotype" w:cs="Palatino Linotype" w:eastAsia="Palatino Linotype" w:hAnsi="Palatino Linotype"/>
          <w:color w:val="000000"/>
          <w:rtl w:val="0"/>
        </w:rPr>
        <w:t xml:space="preserve"> en cualquiera de sus formas, a saber: </w:t>
      </w:r>
      <w:r w:rsidDel="00000000" w:rsidR="00000000" w:rsidRPr="00000000">
        <w:rPr>
          <w:rFonts w:ascii="Palatino Linotype" w:cs="Palatino Linotype" w:eastAsia="Palatino Linotype" w:hAnsi="Palatino Linotype"/>
          <w:rtl w:val="0"/>
        </w:rPr>
        <w:t xml:space="preserve">expedientes, reportes, estudios, </w:t>
      </w:r>
      <w:r w:rsidDel="00000000" w:rsidR="00000000" w:rsidRPr="00000000">
        <w:rPr>
          <w:rFonts w:ascii="Palatino Linotype" w:cs="Palatino Linotype" w:eastAsia="Palatino Linotype" w:hAnsi="Palatino Linotype"/>
          <w:b w:val="1"/>
          <w:rtl w:val="0"/>
        </w:rPr>
        <w:t xml:space="preserve">actas,</w:t>
      </w:r>
      <w:r w:rsidDel="00000000" w:rsidR="00000000" w:rsidRPr="00000000">
        <w:rPr>
          <w:rFonts w:ascii="Palatino Linotype" w:cs="Palatino Linotype" w:eastAsia="Palatino Linotype" w:hAnsi="Palatino Linotype"/>
          <w:rtl w:val="0"/>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Del="00000000" w:rsidR="00000000" w:rsidRPr="00000000">
        <w:rPr>
          <w:rFonts w:ascii="Palatino Linotype" w:cs="Palatino Linotype" w:eastAsia="Palatino Linotype" w:hAnsi="Palatino Linotype"/>
          <w:color w:val="000000"/>
          <w:rtl w:val="0"/>
        </w:rPr>
        <w:t xml:space="preserve">; los que, </w:t>
      </w:r>
      <w:r w:rsidDel="00000000" w:rsidR="00000000" w:rsidRPr="00000000">
        <w:rPr>
          <w:rFonts w:ascii="Palatino Linotype" w:cs="Palatino Linotype" w:eastAsia="Palatino Linotype" w:hAnsi="Palatino Linotype"/>
          <w:rtl w:val="0"/>
        </w:rPr>
        <w:t xml:space="preserve">podrán estar en cualquier medio, sea escrito, impreso, sonoro, visual, electrónico, informático u holográfico</w:t>
      </w:r>
      <w:r w:rsidDel="00000000" w:rsidR="00000000" w:rsidRPr="00000000">
        <w:rPr>
          <w:rFonts w:ascii="Palatino Linotype" w:cs="Palatino Linotype" w:eastAsia="Palatino Linotype" w:hAnsi="Palatino Linotype"/>
          <w:color w:val="000000"/>
          <w:rtl w:val="0"/>
        </w:rPr>
        <w:t xml:space="preserve">, de conformidad con el artículo 3, fracción XI de la Ley de la materia, el cual dispone lo siguiente: </w:t>
      </w:r>
    </w:p>
    <w:p w:rsidR="00000000" w:rsidDel="00000000" w:rsidP="00000000" w:rsidRDefault="00000000" w:rsidRPr="00000000" w14:paraId="00000022">
      <w:pPr>
        <w:ind w:left="851" w:right="901" w:firstLine="0"/>
        <w:jc w:val="both"/>
        <w:rPr>
          <w:rFonts w:ascii="Palatino Linotype" w:cs="Palatino Linotype" w:eastAsia="Palatino Linotype" w:hAnsi="Palatino Linotype"/>
          <w:i w:val="1"/>
          <w:color w:val="000000"/>
          <w:sz w:val="22"/>
          <w:szCs w:val="22"/>
        </w:rPr>
      </w:pPr>
      <w:r w:rsidDel="00000000" w:rsidR="00000000" w:rsidRPr="00000000">
        <w:rPr>
          <w:rtl w:val="0"/>
        </w:rPr>
      </w:r>
    </w:p>
    <w:p w:rsidR="00000000" w:rsidDel="00000000" w:rsidP="00000000" w:rsidRDefault="00000000" w:rsidRPr="00000000" w14:paraId="00000023">
      <w:pPr>
        <w:ind w:left="851" w:right="901"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i w:val="1"/>
          <w:color w:val="000000"/>
          <w:sz w:val="22"/>
          <w:szCs w:val="22"/>
          <w:rtl w:val="0"/>
        </w:rPr>
        <w:t xml:space="preserve">“</w:t>
      </w:r>
      <w:r w:rsidDel="00000000" w:rsidR="00000000" w:rsidRPr="00000000">
        <w:rPr>
          <w:rFonts w:ascii="Palatino Linotype" w:cs="Palatino Linotype" w:eastAsia="Palatino Linotype" w:hAnsi="Palatino Linotype"/>
          <w:b w:val="1"/>
          <w:i w:val="1"/>
          <w:color w:val="000000"/>
          <w:sz w:val="22"/>
          <w:szCs w:val="22"/>
          <w:rtl w:val="0"/>
        </w:rPr>
        <w:t xml:space="preserve">Artículo 3. </w:t>
      </w:r>
      <w:r w:rsidDel="00000000" w:rsidR="00000000" w:rsidRPr="00000000">
        <w:rPr>
          <w:rFonts w:ascii="Palatino Linotype" w:cs="Palatino Linotype" w:eastAsia="Palatino Linotype" w:hAnsi="Palatino Linotype"/>
          <w:i w:val="1"/>
          <w:color w:val="000000"/>
          <w:sz w:val="22"/>
          <w:szCs w:val="22"/>
          <w:rtl w:val="0"/>
        </w:rPr>
        <w:t xml:space="preserve">Para los efectos de la presente Ley se entenderá por:</w:t>
      </w:r>
    </w:p>
    <w:p w:rsidR="00000000" w:rsidDel="00000000" w:rsidP="00000000" w:rsidRDefault="00000000" w:rsidRPr="00000000" w14:paraId="00000024">
      <w:pPr>
        <w:ind w:left="851" w:right="850"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i w:val="1"/>
          <w:color w:val="000000"/>
          <w:sz w:val="22"/>
          <w:szCs w:val="22"/>
          <w:rtl w:val="0"/>
        </w:rPr>
        <w:t xml:space="preserve">…</w:t>
      </w:r>
    </w:p>
    <w:p w:rsidR="00000000" w:rsidDel="00000000" w:rsidP="00000000" w:rsidRDefault="00000000" w:rsidRPr="00000000" w14:paraId="00000025">
      <w:pPr>
        <w:ind w:left="851" w:right="901"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b w:val="1"/>
          <w:i w:val="1"/>
          <w:color w:val="000000"/>
          <w:sz w:val="22"/>
          <w:szCs w:val="22"/>
          <w:rtl w:val="0"/>
        </w:rPr>
        <w:t xml:space="preserve">XI. Documento:</w:t>
      </w:r>
      <w:r w:rsidDel="00000000" w:rsidR="00000000" w:rsidRPr="00000000">
        <w:rPr>
          <w:rFonts w:ascii="Palatino Linotype" w:cs="Palatino Linotype" w:eastAsia="Palatino Linotype" w:hAnsi="Palatino Linotype"/>
          <w:i w:val="1"/>
          <w:color w:val="000000"/>
          <w:sz w:val="22"/>
          <w:szCs w:val="22"/>
          <w:rtl w:val="0"/>
        </w:rPr>
        <w:t xml:space="preserve"> Los expedientes, reportes, estudios, actas, resoluciones,</w:t>
      </w:r>
      <w:r w:rsidDel="00000000" w:rsidR="00000000" w:rsidRPr="00000000">
        <w:rPr>
          <w:rFonts w:ascii="Palatino Linotype" w:cs="Palatino Linotype" w:eastAsia="Palatino Linotype" w:hAnsi="Palatino Linotype"/>
          <w:b w:val="1"/>
          <w:i w:val="1"/>
          <w:color w:val="000000"/>
          <w:sz w:val="22"/>
          <w:szCs w:val="22"/>
          <w:rtl w:val="0"/>
        </w:rPr>
        <w:t xml:space="preserve"> </w:t>
      </w:r>
      <w:r w:rsidDel="00000000" w:rsidR="00000000" w:rsidRPr="00000000">
        <w:rPr>
          <w:rFonts w:ascii="Palatino Linotype" w:cs="Palatino Linotype" w:eastAsia="Palatino Linotype" w:hAnsi="Palatino Linotype"/>
          <w:i w:val="1"/>
          <w:color w:val="000000"/>
          <w:sz w:val="22"/>
          <w:szCs w:val="22"/>
          <w:rtl w:val="0"/>
        </w:rPr>
        <w:t xml:space="preserve">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000000" w:rsidDel="00000000" w:rsidP="00000000" w:rsidRDefault="00000000" w:rsidRPr="00000000" w14:paraId="00000026">
      <w:pPr>
        <w:ind w:left="851" w:right="901"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b w:val="1"/>
          <w:i w:val="1"/>
          <w:color w:val="000000"/>
          <w:sz w:val="22"/>
          <w:szCs w:val="22"/>
          <w:rtl w:val="0"/>
        </w:rPr>
        <w:t xml:space="preserve">…</w:t>
      </w:r>
      <w:r w:rsidDel="00000000" w:rsidR="00000000" w:rsidRPr="00000000">
        <w:rPr>
          <w:rFonts w:ascii="Palatino Linotype" w:cs="Palatino Linotype" w:eastAsia="Palatino Linotype" w:hAnsi="Palatino Linotype"/>
          <w:i w:val="1"/>
          <w:color w:val="000000"/>
          <w:sz w:val="22"/>
          <w:szCs w:val="22"/>
          <w:rtl w:val="0"/>
        </w:rPr>
        <w:t xml:space="preserve">”</w:t>
      </w:r>
    </w:p>
    <w:p w:rsidR="00000000" w:rsidDel="00000000" w:rsidP="00000000" w:rsidRDefault="00000000" w:rsidRPr="00000000" w14:paraId="00000027">
      <w:pPr>
        <w:ind w:left="851" w:right="901"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i w:val="1"/>
          <w:color w:val="000000"/>
          <w:sz w:val="22"/>
          <w:szCs w:val="22"/>
          <w:rtl w:val="0"/>
        </w:rPr>
        <w:t xml:space="preserve">(Énfasis añadido)</w:t>
      </w:r>
    </w:p>
    <w:p w:rsidR="00000000" w:rsidDel="00000000" w:rsidP="00000000" w:rsidRDefault="00000000" w:rsidRPr="00000000" w14:paraId="00000028">
      <w:pPr>
        <w:ind w:left="851" w:right="850" w:firstLine="0"/>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29">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000000" w:rsidDel="00000000" w:rsidP="00000000" w:rsidRDefault="00000000" w:rsidRPr="00000000" w14:paraId="0000002A">
      <w:pPr>
        <w:ind w:left="851" w:right="850" w:firstLine="0"/>
        <w:jc w:val="both"/>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2B">
      <w:pPr>
        <w:ind w:left="851" w:right="901"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CRITERIO 0002-11</w:t>
      </w:r>
    </w:p>
    <w:p w:rsidR="00000000" w:rsidDel="00000000" w:rsidP="00000000" w:rsidRDefault="00000000" w:rsidRPr="00000000" w14:paraId="0000002C">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u w:val="single"/>
          <w:rtl w:val="0"/>
        </w:rPr>
        <w:t xml:space="preserve">INFORMACIÓN PÚBLICA, CONCEPTO DE, EN MATERIA DE TRANSPARENCIA. INTERPRETACIÓN SISTEMÁTICA DE LOS ARTÍCULOS 2°, FRACCIÓN V, XV, Y XVI, 3°, 4°, 11 Y 41.</w:t>
      </w:r>
      <w:r w:rsidDel="00000000" w:rsidR="00000000" w:rsidRPr="00000000">
        <w:rPr>
          <w:rFonts w:ascii="Palatino Linotype" w:cs="Palatino Linotype" w:eastAsia="Palatino Linotype" w:hAnsi="Palatino Linotype"/>
          <w:i w:val="1"/>
          <w:sz w:val="22"/>
          <w:szCs w:val="22"/>
          <w:rtl w:val="0"/>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000000" w:rsidDel="00000000" w:rsidP="00000000" w:rsidRDefault="00000000" w:rsidRPr="00000000" w14:paraId="0000002D">
      <w:pPr>
        <w:ind w:left="851" w:right="85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En consecuencia el acceso a la información se refiere a que se cumplan cualquiera de los siguientes tres supuestos:</w:t>
      </w:r>
    </w:p>
    <w:p w:rsidR="00000000" w:rsidDel="00000000" w:rsidP="00000000" w:rsidRDefault="00000000" w:rsidRPr="00000000" w14:paraId="0000002E">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1) Que se trate de información </w:t>
      </w:r>
      <w:r w:rsidDel="00000000" w:rsidR="00000000" w:rsidRPr="00000000">
        <w:rPr>
          <w:rFonts w:ascii="Palatino Linotype" w:cs="Palatino Linotype" w:eastAsia="Palatino Linotype" w:hAnsi="Palatino Linotype"/>
          <w:b w:val="1"/>
          <w:i w:val="1"/>
          <w:sz w:val="22"/>
          <w:szCs w:val="22"/>
          <w:u w:val="single"/>
          <w:rtl w:val="0"/>
        </w:rPr>
        <w:t xml:space="preserve">registrada en cualquier soporte documental</w:t>
      </w:r>
      <w:r w:rsidDel="00000000" w:rsidR="00000000" w:rsidRPr="00000000">
        <w:rPr>
          <w:rFonts w:ascii="Palatino Linotype" w:cs="Palatino Linotype" w:eastAsia="Palatino Linotype" w:hAnsi="Palatino Linotype"/>
          <w:i w:val="1"/>
          <w:sz w:val="22"/>
          <w:szCs w:val="22"/>
          <w:rtl w:val="0"/>
        </w:rPr>
        <w:t xml:space="preserve">, que en ejercicio de las atribuciones conferidas, sea generada por los Sujetos Obligados;</w:t>
      </w:r>
    </w:p>
    <w:p w:rsidR="00000000" w:rsidDel="00000000" w:rsidP="00000000" w:rsidRDefault="00000000" w:rsidRPr="00000000" w14:paraId="0000002F">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2) Que se trate de información </w:t>
      </w:r>
      <w:r w:rsidDel="00000000" w:rsidR="00000000" w:rsidRPr="00000000">
        <w:rPr>
          <w:rFonts w:ascii="Palatino Linotype" w:cs="Palatino Linotype" w:eastAsia="Palatino Linotype" w:hAnsi="Palatino Linotype"/>
          <w:b w:val="1"/>
          <w:i w:val="1"/>
          <w:sz w:val="22"/>
          <w:szCs w:val="22"/>
          <w:u w:val="single"/>
          <w:rtl w:val="0"/>
        </w:rPr>
        <w:t xml:space="preserve">registrada en cualquier soporte documental</w:t>
      </w:r>
      <w:r w:rsidDel="00000000" w:rsidR="00000000" w:rsidRPr="00000000">
        <w:rPr>
          <w:rFonts w:ascii="Palatino Linotype" w:cs="Palatino Linotype" w:eastAsia="Palatino Linotype" w:hAnsi="Palatino Linotype"/>
          <w:i w:val="1"/>
          <w:sz w:val="22"/>
          <w:szCs w:val="22"/>
          <w:rtl w:val="0"/>
        </w:rPr>
        <w:t xml:space="preserve">, que en ejercicio de las atribuciones conferidas, sea administrada por los Sujetos Obligados, y</w:t>
      </w:r>
    </w:p>
    <w:p w:rsidR="00000000" w:rsidDel="00000000" w:rsidP="00000000" w:rsidRDefault="00000000" w:rsidRPr="00000000" w14:paraId="00000030">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3) Que se trate de información </w:t>
      </w:r>
      <w:r w:rsidDel="00000000" w:rsidR="00000000" w:rsidRPr="00000000">
        <w:rPr>
          <w:rFonts w:ascii="Palatino Linotype" w:cs="Palatino Linotype" w:eastAsia="Palatino Linotype" w:hAnsi="Palatino Linotype"/>
          <w:b w:val="1"/>
          <w:i w:val="1"/>
          <w:sz w:val="22"/>
          <w:szCs w:val="22"/>
          <w:u w:val="single"/>
          <w:rtl w:val="0"/>
        </w:rPr>
        <w:t xml:space="preserve">registrada en cualquier soporte documental</w:t>
      </w:r>
      <w:r w:rsidDel="00000000" w:rsidR="00000000" w:rsidRPr="00000000">
        <w:rPr>
          <w:rFonts w:ascii="Palatino Linotype" w:cs="Palatino Linotype" w:eastAsia="Palatino Linotype" w:hAnsi="Palatino Linotype"/>
          <w:i w:val="1"/>
          <w:sz w:val="22"/>
          <w:szCs w:val="22"/>
          <w:rtl w:val="0"/>
        </w:rPr>
        <w:t xml:space="preserve">, que en ejercicio de las atribuciones conferidas, se encuentre en posesión de los Sujetos Obligados.” (Sic)</w:t>
      </w:r>
    </w:p>
    <w:p w:rsidR="00000000" w:rsidDel="00000000" w:rsidP="00000000" w:rsidRDefault="00000000" w:rsidRPr="00000000" w14:paraId="00000031">
      <w:pPr>
        <w:ind w:left="851" w:right="90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32">
      <w:pPr>
        <w:spacing w:after="0" w:lineRule="auto"/>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(Énfasis añadido)</w:t>
      </w:r>
    </w:p>
    <w:p w:rsidR="00000000" w:rsidDel="00000000" w:rsidP="00000000" w:rsidRDefault="00000000" w:rsidRPr="00000000" w14:paraId="00000033">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4">
      <w:pPr>
        <w:spacing w:after="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este sentido, en términos generales, para que sea posible el ejercicio del Derecho de Acceso a la Información Pública, los requerimientos deben consistir en información que se encuentre registrada en cualquier soporte documental; ya sea, porque el Sujeto Obligado la generó o porque como parte del ejercicio de sus funciones la recibió y por consiguiente, la administra y posee. </w:t>
      </w:r>
    </w:p>
    <w:p w:rsidR="00000000" w:rsidDel="00000000" w:rsidP="00000000" w:rsidRDefault="00000000" w:rsidRPr="00000000" w14:paraId="00000035">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6">
      <w:pPr>
        <w:spacing w:after="4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este orden de ideas, es pertinente recordar que de las constancias que integran el expediente de recurso de revisión al rubro indicado, el entonces solicitante formuló su requerimiento en el formato previamente establecido para tal efecto, en el que manifestó: </w:t>
      </w:r>
    </w:p>
    <w:p w:rsidR="00000000" w:rsidDel="00000000" w:rsidP="00000000" w:rsidRDefault="00000000" w:rsidRPr="00000000" w14:paraId="00000037">
      <w:pPr>
        <w:spacing w:after="280" w:before="4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u w:val="single"/>
          <w:rtl w:val="0"/>
        </w:rPr>
        <w:t xml:space="preserve">QUÉ RELACIÓN O PARENTESCO EXISTE</w:t>
      </w:r>
      <w:r w:rsidDel="00000000" w:rsidR="00000000" w:rsidRPr="00000000">
        <w:rPr>
          <w:rFonts w:ascii="Palatino Linotype" w:cs="Palatino Linotype" w:eastAsia="Palatino Linotype" w:hAnsi="Palatino Linotype"/>
          <w:i w:val="1"/>
          <w:sz w:val="22"/>
          <w:szCs w:val="22"/>
          <w:rtl w:val="0"/>
        </w:rPr>
        <w:t xml:space="preserve"> ENTRE LA REGIDORA LUCILA TREJO ROMERO Y LA SEÑORA XXXXXXX XXXXXXX XXXXXXXX?”</w:t>
      </w:r>
    </w:p>
    <w:p w:rsidR="00000000" w:rsidDel="00000000" w:rsidP="00000000" w:rsidRDefault="00000000" w:rsidRPr="00000000" w14:paraId="00000038">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El particular planteó una cuestión con la que pretendió se le informara sobre el vínculo o relación que existe entre la Cuarta Regidora de Tequixquiac y otra persona, situación que conlleva a precisar que con tal pronunciamiento el particular no pretendió ejercer su derecho de acceso a la información pública; sino que por este medio presentó una interrogante cuya finalidad es obligar a la autoridad a que actúe en el sentido de contestar lo solicitado, que no es factible atenderse vía acceso a la información pública, toda vez, que la atención a dicho cuestionamiento no se puede colmar con documentos que obren en los archivos del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039">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lo anterior, del análisis realizado al expediente electrónico, se advierte que la solicitud no constituye un derecho de acceso a la información y por lo tanto no es atendible mediante una solicitud de acceso a la información pública, porque se tratan de manifestaciones subjetivas vertidas por el particular, interrogantes y declaraciones, situación que conlleva a afirmar que se está en presencia del ejercicio del derecho a la libre expresión y en todo caso a un derecho de petición.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 efecto de sustentar lo anterior, es preciso mencionar que David Cienfuegos Salgado, concibe al derecho de petición como </w:t>
      </w: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w:t>
      </w:r>
      <w:r w:rsidDel="00000000" w:rsidR="00000000" w:rsidRPr="00000000">
        <w:rPr>
          <w:rFonts w:ascii="Palatino Linotype" w:cs="Palatino Linotype" w:eastAsia="Palatino Linotype" w:hAnsi="Palatino Linotype"/>
          <w:b w:val="1"/>
          <w:i w:val="1"/>
          <w:smallCaps w:val="0"/>
          <w:strike w:val="0"/>
          <w:color w:val="000000"/>
          <w:sz w:val="24"/>
          <w:szCs w:val="24"/>
          <w:u w:val="single"/>
          <w:shd w:fill="auto" w:val="clear"/>
          <w:vertAlign w:val="baseline"/>
          <w:rtl w:val="0"/>
        </w:rPr>
        <w:t xml:space="preserve">el derecho de toda persona a ser escuchado por quienes ejercen el poder públic</w:t>
      </w: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o.</w:t>
      </w: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superscript"/>
          <w:rtl w:val="0"/>
        </w:rPr>
        <w:t xml:space="preserve"> </w:t>
      </w: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superscript"/>
        </w:rPr>
        <w:footnoteReference w:customMarkFollows="0" w:id="0"/>
      </w: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 (Sic) </w:t>
      </w:r>
    </w:p>
    <w:p w:rsidR="00000000" w:rsidDel="00000000" w:rsidP="00000000" w:rsidRDefault="00000000" w:rsidRPr="00000000" w14:paraId="0000003B">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la misma manera, Miguel Carbonell en su libro “Los derechos fundamentales” refiere que el </w:t>
      </w:r>
      <w:r w:rsidDel="00000000" w:rsidR="00000000" w:rsidRPr="00000000">
        <w:rPr>
          <w:rFonts w:ascii="Palatino Linotype" w:cs="Palatino Linotype" w:eastAsia="Palatino Linotype" w:hAnsi="Palatino Linotype"/>
          <w:u w:val="single"/>
          <w:rtl w:val="0"/>
        </w:rPr>
        <w:t xml:space="preserve">derecho de petición se ha entendido de dos distintitas maneras</w:t>
      </w:r>
      <w:r w:rsidDel="00000000" w:rsidR="00000000" w:rsidRPr="00000000">
        <w:rPr>
          <w:rFonts w:ascii="Palatino Linotype" w:cs="Palatino Linotype" w:eastAsia="Palatino Linotype" w:hAnsi="Palatino Linotype"/>
          <w:rtl w:val="0"/>
        </w:rPr>
        <w:t xml:space="preserve">, a saber: como un derecho fundamental de participación política ya que </w:t>
      </w:r>
      <w:r w:rsidDel="00000000" w:rsidR="00000000" w:rsidRPr="00000000">
        <w:rPr>
          <w:rFonts w:ascii="Palatino Linotype" w:cs="Palatino Linotype" w:eastAsia="Palatino Linotype" w:hAnsi="Palatino Linotype"/>
          <w:u w:val="single"/>
          <w:rtl w:val="0"/>
        </w:rPr>
        <w:t xml:space="preserve">permite a los particulares trasladar a las autoridades sus </w:t>
      </w:r>
      <w:r w:rsidDel="00000000" w:rsidR="00000000" w:rsidRPr="00000000">
        <w:rPr>
          <w:rFonts w:ascii="Palatino Linotype" w:cs="Palatino Linotype" w:eastAsia="Palatino Linotype" w:hAnsi="Palatino Linotype"/>
          <w:b w:val="1"/>
          <w:u w:val="single"/>
          <w:rtl w:val="0"/>
        </w:rPr>
        <w:t xml:space="preserve">inquietudes, quejas</w:t>
      </w:r>
      <w:r w:rsidDel="00000000" w:rsidR="00000000" w:rsidRPr="00000000">
        <w:rPr>
          <w:rFonts w:ascii="Palatino Linotype" w:cs="Palatino Linotype" w:eastAsia="Palatino Linotype" w:hAnsi="Palatino Linotype"/>
          <w:u w:val="single"/>
          <w:rtl w:val="0"/>
        </w:rPr>
        <w:t xml:space="preserve">, sugerencias</w:t>
      </w:r>
      <w:r w:rsidDel="00000000" w:rsidR="00000000" w:rsidRPr="00000000">
        <w:rPr>
          <w:rFonts w:ascii="Palatino Linotype" w:cs="Palatino Linotype" w:eastAsia="Palatino Linotype" w:hAnsi="Palatino Linotype"/>
          <w:rtl w:val="0"/>
        </w:rPr>
        <w:t xml:space="preserve"> y requerimientos en cualquier materia o asunto; y como una </w:t>
      </w:r>
      <w:r w:rsidDel="00000000" w:rsidR="00000000" w:rsidRPr="00000000">
        <w:rPr>
          <w:rFonts w:ascii="Palatino Linotype" w:cs="Palatino Linotype" w:eastAsia="Palatino Linotype" w:hAnsi="Palatino Linotype"/>
          <w:b w:val="1"/>
          <w:rtl w:val="0"/>
        </w:rPr>
        <w:t xml:space="preserve">forma específica de la libertad de expresión</w:t>
      </w:r>
      <w:r w:rsidDel="00000000" w:rsidR="00000000" w:rsidRPr="00000000">
        <w:rPr>
          <w:rFonts w:ascii="Palatino Linotype" w:cs="Palatino Linotype" w:eastAsia="Palatino Linotype" w:hAnsi="Palatino Linotype"/>
          <w:rtl w:val="0"/>
        </w:rPr>
        <w:t xml:space="preserve">,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Del="00000000" w:rsidR="00000000" w:rsidRPr="00000000">
        <w:rPr>
          <w:rFonts w:ascii="Palatino Linotype" w:cs="Palatino Linotype" w:eastAsia="Palatino Linotype" w:hAnsi="Palatino Linotype"/>
          <w:vertAlign w:val="superscript"/>
        </w:rPr>
        <w:footnoteReference w:customMarkFollows="0" w:id="1"/>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9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Por otro lado, el autor anteriormente citado, indica que el </w:t>
      </w:r>
      <w:r w:rsidDel="00000000" w:rsidR="00000000" w:rsidRPr="00000000">
        <w:rPr>
          <w:rFonts w:ascii="Palatino Linotype" w:cs="Palatino Linotype" w:eastAsia="Palatino Linotype" w:hAnsi="Palatino Linotype"/>
          <w:b w:val="1"/>
          <w:i w:val="0"/>
          <w:smallCaps w:val="0"/>
          <w:strike w:val="0"/>
          <w:color w:val="000000"/>
          <w:sz w:val="24"/>
          <w:szCs w:val="24"/>
          <w:u w:val="single"/>
          <w:shd w:fill="auto" w:val="clear"/>
          <w:vertAlign w:val="baseline"/>
          <w:rtl w:val="0"/>
        </w:rPr>
        <w:t xml:space="preserve">derecho de acceso a la información pública</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es el derecho de conocer la </w:t>
      </w:r>
      <w:r w:rsidDel="00000000" w:rsidR="00000000" w:rsidRPr="00000000">
        <w:rPr>
          <w:rFonts w:ascii="Palatino Linotype" w:cs="Palatino Linotype" w:eastAsia="Palatino Linotype" w:hAnsi="Palatino Linotype"/>
          <w:b w:val="0"/>
          <w:i w:val="0"/>
          <w:smallCaps w:val="0"/>
          <w:strike w:val="0"/>
          <w:color w:val="000000"/>
          <w:sz w:val="24"/>
          <w:szCs w:val="24"/>
          <w:u w:val="single"/>
          <w:shd w:fill="auto" w:val="clear"/>
          <w:vertAlign w:val="baseline"/>
          <w:rtl w:val="0"/>
        </w:rPr>
        <w:t xml:space="preserve">información de carácter público que se genera o está en posesión de los órganos del poder público</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o de los sujetos que utilizan o se benefician con recursos provenientes del Estado, es el derecho que tienen los ciudadanos para acceder a documentos y datos que obren en el poder del gobierno.</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9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superscript"/>
        </w:rPr>
        <w:footnoteReference w:customMarkFollows="0" w:id="2"/>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9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De lo anterior se puede concluir que la distinción entre 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derecho de petición</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y el derecho de acceso a la información descansa, principalmente, en que </w:t>
      </w:r>
      <w:r w:rsidDel="00000000" w:rsidR="00000000" w:rsidRPr="00000000">
        <w:rPr>
          <w:rFonts w:ascii="Palatino Linotype" w:cs="Palatino Linotype" w:eastAsia="Palatino Linotype" w:hAnsi="Palatino Linotype"/>
          <w:b w:val="0"/>
          <w:i w:val="0"/>
          <w:smallCaps w:val="0"/>
          <w:strike w:val="0"/>
          <w:color w:val="000000"/>
          <w:sz w:val="24"/>
          <w:szCs w:val="24"/>
          <w:u w:val="single"/>
          <w:shd w:fill="auto" w:val="clear"/>
          <w:vertAlign w:val="baseline"/>
          <w:rtl w:val="0"/>
        </w:rPr>
        <w:t xml:space="preserve">la pretensión del peticionario consiste generalmente en obligar a la autoridad responsable a que actúe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9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Con base a lo anterior, tenemos que la parte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Recurrente</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a través de su solicitud cuestionó el parentesco existente entre la Cuarta Regidora de Tequixquiac y otra persona,  por consiguiente, la entrega de una razón o la respuesta o atención a pronunciamientos que no encuentren en soporte documental alguno, no es algo que la Ley de la Materia establezca como atribución, derecho o facultad; pues ello implicaría emitir un juicio de valor referente a cuestionamientos realizados, los cuales como ha quedado explicado, al constituir </w:t>
      </w:r>
      <w:r w:rsidDel="00000000" w:rsidR="00000000" w:rsidRPr="00000000">
        <w:rPr>
          <w:rFonts w:ascii="Palatino Linotype" w:cs="Palatino Linotype" w:eastAsia="Palatino Linotype" w:hAnsi="Palatino Linotype"/>
          <w:b w:val="1"/>
          <w:i w:val="0"/>
          <w:smallCaps w:val="0"/>
          <w:strike w:val="0"/>
          <w:color w:val="000000"/>
          <w:sz w:val="24"/>
          <w:szCs w:val="24"/>
          <w:u w:val="single"/>
          <w:shd w:fill="auto" w:val="clear"/>
          <w:vertAlign w:val="baseline"/>
          <w:rtl w:val="0"/>
        </w:rPr>
        <w:t xml:space="preserve">interrogantes, inquietudes, quejas y manifestaciones</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resultan estar encaminadas a ser satisfechas en ejercicio del derecho de petición.</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9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este Instinto no tiene atribuciones para pronunciarse respecto a las manifestaciones expuestas por la parte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Recurrente,</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esencialmente en virtud de que se advierte que las mismas se tratan de aseveraciones que pudieran ser consideradas de carácter subjetivo hechas sin un soporte que las sustente; es decir, la solicitud del particular es tendente a que 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aclare o actué sobre una inquietud.</w:t>
      </w:r>
    </w:p>
    <w:p w:rsidR="00000000" w:rsidDel="00000000" w:rsidP="00000000" w:rsidRDefault="00000000" w:rsidRPr="00000000" w14:paraId="00000041">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Sin contrariar lo anterior, no obsta mencionar que la materia del cuestionamiento constituye un dato personal, que encuadra en la hipótesis prevista en el artículo 143 fracción I</w:t>
      </w:r>
      <w:r w:rsidDel="00000000" w:rsidR="00000000" w:rsidRPr="00000000">
        <w:rPr>
          <w:rFonts w:ascii="Palatino Linotype" w:cs="Palatino Linotype" w:eastAsia="Palatino Linotype" w:hAnsi="Palatino Linotype"/>
          <w:vertAlign w:val="superscript"/>
        </w:rPr>
        <w:footnoteReference w:customMarkFollows="0" w:id="3"/>
      </w:r>
      <w:r w:rsidDel="00000000" w:rsidR="00000000" w:rsidRPr="00000000">
        <w:rPr>
          <w:rFonts w:ascii="Palatino Linotype" w:cs="Palatino Linotype" w:eastAsia="Palatino Linotype" w:hAnsi="Palatino Linotype"/>
          <w:rtl w:val="0"/>
        </w:rPr>
        <w:t xml:space="preserve"> de la Ley de la Materia,  y que, si bien es cierto que en las áreas encargadas del personal de una entidad pública existen expedientes con datos personales, también lo es que no existe marco legal que constriña a las entidades públicas a documentar el parentesco que tienen los servidores públicos con otras personas, máxime que en caso concreto, así como tampoco hay un campo que delimite las relaciones de parentesco o afectivas que los servidores públicos tengan con otras personas.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9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Máxime que este Instituto se encuentra impedido para pronunciarse sobre la veracidad o no de lo que señala en solicitud; así como, para ordenar al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que atienda o de solución a la inconformidad del particular.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9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Por consiguiente, en relación al cuestionamiento que hizo el particular en su solicitud, resta solamente señalarle, que quedan a salvo sus derechos que considere ejercibles a través de las vías y autoridades que estime procedentes; haciéndole de su conocimiento que el documento que probablemente pudiera contener la información que solicita es la declaración de intereses que administra la Secretaría de la Contraloría.</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96"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Al mismo tiempo, no se advierte que el recurso de revisión encuadre en alguno de los supuestos de procedencia que plantea la Ley de Transparencia y Acceso a la Información Pública del Estado de México y Municipios en su artículo 179, que es del tenor literal siguiente: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851" w:right="90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“Artículo 179. </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El recurso de revisión es un medio de protección que la Ley otorga a los particulares, para hacer valer su derecho de acceso a la información pública, y procederá en contra de las siguientes causas: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34" w:right="90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I</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La negativa a la información solicitada;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34" w:right="90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II</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La clasificación de la información;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34" w:right="90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III</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La declaración de inexistencia de la información;</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34" w:right="90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IV.</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La declaración de incompetencia por el sujeto obligado;</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34" w:right="90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V.</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La entrega de información incompleta;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34" w:right="90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VI.</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La entrega de información que no corresponda con lo solicitado;</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34" w:right="90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VII</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La falta de respuesta a una solicitud de acceso a la información;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34" w:right="90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VIII</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La notificación, entrega o puesta a disposición de información en una modalidad o formato distinto al solicitado;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34" w:right="90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IX.</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La entrega o puesta a disposición de información en un formato incomprensible y/o no accesible para el solicitante;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34" w:right="90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X. </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Los costos o tiempos de entrega de la información;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34" w:right="90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XI</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La falta de trámite a una solicitud;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34" w:right="90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XII</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La negativa a permitir la consulta directa de la información;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34" w:right="90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XIII</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La falta, deficiencia o insuficiencia de la fundamentación y/o motivación en la respuesta; y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34" w:right="90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XIV.</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La orientación a un trámite específico.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851" w:right="902"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La respuesta que den los sujetos obligados derivada de la resolución a un recurso de revisión que proceda por las causales señaladas en las fracciones IV, VII, IX, X, XI y XII es susceptible de ser impugnada de nueva cuenta, mediante recurso de revisión, ante el Instituto”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96"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Por lo tanto, en virtud de los argumentos expuestos con anterioridad así como del análisis realizado a las constancias que obran en el expediente electrónico del SAIMEX, se determina sobreseer 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938"/>
        </w:tabs>
        <w:spacing w:after="120" w:before="120" w:line="240" w:lineRule="auto"/>
        <w:ind w:left="851" w:right="90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Artículo 192.</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El recurso será sobreseído, en todo o en parte, cuando una vez admitido, se actualicen alguno de los siguientes supuestos: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938"/>
        </w:tabs>
        <w:spacing w:after="120" w:before="120" w:line="240" w:lineRule="auto"/>
        <w:ind w:left="1134" w:right="90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938"/>
        </w:tabs>
        <w:spacing w:after="120" w:before="120" w:line="240" w:lineRule="auto"/>
        <w:ind w:left="1134" w:right="90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IV</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Admitido el recurso de revisión, </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aparezca alguna causal de improcedencia</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en los términos de la presente Ley…</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938"/>
        </w:tabs>
        <w:spacing w:after="120" w:before="120" w:line="240" w:lineRule="auto"/>
        <w:ind w:left="851" w:right="902" w:firstLine="0"/>
        <w:jc w:val="both"/>
        <w:rPr>
          <w:rFonts w:ascii="Palatino Linotype" w:cs="Palatino Linotype" w:eastAsia="Palatino Linotype" w:hAnsi="Palatino Linotype"/>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938"/>
        </w:tabs>
        <w:spacing w:after="120" w:before="120" w:line="240" w:lineRule="auto"/>
        <w:ind w:left="851" w:right="90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Artículo 191</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El recurso</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será </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desechado por </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improcedente cuando</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938"/>
        </w:tabs>
        <w:spacing w:after="120" w:before="120" w:line="240" w:lineRule="auto"/>
        <w:ind w:left="1134" w:right="90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938"/>
        </w:tabs>
        <w:spacing w:after="120" w:before="120" w:line="240" w:lineRule="auto"/>
        <w:ind w:left="1134" w:right="90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III.</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No actualice alguno de los supuestos previstos en la presente Ley: “</w:t>
      </w:r>
    </w:p>
    <w:p w:rsidR="00000000" w:rsidDel="00000000" w:rsidP="00000000" w:rsidRDefault="00000000" w:rsidRPr="00000000" w14:paraId="0000005D">
      <w:pPr>
        <w:spacing w:after="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Siendo el </w:t>
      </w:r>
      <w:r w:rsidDel="00000000" w:rsidR="00000000" w:rsidRPr="00000000">
        <w:rPr>
          <w:rFonts w:ascii="Palatino Linotype" w:cs="Palatino Linotype" w:eastAsia="Palatino Linotype" w:hAnsi="Palatino Linotype"/>
          <w:i w:val="1"/>
          <w:rtl w:val="0"/>
        </w:rPr>
        <w:t xml:space="preserve">sobreseimiento</w:t>
      </w:r>
      <w:r w:rsidDel="00000000" w:rsidR="00000000" w:rsidRPr="00000000">
        <w:rPr>
          <w:rFonts w:ascii="Palatino Linotype" w:cs="Palatino Linotype" w:eastAsia="Palatino Linotype" w:hAnsi="Palatino Linotype"/>
          <w:rtl w:val="0"/>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000000" w:rsidDel="00000000" w:rsidP="00000000" w:rsidRDefault="00000000" w:rsidRPr="00000000" w14:paraId="0000005E">
      <w:pPr>
        <w:spacing w:after="120" w:before="0" w:lineRule="auto"/>
        <w:ind w:left="851" w:right="902"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SOBRESEIMIENTO, NO PERMITE ENTRAR AL ESTUDIO DE LAS CUESTIONES DE FONDO</w:t>
      </w:r>
      <w:r w:rsidDel="00000000" w:rsidR="00000000" w:rsidRPr="00000000">
        <w:rPr>
          <w:rtl w:val="0"/>
        </w:rPr>
      </w:r>
    </w:p>
    <w:p w:rsidR="00000000" w:rsidDel="00000000" w:rsidP="00000000" w:rsidRDefault="00000000" w:rsidRPr="00000000" w14:paraId="0000005F">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Localización: 213609. II.2o.183 K. Tribunales Colegiados de Circuito. Octava Época. Semanario Judicial de la Federación. Tomo XIII, Febrero de 1994, Pág. 420</w:t>
      </w:r>
    </w:p>
    <w:p w:rsidR="00000000" w:rsidDel="00000000" w:rsidP="00000000" w:rsidRDefault="00000000" w:rsidRPr="00000000" w14:paraId="00000060">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000000" w:rsidDel="00000000" w:rsidP="00000000" w:rsidRDefault="00000000" w:rsidRPr="00000000" w14:paraId="00000061">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Cabe destacar que la decisión de este Organismo Colegiado de sobreseer el recurso de revisión no implica una limitación o negación a la justicia, según lo ha establecido el Poder Judicial Federal, en el criterio que es aplicable por analogía, con rubro:</w:t>
      </w:r>
    </w:p>
    <w:p w:rsidR="00000000" w:rsidDel="00000000" w:rsidP="00000000" w:rsidRDefault="00000000" w:rsidRPr="00000000" w14:paraId="00000062">
      <w:pPr>
        <w:spacing w:after="120" w:before="120" w:lineRule="auto"/>
        <w:ind w:left="851" w:right="90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“DESECHAMIENTO O SOBRESEIMIENTO EN EL JUICIO DE AMPARO. NO IMPLICA DENEGACIÓN DE JUSTICIA NI GENERA INSEGURIDAD JURÍDICA”</w:t>
      </w:r>
    </w:p>
    <w:p w:rsidR="00000000" w:rsidDel="00000000" w:rsidP="00000000" w:rsidRDefault="00000000" w:rsidRPr="00000000" w14:paraId="00000063">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Del="00000000" w:rsidR="00000000" w:rsidRPr="00000000">
        <w:rPr>
          <w:rFonts w:ascii="Palatino Linotype" w:cs="Palatino Linotype" w:eastAsia="Palatino Linotype" w:hAnsi="Palatino Linotype"/>
          <w:color w:val="000000"/>
          <w:rtl w:val="0"/>
        </w:rPr>
        <w:tab/>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96"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240" w:before="240" w:line="36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III. R E S U E L V E:</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936"/>
        </w:tabs>
        <w:spacing w:after="240" w:before="24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bookmarkStart w:colFirst="0" w:colLast="0" w:name="_heading=h.3dy6vkm" w:id="4"/>
      <w:bookmarkEnd w:id="4"/>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Primero.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Se</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 Sobresee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el recurso de revisión número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01024/INFOEM/IP/RR/2022,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porque una vez admitido se actualizó la causal de improcedencia prevista en la fracción III del artículo 191, de la Ley de Transparencia vigente en la entidad, que lo dejó sin materia en términos del Considerando</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 Tercero d</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 la presente resolución.</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936"/>
        </w:tabs>
        <w:spacing w:after="240" w:before="24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Segundo. Notifíquese,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al Responsable de la Unidad de Transparencia del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la presente resolución, para su conocimiento.</w:t>
      </w:r>
    </w:p>
    <w:p w:rsidR="00000000" w:rsidDel="00000000" w:rsidP="00000000" w:rsidRDefault="00000000" w:rsidRPr="00000000" w14:paraId="00000068">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Tercero. Notifíquese, </w:t>
      </w:r>
      <w:r w:rsidDel="00000000" w:rsidR="00000000" w:rsidRPr="00000000">
        <w:rPr>
          <w:rFonts w:ascii="Palatino Linotype" w:cs="Palatino Linotype" w:eastAsia="Palatino Linotype" w:hAnsi="Palatino Linotype"/>
          <w:rtl w:val="0"/>
        </w:rPr>
        <w:t xml:space="preserve">vía</w:t>
      </w:r>
      <w:r w:rsidDel="00000000" w:rsidR="00000000" w:rsidRPr="00000000">
        <w:rPr>
          <w:rFonts w:ascii="Palatino Linotype" w:cs="Palatino Linotype" w:eastAsia="Palatino Linotype" w:hAnsi="Palatino Linotype"/>
          <w:b w:val="1"/>
          <w:rtl w:val="0"/>
        </w:rPr>
        <w:t xml:space="preserve"> SAIMEX</w:t>
      </w:r>
      <w:r w:rsidDel="00000000" w:rsidR="00000000" w:rsidRPr="00000000">
        <w:rPr>
          <w:rFonts w:ascii="Palatino Linotype" w:cs="Palatino Linotype" w:eastAsia="Palatino Linotype" w:hAnsi="Palatino Linotype"/>
          <w:rtl w:val="0"/>
        </w:rPr>
        <w:t xml:space="preserve">, a</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rsidR="00000000" w:rsidDel="00000000" w:rsidP="00000000" w:rsidRDefault="00000000" w:rsidRPr="00000000" w14:paraId="00000069">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DÉCIMO TERCERA SESIÓN ORDINARIA CELEBRADA EL SIETE DE ABRIL DE DOS MIL VEINTIDÓS, ANTE EL SECRETARIO TÉCNICO DEL PLENO ALEXIS TAPIA RAMÍREZ.</w:t>
      </w:r>
    </w:p>
    <w:p w:rsidR="00000000" w:rsidDel="00000000" w:rsidP="00000000" w:rsidRDefault="00000000" w:rsidRPr="00000000" w14:paraId="0000006A">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6B">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6C">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6D">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6E">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6F">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70">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71">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72">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73">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74">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75">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76">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77">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78">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79">
      <w:pPr>
        <w:spacing w:line="360" w:lineRule="auto"/>
        <w:jc w:val="both"/>
        <w:rPr>
          <w:rFonts w:ascii="Palatino Linotype" w:cs="Palatino Linotype" w:eastAsia="Palatino Linotype" w:hAnsi="Palatino Linotype"/>
        </w:rPr>
      </w:pP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1701" w:top="1985" w:left="1701" w:right="170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pos="4252"/>
        <w:tab w:val="right" w:pos="8504"/>
      </w:tabs>
      <w:jc w:val="right"/>
      <w:rPr>
        <w:rFonts w:ascii="Palatino Linotype" w:cs="Palatino Linotype" w:eastAsia="Palatino Linotype" w:hAnsi="Palatino Linotype"/>
        <w:color w:val="000000"/>
        <w:sz w:val="20"/>
        <w:szCs w:val="20"/>
      </w:rPr>
    </w:pPr>
    <w:r w:rsidDel="00000000" w:rsidR="00000000" w:rsidRPr="00000000">
      <w:rPr>
        <w:rFonts w:ascii="Palatino Linotype" w:cs="Palatino Linotype" w:eastAsia="Palatino Linotype" w:hAnsi="Palatino Linotype"/>
        <w:b w:val="1"/>
        <w:color w:val="000000"/>
        <w:sz w:val="20"/>
        <w:szCs w:val="20"/>
        <w:rtl w:val="0"/>
      </w:rPr>
      <w:t xml:space="preserve">Página </w:t>
    </w:r>
    <w:r w:rsidDel="00000000" w:rsidR="00000000" w:rsidRPr="00000000">
      <w:rPr>
        <w:rFonts w:ascii="Palatino Linotype" w:cs="Palatino Linotype" w:eastAsia="Palatino Linotype" w:hAnsi="Palatino Linotype"/>
        <w:b w:val="1"/>
        <w:color w:val="000000"/>
        <w:sz w:val="20"/>
        <w:szCs w:val="20"/>
      </w:rPr>
      <w:fldChar w:fldCharType="begin"/>
      <w:instrText xml:space="preserve">PAGE</w:instrText>
      <w:fldChar w:fldCharType="separate"/>
      <w:fldChar w:fldCharType="end"/>
    </w:r>
    <w:r w:rsidDel="00000000" w:rsidR="00000000" w:rsidRPr="00000000">
      <w:rPr>
        <w:rFonts w:ascii="Palatino Linotype" w:cs="Palatino Linotype" w:eastAsia="Palatino Linotype" w:hAnsi="Palatino Linotype"/>
        <w:color w:val="000000"/>
        <w:sz w:val="20"/>
        <w:szCs w:val="20"/>
        <w:rtl w:val="0"/>
      </w:rPr>
      <w:t xml:space="preserve"> de </w:t>
    </w:r>
    <w:r w:rsidDel="00000000" w:rsidR="00000000" w:rsidRPr="00000000">
      <w:rPr>
        <w:rFonts w:ascii="Palatino Linotype" w:cs="Palatino Linotype" w:eastAsia="Palatino Linotype" w:hAnsi="Palatino Linotype"/>
        <w:b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pos="4252"/>
        <w:tab w:val="right" w:pos="8504"/>
      </w:tabs>
      <w:rPr>
        <w:rFonts w:ascii="Cambria" w:cs="Cambria" w:eastAsia="Cambria" w:hAnsi="Cambria"/>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pos="4252"/>
        <w:tab w:val="right" w:pos="8504"/>
      </w:tabs>
      <w:jc w:val="right"/>
      <w:rPr>
        <w:rFonts w:ascii="Palatino Linotype" w:cs="Palatino Linotype" w:eastAsia="Palatino Linotype" w:hAnsi="Palatino Linotype"/>
        <w:color w:val="000000"/>
        <w:sz w:val="20"/>
        <w:szCs w:val="20"/>
      </w:rPr>
    </w:pPr>
    <w:r w:rsidDel="00000000" w:rsidR="00000000" w:rsidRPr="00000000">
      <w:rPr>
        <w:rFonts w:ascii="Palatino Linotype" w:cs="Palatino Linotype" w:eastAsia="Palatino Linotype" w:hAnsi="Palatino Linotype"/>
        <w:b w:val="1"/>
        <w:color w:val="000000"/>
        <w:sz w:val="20"/>
        <w:szCs w:val="20"/>
        <w:rtl w:val="0"/>
      </w:rPr>
      <w:t xml:space="preserve">Página </w:t>
    </w:r>
    <w:r w:rsidDel="00000000" w:rsidR="00000000" w:rsidRPr="00000000">
      <w:rPr>
        <w:rFonts w:ascii="Palatino Linotype" w:cs="Palatino Linotype" w:eastAsia="Palatino Linotype" w:hAnsi="Palatino Linotype"/>
        <w:b w:val="1"/>
        <w:color w:val="000000"/>
        <w:sz w:val="20"/>
        <w:szCs w:val="20"/>
      </w:rPr>
      <w:fldChar w:fldCharType="begin"/>
      <w:instrText xml:space="preserve">PAGE</w:instrText>
      <w:fldChar w:fldCharType="separate"/>
      <w:fldChar w:fldCharType="end"/>
    </w:r>
    <w:r w:rsidDel="00000000" w:rsidR="00000000" w:rsidRPr="00000000">
      <w:rPr>
        <w:rFonts w:ascii="Palatino Linotype" w:cs="Palatino Linotype" w:eastAsia="Palatino Linotype" w:hAnsi="Palatino Linotype"/>
        <w:color w:val="000000"/>
        <w:sz w:val="20"/>
        <w:szCs w:val="20"/>
        <w:rtl w:val="0"/>
      </w:rPr>
      <w:t xml:space="preserve"> de </w:t>
    </w:r>
    <w:r w:rsidDel="00000000" w:rsidR="00000000" w:rsidRPr="00000000">
      <w:rPr>
        <w:rFonts w:ascii="Palatino Linotype" w:cs="Palatino Linotype" w:eastAsia="Palatino Linotype" w:hAnsi="Palatino Linotype"/>
        <w:b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pos="4252"/>
        <w:tab w:val="right" w:pos="8504"/>
      </w:tabs>
      <w:ind w:firstLine="708"/>
      <w:rPr>
        <w:rFonts w:ascii="Cambria" w:cs="Cambria" w:eastAsia="Cambria" w:hAnsi="Cambria"/>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-847724</wp:posOffset>
          </wp:positionH>
          <wp:positionV relativeFrom="paragraph">
            <wp:posOffset>22507173</wp:posOffset>
          </wp:positionV>
          <wp:extent cx="7809865" cy="10165715"/>
          <wp:effectExtent b="0" l="0" r="0" t="0"/>
          <wp:wrapNone/>
          <wp:docPr id="3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09865" cy="10165715"/>
                  </a:xfrm>
                  <a:prstGeom prst="rect"/>
                  <a:ln/>
                </pic:spPr>
              </pic:pic>
            </a:graphicData>
          </a:graphic>
        </wp:anchor>
      </w:drawing>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A">
      <w:pPr>
        <w:jc w:val="both"/>
        <w:rPr>
          <w:rFonts w:ascii="Palatino Linotype" w:cs="Palatino Linotype" w:eastAsia="Palatino Linotype" w:hAnsi="Palatino Linotype"/>
          <w:sz w:val="16"/>
          <w:szCs w:val="16"/>
        </w:rPr>
      </w:pPr>
      <w:r w:rsidDel="00000000" w:rsidR="00000000" w:rsidRPr="00000000">
        <w:rPr>
          <w:rStyle w:val="FootnoteReference"/>
          <w:vertAlign w:val="superscript"/>
        </w:rPr>
        <w:footnoteRef/>
      </w:r>
      <w:r w:rsidDel="00000000" w:rsidR="00000000" w:rsidRPr="00000000">
        <w:rPr>
          <w:rFonts w:ascii="Palatino Linotype" w:cs="Palatino Linotype" w:eastAsia="Palatino Linotype" w:hAnsi="Palatino Linotype"/>
          <w:sz w:val="16"/>
          <w:szCs w:val="16"/>
          <w:rtl w:val="0"/>
        </w:rPr>
        <w:t xml:space="preserve"> CIENFUEGOS SALGADO David. El Derecho de Petición en México. Ed. Instituto de Investigaciones Jurídica UNAM. México 2004. p. 31</w:t>
      </w:r>
    </w:p>
  </w:footnote>
  <w:footnote w:id="1">
    <w:p w:rsidR="00000000" w:rsidDel="00000000" w:rsidP="00000000" w:rsidRDefault="00000000" w:rsidRPr="00000000" w14:paraId="0000007B">
      <w:pPr>
        <w:spacing w:after="240" w:before="240" w:lineRule="auto"/>
        <w:jc w:val="both"/>
        <w:rPr>
          <w:rFonts w:ascii="Palatino Linotype" w:cs="Palatino Linotype" w:eastAsia="Palatino Linotype" w:hAnsi="Palatino Linotype"/>
          <w:sz w:val="16"/>
          <w:szCs w:val="16"/>
        </w:rPr>
      </w:pPr>
      <w:r w:rsidDel="00000000" w:rsidR="00000000" w:rsidRPr="00000000">
        <w:rPr>
          <w:rStyle w:val="FootnoteReference"/>
          <w:vertAlign w:val="superscript"/>
        </w:rPr>
        <w:footnoteRef/>
      </w:r>
      <w:r w:rsidDel="00000000" w:rsidR="00000000" w:rsidRPr="00000000">
        <w:rPr>
          <w:rFonts w:ascii="Palatino Linotype" w:cs="Palatino Linotype" w:eastAsia="Palatino Linotype" w:hAnsi="Palatino Linotype"/>
          <w:sz w:val="16"/>
          <w:szCs w:val="16"/>
          <w:rtl w:val="0"/>
        </w:rPr>
        <w:t xml:space="preserve"> Carbonell, M. (2004). Los Derechos Fundamentales (Primera Edición ed.), México: Instituto de investigaciones Jurídicas.</w:t>
      </w:r>
    </w:p>
  </w:footnote>
  <w:footnote w:id="2">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198" w:lineRule="auto"/>
        <w:ind w:left="0" w:right="0" w:firstLine="0"/>
        <w:jc w:val="both"/>
        <w:rPr>
          <w:rFonts w:ascii="Palatino Linotype" w:cs="Palatino Linotype" w:eastAsia="Palatino Linotype" w:hAnsi="Palatino Linotype"/>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Palatino Linotype" w:cs="Palatino Linotype" w:eastAsia="Palatino Linotype" w:hAnsi="Palatino Linotype"/>
          <w:b w:val="0"/>
          <w:i w:val="0"/>
          <w:smallCaps w:val="0"/>
          <w:strike w:val="0"/>
          <w:color w:val="000000"/>
          <w:sz w:val="16"/>
          <w:szCs w:val="16"/>
          <w:u w:val="none"/>
          <w:shd w:fill="auto" w:val="clear"/>
          <w:vertAlign w:val="baseline"/>
          <w:rtl w:val="0"/>
        </w:rPr>
        <w:t xml:space="preserve"> VILLANUEVA VILLANUEVA Ernesto, Derecho de la Información, Ed, Porrúa S.A., México. 2006, pág.270.</w:t>
      </w:r>
    </w:p>
  </w:footnote>
  <w:footnote w:id="3">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Palatino Linotype" w:cs="Palatino Linotype" w:eastAsia="Palatino Linotype" w:hAnsi="Palatino Linotype"/>
          <w:b w:val="0"/>
          <w:i w:val="0"/>
          <w:smallCaps w:val="0"/>
          <w:strike w:val="0"/>
          <w:color w:val="000000"/>
          <w:sz w:val="16"/>
          <w:szCs w:val="16"/>
          <w:u w:val="none"/>
          <w:shd w:fill="auto" w:val="clear"/>
          <w:vertAlign w:val="baseline"/>
          <w:rtl w:val="0"/>
        </w:rPr>
        <w:t xml:space="preserve"> Artículo 143. Para los efectos de esta Ley se considera información confidencial, la clasificada como tal, de manera permanente, por su naturaleza, cuando: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b w:val="0"/>
          <w:i w:val="0"/>
          <w:smallCaps w:val="0"/>
          <w:strike w:val="0"/>
          <w:color w:val="000000"/>
          <w:sz w:val="16"/>
          <w:szCs w:val="16"/>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16"/>
          <w:szCs w:val="16"/>
          <w:u w:val="none"/>
          <w:shd w:fill="auto" w:val="clear"/>
          <w:vertAlign w:val="baseline"/>
          <w:rtl w:val="0"/>
        </w:rPr>
        <w:t xml:space="preserve">I. Se refiera a la información privada y los datos personales concernientes a una persona física o jurídico colectiva identificada o identificable;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line="276" w:lineRule="auto"/>
      <w:rPr>
        <w:rFonts w:ascii="Palatino Linotype" w:cs="Palatino Linotype" w:eastAsia="Palatino Linotype" w:hAnsi="Palatino Linotype"/>
        <w:color w:val="000000"/>
        <w:sz w:val="16"/>
        <w:szCs w:val="16"/>
      </w:rPr>
    </w:pPr>
    <w:r w:rsidDel="00000000" w:rsidR="00000000" w:rsidRPr="00000000">
      <w:rPr>
        <w:rtl w:val="0"/>
      </w:rPr>
    </w:r>
  </w:p>
  <w:tbl>
    <w:tblPr>
      <w:tblStyle w:val="Table1"/>
      <w:tblW w:w="5670.0" w:type="dxa"/>
      <w:jc w:val="left"/>
      <w:tblInd w:w="3261.0" w:type="dxa"/>
      <w:tblLayout w:type="fixed"/>
      <w:tblLook w:val="0400"/>
    </w:tblPr>
    <w:tblGrid>
      <w:gridCol w:w="2551"/>
      <w:gridCol w:w="3119"/>
      <w:tblGridChange w:id="0">
        <w:tblGrid>
          <w:gridCol w:w="2551"/>
          <w:gridCol w:w="3119"/>
        </w:tblGrid>
      </w:tblGridChange>
    </w:tblGrid>
    <w:tr>
      <w:trPr>
        <w:cantSplit w:val="0"/>
        <w:tblHeader w:val="0"/>
      </w:trPr>
      <w:tc>
        <w:tcPr>
          <w:shd w:fill="auto" w:val="clear"/>
          <w:vAlign w:val="center"/>
        </w:tcPr>
        <w:p w:rsidR="00000000" w:rsidDel="00000000" w:rsidP="00000000" w:rsidRDefault="00000000" w:rsidRPr="00000000" w14:paraId="00000080">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Recurso de Revisión:</w:t>
          </w:r>
        </w:p>
      </w:tc>
      <w:tc>
        <w:tcPr>
          <w:shd w:fill="auto" w:val="clear"/>
          <w:vAlign w:val="center"/>
        </w:tcPr>
        <w:p w:rsidR="00000000" w:rsidDel="00000000" w:rsidP="00000000" w:rsidRDefault="00000000" w:rsidRPr="00000000" w14:paraId="00000081">
          <w:pPr>
            <w:tabs>
              <w:tab w:val="left" w:pos="3153"/>
            </w:tabs>
            <w:ind w:left="-45"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01024/INFOEM/IP/RR/2022</w:t>
          </w:r>
        </w:p>
      </w:tc>
    </w:tr>
    <w:tr>
      <w:trPr>
        <w:cantSplit w:val="0"/>
        <w:trHeight w:val="130" w:hRule="atLeast"/>
        <w:tblHeader w:val="0"/>
      </w:trPr>
      <w:tc>
        <w:tcPr>
          <w:shd w:fill="auto" w:val="clear"/>
          <w:vAlign w:val="center"/>
        </w:tcPr>
        <w:p w:rsidR="00000000" w:rsidDel="00000000" w:rsidP="00000000" w:rsidRDefault="00000000" w:rsidRPr="00000000" w14:paraId="00000082">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Recurrente:</w:t>
          </w:r>
        </w:p>
      </w:tc>
      <w:tc>
        <w:tcPr>
          <w:shd w:fill="auto" w:val="clear"/>
          <w:vAlign w:val="center"/>
        </w:tcPr>
        <w:p w:rsidR="00000000" w:rsidDel="00000000" w:rsidP="00000000" w:rsidRDefault="00000000" w:rsidRPr="00000000" w14:paraId="00000083">
          <w:pPr>
            <w:ind w:left="-45"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Persona que no se identifica</w:t>
          </w:r>
        </w:p>
      </w:tc>
    </w:tr>
    <w:tr>
      <w:trPr>
        <w:cantSplit w:val="0"/>
        <w:trHeight w:val="228" w:hRule="atLeast"/>
        <w:tblHeader w:val="0"/>
      </w:trPr>
      <w:tc>
        <w:tcPr>
          <w:shd w:fill="auto" w:val="clear"/>
          <w:vAlign w:val="center"/>
        </w:tcPr>
        <w:p w:rsidR="00000000" w:rsidDel="00000000" w:rsidP="00000000" w:rsidRDefault="00000000" w:rsidRPr="00000000" w14:paraId="00000084">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Sujeto obligado:</w:t>
          </w:r>
        </w:p>
      </w:tc>
      <w:tc>
        <w:tcPr>
          <w:shd w:fill="auto" w:val="clear"/>
          <w:vAlign w:val="center"/>
        </w:tcPr>
        <w:p w:rsidR="00000000" w:rsidDel="00000000" w:rsidP="00000000" w:rsidRDefault="00000000" w:rsidRPr="00000000" w14:paraId="00000085">
          <w:pPr>
            <w:ind w:left="-45" w:right="176"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Ayuntamiento de Tequixquiac</w:t>
          </w:r>
        </w:p>
      </w:tc>
    </w:tr>
    <w:tr>
      <w:trPr>
        <w:cantSplit w:val="0"/>
        <w:tblHeader w:val="0"/>
      </w:trPr>
      <w:tc>
        <w:tcPr>
          <w:shd w:fill="auto" w:val="clear"/>
          <w:vAlign w:val="center"/>
        </w:tcPr>
        <w:p w:rsidR="00000000" w:rsidDel="00000000" w:rsidP="00000000" w:rsidRDefault="00000000" w:rsidRPr="00000000" w14:paraId="00000086">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Comisionada ponente:</w:t>
          </w:r>
        </w:p>
      </w:tc>
      <w:tc>
        <w:tcPr>
          <w:shd w:fill="auto" w:val="clear"/>
          <w:vAlign w:val="center"/>
        </w:tcPr>
        <w:p w:rsidR="00000000" w:rsidDel="00000000" w:rsidP="00000000" w:rsidRDefault="00000000" w:rsidRPr="00000000" w14:paraId="00000087">
          <w:pPr>
            <w:ind w:left="-45" w:right="-533"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Guadalupe Ramírez Peña</w:t>
          </w:r>
        </w:p>
      </w:tc>
    </w:tr>
  </w:tbl>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pos="4252"/>
        <w:tab w:val="right" w:pos="8504"/>
      </w:tabs>
      <w:rPr>
        <w:rFonts w:ascii="Cambria" w:cs="Cambria" w:eastAsia="Cambria" w:hAnsi="Cambria"/>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-1089658</wp:posOffset>
          </wp:positionH>
          <wp:positionV relativeFrom="paragraph">
            <wp:posOffset>-1169668</wp:posOffset>
          </wp:positionV>
          <wp:extent cx="7809865" cy="10165715"/>
          <wp:effectExtent b="0" l="0" r="0" t="0"/>
          <wp:wrapNone/>
          <wp:docPr id="3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09865" cy="1016571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pos="4252"/>
        <w:tab w:val="right" w:pos="8504"/>
        <w:tab w:val="left" w:pos="2326"/>
      </w:tabs>
      <w:rPr>
        <w:rFonts w:ascii="Cambria" w:cs="Cambria" w:eastAsia="Cambria" w:hAnsi="Cambria"/>
        <w:color w:val="000000"/>
      </w:rPr>
    </w:pPr>
    <w:r w:rsidDel="00000000" w:rsidR="00000000" w:rsidRPr="00000000">
      <w:rPr>
        <w:rtl w:val="0"/>
      </w:rPr>
    </w:r>
  </w:p>
  <w:tbl>
    <w:tblPr>
      <w:tblStyle w:val="Table2"/>
      <w:tblW w:w="5953.0" w:type="dxa"/>
      <w:jc w:val="left"/>
      <w:tblInd w:w="3261.0" w:type="dxa"/>
      <w:tblLayout w:type="fixed"/>
      <w:tblLook w:val="0400"/>
    </w:tblPr>
    <w:tblGrid>
      <w:gridCol w:w="2489"/>
      <w:gridCol w:w="3464"/>
      <w:tblGridChange w:id="0">
        <w:tblGrid>
          <w:gridCol w:w="2489"/>
          <w:gridCol w:w="3464"/>
        </w:tblGrid>
      </w:tblGridChange>
    </w:tblGrid>
    <w:tr>
      <w:trPr>
        <w:cantSplit w:val="0"/>
        <w:tblHeader w:val="0"/>
      </w:trPr>
      <w:tc>
        <w:tcPr>
          <w:shd w:fill="auto" w:val="clear"/>
        </w:tcPr>
        <w:p w:rsidR="00000000" w:rsidDel="00000000" w:rsidP="00000000" w:rsidRDefault="00000000" w:rsidRPr="00000000" w14:paraId="0000008A">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Recurso de Revisión:</w:t>
          </w:r>
        </w:p>
      </w:tc>
      <w:tc>
        <w:tcPr>
          <w:shd w:fill="auto" w:val="clear"/>
          <w:vAlign w:val="center"/>
        </w:tcPr>
        <w:p w:rsidR="00000000" w:rsidDel="00000000" w:rsidP="00000000" w:rsidRDefault="00000000" w:rsidRPr="00000000" w14:paraId="0000008B">
          <w:pPr>
            <w:ind w:right="175"/>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01024/INFOEM/IP/RR/2022</w:t>
          </w:r>
        </w:p>
      </w:tc>
    </w:tr>
    <w:tr>
      <w:trPr>
        <w:cantSplit w:val="0"/>
        <w:trHeight w:val="228" w:hRule="atLeast"/>
        <w:tblHeader w:val="0"/>
      </w:trPr>
      <w:tc>
        <w:tcPr>
          <w:shd w:fill="auto" w:val="clear"/>
          <w:vAlign w:val="center"/>
        </w:tcPr>
        <w:p w:rsidR="00000000" w:rsidDel="00000000" w:rsidP="00000000" w:rsidRDefault="00000000" w:rsidRPr="00000000" w14:paraId="0000008C">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Sujeto Obligado:</w:t>
          </w:r>
        </w:p>
      </w:tc>
      <w:tc>
        <w:tcPr>
          <w:shd w:fill="auto" w:val="clear"/>
          <w:vAlign w:val="center"/>
        </w:tcPr>
        <w:p w:rsidR="00000000" w:rsidDel="00000000" w:rsidP="00000000" w:rsidRDefault="00000000" w:rsidRPr="00000000" w14:paraId="0000008D">
          <w:pPr>
            <w:ind w:left="-45" w:right="176"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Ayuntamiento de Tequixquiac</w:t>
          </w:r>
        </w:p>
      </w:tc>
    </w:tr>
    <w:tr>
      <w:trPr>
        <w:cantSplit w:val="0"/>
        <w:tblHeader w:val="0"/>
      </w:trPr>
      <w:tc>
        <w:tcPr>
          <w:shd w:fill="auto" w:val="clear"/>
          <w:vAlign w:val="center"/>
        </w:tcPr>
        <w:p w:rsidR="00000000" w:rsidDel="00000000" w:rsidP="00000000" w:rsidRDefault="00000000" w:rsidRPr="00000000" w14:paraId="0000008E">
          <w:pPr>
            <w:ind w:right="-108"/>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Comisionada ponente:</w:t>
          </w:r>
        </w:p>
      </w:tc>
      <w:tc>
        <w:tcPr>
          <w:shd w:fill="auto" w:val="clear"/>
          <w:vAlign w:val="center"/>
        </w:tcPr>
        <w:p w:rsidR="00000000" w:rsidDel="00000000" w:rsidP="00000000" w:rsidRDefault="00000000" w:rsidRPr="00000000" w14:paraId="0000008F">
          <w:pPr>
            <w:ind w:right="175"/>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Guadalupe Ramírez Peña</w:t>
          </w:r>
        </w:p>
      </w:tc>
    </w:tr>
  </w:tbl>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pos="4252"/>
        <w:tab w:val="right" w:pos="8504"/>
        <w:tab w:val="left" w:pos="2326"/>
      </w:tabs>
      <w:rPr>
        <w:rFonts w:ascii="Cambria" w:cs="Cambria" w:eastAsia="Cambria" w:hAnsi="Cambria"/>
        <w:color w:val="000000"/>
      </w:rPr>
    </w:pPr>
    <w:r w:rsidDel="00000000" w:rsidR="00000000" w:rsidRPr="00000000">
      <w:rPr>
        <w:rFonts w:ascii="Cambria" w:cs="Cambria" w:eastAsia="Cambria" w:hAnsi="Cambria"/>
        <w:color w:val="000000"/>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36609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366091"/>
      <w:sz w:val="26"/>
      <w:szCs w:val="26"/>
    </w:rPr>
  </w:style>
  <w:style w:type="paragraph" w:styleId="Heading3">
    <w:name w:val="heading 3"/>
    <w:basedOn w:val="Normal"/>
    <w:next w:val="Normal"/>
    <w:pPr>
      <w:keepNext w:val="1"/>
      <w:spacing w:after="60" w:before="240" w:lineRule="auto"/>
      <w:ind w:left="2160" w:hanging="720"/>
    </w:pPr>
    <w:rPr>
      <w:rFonts w:ascii="Calibri" w:cs="Calibri" w:eastAsia="Calibri" w:hAnsi="Calibri"/>
      <w:b w:val="1"/>
      <w:sz w:val="26"/>
      <w:szCs w:val="26"/>
    </w:rPr>
  </w:style>
  <w:style w:type="paragraph" w:styleId="Heading4">
    <w:name w:val="heading 4"/>
    <w:basedOn w:val="Normal"/>
    <w:next w:val="Normal"/>
    <w:pPr>
      <w:keepNext w:val="1"/>
      <w:spacing w:after="60" w:before="240" w:lineRule="auto"/>
      <w:ind w:left="2880" w:hanging="720"/>
    </w:pPr>
    <w:rPr>
      <w:rFonts w:ascii="Cambria" w:cs="Cambria" w:eastAsia="Cambria" w:hAnsi="Cambria"/>
      <w:b w:val="1"/>
      <w:sz w:val="28"/>
      <w:szCs w:val="28"/>
    </w:rPr>
  </w:style>
  <w:style w:type="paragraph" w:styleId="Heading5">
    <w:name w:val="heading 5"/>
    <w:basedOn w:val="Normal"/>
    <w:next w:val="Normal"/>
    <w:pPr>
      <w:spacing w:after="60" w:before="240" w:lineRule="auto"/>
      <w:ind w:left="3600" w:hanging="720"/>
    </w:pPr>
    <w:rPr>
      <w:rFonts w:ascii="Cambria" w:cs="Cambria" w:eastAsia="Cambria" w:hAnsi="Cambria"/>
      <w:b w:val="1"/>
      <w:i w:val="1"/>
      <w:sz w:val="26"/>
      <w:szCs w:val="26"/>
    </w:rPr>
  </w:style>
  <w:style w:type="paragraph" w:styleId="Heading6">
    <w:name w:val="heading 6"/>
    <w:basedOn w:val="Normal"/>
    <w:next w:val="Normal"/>
    <w:pPr>
      <w:spacing w:after="60" w:before="240" w:lineRule="auto"/>
      <w:ind w:left="4320" w:hanging="720"/>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B2902"/>
  </w:style>
  <w:style w:type="paragraph" w:styleId="Ttulo1">
    <w:name w:val="heading 1"/>
    <w:basedOn w:val="Normal"/>
    <w:next w:val="Normal"/>
    <w:link w:val="Ttulo1Car"/>
    <w:uiPriority w:val="9"/>
    <w:qFormat w:val="1"/>
    <w:rsid w:val="00603D72"/>
    <w:pPr>
      <w:keepNext w:val="1"/>
      <w:keepLines w:val="1"/>
      <w:spacing w:before="240"/>
      <w:outlineLvl w:val="0"/>
    </w:pPr>
    <w:rPr>
      <w:rFonts w:asciiTheme="majorHAnsi" w:cstheme="majorBidi" w:eastAsiaTheme="majorEastAsia" w:hAnsiTheme="majorHAnsi"/>
      <w:color w:val="365f91" w:themeColor="accent1" w:themeShade="0000BF"/>
      <w:sz w:val="32"/>
      <w:szCs w:val="32"/>
    </w:rPr>
  </w:style>
  <w:style w:type="paragraph" w:styleId="Ttulo2">
    <w:name w:val="heading 2"/>
    <w:basedOn w:val="Normal"/>
    <w:next w:val="Normal"/>
    <w:link w:val="Ttulo2Car"/>
    <w:uiPriority w:val="9"/>
    <w:unhideWhenUsed w:val="1"/>
    <w:qFormat w:val="1"/>
    <w:rsid w:val="00603D72"/>
    <w:pPr>
      <w:keepNext w:val="1"/>
      <w:keepLines w:val="1"/>
      <w:spacing w:before="40"/>
      <w:outlineLvl w:val="1"/>
    </w:pPr>
    <w:rPr>
      <w:rFonts w:asciiTheme="majorHAnsi" w:cstheme="majorBidi" w:eastAsiaTheme="majorEastAsia" w:hAnsiTheme="majorHAnsi"/>
      <w:color w:val="365f91" w:themeColor="accent1" w:themeShade="0000BF"/>
      <w:sz w:val="26"/>
      <w:szCs w:val="26"/>
    </w:rPr>
  </w:style>
  <w:style w:type="paragraph" w:styleId="Ttulo3">
    <w:name w:val="heading 3"/>
    <w:basedOn w:val="Normal"/>
    <w:next w:val="Normal"/>
    <w:link w:val="Ttulo3Car"/>
    <w:uiPriority w:val="9"/>
    <w:semiHidden w:val="1"/>
    <w:unhideWhenUsed w:val="1"/>
    <w:qFormat w:val="1"/>
    <w:rsid w:val="003B73CD"/>
    <w:pPr>
      <w:keepNext w:val="1"/>
      <w:tabs>
        <w:tab w:val="num" w:pos="2160"/>
      </w:tabs>
      <w:spacing w:after="60" w:before="240"/>
      <w:ind w:left="2160" w:hanging="720"/>
      <w:outlineLvl w:val="2"/>
    </w:pPr>
    <w:rPr>
      <w:rFonts w:asciiTheme="majorHAnsi" w:cstheme="majorBidi" w:eastAsiaTheme="majorEastAsia" w:hAnsiTheme="majorHAnsi"/>
      <w:b w:val="1"/>
      <w:bCs w:val="1"/>
      <w:sz w:val="26"/>
      <w:szCs w:val="26"/>
      <w:lang w:eastAsia="en-US" w:val="en-US"/>
    </w:rPr>
  </w:style>
  <w:style w:type="paragraph" w:styleId="Ttulo4">
    <w:name w:val="heading 4"/>
    <w:basedOn w:val="Normal"/>
    <w:next w:val="Normal"/>
    <w:link w:val="Ttulo4Car"/>
    <w:uiPriority w:val="9"/>
    <w:semiHidden w:val="1"/>
    <w:unhideWhenUsed w:val="1"/>
    <w:qFormat w:val="1"/>
    <w:rsid w:val="003B73CD"/>
    <w:pPr>
      <w:keepNext w:val="1"/>
      <w:tabs>
        <w:tab w:val="num" w:pos="2880"/>
      </w:tabs>
      <w:spacing w:after="60" w:before="240"/>
      <w:ind w:left="2880" w:hanging="720"/>
      <w:outlineLvl w:val="3"/>
    </w:pPr>
    <w:rPr>
      <w:rFonts w:asciiTheme="minorHAnsi" w:cstheme="minorBidi" w:eastAsiaTheme="minorEastAsia" w:hAnsiTheme="minorHAnsi"/>
      <w:b w:val="1"/>
      <w:bCs w:val="1"/>
      <w:sz w:val="28"/>
      <w:szCs w:val="28"/>
      <w:lang w:eastAsia="en-US" w:val="en-US"/>
    </w:rPr>
  </w:style>
  <w:style w:type="paragraph" w:styleId="Ttulo5">
    <w:name w:val="heading 5"/>
    <w:basedOn w:val="Normal"/>
    <w:next w:val="Normal"/>
    <w:link w:val="Ttulo5Car"/>
    <w:uiPriority w:val="9"/>
    <w:semiHidden w:val="1"/>
    <w:unhideWhenUsed w:val="1"/>
    <w:qFormat w:val="1"/>
    <w:rsid w:val="003B73CD"/>
    <w:pPr>
      <w:tabs>
        <w:tab w:val="num" w:pos="3600"/>
      </w:tabs>
      <w:spacing w:after="60" w:before="240"/>
      <w:ind w:left="3600" w:hanging="720"/>
      <w:outlineLvl w:val="4"/>
    </w:pPr>
    <w:rPr>
      <w:rFonts w:asciiTheme="minorHAnsi" w:cstheme="minorBidi" w:eastAsiaTheme="minorEastAsia" w:hAnsiTheme="minorHAnsi"/>
      <w:b w:val="1"/>
      <w:bCs w:val="1"/>
      <w:i w:val="1"/>
      <w:iCs w:val="1"/>
      <w:sz w:val="26"/>
      <w:szCs w:val="26"/>
      <w:lang w:eastAsia="en-US" w:val="en-US"/>
    </w:rPr>
  </w:style>
  <w:style w:type="paragraph" w:styleId="Ttulo6">
    <w:name w:val="heading 6"/>
    <w:basedOn w:val="Normal"/>
    <w:next w:val="Normal"/>
    <w:link w:val="Ttulo6Car"/>
    <w:semiHidden w:val="1"/>
    <w:unhideWhenUsed w:val="1"/>
    <w:qFormat w:val="1"/>
    <w:rsid w:val="003B73CD"/>
    <w:pPr>
      <w:tabs>
        <w:tab w:val="num" w:pos="4320"/>
      </w:tabs>
      <w:spacing w:after="60" w:before="240"/>
      <w:ind w:left="4320" w:hanging="720"/>
      <w:outlineLvl w:val="5"/>
    </w:pPr>
    <w:rPr>
      <w:b w:val="1"/>
      <w:bCs w:val="1"/>
      <w:sz w:val="22"/>
      <w:szCs w:val="22"/>
      <w:lang w:eastAsia="en-US" w:val="en-US"/>
    </w:rPr>
  </w:style>
  <w:style w:type="paragraph" w:styleId="Ttulo7">
    <w:name w:val="heading 7"/>
    <w:basedOn w:val="Normal"/>
    <w:next w:val="Normal"/>
    <w:link w:val="Ttulo7Car"/>
    <w:uiPriority w:val="9"/>
    <w:semiHidden w:val="1"/>
    <w:unhideWhenUsed w:val="1"/>
    <w:qFormat w:val="1"/>
    <w:rsid w:val="003B73CD"/>
    <w:pPr>
      <w:tabs>
        <w:tab w:val="num" w:pos="5040"/>
      </w:tabs>
      <w:spacing w:after="60" w:before="240"/>
      <w:ind w:left="5040" w:hanging="720"/>
      <w:outlineLvl w:val="6"/>
    </w:pPr>
    <w:rPr>
      <w:rFonts w:asciiTheme="minorHAnsi" w:cstheme="minorBidi" w:eastAsiaTheme="minorEastAsia" w:hAnsiTheme="minorHAnsi"/>
      <w:lang w:eastAsia="en-US" w:val="en-US"/>
    </w:rPr>
  </w:style>
  <w:style w:type="paragraph" w:styleId="Ttulo8">
    <w:name w:val="heading 8"/>
    <w:basedOn w:val="Normal"/>
    <w:next w:val="Normal"/>
    <w:link w:val="Ttulo8Car"/>
    <w:uiPriority w:val="9"/>
    <w:semiHidden w:val="1"/>
    <w:unhideWhenUsed w:val="1"/>
    <w:qFormat w:val="1"/>
    <w:rsid w:val="003B73CD"/>
    <w:pPr>
      <w:tabs>
        <w:tab w:val="num" w:pos="5760"/>
      </w:tabs>
      <w:spacing w:after="60" w:before="240"/>
      <w:ind w:left="5760" w:hanging="720"/>
      <w:outlineLvl w:val="7"/>
    </w:pPr>
    <w:rPr>
      <w:rFonts w:asciiTheme="minorHAnsi" w:cstheme="minorBidi" w:eastAsiaTheme="minorEastAsia" w:hAnsiTheme="minorHAnsi"/>
      <w:i w:val="1"/>
      <w:iCs w:val="1"/>
      <w:lang w:eastAsia="en-US" w:val="en-US"/>
    </w:rPr>
  </w:style>
  <w:style w:type="paragraph" w:styleId="Ttulo9">
    <w:name w:val="heading 9"/>
    <w:basedOn w:val="Normal"/>
    <w:next w:val="Normal"/>
    <w:link w:val="Ttulo9Car"/>
    <w:uiPriority w:val="9"/>
    <w:semiHidden w:val="1"/>
    <w:unhideWhenUsed w:val="1"/>
    <w:qFormat w:val="1"/>
    <w:rsid w:val="003B73CD"/>
    <w:pPr>
      <w:tabs>
        <w:tab w:val="num" w:pos="6480"/>
      </w:tabs>
      <w:spacing w:after="60" w:before="240"/>
      <w:ind w:left="6480" w:hanging="720"/>
      <w:outlineLvl w:val="8"/>
    </w:pPr>
    <w:rPr>
      <w:rFonts w:asciiTheme="majorHAnsi" w:cstheme="majorBidi" w:eastAsiaTheme="majorEastAsia" w:hAnsiTheme="majorHAnsi"/>
      <w:sz w:val="22"/>
      <w:szCs w:val="22"/>
      <w:lang w:eastAsia="en-US" w:val="en-U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paragraph" w:styleId="Encabezado">
    <w:name w:val="header"/>
    <w:basedOn w:val="Normal"/>
    <w:link w:val="EncabezadoCar"/>
    <w:uiPriority w:val="99"/>
    <w:unhideWhenUsed w:val="1"/>
    <w:rsid w:val="00C80F8C"/>
    <w:pPr>
      <w:tabs>
        <w:tab w:val="center" w:pos="4252"/>
        <w:tab w:val="right" w:pos="8504"/>
      </w:tabs>
    </w:pPr>
    <w:rPr>
      <w:rFonts w:asciiTheme="minorHAnsi" w:cstheme="minorBidi" w:eastAsiaTheme="minorEastAsia" w:hAnsiTheme="minorHAnsi"/>
      <w:lang w:val="es-ES_tradnl"/>
    </w:rPr>
  </w:style>
  <w:style w:type="character" w:styleId="EncabezadoCar" w:customStyle="1">
    <w:name w:val="Encabezado Car"/>
    <w:basedOn w:val="Fuentedeprrafopredeter"/>
    <w:link w:val="Encabezado"/>
    <w:uiPriority w:val="99"/>
    <w:rsid w:val="00C80F8C"/>
  </w:style>
  <w:style w:type="paragraph" w:styleId="Piedepgina">
    <w:name w:val="footer"/>
    <w:basedOn w:val="Normal"/>
    <w:link w:val="PiedepginaCar"/>
    <w:uiPriority w:val="99"/>
    <w:unhideWhenUsed w:val="1"/>
    <w:rsid w:val="00C80F8C"/>
    <w:pPr>
      <w:tabs>
        <w:tab w:val="center" w:pos="4252"/>
        <w:tab w:val="right" w:pos="8504"/>
      </w:tabs>
    </w:pPr>
    <w:rPr>
      <w:rFonts w:asciiTheme="minorHAnsi" w:cstheme="minorBidi" w:eastAsiaTheme="minorEastAsia" w:hAnsiTheme="minorHAnsi"/>
      <w:lang w:val="es-ES_tradnl"/>
    </w:rPr>
  </w:style>
  <w:style w:type="character" w:styleId="PiedepginaCar" w:customStyle="1">
    <w:name w:val="Pie de página Car"/>
    <w:basedOn w:val="Fuentedeprrafopredeter"/>
    <w:link w:val="Piedepgina"/>
    <w:uiPriority w:val="99"/>
    <w:rsid w:val="00C80F8C"/>
  </w:style>
  <w:style w:type="paragraph" w:styleId="Textodeglobo">
    <w:name w:val="Balloon Text"/>
    <w:basedOn w:val="Normal"/>
    <w:link w:val="TextodegloboCar"/>
    <w:uiPriority w:val="99"/>
    <w:semiHidden w:val="1"/>
    <w:unhideWhenUsed w:val="1"/>
    <w:rsid w:val="00C80F8C"/>
    <w:rPr>
      <w:rFonts w:ascii="Lucida Grande" w:cs="Lucida Grande" w:hAnsi="Lucida Grande" w:eastAsiaTheme="minorEastAsia"/>
      <w:sz w:val="18"/>
      <w:szCs w:val="18"/>
      <w:lang w:val="es-ES_tradnl"/>
    </w:rPr>
  </w:style>
  <w:style w:type="character" w:styleId="TextodegloboCar" w:customStyle="1">
    <w:name w:val="Texto de globo Car"/>
    <w:basedOn w:val="Fuentedeprrafopredeter"/>
    <w:link w:val="Textodeglobo"/>
    <w:uiPriority w:val="99"/>
    <w:semiHidden w:val="1"/>
    <w:rsid w:val="00C80F8C"/>
    <w:rPr>
      <w:rFonts w:ascii="Lucida Grande" w:cs="Lucida Grande" w:hAnsi="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val="1"/>
    <w:rsid w:val="0070703E"/>
    <w:pPr>
      <w:ind w:left="720"/>
      <w:contextualSpacing w:val="1"/>
    </w:pPr>
  </w:style>
  <w:style w:type="character" w:styleId="Hipervnculo">
    <w:name w:val="Hyperlink"/>
    <w:basedOn w:val="Fuentedeprrafopredeter"/>
    <w:uiPriority w:val="99"/>
    <w:unhideWhenUsed w:val="1"/>
    <w:rsid w:val="00FD7589"/>
    <w:rPr>
      <w:color w:val="0000ff"/>
      <w:u w:val="single"/>
    </w:rPr>
  </w:style>
  <w:style w:type="character" w:styleId="apple-converted-space" w:customStyle="1">
    <w:name w:val="apple-converted-space"/>
    <w:basedOn w:val="Fuentedeprrafopredeter"/>
    <w:rsid w:val="00FD7589"/>
  </w:style>
  <w:style w:type="paragraph" w:styleId="Listavistosa-nfasis11" w:customStyle="1">
    <w:name w:val="Lista vistosa - Énfasis 11"/>
    <w:basedOn w:val="Normal"/>
    <w:link w:val="Listavistosa-nfasis1Car"/>
    <w:uiPriority w:val="34"/>
    <w:qFormat w:val="1"/>
    <w:rsid w:val="000D2D89"/>
    <w:pPr>
      <w:ind w:left="708"/>
    </w:pPr>
  </w:style>
  <w:style w:type="character" w:styleId="Listavistosa-nfasis1Car" w:customStyle="1">
    <w:name w:val="Lista vistosa - Énfasis 1 Car"/>
    <w:link w:val="Listavistosa-nfasis11"/>
    <w:uiPriority w:val="34"/>
    <w:locked w:val="1"/>
    <w:rsid w:val="000D2D89"/>
    <w:rPr>
      <w:rFonts w:ascii="Times New Roman" w:cs="Times New Roman" w:eastAsia="Times New Roman" w:hAnsi="Times New Roman"/>
      <w:lang w:val="es-ES"/>
    </w:rPr>
  </w:style>
  <w:style w:type="paragraph" w:styleId="Texto" w:customStyle="1">
    <w:name w:val="Texto"/>
    <w:basedOn w:val="Normal"/>
    <w:link w:val="TextoCar"/>
    <w:rsid w:val="000470FE"/>
    <w:pPr>
      <w:spacing w:after="101" w:line="216" w:lineRule="exact"/>
      <w:ind w:firstLine="288"/>
      <w:jc w:val="both"/>
    </w:pPr>
    <w:rPr>
      <w:rFonts w:ascii="Arial" w:cs="Arial" w:hAnsi="Arial"/>
      <w:sz w:val="18"/>
      <w:szCs w:val="18"/>
      <w:lang w:val="es-MX"/>
    </w:rPr>
  </w:style>
  <w:style w:type="paragraph" w:styleId="NormalWeb">
    <w:name w:val="Normal (Web)"/>
    <w:basedOn w:val="Normal"/>
    <w:uiPriority w:val="99"/>
    <w:rsid w:val="000470FE"/>
    <w:pPr>
      <w:spacing w:after="100" w:afterAutospacing="1" w:before="100" w:beforeAutospacing="1"/>
    </w:pPr>
  </w:style>
  <w:style w:type="character" w:styleId="apple-style-span" w:customStyle="1">
    <w:name w:val="apple-style-span"/>
    <w:rsid w:val="008846E7"/>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val="1"/>
    <w:locked w:val="1"/>
    <w:rsid w:val="007E1FF4"/>
    <w:rPr>
      <w:rFonts w:ascii="Times New Roman" w:cs="Times New Roman" w:eastAsia="Times New Roman" w:hAnsi="Times New Roman"/>
      <w:lang w:val="es-ES"/>
    </w:rPr>
  </w:style>
  <w:style w:type="character" w:styleId="Textoennegrita">
    <w:name w:val="Strong"/>
    <w:uiPriority w:val="22"/>
    <w:qFormat w:val="1"/>
    <w:rsid w:val="003D1B5F"/>
    <w:rPr>
      <w:b w:val="1"/>
      <w:bCs w:val="1"/>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val="1"/>
    <w:qFormat w:val="1"/>
    <w:rsid w:val="002944C8"/>
    <w:rPr>
      <w:rFonts w:asciiTheme="minorHAnsi" w:cstheme="minorBidi" w:eastAsiaTheme="minorHAnsi" w:hAnsiTheme="minorHAnsi"/>
      <w:sz w:val="20"/>
      <w:szCs w:val="20"/>
      <w:lang w:eastAsia="en-US" w:val="es-MX"/>
    </w:rPr>
  </w:style>
  <w:style w:type="character" w:styleId="TextonotapieCar" w:customStyle="1">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944C8"/>
    <w:rPr>
      <w:rFonts w:eastAsiaTheme="minorHAnsi"/>
      <w:sz w:val="20"/>
      <w:szCs w:val="20"/>
      <w:lang w:eastAsia="en-US"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val="1"/>
    <w:qFormat w:val="1"/>
    <w:rsid w:val="002944C8"/>
    <w:rPr>
      <w:vertAlign w:val="superscript"/>
    </w:rPr>
  </w:style>
  <w:style w:type="paragraph" w:styleId="Sinespaciado">
    <w:name w:val="No Spacing"/>
    <w:aliases w:val="Francesa"/>
    <w:link w:val="SinespaciadoCar"/>
    <w:uiPriority w:val="1"/>
    <w:qFormat w:val="1"/>
    <w:rsid w:val="002944C8"/>
    <w:rPr>
      <w:lang w:val="es-MX"/>
    </w:rPr>
  </w:style>
  <w:style w:type="paragraph" w:styleId="Textoindependiente2">
    <w:name w:val="Body Text 2"/>
    <w:basedOn w:val="Normal"/>
    <w:link w:val="Textoindependiente2Car"/>
    <w:uiPriority w:val="99"/>
    <w:unhideWhenUsed w:val="1"/>
    <w:rsid w:val="002944C8"/>
    <w:pPr>
      <w:spacing w:after="120" w:line="480" w:lineRule="auto"/>
    </w:pPr>
  </w:style>
  <w:style w:type="character" w:styleId="Textoindependiente2Car" w:customStyle="1">
    <w:name w:val="Texto independiente 2 Car"/>
    <w:basedOn w:val="Fuentedeprrafopredeter"/>
    <w:link w:val="Textoindependiente2"/>
    <w:uiPriority w:val="99"/>
    <w:rsid w:val="002944C8"/>
    <w:rPr>
      <w:rFonts w:ascii="Times New Roman" w:cs="Times New Roman" w:eastAsia="Times New Roman" w:hAnsi="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styleId="TextosinformatoCar" w:customStyle="1">
    <w:name w:val="Texto sin formato Car"/>
    <w:basedOn w:val="Fuentedeprrafopredeter"/>
    <w:link w:val="Textosinformato"/>
    <w:rsid w:val="002944C8"/>
    <w:rPr>
      <w:rFonts w:ascii="Courier New" w:cs="Times New Roman" w:eastAsia="Times New Roman" w:hAnsi="Courier New"/>
      <w:sz w:val="20"/>
      <w:szCs w:val="20"/>
      <w:lang w:val="es-ES"/>
    </w:rPr>
  </w:style>
  <w:style w:type="paragraph" w:styleId="Standard" w:customStyle="1">
    <w:name w:val="Standard"/>
    <w:rsid w:val="002944C8"/>
    <w:pPr>
      <w:widowControl w:val="0"/>
      <w:suppressAutoHyphens w:val="1"/>
      <w:autoSpaceDN w:val="0"/>
      <w:textAlignment w:val="baseline"/>
    </w:pPr>
    <w:rPr>
      <w:rFonts w:ascii="Liberation Serif" w:cs="Lohit Hindi" w:eastAsia="DejaVu Sans" w:hAnsi="Liberation Serif"/>
      <w:kern w:val="3"/>
      <w:lang w:bidi="hi-IN" w:eastAsia="zh-CN" w:val="es-MX"/>
    </w:rPr>
  </w:style>
  <w:style w:type="character" w:styleId="negritas1" w:customStyle="1">
    <w:name w:val="negritas1"/>
    <w:rsid w:val="002944C8"/>
    <w:rPr>
      <w:rFonts w:ascii="Arial" w:cs="Arial" w:hAnsi="Arial" w:hint="default"/>
      <w:b w:val="1"/>
      <w:bCs w:val="1"/>
      <w:sz w:val="18"/>
      <w:szCs w:val="18"/>
    </w:rPr>
  </w:style>
  <w:style w:type="paragraph" w:styleId="Pa2" w:customStyle="1">
    <w:name w:val="Pa2"/>
    <w:basedOn w:val="Normal"/>
    <w:next w:val="Normal"/>
    <w:uiPriority w:val="99"/>
    <w:rsid w:val="002944C8"/>
    <w:pPr>
      <w:autoSpaceDE w:val="0"/>
      <w:autoSpaceDN w:val="0"/>
      <w:adjustRightInd w:val="0"/>
      <w:spacing w:line="240" w:lineRule="atLeast"/>
    </w:pPr>
    <w:rPr>
      <w:rFonts w:ascii="Helvetica" w:hAnsi="Helvetica"/>
      <w:lang w:eastAsia="es-ES_tradnl" w:val="es-ES_tradnl"/>
    </w:rPr>
  </w:style>
  <w:style w:type="paragraph" w:styleId="Default" w:customStyle="1">
    <w:name w:val="Default"/>
    <w:rsid w:val="002944C8"/>
    <w:pPr>
      <w:autoSpaceDE w:val="0"/>
      <w:autoSpaceDN w:val="0"/>
      <w:adjustRightInd w:val="0"/>
    </w:pPr>
    <w:rPr>
      <w:rFonts w:ascii="Arial" w:cs="Arial" w:hAnsi="Arial" w:eastAsiaTheme="minorHAnsi"/>
      <w:color w:val="000000"/>
      <w:lang w:eastAsia="en-US" w:val="es-MX"/>
    </w:rPr>
  </w:style>
  <w:style w:type="character" w:styleId="f" w:customStyle="1">
    <w:name w:val="f"/>
    <w:basedOn w:val="Fuentedeprrafopredeter"/>
    <w:rsid w:val="002944C8"/>
  </w:style>
  <w:style w:type="paragraph" w:styleId="q" w:customStyle="1">
    <w:name w:val="q"/>
    <w:basedOn w:val="Normal"/>
    <w:rsid w:val="002944C8"/>
    <w:pPr>
      <w:spacing w:after="100" w:afterAutospacing="1" w:before="100" w:beforeAutospacing="1"/>
    </w:pPr>
    <w:rPr>
      <w:lang w:val="es-MX"/>
    </w:rPr>
  </w:style>
  <w:style w:type="character" w:styleId="d" w:customStyle="1">
    <w:name w:val="d"/>
    <w:basedOn w:val="Fuentedeprrafopredeter"/>
    <w:rsid w:val="002944C8"/>
  </w:style>
  <w:style w:type="character" w:styleId="b" w:customStyle="1">
    <w:name w:val="b"/>
    <w:basedOn w:val="Fuentedeprrafopredeter"/>
    <w:rsid w:val="002944C8"/>
  </w:style>
  <w:style w:type="character" w:styleId="k" w:customStyle="1">
    <w:name w:val="k"/>
    <w:basedOn w:val="Fuentedeprrafopredeter"/>
    <w:rsid w:val="002944C8"/>
  </w:style>
  <w:style w:type="character" w:styleId="h" w:customStyle="1">
    <w:name w:val="h"/>
    <w:basedOn w:val="Fuentedeprrafopredeter"/>
    <w:rsid w:val="002944C8"/>
  </w:style>
  <w:style w:type="character" w:styleId="Hipervnculovisitado">
    <w:name w:val="FollowedHyperlink"/>
    <w:basedOn w:val="Fuentedeprrafopredeter"/>
    <w:uiPriority w:val="99"/>
    <w:semiHidden w:val="1"/>
    <w:unhideWhenUsed w:val="1"/>
    <w:rsid w:val="002944C8"/>
    <w:rPr>
      <w:color w:val="800080" w:themeColor="followedHyperlink"/>
      <w:u w:val="single"/>
    </w:rPr>
  </w:style>
  <w:style w:type="character" w:styleId="CitaHTML">
    <w:name w:val="HTML Cite"/>
    <w:uiPriority w:val="99"/>
    <w:semiHidden w:val="1"/>
    <w:unhideWhenUsed w:val="1"/>
    <w:rsid w:val="00B85C7C"/>
    <w:rPr>
      <w:i w:val="1"/>
      <w:iCs w:val="1"/>
    </w:rPr>
  </w:style>
  <w:style w:type="character" w:styleId="SinespaciadoCar" w:customStyle="1">
    <w:name w:val="Sin espaciado Car"/>
    <w:aliases w:val="Francesa Car"/>
    <w:link w:val="Sinespaciado"/>
    <w:uiPriority w:val="1"/>
    <w:locked w:val="1"/>
    <w:rsid w:val="00270539"/>
    <w:rPr>
      <w:rFonts w:ascii="Times New Roman" w:cs="Times New Roman" w:eastAsia="Times New Roman" w:hAnsi="Times New Roman"/>
      <w:lang w:val="es-MX"/>
    </w:rPr>
  </w:style>
  <w:style w:type="character" w:styleId="medium" w:customStyle="1">
    <w:name w:val="medium"/>
    <w:basedOn w:val="Fuentedeprrafopredeter"/>
    <w:rsid w:val="00354DB7"/>
  </w:style>
  <w:style w:type="table" w:styleId="Tablaconcuadrcula">
    <w:name w:val="Table Grid"/>
    <w:basedOn w:val="Tablanormal"/>
    <w:uiPriority w:val="59"/>
    <w:rsid w:val="00BB3AE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umeroconsecutivo" w:customStyle="1">
    <w:name w:val="numeroconsecutivo"/>
    <w:basedOn w:val="Fuentedeprrafopredeter"/>
    <w:rsid w:val="00615060"/>
  </w:style>
  <w:style w:type="character" w:styleId="titulorubrolgt" w:customStyle="1">
    <w:name w:val="titulorubrolgt"/>
    <w:basedOn w:val="Fuentedeprrafopredeter"/>
    <w:rsid w:val="00615060"/>
  </w:style>
  <w:style w:type="character" w:styleId="ctr" w:customStyle="1">
    <w:name w:val="ctr"/>
    <w:basedOn w:val="Fuentedeprrafopredeter"/>
    <w:rsid w:val="00615060"/>
  </w:style>
  <w:style w:type="paragraph" w:styleId="Textonotaalfinal">
    <w:name w:val="endnote text"/>
    <w:basedOn w:val="Normal"/>
    <w:link w:val="TextonotaalfinalCar"/>
    <w:uiPriority w:val="99"/>
    <w:semiHidden w:val="1"/>
    <w:unhideWhenUsed w:val="1"/>
    <w:rsid w:val="00D25E88"/>
    <w:rPr>
      <w:sz w:val="20"/>
      <w:szCs w:val="20"/>
    </w:rPr>
  </w:style>
  <w:style w:type="character" w:styleId="TextonotaalfinalCar" w:customStyle="1">
    <w:name w:val="Texto nota al final Car"/>
    <w:basedOn w:val="Fuentedeprrafopredeter"/>
    <w:link w:val="Textonotaalfinal"/>
    <w:uiPriority w:val="99"/>
    <w:semiHidden w:val="1"/>
    <w:rsid w:val="00D25E88"/>
    <w:rPr>
      <w:rFonts w:ascii="Times New Roman" w:cs="Times New Roman" w:eastAsia="Times New Roman" w:hAnsi="Times New Roman"/>
      <w:sz w:val="20"/>
      <w:szCs w:val="20"/>
      <w:lang w:val="es-ES"/>
    </w:rPr>
  </w:style>
  <w:style w:type="character" w:styleId="Refdenotaalfinal">
    <w:name w:val="endnote reference"/>
    <w:basedOn w:val="Fuentedeprrafopredeter"/>
    <w:uiPriority w:val="99"/>
    <w:semiHidden w:val="1"/>
    <w:unhideWhenUsed w:val="1"/>
    <w:rsid w:val="00D25E88"/>
    <w:rPr>
      <w:vertAlign w:val="superscript"/>
    </w:rPr>
  </w:style>
  <w:style w:type="character" w:styleId="A1" w:customStyle="1">
    <w:name w:val="A1"/>
    <w:uiPriority w:val="99"/>
    <w:rsid w:val="00EC4ECD"/>
    <w:rPr>
      <w:rFonts w:ascii="Myriad Pro" w:cs="Myriad Pro" w:hAnsi="Myriad Pro" w:hint="default"/>
      <w:color w:val="000000"/>
      <w:sz w:val="22"/>
      <w:szCs w:val="22"/>
    </w:rPr>
  </w:style>
  <w:style w:type="paragraph" w:styleId="Pa9" w:customStyle="1">
    <w:name w:val="Pa9"/>
    <w:basedOn w:val="Normal"/>
    <w:next w:val="Normal"/>
    <w:uiPriority w:val="99"/>
    <w:rsid w:val="00EC4ECD"/>
    <w:pPr>
      <w:autoSpaceDE w:val="0"/>
      <w:autoSpaceDN w:val="0"/>
      <w:adjustRightInd w:val="0"/>
      <w:spacing w:line="241" w:lineRule="atLeast"/>
    </w:pPr>
    <w:rPr>
      <w:rFonts w:ascii="Myriad Pro" w:hAnsi="Myriad Pro" w:cstheme="minorBidi" w:eastAsiaTheme="minorHAnsi"/>
      <w:lang w:eastAsia="en-US" w:val="es-MX"/>
    </w:rPr>
  </w:style>
  <w:style w:type="paragraph" w:styleId="Pa5" w:customStyle="1">
    <w:name w:val="Pa5"/>
    <w:basedOn w:val="Normal"/>
    <w:next w:val="Normal"/>
    <w:uiPriority w:val="99"/>
    <w:rsid w:val="00EC4ECD"/>
    <w:pPr>
      <w:autoSpaceDE w:val="0"/>
      <w:autoSpaceDN w:val="0"/>
      <w:adjustRightInd w:val="0"/>
      <w:spacing w:line="201" w:lineRule="atLeast"/>
    </w:pPr>
    <w:rPr>
      <w:rFonts w:ascii="Myriad Pro" w:hAnsi="Myriad Pro" w:cstheme="minorBidi" w:eastAsiaTheme="minorHAnsi"/>
      <w:lang w:eastAsia="en-US" w:val="es-MX"/>
    </w:rPr>
  </w:style>
  <w:style w:type="paragraph" w:styleId="m5127500252372250437gmail-paragraph" w:customStyle="1">
    <w:name w:val="m_5127500252372250437gmail-paragraph"/>
    <w:basedOn w:val="Normal"/>
    <w:rsid w:val="00980B7E"/>
    <w:pPr>
      <w:spacing w:after="100" w:afterAutospacing="1" w:before="100" w:beforeAutospacing="1"/>
    </w:pPr>
    <w:rPr>
      <w:lang w:val="es-MX"/>
    </w:rPr>
  </w:style>
  <w:style w:type="character" w:styleId="nombrefraccder" w:customStyle="1">
    <w:name w:val="nombrefraccder"/>
    <w:basedOn w:val="Fuentedeprrafopredeter"/>
    <w:rsid w:val="009B4A68"/>
  </w:style>
  <w:style w:type="character" w:styleId="numberfraccder" w:customStyle="1">
    <w:name w:val="numberfraccder"/>
    <w:basedOn w:val="Fuentedeprrafopredeter"/>
    <w:rsid w:val="009B4A68"/>
  </w:style>
  <w:style w:type="character" w:styleId="TextoCar" w:customStyle="1">
    <w:name w:val="Texto Car"/>
    <w:link w:val="Texto"/>
    <w:locked w:val="1"/>
    <w:rsid w:val="002B0963"/>
    <w:rPr>
      <w:rFonts w:ascii="Arial" w:cs="Arial" w:eastAsia="Times New Roman" w:hAnsi="Arial"/>
      <w:sz w:val="18"/>
      <w:szCs w:val="18"/>
      <w:lang w:val="es-MX"/>
    </w:rPr>
  </w:style>
  <w:style w:type="character" w:styleId="nfasis">
    <w:name w:val="Emphasis"/>
    <w:basedOn w:val="Fuentedeprrafopredeter"/>
    <w:uiPriority w:val="20"/>
    <w:qFormat w:val="1"/>
    <w:rsid w:val="00C536F2"/>
    <w:rPr>
      <w:i w:val="1"/>
      <w:iCs w:val="1"/>
    </w:rPr>
  </w:style>
  <w:style w:type="character" w:styleId="normaltextrun" w:customStyle="1">
    <w:name w:val="normaltextrun"/>
    <w:basedOn w:val="Fuentedeprrafopredeter"/>
    <w:rsid w:val="0011437B"/>
  </w:style>
  <w:style w:type="character" w:styleId="m5127500252372250437gmail-normaltextrun" w:customStyle="1">
    <w:name w:val="m_5127500252372250437gmail-normaltextrun"/>
    <w:basedOn w:val="Fuentedeprrafopredeter"/>
    <w:rsid w:val="0011437B"/>
  </w:style>
  <w:style w:type="paragraph" w:styleId="m-60081275284358516gmail-msolistparagraph" w:customStyle="1">
    <w:name w:val="m_-60081275284358516gmail-msolistparagraph"/>
    <w:basedOn w:val="Normal"/>
    <w:rsid w:val="00207C90"/>
    <w:pPr>
      <w:spacing w:after="100" w:afterAutospacing="1" w:before="100" w:beforeAutospacing="1"/>
    </w:pPr>
    <w:rPr>
      <w:lang w:val="es-MX"/>
    </w:rPr>
  </w:style>
  <w:style w:type="paragraph" w:styleId="ANOTACION" w:customStyle="1">
    <w:name w:val="ANOTACION"/>
    <w:basedOn w:val="Normal"/>
    <w:link w:val="ANOTACIONCar"/>
    <w:rsid w:val="001B5A73"/>
    <w:pPr>
      <w:spacing w:after="101" w:before="101" w:line="216" w:lineRule="atLeast"/>
      <w:jc w:val="center"/>
    </w:pPr>
    <w:rPr>
      <w:b w:val="1"/>
      <w:sz w:val="18"/>
      <w:szCs w:val="20"/>
      <w:lang w:val="es-ES_tradnl"/>
    </w:rPr>
  </w:style>
  <w:style w:type="character" w:styleId="ANOTACIONCar" w:customStyle="1">
    <w:name w:val="ANOTACION Car"/>
    <w:link w:val="ANOTACION"/>
    <w:locked w:val="1"/>
    <w:rsid w:val="001B5A73"/>
    <w:rPr>
      <w:rFonts w:ascii="Times New Roman" w:cs="Times New Roman" w:eastAsia="Times New Roman" w:hAnsi="Times New Roman"/>
      <w:b w:val="1"/>
      <w:sz w:val="18"/>
      <w:szCs w:val="20"/>
    </w:rPr>
  </w:style>
  <w:style w:type="paragraph" w:styleId="j" w:customStyle="1">
    <w:name w:val="j"/>
    <w:basedOn w:val="Normal"/>
    <w:rsid w:val="007B00BD"/>
    <w:pPr>
      <w:spacing w:after="100" w:afterAutospacing="1" w:before="100" w:beforeAutospacing="1"/>
    </w:pPr>
    <w:rPr>
      <w:lang w:val="es-MX"/>
    </w:rPr>
  </w:style>
  <w:style w:type="character" w:styleId="nacep" w:customStyle="1">
    <w:name w:val="n_acep"/>
    <w:basedOn w:val="Fuentedeprrafopredeter"/>
    <w:rsid w:val="007B00BD"/>
  </w:style>
  <w:style w:type="paragraph" w:styleId="k5" w:customStyle="1">
    <w:name w:val="k5"/>
    <w:basedOn w:val="Normal"/>
    <w:rsid w:val="007B00BD"/>
    <w:pPr>
      <w:spacing w:after="100" w:afterAutospacing="1" w:before="100" w:beforeAutospacing="1"/>
    </w:pPr>
    <w:rPr>
      <w:lang w:val="es-MX"/>
    </w:rPr>
  </w:style>
  <w:style w:type="paragraph" w:styleId="m" w:customStyle="1">
    <w:name w:val="m"/>
    <w:basedOn w:val="Normal"/>
    <w:rsid w:val="007B00BD"/>
    <w:pPr>
      <w:spacing w:after="100" w:afterAutospacing="1" w:before="100" w:beforeAutospacing="1"/>
    </w:pPr>
    <w:rPr>
      <w:lang w:val="es-MX"/>
    </w:rPr>
  </w:style>
  <w:style w:type="character" w:styleId="Refdecomentario">
    <w:name w:val="annotation reference"/>
    <w:basedOn w:val="Fuentedeprrafopredeter"/>
    <w:uiPriority w:val="99"/>
    <w:semiHidden w:val="1"/>
    <w:unhideWhenUsed w:val="1"/>
    <w:rsid w:val="003219FE"/>
    <w:rPr>
      <w:sz w:val="16"/>
      <w:szCs w:val="16"/>
    </w:rPr>
  </w:style>
  <w:style w:type="paragraph" w:styleId="Textocomentario">
    <w:name w:val="annotation text"/>
    <w:basedOn w:val="Normal"/>
    <w:link w:val="TextocomentarioCar"/>
    <w:uiPriority w:val="99"/>
    <w:semiHidden w:val="1"/>
    <w:unhideWhenUsed w:val="1"/>
    <w:rsid w:val="003219FE"/>
    <w:rPr>
      <w:sz w:val="20"/>
      <w:szCs w:val="20"/>
    </w:rPr>
  </w:style>
  <w:style w:type="character" w:styleId="TextocomentarioCar" w:customStyle="1">
    <w:name w:val="Texto comentario Car"/>
    <w:basedOn w:val="Fuentedeprrafopredeter"/>
    <w:link w:val="Textocomentario"/>
    <w:uiPriority w:val="99"/>
    <w:semiHidden w:val="1"/>
    <w:rsid w:val="003219FE"/>
    <w:rPr>
      <w:rFonts w:ascii="Times New Roman" w:cs="Times New Roman" w:eastAsia="Times New Roman" w:hAnsi="Times New Roman"/>
      <w:sz w:val="20"/>
      <w:szCs w:val="20"/>
      <w:lang w:val="es-ES"/>
    </w:rPr>
  </w:style>
  <w:style w:type="paragraph" w:styleId="Asuntodelcomentario">
    <w:name w:val="annotation subject"/>
    <w:basedOn w:val="Textocomentario"/>
    <w:next w:val="Textocomentario"/>
    <w:link w:val="AsuntodelcomentarioCar"/>
    <w:uiPriority w:val="99"/>
    <w:semiHidden w:val="1"/>
    <w:unhideWhenUsed w:val="1"/>
    <w:rsid w:val="003219FE"/>
    <w:rPr>
      <w:b w:val="1"/>
      <w:bCs w:val="1"/>
    </w:rPr>
  </w:style>
  <w:style w:type="character" w:styleId="AsuntodelcomentarioCar" w:customStyle="1">
    <w:name w:val="Asunto del comentario Car"/>
    <w:basedOn w:val="TextocomentarioCar"/>
    <w:link w:val="Asuntodelcomentario"/>
    <w:uiPriority w:val="99"/>
    <w:semiHidden w:val="1"/>
    <w:rsid w:val="003219FE"/>
    <w:rPr>
      <w:rFonts w:ascii="Times New Roman" w:cs="Times New Roman" w:eastAsia="Times New Roman" w:hAnsi="Times New Roman"/>
      <w:b w:val="1"/>
      <w:bCs w:val="1"/>
      <w:sz w:val="20"/>
      <w:szCs w:val="20"/>
      <w:lang w:val="es-ES"/>
    </w:rPr>
  </w:style>
  <w:style w:type="paragraph" w:styleId="FAFunotente1" w:customStyle="1">
    <w:name w:val="FA Fu?notente1"/>
    <w:basedOn w:val="Normal"/>
    <w:next w:val="Textonotapie"/>
    <w:uiPriority w:val="99"/>
    <w:unhideWhenUsed w:val="1"/>
    <w:rsid w:val="00A403D3"/>
    <w:rPr>
      <w:rFonts w:eastAsia="Cambria" w:asciiTheme="minorHAnsi" w:cstheme="minorBidi" w:hAnsiTheme="minorHAnsi"/>
      <w:sz w:val="20"/>
      <w:szCs w:val="20"/>
      <w:lang w:eastAsia="en-US" w:val="es-MX"/>
    </w:rPr>
  </w:style>
  <w:style w:type="character" w:styleId="Ttulo1Car" w:customStyle="1">
    <w:name w:val="Título 1 Car"/>
    <w:basedOn w:val="Fuentedeprrafopredeter"/>
    <w:link w:val="Ttulo1"/>
    <w:uiPriority w:val="9"/>
    <w:rsid w:val="00603D72"/>
    <w:rPr>
      <w:rFonts w:asciiTheme="majorHAnsi" w:cstheme="majorBidi" w:eastAsiaTheme="majorEastAsia" w:hAnsiTheme="majorHAnsi"/>
      <w:color w:val="365f91" w:themeColor="accent1" w:themeShade="0000BF"/>
      <w:sz w:val="32"/>
      <w:szCs w:val="32"/>
      <w:lang w:val="es-ES"/>
    </w:rPr>
  </w:style>
  <w:style w:type="character" w:styleId="Ttulo2Car" w:customStyle="1">
    <w:name w:val="Título 2 Car"/>
    <w:basedOn w:val="Fuentedeprrafopredeter"/>
    <w:link w:val="Ttulo2"/>
    <w:uiPriority w:val="9"/>
    <w:rsid w:val="00603D72"/>
    <w:rPr>
      <w:rFonts w:asciiTheme="majorHAnsi" w:cstheme="majorBidi" w:eastAsiaTheme="majorEastAsia" w:hAnsiTheme="majorHAnsi"/>
      <w:color w:val="365f91" w:themeColor="accent1" w:themeShade="0000BF"/>
      <w:sz w:val="26"/>
      <w:szCs w:val="26"/>
      <w:lang w:val="es-ES"/>
    </w:rPr>
  </w:style>
  <w:style w:type="paragraph" w:styleId="Lista">
    <w:name w:val="List"/>
    <w:basedOn w:val="Normal"/>
    <w:uiPriority w:val="99"/>
    <w:unhideWhenUsed w:val="1"/>
    <w:rsid w:val="00603D72"/>
    <w:pPr>
      <w:ind w:left="283" w:hanging="283"/>
      <w:contextualSpacing w:val="1"/>
    </w:pPr>
  </w:style>
  <w:style w:type="paragraph" w:styleId="Lista2">
    <w:name w:val="List 2"/>
    <w:basedOn w:val="Normal"/>
    <w:uiPriority w:val="99"/>
    <w:unhideWhenUsed w:val="1"/>
    <w:rsid w:val="00603D72"/>
    <w:pPr>
      <w:ind w:left="566" w:hanging="283"/>
      <w:contextualSpacing w:val="1"/>
    </w:pPr>
  </w:style>
  <w:style w:type="paragraph" w:styleId="Lista3">
    <w:name w:val="List 3"/>
    <w:basedOn w:val="Normal"/>
    <w:uiPriority w:val="99"/>
    <w:unhideWhenUsed w:val="1"/>
    <w:rsid w:val="00603D72"/>
    <w:pPr>
      <w:ind w:left="849" w:hanging="283"/>
      <w:contextualSpacing w:val="1"/>
    </w:pPr>
  </w:style>
  <w:style w:type="paragraph" w:styleId="Listaconvietas3">
    <w:name w:val="List Bullet 3"/>
    <w:basedOn w:val="Normal"/>
    <w:uiPriority w:val="99"/>
    <w:unhideWhenUsed w:val="1"/>
    <w:rsid w:val="00603D72"/>
    <w:pPr>
      <w:numPr>
        <w:numId w:val="2"/>
      </w:numPr>
      <w:contextualSpacing w:val="1"/>
    </w:pPr>
  </w:style>
  <w:style w:type="paragraph" w:styleId="Continuarlista">
    <w:name w:val="List Continue"/>
    <w:basedOn w:val="Normal"/>
    <w:uiPriority w:val="99"/>
    <w:unhideWhenUsed w:val="1"/>
    <w:rsid w:val="00603D72"/>
    <w:pPr>
      <w:spacing w:after="120"/>
      <w:ind w:left="283"/>
      <w:contextualSpacing w:val="1"/>
    </w:pPr>
  </w:style>
  <w:style w:type="paragraph" w:styleId="Continuarlista2">
    <w:name w:val="List Continue 2"/>
    <w:basedOn w:val="Normal"/>
    <w:uiPriority w:val="99"/>
    <w:unhideWhenUsed w:val="1"/>
    <w:rsid w:val="00603D72"/>
    <w:pPr>
      <w:spacing w:after="120"/>
      <w:ind w:left="566"/>
      <w:contextualSpacing w:val="1"/>
    </w:pPr>
  </w:style>
  <w:style w:type="paragraph" w:styleId="Textoindependiente">
    <w:name w:val="Body Text"/>
    <w:basedOn w:val="Normal"/>
    <w:link w:val="TextoindependienteCar"/>
    <w:uiPriority w:val="99"/>
    <w:unhideWhenUsed w:val="1"/>
    <w:rsid w:val="00603D72"/>
    <w:pPr>
      <w:spacing w:after="120"/>
    </w:pPr>
  </w:style>
  <w:style w:type="character" w:styleId="TextoindependienteCar" w:customStyle="1">
    <w:name w:val="Texto independiente Car"/>
    <w:basedOn w:val="Fuentedeprrafopredeter"/>
    <w:link w:val="Textoindependiente"/>
    <w:uiPriority w:val="99"/>
    <w:rsid w:val="00603D72"/>
    <w:rPr>
      <w:rFonts w:ascii="Times New Roman" w:cs="Times New Roman" w:eastAsia="Times New Roman" w:hAnsi="Times New Roman"/>
      <w:lang w:val="es-ES"/>
    </w:rPr>
  </w:style>
  <w:style w:type="paragraph" w:styleId="Sangradetextonormal">
    <w:name w:val="Body Text Indent"/>
    <w:basedOn w:val="Normal"/>
    <w:link w:val="SangradetextonormalCar"/>
    <w:uiPriority w:val="99"/>
    <w:semiHidden w:val="1"/>
    <w:unhideWhenUsed w:val="1"/>
    <w:rsid w:val="00603D72"/>
    <w:pPr>
      <w:spacing w:after="120"/>
      <w:ind w:left="283"/>
    </w:pPr>
  </w:style>
  <w:style w:type="character" w:styleId="SangradetextonormalCar" w:customStyle="1">
    <w:name w:val="Sangría de texto normal Car"/>
    <w:basedOn w:val="Fuentedeprrafopredeter"/>
    <w:link w:val="Sangradetextonormal"/>
    <w:uiPriority w:val="99"/>
    <w:semiHidden w:val="1"/>
    <w:rsid w:val="00603D72"/>
    <w:rPr>
      <w:rFonts w:ascii="Times New Roman" w:cs="Times New Roman" w:eastAsia="Times New Roman" w:hAnsi="Times New Roman"/>
      <w:lang w:val="es-ES"/>
    </w:rPr>
  </w:style>
  <w:style w:type="paragraph" w:styleId="Textoindependienteprimerasangra2">
    <w:name w:val="Body Text First Indent 2"/>
    <w:basedOn w:val="Sangradetextonormal"/>
    <w:link w:val="Textoindependienteprimerasangra2Car"/>
    <w:uiPriority w:val="99"/>
    <w:unhideWhenUsed w:val="1"/>
    <w:rsid w:val="00603D7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603D72"/>
    <w:rPr>
      <w:rFonts w:ascii="Times New Roman" w:cs="Times New Roman" w:eastAsia="Times New Roman" w:hAnsi="Times New Roman"/>
      <w:lang w:val="es-ES"/>
    </w:rPr>
  </w:style>
  <w:style w:type="paragraph" w:styleId="paragraph" w:customStyle="1">
    <w:name w:val="paragraph"/>
    <w:basedOn w:val="Normal"/>
    <w:rsid w:val="00E34821"/>
    <w:pPr>
      <w:spacing w:after="100" w:afterAutospacing="1" w:before="100" w:beforeAutospacing="1"/>
    </w:pPr>
    <w:rPr>
      <w:lang w:val="es-MX"/>
    </w:rPr>
  </w:style>
  <w:style w:type="paragraph" w:styleId="n2" w:customStyle="1">
    <w:name w:val="n2"/>
    <w:basedOn w:val="Normal"/>
    <w:rsid w:val="009D307C"/>
    <w:pPr>
      <w:spacing w:after="100" w:afterAutospacing="1" w:before="100" w:beforeAutospacing="1"/>
    </w:pPr>
    <w:rPr>
      <w:lang w:val="es-MX"/>
    </w:rPr>
  </w:style>
  <w:style w:type="character" w:styleId="u" w:customStyle="1">
    <w:name w:val="u"/>
    <w:basedOn w:val="Fuentedeprrafopredeter"/>
    <w:rsid w:val="009D307C"/>
  </w:style>
  <w:style w:type="paragraph" w:styleId="j1" w:customStyle="1">
    <w:name w:val="j1"/>
    <w:basedOn w:val="Normal"/>
    <w:rsid w:val="009D307C"/>
    <w:pPr>
      <w:spacing w:after="100" w:afterAutospacing="1" w:before="100" w:beforeAutospacing="1"/>
    </w:pPr>
    <w:rPr>
      <w:lang w:val="es-MX"/>
    </w:rPr>
  </w:style>
  <w:style w:type="paragraph" w:styleId="j2" w:customStyle="1">
    <w:name w:val="j2"/>
    <w:basedOn w:val="Normal"/>
    <w:rsid w:val="009D307C"/>
    <w:pPr>
      <w:spacing w:after="100" w:afterAutospacing="1" w:before="100" w:before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val="1"/>
        <w:bCs w:val="1"/>
      </w:rPr>
      <w:tblPr/>
      <w:tcPr>
        <w:tcBorders>
          <w:bottom w:color="95b3d7" w:space="0" w:sz="4" w:themeColor="accent1" w:themeTint="000099" w:val="single"/>
        </w:tcBorders>
      </w:tcPr>
    </w:tblStylePr>
    <w:tblStylePr w:type="lastRow">
      <w:rPr>
        <w:b w:val="1"/>
        <w:bCs w:val="1"/>
      </w:rPr>
      <w:tblPr/>
      <w:tcPr>
        <w:tcBorders>
          <w:top w:color="95b3d7"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character" w:styleId="Mencinsinresolver1" w:customStyle="1">
    <w:name w:val="Mención sin resolver1"/>
    <w:basedOn w:val="Fuentedeprrafopredeter"/>
    <w:uiPriority w:val="99"/>
    <w:semiHidden w:val="1"/>
    <w:unhideWhenUsed w:val="1"/>
    <w:rsid w:val="00457753"/>
    <w:rPr>
      <w:color w:val="605e5c"/>
      <w:shd w:color="auto" w:fill="e1dfdd" w:val="clear"/>
    </w:rPr>
  </w:style>
  <w:style w:type="character" w:styleId="Mencinsinresolver2" w:customStyle="1">
    <w:name w:val="Mención sin resolver2"/>
    <w:basedOn w:val="Fuentedeprrafopredeter"/>
    <w:uiPriority w:val="99"/>
    <w:semiHidden w:val="1"/>
    <w:unhideWhenUsed w:val="1"/>
    <w:rsid w:val="00CE48D4"/>
    <w:rPr>
      <w:color w:val="605e5c"/>
      <w:shd w:color="auto" w:fill="e1dfdd" w:val="clear"/>
    </w:rPr>
  </w:style>
  <w:style w:type="table" w:styleId="Tabladelista1clara-nfasis11" w:customStyle="1">
    <w:name w:val="Tabla de lista 1 clara - Énfasis 11"/>
    <w:basedOn w:val="Tablanormal"/>
    <w:uiPriority w:val="46"/>
    <w:rsid w:val="008F79FD"/>
    <w:rPr>
      <w:rFonts w:eastAsia="MS Mincho"/>
    </w:rPr>
    <w:tblPr>
      <w:tblStyleRowBandSize w:val="1"/>
      <w:tblStyleColBandSize w:val="1"/>
    </w:tblPr>
    <w:tblStylePr w:type="firstRow">
      <w:rPr>
        <w:b w:val="1"/>
        <w:bCs w:val="1"/>
      </w:rPr>
      <w:tblPr/>
      <w:tcPr>
        <w:tcBorders>
          <w:bottom w:color="95b3d7" w:space="0" w:sz="4" w:val="single"/>
        </w:tcBorders>
      </w:tcPr>
    </w:tblStylePr>
    <w:tblStylePr w:type="lastRow">
      <w:rPr>
        <w:b w:val="1"/>
        <w:bCs w:val="1"/>
      </w:rPr>
      <w:tblPr/>
      <w:tcPr>
        <w:tcBorders>
          <w:top w:color="95b3d7" w:space="0" w:sz="4" w:val="single"/>
        </w:tcBorders>
      </w:tcPr>
    </w:tblStylePr>
    <w:tblStylePr w:type="firstCol">
      <w:rPr>
        <w:b w:val="1"/>
        <w:bCs w:val="1"/>
      </w:rPr>
    </w:tblStylePr>
    <w:tblStylePr w:type="lastCol">
      <w:rPr>
        <w:b w:val="1"/>
        <w:bCs w:val="1"/>
      </w:rPr>
    </w:tblStylePr>
    <w:tblStylePr w:type="band1Vert">
      <w:tblPr/>
      <w:tcPr>
        <w:shd w:color="auto" w:fill="dbe5f1" w:val="clear"/>
      </w:tcPr>
    </w:tblStylePr>
    <w:tblStylePr w:type="band1Horz">
      <w:tblPr/>
      <w:tcPr>
        <w:shd w:color="auto" w:fill="dbe5f1" w:val="clear"/>
      </w:tcPr>
    </w:tblStylePr>
  </w:style>
  <w:style w:type="character" w:styleId="Ttulo3Car" w:customStyle="1">
    <w:name w:val="Título 3 Car"/>
    <w:basedOn w:val="Fuentedeprrafopredeter"/>
    <w:link w:val="Ttulo3"/>
    <w:uiPriority w:val="9"/>
    <w:semiHidden w:val="1"/>
    <w:rsid w:val="003B73CD"/>
    <w:rPr>
      <w:rFonts w:asciiTheme="majorHAnsi" w:cstheme="majorBidi" w:eastAsiaTheme="majorEastAsia" w:hAnsiTheme="majorHAnsi"/>
      <w:b w:val="1"/>
      <w:bCs w:val="1"/>
      <w:sz w:val="26"/>
      <w:szCs w:val="26"/>
      <w:lang w:eastAsia="en-US" w:val="en-US"/>
    </w:rPr>
  </w:style>
  <w:style w:type="character" w:styleId="Ttulo4Car" w:customStyle="1">
    <w:name w:val="Título 4 Car"/>
    <w:basedOn w:val="Fuentedeprrafopredeter"/>
    <w:link w:val="Ttulo4"/>
    <w:uiPriority w:val="9"/>
    <w:semiHidden w:val="1"/>
    <w:rsid w:val="003B73CD"/>
    <w:rPr>
      <w:b w:val="1"/>
      <w:bCs w:val="1"/>
      <w:sz w:val="28"/>
      <w:szCs w:val="28"/>
      <w:lang w:eastAsia="en-US" w:val="en-US"/>
    </w:rPr>
  </w:style>
  <w:style w:type="character" w:styleId="Ttulo5Car" w:customStyle="1">
    <w:name w:val="Título 5 Car"/>
    <w:basedOn w:val="Fuentedeprrafopredeter"/>
    <w:link w:val="Ttulo5"/>
    <w:uiPriority w:val="9"/>
    <w:semiHidden w:val="1"/>
    <w:rsid w:val="003B73CD"/>
    <w:rPr>
      <w:b w:val="1"/>
      <w:bCs w:val="1"/>
      <w:i w:val="1"/>
      <w:iCs w:val="1"/>
      <w:sz w:val="26"/>
      <w:szCs w:val="26"/>
      <w:lang w:eastAsia="en-US" w:val="en-US"/>
    </w:rPr>
  </w:style>
  <w:style w:type="character" w:styleId="Ttulo6Car" w:customStyle="1">
    <w:name w:val="Título 6 Car"/>
    <w:basedOn w:val="Fuentedeprrafopredeter"/>
    <w:link w:val="Ttulo6"/>
    <w:semiHidden w:val="1"/>
    <w:rsid w:val="003B73CD"/>
    <w:rPr>
      <w:rFonts w:ascii="Times New Roman" w:cs="Times New Roman" w:eastAsia="Times New Roman" w:hAnsi="Times New Roman"/>
      <w:b w:val="1"/>
      <w:bCs w:val="1"/>
      <w:sz w:val="22"/>
      <w:szCs w:val="22"/>
      <w:lang w:eastAsia="en-US" w:val="en-US"/>
    </w:rPr>
  </w:style>
  <w:style w:type="character" w:styleId="Ttulo7Car" w:customStyle="1">
    <w:name w:val="Título 7 Car"/>
    <w:basedOn w:val="Fuentedeprrafopredeter"/>
    <w:link w:val="Ttulo7"/>
    <w:uiPriority w:val="9"/>
    <w:semiHidden w:val="1"/>
    <w:rsid w:val="003B73CD"/>
    <w:rPr>
      <w:lang w:eastAsia="en-US" w:val="en-US"/>
    </w:rPr>
  </w:style>
  <w:style w:type="character" w:styleId="Ttulo8Car" w:customStyle="1">
    <w:name w:val="Título 8 Car"/>
    <w:basedOn w:val="Fuentedeprrafopredeter"/>
    <w:link w:val="Ttulo8"/>
    <w:uiPriority w:val="9"/>
    <w:semiHidden w:val="1"/>
    <w:rsid w:val="003B73CD"/>
    <w:rPr>
      <w:i w:val="1"/>
      <w:iCs w:val="1"/>
      <w:lang w:eastAsia="en-US" w:val="en-US"/>
    </w:rPr>
  </w:style>
  <w:style w:type="character" w:styleId="Ttulo9Car" w:customStyle="1">
    <w:name w:val="Título 9 Car"/>
    <w:basedOn w:val="Fuentedeprrafopredeter"/>
    <w:link w:val="Ttulo9"/>
    <w:uiPriority w:val="9"/>
    <w:semiHidden w:val="1"/>
    <w:rsid w:val="003B73CD"/>
    <w:rPr>
      <w:rFonts w:asciiTheme="majorHAnsi" w:cstheme="majorBidi" w:eastAsiaTheme="majorEastAsia" w:hAnsiTheme="majorHAnsi"/>
      <w:sz w:val="22"/>
      <w:szCs w:val="22"/>
      <w:lang w:eastAsia="en-US" w:val="en-US"/>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08.0" w:type="dxa"/>
        <w:right w:w="108.0" w:type="dxa"/>
      </w:tblCellMar>
    </w:tblPr>
    <w:tblStylePr w:type="firstRow">
      <w:rPr>
        <w:b w:val="1"/>
      </w:rPr>
      <w:tblPr/>
      <w:tcPr>
        <w:tcBorders>
          <w:bottom w:color="95b3d7" w:space="0" w:sz="4" w:val="single"/>
        </w:tcBorders>
      </w:tcPr>
    </w:tblStylePr>
    <w:tblStylePr w:type="lastRow">
      <w:rPr>
        <w:b w:val="1"/>
      </w:rPr>
      <w:tblPr/>
      <w:tcPr>
        <w:tcBorders>
          <w:top w:color="95b3d7" w:space="0" w:sz="4" w:val="single"/>
        </w:tcBorders>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0"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character" w:styleId="Mencinsinresolver3" w:customStyle="1">
    <w:name w:val="Mención sin resolver3"/>
    <w:basedOn w:val="Fuentedeprrafopredeter"/>
    <w:uiPriority w:val="99"/>
    <w:semiHidden w:val="1"/>
    <w:unhideWhenUsed w:val="1"/>
    <w:rsid w:val="0094565C"/>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k7g5cFev+Ve9RLWrlHYdwbAHdQ==">AMUW2mXdMLLwTJXapD37bbSZnP7L/3tfxxnDjsFUf8xAJm1i88HUkUbEqHqoyWTxCw/gHxX74uk20EQVab8My30YUt66dzHbrolbGOGH1dljhZZQWEaRKszEPq5paWjDQQqvQTtXx/FHSOlwzSmSlFwR4tC/WxRG7C1tFc74leJP31tk/xWS0Vo=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2022-05-06T04:19:00Z</dcterms:created>
  <dc:creator>iMac</dc:creator>
</cp:coreProperties>
</file>