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bookmarkStart w:colFirst="0" w:colLast="0" w:name="_heading=h.tyjcwt"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dieciséis de febrero del dos mil veintidós.</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04734/INFOEM/ICR-67/IP/RR/2020, </w:t>
      </w:r>
      <w:r w:rsidDel="00000000" w:rsidR="00000000" w:rsidRPr="00000000">
        <w:rPr>
          <w:rFonts w:ascii="Palatino Linotype" w:cs="Palatino Linotype" w:eastAsia="Palatino Linotype" w:hAnsi="Palatino Linotype"/>
          <w:rtl w:val="0"/>
        </w:rPr>
        <w:t xml:space="preserve">interpuesto por </w:t>
      </w:r>
      <w:r w:rsidDel="00000000" w:rsidR="00000000" w:rsidRPr="00000000">
        <w:rPr>
          <w:rFonts w:ascii="Palatino Linotype" w:cs="Palatino Linotype" w:eastAsia="Palatino Linotype" w:hAnsi="Palatino Linotype"/>
          <w:b w:val="1"/>
          <w:rtl w:val="0"/>
        </w:rPr>
        <w:t xml:space="preserve">XXXXX XXXXX XXXXX XXXX</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lo sucesivo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RECURRENT</w:t>
      </w:r>
      <w:r w:rsidDel="00000000" w:rsidR="00000000" w:rsidRPr="00000000">
        <w:rPr>
          <w:rFonts w:ascii="Palatino Linotype" w:cs="Palatino Linotype" w:eastAsia="Palatino Linotype" w:hAnsi="Palatino Linotype"/>
          <w:rtl w:val="0"/>
        </w:rPr>
        <w:t xml:space="preserve">E</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en contra de la falta de respuesta a su solicitud de información con número de folio </w:t>
      </w:r>
      <w:r w:rsidDel="00000000" w:rsidR="00000000" w:rsidRPr="00000000">
        <w:rPr>
          <w:rFonts w:ascii="Palatino Linotype" w:cs="Palatino Linotype" w:eastAsia="Palatino Linotype" w:hAnsi="Palatino Linotype"/>
          <w:b w:val="1"/>
          <w:rtl w:val="0"/>
        </w:rPr>
        <w:t xml:space="preserve">00129/CAPULHUA/IP/2020, </w:t>
      </w:r>
      <w:r w:rsidDel="00000000" w:rsidR="00000000" w:rsidRPr="00000000">
        <w:rPr>
          <w:rFonts w:ascii="Palatino Linotype" w:cs="Palatino Linotype" w:eastAsia="Palatino Linotype" w:hAnsi="Palatino Linotype"/>
          <w:rtl w:val="0"/>
        </w:rPr>
        <w:t xml:space="preserve">por el </w:t>
      </w:r>
      <w:r w:rsidDel="00000000" w:rsidR="00000000" w:rsidRPr="00000000">
        <w:rPr>
          <w:rFonts w:ascii="Palatino Linotype" w:cs="Palatino Linotype" w:eastAsia="Palatino Linotype" w:hAnsi="Palatino Linotype"/>
          <w:b w:val="1"/>
          <w:rtl w:val="0"/>
        </w:rPr>
        <w:t xml:space="preserve">Ayuntamiento de Capulhuac</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numPr>
          <w:ilvl w:val="0"/>
          <w:numId w:val="5"/>
        </w:numPr>
        <w:pBdr>
          <w:top w:space="0" w:sz="0" w:val="nil"/>
          <w:left w:space="0" w:sz="0" w:val="nil"/>
          <w:bottom w:space="0" w:sz="0" w:val="nil"/>
          <w:right w:space="0" w:sz="0" w:val="nil"/>
          <w:between w:space="0" w:sz="0" w:val="nil"/>
        </w:pBdr>
        <w:spacing w:after="240" w:before="240" w:line="360" w:lineRule="auto"/>
        <w:ind w:left="720" w:hanging="360"/>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Solicitud de acceso a la información. </w:t>
      </w:r>
      <w:r w:rsidDel="00000000" w:rsidR="00000000" w:rsidRPr="00000000">
        <w:rPr>
          <w:rFonts w:ascii="Palatino Linotype" w:cs="Palatino Linotype" w:eastAsia="Palatino Linotype" w:hAnsi="Palatino Linotype"/>
          <w:rtl w:val="0"/>
        </w:rPr>
        <w:t xml:space="preserve">Con fecha catorce de septiembre de dos mil veinte,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información pública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requiriéndole lo siguiente:</w:t>
      </w:r>
      <w:r w:rsidDel="00000000" w:rsidR="00000000" w:rsidRPr="00000000">
        <w:rPr>
          <w:rtl w:val="0"/>
        </w:rPr>
      </w:r>
    </w:p>
    <w:p w:rsidR="00000000" w:rsidDel="00000000" w:rsidP="00000000" w:rsidRDefault="00000000" w:rsidRPr="00000000" w14:paraId="00000005">
      <w:pPr>
        <w:spacing w:after="240" w:before="240" w:lineRule="auto"/>
        <w:ind w:left="851"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sz w:val="22"/>
          <w:szCs w:val="22"/>
          <w:rtl w:val="0"/>
        </w:rPr>
        <w:t xml:space="preserve">“De las canchas de futbol rápido que tiene y controla el municipio, requerimos la siguiente información y lo requerimos de forma integral (integrando toda la información) de la siguiente manera. 1) El número de canchas que tiene el municipio. 2) Dirección de cada una de ellas (junto con su nombre si lo tiene) 3) Costo de construcción de cada una de ellas (mas, menos) aunque no hayan sido construidas en esta administración en turno (costo probable) 4) Cuantos años tiene de construida(s) cada una de la(s) cancha(s) (más/menos” (Sic</w:t>
      </w: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06">
      <w:pPr>
        <w:spacing w:after="240" w:before="240" w:lineRule="auto"/>
        <w:ind w:right="90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por el particular para la entrega de la información: </w:t>
      </w:r>
      <w:r w:rsidDel="00000000" w:rsidR="00000000" w:rsidRPr="00000000">
        <w:rPr>
          <w:rFonts w:ascii="Palatino Linotype" w:cs="Palatino Linotype" w:eastAsia="Palatino Linotype" w:hAnsi="Palatino Linotype"/>
          <w:rtl w:val="0"/>
        </w:rPr>
        <w:t xml:space="preserve">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0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De las constancias que obran en el expediente electrónico del SAIMEX, se advierte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dio respuesta a la solicitud de acceso a la información.</w:t>
      </w:r>
    </w:p>
    <w:p w:rsidR="00000000" w:rsidDel="00000000" w:rsidP="00000000" w:rsidRDefault="00000000" w:rsidRPr="00000000" w14:paraId="0000000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el solicitante con la falta de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interpuso recurso de revisión a través del SAIMEX el veintitrés de octubre de dos mil veinte, a través del cual expresó lo siguiente:</w:t>
      </w:r>
    </w:p>
    <w:p w:rsidR="00000000" w:rsidDel="00000000" w:rsidP="00000000" w:rsidRDefault="00000000" w:rsidRPr="00000000" w14:paraId="0000000A">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0B">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“1) El número de canchas que tiene el municipio. 2) Dirección de cada una de ellas (junto con su nombre si lo tiene) 3) Cuantos años tiene de construida(s) cada una de la(s) cancha(s) (más/menos)” (Sic</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0C">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Razones o Motivos de inconformidad.</w:t>
      </w:r>
    </w:p>
    <w:p w:rsidR="00000000" w:rsidDel="00000000" w:rsidP="00000000" w:rsidRDefault="00000000" w:rsidRPr="00000000" w14:paraId="0000000D">
      <w:pPr>
        <w:spacing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“derecho a la informacion” (Sic</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0E">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rtl w:val="0"/>
        </w:rPr>
        <w:t xml:space="preserve">04734/INFOEM/IP/RR/2020 </w:t>
      </w:r>
      <w:r w:rsidDel="00000000" w:rsidR="00000000" w:rsidRPr="00000000">
        <w:rPr>
          <w:rFonts w:ascii="Palatino Linotype" w:cs="Palatino Linotype" w:eastAsia="Palatino Linotype" w:hAnsi="Palatino Linotype"/>
          <w:rtl w:val="0"/>
        </w:rPr>
        <w:t xml:space="preserve">se turnó por el sistema electrónico del Instituto de Transparencia, Acceso a la Información Pública y Protección de Datos Personales del Estado de México y Municipios, al entonces Comisionado </w:t>
      </w:r>
      <w:r w:rsidDel="00000000" w:rsidR="00000000" w:rsidRPr="00000000">
        <w:rPr>
          <w:rFonts w:ascii="Palatino Linotype" w:cs="Palatino Linotype" w:eastAsia="Palatino Linotype" w:hAnsi="Palatino Linotype"/>
          <w:b w:val="1"/>
          <w:rtl w:val="0"/>
        </w:rPr>
        <w:t xml:space="preserve">Javier Martínez Cruz</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10">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del recurso de revisión: </w:t>
      </w:r>
      <w:r w:rsidDel="00000000" w:rsidR="00000000" w:rsidRPr="00000000">
        <w:rPr>
          <w:rFonts w:ascii="Palatino Linotype" w:cs="Palatino Linotype" w:eastAsia="Palatino Linotype" w:hAnsi="Palatino Linotype"/>
          <w:rtl w:val="0"/>
        </w:rPr>
        <w:t xml:space="preserve">En fecha veintinueve de octubre de dos mil veinte, el Comisionado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rsidR="00000000" w:rsidDel="00000000" w:rsidP="00000000" w:rsidRDefault="00000000" w:rsidRPr="00000000" w14:paraId="0000001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De las constancias que integran el expediente en que se actúa se advierte que las partes fueron omisas en hacer valer manifestación alguna, expresar alegatos o presentar pruebas en el plazo establecido para tal efecto y rendir el informe justificado; por lo que se tiene por precluido su derecho en tal sentido.</w:t>
      </w:r>
    </w:p>
    <w:p w:rsidR="00000000" w:rsidDel="00000000" w:rsidP="00000000" w:rsidRDefault="00000000" w:rsidRPr="00000000" w14:paraId="0000001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Ampliación del plazo para emitir resolución</w:t>
      </w:r>
      <w:r w:rsidDel="00000000" w:rsidR="00000000" w:rsidRPr="00000000">
        <w:rPr>
          <w:rFonts w:ascii="Palatino Linotype" w:cs="Palatino Linotype" w:eastAsia="Palatino Linotype" w:hAnsi="Palatino Linotype"/>
          <w:rtl w:val="0"/>
        </w:rPr>
        <w:t xml:space="preserve">. En fecha catorce de diciembre de dos mil veinte, este Instituto con fundamento en el artículo 181, párrafo tercero, de la Ley de Transparencia y Acceso a la Información Pública del Estado de México y Municipios, lo anterior, dado el incremento en el número de recursos de revisión promovidos en la anualidad próxima pasada ante este Instituto de Transparencia, Acceso a la Información Pública y Protección de Datos Personales del Estado de México y Municipios y con la finalidad de realizar un análisis exhaustivo de las constancias que obran en el expediente electrónico, adoptando las medidas pertinentes, a fin de aminorar los efectos que conlleva.</w:t>
      </w:r>
    </w:p>
    <w:p w:rsidR="00000000" w:rsidDel="00000000" w:rsidP="00000000" w:rsidRDefault="00000000" w:rsidRPr="00000000" w14:paraId="0000001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Cierre de instrucción.</w:t>
      </w:r>
      <w:r w:rsidDel="00000000" w:rsidR="00000000" w:rsidRPr="00000000">
        <w:rPr>
          <w:rFonts w:ascii="Palatino Linotype" w:cs="Palatino Linotype" w:eastAsia="Palatino Linotype" w:hAnsi="Palatino Linotype"/>
          <w:rtl w:val="0"/>
        </w:rPr>
        <w:t xml:space="preserve"> En fecha quince de diciembre de dos mil veinte el Comisionado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18">
      <w:pPr>
        <w:spacing w:after="240" w:line="360" w:lineRule="auto"/>
        <w:jc w:val="both"/>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 </w:t>
      </w:r>
    </w:p>
    <w:p w:rsidR="00000000" w:rsidDel="00000000" w:rsidP="00000000" w:rsidRDefault="00000000" w:rsidRPr="00000000" w14:paraId="0000001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9.</w:t>
      </w:r>
      <w:r w:rsidDel="00000000" w:rsidR="00000000" w:rsidRPr="00000000">
        <w:rPr>
          <w:rFonts w:ascii="Palatino Linotype" w:cs="Palatino Linotype" w:eastAsia="Palatino Linotype" w:hAnsi="Palatino Linotype"/>
          <w:rtl w:val="0"/>
        </w:rPr>
        <w:t xml:space="preserve"> En la Primera Sesión Ordinaria, de fecha veinte de enero del dos mil veintiuno, el Pleno del Instituto de Transparencia, Acceso a la Información Pública y Protección de Datos Personales del Estado de México y Municipios, aprobó, por mayoría de votos, la resolución dictada en el recurso de revisión </w:t>
      </w:r>
      <w:r w:rsidDel="00000000" w:rsidR="00000000" w:rsidRPr="00000000">
        <w:rPr>
          <w:rFonts w:ascii="Palatino Linotype" w:cs="Palatino Linotype" w:eastAsia="Palatino Linotype" w:hAnsi="Palatino Linotype"/>
          <w:b w:val="1"/>
          <w:rtl w:val="0"/>
        </w:rPr>
        <w:t xml:space="preserve">04734/INFOEM/IP/RR/2020</w:t>
      </w:r>
      <w:r w:rsidDel="00000000" w:rsidR="00000000" w:rsidRPr="00000000">
        <w:rPr>
          <w:rFonts w:ascii="Palatino Linotype" w:cs="Palatino Linotype" w:eastAsia="Palatino Linotype" w:hAnsi="Palatino Linotype"/>
          <w:rtl w:val="0"/>
        </w:rPr>
        <w:t xml:space="preserve"> en la cual se determinó lo siguiente:</w:t>
      </w:r>
    </w:p>
    <w:p w:rsidR="00000000" w:rsidDel="00000000" w:rsidP="00000000" w:rsidRDefault="00000000" w:rsidRPr="00000000" w14:paraId="0000001A">
      <w:pPr>
        <w:spacing w:after="240" w:before="240" w:line="360" w:lineRule="auto"/>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 fundados los motivos de inconformidad que arguye el recurrente, en términos del Considerando Cuarto de la presente resolución.</w:t>
      </w:r>
    </w:p>
    <w:p w:rsidR="00000000" w:rsidDel="00000000" w:rsidP="00000000" w:rsidRDefault="00000000" w:rsidRPr="00000000" w14:paraId="0000001B">
      <w:pPr>
        <w:spacing w:after="240" w:before="240" w:line="360" w:lineRule="auto"/>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w:t>
      </w:r>
      <w:r w:rsidDel="00000000" w:rsidR="00000000" w:rsidRPr="00000000">
        <w:rPr>
          <w:rFonts w:ascii="Palatino Linotype" w:cs="Palatino Linotype" w:eastAsia="Palatino Linotype" w:hAnsi="Palatino Linotype"/>
          <w:sz w:val="22"/>
          <w:szCs w:val="22"/>
          <w:rtl w:val="0"/>
        </w:rPr>
        <w:t xml:space="preserve"> Se</w:t>
      </w:r>
      <w:r w:rsidDel="00000000" w:rsidR="00000000" w:rsidRPr="00000000">
        <w:rPr>
          <w:rFonts w:ascii="Palatino Linotype" w:cs="Palatino Linotype" w:eastAsia="Palatino Linotype" w:hAnsi="Palatino Linotype"/>
          <w:b w:val="1"/>
          <w:sz w:val="22"/>
          <w:szCs w:val="22"/>
          <w:rtl w:val="0"/>
        </w:rPr>
        <w:t xml:space="preserve"> ORDENA </w:t>
      </w:r>
      <w:r w:rsidDel="00000000" w:rsidR="00000000" w:rsidRPr="00000000">
        <w:rPr>
          <w:rFonts w:ascii="Palatino Linotype" w:cs="Palatino Linotype" w:eastAsia="Palatino Linotype" w:hAnsi="Palatino Linotype"/>
          <w:sz w:val="22"/>
          <w:szCs w:val="22"/>
          <w:rtl w:val="0"/>
        </w:rPr>
        <w:t xml:space="preserve">al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dé trámite a la solicitud de acceso a la información pública, motivo del recurso de revisión </w:t>
      </w:r>
      <w:r w:rsidDel="00000000" w:rsidR="00000000" w:rsidRPr="00000000">
        <w:rPr>
          <w:rFonts w:ascii="Palatino Linotype" w:cs="Palatino Linotype" w:eastAsia="Palatino Linotype" w:hAnsi="Palatino Linotype"/>
          <w:b w:val="1"/>
          <w:sz w:val="22"/>
          <w:szCs w:val="22"/>
          <w:rtl w:val="0"/>
        </w:rPr>
        <w:t xml:space="preserve">04734/INFOEM/IP/RR/2020</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en términos del Considerando Cuarto de esta resolución y emita respuesta, debiendo observar las excepciones contenidas en la Ley de Transparencia y Acceso a la Información Pública del Estado de México y Municipios.</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280" w:before="280" w:line="360" w:lineRule="auto"/>
        <w:ind w:left="567" w:right="616" w:firstLine="0"/>
        <w:jc w:val="both"/>
        <w:rPr>
          <w:rFonts w:ascii="Palatino Linotype" w:cs="Palatino Linotype" w:eastAsia="Palatino Linotype" w:hAnsi="Palatino Linotype"/>
          <w:color w:val="000000"/>
          <w:sz w:val="22"/>
          <w:szCs w:val="22"/>
          <w:highlight w:val="white"/>
        </w:rPr>
      </w:pPr>
      <w:bookmarkStart w:colFirst="0" w:colLast="0" w:name="_heading=h.gjdgxs" w:id="1"/>
      <w:bookmarkEnd w:id="1"/>
      <w:r w:rsidDel="00000000" w:rsidR="00000000" w:rsidRPr="00000000">
        <w:rPr>
          <w:rFonts w:ascii="Palatino Linotype" w:cs="Palatino Linotype" w:eastAsia="Palatino Linotype" w:hAnsi="Palatino Linotype"/>
          <w:b w:val="1"/>
          <w:color w:val="000000"/>
          <w:sz w:val="22"/>
          <w:szCs w:val="22"/>
          <w:highlight w:val="white"/>
          <w:rtl w:val="0"/>
        </w:rPr>
        <w:t xml:space="preserve">Tercero. </w:t>
      </w:r>
      <w:r w:rsidDel="00000000" w:rsidR="00000000" w:rsidRPr="00000000">
        <w:rPr>
          <w:rFonts w:ascii="Palatino Linotype" w:cs="Palatino Linotype" w:eastAsia="Palatino Linotype" w:hAnsi="Palatino Linotype"/>
          <w:b w:val="1"/>
          <w:color w:val="000000"/>
          <w:sz w:val="22"/>
          <w:szCs w:val="22"/>
          <w:rtl w:val="0"/>
        </w:rPr>
        <w:t xml:space="preserve">Notifíquese</w:t>
      </w:r>
      <w:r w:rsidDel="00000000" w:rsidR="00000000" w:rsidRPr="00000000">
        <w:rPr>
          <w:rFonts w:ascii="Palatino Linotype" w:cs="Palatino Linotype" w:eastAsia="Palatino Linotype" w:hAnsi="Palatino Linotype"/>
          <w:b w:val="1"/>
          <w:color w:val="000000"/>
          <w:sz w:val="22"/>
          <w:szCs w:val="22"/>
          <w:highlight w:val="white"/>
          <w:rtl w:val="0"/>
        </w:rPr>
        <w:t xml:space="preserve"> </w:t>
      </w:r>
      <w:r w:rsidDel="00000000" w:rsidR="00000000" w:rsidRPr="00000000">
        <w:rPr>
          <w:rFonts w:ascii="Palatino Linotype" w:cs="Palatino Linotype" w:eastAsia="Palatino Linotype" w:hAnsi="Palatino Linotype"/>
          <w:color w:val="000000"/>
          <w:sz w:val="22"/>
          <w:szCs w:val="22"/>
          <w:highlight w:val="white"/>
          <w:rtl w:val="0"/>
        </w:rPr>
        <w:t xml:space="preserve">al Titular de la Unidad de Transparencia del</w:t>
      </w:r>
      <w:r w:rsidDel="00000000" w:rsidR="00000000" w:rsidRPr="00000000">
        <w:rPr>
          <w:rFonts w:ascii="Palatino Linotype" w:cs="Palatino Linotype" w:eastAsia="Palatino Linotype" w:hAnsi="Palatino Linotype"/>
          <w:b w:val="1"/>
          <w:color w:val="000000"/>
          <w:sz w:val="22"/>
          <w:szCs w:val="22"/>
          <w:highlight w:val="white"/>
          <w:rtl w:val="0"/>
        </w:rPr>
        <w:t xml:space="preserve"> SUJETO OBLIGADO</w:t>
      </w:r>
      <w:r w:rsidDel="00000000" w:rsidR="00000000" w:rsidRPr="00000000">
        <w:rPr>
          <w:rFonts w:ascii="Palatino Linotype" w:cs="Palatino Linotype" w:eastAsia="Palatino Linotype" w:hAnsi="Palatino Linotype"/>
          <w:color w:val="000000"/>
          <w:sz w:val="22"/>
          <w:szCs w:val="22"/>
          <w:highlight w:val="white"/>
          <w:rtl w:val="0"/>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00000" w:rsidDel="00000000" w:rsidP="00000000" w:rsidRDefault="00000000" w:rsidRPr="00000000" w14:paraId="0000001D">
      <w:pPr>
        <w:spacing w:after="240" w:before="240" w:line="360" w:lineRule="auto"/>
        <w:ind w:left="567" w:right="61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Cuarto. Notifíquese</w:t>
      </w:r>
      <w:r w:rsidDel="00000000" w:rsidR="00000000" w:rsidRPr="00000000">
        <w:rPr>
          <w:rFonts w:ascii="Palatino Linotype" w:cs="Palatino Linotype" w:eastAsia="Palatino Linotype" w:hAnsi="Palatino Linotype"/>
          <w:sz w:val="22"/>
          <w:szCs w:val="22"/>
          <w:rtl w:val="0"/>
        </w:rPr>
        <w:t xml:space="preserve"> al</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la presente </w:t>
      </w:r>
      <w:r w:rsidDel="00000000" w:rsidR="00000000" w:rsidRPr="00000000">
        <w:rPr>
          <w:rFonts w:ascii="Palatino Linotype" w:cs="Palatino Linotype" w:eastAsia="Palatino Linotype" w:hAnsi="Palatino Linotype"/>
          <w:sz w:val="22"/>
          <w:szCs w:val="22"/>
          <w:highlight w:val="white"/>
          <w:rtl w:val="0"/>
        </w:rPr>
        <w:t xml:space="preserve">resolución.</w:t>
      </w:r>
      <w:r w:rsidDel="00000000" w:rsidR="00000000" w:rsidRPr="00000000">
        <w:rPr>
          <w:rtl w:val="0"/>
        </w:rPr>
      </w:r>
    </w:p>
    <w:p w:rsidR="00000000" w:rsidDel="00000000" w:rsidP="00000000" w:rsidRDefault="00000000" w:rsidRPr="00000000" w14:paraId="0000001E">
      <w:pPr>
        <w:spacing w:after="240" w:before="240" w:line="360" w:lineRule="auto"/>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Se hace del Conocimiento </w:t>
      </w:r>
      <w:r w:rsidDel="00000000" w:rsidR="00000000" w:rsidRPr="00000000">
        <w:rPr>
          <w:rFonts w:ascii="Palatino Linotype" w:cs="Palatino Linotype" w:eastAsia="Palatino Linotype" w:hAnsi="Palatino Linotype"/>
          <w:sz w:val="22"/>
          <w:szCs w:val="22"/>
          <w:rtl w:val="0"/>
        </w:rPr>
        <w:t xml:space="preserve">del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que, de conformidad con lo establecido en el artículo 196 de la Ley de Transparencia y Acceso a la Información Pública del Estado de México y Municipios, podrá impugnarla vía el Juicio de Amparo en los términos de las leyes aplicables.</w:t>
      </w:r>
    </w:p>
    <w:p w:rsidR="00000000" w:rsidDel="00000000" w:rsidP="00000000" w:rsidRDefault="00000000" w:rsidRPr="00000000" w14:paraId="0000001F">
      <w:pPr>
        <w:spacing w:after="240" w:before="240" w:line="360" w:lineRule="auto"/>
        <w:ind w:left="567" w:right="61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Sexto. Hágase del conocimiento </w:t>
      </w:r>
      <w:r w:rsidDel="00000000" w:rsidR="00000000" w:rsidRPr="00000000">
        <w:rPr>
          <w:rFonts w:ascii="Palatino Linotype" w:cs="Palatino Linotype" w:eastAsia="Palatino Linotype" w:hAnsi="Palatino Linotype"/>
          <w:sz w:val="22"/>
          <w:szCs w:val="22"/>
          <w:rtl w:val="0"/>
        </w:rPr>
        <w:t xml:space="preserve">del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que la respuesta que dé </w:t>
      </w:r>
      <w:r w:rsidDel="00000000" w:rsidR="00000000" w:rsidRPr="00000000">
        <w:rPr>
          <w:rFonts w:ascii="Palatino Linotype" w:cs="Palatino Linotype" w:eastAsia="Palatino Linotype" w:hAnsi="Palatino Linotype"/>
          <w:b w:val="1"/>
          <w:sz w:val="22"/>
          <w:szCs w:val="22"/>
          <w:rtl w:val="0"/>
        </w:rPr>
        <w:t xml:space="preserve">EL SUJETO OBLIGADO</w:t>
      </w:r>
      <w:r w:rsidDel="00000000" w:rsidR="00000000" w:rsidRPr="00000000">
        <w:rPr>
          <w:rFonts w:ascii="Palatino Linotype" w:cs="Palatino Linotype" w:eastAsia="Palatino Linotype" w:hAnsi="Palatino Linotype"/>
          <w:sz w:val="22"/>
          <w:szCs w:val="22"/>
          <w:rtl w:val="0"/>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20">
      <w:pPr>
        <w:spacing w:after="240" w:before="240" w:line="360" w:lineRule="auto"/>
        <w:ind w:left="567" w:right="616" w:firstLine="0"/>
        <w:jc w:val="both"/>
        <w:rPr>
          <w:rFonts w:ascii="Palatino Linotype" w:cs="Palatino Linotype" w:eastAsia="Palatino Linotype" w:hAnsi="Palatino Linotype"/>
          <w:sz w:val="22"/>
          <w:szCs w:val="22"/>
          <w:highlight w:val="white"/>
        </w:rPr>
      </w:pPr>
      <w:r w:rsidDel="00000000" w:rsidR="00000000" w:rsidRPr="00000000">
        <w:rPr>
          <w:rFonts w:ascii="Palatino Linotype" w:cs="Palatino Linotype" w:eastAsia="Palatino Linotype" w:hAnsi="Palatino Linotype"/>
          <w:b w:val="1"/>
          <w:sz w:val="22"/>
          <w:szCs w:val="22"/>
          <w:rtl w:val="0"/>
        </w:rPr>
        <w:t xml:space="preserve">Séptimo.</w:t>
      </w:r>
      <w:r w:rsidDel="00000000" w:rsidR="00000000" w:rsidRPr="00000000">
        <w:rPr>
          <w:rFonts w:ascii="Palatino Linotype" w:cs="Palatino Linotype" w:eastAsia="Palatino Linotype" w:hAnsi="Palatino Linotype"/>
          <w:b w:val="1"/>
          <w:sz w:val="22"/>
          <w:szCs w:val="22"/>
          <w:highlight w:val="white"/>
          <w:rtl w:val="0"/>
        </w:rPr>
        <w:t xml:space="preserve"> Gírese</w:t>
      </w:r>
      <w:r w:rsidDel="00000000" w:rsidR="00000000" w:rsidRPr="00000000">
        <w:rPr>
          <w:rFonts w:ascii="Palatino Linotype" w:cs="Palatino Linotype" w:eastAsia="Palatino Linotype" w:hAnsi="Palatino Linotype"/>
          <w:sz w:val="22"/>
          <w:szCs w:val="22"/>
          <w:highlight w:val="white"/>
          <w:rtl w:val="0"/>
        </w:rPr>
        <w:t xml:space="preserve"> oficio al Contralor Interno de este Instituto para que actúe en razón de su competencia, en términos de lo expuesto en el Considerando Cuarto de la presente resolución.</w:t>
      </w:r>
      <w:r w:rsidDel="00000000" w:rsidR="00000000" w:rsidRPr="00000000">
        <w:rPr>
          <w:rFonts w:ascii="Palatino Linotype" w:cs="Palatino Linotype" w:eastAsia="Palatino Linotype" w:hAnsi="Palatino Linotype"/>
          <w:sz w:val="22"/>
          <w:szCs w:val="22"/>
          <w:rtl w:val="0"/>
        </w:rPr>
        <w:t xml:space="preserve">” (Sic)</w:t>
      </w:r>
      <w:r w:rsidDel="00000000" w:rsidR="00000000" w:rsidRPr="00000000">
        <w:rPr>
          <w:rtl w:val="0"/>
        </w:rPr>
      </w:r>
    </w:p>
    <w:p w:rsidR="00000000" w:rsidDel="00000000" w:rsidP="00000000" w:rsidRDefault="00000000" w:rsidRPr="00000000" w14:paraId="0000002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10. </w:t>
      </w:r>
      <w:r w:rsidDel="00000000" w:rsidR="00000000" w:rsidRPr="00000000">
        <w:rPr>
          <w:rFonts w:ascii="Palatino Linotype" w:cs="Palatino Linotype" w:eastAsia="Palatino Linotype" w:hAnsi="Palatino Linotype"/>
          <w:rtl w:val="0"/>
        </w:rPr>
        <w:t xml:space="preserve">En fecha veinticinco de enero del dos mil veintiuno, se notificó a las partes la Resolución.</w:t>
      </w:r>
    </w:p>
    <w:p w:rsidR="00000000" w:rsidDel="00000000" w:rsidP="00000000" w:rsidRDefault="00000000" w:rsidRPr="00000000" w14:paraId="00000022">
      <w:pPr>
        <w:spacing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3">
      <w:pPr>
        <w:spacing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11. </w:t>
      </w:r>
      <w:r w:rsidDel="00000000" w:rsidR="00000000" w:rsidRPr="00000000">
        <w:rPr>
          <w:rFonts w:ascii="Palatino Linotype" w:cs="Palatino Linotype" w:eastAsia="Palatino Linotype" w:hAnsi="Palatino Linotype"/>
          <w:rtl w:val="0"/>
        </w:rPr>
        <w:t xml:space="preserve">Posteriormente, el dos de diciembre del dos mil veintiuno, el Director de Cumplimientos del Instituto de Transparencia, Acceso a la Información Pública y Protección de Datos Personales del Estado de México y Municipios, notificó el acuerdo de incumplimiento del Recurso de Revisión 04734/INFOEM/IP/RR/2020,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Ayuntamiento de Capulhuac.</w:t>
      </w:r>
    </w:p>
    <w:p w:rsidR="00000000" w:rsidDel="00000000" w:rsidP="00000000" w:rsidRDefault="00000000" w:rsidRPr="00000000" w14:paraId="00000024">
      <w:pPr>
        <w:spacing w:line="360" w:lineRule="auto"/>
        <w:ind w:right="50"/>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5">
      <w:pPr>
        <w:spacing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13. </w:t>
      </w:r>
      <w:r w:rsidDel="00000000" w:rsidR="00000000" w:rsidRPr="00000000">
        <w:rPr>
          <w:rFonts w:ascii="Palatino Linotype" w:cs="Palatino Linotype" w:eastAsia="Palatino Linotype" w:hAnsi="Palatino Linotype"/>
          <w:rtl w:val="0"/>
        </w:rPr>
        <w:t xml:space="preserve">En fecha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dos de diciembre del dos mil veintiuno, el Director de Cumplimientos del Instituto de Transparencia, Acceso a la Información Pública y Protección de Datos Personales del Estado de México y Municipios, turnó el acuerdo de incumplimiento por parte del Ayuntamiento de Capulhuac, al Contralor Interno y Titular del Órgano de Control y Vigilancia del mismo Instituto, a efecto de que en uso de sus atribuciones, se impongan las medidas de apremio a que haya lugar, y para que de esa manera se asegure la entrega de la información al Recurrente.</w:t>
      </w:r>
    </w:p>
    <w:p w:rsidR="00000000" w:rsidDel="00000000" w:rsidP="00000000" w:rsidRDefault="00000000" w:rsidRPr="00000000" w14:paraId="00000026">
      <w:pPr>
        <w:spacing w:line="360" w:lineRule="auto"/>
        <w:ind w:right="5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7">
      <w:pPr>
        <w:spacing w:line="360" w:lineRule="auto"/>
        <w:ind w:right="50"/>
        <w:jc w:val="both"/>
        <w:rPr>
          <w:rFonts w:ascii="Palatino Linotype" w:cs="Palatino Linotype" w:eastAsia="Palatino Linotype" w:hAnsi="Palatino Linotype"/>
        </w:rPr>
      </w:pPr>
      <w:bookmarkStart w:colFirst="0" w:colLast="0" w:name="_heading=h.30j0zll" w:id="2"/>
      <w:bookmarkEnd w:id="2"/>
      <w:r w:rsidDel="00000000" w:rsidR="00000000" w:rsidRPr="00000000">
        <w:rPr>
          <w:rFonts w:ascii="Palatino Linotype" w:cs="Palatino Linotype" w:eastAsia="Palatino Linotype" w:hAnsi="Palatino Linotype"/>
          <w:b w:val="1"/>
          <w:rtl w:val="0"/>
        </w:rPr>
        <w:t xml:space="preserve">14.</w:t>
      </w:r>
      <w:r w:rsidDel="00000000" w:rsidR="00000000" w:rsidRPr="00000000">
        <w:rPr>
          <w:rFonts w:ascii="Palatino Linotype" w:cs="Palatino Linotype" w:eastAsia="Palatino Linotype" w:hAnsi="Palatino Linotype"/>
          <w:rtl w:val="0"/>
        </w:rPr>
        <w:t xml:space="preserve"> Inconforme con la negativa por parte del Ayuntamiento de Capulhuac, para dar cumplimiento a la resolución </w:t>
      </w:r>
      <w:r w:rsidDel="00000000" w:rsidR="00000000" w:rsidRPr="00000000">
        <w:rPr>
          <w:rFonts w:ascii="Palatino Linotype" w:cs="Palatino Linotype" w:eastAsia="Palatino Linotype" w:hAnsi="Palatino Linotype"/>
          <w:b w:val="1"/>
          <w:rtl w:val="0"/>
        </w:rPr>
        <w:t xml:space="preserve">04734/INFOEM/IP/RR/2020</w:t>
      </w:r>
      <w:r w:rsidDel="00000000" w:rsidR="00000000" w:rsidRPr="00000000">
        <w:rPr>
          <w:rFonts w:ascii="Palatino Linotype" w:cs="Palatino Linotype" w:eastAsia="Palatino Linotype" w:hAnsi="Palatino Linotype"/>
          <w:rtl w:val="0"/>
        </w:rPr>
        <w:t xml:space="preserve">, el dos de diciembre del dos mil veintiuno, </w:t>
      </w:r>
      <w:r w:rsidDel="00000000" w:rsidR="00000000" w:rsidRPr="00000000">
        <w:rPr>
          <w:rFonts w:ascii="Palatino Linotype" w:cs="Palatino Linotype" w:eastAsia="Palatino Linotype" w:hAnsi="Palatino Linotype"/>
          <w:b w:val="1"/>
          <w:rtl w:val="0"/>
        </w:rPr>
        <w:t xml:space="preserve">EL RECURRENTE</w:t>
      </w:r>
      <w:r w:rsidDel="00000000" w:rsidR="00000000" w:rsidRPr="00000000">
        <w:rPr>
          <w:rFonts w:ascii="Palatino Linotype" w:cs="Palatino Linotype" w:eastAsia="Palatino Linotype" w:hAnsi="Palatino Linotype"/>
          <w:rtl w:val="0"/>
        </w:rPr>
        <w:t xml:space="preserve"> interpuso nuevamente el recurso de revisión sujeto del presente estudio, el cual fue registrado en </w:t>
      </w:r>
      <w:r w:rsidDel="00000000" w:rsidR="00000000" w:rsidRPr="00000000">
        <w:rPr>
          <w:rFonts w:ascii="Palatino Linotype" w:cs="Palatino Linotype" w:eastAsia="Palatino Linotype" w:hAnsi="Palatino Linotype"/>
          <w:b w:val="1"/>
          <w:rtl w:val="0"/>
        </w:rPr>
        <w:t xml:space="preserve">EL SAIMEX</w:t>
      </w:r>
      <w:r w:rsidDel="00000000" w:rsidR="00000000" w:rsidRPr="00000000">
        <w:rPr>
          <w:rFonts w:ascii="Palatino Linotype" w:cs="Palatino Linotype" w:eastAsia="Palatino Linotype" w:hAnsi="Palatino Linotype"/>
          <w:rtl w:val="0"/>
        </w:rPr>
        <w:t xml:space="preserve"> y se le asignó el número de expediente </w:t>
      </w:r>
      <w:r w:rsidDel="00000000" w:rsidR="00000000" w:rsidRPr="00000000">
        <w:rPr>
          <w:rFonts w:ascii="Palatino Linotype" w:cs="Palatino Linotype" w:eastAsia="Palatino Linotype" w:hAnsi="Palatino Linotype"/>
          <w:b w:val="1"/>
          <w:rtl w:val="0"/>
        </w:rPr>
        <w:t xml:space="preserve">04734/INFOEM/ICR-67/IP/RR/2020, </w:t>
      </w:r>
      <w:r w:rsidDel="00000000" w:rsidR="00000000" w:rsidRPr="00000000">
        <w:rPr>
          <w:rFonts w:ascii="Palatino Linotype" w:cs="Palatino Linotype" w:eastAsia="Palatino Linotype" w:hAnsi="Palatino Linotype"/>
          <w:rtl w:val="0"/>
        </w:rPr>
        <w:t xml:space="preserve">en</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el que señaló como acto impugnado: </w:t>
      </w:r>
    </w:p>
    <w:p w:rsidR="00000000" w:rsidDel="00000000" w:rsidP="00000000" w:rsidRDefault="00000000" w:rsidRPr="00000000" w14:paraId="00000028">
      <w:pPr>
        <w:ind w:left="850" w:right="90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9">
      <w:pPr>
        <w:ind w:left="850" w:right="9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me esta negando el derecho a la informacion plasamdo en leyes vigentes” (Sic)</w:t>
      </w:r>
    </w:p>
    <w:p w:rsidR="00000000" w:rsidDel="00000000" w:rsidP="00000000" w:rsidRDefault="00000000" w:rsidRPr="00000000" w14:paraId="0000002A">
      <w:pPr>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B">
      <w:pPr>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como las razones o motivos de inconformidad:</w:t>
      </w:r>
    </w:p>
    <w:p w:rsidR="00000000" w:rsidDel="00000000" w:rsidP="00000000" w:rsidRDefault="00000000" w:rsidRPr="00000000" w14:paraId="0000002C">
      <w:pPr>
        <w:ind w:left="850" w:right="90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D">
      <w:pPr>
        <w:ind w:left="850" w:right="9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“no se esta cumpiendo las leyes vigentes”. (Sic)</w:t>
      </w:r>
    </w:p>
    <w:p w:rsidR="00000000" w:rsidDel="00000000" w:rsidP="00000000" w:rsidRDefault="00000000" w:rsidRPr="00000000" w14:paraId="0000002E">
      <w:pPr>
        <w:ind w:left="850" w:right="90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15. </w:t>
      </w:r>
      <w:r w:rsidDel="00000000" w:rsidR="00000000" w:rsidRPr="00000000">
        <w:rPr>
          <w:rFonts w:ascii="Palatino Linotype" w:cs="Palatino Linotype" w:eastAsia="Palatino Linotype" w:hAnsi="Palatino Linotype"/>
          <w:rtl w:val="0"/>
        </w:rPr>
        <w:t xml:space="preserve">El dos de diciembre del dos mil veintiuno, el recurso de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 la Comisionada </w:t>
      </w:r>
      <w:r w:rsidDel="00000000" w:rsidR="00000000" w:rsidRPr="00000000">
        <w:rPr>
          <w:rFonts w:ascii="Palatino Linotype" w:cs="Palatino Linotype" w:eastAsia="Palatino Linotype" w:hAnsi="Palatino Linotype"/>
          <w:b w:val="1"/>
          <w:rtl w:val="0"/>
        </w:rPr>
        <w:t xml:space="preserve">Guadalupe Ramírez Peña</w:t>
      </w:r>
      <w:r w:rsidDel="00000000" w:rsidR="00000000" w:rsidRPr="00000000">
        <w:rPr>
          <w:rFonts w:ascii="Palatino Linotype" w:cs="Palatino Linotype" w:eastAsia="Palatino Linotype" w:hAnsi="Palatino Linotype"/>
          <w:rtl w:val="0"/>
        </w:rPr>
        <w:t xml:space="preserve">, a efecto de decretar su admisión o desechamiento.</w:t>
      </w:r>
    </w:p>
    <w:p w:rsidR="00000000" w:rsidDel="00000000" w:rsidP="00000000" w:rsidRDefault="00000000" w:rsidRPr="00000000" w14:paraId="00000030">
      <w:pPr>
        <w:tabs>
          <w:tab w:val="center" w:pos="4419"/>
          <w:tab w:val="right" w:pos="8838"/>
        </w:tabs>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31">
      <w:pPr>
        <w:tabs>
          <w:tab w:val="center" w:pos="4419"/>
          <w:tab w:val="right" w:pos="8838"/>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16. </w:t>
      </w:r>
      <w:r w:rsidDel="00000000" w:rsidR="00000000" w:rsidRPr="00000000">
        <w:rPr>
          <w:rFonts w:ascii="Palatino Linotype" w:cs="Palatino Linotype" w:eastAsia="Palatino Linotype" w:hAnsi="Palatino Linotype"/>
          <w:rtl w:val="0"/>
        </w:rPr>
        <w:t xml:space="preserve">De las constancias del expediente electrónico del</w:t>
      </w:r>
      <w:r w:rsidDel="00000000" w:rsidR="00000000" w:rsidRPr="00000000">
        <w:rPr>
          <w:rFonts w:ascii="Palatino Linotype" w:cs="Palatino Linotype" w:eastAsia="Palatino Linotype" w:hAnsi="Palatino Linotype"/>
          <w:b w:val="1"/>
          <w:rtl w:val="0"/>
        </w:rPr>
        <w:t xml:space="preserve"> SAIMEX</w:t>
      </w:r>
      <w:r w:rsidDel="00000000" w:rsidR="00000000" w:rsidRPr="00000000">
        <w:rPr>
          <w:rFonts w:ascii="Palatino Linotype" w:cs="Palatino Linotype" w:eastAsia="Palatino Linotype" w:hAnsi="Palatino Linotype"/>
          <w:rtl w:val="0"/>
        </w:rPr>
        <w:t xml:space="preserve">, se advierte que en fecha catorce de enero de dos mil veintidós,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rindiera su</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Informe Justificado.</w:t>
      </w:r>
    </w:p>
    <w:p w:rsidR="00000000" w:rsidDel="00000000" w:rsidP="00000000" w:rsidRDefault="00000000" w:rsidRPr="00000000" w14:paraId="00000032">
      <w:pPr>
        <w:tabs>
          <w:tab w:val="center" w:pos="4419"/>
          <w:tab w:val="right" w:pos="8838"/>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3">
      <w:pPr>
        <w:tabs>
          <w:tab w:val="center" w:pos="4419"/>
          <w:tab w:val="right" w:pos="8838"/>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17. </w:t>
      </w:r>
      <w:r w:rsidDel="00000000" w:rsidR="00000000" w:rsidRPr="00000000">
        <w:rPr>
          <w:rFonts w:ascii="Palatino Linotype" w:cs="Palatino Linotype" w:eastAsia="Palatino Linotype" w:hAnsi="Palatino Linotype"/>
          <w:rtl w:val="0"/>
        </w:rPr>
        <w:t xml:space="preserve">Conforme a las constancias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se desprende que atento a lo dispuesto en el artículo 185 de la Ley de Transparencia y Acceso a la Información Pública del Estado de México y Municipios, dentro del término legalmente concedido al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éste no realizó manifestación alguna, ni presentó pruebas o alegatos, así como tampoco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rindió su Informe Justificado.</w:t>
      </w:r>
    </w:p>
    <w:p w:rsidR="00000000" w:rsidDel="00000000" w:rsidP="00000000" w:rsidRDefault="00000000" w:rsidRPr="00000000" w14:paraId="00000034">
      <w:pPr>
        <w:tabs>
          <w:tab w:val="center" w:pos="4419"/>
          <w:tab w:val="right" w:pos="8838"/>
        </w:tabs>
        <w:spacing w:line="360" w:lineRule="auto"/>
        <w:jc w:val="both"/>
        <w:rPr>
          <w:rFonts w:ascii="Palatino Linotype" w:cs="Palatino Linotype" w:eastAsia="Palatino Linotype" w:hAnsi="Palatino Linotype"/>
        </w:rPr>
      </w:pPr>
      <w:r w:rsidDel="00000000" w:rsidR="00000000" w:rsidRPr="00000000">
        <w:rPr/>
        <w:drawing>
          <wp:inline distB="0" distT="0" distL="0" distR="0">
            <wp:extent cx="5612130" cy="1635125"/>
            <wp:effectExtent b="0" l="0" r="0" t="0"/>
            <wp:docPr id="5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612130" cy="163512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line="360" w:lineRule="auto"/>
        <w:jc w:val="both"/>
        <w:rPr>
          <w:rFonts w:ascii="Palatino Linotype" w:cs="Palatino Linotype" w:eastAsia="Palatino Linotype" w:hAnsi="Palatino Linotype"/>
        </w:rPr>
      </w:pPr>
      <w:bookmarkStart w:colFirst="0" w:colLast="0" w:name="_heading=h.1fob9te" w:id="3"/>
      <w:bookmarkEnd w:id="3"/>
      <w:r w:rsidDel="00000000" w:rsidR="00000000" w:rsidRPr="00000000">
        <w:rPr>
          <w:rFonts w:ascii="Palatino Linotype" w:cs="Palatino Linotype" w:eastAsia="Palatino Linotype" w:hAnsi="Palatino Linotype"/>
          <w:b w:val="1"/>
          <w:rtl w:val="0"/>
        </w:rPr>
        <w:t xml:space="preserve">18. </w:t>
      </w:r>
      <w:r w:rsidDel="00000000" w:rsidR="00000000" w:rsidRPr="00000000">
        <w:rPr>
          <w:rFonts w:ascii="Palatino Linotype" w:cs="Palatino Linotype" w:eastAsia="Palatino Linotype" w:hAnsi="Palatino Linotype"/>
          <w:rtl w:val="0"/>
        </w:rPr>
        <w:t xml:space="preserve">Transcurrido el plazo señalado en el párrafo anterior y, una vez analizado el estado procesal que guarda el expediente, el tres de febrero del dos mil veintidós,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000000" w:rsidDel="00000000" w:rsidP="00000000" w:rsidRDefault="00000000" w:rsidRPr="00000000" w14:paraId="0000003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7">
      <w:pPr>
        <w:numPr>
          <w:ilvl w:val="0"/>
          <w:numId w:val="5"/>
        </w:numPr>
        <w:pBdr>
          <w:top w:space="0" w:sz="0" w:val="nil"/>
          <w:left w:space="0" w:sz="0" w:val="nil"/>
          <w:bottom w:space="0" w:sz="0" w:val="nil"/>
          <w:right w:space="0" w:sz="0" w:val="nil"/>
          <w:between w:space="0" w:sz="0" w:val="nil"/>
        </w:pBdr>
        <w:spacing w:after="240" w:before="240" w:line="360" w:lineRule="auto"/>
        <w:ind w:left="720" w:hanging="360"/>
        <w:jc w:val="center"/>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CONSIDERANDO</w:t>
      </w:r>
    </w:p>
    <w:p w:rsidR="00000000" w:rsidDel="00000000" w:rsidP="00000000" w:rsidRDefault="00000000" w:rsidRPr="00000000" w14:paraId="00000038">
      <w:pPr>
        <w:spacing w:after="240" w:before="24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rtl w:val="0"/>
        </w:rPr>
        <w:t xml:space="preserve">Primero.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Competencia</w:t>
      </w:r>
      <w:r w:rsidDel="00000000" w:rsidR="00000000" w:rsidRPr="00000000">
        <w:rPr>
          <w:rFonts w:ascii="Palatino Linotype" w:cs="Palatino Linotype" w:eastAsia="Palatino Linotype" w:hAnsi="Palatino Linotype"/>
          <w:b w:val="1"/>
          <w:sz w:val="28"/>
          <w:szCs w:val="28"/>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highlight w:val="white"/>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Del="00000000" w:rsidR="00000000" w:rsidRPr="00000000">
        <w:rPr>
          <w:rFonts w:ascii="Palatino Linotype" w:cs="Palatino Linotype" w:eastAsia="Palatino Linotype" w:hAnsi="Palatino Linotype"/>
          <w:rtl w:val="0"/>
        </w:rPr>
        <w:t xml:space="preserve">5, párrafos vigésimo noveno, trigésimo y trigésimo primero, fracciones IV y V de la Constitución Política del Estado Libre y Soberano de México; 1,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r w:rsidDel="00000000" w:rsidR="00000000" w:rsidRPr="00000000">
        <w:rPr>
          <w:rFonts w:ascii="Palatino Linotype" w:cs="Palatino Linotype" w:eastAsia="Palatino Linotype" w:hAnsi="Palatino Linotype"/>
          <w:highlight w:val="white"/>
          <w:rtl w:val="0"/>
        </w:rPr>
        <w:t xml:space="preserve">.</w:t>
      </w:r>
    </w:p>
    <w:p w:rsidR="00000000" w:rsidDel="00000000" w:rsidP="00000000" w:rsidRDefault="00000000" w:rsidRPr="00000000" w14:paraId="00000039">
      <w:pPr>
        <w:spacing w:line="360" w:lineRule="auto"/>
        <w:jc w:val="both"/>
        <w:rPr>
          <w:rFonts w:ascii="Palatino Linotype" w:cs="Palatino Linotype" w:eastAsia="Palatino Linotype" w:hAnsi="Palatino Linotype"/>
          <w:b w:val="1"/>
          <w:sz w:val="16"/>
          <w:szCs w:val="16"/>
        </w:rPr>
      </w:pPr>
      <w:r w:rsidDel="00000000" w:rsidR="00000000" w:rsidRPr="00000000">
        <w:rPr>
          <w:rtl w:val="0"/>
        </w:rPr>
      </w:r>
    </w:p>
    <w:p w:rsidR="00000000" w:rsidDel="00000000" w:rsidP="00000000" w:rsidRDefault="00000000" w:rsidRPr="00000000" w14:paraId="0000003A">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b w:val="1"/>
          <w:rtl w:val="0"/>
        </w:rPr>
        <w:t xml:space="preserve"> De los alcances del Recurso de Revisión. </w:t>
      </w:r>
      <w:r w:rsidDel="00000000" w:rsidR="00000000" w:rsidRPr="00000000">
        <w:rPr>
          <w:rFonts w:ascii="Palatino Linotype" w:cs="Palatino Linotype" w:eastAsia="Palatino Linotype" w:hAnsi="Palatino Linotype"/>
          <w:rtl w:val="0"/>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r w:rsidDel="00000000" w:rsidR="00000000" w:rsidRPr="00000000">
        <w:rPr>
          <w:rtl w:val="0"/>
        </w:rPr>
      </w:r>
    </w:p>
    <w:p w:rsidR="00000000" w:rsidDel="00000000" w:rsidP="00000000" w:rsidRDefault="00000000" w:rsidRPr="00000000" w14:paraId="0000003B">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3C">
      <w:pPr>
        <w:spacing w:line="360" w:lineRule="auto"/>
        <w:jc w:val="both"/>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rtl w:val="0"/>
        </w:rPr>
        <w:t xml:space="preserve">Tercero. Del estudio de las causas de improcedencia. </w:t>
      </w:r>
      <w:r w:rsidDel="00000000" w:rsidR="00000000" w:rsidRPr="00000000">
        <w:rPr>
          <w:rFonts w:ascii="Palatino Linotype" w:cs="Palatino Linotype" w:eastAsia="Palatino Linotype" w:hAnsi="Palatino Linotype"/>
          <w:rtl w:val="0"/>
        </w:rPr>
        <w:t xml:space="preserve">El estudio de las causas de improcedencia que se hagan valer por las partes o que se advierta de oficio por este Instituto deben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Del="00000000" w:rsidR="00000000" w:rsidRPr="00000000">
        <w:rPr>
          <w:rtl w:val="0"/>
        </w:rPr>
      </w:r>
    </w:p>
    <w:p w:rsidR="00000000" w:rsidDel="00000000" w:rsidP="00000000" w:rsidRDefault="00000000" w:rsidRPr="00000000" w14:paraId="0000003D">
      <w:pPr>
        <w:spacing w:line="360" w:lineRule="auto"/>
        <w:jc w:val="both"/>
        <w:rPr>
          <w:rFonts w:ascii="Palatino Linotype" w:cs="Palatino Linotype" w:eastAsia="Palatino Linotype" w:hAnsi="Palatino Linotype"/>
          <w:b w:val="1"/>
          <w:sz w:val="16"/>
          <w:szCs w:val="16"/>
        </w:rPr>
      </w:pPr>
      <w:r w:rsidDel="00000000" w:rsidR="00000000" w:rsidRPr="00000000">
        <w:rPr>
          <w:rtl w:val="0"/>
        </w:rPr>
      </w:r>
    </w:p>
    <w:p w:rsidR="00000000" w:rsidDel="00000000" w:rsidP="00000000" w:rsidRDefault="00000000" w:rsidRPr="00000000" w14:paraId="0000003E">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28"/>
          <w:szCs w:val="28"/>
          <w:rtl w:val="0"/>
        </w:rPr>
        <w:t xml:space="preserve">Cuarto. Estudio del asunto.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Una vez realizado el estudio de las constancias que integran el expediente en que se actúa, se desprende lo siguiente:</w:t>
      </w:r>
      <w:r w:rsidDel="00000000" w:rsidR="00000000" w:rsidRPr="00000000">
        <w:rPr>
          <w:rtl w:val="0"/>
        </w:rPr>
      </w:r>
    </w:p>
    <w:p w:rsidR="00000000" w:rsidDel="00000000" w:rsidP="00000000" w:rsidRDefault="00000000" w:rsidRPr="00000000" w14:paraId="0000003F">
      <w:pPr>
        <w:tabs>
          <w:tab w:val="left" w:pos="4962"/>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ahora Recurrente, a través de su solicitud de acceso a la información, requirió:</w:t>
      </w:r>
    </w:p>
    <w:p w:rsidR="00000000" w:rsidDel="00000000" w:rsidP="00000000" w:rsidRDefault="00000000" w:rsidRPr="00000000" w14:paraId="0000004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El número de canchas que tiene el municipio. </w:t>
      </w:r>
    </w:p>
    <w:p w:rsidR="00000000" w:rsidDel="00000000" w:rsidP="00000000" w:rsidRDefault="00000000" w:rsidRPr="00000000" w14:paraId="0000004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Dirección de cada una de ellas (junto con su nombre si lo tiene) </w:t>
      </w:r>
    </w:p>
    <w:p w:rsidR="00000000" w:rsidDel="00000000" w:rsidP="00000000" w:rsidRDefault="00000000" w:rsidRPr="00000000" w14:paraId="0000004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 Costo de construcción de cada una de ellas (mas, menos) aunque no hayan sido construidas en esta administración en turno (costo probable) </w:t>
      </w:r>
    </w:p>
    <w:p w:rsidR="00000000" w:rsidDel="00000000" w:rsidP="00000000" w:rsidRDefault="00000000" w:rsidRPr="00000000" w14:paraId="0000004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 Cuantos años tiene de construida(s) cada una de la(s) cancha(s) (más/menos).</w:t>
      </w:r>
    </w:p>
    <w:p w:rsidR="00000000" w:rsidDel="00000000" w:rsidP="00000000" w:rsidRDefault="00000000" w:rsidRPr="00000000" w14:paraId="0000004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omitió otorgar respuesta a la solicitud de información. </w:t>
      </w:r>
    </w:p>
    <w:p w:rsidR="00000000" w:rsidDel="00000000" w:rsidP="00000000" w:rsidRDefault="00000000" w:rsidRPr="00000000" w14:paraId="00000045">
      <w:pPr>
        <w:tabs>
          <w:tab w:val="left" w:pos="4962"/>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la </w:t>
      </w:r>
      <w:r w:rsidDel="00000000" w:rsidR="00000000" w:rsidRPr="00000000">
        <w:rPr>
          <w:rFonts w:ascii="Palatino Linotype" w:cs="Palatino Linotype" w:eastAsia="Palatino Linotype" w:hAnsi="Palatino Linotype"/>
          <w:b w:val="1"/>
          <w:rtl w:val="0"/>
        </w:rPr>
        <w:t xml:space="preserve">RECURRENT</w:t>
      </w:r>
      <w:r w:rsidDel="00000000" w:rsidR="00000000" w:rsidRPr="00000000">
        <w:rPr>
          <w:rFonts w:ascii="Palatino Linotype" w:cs="Palatino Linotype" w:eastAsia="Palatino Linotype" w:hAnsi="Palatino Linotype"/>
          <w:rtl w:val="0"/>
        </w:rPr>
        <w:t xml:space="preserve">E se inconformó porque el Sujeto Obligado no entregó la información solicitada, por lo cual se actualiza el supuesto previsto en el artículo 179, fracción VII, de la Ley de Transparencia y Acceso a la Información Pública del Estado de México y Municipios. </w:t>
      </w:r>
    </w:p>
    <w:p w:rsidR="00000000" w:rsidDel="00000000" w:rsidP="00000000" w:rsidRDefault="00000000" w:rsidRPr="00000000" w14:paraId="00000046">
      <w:pPr>
        <w:tabs>
          <w:tab w:val="left" w:pos="4962"/>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manera, de las constancias que obran en el presente recurso de revisión que se resuelve,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fue omiso en rendir su informe justificado, por lo tanto, es evidente que se vulneró en perjuicio del particular su derecho Constitucional de acceso a la información pública previsto en el artículo 6 de la Constitución Política de los Estados Unidos Mexicanos y el artículo 5 de la Constitución Política del Estado Libre y Soberano de México.</w:t>
      </w:r>
    </w:p>
    <w:p w:rsidR="00000000" w:rsidDel="00000000" w:rsidP="00000000" w:rsidRDefault="00000000" w:rsidRPr="00000000" w14:paraId="0000004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mediante notificación de la resolución del recurso de revisión </w:t>
      </w:r>
      <w:r w:rsidDel="00000000" w:rsidR="00000000" w:rsidRPr="00000000">
        <w:rPr>
          <w:rFonts w:ascii="Palatino Linotype" w:cs="Palatino Linotype" w:eastAsia="Palatino Linotype" w:hAnsi="Palatino Linotype"/>
          <w:b w:val="1"/>
          <w:rtl w:val="0"/>
        </w:rPr>
        <w:t xml:space="preserve">04734/INFOEM/IP/RR/2020, </w:t>
      </w:r>
      <w:r w:rsidDel="00000000" w:rsidR="00000000" w:rsidRPr="00000000">
        <w:rPr>
          <w:rFonts w:ascii="Palatino Linotype" w:cs="Palatino Linotype" w:eastAsia="Palatino Linotype" w:hAnsi="Palatino Linotype"/>
          <w:rtl w:val="0"/>
        </w:rPr>
        <w:t xml:space="preserve">el</w:t>
      </w:r>
      <w:r w:rsidDel="00000000" w:rsidR="00000000" w:rsidRPr="00000000">
        <w:rPr>
          <w:rFonts w:ascii="Palatino Linotype" w:cs="Palatino Linotype" w:eastAsia="Palatino Linotype" w:hAnsi="Palatino Linotype"/>
          <w:b w:val="1"/>
          <w:rtl w:val="0"/>
        </w:rPr>
        <w:t xml:space="preserve"> SUJETO OBLIGADO </w:t>
      </w:r>
      <w:r w:rsidDel="00000000" w:rsidR="00000000" w:rsidRPr="00000000">
        <w:rPr>
          <w:rFonts w:ascii="Palatino Linotype" w:cs="Palatino Linotype" w:eastAsia="Palatino Linotype" w:hAnsi="Palatino Linotype"/>
          <w:rtl w:val="0"/>
        </w:rPr>
        <w:t xml:space="preserve">nuevamente no otorgó respuesta alguna.</w:t>
      </w:r>
    </w:p>
    <w:p w:rsidR="00000000" w:rsidDel="00000000" w:rsidP="00000000" w:rsidRDefault="00000000" w:rsidRPr="00000000" w14:paraId="0000004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A">
      <w:pPr>
        <w:spacing w:line="360" w:lineRule="auto"/>
        <w:ind w:left="720" w:hanging="72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Inconforme el particular con la respuesta derivada de lo ordenado en la resolución del recurso </w:t>
      </w:r>
      <w:r w:rsidDel="00000000" w:rsidR="00000000" w:rsidRPr="00000000">
        <w:rPr>
          <w:rFonts w:ascii="Palatino Linotype" w:cs="Palatino Linotype" w:eastAsia="Palatino Linotype" w:hAnsi="Palatino Linotype"/>
          <w:b w:val="1"/>
          <w:rtl w:val="0"/>
        </w:rPr>
        <w:t xml:space="preserve">04734/INFOEM/IP/RR/2020, </w:t>
      </w:r>
      <w:r w:rsidDel="00000000" w:rsidR="00000000" w:rsidRPr="00000000">
        <w:rPr>
          <w:rFonts w:ascii="Palatino Linotype" w:cs="Palatino Linotype" w:eastAsia="Palatino Linotype" w:hAnsi="Palatino Linotype"/>
          <w:rtl w:val="0"/>
        </w:rPr>
        <w:t xml:space="preserve">interpuso por segunda ocasión el presente recurso número </w:t>
      </w:r>
      <w:r w:rsidDel="00000000" w:rsidR="00000000" w:rsidRPr="00000000">
        <w:rPr>
          <w:rFonts w:ascii="Palatino Linotype" w:cs="Palatino Linotype" w:eastAsia="Palatino Linotype" w:hAnsi="Palatino Linotype"/>
          <w:b w:val="1"/>
          <w:rtl w:val="0"/>
        </w:rPr>
        <w:t xml:space="preserve">04734/INFOEM/ICR-67/IP/RR/2020</w:t>
      </w:r>
      <w:r w:rsidDel="00000000" w:rsidR="00000000" w:rsidRPr="00000000">
        <w:rPr>
          <w:rFonts w:ascii="Palatino Linotype" w:cs="Palatino Linotype" w:eastAsia="Palatino Linotype" w:hAnsi="Palatino Linotype"/>
          <w:rtl w:val="0"/>
        </w:rPr>
        <w:t xml:space="preserve">, impugnando que el Sujeto Obligado le está negando el derecho a la información plasmado en leyes vigentes.</w:t>
      </w:r>
    </w:p>
    <w:p w:rsidR="00000000" w:rsidDel="00000000" w:rsidP="00000000" w:rsidRDefault="00000000" w:rsidRPr="00000000" w14:paraId="0000004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Abierta la etapa de instrucción, se observó que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no rindió su Informe Justificado; por su parte, </w:t>
      </w:r>
      <w:r w:rsidDel="00000000" w:rsidR="00000000" w:rsidRPr="00000000">
        <w:rPr>
          <w:rFonts w:ascii="Palatino Linotype" w:cs="Palatino Linotype" w:eastAsia="Palatino Linotype" w:hAnsi="Palatino Linotype"/>
          <w:b w:val="1"/>
          <w:rtl w:val="0"/>
        </w:rPr>
        <w:t xml:space="preserve">EL RECURRENTE</w:t>
      </w:r>
      <w:r w:rsidDel="00000000" w:rsidR="00000000" w:rsidRPr="00000000">
        <w:rPr>
          <w:rFonts w:ascii="Palatino Linotype" w:cs="Palatino Linotype" w:eastAsia="Palatino Linotype" w:hAnsi="Palatino Linotype"/>
          <w:rtl w:val="0"/>
        </w:rPr>
        <w:t xml:space="preserve"> no presentó manifestaciones, alegatos ni ofreció los medios de prueba que a su derecho convinieran.</w:t>
      </w:r>
    </w:p>
    <w:p w:rsidR="00000000" w:rsidDel="00000000" w:rsidP="00000000" w:rsidRDefault="00000000" w:rsidRPr="00000000" w14:paraId="0000004D">
      <w:pPr>
        <w:widowControl w:val="0"/>
        <w:tabs>
          <w:tab w:val="left" w:pos="1701"/>
          <w:tab w:val="left" w:pos="1843"/>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E">
      <w:pPr>
        <w:widowControl w:val="0"/>
        <w:tabs>
          <w:tab w:val="left" w:pos="1701"/>
          <w:tab w:val="left" w:pos="1843"/>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ese contexto, este Instituto analizó la totalidad de constancias que integran el expediente electrónico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y observó que las razones o motivos de inconformidad hechos valer por </w:t>
      </w:r>
      <w:r w:rsidDel="00000000" w:rsidR="00000000" w:rsidRPr="00000000">
        <w:rPr>
          <w:rFonts w:ascii="Palatino Linotype" w:cs="Palatino Linotype" w:eastAsia="Palatino Linotype" w:hAnsi="Palatino Linotype"/>
          <w:b w:val="1"/>
          <w:rtl w:val="0"/>
        </w:rPr>
        <w:t xml:space="preserve">EL RECURRENTE</w:t>
      </w:r>
      <w:r w:rsidDel="00000000" w:rsidR="00000000" w:rsidRPr="00000000">
        <w:rPr>
          <w:rFonts w:ascii="Palatino Linotype" w:cs="Palatino Linotype" w:eastAsia="Palatino Linotype" w:hAnsi="Palatino Linotype"/>
          <w:rtl w:val="0"/>
        </w:rPr>
        <w:t xml:space="preserve"> devienen </w:t>
      </w:r>
      <w:r w:rsidDel="00000000" w:rsidR="00000000" w:rsidRPr="00000000">
        <w:rPr>
          <w:rFonts w:ascii="Palatino Linotype" w:cs="Palatino Linotype" w:eastAsia="Palatino Linotype" w:hAnsi="Palatino Linotype"/>
          <w:b w:val="1"/>
          <w:rtl w:val="0"/>
        </w:rPr>
        <w:t xml:space="preserve">fundados</w:t>
      </w:r>
      <w:r w:rsidDel="00000000" w:rsidR="00000000" w:rsidRPr="00000000">
        <w:rPr>
          <w:rFonts w:ascii="Palatino Linotype" w:cs="Palatino Linotype" w:eastAsia="Palatino Linotype" w:hAnsi="Palatino Linotype"/>
          <w:rtl w:val="0"/>
        </w:rPr>
        <w:t xml:space="preserve">, en atención a las siguientes Consideraciones de hecho y de Derecho:</w:t>
      </w:r>
    </w:p>
    <w:p w:rsidR="00000000" w:rsidDel="00000000" w:rsidP="00000000" w:rsidRDefault="00000000" w:rsidRPr="00000000" w14:paraId="0000004F">
      <w:pPr>
        <w:widowControl w:val="0"/>
        <w:tabs>
          <w:tab w:val="left" w:pos="1701"/>
          <w:tab w:val="left" w:pos="1843"/>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0">
      <w:pPr>
        <w:spacing w:line="360" w:lineRule="auto"/>
        <w:ind w:right="49"/>
        <w:jc w:val="both"/>
        <w:rPr/>
      </w:pPr>
      <w:r w:rsidDel="00000000" w:rsidR="00000000" w:rsidRPr="00000000">
        <w:rPr>
          <w:rFonts w:ascii="Palatino Linotype" w:cs="Palatino Linotype" w:eastAsia="Palatino Linotype" w:hAnsi="Palatino Linotype"/>
          <w:rtl w:val="0"/>
        </w:rPr>
        <w:t xml:space="preserve">Antes de entrar al estudio de fondo, </w:t>
      </w:r>
      <w:r w:rsidDel="00000000" w:rsidR="00000000" w:rsidRPr="00000000">
        <w:rPr>
          <w:rFonts w:ascii="Palatino Linotype" w:cs="Palatino Linotype" w:eastAsia="Palatino Linotype" w:hAnsi="Palatino Linotype"/>
          <w:color w:val="222222"/>
          <w:rtl w:val="0"/>
        </w:rPr>
        <w:t xml:space="preserve">es procedente precisar </w:t>
      </w:r>
      <w:r w:rsidDel="00000000" w:rsidR="00000000" w:rsidRPr="00000000">
        <w:rPr>
          <w:rFonts w:ascii="Palatino Linotype" w:cs="Palatino Linotype" w:eastAsia="Palatino Linotype" w:hAnsi="Palatino Linotype"/>
          <w:rtl w:val="0"/>
        </w:rPr>
        <w:t xml:space="preserve">que el particular omitió mencionar el periodo temporal de la información solicitada, por lo que este Instituto con fundamento en lo dispuesto por el artículo 13 y 181, párrafo cuarto de la Ley de Transparencia y Acceso a la Información Pública de la entidad, procede a suplir la deficiencia señalada para determinar el periodo temporal de la información solicitada, por lo que considerando la fecha de la solicitud, se determina que la requerida es la vigente a la solicitud de información; es decir al catorce de septiembre del año dos mil veinte, </w:t>
      </w:r>
      <w:r w:rsidDel="00000000" w:rsidR="00000000" w:rsidRPr="00000000">
        <w:rPr>
          <w:rFonts w:ascii="Palatino Linotype" w:cs="Palatino Linotype" w:eastAsia="Palatino Linotype" w:hAnsi="Palatino Linotype"/>
          <w:color w:val="000000"/>
          <w:rtl w:val="0"/>
        </w:rPr>
        <w:t xml:space="preserve">discernimiento que encuentra apoyado en los Criterios 1/2010 y 2/2010,  emitidos por el “Comité de Acceso a la Información y Protección de Datos personales” de la Suprema Corte de Justicia de la Nación, que disponen: </w:t>
      </w: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ind w:left="851" w:right="900" w:firstLine="0"/>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Criterio 1/2010</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ind w:left="851" w:right="900"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ab/>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ind w:left="851" w:right="900"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SOLICITUD DE ACCESO A LA INFORMACIÓN. SU OTORGAMIENTO ES RESPECTO DE AQUELLA QUE EXISTA Y SE HUBIESE GENERADO AL MOMENTO DE LA PETICIÓN.</w:t>
      </w: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ind w:left="851" w:right="900"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El otorgamiento de la información procede respecto de aquella que sea existente y se encuentre en posesión del órgano de Estado, al momento de la solicitud; por lo que 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ind w:left="851" w:right="900"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Clasificación de Información 69/2009-A. 30 de septiembre de 2009. Unanimidad de votos.”</w:t>
      </w:r>
      <w:r w:rsidDel="00000000" w:rsidR="00000000" w:rsidRPr="00000000">
        <w:rPr>
          <w:rtl w:val="0"/>
        </w:rPr>
      </w:r>
    </w:p>
    <w:p w:rsidR="00000000" w:rsidDel="00000000" w:rsidP="00000000" w:rsidRDefault="00000000" w:rsidRPr="00000000" w14:paraId="00000059">
      <w:pPr>
        <w:spacing w:after="240" w:lineRule="auto"/>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ind w:left="851" w:right="900" w:firstLine="0"/>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Criterio 2/2010.</w:t>
      </w: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ind w:left="851" w:right="900"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SOLICITUD DE ACCESO A LA INFORMACIÓN. ES MATERIA DE ANÁLISIS Y OTORGAMIENTO LA GENERADA HASTA LA FECHA DE LA SOLICITUD EN CASO DE IMPRECISIÓN TEMPORAL. </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ind w:left="851" w:right="900"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ind w:left="851" w:right="900"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Clasificación de Información 69/2009-A. 30 de septiembre de 2009. Unanimidad de votos.”(Sic)</w:t>
      </w:r>
      <w:r w:rsidDel="00000000" w:rsidR="00000000" w:rsidRPr="00000000">
        <w:rPr>
          <w:rtl w:val="0"/>
        </w:rPr>
      </w:r>
    </w:p>
    <w:p w:rsidR="00000000" w:rsidDel="00000000" w:rsidP="00000000" w:rsidRDefault="00000000" w:rsidRPr="00000000" w14:paraId="0000006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1">
      <w:pPr>
        <w:spacing w:line="360" w:lineRule="auto"/>
        <w:ind w:right="-93"/>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Agotado lo anterior,  tenemos que  el artículo 6°, Apartado A), fracción I de la Constitución Política de los Estados Unidos Mexicanos, establece que toda la información en posesión de cualquier autoridad es pública y sólo podrá ser reservada temporalmente por razones de interés público. </w:t>
      </w:r>
      <w:r w:rsidDel="00000000" w:rsidR="00000000" w:rsidRPr="00000000">
        <w:rPr>
          <w:rtl w:val="0"/>
        </w:rPr>
      </w:r>
    </w:p>
    <w:p w:rsidR="00000000" w:rsidDel="00000000" w:rsidP="00000000" w:rsidRDefault="00000000" w:rsidRPr="00000000" w14:paraId="00000062">
      <w:pPr>
        <w:tabs>
          <w:tab w:val="left" w:pos="2342"/>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r>
    </w:p>
    <w:p w:rsidR="00000000" w:rsidDel="00000000" w:rsidP="00000000" w:rsidRDefault="00000000" w:rsidRPr="00000000" w14:paraId="0000006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000000" w:rsidDel="00000000" w:rsidP="00000000" w:rsidRDefault="00000000" w:rsidRPr="00000000" w14:paraId="0000006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la Ley de Transparencia y Acceso a la Información Pública del Estado de México y Municipios (Reglamentaria del artículo 5° de la Constitución Local), establece lo siguiente:</w:t>
      </w:r>
    </w:p>
    <w:p w:rsidR="00000000" w:rsidDel="00000000" w:rsidP="00000000" w:rsidRDefault="00000000" w:rsidRPr="00000000" w14:paraId="0000006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7">
      <w:pPr>
        <w:numPr>
          <w:ilvl w:val="0"/>
          <w:numId w:val="1"/>
        </w:numPr>
        <w:pBdr>
          <w:top w:space="0" w:sz="0" w:val="nil"/>
          <w:left w:space="0" w:sz="0" w:val="nil"/>
          <w:bottom w:space="0" w:sz="0" w:val="nil"/>
          <w:right w:space="0" w:sz="0" w:val="nil"/>
          <w:between w:space="0" w:sz="0" w:val="nil"/>
        </w:pBdr>
        <w:spacing w:line="360" w:lineRule="auto"/>
        <w:ind w:left="567" w:right="1013"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El artículo </w:t>
      </w:r>
      <w:r w:rsidDel="00000000" w:rsidR="00000000" w:rsidRPr="00000000">
        <w:rPr>
          <w:rFonts w:ascii="Palatino Linotype" w:cs="Palatino Linotype" w:eastAsia="Palatino Linotype" w:hAnsi="Palatino Linotype"/>
          <w:rtl w:val="0"/>
        </w:rPr>
        <w:t xml:space="preserve">12 dice que</w:t>
      </w:r>
      <w:r w:rsidDel="00000000" w:rsidR="00000000" w:rsidRPr="00000000">
        <w:rPr>
          <w:rFonts w:ascii="Palatino Linotype" w:cs="Palatino Linotype" w:eastAsia="Palatino Linotype" w:hAnsi="Palatino Linotype"/>
          <w:color w:val="000000"/>
          <w:rtl w:val="0"/>
        </w:rPr>
        <w:t xml:space="preserve">, quienes generen, recopilen, administren, manejen, procesen, archiven o conserven información pública serán responsables de la misma.</w:t>
      </w:r>
    </w:p>
    <w:p w:rsidR="00000000" w:rsidDel="00000000" w:rsidP="00000000" w:rsidRDefault="00000000" w:rsidRPr="00000000" w14:paraId="00000068">
      <w:pPr>
        <w:spacing w:line="360" w:lineRule="auto"/>
        <w:ind w:left="567" w:right="1013"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9">
      <w:pPr>
        <w:numPr>
          <w:ilvl w:val="0"/>
          <w:numId w:val="1"/>
        </w:numPr>
        <w:pBdr>
          <w:top w:space="0" w:sz="0" w:val="nil"/>
          <w:left w:space="0" w:sz="0" w:val="nil"/>
          <w:bottom w:space="0" w:sz="0" w:val="nil"/>
          <w:right w:space="0" w:sz="0" w:val="nil"/>
          <w:between w:space="0" w:sz="0" w:val="nil"/>
        </w:pBdr>
        <w:spacing w:line="360" w:lineRule="auto"/>
        <w:ind w:left="567" w:right="1013"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El artículo 18, que, los Sujetos Obligados deberán documentar todo acto que derive del ejercicio de sus facultades, competencias o funciones, considerando desde su origen la eventual publicidad y reutilización de la información que generen.</w:t>
      </w:r>
    </w:p>
    <w:p w:rsidR="00000000" w:rsidDel="00000000" w:rsidP="00000000" w:rsidRDefault="00000000" w:rsidRPr="00000000" w14:paraId="0000006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B">
      <w:pPr>
        <w:numPr>
          <w:ilvl w:val="0"/>
          <w:numId w:val="1"/>
        </w:numPr>
        <w:pBdr>
          <w:top w:space="0" w:sz="0" w:val="nil"/>
          <w:left w:space="0" w:sz="0" w:val="nil"/>
          <w:bottom w:space="0" w:sz="0" w:val="nil"/>
          <w:right w:space="0" w:sz="0" w:val="nil"/>
          <w:between w:space="0" w:sz="0" w:val="nil"/>
        </w:pBdr>
        <w:spacing w:line="360" w:lineRule="auto"/>
        <w:ind w:left="567" w:right="1013"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000000" w:rsidDel="00000000" w:rsidP="00000000" w:rsidRDefault="00000000" w:rsidRPr="00000000" w14:paraId="0000006C">
      <w:pPr>
        <w:spacing w:after="280" w:before="280" w:line="360" w:lineRule="auto"/>
        <w:ind w:right="-9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ante la omisión por parte del Sujeto Obligado, es necesario estudiar la competencia de la Unidad Administrativa que por sus funciones, genere, posea o administre la información que le fue solicitada.</w:t>
      </w:r>
    </w:p>
    <w:p w:rsidR="00000000" w:rsidDel="00000000" w:rsidP="00000000" w:rsidRDefault="00000000" w:rsidRPr="00000000" w14:paraId="0000006D">
      <w:pPr>
        <w:spacing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la Constitución Política de los Estados Unidos Mexicanos, prevé en su artículo 115 fracciones I, II inciso c) de la Constitución Política de los Estados Unidos Mexicanos establece, que es del texto literal siguiente: </w:t>
      </w:r>
    </w:p>
    <w:p w:rsidR="00000000" w:rsidDel="00000000" w:rsidP="00000000" w:rsidRDefault="00000000" w:rsidRPr="00000000" w14:paraId="0000006E">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F">
      <w:pPr>
        <w:spacing w:after="240" w:lineRule="auto"/>
        <w:ind w:left="567" w:right="129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115. Los estados adoptarán, para su régimen interior, la forma de gobierno republicano, representativo, democrático, laico y popular, </w:t>
      </w:r>
      <w:r w:rsidDel="00000000" w:rsidR="00000000" w:rsidRPr="00000000">
        <w:rPr>
          <w:rFonts w:ascii="Palatino Linotype" w:cs="Palatino Linotype" w:eastAsia="Palatino Linotype" w:hAnsi="Palatino Linotype"/>
          <w:b w:val="1"/>
          <w:i w:val="1"/>
          <w:sz w:val="22"/>
          <w:szCs w:val="22"/>
          <w:rtl w:val="0"/>
        </w:rPr>
        <w:t xml:space="preserve">teniendo como base de su división territorial y de su organización política y administrativa, el municipio libre, conforme a las bases siguientes: </w:t>
      </w:r>
    </w:p>
    <w:p w:rsidR="00000000" w:rsidDel="00000000" w:rsidP="00000000" w:rsidRDefault="00000000" w:rsidRPr="00000000" w14:paraId="00000070">
      <w:pPr>
        <w:numPr>
          <w:ilvl w:val="0"/>
          <w:numId w:val="2"/>
        </w:numPr>
        <w:pBdr>
          <w:top w:space="0" w:sz="0" w:val="nil"/>
          <w:left w:space="0" w:sz="0" w:val="nil"/>
          <w:bottom w:space="0" w:sz="0" w:val="nil"/>
          <w:right w:space="0" w:sz="0" w:val="nil"/>
          <w:between w:space="0" w:sz="0" w:val="nil"/>
        </w:pBdr>
        <w:spacing w:before="240" w:lineRule="auto"/>
        <w:ind w:left="567" w:right="1296" w:hanging="141"/>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Cada Municipio será gobernado por un Ayuntamiento de elección popular directa, integrado por un Presidente Municipal y el número de regidores y</w:t>
      </w:r>
      <w:r w:rsidDel="00000000" w:rsidR="00000000" w:rsidRPr="00000000">
        <w:rPr>
          <w:rFonts w:ascii="Palatino Linotype" w:cs="Palatino Linotype" w:eastAsia="Palatino Linotype" w:hAnsi="Palatino Linotype"/>
          <w:color w:val="000000"/>
          <w:sz w:val="22"/>
          <w:szCs w:val="22"/>
          <w:rtl w:val="0"/>
        </w:rPr>
        <w:t xml:space="preserve"> </w:t>
      </w:r>
      <w:r w:rsidDel="00000000" w:rsidR="00000000" w:rsidRPr="00000000">
        <w:rPr>
          <w:rFonts w:ascii="Palatino Linotype" w:cs="Palatino Linotype" w:eastAsia="Palatino Linotype" w:hAnsi="Palatino Linotype"/>
          <w:i w:val="1"/>
          <w:color w:val="000000"/>
          <w:sz w:val="22"/>
          <w:szCs w:val="22"/>
          <w:rtl w:val="0"/>
        </w:rPr>
        <w:t xml:space="preserve">síndicos que la ley determine. La competencia que esta Constitución otorga al gobierno municipal se ejercerá por el Ayuntamiento de manera exclusiva y no habrá autoridad intermedia alguna entre éste y el gobierno del Estado. (…) </w:t>
      </w:r>
    </w:p>
    <w:p w:rsidR="00000000" w:rsidDel="00000000" w:rsidP="00000000" w:rsidRDefault="00000000" w:rsidRPr="00000000" w14:paraId="00000071">
      <w:pPr>
        <w:pBdr>
          <w:top w:space="0" w:sz="0" w:val="nil"/>
          <w:left w:space="0" w:sz="0" w:val="nil"/>
          <w:bottom w:space="0" w:sz="0" w:val="nil"/>
          <w:right w:space="0" w:sz="0" w:val="nil"/>
          <w:between w:space="0" w:sz="0" w:val="nil"/>
        </w:pBdr>
        <w:ind w:left="567" w:right="1296"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72">
      <w:pPr>
        <w:numPr>
          <w:ilvl w:val="0"/>
          <w:numId w:val="2"/>
        </w:numPr>
        <w:pBdr>
          <w:top w:space="0" w:sz="0" w:val="nil"/>
          <w:left w:space="0" w:sz="0" w:val="nil"/>
          <w:bottom w:space="0" w:sz="0" w:val="nil"/>
          <w:right w:space="0" w:sz="0" w:val="nil"/>
          <w:between w:space="0" w:sz="0" w:val="nil"/>
        </w:pBdr>
        <w:ind w:left="567" w:right="1296" w:hanging="283"/>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Los municipios estarán investidos de personalidad jurídica y manejarán su patrimonio conforme a la ley. </w:t>
      </w:r>
    </w:p>
    <w:p w:rsidR="00000000" w:rsidDel="00000000" w:rsidP="00000000" w:rsidRDefault="00000000" w:rsidRPr="00000000" w14:paraId="00000073">
      <w:pPr>
        <w:pBdr>
          <w:top w:space="0" w:sz="0" w:val="nil"/>
          <w:left w:space="0" w:sz="0" w:val="nil"/>
          <w:bottom w:space="0" w:sz="0" w:val="nil"/>
          <w:right w:space="0" w:sz="0" w:val="nil"/>
          <w:between w:space="0" w:sz="0" w:val="nil"/>
        </w:pBdr>
        <w:ind w:left="567" w:right="1296"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ind w:left="567" w:right="129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rsidR="00000000" w:rsidDel="00000000" w:rsidP="00000000" w:rsidRDefault="00000000" w:rsidRPr="00000000" w14:paraId="00000075">
      <w:pPr>
        <w:pBdr>
          <w:top w:space="0" w:sz="0" w:val="nil"/>
          <w:left w:space="0" w:sz="0" w:val="nil"/>
          <w:bottom w:space="0" w:sz="0" w:val="nil"/>
          <w:right w:space="0" w:sz="0" w:val="nil"/>
          <w:between w:space="0" w:sz="0" w:val="nil"/>
        </w:pBdr>
        <w:ind w:left="567" w:right="1296"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ind w:left="567" w:right="129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El objeto de las leyes a que se refiere el párrafo anterior será establecer: </w:t>
      </w:r>
    </w:p>
    <w:p w:rsidR="00000000" w:rsidDel="00000000" w:rsidP="00000000" w:rsidRDefault="00000000" w:rsidRPr="00000000" w14:paraId="00000077">
      <w:pPr>
        <w:pBdr>
          <w:top w:space="0" w:sz="0" w:val="nil"/>
          <w:left w:space="0" w:sz="0" w:val="nil"/>
          <w:bottom w:space="0" w:sz="0" w:val="nil"/>
          <w:right w:space="0" w:sz="0" w:val="nil"/>
          <w:between w:space="0" w:sz="0" w:val="nil"/>
        </w:pBdr>
        <w:ind w:left="567" w:right="129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 </w:t>
      </w:r>
    </w:p>
    <w:p w:rsidR="00000000" w:rsidDel="00000000" w:rsidP="00000000" w:rsidRDefault="00000000" w:rsidRPr="00000000" w14:paraId="00000078">
      <w:pPr>
        <w:numPr>
          <w:ilvl w:val="0"/>
          <w:numId w:val="3"/>
        </w:numPr>
        <w:pBdr>
          <w:top w:space="0" w:sz="0" w:val="nil"/>
          <w:left w:space="0" w:sz="0" w:val="nil"/>
          <w:bottom w:space="0" w:sz="0" w:val="nil"/>
          <w:right w:space="0" w:sz="0" w:val="nil"/>
          <w:between w:space="0" w:sz="0" w:val="nil"/>
        </w:pBdr>
        <w:ind w:left="567" w:right="1296" w:hanging="36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Las normas de aplicación general para celebrar los convenios a que se refieren tanto las fracciones III y IV de este artículo, como el segundo párrafo de la fracción VII del artículo 116 de esta Constitución; </w:t>
      </w:r>
    </w:p>
    <w:p w:rsidR="00000000" w:rsidDel="00000000" w:rsidP="00000000" w:rsidRDefault="00000000" w:rsidRPr="00000000" w14:paraId="00000079">
      <w:pPr>
        <w:pBdr>
          <w:top w:space="0" w:sz="0" w:val="nil"/>
          <w:left w:space="0" w:sz="0" w:val="nil"/>
          <w:bottom w:space="0" w:sz="0" w:val="nil"/>
          <w:right w:space="0" w:sz="0" w:val="nil"/>
          <w:between w:space="0" w:sz="0" w:val="nil"/>
        </w:pBdr>
        <w:ind w:left="567" w:right="1296"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7A">
      <w:pPr>
        <w:numPr>
          <w:ilvl w:val="0"/>
          <w:numId w:val="2"/>
        </w:numPr>
        <w:pBdr>
          <w:top w:space="0" w:sz="0" w:val="nil"/>
          <w:left w:space="0" w:sz="0" w:val="nil"/>
          <w:bottom w:space="0" w:sz="0" w:val="nil"/>
          <w:right w:space="0" w:sz="0" w:val="nil"/>
          <w:between w:space="0" w:sz="0" w:val="nil"/>
        </w:pBdr>
        <w:ind w:left="567" w:right="1296" w:hanging="283"/>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Los municipios administrarán libremente su hacienda, la cual se formará de los rendimientos de los bienes que les pertenezcan, así como de las contribuciones y otros ingresos que las legislaturas establezcan a su favor</w:t>
      </w:r>
      <w:r w:rsidDel="00000000" w:rsidR="00000000" w:rsidRPr="00000000">
        <w:rPr>
          <w:rFonts w:ascii="Palatino Linotype" w:cs="Palatino Linotype" w:eastAsia="Palatino Linotype" w:hAnsi="Palatino Linotype"/>
          <w:i w:val="1"/>
          <w:color w:val="000000"/>
          <w:sz w:val="22"/>
          <w:szCs w:val="22"/>
          <w:rtl w:val="0"/>
        </w:rPr>
        <w:t xml:space="preserve">…” </w:t>
      </w:r>
    </w:p>
    <w:p w:rsidR="00000000" w:rsidDel="00000000" w:rsidP="00000000" w:rsidRDefault="00000000" w:rsidRPr="00000000" w14:paraId="0000007B">
      <w:pPr>
        <w:pBdr>
          <w:top w:space="0" w:sz="0" w:val="nil"/>
          <w:left w:space="0" w:sz="0" w:val="nil"/>
          <w:bottom w:space="0" w:sz="0" w:val="nil"/>
          <w:right w:space="0" w:sz="0" w:val="nil"/>
          <w:between w:space="0" w:sz="0" w:val="nil"/>
        </w:pBdr>
        <w:ind w:left="567" w:right="1296" w:firstLine="0"/>
        <w:jc w:val="both"/>
        <w:rPr>
          <w:rFonts w:ascii="Palatino Linotype" w:cs="Palatino Linotype" w:eastAsia="Palatino Linotype" w:hAnsi="Palatino Linotype"/>
          <w:b w:val="1"/>
          <w:i w:val="1"/>
          <w:color w:val="000000"/>
          <w:sz w:val="22"/>
          <w:szCs w:val="22"/>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240" w:lineRule="auto"/>
        <w:ind w:left="567" w:right="129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(Sic) (Énfasis añadido)</w:t>
      </w:r>
    </w:p>
    <w:p w:rsidR="00000000" w:rsidDel="00000000" w:rsidP="00000000" w:rsidRDefault="00000000" w:rsidRPr="00000000" w14:paraId="0000007D">
      <w:pPr>
        <w:spacing w:before="24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E">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del texto transcrito se advierte que los Municipios son la base de la división territorial de los Estados, mismos que serán gobernados por un ayuntamiento de elección popular, compuesto por un Presidente Municipal y el número de regidores y síndicos que la ley determine, los cuales estarán investidos de personalidad jurídica y patrimonio propio, en este sentido tendrán la facultad de aprobar con acuerdo a las leyes, su bando de policía y buen gobierno, reglamentos, circulares y disposiciones administrativas de observancia general dentro de su circunscripción, entre las que se encuentra las normas de aplicación general para celebrar convenios en la administración de su hacienda. De modo semejante, la Constitución Política del Estado Libre y Soberano de México, señala en sus artículos 112, 113 y 125 que la base de la organización política y administrativa de la entidad será el municipio libre, mismo que será gobernado por un Ayuntamiento, que se integra por un jefe de asamblea denominado Presidente Municipal y con varios miembros más llamados Síndicos y Regidores, cuyo número se determina con base a la población municipal, quienes ejercerán de forma directa o por quienes ellos autoricen los recursos que integran la hacienda municipal. </w:t>
      </w:r>
    </w:p>
    <w:p w:rsidR="00000000" w:rsidDel="00000000" w:rsidP="00000000" w:rsidRDefault="00000000" w:rsidRPr="00000000" w14:paraId="0000007F">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0">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la Ley Orgánica Municipal del Estado de México, acoge lo establecido por las Constituciones en comento, al incluir al municipio libre como la base de la división territorial y de la organización política del Estado, el cual es gobernado en su régimen interior y en la administración de su hacienda pública por un Ayuntamiento de elección popular directa, integrado por un Presidente Municipal, y el número de regidores y síndicos que la ley determine. </w:t>
      </w:r>
    </w:p>
    <w:p w:rsidR="00000000" w:rsidDel="00000000" w:rsidP="00000000" w:rsidRDefault="00000000" w:rsidRPr="00000000" w14:paraId="00000081">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2">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expuesta la competencia del Sujeto Obligado para atender la solicitud de información, es pertinente señalar que la Ley del Cultura Física y Deporte del Estado de México, tiene por objeto regular la planeación, organización, coordinación, promoción, fomento y desarrollo de la cultura física y deporte en el Estado de México; los Ayuntamientos son autoridades encargadas de la aplicación de dicha norma, por lo que con el fin de impulsar, fomentar y desarrollar la cultura física y deporte, los municipios deberán contar de conformidad con sus ordenamientos, con un instituto que coadyuve y colabore con el IMCUFIDE, estableciendo para esto, Sistemas Municipales en sus respectivos ámbitos de competencia. </w:t>
      </w:r>
    </w:p>
    <w:p w:rsidR="00000000" w:rsidDel="00000000" w:rsidP="00000000" w:rsidRDefault="00000000" w:rsidRPr="00000000" w14:paraId="00000083">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4">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sintonía, la Ley en mérito establece en su artículo 41 que los municipios fomentarán la activación, la cultura física y deporte en el ámbito de su competencia, por lo que en su consecutivo se determina que los municipios en el ámbito de sus respectivas competencias, promoverán el ejercicio del derecho de los mexiquenses a la cultura física y a la práctica del deporte sin discriminación alguna. </w:t>
      </w:r>
    </w:p>
    <w:p w:rsidR="00000000" w:rsidDel="00000000" w:rsidP="00000000" w:rsidRDefault="00000000" w:rsidRPr="00000000" w14:paraId="00000085">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6">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misma manera, dentro del capítulo segundo denominado “De la cultura física”, la Ley determina, en su artículo 47 que el IMCUFIDE en coordinación con la Secretaría y los Municipios planificará y promocionará el uso óptimo de las instalaciones deportivas de carácter público para fomentar en la población, la práctica de actividades físicas y deportivas. Asimismo, dentro del Título Octavo de la Ley, el artículo 67 menciona que se considera de interés público la construcción, remodelación, ampliación, adecuación, mantenimiento, conservación y recuperación de las instalaciones que permitan atender adecuadamente las demandas que requiera el desarrollo de la activación, cultura física y deporte, promoviendo para este fin, la participación de los sectores social y privado en el territorio Estatal. Por lo cual, establece en sus artículos 68, 70, 71 y 72, lo siguiente:</w:t>
      </w:r>
    </w:p>
    <w:p w:rsidR="00000000" w:rsidDel="00000000" w:rsidP="00000000" w:rsidRDefault="00000000" w:rsidRPr="00000000" w14:paraId="00000087">
      <w:pPr>
        <w:ind w:left="567" w:right="1015"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8">
      <w:pPr>
        <w:ind w:left="567" w:right="101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68.-</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planificación y construcción de instalaciones de cultura física y deporte financiadas con recursos provenientes del erario público, deberán realizarse por el IMCUFIDE tomando en cuenta las especificaciones técnicas de los deportes y actividades que se proyecta desarrollar</w:t>
      </w:r>
      <w:r w:rsidDel="00000000" w:rsidR="00000000" w:rsidRPr="00000000">
        <w:rPr>
          <w:rFonts w:ascii="Palatino Linotype" w:cs="Palatino Linotype" w:eastAsia="Palatino Linotype" w:hAnsi="Palatino Linotype"/>
          <w:i w:val="1"/>
          <w:sz w:val="22"/>
          <w:szCs w:val="22"/>
          <w:rtl w:val="0"/>
        </w:rPr>
        <w:t xml:space="preserve">, considerando la opinión de la Asociación Deportiva que corresponda así como los requerimientos de construcción y seguridad determinados en la Norma Oficial Mexicana correspondiente, garantizando en todo momento que se favorezca su utilización multifuncional, teniendo en cuenta las diferentes disciplinas deportivas, la máxima disponibilidad de horario y los distintos niveles de práctica de los ciudadanos. </w:t>
      </w:r>
    </w:p>
    <w:p w:rsidR="00000000" w:rsidDel="00000000" w:rsidP="00000000" w:rsidRDefault="00000000" w:rsidRPr="00000000" w14:paraId="00000089">
      <w:pPr>
        <w:ind w:left="567" w:right="1015"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A">
      <w:pPr>
        <w:ind w:left="567" w:right="1015"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Estas instalaciones, deberán ponerse a disposición de la comunidad, para su uso público. </w:t>
      </w:r>
    </w:p>
    <w:p w:rsidR="00000000" w:rsidDel="00000000" w:rsidP="00000000" w:rsidRDefault="00000000" w:rsidRPr="00000000" w14:paraId="0000008B">
      <w:pPr>
        <w:ind w:left="567" w:right="1015"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8C">
      <w:pPr>
        <w:ind w:left="567" w:right="101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 cuota de recuperación por el uso de dichas instalaciones, en su caso, se dará conforme a las tarifas aplicables.</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8D">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E">
      <w:pPr>
        <w:ind w:left="567" w:right="1013"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70.- El IMCUFIDE coordinará con la Secretaría, a los municipios y a los sectores social y privado, sobre el adecuado mantenimiento, conservación y uso óptimo de las instalaciones de cultura física y deporte emitiendo para ello los lineamientos correspondientes. </w:t>
      </w:r>
    </w:p>
    <w:p w:rsidR="00000000" w:rsidDel="00000000" w:rsidP="00000000" w:rsidRDefault="00000000" w:rsidRPr="00000000" w14:paraId="0000008F">
      <w:pPr>
        <w:ind w:left="567" w:right="101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0">
      <w:pPr>
        <w:ind w:left="567" w:right="1013"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71.- El IMCUFIDE formulará las normas y criterios requeridos en materia de instalaciones deportivo-recreativas, en la rehabilitación y activación física deportiva. Para tal efecto, constituirá fondos, fideicomisos o cualquier otro instrumento financiero que permita el transparente manejo de los recursos públicos que para este objeto se destinen y que del uso de las instalaciones se obtengan. </w:t>
      </w:r>
    </w:p>
    <w:p w:rsidR="00000000" w:rsidDel="00000000" w:rsidP="00000000" w:rsidRDefault="00000000" w:rsidRPr="00000000" w14:paraId="00000091">
      <w:pPr>
        <w:ind w:left="567" w:right="101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2">
      <w:pPr>
        <w:ind w:left="567" w:right="101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72.- En términos de los Convenios de Coordinación y Colaboración respectivos, los gobiernos Estatal y municipal inscribirán las instalaciones destinadas a la activación física, cultura física y deporte en el IMCUFIDE, previa solicitud de los responsables o administradores</w:t>
      </w:r>
      <w:r w:rsidDel="00000000" w:rsidR="00000000" w:rsidRPr="00000000">
        <w:rPr>
          <w:rFonts w:ascii="Palatino Linotype" w:cs="Palatino Linotype" w:eastAsia="Palatino Linotype" w:hAnsi="Palatino Linotype"/>
          <w:i w:val="1"/>
          <w:sz w:val="22"/>
          <w:szCs w:val="22"/>
          <w:rtl w:val="0"/>
        </w:rPr>
        <w:t xml:space="preserve">, con la finalidad de contar con la información actualizada que permita participar en las acciones previstas, en la planeación Estatal del deporte. El IMCUFIDE podrá solicitar a las autoridades correspondientes que se suspenda total o parcialmente el uso de cualquier instalación que no cumpla con los requisitos mínimos de operación señalados en las Normas Oficiales, en los ordenamientos técnicos de las disciplinas deportivas y demás disposiciones aplicables cumpliendo con el procedimiento que para ese propósito prevea esta Ley.” (Sic) </w:t>
      </w:r>
    </w:p>
    <w:p w:rsidR="00000000" w:rsidDel="00000000" w:rsidP="00000000" w:rsidRDefault="00000000" w:rsidRPr="00000000" w14:paraId="00000093">
      <w:pPr>
        <w:ind w:left="567" w:right="101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4">
      <w:pPr>
        <w:ind w:left="567" w:right="101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95">
      <w:pPr>
        <w:ind w:left="567" w:right="101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6">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Tal cual se desprende de los preceptos jurídicos citados con anterioridad, la Ley de Cultura Física y Deporte vigente en la entidad, faculta a las autoridades municipales para que en el ámbito de su competencia fomenten la cultura física y deporte así como den vida al Instituto que se encargue de la misma en el territorio municipal y que en coordinación con el Instituto Mexiquense de Cultura Física y Deporte (IMCUFIDE) así como con el Sistema Estatal de Cultura Física y Deporte, provean los elementos necesarios para la construcción, remodelación, ampliación, adecuación, mantenimiento, conservación y recuperación de las instalaciones deportivas que cada autoridad posea y dentro de las cuales se pueden tener cuotas de recuperación conforme a las tarifas aplicables; por lo que se concluye que existe plena competencia por parte del Sujeto Obligado para atender la solicitud de información. </w:t>
      </w:r>
    </w:p>
    <w:p w:rsidR="00000000" w:rsidDel="00000000" w:rsidP="00000000" w:rsidRDefault="00000000" w:rsidRPr="00000000" w14:paraId="0000009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Ayuntamiento de Capulhuac, en el año 2020 contaba con un Instituto Municipal de Cultura Física y Deporte de Capulhuac, por así señalarlo el artículo 42 del Bando Municipal del SUJETO OBLIGADO del año 2020, que señala:</w:t>
      </w:r>
    </w:p>
    <w:p w:rsidR="00000000" w:rsidDel="00000000" w:rsidP="00000000" w:rsidRDefault="00000000" w:rsidRPr="00000000" w14:paraId="00000099">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42. La Administración Pública Descentralizada, es una forma de organización de la Administración Pública Municipal, integrada por Organismos Auxiliares, con personalidad y patrimonio propios, la cual debe garantizar promover el bienestar social y desarrollo de la comunidad, se integra por: </w:t>
      </w:r>
    </w:p>
    <w:p w:rsidR="00000000" w:rsidDel="00000000" w:rsidP="00000000" w:rsidRDefault="00000000" w:rsidRPr="00000000" w14:paraId="0000009A">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ORGANISMOS DESCENTRALIZADOS </w:t>
      </w:r>
    </w:p>
    <w:p w:rsidR="00000000" w:rsidDel="00000000" w:rsidP="00000000" w:rsidRDefault="00000000" w:rsidRPr="00000000" w14:paraId="0000009B">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Sistema Municipal para el Desarrollo Integral de la Familia de Capulhuac. </w:t>
      </w:r>
      <w:r w:rsidDel="00000000" w:rsidR="00000000" w:rsidRPr="00000000">
        <w:rPr>
          <w:rFonts w:ascii="Palatino Linotype" w:cs="Palatino Linotype" w:eastAsia="Palatino Linotype" w:hAnsi="Palatino Linotype"/>
          <w:b w:val="1"/>
          <w:i w:val="1"/>
          <w:sz w:val="22"/>
          <w:szCs w:val="22"/>
          <w:rtl w:val="0"/>
        </w:rPr>
        <w:t xml:space="preserve">b. Instituto Municipal de Cultura Física y Deporte de Capulhuac</w:t>
      </w:r>
      <w:r w:rsidDel="00000000" w:rsidR="00000000" w:rsidRPr="00000000">
        <w:rPr>
          <w:rtl w:val="0"/>
        </w:rPr>
      </w:r>
    </w:p>
    <w:p w:rsidR="00000000" w:rsidDel="00000000" w:rsidP="00000000" w:rsidRDefault="00000000" w:rsidRPr="00000000" w14:paraId="0000009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el Bando Municipal del SUJETO OBLIGADO señala: </w:t>
      </w:r>
    </w:p>
    <w:p w:rsidR="00000000" w:rsidDel="00000000" w:rsidP="00000000" w:rsidRDefault="00000000" w:rsidRPr="00000000" w14:paraId="0000009E">
      <w:pPr>
        <w:ind w:left="567"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F">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139. Para el impulso de la educación física, la recreación y la práctica del deporte, el </w:t>
      </w:r>
      <w:r w:rsidDel="00000000" w:rsidR="00000000" w:rsidRPr="00000000">
        <w:rPr>
          <w:rFonts w:ascii="Palatino Linotype" w:cs="Palatino Linotype" w:eastAsia="Palatino Linotype" w:hAnsi="Palatino Linotype"/>
          <w:b w:val="1"/>
          <w:i w:val="1"/>
          <w:sz w:val="22"/>
          <w:szCs w:val="22"/>
          <w:rtl w:val="0"/>
        </w:rPr>
        <w:t xml:space="preserve">Instituto Municipal de Cultura Física y Deporte de Capulhuac</w:t>
      </w:r>
      <w:r w:rsidDel="00000000" w:rsidR="00000000" w:rsidRPr="00000000">
        <w:rPr>
          <w:rFonts w:ascii="Palatino Linotype" w:cs="Palatino Linotype" w:eastAsia="Palatino Linotype" w:hAnsi="Palatino Linotype"/>
          <w:i w:val="1"/>
          <w:sz w:val="22"/>
          <w:szCs w:val="22"/>
          <w:rtl w:val="0"/>
        </w:rPr>
        <w:t xml:space="preserve">, además de las atribuciones que señala la Ley de Cultura Física y Deporte del Estado de México, su Reglamento y demás disposiciones legales aplicables, contará con las siguientes atribuciones:</w:t>
      </w:r>
    </w:p>
    <w:p w:rsidR="00000000" w:rsidDel="00000000" w:rsidP="00000000" w:rsidRDefault="00000000" w:rsidRPr="00000000" w14:paraId="000000A0">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Proponer y organizar la participación de los habitantes del Municipio, observando en todo momento un trato respetuoso, equitativo e incluyente hacia las personas con discapacidad, en torneos y eventos que en materia deportiva, cultura física, actividad física y recreación se realicen; </w:t>
      </w:r>
    </w:p>
    <w:p w:rsidR="00000000" w:rsidDel="00000000" w:rsidP="00000000" w:rsidRDefault="00000000" w:rsidRPr="00000000" w14:paraId="000000A1">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Gestionar y otorgar estímulos o apoyos a deportistas del Municipio destacados en una o más disciplinas; </w:t>
      </w:r>
    </w:p>
    <w:p w:rsidR="00000000" w:rsidDel="00000000" w:rsidP="00000000" w:rsidRDefault="00000000" w:rsidRPr="00000000" w14:paraId="000000A2">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Gestionar e impulsar la creación de centros municipales de formación y desarrollo deportivo</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A3">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Administrar de manera eficiente los recursos con que cuenta el Instituto Municipal de Cultura Física y Deporte de Capulhuac, en estricto apego a las disposiciones legales aplicables; </w:t>
      </w:r>
    </w:p>
    <w:p w:rsidR="00000000" w:rsidDel="00000000" w:rsidP="00000000" w:rsidRDefault="00000000" w:rsidRPr="00000000" w14:paraId="000000A4">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Fomentar la creación, conservación, mejoramiento, protección, difusión, promoción, investigación y aprovechamiento de los recursos humanos, materiales y financieros destinados al Instituto</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A5">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Administrar las unidades deportivas que son propiedad del Municipio procurando su protección, conservación, mantenimiento y mejoramiento, para lo cual se elaborara propuestas con miras a la modernización de las instalaciones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A6">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Expedir autorización por escrito para la realización de eventos deportivos en la vía pública, a los particulares que lo soliciten, mediando para ello las gestiones correspondientes ante seguridad pública y protección civil del ámbito estatal o municipal indistintamente, que garanticen en la medida de lo posible, la integridad de los participantes; y </w:t>
      </w:r>
    </w:p>
    <w:p w:rsidR="00000000" w:rsidDel="00000000" w:rsidP="00000000" w:rsidRDefault="00000000" w:rsidRPr="00000000" w14:paraId="000000A7">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Las demás que apruebe la Autoridad Municipal, deriven de convenios institucionales con dependencias y entidades estatales, federales y organismos internacionales. </w:t>
      </w:r>
    </w:p>
    <w:p w:rsidR="00000000" w:rsidDel="00000000" w:rsidP="00000000" w:rsidRDefault="00000000" w:rsidRPr="00000000" w14:paraId="000000A8">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140. Para el fomento de la cultura física, el deporte y recreación, el Instituto Municipal de la Cultura Física y Deporte de Capulhuac, cuenta con las siguientes atribuciones: </w:t>
      </w:r>
    </w:p>
    <w:p w:rsidR="00000000" w:rsidDel="00000000" w:rsidP="00000000" w:rsidRDefault="00000000" w:rsidRPr="00000000" w14:paraId="000000A9">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Elaborar y ejecutar programas en materia deportiva y de recreación, para el mejoramiento de la salud física y mental, de la población del municipio; </w:t>
      </w:r>
    </w:p>
    <w:p w:rsidR="00000000" w:rsidDel="00000000" w:rsidP="00000000" w:rsidRDefault="00000000" w:rsidRPr="00000000" w14:paraId="000000AA">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Elaborar y ejecutar programas de promoción deportiva que permita la participación periódica o permanente de la población; </w:t>
      </w:r>
    </w:p>
    <w:p w:rsidR="00000000" w:rsidDel="00000000" w:rsidP="00000000" w:rsidRDefault="00000000" w:rsidRPr="00000000" w14:paraId="000000AB">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Coordinar con las instancias públicas y privadas, programas de capacitación técnica para entrenadores de diversas disciplinas deportivas; </w:t>
      </w:r>
    </w:p>
    <w:p w:rsidR="00000000" w:rsidDel="00000000" w:rsidP="00000000" w:rsidRDefault="00000000" w:rsidRPr="00000000" w14:paraId="000000AC">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Organizar la olimpiada infantil y juvenil en su fase municipal y dar seguimiento a los ganadores para su participación en las etapas siguientes; </w:t>
      </w:r>
    </w:p>
    <w:p w:rsidR="00000000" w:rsidDel="00000000" w:rsidP="00000000" w:rsidRDefault="00000000" w:rsidRPr="00000000" w14:paraId="000000AD">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Elaborar programas dirigidos a toda la población en materia de activación física y recreativa que apoyen al mejoramiento de la salud, el desarrollo físico, mental y la convivencia social; </w:t>
      </w:r>
    </w:p>
    <w:p w:rsidR="00000000" w:rsidDel="00000000" w:rsidP="00000000" w:rsidRDefault="00000000" w:rsidRPr="00000000" w14:paraId="000000AE">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Promover y organizar en coordinación con el sector educativo, la participación de los estudiantes en eventos recreativos o de activación física en los diferentes niveles escolares; </w:t>
      </w:r>
    </w:p>
    <w:p w:rsidR="00000000" w:rsidDel="00000000" w:rsidP="00000000" w:rsidRDefault="00000000" w:rsidRPr="00000000" w14:paraId="000000AF">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Elaborar programas de mantenimiento y equipamiento prioritario de espacios e instalaciones deportivas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B0">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Desarrollar programas en colaboración con el sector público, social y privado para realizar entre los niños y jóvenes y adultos, actividades recreativas y deportivas dentro del territorio municipal; </w:t>
      </w:r>
    </w:p>
    <w:p w:rsidR="00000000" w:rsidDel="00000000" w:rsidP="00000000" w:rsidRDefault="00000000" w:rsidRPr="00000000" w14:paraId="000000B1">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Administrar los espacios deportivos y de recreación que sean propiedad del municipio</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B2">
      <w:pPr>
        <w:spacing w:after="240" w:before="240" w:lineRule="auto"/>
        <w:ind w:left="993" w:right="104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Elaborar convenios y acuerdos con el sector público y privado estableciendo las normas aplicables, para el buen uso de las instalaciones deportivas; </w:t>
      </w:r>
    </w:p>
    <w:p w:rsidR="00000000" w:rsidDel="00000000" w:rsidP="00000000" w:rsidRDefault="00000000" w:rsidRPr="00000000" w14:paraId="000000B3">
      <w:pPr>
        <w:spacing w:after="240" w:before="240" w:lineRule="auto"/>
        <w:ind w:left="993" w:right="104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Establecer horario de funcionamiento de las instalaciones deportivas o de recreación, con el fin de regular el uso adecuado de las instalaciones; y </w:t>
      </w:r>
    </w:p>
    <w:p w:rsidR="00000000" w:rsidDel="00000000" w:rsidP="00000000" w:rsidRDefault="00000000" w:rsidRPr="00000000" w14:paraId="000000B4">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 Las que apruebe el Ayuntamiento en función de sus atribuciones, para desempeño de las actividades deportivas en todo el territorio municipal” (Sic)</w:t>
      </w:r>
    </w:p>
    <w:p w:rsidR="00000000" w:rsidDel="00000000" w:rsidP="00000000" w:rsidRDefault="00000000" w:rsidRPr="00000000" w14:paraId="000000B5">
      <w:pPr>
        <w:ind w:right="90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B6">
      <w:pPr>
        <w:ind w:right="90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artículos previamente citados se desprende lo siguiente: </w:t>
      </w:r>
    </w:p>
    <w:p w:rsidR="00000000" w:rsidDel="00000000" w:rsidP="00000000" w:rsidRDefault="00000000" w:rsidRPr="00000000" w14:paraId="000000B7">
      <w:pPr>
        <w:spacing w:line="360" w:lineRule="auto"/>
        <w:ind w:right="90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8">
      <w:pPr>
        <w:numPr>
          <w:ilvl w:val="0"/>
          <w:numId w:val="6"/>
        </w:numPr>
        <w:pBdr>
          <w:top w:space="0" w:sz="0" w:val="nil"/>
          <w:left w:space="0" w:sz="0" w:val="nil"/>
          <w:bottom w:space="0" w:sz="0" w:val="nil"/>
          <w:right w:space="0" w:sz="0" w:val="nil"/>
          <w:between w:space="0" w:sz="0" w:val="nil"/>
        </w:pBdr>
        <w:spacing w:line="360" w:lineRule="auto"/>
        <w:ind w:left="714" w:right="902" w:hanging="357"/>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 competencia del </w:t>
      </w:r>
      <w:r w:rsidDel="00000000" w:rsidR="00000000" w:rsidRPr="00000000">
        <w:rPr>
          <w:rFonts w:ascii="Palatino Linotype" w:cs="Palatino Linotype" w:eastAsia="Palatino Linotype" w:hAnsi="Palatino Linotype"/>
          <w:b w:val="1"/>
          <w:color w:val="000000"/>
          <w:rtl w:val="0"/>
        </w:rPr>
        <w:t xml:space="preserve">Instituto</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color w:val="000000"/>
          <w:rtl w:val="0"/>
        </w:rPr>
        <w:t xml:space="preserve">Municipal de Cultura Física y Deporte de Capulhuac, </w:t>
      </w:r>
      <w:r w:rsidDel="00000000" w:rsidR="00000000" w:rsidRPr="00000000">
        <w:rPr>
          <w:rFonts w:ascii="Palatino Linotype" w:cs="Palatino Linotype" w:eastAsia="Palatino Linotype" w:hAnsi="Palatino Linotype"/>
          <w:color w:val="000000"/>
          <w:rtl w:val="0"/>
        </w:rPr>
        <w:t xml:space="preserve">el de Gestionar e impulsar la creación de centros municipales de formación y desarrollo deportivo.</w:t>
      </w:r>
    </w:p>
    <w:p w:rsidR="00000000" w:rsidDel="00000000" w:rsidP="00000000" w:rsidRDefault="00000000" w:rsidRPr="00000000" w14:paraId="000000B9">
      <w:pPr>
        <w:numPr>
          <w:ilvl w:val="0"/>
          <w:numId w:val="6"/>
        </w:numPr>
        <w:pBdr>
          <w:top w:space="0" w:sz="0" w:val="nil"/>
          <w:left w:space="0" w:sz="0" w:val="nil"/>
          <w:bottom w:space="0" w:sz="0" w:val="nil"/>
          <w:right w:space="0" w:sz="0" w:val="nil"/>
          <w:between w:space="0" w:sz="0" w:val="nil"/>
        </w:pBdr>
        <w:spacing w:line="360" w:lineRule="auto"/>
        <w:ind w:left="714" w:right="902" w:hanging="357"/>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Administrar las unidades deportivas que son propiedad del Municipio. </w:t>
      </w:r>
    </w:p>
    <w:p w:rsidR="00000000" w:rsidDel="00000000" w:rsidP="00000000" w:rsidRDefault="00000000" w:rsidRPr="00000000" w14:paraId="000000BA">
      <w:pPr>
        <w:numPr>
          <w:ilvl w:val="0"/>
          <w:numId w:val="6"/>
        </w:numPr>
        <w:pBdr>
          <w:top w:space="0" w:sz="0" w:val="nil"/>
          <w:left w:space="0" w:sz="0" w:val="nil"/>
          <w:bottom w:space="0" w:sz="0" w:val="nil"/>
          <w:right w:space="0" w:sz="0" w:val="nil"/>
          <w:between w:space="0" w:sz="0" w:val="nil"/>
        </w:pBdr>
        <w:spacing w:line="360" w:lineRule="auto"/>
        <w:ind w:left="714" w:right="902" w:hanging="357"/>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Administrar los espacios deportivos y de recreación que sean propiedad del municipio.</w:t>
      </w:r>
    </w:p>
    <w:p w:rsidR="00000000" w:rsidDel="00000000" w:rsidP="00000000" w:rsidRDefault="00000000" w:rsidRPr="00000000" w14:paraId="000000BB">
      <w:pPr>
        <w:numPr>
          <w:ilvl w:val="0"/>
          <w:numId w:val="6"/>
        </w:numPr>
        <w:pBdr>
          <w:top w:space="0" w:sz="0" w:val="nil"/>
          <w:left w:space="0" w:sz="0" w:val="nil"/>
          <w:bottom w:space="0" w:sz="0" w:val="nil"/>
          <w:right w:space="0" w:sz="0" w:val="nil"/>
          <w:between w:space="0" w:sz="0" w:val="nil"/>
        </w:pBdr>
        <w:spacing w:line="360" w:lineRule="auto"/>
        <w:ind w:left="714" w:right="902" w:hanging="357"/>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Establecer horario de funcionamiento de las instalaciones deportivas o de recreación.</w:t>
      </w:r>
    </w:p>
    <w:p w:rsidR="00000000" w:rsidDel="00000000" w:rsidP="00000000" w:rsidRDefault="00000000" w:rsidRPr="00000000" w14:paraId="000000B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virtud de lo anterior, se advierte que le compete al Instituto Municipal de Cultura Física y Deporte de Capulhuac, la atención de lo requerido en la solicitud de acceso a la información pública.</w:t>
      </w:r>
    </w:p>
    <w:p w:rsidR="00000000" w:rsidDel="00000000" w:rsidP="00000000" w:rsidRDefault="00000000" w:rsidRPr="00000000" w14:paraId="000000B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es pertinente aclarar que si bien es cierto, el Instituto Municipal de Cultura Física y Deporte de Capulhuac, no son los encargados de la construcción de dichas obras públicas, ya que esto le corresponde a la Dirección de Obras Públicas Municipal, tal como lo establece el artículo 86 y 87 fracción III de la Ley Orgánica Municipal del Estado de México siguiente: </w:t>
      </w:r>
    </w:p>
    <w:p w:rsidR="00000000" w:rsidDel="00000000" w:rsidP="00000000" w:rsidRDefault="00000000" w:rsidRPr="00000000" w14:paraId="000000C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1">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86.- Para 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w:t>
      </w:r>
    </w:p>
    <w:p w:rsidR="00000000" w:rsidDel="00000000" w:rsidP="00000000" w:rsidRDefault="00000000" w:rsidRPr="00000000" w14:paraId="000000C2">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servidor público titular de las referidas dependencias y entidades de la administración municipal, ejercerá las funciones propias de su competencia y será responsable por el ejercicio de dichas funciones y atribuciones contenidas en la Ley, sus reglamentos interiores, manuales, acuerdos, circulares y otras disposiciones legales que tiendan a regular el funcionamiento del Municipio. </w:t>
      </w:r>
    </w:p>
    <w:p w:rsidR="00000000" w:rsidDel="00000000" w:rsidP="00000000" w:rsidRDefault="00000000" w:rsidRPr="00000000" w14:paraId="000000C3">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87.- Para el despacho, estudio y planeación de los diversos asuntos de la administración municipal, el ayuntamiento contará por lo menos con las siguientes Dependencias: </w:t>
      </w:r>
    </w:p>
    <w:p w:rsidR="00000000" w:rsidDel="00000000" w:rsidP="00000000" w:rsidRDefault="00000000" w:rsidRPr="00000000" w14:paraId="000000C4">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III. La Dirección de Obras Públicas o equivalente.” (Sic) </w:t>
      </w:r>
    </w:p>
    <w:p w:rsidR="00000000" w:rsidDel="00000000" w:rsidP="00000000" w:rsidRDefault="00000000" w:rsidRPr="00000000" w14:paraId="000000C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el artículo 96. Bis del mismo ordenamiento, en sus fracciones IV, X, XI y XII, a la letra dispone: </w:t>
      </w:r>
    </w:p>
    <w:p w:rsidR="00000000" w:rsidDel="00000000" w:rsidP="00000000" w:rsidRDefault="00000000" w:rsidRPr="00000000" w14:paraId="000000C6">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96. Bis. - El Director de Obras Públicas o el Titular de la Unidad Administrativa equivalente, tiene las siguientes atribuciones: </w:t>
      </w:r>
    </w:p>
    <w:p w:rsidR="00000000" w:rsidDel="00000000" w:rsidP="00000000" w:rsidRDefault="00000000" w:rsidRPr="00000000" w14:paraId="000000C7">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C8">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Construir y ejecutar todas aquellas obras públicas y servicios relacionados, que aumenten y mantengan la infraestructura municipal y que estén consideradas en el programa respectivo; </w:t>
      </w:r>
    </w:p>
    <w:p w:rsidR="00000000" w:rsidDel="00000000" w:rsidP="00000000" w:rsidRDefault="00000000" w:rsidRPr="00000000" w14:paraId="000000C9">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CA">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 </w:t>
      </w:r>
    </w:p>
    <w:p w:rsidR="00000000" w:rsidDel="00000000" w:rsidP="00000000" w:rsidRDefault="00000000" w:rsidRPr="00000000" w14:paraId="000000CB">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CC">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 Integrar y verificar que se elaboren de manera correcta y completa las bitácoras y/o expedientes abiertos con motivo de la obra pública y servicios relacionados con la misma, conforme a lo establecido en las disposiciones legales aplicables; </w:t>
      </w:r>
    </w:p>
    <w:p w:rsidR="00000000" w:rsidDel="00000000" w:rsidP="00000000" w:rsidRDefault="00000000" w:rsidRPr="00000000" w14:paraId="000000CD">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CE">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 Promover la construcción de urbanización, infraestructura y equipamiento urbano; </w:t>
      </w:r>
    </w:p>
    <w:p w:rsidR="00000000" w:rsidDel="00000000" w:rsidP="00000000" w:rsidRDefault="00000000" w:rsidRPr="00000000" w14:paraId="000000CF">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D0">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 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(Sic)</w:t>
      </w:r>
    </w:p>
    <w:p w:rsidR="00000000" w:rsidDel="00000000" w:rsidP="00000000" w:rsidRDefault="00000000" w:rsidRPr="00000000" w14:paraId="000000D1">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Lo anterior, en coordinación con la tesorería municipal quien es la encargada de realizar las erogaciones correspondientes, y a su vez, con el Órgano Interno de Control Municipal, quien es el encargado de fiscalizar el ejercicio del gasto público municipal y participa en la actualización del inventario de bienes pertenecientes al municipio, como lo disponen los artículos 93, 95 fracción I y IV y 112 fracción II, VI y XV de la Ley Orgánica Municipal del Estado de México, como a continuación se inserta:</w:t>
      </w:r>
    </w:p>
    <w:p w:rsidR="00000000" w:rsidDel="00000000" w:rsidP="00000000" w:rsidRDefault="00000000" w:rsidRPr="00000000" w14:paraId="000000D2">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D3">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93.- La tesorería municipal es el órgano encargado de la recaudación de los ingresos municipales y responsable de realizar las erogaciones que haga el ayuntamiento. </w:t>
      </w:r>
    </w:p>
    <w:p w:rsidR="00000000" w:rsidDel="00000000" w:rsidP="00000000" w:rsidRDefault="00000000" w:rsidRPr="00000000" w14:paraId="000000D4">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95.- Son atribuciones del tesorero municipal: </w:t>
      </w:r>
    </w:p>
    <w:p w:rsidR="00000000" w:rsidDel="00000000" w:rsidP="00000000" w:rsidRDefault="00000000" w:rsidRPr="00000000" w14:paraId="000000D5">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Administrar la hacienda pública municipal, de conformidad con las disposiciones legales aplicables; </w:t>
      </w:r>
    </w:p>
    <w:p w:rsidR="00000000" w:rsidDel="00000000" w:rsidP="00000000" w:rsidRDefault="00000000" w:rsidRPr="00000000" w14:paraId="000000D6">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D7">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Llevar los registros contables, financieros y administrativos de los ingresos, egresos, e inventarios; </w:t>
      </w:r>
    </w:p>
    <w:p w:rsidR="00000000" w:rsidDel="00000000" w:rsidP="00000000" w:rsidRDefault="00000000" w:rsidRPr="00000000" w14:paraId="000000D8">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112. El órgano interno de control municipal, tendrá a su cargo las funciones siguientes: </w:t>
      </w:r>
    </w:p>
    <w:p w:rsidR="00000000" w:rsidDel="00000000" w:rsidP="00000000" w:rsidRDefault="00000000" w:rsidRPr="00000000" w14:paraId="000000D9">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A">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Fiscalizar el ingreso y ejercicio del gasto público municipal y su congruencia con el presupuesto de egresos; </w:t>
      </w:r>
    </w:p>
    <w:p w:rsidR="00000000" w:rsidDel="00000000" w:rsidP="00000000" w:rsidRDefault="00000000" w:rsidRPr="00000000" w14:paraId="000000DB">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Vigilar que los recursos federales y estatales asignados a los ayuntamientos se apliquen en los términos estipulados en las leyes, los reglamentos y los convenios respectivos; </w:t>
      </w:r>
    </w:p>
    <w:p w:rsidR="00000000" w:rsidDel="00000000" w:rsidP="00000000" w:rsidRDefault="00000000" w:rsidRPr="00000000" w14:paraId="000000DC">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 Participar en la elaboración y actualización del inventario general de los bienes muebles e inmuebles propiedad del municipio, que expresará las características de identificación y destino de los mismos;” (Sic)</w:t>
      </w:r>
    </w:p>
    <w:p w:rsidR="00000000" w:rsidDel="00000000" w:rsidP="00000000" w:rsidRDefault="00000000" w:rsidRPr="00000000" w14:paraId="000000D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E">
      <w:pPr>
        <w:spacing w:line="360" w:lineRule="auto"/>
        <w:ind w:right="90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mayor abundamiento, conviene mencionar que la información relacionada con los inmuebles de los sujetos obligados es una obligación de transparencia en términos del artículo 92, fracción XXXVIII, de la Ley de Transparencia y Acceso a la Información Pública del Estado de México y Municipios, que a la letra dice:</w:t>
      </w:r>
    </w:p>
    <w:p w:rsidR="00000000" w:rsidDel="00000000" w:rsidP="00000000" w:rsidRDefault="00000000" w:rsidRPr="00000000" w14:paraId="000000DF">
      <w:pPr>
        <w:spacing w:line="360" w:lineRule="auto"/>
        <w:ind w:right="90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0">
      <w:pPr>
        <w:spacing w:line="360" w:lineRule="auto"/>
        <w:ind w:left="560" w:right="114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E1">
      <w:pPr>
        <w:spacing w:line="360" w:lineRule="auto"/>
        <w:ind w:left="560" w:right="114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2">
      <w:pPr>
        <w:spacing w:line="360" w:lineRule="auto"/>
        <w:ind w:left="560" w:right="114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XXXVIII. El inventario de bienes muebles e inmuebles en posesión y propiedad;</w:t>
      </w:r>
    </w:p>
    <w:p w:rsidR="00000000" w:rsidDel="00000000" w:rsidP="00000000" w:rsidRDefault="00000000" w:rsidRPr="00000000" w14:paraId="000000E3">
      <w:pPr>
        <w:spacing w:line="360" w:lineRule="auto"/>
        <w:ind w:right="90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4">
      <w:pPr>
        <w:spacing w:line="360" w:lineRule="auto"/>
        <w:ind w:right="29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los “Lineamientos Técnicos Generales para la Publicación, Homologación y Estandarización de la Información de las Obligaciones Establecidas en el Título Quinto y en la Fracción II del Artículo 31 de la Ley General de Transparencia y Acceso a la Información Pública, que Deben de Difundir los Sujetos Obligados en los Portales de Internet y en la Plataforma Nacional de Transparencia”, que en la parte conducente establece, que respecto a la información de inmuebles, el Sujeto Obligado debe publicar lo siguiente: </w:t>
      </w:r>
    </w:p>
    <w:p w:rsidR="00000000" w:rsidDel="00000000" w:rsidP="00000000" w:rsidRDefault="00000000" w:rsidRPr="00000000" w14:paraId="000000E5">
      <w:pPr>
        <w:spacing w:line="360" w:lineRule="auto"/>
        <w:ind w:right="29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6043930" cy="5715000"/>
            <wp:effectExtent b="0" l="0" r="0" t="0"/>
            <wp:docPr id="5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043930" cy="57150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spacing w:line="360" w:lineRule="auto"/>
        <w:ind w:right="90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7">
      <w:pPr>
        <w:spacing w:line="360" w:lineRule="auto"/>
        <w:ind w:right="90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6043930" cy="6705600"/>
            <wp:effectExtent b="0" l="0" r="0" t="0"/>
            <wp:docPr id="5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043930" cy="670560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spacing w:line="360" w:lineRule="auto"/>
        <w:ind w:right="90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9">
      <w:pPr>
        <w:spacing w:line="360" w:lineRule="auto"/>
        <w:ind w:right="90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A">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EB">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EC">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la Ley Orgánica Municipal en sus artículos 86 y 87 confieren a los municipios, la facultad de auxiliarse de dependencias y entidades que conformarán la administración pública municipal, dichas entidades tendrán su actuar delimitado por reglamentos internos, manuales, acuerdos, circulares y otras disposiciones legales que resulten aplicables: </w:t>
      </w:r>
    </w:p>
    <w:p w:rsidR="00000000" w:rsidDel="00000000" w:rsidP="00000000" w:rsidRDefault="00000000" w:rsidRPr="00000000" w14:paraId="000000ED">
      <w:pPr>
        <w:ind w:left="567" w:right="474"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86.-</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Para 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El servidor público titular de las referidas dependencias y entidades de la administración municipal, ejercerá las funciones propias de su competencia y será responsable por el ejercicio de dichas funciones y atribuciones contenidas en la Ley, sus reglamentos interiores, manuales, acuerdos, circulares y otras disposiciones legales que tiendan a regular el funcionamiento del Municipio.</w:t>
      </w:r>
    </w:p>
    <w:p w:rsidR="00000000" w:rsidDel="00000000" w:rsidP="00000000" w:rsidRDefault="00000000" w:rsidRPr="00000000" w14:paraId="000000EE">
      <w:pPr>
        <w:ind w:right="51"/>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F">
      <w:pPr>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87.-</w:t>
      </w:r>
      <w:r w:rsidDel="00000000" w:rsidR="00000000" w:rsidRPr="00000000">
        <w:rPr>
          <w:rFonts w:ascii="Palatino Linotype" w:cs="Palatino Linotype" w:eastAsia="Palatino Linotype" w:hAnsi="Palatino Linotype"/>
          <w:i w:val="1"/>
          <w:sz w:val="22"/>
          <w:szCs w:val="22"/>
          <w:rtl w:val="0"/>
        </w:rPr>
        <w:t xml:space="preserve"> Para el despacho, estudio y planeación de los diversos asuntos de la administración municipal, el ayuntamiento contará por lo menos con las siguientes Dependencias:</w:t>
      </w:r>
    </w:p>
    <w:p w:rsidR="00000000" w:rsidDel="00000000" w:rsidP="00000000" w:rsidRDefault="00000000" w:rsidRPr="00000000" w14:paraId="000000F0">
      <w:pPr>
        <w:ind w:right="51"/>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1">
      <w:pPr>
        <w:ind w:left="567" w:right="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secretaría del ayuntamiento;</w:t>
      </w:r>
    </w:p>
    <w:p w:rsidR="00000000" w:rsidDel="00000000" w:rsidP="00000000" w:rsidRDefault="00000000" w:rsidRPr="00000000" w14:paraId="000000F2">
      <w:pPr>
        <w:ind w:left="567" w:right="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3">
      <w:pPr>
        <w:ind w:left="567" w:right="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La tesorería municipal.</w:t>
      </w:r>
    </w:p>
    <w:p w:rsidR="00000000" w:rsidDel="00000000" w:rsidP="00000000" w:rsidRDefault="00000000" w:rsidRPr="00000000" w14:paraId="000000F4">
      <w:pPr>
        <w:ind w:left="567" w:right="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5">
      <w:pPr>
        <w:ind w:left="567" w:right="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La Dirección de Obras Públicas o equivalente.</w:t>
      </w:r>
    </w:p>
    <w:p w:rsidR="00000000" w:rsidDel="00000000" w:rsidP="00000000" w:rsidRDefault="00000000" w:rsidRPr="00000000" w14:paraId="000000F6">
      <w:pPr>
        <w:ind w:left="567" w:right="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7">
      <w:pPr>
        <w:ind w:left="567" w:right="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 Dirección de Desarrollo Económico o equivalente.</w:t>
      </w:r>
    </w:p>
    <w:p w:rsidR="00000000" w:rsidDel="00000000" w:rsidP="00000000" w:rsidRDefault="00000000" w:rsidRPr="00000000" w14:paraId="000000F8">
      <w:pPr>
        <w:ind w:left="567" w:right="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9">
      <w:pPr>
        <w:ind w:left="567" w:right="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Dirección de Desarrollo Urbano o equivalente;</w:t>
      </w:r>
    </w:p>
    <w:p w:rsidR="00000000" w:rsidDel="00000000" w:rsidP="00000000" w:rsidRDefault="00000000" w:rsidRPr="00000000" w14:paraId="000000FA">
      <w:pPr>
        <w:ind w:left="567" w:right="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B">
      <w:pPr>
        <w:ind w:left="567" w:right="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La Dirección de Ecología o equivalente; y </w:t>
      </w:r>
    </w:p>
    <w:p w:rsidR="00000000" w:rsidDel="00000000" w:rsidP="00000000" w:rsidRDefault="00000000" w:rsidRPr="00000000" w14:paraId="000000FC">
      <w:pPr>
        <w:ind w:left="567" w:right="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D">
      <w:pPr>
        <w:ind w:left="567" w:right="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La Dirección de Desarrollo Social o equivalente, y </w:t>
      </w:r>
    </w:p>
    <w:p w:rsidR="00000000" w:rsidDel="00000000" w:rsidP="00000000" w:rsidRDefault="00000000" w:rsidRPr="00000000" w14:paraId="000000FE">
      <w:pPr>
        <w:ind w:left="567" w:right="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F">
      <w:pPr>
        <w:ind w:left="567" w:right="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La Coordinación Municipal de Protección Civil o equivalente.” (Sic) (Énfasis añadido)</w:t>
      </w:r>
    </w:p>
    <w:p w:rsidR="00000000" w:rsidDel="00000000" w:rsidP="00000000" w:rsidRDefault="00000000" w:rsidRPr="00000000" w14:paraId="00000100">
      <w:pPr>
        <w:spacing w:line="360" w:lineRule="auto"/>
        <w:ind w:left="567" w:right="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1">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términos de la legislación en análisis, la Ley Orgánica Municipal confiere a la Dirección de Obras Públicas o equivalente por conducto de su titular, las siguientes atribuciones: </w:t>
      </w:r>
    </w:p>
    <w:p w:rsidR="00000000" w:rsidDel="00000000" w:rsidP="00000000" w:rsidRDefault="00000000" w:rsidRPr="00000000" w14:paraId="00000102">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96. Bis.-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 Director de Obras Públicas o el Titular de la Unidad Administrativa equivalente, tiene las siguientes atribuciones: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03">
      <w:pPr>
        <w:ind w:left="567" w:right="616" w:firstLine="0"/>
        <w:jc w:val="both"/>
        <w:rPr>
          <w:rFonts w:ascii="Palatino Linotype" w:cs="Palatino Linotype" w:eastAsia="Palatino Linotype" w:hAnsi="Palatino Linotype"/>
          <w:i w:val="1"/>
          <w:sz w:val="22"/>
          <w:szCs w:val="22"/>
          <w:u w:val="single"/>
        </w:rPr>
      </w:pPr>
      <w:r w:rsidDel="00000000" w:rsidR="00000000" w:rsidRPr="00000000">
        <w:rPr>
          <w:rFonts w:ascii="Palatino Linotype" w:cs="Palatino Linotype" w:eastAsia="Palatino Linotype" w:hAnsi="Palatino Linotype"/>
          <w:i w:val="1"/>
          <w:sz w:val="22"/>
          <w:szCs w:val="22"/>
          <w:u w:val="single"/>
          <w:rtl w:val="0"/>
        </w:rPr>
        <w:t xml:space="preserve">I. Realizar la programación y ejecución de las obras públicas y servicios relacionados, que por orden expresa del Ayuntamiento requieran prioridad;</w:t>
      </w:r>
    </w:p>
    <w:p w:rsidR="00000000" w:rsidDel="00000000" w:rsidP="00000000" w:rsidRDefault="00000000" w:rsidRPr="00000000" w14:paraId="00000104">
      <w:pPr>
        <w:ind w:left="567" w:right="616" w:firstLine="0"/>
        <w:jc w:val="both"/>
        <w:rPr>
          <w:rFonts w:ascii="Palatino Linotype" w:cs="Palatino Linotype" w:eastAsia="Palatino Linotype" w:hAnsi="Palatino Linotype"/>
          <w:i w:val="1"/>
          <w:sz w:val="22"/>
          <w:szCs w:val="22"/>
          <w:u w:val="single"/>
        </w:rPr>
      </w:pPr>
      <w:r w:rsidDel="00000000" w:rsidR="00000000" w:rsidRPr="00000000">
        <w:rPr>
          <w:rFonts w:ascii="Palatino Linotype" w:cs="Palatino Linotype" w:eastAsia="Palatino Linotype" w:hAnsi="Palatino Linotype"/>
          <w:i w:val="1"/>
          <w:sz w:val="22"/>
          <w:szCs w:val="22"/>
          <w:u w:val="single"/>
          <w:rtl w:val="0"/>
        </w:rPr>
        <w:t xml:space="preserve">II. Planear y coordinar los proyectos de obras públicas y servicios relacionados con las mismas que autorice el Ayuntamiento, una vez que se cumplan los requisitos de licitación y otros que determine la ley de la materia;</w:t>
      </w:r>
    </w:p>
    <w:p w:rsidR="00000000" w:rsidDel="00000000" w:rsidP="00000000" w:rsidRDefault="00000000" w:rsidRPr="00000000" w14:paraId="00000105">
      <w:pPr>
        <w:ind w:left="567" w:right="616" w:firstLine="0"/>
        <w:jc w:val="both"/>
        <w:rPr>
          <w:rFonts w:ascii="Palatino Linotype" w:cs="Palatino Linotype" w:eastAsia="Palatino Linotype" w:hAnsi="Palatino Linotype"/>
          <w:i w:val="1"/>
          <w:sz w:val="22"/>
          <w:szCs w:val="22"/>
          <w:u w:val="single"/>
        </w:rPr>
      </w:pPr>
      <w:r w:rsidDel="00000000" w:rsidR="00000000" w:rsidRPr="00000000">
        <w:rPr>
          <w:rFonts w:ascii="Palatino Linotype" w:cs="Palatino Linotype" w:eastAsia="Palatino Linotype" w:hAnsi="Palatino Linotype"/>
          <w:i w:val="1"/>
          <w:sz w:val="22"/>
          <w:szCs w:val="22"/>
          <w:u w:val="single"/>
          <w:rtl w:val="0"/>
        </w:rPr>
        <w:t xml:space="preserve">III. Proyectar las obras públicas y servicios relacionados, que realice el Municipio, incluyendo la conservación y mantenimiento de edificios, monumentos, calles, parques y jardines;</w:t>
      </w:r>
    </w:p>
    <w:p w:rsidR="00000000" w:rsidDel="00000000" w:rsidP="00000000" w:rsidRDefault="00000000" w:rsidRPr="00000000" w14:paraId="00000106">
      <w:pPr>
        <w:ind w:left="567" w:right="616" w:firstLine="0"/>
        <w:jc w:val="both"/>
        <w:rPr>
          <w:rFonts w:ascii="Palatino Linotype" w:cs="Palatino Linotype" w:eastAsia="Palatino Linotype" w:hAnsi="Palatino Linotype"/>
          <w:i w:val="1"/>
          <w:sz w:val="22"/>
          <w:szCs w:val="22"/>
          <w:u w:val="single"/>
        </w:rPr>
      </w:pPr>
      <w:r w:rsidDel="00000000" w:rsidR="00000000" w:rsidRPr="00000000">
        <w:rPr>
          <w:rFonts w:ascii="Palatino Linotype" w:cs="Palatino Linotype" w:eastAsia="Palatino Linotype" w:hAnsi="Palatino Linotype"/>
          <w:i w:val="1"/>
          <w:sz w:val="22"/>
          <w:szCs w:val="22"/>
          <w:u w:val="single"/>
          <w:rtl w:val="0"/>
        </w:rPr>
        <w:t xml:space="preserve">IV. Construir y ejecutar todas aquellas obras públicas y servicios relacionados, que aumenten y mantengan la infraestructura municipal y que estén consideradas en el programa respectivo; </w:t>
      </w:r>
    </w:p>
    <w:p w:rsidR="00000000" w:rsidDel="00000000" w:rsidP="00000000" w:rsidRDefault="00000000" w:rsidRPr="00000000" w14:paraId="00000107">
      <w:pPr>
        <w:ind w:left="567" w:right="616" w:firstLine="0"/>
        <w:jc w:val="both"/>
        <w:rPr>
          <w:rFonts w:ascii="Palatino Linotype" w:cs="Palatino Linotype" w:eastAsia="Palatino Linotype" w:hAnsi="Palatino Linotype"/>
          <w:i w:val="1"/>
          <w:sz w:val="22"/>
          <w:szCs w:val="22"/>
          <w:u w:val="single"/>
        </w:rPr>
      </w:pPr>
      <w:r w:rsidDel="00000000" w:rsidR="00000000" w:rsidRPr="00000000">
        <w:rPr>
          <w:rFonts w:ascii="Palatino Linotype" w:cs="Palatino Linotype" w:eastAsia="Palatino Linotype" w:hAnsi="Palatino Linotype"/>
          <w:i w:val="1"/>
          <w:sz w:val="22"/>
          <w:szCs w:val="22"/>
          <w:u w:val="single"/>
          <w:rtl w:val="0"/>
        </w:rPr>
        <w:t xml:space="preserve">V. Determinar y cuantificar los materiales y trabajos necesarios para programas de construcción y mantenimiento de obras públicas y servicios relacionados;</w:t>
      </w:r>
    </w:p>
    <w:p w:rsidR="00000000" w:rsidDel="00000000" w:rsidP="00000000" w:rsidRDefault="00000000" w:rsidRPr="00000000" w14:paraId="00000108">
      <w:pPr>
        <w:ind w:left="567" w:right="616" w:firstLine="0"/>
        <w:jc w:val="both"/>
        <w:rPr>
          <w:rFonts w:ascii="Palatino Linotype" w:cs="Palatino Linotype" w:eastAsia="Palatino Linotype" w:hAnsi="Palatino Linotype"/>
          <w:i w:val="1"/>
          <w:sz w:val="22"/>
          <w:szCs w:val="22"/>
          <w:u w:val="single"/>
        </w:rPr>
      </w:pPr>
      <w:r w:rsidDel="00000000" w:rsidR="00000000" w:rsidRPr="00000000">
        <w:rPr>
          <w:rFonts w:ascii="Palatino Linotype" w:cs="Palatino Linotype" w:eastAsia="Palatino Linotype" w:hAnsi="Palatino Linotype"/>
          <w:i w:val="1"/>
          <w:sz w:val="22"/>
          <w:szCs w:val="22"/>
          <w:u w:val="single"/>
          <w:rtl w:val="0"/>
        </w:rPr>
        <w:t xml:space="preserve">VI. Vigilar que se cumplan y lleven a cabo los programas de construcción y mantenimiento de obras públicas y servicios relacionados;</w:t>
      </w:r>
    </w:p>
    <w:p w:rsidR="00000000" w:rsidDel="00000000" w:rsidP="00000000" w:rsidRDefault="00000000" w:rsidRPr="00000000" w14:paraId="00000109">
      <w:pPr>
        <w:ind w:right="51"/>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A">
      <w:pPr>
        <w:ind w:left="567" w:right="33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Cuidar que las obras públicas y servicios relacionados cumplan con los requisitos de seguridad y observen las normas de construcción y términos establecidos;</w:t>
      </w:r>
    </w:p>
    <w:p w:rsidR="00000000" w:rsidDel="00000000" w:rsidP="00000000" w:rsidRDefault="00000000" w:rsidRPr="00000000" w14:paraId="0000010B">
      <w:pPr>
        <w:ind w:left="567" w:right="33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Vigilar la construcción en las obras por contrato y por administración que hayan sido adjudicadas a los contratistas; </w:t>
      </w:r>
    </w:p>
    <w:p w:rsidR="00000000" w:rsidDel="00000000" w:rsidP="00000000" w:rsidRDefault="00000000" w:rsidRPr="00000000" w14:paraId="0000010C">
      <w:pPr>
        <w:ind w:left="567" w:right="333" w:firstLine="0"/>
        <w:jc w:val="both"/>
        <w:rPr>
          <w:rFonts w:ascii="Palatino Linotype" w:cs="Palatino Linotype" w:eastAsia="Palatino Linotype" w:hAnsi="Palatino Linotype"/>
          <w:i w:val="1"/>
          <w:sz w:val="22"/>
          <w:szCs w:val="22"/>
          <w:u w:val="single"/>
        </w:rPr>
      </w:pPr>
      <w:r w:rsidDel="00000000" w:rsidR="00000000" w:rsidRPr="00000000">
        <w:rPr>
          <w:rFonts w:ascii="Palatino Linotype" w:cs="Palatino Linotype" w:eastAsia="Palatino Linotype" w:hAnsi="Palatino Linotype"/>
          <w:i w:val="1"/>
          <w:sz w:val="22"/>
          <w:szCs w:val="22"/>
          <w:u w:val="single"/>
          <w:rtl w:val="0"/>
        </w:rPr>
        <w:t xml:space="preserve">IX. 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w:t>
      </w:r>
    </w:p>
    <w:p w:rsidR="00000000" w:rsidDel="00000000" w:rsidP="00000000" w:rsidRDefault="00000000" w:rsidRPr="00000000" w14:paraId="0000010D">
      <w:pPr>
        <w:ind w:left="567" w:right="333" w:firstLine="0"/>
        <w:jc w:val="both"/>
        <w:rPr>
          <w:rFonts w:ascii="Palatino Linotype" w:cs="Palatino Linotype" w:eastAsia="Palatino Linotype" w:hAnsi="Palatino Linotype"/>
          <w:i w:val="1"/>
          <w:sz w:val="22"/>
          <w:szCs w:val="22"/>
          <w:u w:val="single"/>
        </w:rPr>
      </w:pPr>
      <w:r w:rsidDel="00000000" w:rsidR="00000000" w:rsidRPr="00000000">
        <w:rPr>
          <w:rFonts w:ascii="Palatino Linotype" w:cs="Palatino Linotype" w:eastAsia="Palatino Linotype" w:hAnsi="Palatino Linotype"/>
          <w:i w:val="1"/>
          <w:sz w:val="22"/>
          <w:szCs w:val="22"/>
          <w:u w:val="single"/>
          <w:rtl w:val="0"/>
        </w:rPr>
        <w:t xml:space="preserve">X. Verificar que las obras públicas y los servicios relacionados con la misma, hayan sido programadas, presupuestadas, ejecutadas, adquiridas y contratadas en estricto apego a las disposiciones legales aplicables;</w:t>
      </w:r>
    </w:p>
    <w:p w:rsidR="00000000" w:rsidDel="00000000" w:rsidP="00000000" w:rsidRDefault="00000000" w:rsidRPr="00000000" w14:paraId="0000010E">
      <w:pPr>
        <w:ind w:left="567" w:right="33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 Integrar y verificar que se elaboren de manera correcta y completa las bitácoras y/o expedientes abiertos con motivo de la obra pública y servicios relacionados con la misma, conforme a lo establecido en las disposiciones legales aplicables;</w:t>
      </w:r>
    </w:p>
    <w:p w:rsidR="00000000" w:rsidDel="00000000" w:rsidP="00000000" w:rsidRDefault="00000000" w:rsidRPr="00000000" w14:paraId="0000010F">
      <w:pPr>
        <w:ind w:left="567" w:right="333" w:firstLine="0"/>
        <w:jc w:val="both"/>
        <w:rPr>
          <w:rFonts w:ascii="Palatino Linotype" w:cs="Palatino Linotype" w:eastAsia="Palatino Linotype" w:hAnsi="Palatino Linotype"/>
          <w:i w:val="1"/>
          <w:sz w:val="22"/>
          <w:szCs w:val="22"/>
          <w:u w:val="single"/>
        </w:rPr>
      </w:pPr>
      <w:r w:rsidDel="00000000" w:rsidR="00000000" w:rsidRPr="00000000">
        <w:rPr>
          <w:rFonts w:ascii="Palatino Linotype" w:cs="Palatino Linotype" w:eastAsia="Palatino Linotype" w:hAnsi="Palatino Linotype"/>
          <w:i w:val="1"/>
          <w:sz w:val="22"/>
          <w:szCs w:val="22"/>
          <w:u w:val="single"/>
          <w:rtl w:val="0"/>
        </w:rPr>
        <w:t xml:space="preserve">XII. Promover la construcción de urbanización, infraestructura y equipamiento urbano;</w:t>
      </w:r>
    </w:p>
    <w:p w:rsidR="00000000" w:rsidDel="00000000" w:rsidP="00000000" w:rsidRDefault="00000000" w:rsidRPr="00000000" w14:paraId="00000110">
      <w:pPr>
        <w:ind w:left="567" w:right="333" w:firstLine="0"/>
        <w:jc w:val="both"/>
        <w:rPr>
          <w:rFonts w:ascii="Palatino Linotype" w:cs="Palatino Linotype" w:eastAsia="Palatino Linotype" w:hAnsi="Palatino Linotype"/>
          <w:i w:val="1"/>
          <w:sz w:val="22"/>
          <w:szCs w:val="22"/>
          <w:u w:val="single"/>
        </w:rPr>
      </w:pPr>
      <w:r w:rsidDel="00000000" w:rsidR="00000000" w:rsidRPr="00000000">
        <w:rPr>
          <w:rFonts w:ascii="Palatino Linotype" w:cs="Palatino Linotype" w:eastAsia="Palatino Linotype" w:hAnsi="Palatino Linotype"/>
          <w:i w:val="1"/>
          <w:sz w:val="22"/>
          <w:szCs w:val="22"/>
          <w:u w:val="single"/>
          <w:rtl w:val="0"/>
        </w:rPr>
        <w:t xml:space="preserve">XIII. Formular y conducir la política municipal en materia de obras públicas e infraestructura para el desarrollo;</w:t>
      </w:r>
    </w:p>
    <w:p w:rsidR="00000000" w:rsidDel="00000000" w:rsidP="00000000" w:rsidRDefault="00000000" w:rsidRPr="00000000" w14:paraId="00000111">
      <w:pPr>
        <w:ind w:left="567" w:right="33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XIV. Cumplir y hacer cumplir la legislación y normatividad en materia de obra pública;</w:t>
      </w:r>
    </w:p>
    <w:p w:rsidR="00000000" w:rsidDel="00000000" w:rsidP="00000000" w:rsidRDefault="00000000" w:rsidRPr="00000000" w14:paraId="00000112">
      <w:pPr>
        <w:ind w:left="567" w:right="72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 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w:t>
      </w:r>
    </w:p>
    <w:p w:rsidR="00000000" w:rsidDel="00000000" w:rsidP="00000000" w:rsidRDefault="00000000" w:rsidRPr="00000000" w14:paraId="00000113">
      <w:pPr>
        <w:ind w:left="567" w:right="72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 Dictar las normas generales y ejecutar las obras de reparación, adaptación y demolición de inmuebles propiedad del municipio que le sean asignadas;</w:t>
      </w:r>
    </w:p>
    <w:p w:rsidR="00000000" w:rsidDel="00000000" w:rsidP="00000000" w:rsidRDefault="00000000" w:rsidRPr="00000000" w14:paraId="00000114">
      <w:pPr>
        <w:ind w:left="567" w:right="72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XVII. Ejecutar y mantener las obras públicas que acuerde el Ayuntamiento, de acuerdo a la legislación y normatividad aplicable, a los planes, presupuestos y programas previamente establecidos, coordinándose, en su caso, previo acuerdo con el Presidente Municipal, con las autoridades Federales, Estatales y municipales concurrentes;</w:t>
      </w:r>
    </w:p>
    <w:p w:rsidR="00000000" w:rsidDel="00000000" w:rsidP="00000000" w:rsidRDefault="00000000" w:rsidRPr="00000000" w14:paraId="00000115">
      <w:pPr>
        <w:ind w:left="567" w:right="72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XVIII. Vigilar que la ejecución de la obra pública adjudicada y los servicios relacionados con ésta, se sujeten a las condiciones contratadas;</w:t>
      </w:r>
    </w:p>
    <w:p w:rsidR="00000000" w:rsidDel="00000000" w:rsidP="00000000" w:rsidRDefault="00000000" w:rsidRPr="00000000" w14:paraId="00000116">
      <w:pPr>
        <w:ind w:left="567" w:right="72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XIX. Establecer los lineamientos para la realización de estudios y proyectos de construcción de obras públicas;</w:t>
      </w:r>
    </w:p>
    <w:p w:rsidR="00000000" w:rsidDel="00000000" w:rsidP="00000000" w:rsidRDefault="00000000" w:rsidRPr="00000000" w14:paraId="00000117">
      <w:pPr>
        <w:ind w:left="567" w:right="72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 Autorizar para su pago, previa validación del avance y calidad de las obras, los presupuestos y estimaciones que presenten los contratistas de obras públicas municipales;</w:t>
      </w:r>
    </w:p>
    <w:p w:rsidR="00000000" w:rsidDel="00000000" w:rsidP="00000000" w:rsidRDefault="00000000" w:rsidRPr="00000000" w14:paraId="00000118">
      <w:pPr>
        <w:ind w:left="567" w:right="72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 Formular el inventario de la maquinaria y equipo de construcción a su cuidado o de su propiedad, manteniéndolo en óptimas condiciones de uso;</w:t>
      </w:r>
    </w:p>
    <w:p w:rsidR="00000000" w:rsidDel="00000000" w:rsidP="00000000" w:rsidRDefault="00000000" w:rsidRPr="00000000" w14:paraId="00000119">
      <w:pPr>
        <w:ind w:left="567" w:right="729" w:firstLine="0"/>
        <w:jc w:val="both"/>
        <w:rPr>
          <w:rFonts w:ascii="Palatino Linotype" w:cs="Palatino Linotype" w:eastAsia="Palatino Linotype" w:hAnsi="Palatino Linotype"/>
          <w:i w:val="1"/>
          <w:sz w:val="22"/>
          <w:szCs w:val="22"/>
          <w:u w:val="single"/>
        </w:rPr>
      </w:pPr>
      <w:r w:rsidDel="00000000" w:rsidR="00000000" w:rsidRPr="00000000">
        <w:rPr>
          <w:rFonts w:ascii="Palatino Linotype" w:cs="Palatino Linotype" w:eastAsia="Palatino Linotype" w:hAnsi="Palatino Linotype"/>
          <w:i w:val="1"/>
          <w:sz w:val="22"/>
          <w:szCs w:val="22"/>
          <w:u w:val="single"/>
          <w:rtl w:val="0"/>
        </w:rPr>
        <w:t xml:space="preserve">XXII. Coordinar y supervisar que todo el proceso de las obras públicas que se realicen en el municipio se realice conforme a la legislación y normatividad en materia de obra pública;</w:t>
      </w:r>
    </w:p>
    <w:p w:rsidR="00000000" w:rsidDel="00000000" w:rsidP="00000000" w:rsidRDefault="00000000" w:rsidRPr="00000000" w14:paraId="0000011A">
      <w:pPr>
        <w:ind w:left="567" w:right="729" w:firstLine="0"/>
        <w:jc w:val="both"/>
        <w:rPr>
          <w:rFonts w:ascii="Palatino Linotype" w:cs="Palatino Linotype" w:eastAsia="Palatino Linotype" w:hAnsi="Palatino Linotype"/>
          <w:i w:val="1"/>
          <w:sz w:val="22"/>
          <w:szCs w:val="22"/>
          <w:u w:val="single"/>
        </w:rPr>
      </w:pPr>
      <w:r w:rsidDel="00000000" w:rsidR="00000000" w:rsidRPr="00000000">
        <w:rPr>
          <w:rFonts w:ascii="Palatino Linotype" w:cs="Palatino Linotype" w:eastAsia="Palatino Linotype" w:hAnsi="Palatino Linotype"/>
          <w:i w:val="1"/>
          <w:sz w:val="22"/>
          <w:szCs w:val="22"/>
          <w:u w:val="single"/>
          <w:rtl w:val="0"/>
        </w:rPr>
        <w:t xml:space="preserve">XXIII. Controlar y vigilar el inventario de materiales para construcción;</w:t>
      </w:r>
    </w:p>
    <w:p w:rsidR="00000000" w:rsidDel="00000000" w:rsidP="00000000" w:rsidRDefault="00000000" w:rsidRPr="00000000" w14:paraId="0000011B">
      <w:pPr>
        <w:ind w:right="729"/>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C">
      <w:pPr>
        <w:ind w:left="567" w:right="72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XXIV. Integrar y autorizar con su firma, la documentación que en materia de obra pública, deba presentarse al Órgano Superior de Fiscalización del Estado de México;</w:t>
      </w:r>
    </w:p>
    <w:p w:rsidR="00000000" w:rsidDel="00000000" w:rsidP="00000000" w:rsidRDefault="00000000" w:rsidRPr="00000000" w14:paraId="0000011D">
      <w:pPr>
        <w:ind w:left="567" w:right="72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XXV. Formular las bases y expedir la convocatoria a los concursos para la realización de las obras públicas municipales, de acuerdo con los requisitos que para dichos actos señale la legislación y normatividad respectiva, vigilando su correcta ejecución; y</w:t>
      </w:r>
    </w:p>
    <w:p w:rsidR="00000000" w:rsidDel="00000000" w:rsidP="00000000" w:rsidRDefault="00000000" w:rsidRPr="00000000" w14:paraId="0000011E">
      <w:pPr>
        <w:ind w:left="567" w:right="72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XXVI. Las demás que les señalen las disposiciones aplicables.” (Énfasis añadido)</w:t>
      </w:r>
    </w:p>
    <w:p w:rsidR="00000000" w:rsidDel="00000000" w:rsidP="00000000" w:rsidRDefault="00000000" w:rsidRPr="00000000" w14:paraId="0000011F">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0">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Asimismo, es importante traer a contexto lo establecido en los artículos 12.1, fracción III, 12.8, 12.20, 12.21, 12.38, 12.60, fracción I y 12.64, del Libro Décimo Segundo del Código Administrativo del Estado de México, los cuales se transcriben a continuación:</w:t>
      </w:r>
    </w:p>
    <w:p w:rsidR="00000000" w:rsidDel="00000000" w:rsidP="00000000" w:rsidRDefault="00000000" w:rsidRPr="00000000" w14:paraId="00000121">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12.1.- Este Libro tiene por objeto regular los actos relativos a la planeación, programación, presupuestación, adjudicación, contratación, ejecución y control de la obra pública, así como los servicios relacionados con la misma que, por sí o por conducto de terceros, realicen: </w:t>
      </w:r>
    </w:p>
    <w:p w:rsidR="00000000" w:rsidDel="00000000" w:rsidP="00000000" w:rsidRDefault="00000000" w:rsidRPr="00000000" w14:paraId="00000122">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23">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Los ayuntamientos de los municipios del Estado; </w:t>
      </w:r>
    </w:p>
    <w:p w:rsidR="00000000" w:rsidDel="00000000" w:rsidP="00000000" w:rsidRDefault="00000000" w:rsidRPr="00000000" w14:paraId="00000124">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12.8.- Corresponde a la Secretaría del Ramo y a los ayuntamientos, en el ámbito de sus respectivas competencias, ejecutar la obra pública, mediante contrato con terceros o por administración directa. </w:t>
      </w:r>
    </w:p>
    <w:p w:rsidR="00000000" w:rsidDel="00000000" w:rsidP="00000000" w:rsidRDefault="00000000" w:rsidRPr="00000000" w14:paraId="00000125">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Secretaría del Ramo podrá autorizar a las dependencias y entidades estatales, a ejecutar obras, por contrato o por administración directa, cuando a su juicio éstas cuenten con elementos propios y organización necesarios. </w:t>
      </w:r>
    </w:p>
    <w:p w:rsidR="00000000" w:rsidDel="00000000" w:rsidP="00000000" w:rsidRDefault="00000000" w:rsidRPr="00000000" w14:paraId="00000126">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acuerdo de autorización deberá publicarse en la Gaceta del Gobierno. </w:t>
      </w:r>
    </w:p>
    <w:p w:rsidR="00000000" w:rsidDel="00000000" w:rsidP="00000000" w:rsidRDefault="00000000" w:rsidRPr="00000000" w14:paraId="00000127">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dispuesto en el párrafo anterior será aplicable a los ayuntamientos, tratándose de la realización de obras con cargo a fondos estatales total o parcialmente. Para la mejor planeación de la obra pública en el Estado, las dependencias, entidades y ayuntamientos que ejecuten obra, deberán dar aviso a la Secretaría del Ramo, de sus proyectos y programación de ejecución, independientemente del origen de los recursos. </w:t>
      </w:r>
    </w:p>
    <w:p w:rsidR="00000000" w:rsidDel="00000000" w:rsidP="00000000" w:rsidRDefault="00000000" w:rsidRPr="00000000" w14:paraId="00000128">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12.20.- Los contratos a que se refiere este Libro, se adjudicarán a través de licitaciones públicas, mediante convocatoria pública. </w:t>
      </w:r>
    </w:p>
    <w:p w:rsidR="00000000" w:rsidDel="00000000" w:rsidP="00000000" w:rsidRDefault="00000000" w:rsidRPr="00000000" w14:paraId="00000129">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12.21.- Las dependencias, entidades y ayuntamientos podrán adjudicar contratos para la ejecución de obra pública o servicios relacionados con la misma mediante las excepciones al procedimiento de licitación siguientes: </w:t>
      </w:r>
    </w:p>
    <w:p w:rsidR="00000000" w:rsidDel="00000000" w:rsidP="00000000" w:rsidRDefault="00000000" w:rsidRPr="00000000" w14:paraId="0000012A">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Invitación restringida; </w:t>
      </w:r>
    </w:p>
    <w:p w:rsidR="00000000" w:rsidDel="00000000" w:rsidP="00000000" w:rsidRDefault="00000000" w:rsidRPr="00000000" w14:paraId="0000012B">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Adjudicación directa. </w:t>
      </w:r>
    </w:p>
    <w:p w:rsidR="00000000" w:rsidDel="00000000" w:rsidP="00000000" w:rsidRDefault="00000000" w:rsidRPr="00000000" w14:paraId="0000012C">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12.38.- La adjudicación de la obra o servicios relacionados con la misma obligará a la dependencia, entidad o ayuntamiento y a la persona en que hubiere recaído, a suscribir el contrato respectivo dentro de los diez días hábiles siguientes al de la notificación del fallo. </w:t>
      </w:r>
    </w:p>
    <w:p w:rsidR="00000000" w:rsidDel="00000000" w:rsidP="00000000" w:rsidRDefault="00000000" w:rsidRPr="00000000" w14:paraId="0000012D">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 la dependencia, entidad o ayuntamiento no firmare el contrato dentro del plazo a que se refiere el párrafo anterior, el licitante ganador podrá exigir que se le cubran los gastos que realizo en preparar y elaborar su propuesta. </w:t>
      </w:r>
    </w:p>
    <w:p w:rsidR="00000000" w:rsidDel="00000000" w:rsidP="00000000" w:rsidRDefault="00000000" w:rsidRPr="00000000" w14:paraId="0000012E">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12.60.- Las dependencias, entidades y ayuntamientos podrán realizar obras por administración directa, siempre que posean la capacidad técnica y los elementos necesarios, consistentes en: maquinaria y equipo de construcción, personal técnico, trabajadores y materiales y podrán: </w:t>
      </w:r>
    </w:p>
    <w:p w:rsidR="00000000" w:rsidDel="00000000" w:rsidP="00000000" w:rsidRDefault="00000000" w:rsidRPr="00000000" w14:paraId="0000012F">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Utilizar mano de obra local complementaria, la que necesariamente deberá contratarse por obra determinada; </w:t>
      </w:r>
    </w:p>
    <w:p w:rsidR="00000000" w:rsidDel="00000000" w:rsidP="00000000" w:rsidRDefault="00000000" w:rsidRPr="00000000" w14:paraId="00000130">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Alquilar equipo y maquinaria de construcción complementaria; </w:t>
      </w:r>
    </w:p>
    <w:p w:rsidR="00000000" w:rsidDel="00000000" w:rsidP="00000000" w:rsidRDefault="00000000" w:rsidRPr="00000000" w14:paraId="00000131">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Utilizar preferentemente los materiales de la región; </w:t>
      </w:r>
    </w:p>
    <w:p w:rsidR="00000000" w:rsidDel="00000000" w:rsidP="00000000" w:rsidRDefault="00000000" w:rsidRPr="00000000" w14:paraId="00000132">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Contratar equipos, instrumentos, elementos prefabricados terminados y materiales u otros bienes que deban ser instalados, montados, colocados o aplicados; </w:t>
      </w:r>
    </w:p>
    <w:p w:rsidR="00000000" w:rsidDel="00000000" w:rsidP="00000000" w:rsidRDefault="00000000" w:rsidRPr="00000000" w14:paraId="00000133">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Utilizar servicios de fletes y acarreos complementarios. </w:t>
      </w:r>
    </w:p>
    <w:p w:rsidR="00000000" w:rsidDel="00000000" w:rsidP="00000000" w:rsidRDefault="00000000" w:rsidRPr="00000000" w14:paraId="00000134">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35">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12.64.- Las dependencias, entidades y ayuntamientos conservarán, archivando en forma ordenada la documentación comprobatoria de los actos y contratos materia de este Libro, cuando menos por el lapso de cinco años, contados a partir de la fecha de la recepción de los trabajos.” (Sic)</w:t>
      </w:r>
    </w:p>
    <w:p w:rsidR="00000000" w:rsidDel="00000000" w:rsidP="00000000" w:rsidRDefault="00000000" w:rsidRPr="00000000" w14:paraId="00000136">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De lo anterior, se puede advertir los Ayuntamientos tienen la atribución de convenir, contratar o concesionar la ejecución de obras y administrar los recursos obtenidos de su hacienda, en los términos de la legislación aplicable; asimismo, los procedimientos de obra desde su planeación, programación, presupuestación, adjudicación, contratación, ejecución y control de la obra pública involucran la participación tanto del Director de Obra Pública, o su equivalente, así como del Tesorero Municipal, al tener la atribución de autorizar la entrega de recursos públicos municipales, además contar con los registros contables, financieros y administrativos, que pudieran soportar cualquier ejecución de obra. </w:t>
      </w:r>
    </w:p>
    <w:p w:rsidR="00000000" w:rsidDel="00000000" w:rsidP="00000000" w:rsidRDefault="00000000" w:rsidRPr="00000000" w14:paraId="00000137">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38">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Asimismo, de los preceptos en cita, es importante resaltar que, la ejecución de obra pública puede llevarse a cabo a través de dos vías, la administración directa, o bien, mediante la contratación de terceros.</w:t>
      </w:r>
    </w:p>
    <w:p w:rsidR="00000000" w:rsidDel="00000000" w:rsidP="00000000" w:rsidRDefault="00000000" w:rsidRPr="00000000" w14:paraId="00000139">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3A">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ese sentido, en el segundo de los casos, se materializa a través del procedimiento de licitación, o bien, de manera excepcional, mediante los procedimientos de invitación restringida y adjudicación directa, en cuyos casos, se requiere la generación de diversa información, entre ella, de manera enunciativa más no limitativa, la referida en el artículo 92, fracción XXIX, de la Ley de la materia:</w:t>
      </w:r>
    </w:p>
    <w:p w:rsidR="00000000" w:rsidDel="00000000" w:rsidP="00000000" w:rsidRDefault="00000000" w:rsidRPr="00000000" w14:paraId="0000013B">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 </w:t>
      </w:r>
    </w:p>
    <w:p w:rsidR="00000000" w:rsidDel="00000000" w:rsidP="00000000" w:rsidRDefault="00000000" w:rsidRPr="00000000" w14:paraId="0000013C">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rsidR="00000000" w:rsidDel="00000000" w:rsidP="00000000" w:rsidRDefault="00000000" w:rsidRPr="00000000" w14:paraId="0000013D">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De licitaciones públicas o procedimientos de invitación restringida: </w:t>
      </w:r>
    </w:p>
    <w:p w:rsidR="00000000" w:rsidDel="00000000" w:rsidP="00000000" w:rsidRDefault="00000000" w:rsidRPr="00000000" w14:paraId="0000013E">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La convocatoria o invitación emitida, así como los fundamentos legales aplicados para llevarla a cabo; </w:t>
      </w:r>
    </w:p>
    <w:p w:rsidR="00000000" w:rsidDel="00000000" w:rsidP="00000000" w:rsidRDefault="00000000" w:rsidRPr="00000000" w14:paraId="0000013F">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Los nombres de los participantes o invitados; </w:t>
      </w:r>
    </w:p>
    <w:p w:rsidR="00000000" w:rsidDel="00000000" w:rsidP="00000000" w:rsidRDefault="00000000" w:rsidRPr="00000000" w14:paraId="00000140">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El nombre del ganador y las razones que lo justifican; </w:t>
      </w:r>
    </w:p>
    <w:p w:rsidR="00000000" w:rsidDel="00000000" w:rsidP="00000000" w:rsidRDefault="00000000" w:rsidRPr="00000000" w14:paraId="00000141">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4) El área solicitante y la responsable de su ejecución; </w:t>
      </w:r>
    </w:p>
    <w:p w:rsidR="00000000" w:rsidDel="00000000" w:rsidP="00000000" w:rsidRDefault="00000000" w:rsidRPr="00000000" w14:paraId="00000142">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5) Las convocatorias e invitaciones emitidas; </w:t>
      </w:r>
    </w:p>
    <w:p w:rsidR="00000000" w:rsidDel="00000000" w:rsidP="00000000" w:rsidRDefault="00000000" w:rsidRPr="00000000" w14:paraId="00000143">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6) Los dictámenes y fallo de adjudicación; </w:t>
      </w:r>
    </w:p>
    <w:p w:rsidR="00000000" w:rsidDel="00000000" w:rsidP="00000000" w:rsidRDefault="00000000" w:rsidRPr="00000000" w14:paraId="00000144">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7) El contrato y, en su caso, sus anexos; </w:t>
      </w:r>
    </w:p>
    <w:p w:rsidR="00000000" w:rsidDel="00000000" w:rsidP="00000000" w:rsidRDefault="00000000" w:rsidRPr="00000000" w14:paraId="00000145">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8) Los mecanismos de vigilancia y supervisión, incluyendo en su caso, los estudios de impacto urbano y ambiental, según corresponda; </w:t>
      </w:r>
    </w:p>
    <w:p w:rsidR="00000000" w:rsidDel="00000000" w:rsidP="00000000" w:rsidRDefault="00000000" w:rsidRPr="00000000" w14:paraId="00000146">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9) La partida presupuestal, de conformidad con el clasificador por objeto del gasto, en el caso de ser aplicable; </w:t>
      </w:r>
    </w:p>
    <w:p w:rsidR="00000000" w:rsidDel="00000000" w:rsidP="00000000" w:rsidRDefault="00000000" w:rsidRPr="00000000" w14:paraId="00000147">
      <w:pPr>
        <w:spacing w:after="240" w:before="240" w:lineRule="auto"/>
        <w:ind w:left="993" w:right="1041" w:firstLine="0"/>
        <w:jc w:val="both"/>
        <w:rPr/>
      </w:pPr>
      <w:r w:rsidDel="00000000" w:rsidR="00000000" w:rsidRPr="00000000">
        <w:rPr>
          <w:rFonts w:ascii="Palatino Linotype" w:cs="Palatino Linotype" w:eastAsia="Palatino Linotype" w:hAnsi="Palatino Linotype"/>
          <w:i w:val="1"/>
          <w:sz w:val="22"/>
          <w:szCs w:val="22"/>
          <w:rtl w:val="0"/>
        </w:rPr>
        <w:t xml:space="preserve">10) Origen de los recursos especificando si son federales, estatales o municipales, así como el tipo de fondo de participación o aportación respectiva; 11) Los convenios modificatorios que, en su caso, sean firmados, precisando el objeto y la fecha de celebración;</w:t>
      </w:r>
      <w:r w:rsidDel="00000000" w:rsidR="00000000" w:rsidRPr="00000000">
        <w:rPr>
          <w:rtl w:val="0"/>
        </w:rPr>
        <w:t xml:space="preserve"> </w:t>
      </w:r>
    </w:p>
    <w:p w:rsidR="00000000" w:rsidDel="00000000" w:rsidP="00000000" w:rsidRDefault="00000000" w:rsidRPr="00000000" w14:paraId="00000148">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12) Los informes de avance físico y financiero sobre las obras o servicios contratados; </w:t>
      </w:r>
    </w:p>
    <w:p w:rsidR="00000000" w:rsidDel="00000000" w:rsidP="00000000" w:rsidRDefault="00000000" w:rsidRPr="00000000" w14:paraId="00000149">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13) El convenio de terminación; y </w:t>
      </w:r>
    </w:p>
    <w:p w:rsidR="00000000" w:rsidDel="00000000" w:rsidP="00000000" w:rsidRDefault="00000000" w:rsidRPr="00000000" w14:paraId="0000014A">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14) El finiquito.</w:t>
      </w:r>
    </w:p>
    <w:p w:rsidR="00000000" w:rsidDel="00000000" w:rsidP="00000000" w:rsidRDefault="00000000" w:rsidRPr="00000000" w14:paraId="0000014B">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b) De las adjudicaciones directas: </w:t>
      </w:r>
    </w:p>
    <w:p w:rsidR="00000000" w:rsidDel="00000000" w:rsidP="00000000" w:rsidRDefault="00000000" w:rsidRPr="00000000" w14:paraId="0000014C">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La propuesta enviada por el participante; </w:t>
      </w:r>
    </w:p>
    <w:p w:rsidR="00000000" w:rsidDel="00000000" w:rsidP="00000000" w:rsidRDefault="00000000" w:rsidRPr="00000000" w14:paraId="0000014D">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Los motivos y fundamentos legales aplicados para llevarla a cabo; </w:t>
      </w:r>
    </w:p>
    <w:p w:rsidR="00000000" w:rsidDel="00000000" w:rsidP="00000000" w:rsidRDefault="00000000" w:rsidRPr="00000000" w14:paraId="0000014E">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La autorización del ejercicio de la opción; </w:t>
      </w:r>
    </w:p>
    <w:p w:rsidR="00000000" w:rsidDel="00000000" w:rsidP="00000000" w:rsidRDefault="00000000" w:rsidRPr="00000000" w14:paraId="0000014F">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4) En su caso, las cotizaciones consideradas, especificando los nombres de los proveedores y sus montos; </w:t>
      </w:r>
    </w:p>
    <w:p w:rsidR="00000000" w:rsidDel="00000000" w:rsidP="00000000" w:rsidRDefault="00000000" w:rsidRPr="00000000" w14:paraId="00000150">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5) El nombre de la persona física o jurídica colectiva adjudicada; </w:t>
      </w:r>
    </w:p>
    <w:p w:rsidR="00000000" w:rsidDel="00000000" w:rsidP="00000000" w:rsidRDefault="00000000" w:rsidRPr="00000000" w14:paraId="00000151">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6) La unidad administrativa solicitante y la responsable de su ejecución; </w:t>
      </w:r>
    </w:p>
    <w:p w:rsidR="00000000" w:rsidDel="00000000" w:rsidP="00000000" w:rsidRDefault="00000000" w:rsidRPr="00000000" w14:paraId="00000152">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7) El número, fecha, el monto del contrato y el plazo de entrega o de ejecución de los servicios u obra; </w:t>
      </w:r>
    </w:p>
    <w:p w:rsidR="00000000" w:rsidDel="00000000" w:rsidP="00000000" w:rsidRDefault="00000000" w:rsidRPr="00000000" w14:paraId="00000153">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8) Los mecanismos de vigilancia y supervisión, incluyendo, en su caso, los estudios de impacto urbano y ambiental, según corresponda; </w:t>
      </w:r>
    </w:p>
    <w:p w:rsidR="00000000" w:rsidDel="00000000" w:rsidP="00000000" w:rsidRDefault="00000000" w:rsidRPr="00000000" w14:paraId="00000154">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9) Los informes de avance sobre las obras o servicios contratados; </w:t>
      </w:r>
    </w:p>
    <w:p w:rsidR="00000000" w:rsidDel="00000000" w:rsidP="00000000" w:rsidRDefault="00000000" w:rsidRPr="00000000" w14:paraId="00000155">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10) El convenio de terminación; y </w:t>
      </w:r>
    </w:p>
    <w:p w:rsidR="00000000" w:rsidDel="00000000" w:rsidP="00000000" w:rsidRDefault="00000000" w:rsidRPr="00000000" w14:paraId="00000156">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11) El finiquito.”(Sic) </w:t>
      </w:r>
    </w:p>
    <w:p w:rsidR="00000000" w:rsidDel="00000000" w:rsidP="00000000" w:rsidRDefault="00000000" w:rsidRPr="00000000" w14:paraId="00000157">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58">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Aunado a lo anterior, debe observarse lo establecido en los artículos 8, 214, 215, 217, 218 y 219, del Reglamento del Libro Décimo Segundo del Código Administrativo del Estado de México:</w:t>
      </w:r>
    </w:p>
    <w:p w:rsidR="00000000" w:rsidDel="00000000" w:rsidP="00000000" w:rsidRDefault="00000000" w:rsidRPr="00000000" w14:paraId="00000159">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5A">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8.- Las dependencias, entidades y, en su caso, los ayuntamientos, al realizar la planeación de una obra pública o servicio, deberán considerar, además de lo previsto en el Libro, lo siguiente: </w:t>
      </w:r>
    </w:p>
    <w:p w:rsidR="00000000" w:rsidDel="00000000" w:rsidP="00000000" w:rsidRDefault="00000000" w:rsidRPr="00000000" w14:paraId="0000015B">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Que los proyectos arquitectónicos y de ingeniería aseguren condiciones adecuadas de accesibilidad y libertad de movimiento para todas las personas, sin barreras arquitectónicas; y la necesaria facilidad de evacuación y cumplan con las normas de diseño y de señalización vigentes en el Estado relativas a las personas con capacidades diferentes, en cuanto a instalaciones, circulaciones, servicios sanitarios e instalaciones análogas. </w:t>
      </w:r>
    </w:p>
    <w:p w:rsidR="00000000" w:rsidDel="00000000" w:rsidP="00000000" w:rsidRDefault="00000000" w:rsidRPr="00000000" w14:paraId="0000015C">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La debida realización del análisis de factibilidad técnica, económica, social, ecológica, ambiental y, en su caso, los estudios de costo beneficio; </w:t>
      </w:r>
    </w:p>
    <w:p w:rsidR="00000000" w:rsidDel="00000000" w:rsidP="00000000" w:rsidRDefault="00000000" w:rsidRPr="00000000" w14:paraId="0000015D">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congruencia de la obra con las características ambientales, climáticas y geográficas de la región donde se realizará, así como los impactos previsibles; </w:t>
      </w:r>
    </w:p>
    <w:p w:rsidR="00000000" w:rsidDel="00000000" w:rsidP="00000000" w:rsidRDefault="00000000" w:rsidRPr="00000000" w14:paraId="0000015E">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 determinación de la forma de ejecución, por contrato o administración directa. En el caso de contrato, precisar las áreas responsables de la contratación y la supervisión de los trabajos; y en el caso de obras por administración directa, de los responsables de las áreas de ejecución; </w:t>
      </w:r>
    </w:p>
    <w:p w:rsidR="00000000" w:rsidDel="00000000" w:rsidP="00000000" w:rsidRDefault="00000000" w:rsidRPr="00000000" w14:paraId="0000015F">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coordinación con otras dependencias, entidades o ayuntamientos que realicen trabajos en el lugar de ejecución, o bien, que cuenten con instalaciones en operación, con el propósito de identificar aquellos trabajos que pudieran ocasionar daños, interferencias o suspensiones de los servicios públicos. Para tal efecto, las dependencias o entidades y, en su caso, ayuntamientos, delimitarán los alcances de los trabajos que a cada una de ellas corresponda realizar. El programa de ejecución preverá una secuencia de actividades, que evite la duplicidad o repetición de acciones y trabajos; </w:t>
      </w:r>
    </w:p>
    <w:p w:rsidR="00000000" w:rsidDel="00000000" w:rsidP="00000000" w:rsidRDefault="00000000" w:rsidRPr="00000000" w14:paraId="00000160">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La determinación de los materiales, productos, equipos y procedimientos de construcción que satisfagan los requerimientos técnicos y económicos del proyecto, considerando preferentemente el empleo de los recursos humanos y los materiales propios de la región donde se ubiquen las obras; </w:t>
      </w:r>
    </w:p>
    <w:p w:rsidR="00000000" w:rsidDel="00000000" w:rsidP="00000000" w:rsidRDefault="00000000" w:rsidRPr="00000000" w14:paraId="00000161">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El análisis de los avances tecnológicos y la determinación de los criterios de tecnología aplicables en función de la naturaleza de la obra pública y los servicios que satisfagan los requerimientos técnicos, económicos, ambientales y culturales; </w:t>
      </w:r>
    </w:p>
    <w:p w:rsidR="00000000" w:rsidDel="00000000" w:rsidP="00000000" w:rsidRDefault="00000000" w:rsidRPr="00000000" w14:paraId="00000162">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La definición de las obras principales, de infraestructura; de las complementarias, inducidas y accesorias; y de las acciones requeridas para ponerlas en servicio e incorporarlas en el programa general de la obra; </w:t>
      </w:r>
    </w:p>
    <w:p w:rsidR="00000000" w:rsidDel="00000000" w:rsidP="00000000" w:rsidRDefault="00000000" w:rsidRPr="00000000" w14:paraId="00000163">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La determinación del presupuesto total de la obra y, en su caso, por ejercicios presupuéstales; </w:t>
      </w:r>
    </w:p>
    <w:p w:rsidR="00000000" w:rsidDel="00000000" w:rsidP="00000000" w:rsidRDefault="00000000" w:rsidRPr="00000000" w14:paraId="00000164">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La determinación de acciones de adquisición y, en su caso, de regularización de la tenencia de la tierra; y </w:t>
      </w:r>
    </w:p>
    <w:p w:rsidR="00000000" w:rsidDel="00000000" w:rsidP="00000000" w:rsidRDefault="00000000" w:rsidRPr="00000000" w14:paraId="00000165">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 En el caso de las obras por administración directa, la evaluación de la disponibilidad de personal en las áreas responsables de la ejecución, así como de la maquinaria y equipo, que determine la capacidad real para ejecutar la obra con recursos propios </w:t>
      </w:r>
    </w:p>
    <w:p w:rsidR="00000000" w:rsidDel="00000000" w:rsidP="00000000" w:rsidRDefault="00000000" w:rsidRPr="00000000" w14:paraId="00000166">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214.- La ejecución de los trabajos deberá realizarse en el orden y tiempo previstos en los programas pactados en el contrato. </w:t>
      </w:r>
    </w:p>
    <w:p w:rsidR="00000000" w:rsidDel="00000000" w:rsidP="00000000" w:rsidRDefault="00000000" w:rsidRPr="00000000" w14:paraId="00000167">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215.- Para dar inicio a la ejecución de los trabajos, el contratante nombrará al servidor público residente de obra; y el contratista, al superintendente de la obra que lo representará. Cuando la supervisión sea contratada con terceras personas, es conveniente que participe desde el fallo del procedimiento de adjudicación del contrato de obra. </w:t>
      </w:r>
    </w:p>
    <w:p w:rsidR="00000000" w:rsidDel="00000000" w:rsidP="00000000" w:rsidRDefault="00000000" w:rsidRPr="00000000" w14:paraId="00000168">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217.- Las funciones de la residencia de obra serán: </w:t>
      </w:r>
    </w:p>
    <w:p w:rsidR="00000000" w:rsidDel="00000000" w:rsidP="00000000" w:rsidRDefault="00000000" w:rsidRPr="00000000" w14:paraId="00000169">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Vigilar que se cuente con el oficio de autorización de los recursos presupuestales; </w:t>
      </w:r>
    </w:p>
    <w:p w:rsidR="00000000" w:rsidDel="00000000" w:rsidP="00000000" w:rsidRDefault="00000000" w:rsidRPr="00000000" w14:paraId="0000016A">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Verificar que, antes del inicio de la obra, se cuente con los proyectos arquitectónicos y de ingeniería, especificaciones de calidad de los materiales y especificaciones generales y particulares de construcción, catálogo de conceptos con sus análisis de precios unitarios o alcance de las actividades de obra, programas de ejecución y suministros o utilización, términos de referencia y alcance de servicios; en caso contrario, informar a su inmediato superior; </w:t>
      </w:r>
    </w:p>
    <w:p w:rsidR="00000000" w:rsidDel="00000000" w:rsidP="00000000" w:rsidRDefault="00000000" w:rsidRPr="00000000" w14:paraId="0000016B">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Abrir la bitácora de obra, la cual quedará bajo su resguardo, y por medio de ella dar las instrucciones pertinentes, y recibir las solicitudes que le formule la supervisión y el contratista; </w:t>
      </w:r>
    </w:p>
    <w:p w:rsidR="00000000" w:rsidDel="00000000" w:rsidP="00000000" w:rsidRDefault="00000000" w:rsidRPr="00000000" w14:paraId="0000016C">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Supervisar, revisar, vigilar y controlar los trabajos; </w:t>
      </w:r>
    </w:p>
    <w:p w:rsidR="00000000" w:rsidDel="00000000" w:rsidP="00000000" w:rsidRDefault="00000000" w:rsidRPr="00000000" w14:paraId="0000016D">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Vigilar y controlar el desarrollo de los trabajos, en sus aspectos de tiempo, calidad, costo y apego a los programas de ejecución de los trabajos de acuerdo con los avances, recursos asignados, rendimientos y consumos pactados en el contrato; </w:t>
      </w:r>
    </w:p>
    <w:p w:rsidR="00000000" w:rsidDel="00000000" w:rsidP="00000000" w:rsidRDefault="00000000" w:rsidRPr="00000000" w14:paraId="0000016E">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218.- La supervisión es el auxiliar de la residencia de obra. Tendrá las funciones que se señalan en este Reglamento, así como las que, en su caso, se pacten en el contrato de supervisión. </w:t>
      </w:r>
    </w:p>
    <w:p w:rsidR="00000000" w:rsidDel="00000000" w:rsidP="00000000" w:rsidRDefault="00000000" w:rsidRPr="00000000" w14:paraId="0000016F">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tal función se deberá contar con la certificación de conocimientos y habilidades en la materia. </w:t>
      </w:r>
    </w:p>
    <w:p w:rsidR="00000000" w:rsidDel="00000000" w:rsidP="00000000" w:rsidRDefault="00000000" w:rsidRPr="00000000" w14:paraId="00000170">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219.- Las funciones de la supervisión serán: </w:t>
      </w:r>
    </w:p>
    <w:p w:rsidR="00000000" w:rsidDel="00000000" w:rsidP="00000000" w:rsidRDefault="00000000" w:rsidRPr="00000000" w14:paraId="00000171">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Revisar, antes del inicio de los trabajos, la información que le proporcione la residencia de obra respecto del contrato, con el objeto de enterarse con detalle de las características del proyecto y del sitio de la obra, obteniendo la información que le permita iniciar los trabajos de supervisión según lo programado y ejecutarlos ininterrumpidamente hasta su conclusión;</w:t>
      </w:r>
    </w:p>
    <w:p w:rsidR="00000000" w:rsidDel="00000000" w:rsidP="00000000" w:rsidRDefault="00000000" w:rsidRPr="00000000" w14:paraId="00000172">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 </w:t>
      </w:r>
    </w:p>
    <w:p w:rsidR="00000000" w:rsidDel="00000000" w:rsidP="00000000" w:rsidRDefault="00000000" w:rsidRPr="00000000" w14:paraId="00000173">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Integrar y mantener en orden y actualizado el archivo y documentación derivada de la realización de los trabajos, el que contendrá, entre otros: a. Contrato, convenios, programas de obra y suministros, números generadores, cantidades de obra realizadas y faltantes de ejecutar y presupuesto; b. Permisos, licencias y autorizaciones; c. Especificaciones de construcción y procedimientos constructivos; d. Registro y control de la bitácora y de las minutas de las juntas de obra; e. Copia de planos y sus modificaciones; f. Matrices de precios unitarios o cédula de avances y pagos programados, según corresponda; g. Estimaciones; h. Reportes de laboratorio y resultado de las pruebas, y i. Manuales y garantía de la maquinaria y equipo;”</w:t>
      </w:r>
    </w:p>
    <w:p w:rsidR="00000000" w:rsidDel="00000000" w:rsidP="00000000" w:rsidRDefault="00000000" w:rsidRPr="00000000" w14:paraId="00000174">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Ahora bien, los artículos 22, 24, fracción II, 26 y 27, de la Ley de Contratación Pública del Estado de México y Municipios precisan, a su vez, lo siguiente:</w:t>
      </w:r>
    </w:p>
    <w:p w:rsidR="00000000" w:rsidDel="00000000" w:rsidP="00000000" w:rsidRDefault="00000000" w:rsidRPr="00000000" w14:paraId="00000175">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22.-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w:t>
      </w:r>
    </w:p>
    <w:p w:rsidR="00000000" w:rsidDel="00000000" w:rsidP="00000000" w:rsidRDefault="00000000" w:rsidRPr="00000000" w14:paraId="00000176">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la Secretaría, en cada entidad, tribunal administrativo y ayuntamiento se constituirá un comité de adquisiciones y servicios. </w:t>
      </w:r>
    </w:p>
    <w:p w:rsidR="00000000" w:rsidDel="00000000" w:rsidP="00000000" w:rsidRDefault="00000000" w:rsidRPr="00000000" w14:paraId="00000177">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Secretaría, las entidades, los tribunales administrativos y los ayuntamientos se auxiliarán de un comité de arrendamientos, adquisiciones de inmuebles y enajenaciones. </w:t>
      </w:r>
    </w:p>
    <w:p w:rsidR="00000000" w:rsidDel="00000000" w:rsidP="00000000" w:rsidRDefault="00000000" w:rsidRPr="00000000" w14:paraId="00000178">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24.- El comité de arrendamientos, adquisiciones de inmuebles y enajenaciones tendrá las funciones siguientes: </w:t>
      </w:r>
    </w:p>
    <w:p w:rsidR="00000000" w:rsidDel="00000000" w:rsidP="00000000" w:rsidRDefault="00000000" w:rsidRPr="00000000" w14:paraId="00000179">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7A">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Participar en los procedimientos de licitación, invitación restringida y adjudicación directa, hasta dejarlos en estado de dictar el fallo correspondiente, tratándose de adquisición de inmuebles y arrendamientos. </w:t>
      </w:r>
    </w:p>
    <w:p w:rsidR="00000000" w:rsidDel="00000000" w:rsidP="00000000" w:rsidRDefault="00000000" w:rsidRPr="00000000" w14:paraId="0000017B">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25.- La integración y el funcionamiento de los comités a que se refiere el presente capítulo se determinará en el reglamento de esta Ley. </w:t>
      </w:r>
    </w:p>
    <w:p w:rsidR="00000000" w:rsidDel="00000000" w:rsidP="00000000" w:rsidRDefault="00000000" w:rsidRPr="00000000" w14:paraId="0000017C">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26.- Las adquisiciones, arrendamientos y servicios se adjudicarán a través de licitaciones públicas, mediante convocatoria pública. </w:t>
      </w:r>
    </w:p>
    <w:p w:rsidR="00000000" w:rsidDel="00000000" w:rsidP="00000000" w:rsidRDefault="00000000" w:rsidRPr="00000000" w14:paraId="0000017D">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27.- La Secretaría, las entidades, los tribunales administrativos y los ayuntamientos podrán adjudicar adquisiciones, arrendamientos y servicios, mediante las excepciones al procedimiento de licitación que a continuación se señalan: </w:t>
      </w:r>
    </w:p>
    <w:p w:rsidR="00000000" w:rsidDel="00000000" w:rsidP="00000000" w:rsidRDefault="00000000" w:rsidRPr="00000000" w14:paraId="0000017E">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Invitación restringida. </w:t>
      </w:r>
    </w:p>
    <w:p w:rsidR="00000000" w:rsidDel="00000000" w:rsidP="00000000" w:rsidRDefault="00000000" w:rsidRPr="00000000" w14:paraId="0000017F">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Adjudicación directa.”(Sic)</w:t>
      </w:r>
    </w:p>
    <w:p w:rsidR="00000000" w:rsidDel="00000000" w:rsidP="00000000" w:rsidRDefault="00000000" w:rsidRPr="00000000" w14:paraId="00000180">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Ahora bien, los artículos 43 y 44 del Reglamento de la Ley de Contratación Pública del Estado de México y Municipios, indican:</w:t>
      </w:r>
    </w:p>
    <w:p w:rsidR="00000000" w:rsidDel="00000000" w:rsidP="00000000" w:rsidRDefault="00000000" w:rsidRPr="00000000" w14:paraId="00000181">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43.- La Secretaría, organismos auxiliares, tribunales administrativos y municipios, se auxiliarán de un Comité de Adquisiciones y Servicios, para la substanciación de los procedimientos de adquisición regulados en la Ley. </w:t>
      </w:r>
    </w:p>
    <w:p w:rsidR="00000000" w:rsidDel="00000000" w:rsidP="00000000" w:rsidRDefault="00000000" w:rsidRPr="00000000" w14:paraId="00000182">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44.- El Comité de Adquisiciones y Servicios se integrará por: </w:t>
      </w:r>
    </w:p>
    <w:p w:rsidR="00000000" w:rsidDel="00000000" w:rsidP="00000000" w:rsidRDefault="00000000" w:rsidRPr="00000000" w14:paraId="00000183">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En la Secretaría, por el titular del área encargada de operar el sistema de adquisiciones de las dependencias del Poder Ejecutivo, y en los organismos auxiliares, tribunales administrativos y municipios, por el titular de la unidad administrativa, quien fungirá como presidente; </w:t>
      </w:r>
    </w:p>
    <w:p w:rsidR="00000000" w:rsidDel="00000000" w:rsidP="00000000" w:rsidRDefault="00000000" w:rsidRPr="00000000" w14:paraId="00000184">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Un representante del área financiera de la Secretaría, entidad, tribunal administrativo o municipio, con función de vocal; </w:t>
      </w:r>
    </w:p>
    <w:p w:rsidR="00000000" w:rsidDel="00000000" w:rsidP="00000000" w:rsidRDefault="00000000" w:rsidRPr="00000000" w14:paraId="00000185">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Un representante de cada dependencia o unidad administrativa interesada en la adquisición de los bienes o contratación del servicio, con función de vocal; IV. Un representante de la Consejería Jurídica o del área jurídica respectiva o quien lleve a cabo las funciones de esta naturaleza, con función de vocal; </w:t>
      </w:r>
    </w:p>
    <w:p w:rsidR="00000000" w:rsidDel="00000000" w:rsidP="00000000" w:rsidRDefault="00000000" w:rsidRPr="00000000" w14:paraId="00000186">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Un representante del Órgano de Control, con función de vocal; y </w:t>
      </w:r>
    </w:p>
    <w:p w:rsidR="00000000" w:rsidDel="00000000" w:rsidP="00000000" w:rsidRDefault="00000000" w:rsidRPr="00000000" w14:paraId="00000187">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Un secretario ejecutivo, que será designado por el presidente. Los organismos auxiliares y tribunales administrativos que no cuenten con unidades administrativas con funciones de contraloría y jurídico, corresponderá a los titulares designar a los servidores públicos que por su perfil realicen las funciones de jurídico, y a la Contraloría, designar al servidor público que fungirá como su representante. </w:t>
      </w:r>
    </w:p>
    <w:p w:rsidR="00000000" w:rsidDel="00000000" w:rsidP="00000000" w:rsidRDefault="00000000" w:rsidRPr="00000000" w14:paraId="00000188">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integrantes del comité tendrán derecho a voz y voto a excepción de los indicados en las fracciones V y VI, quienes sólo participarán con voz, debiendo fundamentar y motivar el sentido de su opinión, a efecto de que sea incluida en el acta correspondiente. </w:t>
      </w:r>
    </w:p>
    <w:p w:rsidR="00000000" w:rsidDel="00000000" w:rsidP="00000000" w:rsidRDefault="00000000" w:rsidRPr="00000000" w14:paraId="00000189">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empate, el presidente tendrá voto de calidad. A las sesiones del comité podrá invitarse a cualquier persona cuya intervención se considere necesaria por el secretario ejecutivo, para aclarar aspectos técnicos o administrativos relacionados con los asuntos sometidos al comité. </w:t>
      </w:r>
    </w:p>
    <w:p w:rsidR="00000000" w:rsidDel="00000000" w:rsidP="00000000" w:rsidRDefault="00000000" w:rsidRPr="00000000" w14:paraId="0000018A">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integrantes del comité designarán por escrito a sus respectivos suplentes, y sólo participarán en ausencia del titular. </w:t>
      </w:r>
    </w:p>
    <w:p w:rsidR="00000000" w:rsidDel="00000000" w:rsidP="00000000" w:rsidRDefault="00000000" w:rsidRPr="00000000" w14:paraId="0000018B">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cargos de los integrantes del comité serán honoríficos. ”(Sic)</w:t>
      </w:r>
    </w:p>
    <w:p w:rsidR="00000000" w:rsidDel="00000000" w:rsidP="00000000" w:rsidRDefault="00000000" w:rsidRPr="00000000" w14:paraId="0000018C">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virtud de lo anterior, se advierte que </w:t>
      </w:r>
      <w:r w:rsidDel="00000000" w:rsidR="00000000" w:rsidRPr="00000000">
        <w:rPr>
          <w:rFonts w:ascii="Palatino Linotype" w:cs="Palatino Linotype" w:eastAsia="Palatino Linotype" w:hAnsi="Palatino Linotype"/>
          <w:b w:val="1"/>
          <w:color w:val="000000"/>
          <w:rtl w:val="0"/>
        </w:rPr>
        <w:t xml:space="preserve">EL</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acorde a sus atribuciones, funciones, facultades o competencias se encuentra en posibilidad de celebrar contratos de obra pública y generar diverso tipo de información relativa a la ejecución de las mismas, tales como las señaladas, de manera ejemplificativa en la solicitud; por tanto, Instituto advierte la presencia de elementos suficientes para concluir que </w:t>
      </w:r>
      <w:r w:rsidDel="00000000" w:rsidR="00000000" w:rsidRPr="00000000">
        <w:rPr>
          <w:rFonts w:ascii="Palatino Linotype" w:cs="Palatino Linotype" w:eastAsia="Palatino Linotype" w:hAnsi="Palatino Linotype"/>
          <w:b w:val="1"/>
          <w:color w:val="000000"/>
          <w:rtl w:val="0"/>
        </w:rPr>
        <w:t xml:space="preserve">EL SUJETO OBLIGADO</w:t>
      </w:r>
      <w:r w:rsidDel="00000000" w:rsidR="00000000" w:rsidRPr="00000000">
        <w:rPr>
          <w:rFonts w:ascii="Palatino Linotype" w:cs="Palatino Linotype" w:eastAsia="Palatino Linotype" w:hAnsi="Palatino Linotype"/>
          <w:color w:val="000000"/>
          <w:rtl w:val="0"/>
        </w:rPr>
        <w:t xml:space="preserve">, pudiera contar en sus archivos con la información requerida por </w:t>
      </w:r>
      <w:r w:rsidDel="00000000" w:rsidR="00000000" w:rsidRPr="00000000">
        <w:rPr>
          <w:rFonts w:ascii="Palatino Linotype" w:cs="Palatino Linotype" w:eastAsia="Palatino Linotype" w:hAnsi="Palatino Linotype"/>
          <w:b w:val="1"/>
          <w:color w:val="000000"/>
          <w:rtl w:val="0"/>
        </w:rPr>
        <w:t xml:space="preserve">EL RECURRENTE</w:t>
      </w: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18D">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8E">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Lo anterior tiene relación con la Ley de Transparencia aplicable en la Entidad, que su artículo 4 dispone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18F">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90">
      <w:pPr>
        <w:spacing w:line="276" w:lineRule="auto"/>
        <w:ind w:left="567"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“Artículo 4. El derecho humano de acceso a la información pública es la prerrogativa de las personas para buscar, difundir, investigar, recabar, recibir y solicitar información pública, sin necesidad de acreditar personalidad ni interés jurídico. </w:t>
      </w:r>
      <w:r w:rsidDel="00000000" w:rsidR="00000000" w:rsidRPr="00000000">
        <w:rPr>
          <w:rFonts w:ascii="Palatino Linotype" w:cs="Palatino Linotype" w:eastAsia="Palatino Linotype" w:hAnsi="Palatino Linotype"/>
          <w:b w:val="1"/>
          <w:i w:val="1"/>
          <w:color w:val="000000"/>
          <w:sz w:val="22"/>
          <w:szCs w:val="22"/>
          <w:rtl w:val="0"/>
        </w:rPr>
        <w:t xml:space="preserve">Toda la información generada, obtenida, adquirida, transformada, administrada o en posesión de los sujetos obligados es pública y accesible de manera permanente a cualquier persona, </w:t>
      </w:r>
      <w:r w:rsidDel="00000000" w:rsidR="00000000" w:rsidRPr="00000000">
        <w:rPr>
          <w:rFonts w:ascii="Palatino Linotype" w:cs="Palatino Linotype" w:eastAsia="Palatino Linotype" w:hAnsi="Palatino Linotype"/>
          <w:i w:val="1"/>
          <w:color w:val="000000"/>
          <w:sz w:val="22"/>
          <w:szCs w:val="22"/>
          <w:rtl w:val="0"/>
        </w:rPr>
        <w:t xml:space="preserve">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como reservada temporalmente por razones de interés público, en los términos de las causas legítimas y estrictamente necesarias previstas por esta Ley. </w:t>
      </w:r>
    </w:p>
    <w:p w:rsidR="00000000" w:rsidDel="00000000" w:rsidP="00000000" w:rsidRDefault="00000000" w:rsidRPr="00000000" w14:paraId="00000191">
      <w:pPr>
        <w:spacing w:line="276" w:lineRule="auto"/>
        <w:ind w:left="567"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color w:val="000000"/>
          <w:sz w:val="22"/>
          <w:szCs w:val="22"/>
          <w:rtl w:val="0"/>
        </w:rPr>
        <w:t xml:space="preserve">.” (Sic)</w:t>
      </w:r>
    </w:p>
    <w:p w:rsidR="00000000" w:rsidDel="00000000" w:rsidP="00000000" w:rsidRDefault="00000000" w:rsidRPr="00000000" w14:paraId="00000192">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93">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Esto es, que los Sujetos Obligados tienen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194">
      <w:pPr>
        <w:spacing w:line="276" w:lineRule="auto"/>
        <w:ind w:left="567" w:right="616" w:firstLine="0"/>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195">
      <w:pPr>
        <w:spacing w:line="276" w:lineRule="auto"/>
        <w:ind w:left="567"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“Artículo 12.-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196">
      <w:pPr>
        <w:spacing w:line="276" w:lineRule="auto"/>
        <w:ind w:left="567" w:right="616"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Los sujetos obligados sólo proporcionarán la información pública que se les requiera y que obre en sus archivos y en el estado en que ésta se encuentre. </w:t>
      </w:r>
    </w:p>
    <w:p w:rsidR="00000000" w:rsidDel="00000000" w:rsidP="00000000" w:rsidRDefault="00000000" w:rsidRPr="00000000" w14:paraId="00000197">
      <w:pPr>
        <w:spacing w:line="276" w:lineRule="auto"/>
        <w:ind w:left="567"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i w:val="1"/>
          <w:color w:val="000000"/>
          <w:sz w:val="22"/>
          <w:szCs w:val="22"/>
          <w:rtl w:val="0"/>
        </w:rPr>
        <w:t xml:space="preserve">.” (Sic)</w:t>
      </w:r>
    </w:p>
    <w:p w:rsidR="00000000" w:rsidDel="00000000" w:rsidP="00000000" w:rsidRDefault="00000000" w:rsidRPr="00000000" w14:paraId="00000198">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99">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 Sujetos Obligados solo se concretaran a proporcionar la información solicitada que tengan en su poder en el estado que se encuentran, sin necesidad de concretarse al interés o términos específicos del solicitante. Sirve de apoyo a lo anterior, el criterio 03-17, expuesto por el Instituto Nacional de Transparencia, Acceso a la Información y Protección de Datos Personales, que dice:</w:t>
      </w:r>
    </w:p>
    <w:p w:rsidR="00000000" w:rsidDel="00000000" w:rsidP="00000000" w:rsidRDefault="00000000" w:rsidRPr="00000000" w14:paraId="0000019A">
      <w:pPr>
        <w:ind w:left="567" w:right="616" w:firstLine="0"/>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19B">
      <w:pPr>
        <w:ind w:left="567"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color w:val="000000"/>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19C">
      <w:pPr>
        <w:ind w:left="567" w:right="616"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19D">
      <w:pPr>
        <w:ind w:left="567"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Resoluciones: • RRA 0050/16. Instituto Nacional para la Evaluación de la Educación. 13 julio de 2016. Por unanimidad. Comisionado Ponente: Francisco Javier Acuña Llamas. • RRA 0310/16. Instituto Nacional de Transparencia, Acceso a la Información y Protección de Datos Personales. 10 de agosto de 2016. Por unanimidad. Comisionada Ponente. Areli Cano Guadiana. • RRA 1889/16. Secretaría de Hacienda y Crédito Público. 05 de octubre de 2016. Por unanimidad. Comisionada Ponente. Ximena Puente de la Mora.”</w:t>
      </w:r>
    </w:p>
    <w:p w:rsidR="00000000" w:rsidDel="00000000" w:rsidP="00000000" w:rsidRDefault="00000000" w:rsidRPr="00000000" w14:paraId="0000019E">
      <w:pPr>
        <w:ind w:left="567" w:right="616"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19F">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 </w:t>
      </w:r>
    </w:p>
    <w:p w:rsidR="00000000" w:rsidDel="00000000" w:rsidP="00000000" w:rsidRDefault="00000000" w:rsidRPr="00000000" w14:paraId="000001A0">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A1">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 </w:t>
      </w:r>
    </w:p>
    <w:p w:rsidR="00000000" w:rsidDel="00000000" w:rsidP="00000000" w:rsidRDefault="00000000" w:rsidRPr="00000000" w14:paraId="000001A2">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A3">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w:t>
      </w:r>
    </w:p>
    <w:p w:rsidR="00000000" w:rsidDel="00000000" w:rsidP="00000000" w:rsidRDefault="00000000" w:rsidRPr="00000000" w14:paraId="000001A4">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A5">
      <w:pPr>
        <w:ind w:left="567"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“Artículo 3. Para los efectos de la presente Ley se entenderá por: </w:t>
      </w:r>
    </w:p>
    <w:p w:rsidR="00000000" w:rsidDel="00000000" w:rsidP="00000000" w:rsidRDefault="00000000" w:rsidRPr="00000000" w14:paraId="000001A6">
      <w:pPr>
        <w:ind w:left="567" w:right="616"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 </w:t>
      </w:r>
    </w:p>
    <w:p w:rsidR="00000000" w:rsidDel="00000000" w:rsidP="00000000" w:rsidRDefault="00000000" w:rsidRPr="00000000" w14:paraId="000001A7">
      <w:pPr>
        <w:ind w:left="567"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XI. Documento:</w:t>
      </w:r>
      <w:r w:rsidDel="00000000" w:rsidR="00000000" w:rsidRPr="00000000">
        <w:rPr>
          <w:rFonts w:ascii="Palatino Linotype" w:cs="Palatino Linotype" w:eastAsia="Palatino Linotype" w:hAnsi="Palatino Linotype"/>
          <w:i w:val="1"/>
          <w:color w:val="000000"/>
          <w:sz w:val="22"/>
          <w:szCs w:val="22"/>
          <w:rtl w:val="0"/>
        </w:rPr>
        <w:t xml:space="preserve"> Los expedientes, reportes, estudios, actas, resoluciones, oficios, correspondencia, acuerdos, directivas, directrices, circulares, contratos, convenios, instructivos, notas, memorandos, estadísticas o bien, </w:t>
      </w:r>
      <w:r w:rsidDel="00000000" w:rsidR="00000000" w:rsidRPr="00000000">
        <w:rPr>
          <w:rFonts w:ascii="Palatino Linotype" w:cs="Palatino Linotype" w:eastAsia="Palatino Linotype" w:hAnsi="Palatino Linotype"/>
          <w:i w:val="1"/>
          <w:color w:val="000000"/>
          <w:sz w:val="22"/>
          <w:szCs w:val="22"/>
          <w:u w:val="single"/>
          <w:rtl w:val="0"/>
        </w:rPr>
        <w:t xml:space="preserve">cualquier otro registro que documente el ejercicio de las facultades, funciones y competencias de los sujetos obligados, sus servidores públicos e integrantes, sin importar su fuente o fecha de elaboración.</w:t>
      </w:r>
      <w:r w:rsidDel="00000000" w:rsidR="00000000" w:rsidRPr="00000000">
        <w:rPr>
          <w:rFonts w:ascii="Palatino Linotype" w:cs="Palatino Linotype" w:eastAsia="Palatino Linotype" w:hAnsi="Palatino Linotype"/>
          <w:i w:val="1"/>
          <w:color w:val="000000"/>
          <w:sz w:val="22"/>
          <w:szCs w:val="22"/>
          <w:rtl w:val="0"/>
        </w:rPr>
        <w:t xml:space="preserve"> Los documentos podrán estar en cualquier medio, sea escrito, impreso, sonoro, visual, electrónico, informático u holográfico…” (Sic)</w:t>
      </w:r>
    </w:p>
    <w:p w:rsidR="00000000" w:rsidDel="00000000" w:rsidP="00000000" w:rsidRDefault="00000000" w:rsidRPr="00000000" w14:paraId="000001A8">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A9">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1AA">
      <w:pPr>
        <w:ind w:left="567" w:right="616" w:firstLine="0"/>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1AB">
      <w:pPr>
        <w:ind w:left="567"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color w:val="000000"/>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w:t>
      </w:r>
    </w:p>
    <w:p w:rsidR="00000000" w:rsidDel="00000000" w:rsidP="00000000" w:rsidRDefault="00000000" w:rsidRPr="00000000" w14:paraId="000001AC">
      <w:pPr>
        <w:ind w:left="567" w:right="616"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1) Que se trate de información registrada en cualquier soporte documental, que en ejercicio de las atribuciones conferidas, sea generada por los Sujetos Obligados; </w:t>
      </w:r>
    </w:p>
    <w:p w:rsidR="00000000" w:rsidDel="00000000" w:rsidP="00000000" w:rsidRDefault="00000000" w:rsidRPr="00000000" w14:paraId="000001AD">
      <w:pPr>
        <w:ind w:left="567" w:right="616"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2) Que se trate de información registrada en cualquier soporte documental, que en ejercicio de las atribuciones conferidas, sea administrada por los Sujetos Obligados, y </w:t>
      </w:r>
    </w:p>
    <w:p w:rsidR="00000000" w:rsidDel="00000000" w:rsidP="00000000" w:rsidRDefault="00000000" w:rsidRPr="00000000" w14:paraId="000001AE">
      <w:pPr>
        <w:ind w:left="567"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3) Que se trate de información registrada en cualquier soporte documental, que en ejercicio de las atribuciones conferidas, se encuentre en posesión de los Sujetos Obligados</w:t>
      </w: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1AF">
      <w:pPr>
        <w:ind w:left="567" w:right="616" w:firstLine="0"/>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1B0">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Consecuentemente, debe considerarse que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genera, posee y administra en ejercicio de sus atribuciones la información solicitada por el particular, por lo que se encuentra en posibilidad de entregarla, tal y como lo ordenan los artículos 12, párrafo segundo y 24, último párrafo de la Ley de Transparencia supracitada.</w:t>
      </w:r>
    </w:p>
    <w:p w:rsidR="00000000" w:rsidDel="00000000" w:rsidP="00000000" w:rsidRDefault="00000000" w:rsidRPr="00000000" w14:paraId="000001B1">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B2">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Por lo anteriormente expuesto, esta Autoridad ordena la entrega de la información solicitada, en su versión pública de ser procedente. </w:t>
      </w:r>
    </w:p>
    <w:p w:rsidR="00000000" w:rsidDel="00000000" w:rsidP="00000000" w:rsidRDefault="00000000" w:rsidRPr="00000000" w14:paraId="000001B3">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4">
      <w:pPr>
        <w:spacing w:after="240" w:line="360" w:lineRule="auto"/>
        <w:jc w:val="both"/>
        <w:rPr/>
      </w:pPr>
      <w:r w:rsidDel="00000000" w:rsidR="00000000" w:rsidRPr="00000000">
        <w:rPr>
          <w:rFonts w:ascii="Palatino Linotype" w:cs="Palatino Linotype" w:eastAsia="Palatino Linotype" w:hAnsi="Palatino Linotype"/>
          <w:b w:val="1"/>
          <w:rtl w:val="0"/>
        </w:rPr>
        <w:t xml:space="preserve">Quinto. Versión Pública.</w:t>
      </w:r>
      <w:r w:rsidDel="00000000" w:rsidR="00000000" w:rsidRPr="00000000">
        <w:rPr>
          <w:rFonts w:ascii="Palatino Linotype" w:cs="Palatino Linotype" w:eastAsia="Palatino Linotype" w:hAnsi="Palatino Linotype"/>
          <w:rtl w:val="0"/>
        </w:rPr>
        <w:t xml:space="preserve"> 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r w:rsidDel="00000000" w:rsidR="00000000" w:rsidRPr="00000000">
        <w:rPr>
          <w:rtl w:val="0"/>
        </w:rPr>
      </w:r>
    </w:p>
    <w:p w:rsidR="00000000" w:rsidDel="00000000" w:rsidP="00000000" w:rsidRDefault="00000000" w:rsidRPr="00000000" w14:paraId="000001B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1B6">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B7">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1B8">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1B9">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w:t>
      </w:r>
      <w:r w:rsidDel="00000000" w:rsidR="00000000" w:rsidRPr="00000000">
        <w:rPr>
          <w:rFonts w:ascii="Palatino Linotype" w:cs="Palatino Linotype" w:eastAsia="Palatino Linotype" w:hAnsi="Palatino Linotype"/>
          <w:i w:val="1"/>
          <w:sz w:val="22"/>
          <w:szCs w:val="22"/>
          <w:rtl w:val="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BA">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1BB">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B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ésta sea clasificada como reservada o confidencial.</w:t>
      </w:r>
    </w:p>
    <w:p w:rsidR="00000000" w:rsidDel="00000000" w:rsidP="00000000" w:rsidRDefault="00000000" w:rsidRPr="00000000" w14:paraId="000001B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 </w:t>
      </w:r>
      <w:r w:rsidDel="00000000" w:rsidR="00000000" w:rsidRPr="00000000">
        <w:rPr>
          <w:rFonts w:ascii="Palatino Linotype" w:cs="Palatino Linotype" w:eastAsia="Palatino Linotype" w:hAnsi="Palatino Linotype"/>
          <w:i w:val="1"/>
          <w:sz w:val="22"/>
          <w:szCs w:val="22"/>
          <w:rtl w:val="0"/>
        </w:rPr>
        <w:t xml:space="preserve">La clasificación de la información se llevará a cabo en el momento en que:</w:t>
      </w:r>
    </w:p>
    <w:p w:rsidR="00000000" w:rsidDel="00000000" w:rsidP="00000000" w:rsidRDefault="00000000" w:rsidRPr="00000000" w14:paraId="000001BE">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1BF">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1C0">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1C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C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C3">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1C4">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C5">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1C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C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C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C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Entorno a lo que aquí nos interesa, los Lineamientos Quincuagésimo sexto, Quincuagésimo séptimo y Quincuagésimo octavo, establecen lo siguiente:</w:t>
      </w:r>
    </w:p>
    <w:p w:rsidR="00000000" w:rsidDel="00000000" w:rsidP="00000000" w:rsidRDefault="00000000" w:rsidRPr="00000000" w14:paraId="000001C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Quincuagésimo sexto</w:t>
      </w:r>
      <w:r w:rsidDel="00000000" w:rsidR="00000000" w:rsidRPr="00000000">
        <w:rPr>
          <w:rFonts w:ascii="Palatino Linotype" w:cs="Palatino Linotype" w:eastAsia="Palatino Linotype" w:hAnsi="Palatino Linotype"/>
          <w:i w:val="1"/>
          <w:sz w:val="22"/>
          <w:szCs w:val="22"/>
          <w:rtl w:val="0"/>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000000" w:rsidDel="00000000" w:rsidP="00000000" w:rsidRDefault="00000000" w:rsidRPr="00000000" w14:paraId="000001C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1CC">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relativa a las Obligaciones de Transparencia que contempla el Título V de la Ley General y las demás disposiciones legales aplicables; </w:t>
      </w:r>
    </w:p>
    <w:p w:rsidR="00000000" w:rsidDel="00000000" w:rsidP="00000000" w:rsidRDefault="00000000" w:rsidRPr="00000000" w14:paraId="000001CD">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nombre de los servidores públicos en los documentos, y sus firmas autógrafas, cuando sean utilizados en el ejercicio de las facultades conferidas para el desempeño del servicio público, y </w:t>
      </w:r>
    </w:p>
    <w:p w:rsidR="00000000" w:rsidDel="00000000" w:rsidP="00000000" w:rsidRDefault="00000000" w:rsidRPr="00000000" w14:paraId="000001CE">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000000" w:rsidDel="00000000" w:rsidP="00000000" w:rsidRDefault="00000000" w:rsidRPr="00000000" w14:paraId="000001C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internaciones suscritos por el Estado mexicano. </w:t>
      </w:r>
    </w:p>
    <w:p w:rsidR="00000000" w:rsidDel="00000000" w:rsidP="00000000" w:rsidRDefault="00000000" w:rsidRPr="00000000" w14:paraId="000001D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octavo</w:t>
      </w:r>
      <w:r w:rsidDel="00000000" w:rsidR="00000000" w:rsidRPr="00000000">
        <w:rPr>
          <w:rFonts w:ascii="Palatino Linotype" w:cs="Palatino Linotype" w:eastAsia="Palatino Linotype" w:hAnsi="Palatino Linotype"/>
          <w:i w:val="1"/>
          <w:sz w:val="22"/>
          <w:szCs w:val="22"/>
          <w:rtl w:val="0"/>
        </w:rPr>
        <w:t xml:space="preserve">. Los sujetos obligados garantizarán que los sistemas o medios empleados para eliminar la información en las versiones públicas no permitan la recuperación o visualización de la misma.”(Sic)</w:t>
      </w:r>
    </w:p>
    <w:p w:rsidR="00000000" w:rsidDel="00000000" w:rsidP="00000000" w:rsidRDefault="00000000" w:rsidRPr="00000000" w14:paraId="000001D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1D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relación directa con ello, los Lineamientos en estudio establecen los formatos para la clasificación parcial y total de los documentos, que atienden a lo siguiente:</w:t>
      </w:r>
    </w:p>
    <w:tbl>
      <w:tblPr>
        <w:tblStyle w:val="Table1"/>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134"/>
        <w:gridCol w:w="3119"/>
        <w:gridCol w:w="1129"/>
        <w:gridCol w:w="3446"/>
        <w:tblGridChange w:id="0">
          <w:tblGrid>
            <w:gridCol w:w="1134"/>
            <w:gridCol w:w="3119"/>
            <w:gridCol w:w="1129"/>
            <w:gridCol w:w="3446"/>
          </w:tblGrid>
        </w:tblGridChange>
      </w:tblGrid>
      <w:tr>
        <w:trPr>
          <w:cantSplit w:val="0"/>
          <w:tblHeader w:val="0"/>
        </w:trPr>
        <w:tc>
          <w:tcPr>
            <w:gridSpan w:val="2"/>
            <w:tcBorders>
              <w:top w:color="000000" w:space="0" w:sz="0" w:val="nil"/>
              <w:left w:color="000000" w:space="0" w:sz="0" w:val="nil"/>
              <w:right w:color="000000" w:space="0" w:sz="0" w:val="nil"/>
            </w:tcBorders>
          </w:tcPr>
          <w:p w:rsidR="00000000" w:rsidDel="00000000" w:rsidP="00000000" w:rsidRDefault="00000000" w:rsidRPr="00000000" w14:paraId="000001D3">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Parcial</w:t>
            </w:r>
          </w:p>
        </w:tc>
        <w:tc>
          <w:tcPr>
            <w:gridSpan w:val="2"/>
            <w:tcBorders>
              <w:top w:color="000000" w:space="0" w:sz="0" w:val="nil"/>
              <w:left w:color="000000" w:space="0" w:sz="0" w:val="nil"/>
              <w:right w:color="000000" w:space="0" w:sz="0" w:val="nil"/>
            </w:tcBorders>
          </w:tcPr>
          <w:p w:rsidR="00000000" w:rsidDel="00000000" w:rsidP="00000000" w:rsidRDefault="00000000" w:rsidRPr="00000000" w14:paraId="000001D5">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Total</w:t>
            </w:r>
          </w:p>
        </w:tc>
      </w:tr>
      <w:tr>
        <w:trPr>
          <w:cantSplit w:val="0"/>
          <w:tblHeader w:val="0"/>
        </w:trPr>
        <w:tc>
          <w:tcPr/>
          <w:p w:rsidR="00000000" w:rsidDel="00000000" w:rsidP="00000000" w:rsidRDefault="00000000" w:rsidRPr="00000000" w14:paraId="000001D7">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Concepto</w:t>
            </w:r>
          </w:p>
        </w:tc>
        <w:tc>
          <w:tcPr/>
          <w:p w:rsidR="00000000" w:rsidDel="00000000" w:rsidP="00000000" w:rsidRDefault="00000000" w:rsidRPr="00000000" w14:paraId="000001D8">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Dónde</w:t>
            </w:r>
          </w:p>
        </w:tc>
        <w:tc>
          <w:tcPr/>
          <w:p w:rsidR="00000000" w:rsidDel="00000000" w:rsidP="00000000" w:rsidRDefault="00000000" w:rsidRPr="00000000" w14:paraId="000001D9">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Concepto</w:t>
            </w:r>
          </w:p>
        </w:tc>
        <w:tc>
          <w:tcPr/>
          <w:p w:rsidR="00000000" w:rsidDel="00000000" w:rsidP="00000000" w:rsidRDefault="00000000" w:rsidRPr="00000000" w14:paraId="000001DA">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Dónde</w:t>
            </w:r>
          </w:p>
        </w:tc>
      </w:tr>
      <w:tr>
        <w:trPr>
          <w:cantSplit w:val="0"/>
          <w:tblHeader w:val="0"/>
        </w:trPr>
        <w:tc>
          <w:tcPr>
            <w:gridSpan w:val="4"/>
          </w:tcPr>
          <w:p w:rsidR="00000000" w:rsidDel="00000000" w:rsidP="00000000" w:rsidRDefault="00000000" w:rsidRPr="00000000" w14:paraId="000001DB">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Sello oficial o logotipo del sujeto obligado</w:t>
            </w:r>
          </w:p>
        </w:tc>
      </w:tr>
      <w:tr>
        <w:trPr>
          <w:cantSplit w:val="0"/>
          <w:tblHeader w:val="0"/>
        </w:trPr>
        <w:tc>
          <w:tcPr/>
          <w:p w:rsidR="00000000" w:rsidDel="00000000" w:rsidP="00000000" w:rsidRDefault="00000000" w:rsidRPr="00000000" w14:paraId="000001DF">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Fecha de clasificación</w:t>
            </w:r>
          </w:p>
        </w:tc>
        <w:tc>
          <w:tcPr/>
          <w:p w:rsidR="00000000" w:rsidDel="00000000" w:rsidP="00000000" w:rsidRDefault="00000000" w:rsidRPr="00000000" w14:paraId="000001E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la que el Comité de Transparencia confirmó la clasificación del documento, en su caso.</w:t>
            </w:r>
          </w:p>
        </w:tc>
        <w:tc>
          <w:tcPr/>
          <w:p w:rsidR="00000000" w:rsidDel="00000000" w:rsidP="00000000" w:rsidRDefault="00000000" w:rsidRPr="00000000" w14:paraId="000001E1">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Fecha de clasificación</w:t>
            </w:r>
          </w:p>
        </w:tc>
        <w:tc>
          <w:tcPr/>
          <w:p w:rsidR="00000000" w:rsidDel="00000000" w:rsidP="00000000" w:rsidRDefault="00000000" w:rsidRPr="00000000" w14:paraId="000001E2">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la que el Comité de Transparencia confirmó la clasificación del documento, en su caso.</w:t>
            </w:r>
          </w:p>
        </w:tc>
      </w:tr>
      <w:tr>
        <w:trPr>
          <w:cantSplit w:val="0"/>
          <w:tblHeader w:val="0"/>
        </w:trPr>
        <w:tc>
          <w:tcPr/>
          <w:p w:rsidR="00000000" w:rsidDel="00000000" w:rsidP="00000000" w:rsidRDefault="00000000" w:rsidRPr="00000000" w14:paraId="000001E3">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Área</w:t>
            </w:r>
          </w:p>
        </w:tc>
        <w:tc>
          <w:tcPr/>
          <w:p w:rsidR="00000000" w:rsidDel="00000000" w:rsidP="00000000" w:rsidRDefault="00000000" w:rsidRPr="00000000" w14:paraId="000001E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área del cual es titular quien clasifica.</w:t>
            </w:r>
          </w:p>
        </w:tc>
        <w:tc>
          <w:tcPr/>
          <w:p w:rsidR="00000000" w:rsidDel="00000000" w:rsidP="00000000" w:rsidRDefault="00000000" w:rsidRPr="00000000" w14:paraId="000001E5">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Área</w:t>
            </w:r>
          </w:p>
        </w:tc>
        <w:tc>
          <w:tcPr/>
          <w:p w:rsidR="00000000" w:rsidDel="00000000" w:rsidP="00000000" w:rsidRDefault="00000000" w:rsidRPr="00000000" w14:paraId="000001E6">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área de la cual es el titular quien clasifica.</w:t>
            </w:r>
          </w:p>
        </w:tc>
      </w:tr>
      <w:tr>
        <w:trPr>
          <w:cantSplit w:val="0"/>
          <w:tblHeader w:val="0"/>
        </w:trPr>
        <w:tc>
          <w:tcPr/>
          <w:p w:rsidR="00000000" w:rsidDel="00000000" w:rsidP="00000000" w:rsidRDefault="00000000" w:rsidRPr="00000000" w14:paraId="000001E7">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Información reservada</w:t>
            </w:r>
          </w:p>
        </w:tc>
        <w:tc>
          <w:tcPr/>
          <w:p w:rsidR="00000000" w:rsidDel="00000000" w:rsidP="00000000" w:rsidRDefault="00000000" w:rsidRPr="00000000" w14:paraId="000001E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p w:rsidR="00000000" w:rsidDel="00000000" w:rsidP="00000000" w:rsidRDefault="00000000" w:rsidRPr="00000000" w14:paraId="000001E9">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Reservado</w:t>
            </w:r>
          </w:p>
        </w:tc>
        <w:tc>
          <w:tcPr/>
          <w:p w:rsidR="00000000" w:rsidDel="00000000" w:rsidP="00000000" w:rsidRDefault="00000000" w:rsidRPr="00000000" w14:paraId="000001EA">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Leyenda de información RESERVADA.</w:t>
            </w:r>
          </w:p>
        </w:tc>
      </w:tr>
      <w:tr>
        <w:trPr>
          <w:cantSplit w:val="0"/>
          <w:tblHeader w:val="0"/>
        </w:trPr>
        <w:tc>
          <w:tcPr/>
          <w:p w:rsidR="00000000" w:rsidDel="00000000" w:rsidP="00000000" w:rsidRDefault="00000000" w:rsidRPr="00000000" w14:paraId="000001EB">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Fundamento legal</w:t>
            </w:r>
          </w:p>
        </w:tc>
        <w:tc>
          <w:tcPr/>
          <w:p w:rsidR="00000000" w:rsidDel="00000000" w:rsidP="00000000" w:rsidRDefault="00000000" w:rsidRPr="00000000" w14:paraId="000001E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ordenamiento, el o los artículos, fracción(es), párrafo(s) con base en los cuales se sustente la reserva.</w:t>
            </w:r>
          </w:p>
        </w:tc>
        <w:tc>
          <w:tcPr/>
          <w:p w:rsidR="00000000" w:rsidDel="00000000" w:rsidP="00000000" w:rsidRDefault="00000000" w:rsidRPr="00000000" w14:paraId="000001ED">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Periodo de reserva</w:t>
            </w:r>
          </w:p>
        </w:tc>
        <w:tc>
          <w:tcPr/>
          <w:p w:rsidR="00000000" w:rsidDel="00000000" w:rsidP="00000000" w:rsidRDefault="00000000" w:rsidRPr="00000000" w14:paraId="000001EE">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el número de años o meses por los que se mantendrá el documento o las partes del mismo como reservado. Si el expediente no es reservado, sino confidencial, deberá tacharse este apartado.</w:t>
            </w:r>
          </w:p>
        </w:tc>
      </w:tr>
      <w:tr>
        <w:trPr>
          <w:cantSplit w:val="0"/>
          <w:tblHeader w:val="0"/>
        </w:trPr>
        <w:tc>
          <w:tcPr/>
          <w:p w:rsidR="00000000" w:rsidDel="00000000" w:rsidP="00000000" w:rsidRDefault="00000000" w:rsidRPr="00000000" w14:paraId="000001EF">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Ampliación del periodo de reserva</w:t>
            </w:r>
          </w:p>
        </w:tc>
        <w:tc>
          <w:tcPr/>
          <w:p w:rsidR="00000000" w:rsidDel="00000000" w:rsidP="00000000" w:rsidRDefault="00000000" w:rsidRPr="00000000" w14:paraId="000001F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de haber solicitado la ampliación del periodo de reserva originalmente establecido, se deberá anotar el número de años o meses por los que se amplía la reserva.</w:t>
            </w:r>
          </w:p>
        </w:tc>
        <w:tc>
          <w:tcPr/>
          <w:p w:rsidR="00000000" w:rsidDel="00000000" w:rsidP="00000000" w:rsidRDefault="00000000" w:rsidRPr="00000000" w14:paraId="000001F1">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Fundamento legal</w:t>
            </w:r>
          </w:p>
        </w:tc>
        <w:tc>
          <w:tcPr/>
          <w:p w:rsidR="00000000" w:rsidDel="00000000" w:rsidP="00000000" w:rsidRDefault="00000000" w:rsidRPr="00000000" w14:paraId="000001F2">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 de los ordenamientos jurídicos, el o los artículos, fracción(es), párrafo(s) con base en los cuales se sustenta la reserva.</w:t>
            </w:r>
          </w:p>
        </w:tc>
      </w:tr>
      <w:tr>
        <w:trPr>
          <w:cantSplit w:val="0"/>
          <w:tblHeader w:val="0"/>
        </w:trPr>
        <w:tc>
          <w:tcPr/>
          <w:p w:rsidR="00000000" w:rsidDel="00000000" w:rsidP="00000000" w:rsidRDefault="00000000" w:rsidRPr="00000000" w14:paraId="000001F3">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Confidencial</w:t>
            </w:r>
          </w:p>
        </w:tc>
        <w:tc>
          <w:tcPr/>
          <w:p w:rsidR="00000000" w:rsidDel="00000000" w:rsidP="00000000" w:rsidRDefault="00000000" w:rsidRPr="00000000" w14:paraId="000001F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p w:rsidR="00000000" w:rsidDel="00000000" w:rsidP="00000000" w:rsidRDefault="00000000" w:rsidRPr="00000000" w14:paraId="000001F5">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Ampliación del periodo de reserva</w:t>
            </w:r>
          </w:p>
        </w:tc>
        <w:tc>
          <w:tcPr/>
          <w:p w:rsidR="00000000" w:rsidDel="00000000" w:rsidP="00000000" w:rsidRDefault="00000000" w:rsidRPr="00000000" w14:paraId="000001F6">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de haber solicitado la ampliación del periodo de reserva originalmente establecido, se deberá anotar el número de años o meses por los que se amplía la reserva.</w:t>
            </w:r>
          </w:p>
        </w:tc>
      </w:tr>
      <w:tr>
        <w:trPr>
          <w:cantSplit w:val="0"/>
          <w:tblHeader w:val="0"/>
        </w:trPr>
        <w:tc>
          <w:tcPr/>
          <w:p w:rsidR="00000000" w:rsidDel="00000000" w:rsidP="00000000" w:rsidRDefault="00000000" w:rsidRPr="00000000" w14:paraId="000001F7">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Fundamento legal</w:t>
            </w:r>
          </w:p>
        </w:tc>
        <w:tc>
          <w:tcPr/>
          <w:p w:rsidR="00000000" w:rsidDel="00000000" w:rsidP="00000000" w:rsidRDefault="00000000" w:rsidRPr="00000000" w14:paraId="000001F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ordenamiento, el o los artículos, fracción(es), párrafo(s) con base en los cuales se sustente la confidencialidad.</w:t>
            </w:r>
          </w:p>
        </w:tc>
        <w:tc>
          <w:tcPr/>
          <w:p w:rsidR="00000000" w:rsidDel="00000000" w:rsidP="00000000" w:rsidRDefault="00000000" w:rsidRPr="00000000" w14:paraId="000001F9">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Confidencial</w:t>
            </w:r>
          </w:p>
        </w:tc>
        <w:tc>
          <w:tcPr/>
          <w:p w:rsidR="00000000" w:rsidDel="00000000" w:rsidP="00000000" w:rsidRDefault="00000000" w:rsidRPr="00000000" w14:paraId="000001FA">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Leyenda de información CONFIDENCIAL.</w:t>
            </w:r>
          </w:p>
        </w:tc>
      </w:tr>
      <w:tr>
        <w:trPr>
          <w:cantSplit w:val="0"/>
          <w:tblHeader w:val="0"/>
        </w:trPr>
        <w:tc>
          <w:tcPr/>
          <w:p w:rsidR="00000000" w:rsidDel="00000000" w:rsidP="00000000" w:rsidRDefault="00000000" w:rsidRPr="00000000" w14:paraId="000001FB">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del titular del área</w:t>
            </w:r>
          </w:p>
        </w:tc>
        <w:tc>
          <w:tcPr/>
          <w:p w:rsidR="00000000" w:rsidDel="00000000" w:rsidP="00000000" w:rsidRDefault="00000000" w:rsidRPr="00000000" w14:paraId="000001F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clasifica.</w:t>
            </w:r>
          </w:p>
        </w:tc>
        <w:tc>
          <w:tcPr/>
          <w:p w:rsidR="00000000" w:rsidDel="00000000" w:rsidP="00000000" w:rsidRDefault="00000000" w:rsidRPr="00000000" w14:paraId="000001FD">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Fundamento legal</w:t>
            </w:r>
          </w:p>
        </w:tc>
        <w:tc>
          <w:tcPr/>
          <w:p w:rsidR="00000000" w:rsidDel="00000000" w:rsidP="00000000" w:rsidRDefault="00000000" w:rsidRPr="00000000" w14:paraId="000001FE">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 de los ordenamientos jurídicos, el o los artículos, fracción(es), párrafo(s) con base en los cuales se sustente la confidencialidad.</w:t>
            </w:r>
          </w:p>
        </w:tc>
      </w:tr>
      <w:tr>
        <w:trPr>
          <w:cantSplit w:val="0"/>
          <w:tblHeader w:val="0"/>
        </w:trPr>
        <w:tc>
          <w:tcPr/>
          <w:p w:rsidR="00000000" w:rsidDel="00000000" w:rsidP="00000000" w:rsidRDefault="00000000" w:rsidRPr="00000000" w14:paraId="000001FF">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Fecha de desclasificación</w:t>
            </w:r>
          </w:p>
        </w:tc>
        <w:tc>
          <w:tcPr/>
          <w:p w:rsidR="00000000" w:rsidDel="00000000" w:rsidP="00000000" w:rsidRDefault="00000000" w:rsidRPr="00000000" w14:paraId="0000020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que se desclasifica el documento.</w:t>
            </w:r>
          </w:p>
        </w:tc>
        <w:tc>
          <w:tcPr/>
          <w:p w:rsidR="00000000" w:rsidDel="00000000" w:rsidP="00000000" w:rsidRDefault="00000000" w:rsidRPr="00000000" w14:paraId="00000201">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Rúbrica del titular del área</w:t>
            </w:r>
          </w:p>
        </w:tc>
        <w:tc>
          <w:tcPr/>
          <w:p w:rsidR="00000000" w:rsidDel="00000000" w:rsidP="00000000" w:rsidRDefault="00000000" w:rsidRPr="00000000" w14:paraId="00000202">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clasifica.</w:t>
            </w:r>
          </w:p>
        </w:tc>
      </w:tr>
      <w:tr>
        <w:trPr>
          <w:cantSplit w:val="0"/>
          <w:tblHeader w:val="0"/>
        </w:trPr>
        <w:tc>
          <w:tcPr/>
          <w:p w:rsidR="00000000" w:rsidDel="00000000" w:rsidP="00000000" w:rsidRDefault="00000000" w:rsidRPr="00000000" w14:paraId="00000203">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y cargo del servidor público</w:t>
            </w:r>
          </w:p>
        </w:tc>
        <w:tc>
          <w:tcPr/>
          <w:p w:rsidR="00000000" w:rsidDel="00000000" w:rsidP="00000000" w:rsidRDefault="00000000" w:rsidRPr="00000000" w14:paraId="0000020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desclasifica.</w:t>
            </w:r>
          </w:p>
        </w:tc>
        <w:tc>
          <w:tcPr/>
          <w:p w:rsidR="00000000" w:rsidDel="00000000" w:rsidP="00000000" w:rsidRDefault="00000000" w:rsidRPr="00000000" w14:paraId="00000205">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Fecha de desclasificación</w:t>
            </w:r>
          </w:p>
        </w:tc>
        <w:tc>
          <w:tcPr/>
          <w:p w:rsidR="00000000" w:rsidDel="00000000" w:rsidP="00000000" w:rsidRDefault="00000000" w:rsidRPr="00000000" w14:paraId="00000206">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que se desclasifica.</w:t>
            </w:r>
          </w:p>
        </w:tc>
      </w:tr>
      <w:tr>
        <w:trPr>
          <w:cantSplit w:val="0"/>
          <w:tblHeader w:val="0"/>
        </w:trPr>
        <w:tc>
          <w:tcPr/>
          <w:p w:rsidR="00000000" w:rsidDel="00000000" w:rsidP="00000000" w:rsidRDefault="00000000" w:rsidRPr="00000000" w14:paraId="00000207">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208">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209">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Partes o secciones reservadas o confidenciales</w:t>
            </w:r>
          </w:p>
        </w:tc>
        <w:tc>
          <w:tcPr/>
          <w:p w:rsidR="00000000" w:rsidDel="00000000" w:rsidP="00000000" w:rsidRDefault="00000000" w:rsidRPr="00000000" w14:paraId="0000020A">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que una vez desclasificado el expediente, subsistanpartes o secciones del mismo reservadas o confidenciales, se señalará este hecho.</w:t>
            </w:r>
          </w:p>
        </w:tc>
      </w:tr>
      <w:tr>
        <w:trPr>
          <w:cantSplit w:val="0"/>
          <w:tblHeader w:val="0"/>
        </w:trPr>
        <w:tc>
          <w:tcPr/>
          <w:p w:rsidR="00000000" w:rsidDel="00000000" w:rsidP="00000000" w:rsidRDefault="00000000" w:rsidRPr="00000000" w14:paraId="0000020B">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20C">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20D">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Rúbrica y cargo del servidor público</w:t>
            </w:r>
          </w:p>
        </w:tc>
        <w:tc>
          <w:tcPr/>
          <w:p w:rsidR="00000000" w:rsidDel="00000000" w:rsidP="00000000" w:rsidRDefault="00000000" w:rsidRPr="00000000" w14:paraId="0000020E">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desclasifica.</w:t>
            </w:r>
          </w:p>
        </w:tc>
      </w:tr>
    </w:tbl>
    <w:p w:rsidR="00000000" w:rsidDel="00000000" w:rsidP="00000000" w:rsidRDefault="00000000" w:rsidRPr="00000000" w14:paraId="0000020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Efectivamente, cuando se clasifica información como confidencial es importante someterlo al Comité de Transparencia, quien debe confirmar, modificar o revocar la clasificación.</w:t>
      </w:r>
    </w:p>
    <w:p w:rsidR="00000000" w:rsidDel="00000000" w:rsidP="00000000" w:rsidRDefault="00000000" w:rsidRPr="00000000" w14:paraId="0000021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rsidR="00000000" w:rsidDel="00000000" w:rsidP="00000000" w:rsidRDefault="00000000" w:rsidRPr="00000000" w14:paraId="0000021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vigésimo noveno, trigésimo y trigésimo primero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rsidR="00000000" w:rsidDel="00000000" w:rsidP="00000000" w:rsidRDefault="00000000" w:rsidRPr="00000000" w14:paraId="00000212">
      <w:pPr>
        <w:numPr>
          <w:ilvl w:val="0"/>
          <w:numId w:val="5"/>
        </w:numPr>
        <w:pBdr>
          <w:top w:space="0" w:sz="0" w:val="nil"/>
          <w:left w:space="0" w:sz="0" w:val="nil"/>
          <w:bottom w:space="0" w:sz="0" w:val="nil"/>
          <w:right w:space="0" w:sz="0" w:val="nil"/>
          <w:between w:space="0" w:sz="0" w:val="nil"/>
        </w:pBdr>
        <w:spacing w:after="240" w:before="240" w:line="360" w:lineRule="auto"/>
        <w:ind w:left="720" w:hanging="360"/>
        <w:jc w:val="center"/>
        <w:rPr>
          <w:rFonts w:ascii="Palatino Linotype" w:cs="Palatino Linotype" w:eastAsia="Palatino Linotype" w:hAnsi="Palatino Linotype"/>
          <w:b w:val="1"/>
          <w:color w:val="000000"/>
          <w:sz w:val="22"/>
          <w:szCs w:val="22"/>
        </w:rPr>
      </w:pPr>
      <w:bookmarkStart w:colFirst="0" w:colLast="0" w:name="_heading=h.3znysh7" w:id="4"/>
      <w:bookmarkEnd w:id="4"/>
      <w:r w:rsidDel="00000000" w:rsidR="00000000" w:rsidRPr="00000000">
        <w:rPr>
          <w:rFonts w:ascii="Palatino Linotype" w:cs="Palatino Linotype" w:eastAsia="Palatino Linotype" w:hAnsi="Palatino Linotype"/>
          <w:b w:val="1"/>
          <w:color w:val="000000"/>
          <w:sz w:val="22"/>
          <w:szCs w:val="22"/>
          <w:rtl w:val="0"/>
        </w:rPr>
        <w:t xml:space="preserve">R E S U E L V E:</w:t>
      </w:r>
    </w:p>
    <w:p w:rsidR="00000000" w:rsidDel="00000000" w:rsidP="00000000" w:rsidRDefault="00000000" w:rsidRPr="00000000" w14:paraId="00000213">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 </w:t>
      </w:r>
      <w:r w:rsidDel="00000000" w:rsidR="00000000" w:rsidRPr="00000000">
        <w:rPr>
          <w:rFonts w:ascii="Palatino Linotype" w:cs="Palatino Linotype" w:eastAsia="Palatino Linotype" w:hAnsi="Palatino Linotype"/>
          <w:b w:val="1"/>
          <w:rtl w:val="0"/>
        </w:rPr>
        <w:t xml:space="preserve">fundadas</w:t>
      </w:r>
      <w:r w:rsidDel="00000000" w:rsidR="00000000" w:rsidRPr="00000000">
        <w:rPr>
          <w:rFonts w:ascii="Palatino Linotype" w:cs="Palatino Linotype" w:eastAsia="Palatino Linotype" w:hAnsi="Palatino Linotype"/>
          <w:rtl w:val="0"/>
        </w:rPr>
        <w:t xml:space="preserve"> las razones o motivos de inconformidad planteados por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04734/INFOEM/ICR-67/IP/RR/2020</w:t>
      </w:r>
      <w:r w:rsidDel="00000000" w:rsidR="00000000" w:rsidRPr="00000000">
        <w:rPr>
          <w:rFonts w:ascii="Palatino Linotype" w:cs="Palatino Linotype" w:eastAsia="Palatino Linotype" w:hAnsi="Palatino Linotype"/>
          <w:rtl w:val="0"/>
        </w:rPr>
        <w:t xml:space="preserve">, en términos del </w:t>
      </w:r>
      <w:r w:rsidDel="00000000" w:rsidR="00000000" w:rsidRPr="00000000">
        <w:rPr>
          <w:rFonts w:ascii="Palatino Linotype" w:cs="Palatino Linotype" w:eastAsia="Palatino Linotype" w:hAnsi="Palatino Linotype"/>
          <w:b w:val="1"/>
          <w:rtl w:val="0"/>
        </w:rPr>
        <w:t xml:space="preserve">Considerando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de la presente resolución.</w:t>
      </w:r>
    </w:p>
    <w:p w:rsidR="00000000" w:rsidDel="00000000" w:rsidP="00000000" w:rsidRDefault="00000000" w:rsidRPr="00000000" w14:paraId="0000021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w:t>
      </w:r>
      <w:r w:rsidDel="00000000" w:rsidR="00000000" w:rsidRPr="00000000">
        <w:rPr>
          <w:rFonts w:ascii="Palatino Linotype" w:cs="Palatino Linotype" w:eastAsia="Palatino Linotype" w:hAnsi="Palatino Linotype"/>
          <w:b w:val="1"/>
          <w:rtl w:val="0"/>
        </w:rPr>
        <w:t xml:space="preserve"> ORDENA </w:t>
      </w:r>
      <w:r w:rsidDel="00000000" w:rsidR="00000000" w:rsidRPr="00000000">
        <w:rPr>
          <w:rFonts w:ascii="Palatino Linotype" w:cs="Palatino Linotype" w:eastAsia="Palatino Linotype" w:hAnsi="Palatino Linotype"/>
          <w:rtl w:val="0"/>
        </w:rPr>
        <w:t xml:space="preserve">al Sujeto Obligado, atienda la solicitud de información número </w:t>
      </w:r>
      <w:r w:rsidDel="00000000" w:rsidR="00000000" w:rsidRPr="00000000">
        <w:rPr>
          <w:rFonts w:ascii="Palatino Linotype" w:cs="Palatino Linotype" w:eastAsia="Palatino Linotype" w:hAnsi="Palatino Linotype"/>
          <w:b w:val="1"/>
          <w:rtl w:val="0"/>
        </w:rPr>
        <w:t xml:space="preserve">00129/CAPULHUA/IP/2020, </w:t>
      </w:r>
      <w:r w:rsidDel="00000000" w:rsidR="00000000" w:rsidRPr="00000000">
        <w:rPr>
          <w:rFonts w:ascii="Palatino Linotype" w:cs="Palatino Linotype" w:eastAsia="Palatino Linotype" w:hAnsi="Palatino Linotype"/>
          <w:rtl w:val="0"/>
        </w:rPr>
        <w:t xml:space="preserve">y haga entrega vía SAIMEX, de ser procedente  en versión pública, en términos del Considerando CUARTO y QUINTO de esta resolución, del documento o documentos en donde conste lo siguiente:</w:t>
      </w:r>
    </w:p>
    <w:p w:rsidR="00000000" w:rsidDel="00000000" w:rsidP="00000000" w:rsidRDefault="00000000" w:rsidRPr="00000000" w14:paraId="0000021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Sobre las canchas de futbol rápido, vigente al catorce de septiembre del año dos mil veinte:</w:t>
      </w:r>
      <w:r w:rsidDel="00000000" w:rsidR="00000000" w:rsidRPr="00000000">
        <w:rPr>
          <w:rFonts w:ascii="Verdana" w:cs="Verdana" w:eastAsia="Verdana" w:hAnsi="Verdana"/>
          <w:color w:val="000000"/>
          <w:sz w:val="14"/>
          <w:szCs w:val="14"/>
          <w:rtl w:val="0"/>
        </w:rPr>
        <w:t xml:space="preserve"> </w:t>
      </w:r>
      <w:r w:rsidDel="00000000" w:rsidR="00000000" w:rsidRPr="00000000">
        <w:rPr>
          <w:rtl w:val="0"/>
        </w:rPr>
      </w:r>
    </w:p>
    <w:p w:rsidR="00000000" w:rsidDel="00000000" w:rsidP="00000000" w:rsidRDefault="00000000" w:rsidRPr="00000000" w14:paraId="00000216">
      <w:pPr>
        <w:numPr>
          <w:ilvl w:val="0"/>
          <w:numId w:val="4"/>
        </w:numPr>
        <w:pBdr>
          <w:top w:space="0" w:sz="0" w:val="nil"/>
          <w:left w:space="0" w:sz="0" w:val="nil"/>
          <w:bottom w:space="0" w:sz="0" w:val="nil"/>
          <w:right w:space="0" w:sz="0" w:val="nil"/>
          <w:between w:space="0" w:sz="0" w:val="nil"/>
        </w:pBdr>
        <w:ind w:left="720" w:right="425" w:hanging="36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color w:val="000000"/>
          <w:rtl w:val="0"/>
        </w:rPr>
        <w:t xml:space="preserve">El número de canchas que tiene el municipio </w:t>
      </w:r>
      <w:r w:rsidDel="00000000" w:rsidR="00000000" w:rsidRPr="00000000">
        <w:rPr>
          <w:rFonts w:ascii="Palatino Linotype" w:cs="Palatino Linotype" w:eastAsia="Palatino Linotype" w:hAnsi="Palatino Linotype"/>
          <w:i w:val="1"/>
          <w:rtl w:val="0"/>
        </w:rPr>
        <w:t xml:space="preserve">(así como, de ser el caso su nombre o denominación).</w:t>
      </w:r>
      <w:r w:rsidDel="00000000" w:rsidR="00000000" w:rsidRPr="00000000">
        <w:rPr>
          <w:rtl w:val="0"/>
        </w:rPr>
      </w:r>
    </w:p>
    <w:p w:rsidR="00000000" w:rsidDel="00000000" w:rsidP="00000000" w:rsidRDefault="00000000" w:rsidRPr="00000000" w14:paraId="00000217">
      <w:pPr>
        <w:numPr>
          <w:ilvl w:val="0"/>
          <w:numId w:val="4"/>
        </w:numPr>
        <w:pBdr>
          <w:top w:space="0" w:sz="0" w:val="nil"/>
          <w:left w:space="0" w:sz="0" w:val="nil"/>
          <w:bottom w:space="0" w:sz="0" w:val="nil"/>
          <w:right w:space="0" w:sz="0" w:val="nil"/>
          <w:between w:space="0" w:sz="0" w:val="nil"/>
        </w:pBdr>
        <w:ind w:left="720" w:right="425" w:hanging="36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color w:val="000000"/>
          <w:rtl w:val="0"/>
        </w:rPr>
        <w:t xml:space="preserve">Dirección de cada una de ellas </w:t>
      </w:r>
      <w:r w:rsidDel="00000000" w:rsidR="00000000" w:rsidRPr="00000000">
        <w:rPr>
          <w:rtl w:val="0"/>
        </w:rPr>
      </w:r>
    </w:p>
    <w:p w:rsidR="00000000" w:rsidDel="00000000" w:rsidP="00000000" w:rsidRDefault="00000000" w:rsidRPr="00000000" w14:paraId="00000218">
      <w:pPr>
        <w:numPr>
          <w:ilvl w:val="0"/>
          <w:numId w:val="4"/>
        </w:numPr>
        <w:pBdr>
          <w:top w:space="0" w:sz="0" w:val="nil"/>
          <w:left w:space="0" w:sz="0" w:val="nil"/>
          <w:bottom w:space="0" w:sz="0" w:val="nil"/>
          <w:right w:space="0" w:sz="0" w:val="nil"/>
          <w:between w:space="0" w:sz="0" w:val="nil"/>
        </w:pBdr>
        <w:ind w:left="720" w:right="425" w:hanging="36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color w:val="000000"/>
          <w:rtl w:val="0"/>
        </w:rPr>
        <w:t xml:space="preserve">Costo de construcción de cada una de ellas </w:t>
      </w:r>
      <w:r w:rsidDel="00000000" w:rsidR="00000000" w:rsidRPr="00000000">
        <w:rPr>
          <w:rtl w:val="0"/>
        </w:rPr>
      </w:r>
    </w:p>
    <w:p w:rsidR="00000000" w:rsidDel="00000000" w:rsidP="00000000" w:rsidRDefault="00000000" w:rsidRPr="00000000" w14:paraId="00000219">
      <w:pPr>
        <w:numPr>
          <w:ilvl w:val="0"/>
          <w:numId w:val="4"/>
        </w:numPr>
        <w:pBdr>
          <w:top w:space="0" w:sz="0" w:val="nil"/>
          <w:left w:space="0" w:sz="0" w:val="nil"/>
          <w:bottom w:space="0" w:sz="0" w:val="nil"/>
          <w:right w:space="0" w:sz="0" w:val="nil"/>
          <w:between w:space="0" w:sz="0" w:val="nil"/>
        </w:pBdr>
        <w:ind w:left="720" w:right="425" w:hanging="36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color w:val="000000"/>
          <w:rtl w:val="0"/>
        </w:rPr>
        <w:t xml:space="preserve">Fecha de construcción de las canchas</w:t>
      </w:r>
      <w:r w:rsidDel="00000000" w:rsidR="00000000" w:rsidRPr="00000000">
        <w:rPr>
          <w:rtl w:val="0"/>
        </w:rPr>
      </w:r>
    </w:p>
    <w:p w:rsidR="00000000" w:rsidDel="00000000" w:rsidP="00000000" w:rsidRDefault="00000000" w:rsidRPr="00000000" w14:paraId="0000021A">
      <w:pPr>
        <w:ind w:left="360" w:right="425"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21B">
      <w:pPr>
        <w:ind w:left="360" w:right="425"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De ser procedente, 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rsidR="00000000" w:rsidDel="00000000" w:rsidP="00000000" w:rsidRDefault="00000000" w:rsidRPr="00000000" w14:paraId="0000021C">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21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b w:val="1"/>
          <w:rtl w:val="0"/>
        </w:rPr>
        <w:t xml:space="preserve">Notifíquese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la presente resolución </w:t>
      </w:r>
      <w:r w:rsidDel="00000000" w:rsidR="00000000" w:rsidRPr="00000000">
        <w:rPr>
          <w:rFonts w:ascii="Palatino Linotype" w:cs="Palatino Linotype" w:eastAsia="Palatino Linotype" w:hAnsi="Palatino Linotype"/>
          <w:highlight w:val="white"/>
          <w:rtl w:val="0"/>
        </w:rPr>
        <w:t xml:space="preserve">vía Sistema de Acceso a la Información Mexiquense (SAIMEX), </w:t>
      </w:r>
      <w:r w:rsidDel="00000000" w:rsidR="00000000" w:rsidRPr="00000000">
        <w:rPr>
          <w:rFonts w:ascii="Palatino Linotype" w:cs="Palatino Linotype" w:eastAsia="Palatino Linotype" w:hAnsi="Palatino Linotype"/>
          <w:rtl w:val="0"/>
        </w:rPr>
        <w:t xml:space="preserve">al Titular de la Unidad de Transparencia del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000000" w:rsidDel="00000000" w:rsidP="00000000" w:rsidRDefault="00000000" w:rsidRPr="00000000" w14:paraId="0000021E">
      <w:pPr>
        <w:spacing w:line="360" w:lineRule="auto"/>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21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b w:val="1"/>
          <w:rtl w:val="0"/>
        </w:rPr>
        <w:t xml:space="preserve">Notifíquese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la presente resolución </w:t>
      </w:r>
      <w:r w:rsidDel="00000000" w:rsidR="00000000" w:rsidRPr="00000000">
        <w:rPr>
          <w:rFonts w:ascii="Palatino Linotype" w:cs="Palatino Linotype" w:eastAsia="Palatino Linotype" w:hAnsi="Palatino Linotype"/>
          <w:highlight w:val="white"/>
          <w:rtl w:val="0"/>
        </w:rPr>
        <w:t xml:space="preserve">vía Sistema de Acceso a la Información Mexiquense (SAIMEX)</w:t>
      </w:r>
      <w:r w:rsidDel="00000000" w:rsidR="00000000" w:rsidRPr="00000000">
        <w:rPr>
          <w:rFonts w:ascii="Palatino Linotype" w:cs="Palatino Linotype" w:eastAsia="Palatino Linotype" w:hAnsi="Palatino Linotype"/>
          <w:rtl w:val="0"/>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000000" w:rsidDel="00000000" w:rsidP="00000000" w:rsidRDefault="00000000" w:rsidRPr="00000000" w14:paraId="00000220">
      <w:pPr>
        <w:spacing w:line="360" w:lineRule="auto"/>
        <w:jc w:val="both"/>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14:paraId="0000022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Con fundamento en el artículo 198, de la Ley de Transparencia y Acceso a la Información Pública del Estado de México y Municipios, se apercibe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que, en caso de negarse a cumplir la presente resolución o hacerlo de manera parcial, se actuará de conformidad con lo previsto en los artículos 213, 214, 216 y 217, de dicha Ley.</w:t>
      </w:r>
    </w:p>
    <w:p w:rsidR="00000000" w:rsidDel="00000000" w:rsidP="00000000" w:rsidRDefault="00000000" w:rsidRPr="00000000" w14:paraId="0000022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2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SESIÓN SEXTA ORDINARIA CELEBRADA EL DIECISÉIS DE FEBRERO DE DOS MIL VEINTIDÓS, ANTE EL SECRETARIO TÉCNICO DEL PLENO, ALEXIS TAPIA RAMÍREZ. </w:t>
      </w:r>
    </w:p>
    <w:p w:rsidR="00000000" w:rsidDel="00000000" w:rsidP="00000000" w:rsidRDefault="00000000" w:rsidRPr="00000000" w14:paraId="00000224">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225">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226">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227">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228">
      <w:pPr>
        <w:jc w:val="both"/>
        <w:rPr>
          <w:rFonts w:ascii="Palatino Linotype" w:cs="Palatino Linotype" w:eastAsia="Palatino Linotype" w:hAnsi="Palatino Linotype"/>
          <w:sz w:val="20"/>
          <w:szCs w:val="20"/>
        </w:rPr>
        <w:sectPr>
          <w:headerReference r:id="rId10" w:type="default"/>
          <w:headerReference r:id="rId11" w:type="first"/>
          <w:footerReference r:id="rId12" w:type="default"/>
          <w:footerReference r:id="rId13" w:type="first"/>
          <w:pgSz w:h="15840" w:w="12240" w:orient="portrait"/>
          <w:pgMar w:bottom="1560" w:top="1985" w:left="1701" w:right="1701" w:header="709" w:footer="709"/>
          <w:pgNumType w:start="1"/>
          <w:titlePg w:val="1"/>
        </w:sectPr>
      </w:pPr>
      <w:r w:rsidDel="00000000" w:rsidR="00000000" w:rsidRPr="00000000">
        <w:rPr>
          <w:rtl w:val="0"/>
        </w:rPr>
      </w:r>
    </w:p>
    <w:p w:rsidR="00000000" w:rsidDel="00000000" w:rsidP="00000000" w:rsidRDefault="00000000" w:rsidRPr="00000000" w14:paraId="00000229">
      <w:pPr>
        <w:jc w:val="both"/>
        <w:rPr>
          <w:rFonts w:ascii="Palatino Linotype" w:cs="Palatino Linotype" w:eastAsia="Palatino Linotype" w:hAnsi="Palatino Linotype"/>
          <w:sz w:val="20"/>
          <w:szCs w:val="20"/>
        </w:rPr>
      </w:pPr>
      <w:r w:rsidDel="00000000" w:rsidR="00000000" w:rsidRPr="00000000">
        <w:rPr>
          <w:rtl w:val="0"/>
        </w:rPr>
      </w:r>
    </w:p>
    <w:sectPr>
      <w:headerReference r:id="rId14" w:type="first"/>
      <w:type w:val="nextPage"/>
      <w:pgSz w:h="15840" w:w="12240" w:orient="portrait"/>
      <w:pgMar w:bottom="1559" w:top="1985"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Verdan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6">
    <w:pPr>
      <w:pBdr>
        <w:top w:space="0" w:sz="0" w:val="nil"/>
        <w:left w:space="0" w:sz="0" w:val="nil"/>
        <w:bottom w:space="0" w:sz="0" w:val="nil"/>
        <w:right w:space="0" w:sz="0" w:val="nil"/>
        <w:between w:space="0" w:sz="0" w:val="nil"/>
      </w:pBdr>
      <w:tabs>
        <w:tab w:val="center" w:pos="4252"/>
        <w:tab w:val="right"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47">
    <w:pPr>
      <w:pBdr>
        <w:top w:space="0" w:sz="0" w:val="nil"/>
        <w:left w:space="0" w:sz="0" w:val="nil"/>
        <w:bottom w:space="0" w:sz="0" w:val="nil"/>
        <w:right w:space="0" w:sz="0" w:val="nil"/>
        <w:between w:space="0" w:sz="0" w:val="nil"/>
      </w:pBdr>
      <w:tabs>
        <w:tab w:val="center" w:pos="4252"/>
        <w:tab w:val="right" w:pos="8504"/>
      </w:tabs>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8">
    <w:pPr>
      <w:pBdr>
        <w:top w:space="0" w:sz="0" w:val="nil"/>
        <w:left w:space="0" w:sz="0" w:val="nil"/>
        <w:bottom w:space="0" w:sz="0" w:val="nil"/>
        <w:right w:space="0" w:sz="0" w:val="nil"/>
        <w:between w:space="0" w:sz="0" w:val="nil"/>
      </w:pBdr>
      <w:tabs>
        <w:tab w:val="center" w:pos="4252"/>
        <w:tab w:val="right"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49">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p>
  <w:p w:rsidR="00000000" w:rsidDel="00000000" w:rsidP="00000000" w:rsidRDefault="00000000" w:rsidRPr="00000000" w14:paraId="0000024A">
    <w:pPr>
      <w:pBdr>
        <w:top w:space="0" w:sz="0" w:val="nil"/>
        <w:left w:space="0" w:sz="0" w:val="nil"/>
        <w:bottom w:space="0" w:sz="0" w:val="nil"/>
        <w:right w:space="0" w:sz="0" w:val="nil"/>
        <w:between w:space="0" w:sz="0" w:val="nil"/>
      </w:pBdr>
      <w:tabs>
        <w:tab w:val="center" w:pos="4252"/>
        <w:tab w:val="right" w:pos="8504"/>
      </w:tabs>
      <w:ind w:firstLine="708"/>
      <w:rPr>
        <w:rFonts w:ascii="Calibri" w:cs="Calibri" w:eastAsia="Calibri" w:hAnsi="Calibri"/>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A">
    <w:pPr>
      <w:pBdr>
        <w:top w:space="0" w:sz="0" w:val="nil"/>
        <w:left w:space="0" w:sz="0" w:val="nil"/>
        <w:bottom w:space="0" w:sz="0" w:val="nil"/>
        <w:right w:space="0" w:sz="0" w:val="nil"/>
        <w:between w:space="0" w:sz="0" w:val="nil"/>
      </w:pBdr>
      <w:tabs>
        <w:tab w:val="center" w:pos="4252"/>
        <w:tab w:val="right" w:pos="8504"/>
      </w:tabs>
      <w:ind w:left="-249" w:firstLine="249"/>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-1080133</wp:posOffset>
          </wp:positionH>
          <wp:positionV relativeFrom="paragraph">
            <wp:posOffset>-397220</wp:posOffset>
          </wp:positionV>
          <wp:extent cx="7635600" cy="9943200"/>
          <wp:effectExtent b="0" l="0" r="0" t="0"/>
          <wp:wrapNone/>
          <wp:docPr id="54"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7635600" cy="9943200"/>
                  </a:xfrm>
                  <a:prstGeom prst="rect"/>
                  <a:ln/>
                </pic:spPr>
              </pic:pic>
            </a:graphicData>
          </a:graphic>
        </wp:anchor>
      </w:drawing>
    </w:r>
  </w:p>
  <w:tbl>
    <w:tblPr>
      <w:tblStyle w:val="Table2"/>
      <w:tblW w:w="6520.0" w:type="dxa"/>
      <w:jc w:val="left"/>
      <w:tblInd w:w="3119.0" w:type="dxa"/>
      <w:tblLayout w:type="fixed"/>
      <w:tblLook w:val="0400"/>
    </w:tblPr>
    <w:tblGrid>
      <w:gridCol w:w="2410"/>
      <w:gridCol w:w="4110"/>
      <w:tblGridChange w:id="0">
        <w:tblGrid>
          <w:gridCol w:w="2410"/>
          <w:gridCol w:w="4110"/>
        </w:tblGrid>
      </w:tblGridChange>
    </w:tblGrid>
    <w:tr>
      <w:trPr>
        <w:cantSplit w:val="0"/>
        <w:tblHeader w:val="0"/>
      </w:trPr>
      <w:tc>
        <w:tcPr>
          <w:vAlign w:val="center"/>
        </w:tcPr>
        <w:p w:rsidR="00000000" w:rsidDel="00000000" w:rsidP="00000000" w:rsidRDefault="00000000" w:rsidRPr="00000000" w14:paraId="0000022B">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Recurso de Revisión:</w:t>
          </w:r>
        </w:p>
      </w:tc>
      <w:tc>
        <w:tcPr>
          <w:vAlign w:val="center"/>
        </w:tcPr>
        <w:p w:rsidR="00000000" w:rsidDel="00000000" w:rsidP="00000000" w:rsidRDefault="00000000" w:rsidRPr="00000000" w14:paraId="0000022C">
          <w:pPr>
            <w:tabs>
              <w:tab w:val="left" w:pos="3153"/>
            </w:tabs>
            <w:ind w:left="-45" w:firstLine="0"/>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0"/>
              <w:szCs w:val="20"/>
              <w:rtl w:val="0"/>
            </w:rPr>
            <w:t xml:space="preserve">04734/INFOEM/ICR-67/IP/RR/2020</w:t>
          </w:r>
          <w:r w:rsidDel="00000000" w:rsidR="00000000" w:rsidRPr="00000000">
            <w:rPr>
              <w:rFonts w:ascii="Palatino Linotype" w:cs="Palatino Linotype" w:eastAsia="Palatino Linotype" w:hAnsi="Palatino Linotype"/>
              <w:b w:val="1"/>
              <w:sz w:val="22"/>
              <w:szCs w:val="22"/>
              <w:rtl w:val="0"/>
            </w:rPr>
            <w:t xml:space="preserve">.</w:t>
          </w:r>
        </w:p>
      </w:tc>
    </w:tr>
    <w:tr>
      <w:trPr>
        <w:cantSplit w:val="0"/>
        <w:tblHeader w:val="0"/>
      </w:trPr>
      <w:tc>
        <w:tcPr>
          <w:vAlign w:val="center"/>
        </w:tcPr>
        <w:p w:rsidR="00000000" w:rsidDel="00000000" w:rsidP="00000000" w:rsidRDefault="00000000" w:rsidRPr="00000000" w14:paraId="0000022D">
          <w:pPr>
            <w:ind w:left="35" w:hanging="35"/>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Recurrente:</w:t>
          </w:r>
        </w:p>
      </w:tc>
      <w:tc>
        <w:tcPr>
          <w:vAlign w:val="center"/>
        </w:tcPr>
        <w:p w:rsidR="00000000" w:rsidDel="00000000" w:rsidP="00000000" w:rsidRDefault="00000000" w:rsidRPr="00000000" w14:paraId="0000022E">
          <w:pPr>
            <w:ind w:left="-45" w:firstLine="0"/>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 XXXXX XXXXX.</w:t>
          </w:r>
        </w:p>
      </w:tc>
    </w:tr>
    <w:tr>
      <w:trPr>
        <w:cantSplit w:val="0"/>
        <w:trHeight w:val="228" w:hRule="atLeast"/>
        <w:tblHeader w:val="0"/>
      </w:trPr>
      <w:tc>
        <w:tcPr>
          <w:vAlign w:val="center"/>
        </w:tcPr>
        <w:p w:rsidR="00000000" w:rsidDel="00000000" w:rsidP="00000000" w:rsidRDefault="00000000" w:rsidRPr="00000000" w14:paraId="0000022F">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Sujeto obligado:</w:t>
          </w:r>
        </w:p>
      </w:tc>
      <w:tc>
        <w:tcPr>
          <w:vAlign w:val="center"/>
        </w:tcPr>
        <w:p w:rsidR="00000000" w:rsidDel="00000000" w:rsidP="00000000" w:rsidRDefault="00000000" w:rsidRPr="00000000" w14:paraId="00000230">
          <w:pPr>
            <w:tabs>
              <w:tab w:val="left" w:pos="3152"/>
            </w:tabs>
            <w:ind w:left="-45" w:right="601"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Capulhuac. </w:t>
          </w:r>
        </w:p>
      </w:tc>
    </w:tr>
    <w:tr>
      <w:trPr>
        <w:cantSplit w:val="0"/>
        <w:tblHeader w:val="0"/>
      </w:trPr>
      <w:tc>
        <w:tcPr>
          <w:vAlign w:val="center"/>
        </w:tcPr>
        <w:p w:rsidR="00000000" w:rsidDel="00000000" w:rsidP="00000000" w:rsidRDefault="00000000" w:rsidRPr="00000000" w14:paraId="00000231">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Comisionada ponente:</w:t>
          </w:r>
        </w:p>
      </w:tc>
      <w:tc>
        <w:tcPr>
          <w:vAlign w:val="center"/>
        </w:tcPr>
        <w:p w:rsidR="00000000" w:rsidDel="00000000" w:rsidP="00000000" w:rsidRDefault="00000000" w:rsidRPr="00000000" w14:paraId="00000232">
          <w:pPr>
            <w:ind w:right="-533"/>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Guadalupe Ramírez Peña.</w:t>
          </w:r>
        </w:p>
      </w:tc>
    </w:tr>
  </w:tbl>
  <w:p w:rsidR="00000000" w:rsidDel="00000000" w:rsidP="00000000" w:rsidRDefault="00000000" w:rsidRPr="00000000" w14:paraId="00000233">
    <w:pPr>
      <w:pBdr>
        <w:top w:space="0" w:sz="0" w:val="nil"/>
        <w:left w:space="0" w:sz="0" w:val="nil"/>
        <w:bottom w:space="0" w:sz="0" w:val="nil"/>
        <w:right w:space="0" w:sz="0" w:val="nil"/>
        <w:between w:space="0" w:sz="0" w:val="nil"/>
      </w:pBdr>
      <w:tabs>
        <w:tab w:val="center" w:pos="4252"/>
        <w:tab w:val="right" w:pos="8504"/>
      </w:tabs>
      <w:rPr>
        <w:rFonts w:ascii="Calibri" w:cs="Calibri" w:eastAsia="Calibri" w:hAnsi="Calibri"/>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4">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p>
  <w:tbl>
    <w:tblPr>
      <w:tblStyle w:val="Table3"/>
      <w:tblW w:w="6324.0" w:type="dxa"/>
      <w:jc w:val="left"/>
      <w:tblInd w:w="2890.0" w:type="dxa"/>
      <w:tblLayout w:type="fixed"/>
      <w:tblLook w:val="0400"/>
    </w:tblPr>
    <w:tblGrid>
      <w:gridCol w:w="2750"/>
      <w:gridCol w:w="3574"/>
      <w:tblGridChange w:id="0">
        <w:tblGrid>
          <w:gridCol w:w="2750"/>
          <w:gridCol w:w="3574"/>
        </w:tblGrid>
      </w:tblGridChange>
    </w:tblGrid>
    <w:tr>
      <w:trPr>
        <w:cantSplit w:val="0"/>
        <w:trHeight w:val="318" w:hRule="atLeast"/>
        <w:tblHeader w:val="0"/>
      </w:trPr>
      <w:tc>
        <w:tcPr>
          <w:vAlign w:val="center"/>
        </w:tcPr>
        <w:p w:rsidR="00000000" w:rsidDel="00000000" w:rsidP="00000000" w:rsidRDefault="00000000" w:rsidRPr="00000000" w14:paraId="0000023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236">
          <w:pPr>
            <w:ind w:left="-108" w:firstLine="0"/>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04734/INFOEM/ICR-67/IP/RR/2020.</w:t>
          </w:r>
        </w:p>
      </w:tc>
    </w:tr>
    <w:tr>
      <w:trPr>
        <w:cantSplit w:val="0"/>
        <w:trHeight w:val="242" w:hRule="atLeast"/>
        <w:tblHeader w:val="0"/>
      </w:trPr>
      <w:tc>
        <w:tcPr>
          <w:vAlign w:val="center"/>
        </w:tcPr>
        <w:p w:rsidR="00000000" w:rsidDel="00000000" w:rsidP="00000000" w:rsidRDefault="00000000" w:rsidRPr="00000000" w14:paraId="0000023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238">
          <w:pPr>
            <w:ind w:left="-108" w:firstLine="0"/>
            <w:rPr>
              <w:rFonts w:ascii="Palatino Linotype" w:cs="Palatino Linotype" w:eastAsia="Palatino Linotype" w:hAnsi="Palatino Linotype"/>
              <w:b w:val="1"/>
              <w:sz w:val="22"/>
              <w:szCs w:val="22"/>
            </w:rPr>
          </w:pPr>
          <w:bookmarkStart w:colFirst="0" w:colLast="0" w:name="_heading=h.2et92p0" w:id="5"/>
          <w:bookmarkEnd w:id="5"/>
          <w:r w:rsidDel="00000000" w:rsidR="00000000" w:rsidRPr="00000000">
            <w:rPr>
              <w:rFonts w:ascii="Palatino Linotype" w:cs="Palatino Linotype" w:eastAsia="Palatino Linotype" w:hAnsi="Palatino Linotype"/>
              <w:b w:val="1"/>
              <w:sz w:val="22"/>
              <w:szCs w:val="22"/>
              <w:rtl w:val="0"/>
            </w:rPr>
            <w:t xml:space="preserve">Ayuntamiento de Capulhuac. </w:t>
          </w:r>
        </w:p>
      </w:tc>
    </w:tr>
    <w:tr>
      <w:trPr>
        <w:cantSplit w:val="0"/>
        <w:trHeight w:val="299" w:hRule="atLeast"/>
        <w:tblHeader w:val="0"/>
      </w:trPr>
      <w:tc>
        <w:tcPr>
          <w:vAlign w:val="center"/>
        </w:tcPr>
        <w:p w:rsidR="00000000" w:rsidDel="00000000" w:rsidP="00000000" w:rsidRDefault="00000000" w:rsidRPr="00000000" w14:paraId="0000023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Comisionado ponente:</w:t>
          </w:r>
        </w:p>
      </w:tc>
      <w:tc>
        <w:tcPr>
          <w:vAlign w:val="center"/>
        </w:tcPr>
        <w:p w:rsidR="00000000" w:rsidDel="00000000" w:rsidP="00000000" w:rsidRDefault="00000000" w:rsidRPr="00000000" w14:paraId="0000023A">
          <w:pPr>
            <w:ind w:left="-78"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23B">
    <w:pPr>
      <w:pBdr>
        <w:top w:space="0" w:sz="0" w:val="nil"/>
        <w:left w:space="0" w:sz="0" w:val="nil"/>
        <w:bottom w:space="0" w:sz="0" w:val="nil"/>
        <w:right w:space="0" w:sz="0" w:val="nil"/>
        <w:between w:space="0" w:sz="0" w:val="nil"/>
      </w:pBdr>
      <w:tabs>
        <w:tab w:val="center" w:pos="4252"/>
        <w:tab w:val="right" w:pos="8504"/>
        <w:tab w:val="left" w:pos="2326"/>
      </w:tabs>
      <w:rPr>
        <w:rFonts w:ascii="Calibri" w:cs="Calibri" w:eastAsia="Calibri" w:hAnsi="Calibri"/>
        <w:color w:val="000000"/>
      </w:rPr>
    </w:pPr>
    <w:r w:rsidDel="00000000" w:rsidR="00000000" w:rsidRPr="00000000">
      <w:rPr>
        <w:rFonts w:ascii="Calibri" w:cs="Calibri" w:eastAsia="Calibri" w:hAnsi="Calibri"/>
        <w:color w:val="000000"/>
        <w:rtl w:val="0"/>
      </w:rPr>
      <w:tab/>
    </w:r>
    <w:r w:rsidDel="00000000" w:rsidR="00000000" w:rsidRPr="00000000">
      <w:drawing>
        <wp:anchor allowOverlap="1" behindDoc="1" distB="0" distT="0" distL="0" distR="0" hidden="0" layoutInCell="1" locked="0" relativeHeight="0" simplePos="0">
          <wp:simplePos x="0" y="0"/>
          <wp:positionH relativeFrom="column">
            <wp:posOffset>-1080133</wp:posOffset>
          </wp:positionH>
          <wp:positionV relativeFrom="paragraph">
            <wp:posOffset>-1237324</wp:posOffset>
          </wp:positionV>
          <wp:extent cx="7634230" cy="9559637"/>
          <wp:effectExtent b="0" l="0" r="0" t="0"/>
          <wp:wrapNone/>
          <wp:docPr id="53"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7634230" cy="9559637"/>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C">
    <w:pPr>
      <w:pBdr>
        <w:top w:space="0" w:sz="0" w:val="nil"/>
        <w:left w:space="0" w:sz="0" w:val="nil"/>
        <w:bottom w:space="0" w:sz="0" w:val="nil"/>
        <w:right w:space="0" w:sz="0" w:val="nil"/>
        <w:between w:space="0" w:sz="0" w:val="nil"/>
      </w:pBdr>
      <w:tabs>
        <w:tab w:val="center" w:pos="4252"/>
        <w:tab w:val="right" w:pos="8504"/>
      </w:tabs>
      <w:ind w:left="-249" w:firstLine="249"/>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bl>
    <w:tblPr>
      <w:tblStyle w:val="Table4"/>
      <w:tblW w:w="6520.0" w:type="dxa"/>
      <w:jc w:val="left"/>
      <w:tblInd w:w="3119.0" w:type="dxa"/>
      <w:tblLayout w:type="fixed"/>
      <w:tblLook w:val="0400"/>
    </w:tblPr>
    <w:tblGrid>
      <w:gridCol w:w="2410"/>
      <w:gridCol w:w="4110"/>
      <w:tblGridChange w:id="0">
        <w:tblGrid>
          <w:gridCol w:w="2410"/>
          <w:gridCol w:w="4110"/>
        </w:tblGrid>
      </w:tblGridChange>
    </w:tblGrid>
    <w:tr>
      <w:trPr>
        <w:cantSplit w:val="0"/>
        <w:tblHeader w:val="0"/>
      </w:trPr>
      <w:tc>
        <w:tcPr>
          <w:vAlign w:val="center"/>
        </w:tcPr>
        <w:p w:rsidR="00000000" w:rsidDel="00000000" w:rsidP="00000000" w:rsidRDefault="00000000" w:rsidRPr="00000000" w14:paraId="0000023D">
          <w:pPr>
            <w:rPr>
              <w:rFonts w:ascii="Palatino Linotype" w:cs="Palatino Linotype" w:eastAsia="Palatino Linotype" w:hAnsi="Palatino Linotype"/>
              <w:b w:val="1"/>
              <w:sz w:val="21"/>
              <w:szCs w:val="21"/>
            </w:rPr>
          </w:pPr>
          <w:r w:rsidDel="00000000" w:rsidR="00000000" w:rsidRPr="00000000">
            <w:rPr>
              <w:rtl w:val="0"/>
            </w:rPr>
          </w:r>
        </w:p>
      </w:tc>
      <w:tc>
        <w:tcPr>
          <w:vAlign w:val="center"/>
        </w:tcPr>
        <w:p w:rsidR="00000000" w:rsidDel="00000000" w:rsidP="00000000" w:rsidRDefault="00000000" w:rsidRPr="00000000" w14:paraId="0000023E">
          <w:pPr>
            <w:tabs>
              <w:tab w:val="left" w:pos="3153"/>
            </w:tabs>
            <w:ind w:left="-45" w:firstLine="0"/>
            <w:rPr>
              <w:rFonts w:ascii="Palatino Linotype" w:cs="Palatino Linotype" w:eastAsia="Palatino Linotype" w:hAnsi="Palatino Linotype"/>
              <w:b w:val="1"/>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3F">
          <w:pPr>
            <w:ind w:left="35" w:hanging="35"/>
            <w:rPr>
              <w:rFonts w:ascii="Palatino Linotype" w:cs="Palatino Linotype" w:eastAsia="Palatino Linotype" w:hAnsi="Palatino Linotype"/>
              <w:b w:val="1"/>
              <w:sz w:val="21"/>
              <w:szCs w:val="21"/>
            </w:rPr>
          </w:pPr>
          <w:r w:rsidDel="00000000" w:rsidR="00000000" w:rsidRPr="00000000">
            <w:rPr>
              <w:rtl w:val="0"/>
            </w:rPr>
          </w:r>
        </w:p>
      </w:tc>
      <w:tc>
        <w:tcPr>
          <w:vAlign w:val="center"/>
        </w:tcPr>
        <w:p w:rsidR="00000000" w:rsidDel="00000000" w:rsidP="00000000" w:rsidRDefault="00000000" w:rsidRPr="00000000" w14:paraId="00000240">
          <w:pPr>
            <w:ind w:left="-45" w:firstLine="0"/>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241">
          <w:pPr>
            <w:rPr>
              <w:rFonts w:ascii="Palatino Linotype" w:cs="Palatino Linotype" w:eastAsia="Palatino Linotype" w:hAnsi="Palatino Linotype"/>
              <w:b w:val="1"/>
              <w:sz w:val="21"/>
              <w:szCs w:val="21"/>
            </w:rPr>
          </w:pPr>
          <w:r w:rsidDel="00000000" w:rsidR="00000000" w:rsidRPr="00000000">
            <w:rPr>
              <w:rtl w:val="0"/>
            </w:rPr>
          </w:r>
        </w:p>
      </w:tc>
      <w:tc>
        <w:tcPr>
          <w:vAlign w:val="center"/>
        </w:tcPr>
        <w:p w:rsidR="00000000" w:rsidDel="00000000" w:rsidP="00000000" w:rsidRDefault="00000000" w:rsidRPr="00000000" w14:paraId="00000242">
          <w:pPr>
            <w:tabs>
              <w:tab w:val="left" w:pos="3152"/>
            </w:tabs>
            <w:ind w:left="-45" w:right="601" w:firstLine="0"/>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43">
          <w:pPr>
            <w:rPr>
              <w:rFonts w:ascii="Palatino Linotype" w:cs="Palatino Linotype" w:eastAsia="Palatino Linotype" w:hAnsi="Palatino Linotype"/>
              <w:b w:val="1"/>
              <w:sz w:val="21"/>
              <w:szCs w:val="21"/>
            </w:rPr>
          </w:pPr>
          <w:r w:rsidDel="00000000" w:rsidR="00000000" w:rsidRPr="00000000">
            <w:rPr>
              <w:rtl w:val="0"/>
            </w:rPr>
          </w:r>
        </w:p>
      </w:tc>
      <w:tc>
        <w:tcPr>
          <w:vAlign w:val="center"/>
        </w:tcPr>
        <w:p w:rsidR="00000000" w:rsidDel="00000000" w:rsidP="00000000" w:rsidRDefault="00000000" w:rsidRPr="00000000" w14:paraId="00000244">
          <w:pPr>
            <w:ind w:right="-533"/>
            <w:jc w:val="both"/>
            <w:rPr>
              <w:rFonts w:ascii="Palatino Linotype" w:cs="Palatino Linotype" w:eastAsia="Palatino Linotype" w:hAnsi="Palatino Linotype"/>
              <w:b w:val="1"/>
              <w:sz w:val="21"/>
              <w:szCs w:val="21"/>
            </w:rPr>
          </w:pPr>
          <w:r w:rsidDel="00000000" w:rsidR="00000000" w:rsidRPr="00000000">
            <w:rPr>
              <w:rtl w:val="0"/>
            </w:rPr>
          </w:r>
        </w:p>
      </w:tc>
    </w:tr>
  </w:tbl>
  <w:p w:rsidR="00000000" w:rsidDel="00000000" w:rsidP="00000000" w:rsidRDefault="00000000" w:rsidRPr="00000000" w14:paraId="00000245">
    <w:pPr>
      <w:pBdr>
        <w:top w:space="0" w:sz="0" w:val="nil"/>
        <w:left w:space="0" w:sz="0" w:val="nil"/>
        <w:bottom w:space="0" w:sz="0" w:val="nil"/>
        <w:right w:space="0" w:sz="0" w:val="nil"/>
        <w:between w:space="0" w:sz="0" w:val="nil"/>
      </w:pBdr>
      <w:tabs>
        <w:tab w:val="center" w:pos="4252"/>
        <w:tab w:val="right"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upperRoman"/>
      <w:lvlText w:val="%1."/>
      <w:lvlJc w:val="left"/>
      <w:pPr>
        <w:ind w:left="1004"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5f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before="40" w:lineRule="auto"/>
    </w:pPr>
    <w:rPr>
      <w:rFonts w:ascii="Calibri" w:cs="Calibri" w:eastAsia="Calibri" w:hAnsi="Calibri"/>
      <w:i w:val="1"/>
      <w:color w:val="365f91"/>
      <w:sz w:val="22"/>
      <w:szCs w:val="22"/>
    </w:rPr>
  </w:style>
  <w:style w:type="paragraph" w:styleId="Heading5">
    <w:name w:val="heading 5"/>
    <w:basedOn w:val="Normal"/>
    <w:next w:val="Normal"/>
    <w:pPr>
      <w:keepNext w:val="1"/>
      <w:keepLines w:val="1"/>
      <w:spacing w:before="40" w:lineRule="auto"/>
    </w:pPr>
    <w:rPr>
      <w:rFonts w:ascii="Calibri" w:cs="Calibri" w:eastAsia="Calibri" w:hAnsi="Calibri"/>
      <w:color w:val="365f91"/>
      <w:sz w:val="22"/>
      <w:szCs w:val="22"/>
    </w:rPr>
  </w:style>
  <w:style w:type="paragraph" w:styleId="Heading6">
    <w:name w:val="heading 6"/>
    <w:basedOn w:val="Normal"/>
    <w:next w:val="Normal"/>
    <w:pPr>
      <w:keepNext w:val="1"/>
      <w:keepLines w:val="1"/>
      <w:spacing w:before="40" w:lineRule="auto"/>
    </w:pPr>
    <w:rPr>
      <w:rFonts w:ascii="Calibri" w:cs="Calibri" w:eastAsia="Calibri" w:hAnsi="Calibri"/>
      <w:color w:val="243f60"/>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CF6A47"/>
    <w:rPr>
      <w:lang w:eastAsia="es-ES" w:val="es-ES"/>
    </w:rPr>
  </w:style>
  <w:style w:type="paragraph" w:styleId="Ttulo1">
    <w:name w:val="heading 1"/>
    <w:basedOn w:val="Normal"/>
    <w:next w:val="Normal"/>
    <w:link w:val="Ttulo1Car"/>
    <w:uiPriority w:val="9"/>
    <w:qFormat w:val="1"/>
    <w:rsid w:val="000B5D87"/>
    <w:pPr>
      <w:keepNext w:val="1"/>
      <w:keepLines w:val="1"/>
      <w:spacing w:before="240"/>
      <w:outlineLvl w:val="0"/>
    </w:pPr>
    <w:rPr>
      <w:rFonts w:ascii="Calibri" w:eastAsia="MS Gothic" w:hAnsi="Calibri"/>
      <w:color w:val="365f91"/>
      <w:sz w:val="32"/>
      <w:szCs w:val="32"/>
      <w:lang w:eastAsia="en-US"/>
    </w:rPr>
  </w:style>
  <w:style w:type="paragraph" w:styleId="Ttulo2">
    <w:name w:val="heading 2"/>
    <w:basedOn w:val="Normal"/>
    <w:next w:val="Normal"/>
    <w:link w:val="Ttulo2Car"/>
    <w:uiPriority w:val="9"/>
    <w:unhideWhenUsed w:val="1"/>
    <w:qFormat w:val="1"/>
    <w:rsid w:val="00203E59"/>
    <w:pPr>
      <w:keepNext w:val="1"/>
      <w:keepLines w:val="1"/>
      <w:spacing w:before="40"/>
      <w:outlineLvl w:val="1"/>
    </w:pPr>
    <w:rPr>
      <w:rFonts w:asciiTheme="majorHAnsi" w:cstheme="majorBidi" w:eastAsiaTheme="majorEastAsia" w:hAnsiTheme="majorHAnsi"/>
      <w:color w:val="2e74b5" w:themeColor="accent1" w:themeShade="0000BF"/>
      <w:sz w:val="26"/>
      <w:szCs w:val="26"/>
    </w:rPr>
  </w:style>
  <w:style w:type="paragraph" w:styleId="Ttulo3">
    <w:name w:val="heading 3"/>
    <w:basedOn w:val="Normal"/>
    <w:link w:val="Ttulo3Car"/>
    <w:uiPriority w:val="9"/>
    <w:qFormat w:val="1"/>
    <w:rsid w:val="000B5D87"/>
    <w:pPr>
      <w:spacing w:after="100" w:afterAutospacing="1" w:before="100" w:beforeAutospacing="1"/>
      <w:outlineLvl w:val="2"/>
    </w:pPr>
    <w:rPr>
      <w:b w:val="1"/>
      <w:bCs w:val="1"/>
      <w:sz w:val="27"/>
      <w:szCs w:val="27"/>
      <w:lang w:eastAsia="es-MX" w:val="es-MX"/>
    </w:rPr>
  </w:style>
  <w:style w:type="paragraph" w:styleId="Ttulo4">
    <w:name w:val="heading 4"/>
    <w:basedOn w:val="Normal"/>
    <w:next w:val="Normal"/>
    <w:link w:val="Ttulo4Car"/>
    <w:uiPriority w:val="9"/>
    <w:unhideWhenUsed w:val="1"/>
    <w:qFormat w:val="1"/>
    <w:rsid w:val="000B5D87"/>
    <w:pPr>
      <w:keepNext w:val="1"/>
      <w:keepLines w:val="1"/>
      <w:spacing w:before="40"/>
      <w:outlineLvl w:val="3"/>
    </w:pPr>
    <w:rPr>
      <w:rFonts w:ascii="Calibri" w:eastAsia="MS Gothic" w:hAnsi="Calibri"/>
      <w:i w:val="1"/>
      <w:iCs w:val="1"/>
      <w:color w:val="365f91"/>
      <w:sz w:val="22"/>
      <w:szCs w:val="22"/>
      <w:lang w:eastAsia="en-US"/>
    </w:rPr>
  </w:style>
  <w:style w:type="paragraph" w:styleId="Ttulo5">
    <w:name w:val="heading 5"/>
    <w:basedOn w:val="Normal"/>
    <w:next w:val="Normal"/>
    <w:link w:val="Ttulo5Car"/>
    <w:uiPriority w:val="9"/>
    <w:unhideWhenUsed w:val="1"/>
    <w:qFormat w:val="1"/>
    <w:rsid w:val="000B5D87"/>
    <w:pPr>
      <w:keepNext w:val="1"/>
      <w:keepLines w:val="1"/>
      <w:spacing w:before="40"/>
      <w:outlineLvl w:val="4"/>
    </w:pPr>
    <w:rPr>
      <w:rFonts w:ascii="Calibri" w:eastAsia="MS Gothic" w:hAnsi="Calibri"/>
      <w:color w:val="365f91"/>
      <w:sz w:val="22"/>
      <w:szCs w:val="22"/>
      <w:lang w:eastAsia="en-US"/>
    </w:rPr>
  </w:style>
  <w:style w:type="paragraph" w:styleId="Ttulo6">
    <w:name w:val="heading 6"/>
    <w:basedOn w:val="Normal"/>
    <w:next w:val="Normal"/>
    <w:link w:val="Ttulo6Car"/>
    <w:uiPriority w:val="9"/>
    <w:unhideWhenUsed w:val="1"/>
    <w:qFormat w:val="1"/>
    <w:rsid w:val="000B5D87"/>
    <w:pPr>
      <w:keepNext w:val="1"/>
      <w:keepLines w:val="1"/>
      <w:spacing w:before="40"/>
      <w:outlineLvl w:val="5"/>
    </w:pPr>
    <w:rPr>
      <w:rFonts w:ascii="Calibri" w:eastAsia="MS Gothic" w:hAnsi="Calibri"/>
      <w:color w:val="243f60"/>
      <w:sz w:val="22"/>
      <w:szCs w:val="22"/>
      <w:lang w:eastAsia="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paragraph" w:styleId="Encabezado">
    <w:name w:val="header"/>
    <w:basedOn w:val="Normal"/>
    <w:link w:val="EncabezadoCar"/>
    <w:uiPriority w:val="99"/>
    <w:unhideWhenUsed w:val="1"/>
    <w:rsid w:val="00CF6A47"/>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F6A47"/>
    <w:rPr>
      <w:rFonts w:eastAsiaTheme="minorEastAsia"/>
      <w:sz w:val="24"/>
      <w:szCs w:val="24"/>
      <w:lang w:eastAsia="es-ES" w:val="es-ES_tradnl"/>
    </w:rPr>
  </w:style>
  <w:style w:type="paragraph" w:styleId="Piedepgina">
    <w:name w:val="footer"/>
    <w:basedOn w:val="Normal"/>
    <w:link w:val="PiedepginaCar"/>
    <w:uiPriority w:val="99"/>
    <w:unhideWhenUsed w:val="1"/>
    <w:rsid w:val="00CF6A47"/>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F6A47"/>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CF6A47"/>
    <w:rPr>
      <w:rFonts w:ascii="Times New Roman" w:cs="Times New Roman" w:eastAsia="Times New Roman" w:hAnsi="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F6A47"/>
    <w:pPr>
      <w:ind w:left="708"/>
    </w:pPr>
    <w:rPr>
      <w:sz w:val="22"/>
      <w:szCs w:val="22"/>
      <w:lang w:eastAsia="en-US" w:val="es-MX"/>
    </w:rPr>
  </w:style>
  <w:style w:type="table" w:styleId="Tablaconcuadrcula">
    <w:name w:val="Table Grid"/>
    <w:basedOn w:val="Tablanormal"/>
    <w:uiPriority w:val="59"/>
    <w:rsid w:val="00CF6A47"/>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CF6A47"/>
  </w:style>
  <w:style w:type="character" w:styleId="apple-converted-space" w:customStyle="1">
    <w:name w:val="apple-converted-space"/>
    <w:basedOn w:val="Fuentedeprrafopredeter"/>
    <w:rsid w:val="00CF6A47"/>
  </w:style>
  <w:style w:type="character" w:styleId="Hipervnculo">
    <w:name w:val="Hyperlink"/>
    <w:basedOn w:val="Fuentedeprrafopredeter"/>
    <w:uiPriority w:val="99"/>
    <w:unhideWhenUsed w:val="1"/>
    <w:rsid w:val="00CF6A47"/>
    <w:rPr>
      <w:color w:val="0000ff"/>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CF6A47"/>
    <w:rPr>
      <w:vertAlign w:val="superscript"/>
    </w:rPr>
  </w:style>
  <w:style w:type="paragraph" w:styleId="NormalWeb">
    <w:name w:val="Normal (Web)"/>
    <w:basedOn w:val="Normal"/>
    <w:uiPriority w:val="99"/>
    <w:unhideWhenUsed w:val="1"/>
    <w:rsid w:val="00CF6A47"/>
    <w:pPr>
      <w:spacing w:after="100" w:afterAutospacing="1" w:before="100" w:beforeAutospacing="1"/>
    </w:pPr>
    <w:rPr>
      <w:lang w:eastAsia="es-MX" w:val="es-MX"/>
    </w:rPr>
  </w:style>
  <w:style w:type="paragraph" w:styleId="Sinespaciado">
    <w:name w:val="No Spacing"/>
    <w:aliases w:val="Francesa"/>
    <w:link w:val="SinespaciadoCar"/>
    <w:uiPriority w:val="1"/>
    <w:qFormat w:val="1"/>
    <w:rsid w:val="00CF6A47"/>
    <w:rPr>
      <w:lang w:eastAsia="es-ES"/>
    </w:rPr>
  </w:style>
  <w:style w:type="character" w:styleId="SinespaciadoCar" w:customStyle="1">
    <w:name w:val="Sin espaciado Car"/>
    <w:aliases w:val="Francesa Car"/>
    <w:link w:val="Sinespaciado"/>
    <w:uiPriority w:val="1"/>
    <w:locked w:val="1"/>
    <w:rsid w:val="00CF6A47"/>
    <w:rPr>
      <w:rFonts w:ascii="Times New Roman" w:cs="Times New Roman" w:eastAsia="Times New Roman" w:hAnsi="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CF6A47"/>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F6A47"/>
    <w:rPr>
      <w:sz w:val="20"/>
      <w:szCs w:val="20"/>
    </w:rPr>
  </w:style>
  <w:style w:type="character" w:styleId="Textoennegrita">
    <w:name w:val="Strong"/>
    <w:uiPriority w:val="22"/>
    <w:qFormat w:val="1"/>
    <w:rsid w:val="00CF6A47"/>
    <w:rPr>
      <w:b w:val="1"/>
      <w:bCs w:val="1"/>
    </w:rPr>
  </w:style>
  <w:style w:type="paragraph" w:styleId="paragraph" w:customStyle="1">
    <w:name w:val="paragraph"/>
    <w:basedOn w:val="Normal"/>
    <w:uiPriority w:val="99"/>
    <w:rsid w:val="00CF6A47"/>
    <w:pPr>
      <w:spacing w:after="100" w:afterAutospacing="1" w:before="100" w:beforeAutospacing="1"/>
    </w:pPr>
    <w:rPr>
      <w:lang w:eastAsia="es-MX" w:val="es-MX"/>
    </w:rPr>
  </w:style>
  <w:style w:type="paragraph" w:styleId="Textodeglobo">
    <w:name w:val="Balloon Text"/>
    <w:basedOn w:val="Normal"/>
    <w:link w:val="TextodegloboCar"/>
    <w:uiPriority w:val="99"/>
    <w:semiHidden w:val="1"/>
    <w:unhideWhenUsed w:val="1"/>
    <w:rsid w:val="003F58CF"/>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3F58CF"/>
    <w:rPr>
      <w:rFonts w:ascii="Segoe UI" w:cs="Segoe UI" w:eastAsia="Times New Roman" w:hAnsi="Segoe UI"/>
      <w:sz w:val="18"/>
      <w:szCs w:val="18"/>
      <w:lang w:eastAsia="es-ES" w:val="es-ES"/>
    </w:rPr>
  </w:style>
  <w:style w:type="paragraph" w:styleId="Textoindependiente">
    <w:name w:val="Body Text"/>
    <w:basedOn w:val="Normal"/>
    <w:link w:val="TextoindependienteCar"/>
    <w:uiPriority w:val="99"/>
    <w:unhideWhenUsed w:val="1"/>
    <w:qFormat w:val="1"/>
    <w:rsid w:val="00350623"/>
    <w:pPr>
      <w:autoSpaceDE w:val="0"/>
      <w:autoSpaceDN w:val="0"/>
      <w:adjustRightInd w:val="0"/>
      <w:ind w:left="93"/>
    </w:pPr>
    <w:rPr>
      <w:rFonts w:eastAsiaTheme="minorHAnsi"/>
      <w:sz w:val="23"/>
      <w:szCs w:val="23"/>
      <w:lang w:eastAsia="en-US" w:val="es-MX"/>
    </w:rPr>
  </w:style>
  <w:style w:type="character" w:styleId="TextoindependienteCar" w:customStyle="1">
    <w:name w:val="Texto independiente Car"/>
    <w:basedOn w:val="Fuentedeprrafopredeter"/>
    <w:link w:val="Textoindependiente"/>
    <w:uiPriority w:val="99"/>
    <w:rsid w:val="00350623"/>
    <w:rPr>
      <w:rFonts w:ascii="Times New Roman" w:cs="Times New Roman" w:hAnsi="Times New Roman"/>
      <w:sz w:val="23"/>
      <w:szCs w:val="23"/>
    </w:rPr>
  </w:style>
  <w:style w:type="character" w:styleId="Ttulo2Car" w:customStyle="1">
    <w:name w:val="Título 2 Car"/>
    <w:basedOn w:val="Fuentedeprrafopredeter"/>
    <w:link w:val="Ttulo2"/>
    <w:uiPriority w:val="9"/>
    <w:rsid w:val="00203E59"/>
    <w:rPr>
      <w:rFonts w:asciiTheme="majorHAnsi" w:cstheme="majorBidi" w:eastAsiaTheme="majorEastAsia" w:hAnsiTheme="majorHAnsi"/>
      <w:color w:val="2e74b5" w:themeColor="accent1" w:themeShade="0000BF"/>
      <w:sz w:val="26"/>
      <w:szCs w:val="26"/>
      <w:lang w:eastAsia="es-ES" w:val="es-ES"/>
    </w:rPr>
  </w:style>
  <w:style w:type="paragraph" w:styleId="Listavistosa-nfasis11" w:customStyle="1">
    <w:name w:val="Lista vistosa - Énfasis 11"/>
    <w:basedOn w:val="Normal"/>
    <w:link w:val="Listavistosa-nfasis1Car"/>
    <w:uiPriority w:val="34"/>
    <w:qFormat w:val="1"/>
    <w:rsid w:val="00203E59"/>
    <w:pPr>
      <w:ind w:left="708"/>
    </w:pPr>
  </w:style>
  <w:style w:type="character" w:styleId="Listavistosa-nfasis1Car" w:customStyle="1">
    <w:name w:val="Lista vistosa - Énfasis 1 Car"/>
    <w:link w:val="Listavistosa-nfasis11"/>
    <w:uiPriority w:val="34"/>
    <w:locked w:val="1"/>
    <w:rsid w:val="00203E59"/>
    <w:rPr>
      <w:rFonts w:ascii="Times New Roman" w:cs="Times New Roman" w:eastAsia="Times New Roman" w:hAnsi="Times New Roman"/>
      <w:sz w:val="24"/>
      <w:szCs w:val="24"/>
      <w:lang w:eastAsia="es-ES" w:val="es-ES"/>
    </w:rPr>
  </w:style>
  <w:style w:type="paragraph" w:styleId="Texto" w:customStyle="1">
    <w:name w:val="Texto"/>
    <w:basedOn w:val="Normal"/>
    <w:link w:val="TextoCar"/>
    <w:qFormat w:val="1"/>
    <w:rsid w:val="00203E59"/>
    <w:pPr>
      <w:spacing w:after="101" w:line="216" w:lineRule="exact"/>
      <w:ind w:firstLine="288"/>
      <w:jc w:val="both"/>
    </w:pPr>
    <w:rPr>
      <w:rFonts w:ascii="Arial" w:cs="Arial" w:hAnsi="Arial"/>
      <w:sz w:val="18"/>
      <w:szCs w:val="18"/>
      <w:lang w:val="es-MX"/>
    </w:rPr>
  </w:style>
  <w:style w:type="character" w:styleId="apple-style-span" w:customStyle="1">
    <w:name w:val="apple-style-span"/>
    <w:rsid w:val="00203E59"/>
  </w:style>
  <w:style w:type="paragraph" w:styleId="Textoindependiente2">
    <w:name w:val="Body Text 2"/>
    <w:basedOn w:val="Normal"/>
    <w:link w:val="Textoindependiente2Car"/>
    <w:uiPriority w:val="99"/>
    <w:unhideWhenUsed w:val="1"/>
    <w:rsid w:val="00203E59"/>
    <w:pPr>
      <w:spacing w:after="120" w:line="480" w:lineRule="auto"/>
    </w:pPr>
  </w:style>
  <w:style w:type="character" w:styleId="Textoindependiente2Car" w:customStyle="1">
    <w:name w:val="Texto independiente 2 Car"/>
    <w:basedOn w:val="Fuentedeprrafopredeter"/>
    <w:link w:val="Textoindependiente2"/>
    <w:uiPriority w:val="99"/>
    <w:rsid w:val="00203E59"/>
    <w:rPr>
      <w:rFonts w:ascii="Times New Roman" w:cs="Times New Roman" w:eastAsia="Times New Roman" w:hAnsi="Times New Roman"/>
      <w:sz w:val="24"/>
      <w:szCs w:val="24"/>
      <w:lang w:eastAsia="es-ES" w:val="es-ES"/>
    </w:rPr>
  </w:style>
  <w:style w:type="paragraph" w:styleId="Textosinformato">
    <w:name w:val="Plain Text"/>
    <w:basedOn w:val="Normal"/>
    <w:link w:val="TextosinformatoCar"/>
    <w:rsid w:val="00203E59"/>
    <w:rPr>
      <w:rFonts w:ascii="Courier New" w:hAnsi="Courier New"/>
      <w:sz w:val="20"/>
      <w:szCs w:val="20"/>
    </w:rPr>
  </w:style>
  <w:style w:type="character" w:styleId="TextosinformatoCar" w:customStyle="1">
    <w:name w:val="Texto sin formato Car"/>
    <w:basedOn w:val="Fuentedeprrafopredeter"/>
    <w:link w:val="Textosinformato"/>
    <w:rsid w:val="00203E59"/>
    <w:rPr>
      <w:rFonts w:ascii="Courier New" w:cs="Times New Roman" w:eastAsia="Times New Roman" w:hAnsi="Courier New"/>
      <w:sz w:val="20"/>
      <w:szCs w:val="20"/>
      <w:lang w:eastAsia="es-ES" w:val="es-ES"/>
    </w:rPr>
  </w:style>
  <w:style w:type="paragraph" w:styleId="Standard" w:customStyle="1">
    <w:name w:val="Standard"/>
    <w:rsid w:val="00203E59"/>
    <w:pPr>
      <w:widowControl w:val="0"/>
      <w:suppressAutoHyphens w:val="1"/>
      <w:autoSpaceDN w:val="0"/>
      <w:textAlignment w:val="baseline"/>
    </w:pPr>
    <w:rPr>
      <w:rFonts w:ascii="Liberation Serif" w:cs="Lohit Hindi" w:eastAsia="DejaVu Sans" w:hAnsi="Liberation Serif"/>
      <w:kern w:val="3"/>
      <w:lang w:bidi="hi-IN" w:eastAsia="zh-CN"/>
    </w:rPr>
  </w:style>
  <w:style w:type="character" w:styleId="negritas1" w:customStyle="1">
    <w:name w:val="negritas1"/>
    <w:rsid w:val="00203E59"/>
    <w:rPr>
      <w:rFonts w:ascii="Arial" w:cs="Arial" w:hAnsi="Arial" w:hint="default"/>
      <w:b w:val="1"/>
      <w:bCs w:val="1"/>
      <w:sz w:val="18"/>
      <w:szCs w:val="18"/>
    </w:rPr>
  </w:style>
  <w:style w:type="paragraph" w:styleId="Pa2" w:customStyle="1">
    <w:name w:val="Pa2"/>
    <w:basedOn w:val="Normal"/>
    <w:next w:val="Normal"/>
    <w:uiPriority w:val="99"/>
    <w:rsid w:val="00203E59"/>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03E59"/>
    <w:pPr>
      <w:autoSpaceDE w:val="0"/>
      <w:autoSpaceDN w:val="0"/>
      <w:adjustRightInd w:val="0"/>
    </w:pPr>
    <w:rPr>
      <w:rFonts w:ascii="Arial" w:cs="Arial" w:hAnsi="Arial"/>
      <w:color w:val="000000"/>
    </w:rPr>
  </w:style>
  <w:style w:type="paragraph" w:styleId="q" w:customStyle="1">
    <w:name w:val="q"/>
    <w:basedOn w:val="Normal"/>
    <w:rsid w:val="00203E59"/>
    <w:pPr>
      <w:spacing w:after="100" w:afterAutospacing="1" w:before="100" w:beforeAutospacing="1"/>
    </w:pPr>
    <w:rPr>
      <w:lang w:eastAsia="es-MX" w:val="es-MX"/>
    </w:rPr>
  </w:style>
  <w:style w:type="character" w:styleId="d" w:customStyle="1">
    <w:name w:val="d"/>
    <w:basedOn w:val="Fuentedeprrafopredeter"/>
    <w:rsid w:val="00203E59"/>
  </w:style>
  <w:style w:type="character" w:styleId="b" w:customStyle="1">
    <w:name w:val="b"/>
    <w:basedOn w:val="Fuentedeprrafopredeter"/>
    <w:rsid w:val="00203E59"/>
  </w:style>
  <w:style w:type="character" w:styleId="k" w:customStyle="1">
    <w:name w:val="k"/>
    <w:basedOn w:val="Fuentedeprrafopredeter"/>
    <w:rsid w:val="00203E59"/>
  </w:style>
  <w:style w:type="character" w:styleId="h" w:customStyle="1">
    <w:name w:val="h"/>
    <w:basedOn w:val="Fuentedeprrafopredeter"/>
    <w:rsid w:val="00203E59"/>
  </w:style>
  <w:style w:type="character" w:styleId="Hipervnculovisitado">
    <w:name w:val="FollowedHyperlink"/>
    <w:basedOn w:val="Fuentedeprrafopredeter"/>
    <w:uiPriority w:val="99"/>
    <w:semiHidden w:val="1"/>
    <w:unhideWhenUsed w:val="1"/>
    <w:rsid w:val="00203E59"/>
    <w:rPr>
      <w:color w:val="954f72" w:themeColor="followedHyperlink"/>
      <w:u w:val="single"/>
    </w:rPr>
  </w:style>
  <w:style w:type="character" w:styleId="CitaHTML">
    <w:name w:val="HTML Cite"/>
    <w:uiPriority w:val="99"/>
    <w:semiHidden w:val="1"/>
    <w:unhideWhenUsed w:val="1"/>
    <w:rsid w:val="00203E59"/>
    <w:rPr>
      <w:i w:val="1"/>
      <w:iCs w:val="1"/>
    </w:rPr>
  </w:style>
  <w:style w:type="character" w:styleId="medium" w:customStyle="1">
    <w:name w:val="medium"/>
    <w:basedOn w:val="Fuentedeprrafopredeter"/>
    <w:rsid w:val="00203E59"/>
  </w:style>
  <w:style w:type="character" w:styleId="numeroconsecutivo" w:customStyle="1">
    <w:name w:val="numeroconsecutivo"/>
    <w:basedOn w:val="Fuentedeprrafopredeter"/>
    <w:rsid w:val="00203E59"/>
  </w:style>
  <w:style w:type="character" w:styleId="titulorubrolgt" w:customStyle="1">
    <w:name w:val="titulorubrolgt"/>
    <w:basedOn w:val="Fuentedeprrafopredeter"/>
    <w:rsid w:val="00203E59"/>
  </w:style>
  <w:style w:type="character" w:styleId="ctr" w:customStyle="1">
    <w:name w:val="ctr"/>
    <w:basedOn w:val="Fuentedeprrafopredeter"/>
    <w:rsid w:val="00203E59"/>
  </w:style>
  <w:style w:type="table" w:styleId="Tablaconcuadrcula1" w:customStyle="1">
    <w:name w:val="Tabla con cuadrícula1"/>
    <w:basedOn w:val="Tablanormal"/>
    <w:next w:val="Tablaconcuadrcula"/>
    <w:uiPriority w:val="39"/>
    <w:rsid w:val="00203E59"/>
    <w:rPr>
      <w:rFonts w:ascii="Cambria" w:eastAsia="MS Mincho" w:hAnsi="Cambr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Refdecomentario">
    <w:name w:val="annotation reference"/>
    <w:basedOn w:val="Fuentedeprrafopredeter"/>
    <w:uiPriority w:val="99"/>
    <w:semiHidden w:val="1"/>
    <w:unhideWhenUsed w:val="1"/>
    <w:rsid w:val="00203E59"/>
    <w:rPr>
      <w:sz w:val="16"/>
      <w:szCs w:val="16"/>
    </w:rPr>
  </w:style>
  <w:style w:type="paragraph" w:styleId="Textocomentario">
    <w:name w:val="annotation text"/>
    <w:basedOn w:val="Normal"/>
    <w:link w:val="TextocomentarioCar"/>
    <w:uiPriority w:val="99"/>
    <w:semiHidden w:val="1"/>
    <w:unhideWhenUsed w:val="1"/>
    <w:rsid w:val="00203E59"/>
    <w:rPr>
      <w:sz w:val="20"/>
      <w:szCs w:val="20"/>
    </w:rPr>
  </w:style>
  <w:style w:type="character" w:styleId="TextocomentarioCar" w:customStyle="1">
    <w:name w:val="Texto comentario Car"/>
    <w:basedOn w:val="Fuentedeprrafopredeter"/>
    <w:link w:val="Textocomentario"/>
    <w:uiPriority w:val="99"/>
    <w:semiHidden w:val="1"/>
    <w:rsid w:val="00203E59"/>
    <w:rPr>
      <w:rFonts w:ascii="Times New Roman" w:cs="Times New Roman" w:eastAsia="Times New Roman" w:hAnsi="Times New Roman"/>
      <w:sz w:val="20"/>
      <w:szCs w:val="20"/>
      <w:lang w:eastAsia="es-ES" w:val="es-ES"/>
    </w:rPr>
  </w:style>
  <w:style w:type="paragraph" w:styleId="Asuntodelcomentario">
    <w:name w:val="annotation subject"/>
    <w:basedOn w:val="Textocomentario"/>
    <w:next w:val="Textocomentario"/>
    <w:link w:val="AsuntodelcomentarioCar"/>
    <w:uiPriority w:val="99"/>
    <w:semiHidden w:val="1"/>
    <w:unhideWhenUsed w:val="1"/>
    <w:rsid w:val="00203E59"/>
    <w:rPr>
      <w:b w:val="1"/>
      <w:bCs w:val="1"/>
    </w:rPr>
  </w:style>
  <w:style w:type="character" w:styleId="AsuntodelcomentarioCar" w:customStyle="1">
    <w:name w:val="Asunto del comentario Car"/>
    <w:basedOn w:val="TextocomentarioCar"/>
    <w:link w:val="Asuntodelcomentario"/>
    <w:uiPriority w:val="99"/>
    <w:semiHidden w:val="1"/>
    <w:rsid w:val="00203E59"/>
    <w:rPr>
      <w:rFonts w:ascii="Times New Roman" w:cs="Times New Roman" w:eastAsia="Times New Roman" w:hAnsi="Times New Roman"/>
      <w:b w:val="1"/>
      <w:bCs w:val="1"/>
      <w:sz w:val="20"/>
      <w:szCs w:val="20"/>
      <w:lang w:eastAsia="es-ES" w:val="es-ES"/>
    </w:rPr>
  </w:style>
  <w:style w:type="character" w:styleId="nacep" w:customStyle="1">
    <w:name w:val="n_acep"/>
    <w:basedOn w:val="Fuentedeprrafopredeter"/>
    <w:rsid w:val="00203E59"/>
  </w:style>
  <w:style w:type="table" w:styleId="Tabladelista1clara-nfasis111" w:customStyle="1">
    <w:name w:val="Tabla de lista 1 clara - Énfasis 111"/>
    <w:basedOn w:val="Tablanormal"/>
    <w:next w:val="Tabladelista1clara-nfasis1"/>
    <w:uiPriority w:val="46"/>
    <w:rsid w:val="00203E59"/>
    <w:rPr>
      <w:rFonts w:eastAsia="MS Mincho"/>
      <w:lang w:eastAsia="es-ES" w:val="es-ES_tradnl"/>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table" w:styleId="Tabladelista1clara-nfasis1">
    <w:name w:val="List Table 1 Light Accent 1"/>
    <w:basedOn w:val="Tablanormal"/>
    <w:uiPriority w:val="46"/>
    <w:rsid w:val="00203E59"/>
    <w:rPr>
      <w:rFonts w:eastAsiaTheme="minorEastAsia"/>
      <w:lang w:eastAsia="es-ES" w:val="es-ES_tradnl"/>
    </w:rPr>
    <w:tblPr>
      <w:tblStyleRowBandSize w:val="1"/>
      <w:tblStyleColBandSize w:val="1"/>
    </w:tblPr>
    <w:tblStylePr w:type="firstRow">
      <w:rPr>
        <w:b w:val="1"/>
        <w:bCs w:val="1"/>
      </w:rPr>
      <w:tblPr/>
      <w:tcPr>
        <w:tcBorders>
          <w:bottom w:color="9cc2e5" w:space="0" w:sz="4" w:themeColor="accent1" w:themeTint="000099" w:val="single"/>
        </w:tcBorders>
      </w:tcPr>
    </w:tblStylePr>
    <w:tblStylePr w:type="lastRow">
      <w:rPr>
        <w:b w:val="1"/>
        <w:bCs w:val="1"/>
      </w:rPr>
      <w:tblPr/>
      <w:tcPr>
        <w:tcBorders>
          <w:top w:color="9cc2e5"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table" w:styleId="Tabladelista1clara-nfasis1111" w:customStyle="1">
    <w:name w:val="Tabla de lista 1 clara - Énfasis 1111"/>
    <w:basedOn w:val="Tablanormal"/>
    <w:next w:val="Tabladelista1clara-nfasis1"/>
    <w:uiPriority w:val="46"/>
    <w:rsid w:val="00203E59"/>
    <w:rPr>
      <w:rFonts w:eastAsia="MS Mincho"/>
      <w:lang w:eastAsia="es-ES" w:val="es-ES_tradnl"/>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paragraph" w:styleId="FAFunotente1" w:customStyle="1">
    <w:name w:val="FA Fu?notente1"/>
    <w:basedOn w:val="Normal"/>
    <w:next w:val="Textonotapie"/>
    <w:uiPriority w:val="99"/>
    <w:unhideWhenUsed w:val="1"/>
    <w:rsid w:val="00203E59"/>
    <w:rPr>
      <w:rFonts w:ascii="Calibri" w:eastAsia="Cambria" w:hAnsi="Calibri"/>
      <w:sz w:val="20"/>
      <w:szCs w:val="20"/>
      <w:lang w:eastAsia="en-US" w:val="es-MX"/>
    </w:rPr>
  </w:style>
  <w:style w:type="numbering" w:styleId="Sinlista1" w:customStyle="1">
    <w:name w:val="Sin lista1"/>
    <w:next w:val="Sinlista"/>
    <w:uiPriority w:val="99"/>
    <w:semiHidden w:val="1"/>
    <w:unhideWhenUsed w:val="1"/>
    <w:rsid w:val="00AF3E45"/>
  </w:style>
  <w:style w:type="table" w:styleId="Tablaconcuadrcula2" w:customStyle="1">
    <w:name w:val="Tabla con cuadrícula2"/>
    <w:basedOn w:val="Tablanormal"/>
    <w:next w:val="Tablaconcuadrcula"/>
    <w:uiPriority w:val="59"/>
    <w:rsid w:val="00AF3E45"/>
    <w:rPr>
      <w:rFonts w:eastAsia="MS Mincho"/>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 w:customStyle="1">
    <w:name w:val="Tabla con cuadrícula11"/>
    <w:basedOn w:val="Tablanormal"/>
    <w:next w:val="Tablaconcuadrcula"/>
    <w:uiPriority w:val="39"/>
    <w:rsid w:val="00AF3E45"/>
    <w:rPr>
      <w:rFonts w:ascii="Cambria" w:eastAsia="MS Mincho" w:hAnsi="Cambr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delista1clara-nfasis1112" w:customStyle="1">
    <w:name w:val="Tabla de lista 1 clara - Énfasis 1112"/>
    <w:basedOn w:val="Tablanormal"/>
    <w:next w:val="Tabladelista1clara-nfasis1"/>
    <w:uiPriority w:val="46"/>
    <w:rsid w:val="00AF3E45"/>
    <w:rPr>
      <w:rFonts w:eastAsia="MS Mincho"/>
      <w:lang w:eastAsia="es-ES" w:val="es-ES_tradnl"/>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table" w:styleId="Tabladelista1clara-nfasis11" w:customStyle="1">
    <w:name w:val="Tabla de lista 1 clara - Énfasis 11"/>
    <w:basedOn w:val="Tablanormal"/>
    <w:next w:val="Tabladelista1clara-nfasis1"/>
    <w:uiPriority w:val="46"/>
    <w:rsid w:val="00AF3E45"/>
    <w:rPr>
      <w:rFonts w:eastAsia="MS Mincho"/>
      <w:lang w:eastAsia="es-ES" w:val="es-ES_tradnl"/>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table" w:styleId="Tabladelista1clara-nfasis11111" w:customStyle="1">
    <w:name w:val="Tabla de lista 1 clara - Énfasis 11111"/>
    <w:basedOn w:val="Tablanormal"/>
    <w:next w:val="Tabladelista1clara-nfasis1"/>
    <w:uiPriority w:val="46"/>
    <w:rsid w:val="00AF3E45"/>
    <w:rPr>
      <w:rFonts w:eastAsia="MS Mincho"/>
      <w:lang w:eastAsia="es-ES" w:val="es-ES_tradnl"/>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eop" w:customStyle="1">
    <w:name w:val="eop"/>
    <w:basedOn w:val="Fuentedeprrafopredeter"/>
    <w:rsid w:val="00AF3E45"/>
  </w:style>
  <w:style w:type="numbering" w:styleId="Sinlista2" w:customStyle="1">
    <w:name w:val="Sin lista2"/>
    <w:next w:val="Sinlista"/>
    <w:uiPriority w:val="99"/>
    <w:semiHidden w:val="1"/>
    <w:unhideWhenUsed w:val="1"/>
    <w:rsid w:val="00C94E6F"/>
  </w:style>
  <w:style w:type="table" w:styleId="Tablaconcuadrcula3" w:customStyle="1">
    <w:name w:val="Tabla con cuadrícula3"/>
    <w:basedOn w:val="Tablanormal"/>
    <w:next w:val="Tablaconcuadrcula"/>
    <w:uiPriority w:val="59"/>
    <w:rsid w:val="00C94E6F"/>
    <w:rPr>
      <w:rFonts w:eastAsia="MS Mincho"/>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2" w:customStyle="1">
    <w:name w:val="Tabla con cuadrícula12"/>
    <w:basedOn w:val="Tablanormal"/>
    <w:next w:val="Tablaconcuadrcula"/>
    <w:uiPriority w:val="39"/>
    <w:rsid w:val="00C94E6F"/>
    <w:rPr>
      <w:rFonts w:ascii="Cambria" w:eastAsia="MS Mincho" w:hAnsi="Cambr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delista1clara-nfasis1113" w:customStyle="1">
    <w:name w:val="Tabla de lista 1 clara - Énfasis 1113"/>
    <w:basedOn w:val="Tablanormal"/>
    <w:next w:val="Tabladelista1clara-nfasis1"/>
    <w:uiPriority w:val="46"/>
    <w:rsid w:val="00C94E6F"/>
    <w:rPr>
      <w:rFonts w:eastAsia="MS Mincho"/>
      <w:lang w:eastAsia="es-ES" w:val="es-ES_tradnl"/>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table" w:styleId="Tabladelista1clara-nfasis12" w:customStyle="1">
    <w:name w:val="Tabla de lista 1 clara - Énfasis 12"/>
    <w:basedOn w:val="Tablanormal"/>
    <w:next w:val="Tabladelista1clara-nfasis1"/>
    <w:uiPriority w:val="46"/>
    <w:rsid w:val="00C94E6F"/>
    <w:rPr>
      <w:rFonts w:eastAsia="MS Mincho"/>
      <w:lang w:eastAsia="es-ES" w:val="es-ES_tradnl"/>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table" w:styleId="Tabladelista1clara-nfasis11112" w:customStyle="1">
    <w:name w:val="Tabla de lista 1 clara - Énfasis 11112"/>
    <w:basedOn w:val="Tablanormal"/>
    <w:next w:val="Tabladelista1clara-nfasis1"/>
    <w:uiPriority w:val="46"/>
    <w:rsid w:val="00C94E6F"/>
    <w:rPr>
      <w:rFonts w:eastAsia="MS Mincho"/>
      <w:lang w:eastAsia="es-ES" w:val="es-ES_tradnl"/>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table" w:styleId="Tablaconcuadrcula111" w:customStyle="1">
    <w:name w:val="Tabla con cuadrícula111"/>
    <w:basedOn w:val="Tablanormal"/>
    <w:next w:val="Tablaconcuadrcula"/>
    <w:uiPriority w:val="39"/>
    <w:rsid w:val="00C94E6F"/>
    <w:rPr>
      <w:rFonts w:eastAsia="MS Mincho"/>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tulo11" w:customStyle="1">
    <w:name w:val="Título 11"/>
    <w:basedOn w:val="Normal"/>
    <w:next w:val="Normal"/>
    <w:uiPriority w:val="9"/>
    <w:qFormat w:val="1"/>
    <w:rsid w:val="000B5D87"/>
    <w:pPr>
      <w:keepNext w:val="1"/>
      <w:keepLines w:val="1"/>
      <w:spacing w:before="240"/>
      <w:outlineLvl w:val="0"/>
    </w:pPr>
    <w:rPr>
      <w:rFonts w:ascii="Calibri" w:eastAsia="MS Gothic" w:hAnsi="Calibri"/>
      <w:color w:val="365f91"/>
      <w:sz w:val="32"/>
      <w:szCs w:val="32"/>
    </w:rPr>
  </w:style>
  <w:style w:type="character" w:styleId="Ttulo3Car" w:customStyle="1">
    <w:name w:val="Título 3 Car"/>
    <w:basedOn w:val="Fuentedeprrafopredeter"/>
    <w:link w:val="Ttulo3"/>
    <w:uiPriority w:val="9"/>
    <w:rsid w:val="000B5D87"/>
    <w:rPr>
      <w:rFonts w:ascii="Times New Roman" w:cs="Times New Roman" w:eastAsia="Times New Roman" w:hAnsi="Times New Roman"/>
      <w:b w:val="1"/>
      <w:bCs w:val="1"/>
      <w:sz w:val="27"/>
      <w:szCs w:val="27"/>
      <w:lang w:eastAsia="es-MX"/>
    </w:rPr>
  </w:style>
  <w:style w:type="paragraph" w:styleId="Ttulo41" w:customStyle="1">
    <w:name w:val="Título 41"/>
    <w:basedOn w:val="Normal"/>
    <w:next w:val="Normal"/>
    <w:uiPriority w:val="9"/>
    <w:unhideWhenUsed w:val="1"/>
    <w:qFormat w:val="1"/>
    <w:rsid w:val="000B5D87"/>
    <w:pPr>
      <w:keepNext w:val="1"/>
      <w:keepLines w:val="1"/>
      <w:spacing w:before="40"/>
      <w:outlineLvl w:val="3"/>
    </w:pPr>
    <w:rPr>
      <w:rFonts w:ascii="Calibri" w:eastAsia="MS Gothic" w:hAnsi="Calibri"/>
      <w:i w:val="1"/>
      <w:iCs w:val="1"/>
      <w:color w:val="365f91"/>
    </w:rPr>
  </w:style>
  <w:style w:type="paragraph" w:styleId="Ttulo51" w:customStyle="1">
    <w:name w:val="Título 51"/>
    <w:basedOn w:val="Normal"/>
    <w:next w:val="Normal"/>
    <w:uiPriority w:val="9"/>
    <w:unhideWhenUsed w:val="1"/>
    <w:qFormat w:val="1"/>
    <w:rsid w:val="000B5D87"/>
    <w:pPr>
      <w:keepNext w:val="1"/>
      <w:keepLines w:val="1"/>
      <w:spacing w:before="40"/>
      <w:outlineLvl w:val="4"/>
    </w:pPr>
    <w:rPr>
      <w:rFonts w:ascii="Calibri" w:eastAsia="MS Gothic" w:hAnsi="Calibri"/>
      <w:color w:val="365f91"/>
    </w:rPr>
  </w:style>
  <w:style w:type="paragraph" w:styleId="Ttulo61" w:customStyle="1">
    <w:name w:val="Título 61"/>
    <w:basedOn w:val="Normal"/>
    <w:next w:val="Normal"/>
    <w:uiPriority w:val="9"/>
    <w:unhideWhenUsed w:val="1"/>
    <w:qFormat w:val="1"/>
    <w:rsid w:val="000B5D87"/>
    <w:pPr>
      <w:keepNext w:val="1"/>
      <w:keepLines w:val="1"/>
      <w:spacing w:before="40"/>
      <w:outlineLvl w:val="5"/>
    </w:pPr>
    <w:rPr>
      <w:rFonts w:ascii="Calibri" w:eastAsia="MS Gothic" w:hAnsi="Calibri"/>
      <w:color w:val="243f60"/>
    </w:rPr>
  </w:style>
  <w:style w:type="numbering" w:styleId="Sinlista3" w:customStyle="1">
    <w:name w:val="Sin lista3"/>
    <w:next w:val="Sinlista"/>
    <w:uiPriority w:val="99"/>
    <w:semiHidden w:val="1"/>
    <w:unhideWhenUsed w:val="1"/>
    <w:rsid w:val="000B5D87"/>
  </w:style>
  <w:style w:type="table" w:styleId="Tablaconcuadrcula4" w:customStyle="1">
    <w:name w:val="Tabla con cuadrícula4"/>
    <w:basedOn w:val="Tablanormal"/>
    <w:next w:val="Tablaconcuadrcula"/>
    <w:uiPriority w:val="59"/>
    <w:rsid w:val="000B5D87"/>
    <w:rPr>
      <w:rFonts w:eastAsia="MS Mincho"/>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3" w:customStyle="1">
    <w:name w:val="Tabla con cuadrícula13"/>
    <w:basedOn w:val="Tablanormal"/>
    <w:next w:val="Tablaconcuadrcula"/>
    <w:uiPriority w:val="39"/>
    <w:rsid w:val="000B5D87"/>
    <w:rPr>
      <w:rFonts w:ascii="Cambria" w:eastAsia="MS Mincho" w:hAnsi="Cambr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delista1clara-nfasis1114" w:customStyle="1">
    <w:name w:val="Tabla de lista 1 clara - Énfasis 1114"/>
    <w:basedOn w:val="Tablanormal"/>
    <w:next w:val="Tabladelista1clara-nfasis1"/>
    <w:uiPriority w:val="46"/>
    <w:rsid w:val="000B5D87"/>
    <w:rPr>
      <w:rFonts w:eastAsia="MS Mincho"/>
      <w:lang w:eastAsia="es-ES" w:val="es-ES_tradnl"/>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table" w:styleId="Tabladelista1clara-nfasis13" w:customStyle="1">
    <w:name w:val="Tabla de lista 1 clara - Énfasis 13"/>
    <w:basedOn w:val="Tablanormal"/>
    <w:next w:val="Tabladelista1clara-nfasis1"/>
    <w:uiPriority w:val="46"/>
    <w:rsid w:val="000B5D87"/>
    <w:rPr>
      <w:rFonts w:eastAsia="MS Mincho"/>
      <w:lang w:eastAsia="es-ES" w:val="es-ES_tradnl"/>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table" w:styleId="Tabladelista1clara-nfasis11113" w:customStyle="1">
    <w:name w:val="Tabla de lista 1 clara - Énfasis 11113"/>
    <w:basedOn w:val="Tablanormal"/>
    <w:next w:val="Tabladelista1clara-nfasis1"/>
    <w:uiPriority w:val="46"/>
    <w:rsid w:val="000B5D87"/>
    <w:rPr>
      <w:rFonts w:eastAsia="MS Mincho"/>
      <w:lang w:eastAsia="es-ES" w:val="es-ES_tradnl"/>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1Car" w:customStyle="1">
    <w:name w:val="Título 1 Car"/>
    <w:basedOn w:val="Fuentedeprrafopredeter"/>
    <w:link w:val="Ttulo1"/>
    <w:uiPriority w:val="9"/>
    <w:rsid w:val="000B5D87"/>
    <w:rPr>
      <w:rFonts w:ascii="Calibri" w:cs="Times New Roman" w:eastAsia="MS Gothic" w:hAnsi="Calibri"/>
      <w:color w:val="365f91"/>
      <w:sz w:val="32"/>
      <w:szCs w:val="32"/>
      <w:lang w:val="es-ES"/>
    </w:rPr>
  </w:style>
  <w:style w:type="character" w:styleId="Ttulo4Car" w:customStyle="1">
    <w:name w:val="Título 4 Car"/>
    <w:basedOn w:val="Fuentedeprrafopredeter"/>
    <w:link w:val="Ttulo4"/>
    <w:uiPriority w:val="9"/>
    <w:rsid w:val="000B5D87"/>
    <w:rPr>
      <w:rFonts w:ascii="Calibri" w:cs="Times New Roman" w:eastAsia="MS Gothic" w:hAnsi="Calibri"/>
      <w:i w:val="1"/>
      <w:iCs w:val="1"/>
      <w:color w:val="365f91"/>
      <w:lang w:val="es-ES"/>
    </w:rPr>
  </w:style>
  <w:style w:type="character" w:styleId="Ttulo5Car" w:customStyle="1">
    <w:name w:val="Título 5 Car"/>
    <w:basedOn w:val="Fuentedeprrafopredeter"/>
    <w:link w:val="Ttulo5"/>
    <w:uiPriority w:val="9"/>
    <w:rsid w:val="000B5D87"/>
    <w:rPr>
      <w:rFonts w:ascii="Calibri" w:cs="Times New Roman" w:eastAsia="MS Gothic" w:hAnsi="Calibri"/>
      <w:color w:val="365f91"/>
      <w:lang w:val="es-ES"/>
    </w:rPr>
  </w:style>
  <w:style w:type="character" w:styleId="Ttulo6Car" w:customStyle="1">
    <w:name w:val="Título 6 Car"/>
    <w:basedOn w:val="Fuentedeprrafopredeter"/>
    <w:link w:val="Ttulo6"/>
    <w:uiPriority w:val="9"/>
    <w:rsid w:val="000B5D87"/>
    <w:rPr>
      <w:rFonts w:ascii="Calibri" w:cs="Times New Roman" w:eastAsia="MS Gothic" w:hAnsi="Calibri"/>
      <w:color w:val="243f60"/>
      <w:lang w:val="es-ES"/>
    </w:rPr>
  </w:style>
  <w:style w:type="paragraph" w:styleId="RSCGnotaalpie" w:customStyle="1">
    <w:name w:val="RSCG nota al pie"/>
    <w:basedOn w:val="Normal"/>
    <w:uiPriority w:val="99"/>
    <w:qFormat w:val="1"/>
    <w:rsid w:val="000B5D87"/>
    <w:pPr>
      <w:spacing w:after="120"/>
      <w:jc w:val="both"/>
    </w:pPr>
    <w:rPr>
      <w:rFonts w:ascii="Palatino" w:hAnsi="Palatino"/>
      <w:sz w:val="22"/>
      <w:szCs w:val="22"/>
      <w:lang w:eastAsia="en-US" w:val="es-MX"/>
    </w:rPr>
  </w:style>
  <w:style w:type="character" w:styleId="lbl-encabezado-blanco2" w:customStyle="1">
    <w:name w:val="lbl-encabezado-blanco2"/>
    <w:rsid w:val="000B5D87"/>
    <w:rPr>
      <w:color w:val="ffffff"/>
    </w:rPr>
  </w:style>
  <w:style w:type="character" w:styleId="TextoCar" w:customStyle="1">
    <w:name w:val="Texto Car"/>
    <w:link w:val="Texto"/>
    <w:locked w:val="1"/>
    <w:rsid w:val="000B5D87"/>
    <w:rPr>
      <w:rFonts w:ascii="Arial" w:cs="Arial" w:eastAsia="Times New Roman" w:hAnsi="Arial"/>
      <w:sz w:val="18"/>
      <w:szCs w:val="18"/>
      <w:lang w:eastAsia="es-ES"/>
    </w:rPr>
  </w:style>
  <w:style w:type="paragraph" w:styleId="ANOTACION" w:customStyle="1">
    <w:name w:val="ANOTACION"/>
    <w:basedOn w:val="Normal"/>
    <w:link w:val="ANOTACIONCar"/>
    <w:rsid w:val="000B5D87"/>
    <w:pPr>
      <w:spacing w:after="101" w:before="101"/>
      <w:jc w:val="center"/>
    </w:pPr>
    <w:rPr>
      <w:b w:val="1"/>
      <w:sz w:val="18"/>
      <w:szCs w:val="18"/>
      <w:lang w:val="es-MX"/>
    </w:rPr>
  </w:style>
  <w:style w:type="character" w:styleId="ANOTACIONCar" w:customStyle="1">
    <w:name w:val="ANOTACION Car"/>
    <w:link w:val="ANOTACION"/>
    <w:locked w:val="1"/>
    <w:rsid w:val="000B5D87"/>
    <w:rPr>
      <w:rFonts w:ascii="Times New Roman" w:cs="Times New Roman" w:eastAsia="Times New Roman" w:hAnsi="Times New Roman"/>
      <w:b w:val="1"/>
      <w:sz w:val="18"/>
      <w:szCs w:val="18"/>
      <w:lang w:eastAsia="es-ES"/>
    </w:rPr>
  </w:style>
  <w:style w:type="table" w:styleId="Tablaconcuadrcula21" w:customStyle="1">
    <w:name w:val="Tabla con cuadrícula21"/>
    <w:basedOn w:val="Tablanormal"/>
    <w:next w:val="Tablaconcuadrcula"/>
    <w:uiPriority w:val="59"/>
    <w:rsid w:val="000B5D8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fasis">
    <w:name w:val="Emphasis"/>
    <w:basedOn w:val="Fuentedeprrafopredeter"/>
    <w:uiPriority w:val="20"/>
    <w:qFormat w:val="1"/>
    <w:rsid w:val="000B5D87"/>
    <w:rPr>
      <w:i w:val="1"/>
      <w:iCs w:val="1"/>
    </w:rPr>
  </w:style>
  <w:style w:type="paragraph" w:styleId="Bibliografa">
    <w:name w:val="Bibliography"/>
    <w:basedOn w:val="Normal"/>
    <w:next w:val="Normal"/>
    <w:uiPriority w:val="37"/>
    <w:semiHidden w:val="1"/>
    <w:unhideWhenUsed w:val="1"/>
    <w:rsid w:val="000B5D87"/>
    <w:rPr>
      <w:lang w:val="es-MX"/>
    </w:rPr>
  </w:style>
  <w:style w:type="paragraph" w:styleId="ROMANOS" w:customStyle="1">
    <w:name w:val="ROMANOS"/>
    <w:basedOn w:val="Normal"/>
    <w:link w:val="ROMANOSCar"/>
    <w:rsid w:val="000B5D87"/>
    <w:pPr>
      <w:tabs>
        <w:tab w:val="left" w:pos="720"/>
      </w:tabs>
      <w:spacing w:after="101" w:line="216" w:lineRule="exact"/>
      <w:ind w:left="720" w:hanging="432"/>
      <w:jc w:val="both"/>
    </w:pPr>
    <w:rPr>
      <w:rFonts w:ascii="Arial" w:cs="Arial" w:hAnsi="Arial"/>
      <w:sz w:val="18"/>
      <w:szCs w:val="18"/>
    </w:rPr>
  </w:style>
  <w:style w:type="character" w:styleId="ROMANOSCar" w:customStyle="1">
    <w:name w:val="ROMANOS Car"/>
    <w:link w:val="ROMANOS"/>
    <w:locked w:val="1"/>
    <w:rsid w:val="000B5D87"/>
    <w:rPr>
      <w:rFonts w:ascii="Arial" w:cs="Arial" w:eastAsia="Times New Roman" w:hAnsi="Arial"/>
      <w:sz w:val="18"/>
      <w:szCs w:val="18"/>
      <w:lang w:eastAsia="es-ES" w:val="es-ES"/>
    </w:rPr>
  </w:style>
  <w:style w:type="character" w:styleId="m1553324590483875794gmail-m8993139698400752374gmail-apple-converted-space" w:customStyle="1">
    <w:name w:val="m_1553324590483875794gmail-m_8993139698400752374gmail-apple-converted-space"/>
    <w:basedOn w:val="Fuentedeprrafopredeter"/>
    <w:rsid w:val="000B5D87"/>
  </w:style>
  <w:style w:type="character" w:styleId="Ninguno" w:customStyle="1">
    <w:name w:val="Ninguno"/>
    <w:rsid w:val="000B5D87"/>
    <w:rPr>
      <w:lang w:val="es-ES_tradnl"/>
    </w:rPr>
  </w:style>
  <w:style w:type="paragraph" w:styleId="Cuerpo" w:customStyle="1">
    <w:name w:val="Cuerpo"/>
    <w:rsid w:val="000B5D87"/>
    <w:pPr>
      <w:pBdr>
        <w:top w:space="0" w:sz="0" w:val="nil"/>
        <w:left w:space="0" w:sz="0" w:val="nil"/>
        <w:bottom w:space="0" w:sz="0" w:val="nil"/>
        <w:right w:space="0" w:sz="0" w:val="nil"/>
        <w:between w:space="0" w:sz="0" w:val="nil"/>
        <w:bar w:space="0" w:sz="0" w:val="nil"/>
      </w:pBdr>
    </w:pPr>
    <w:rPr>
      <w:rFonts w:ascii="Calibri" w:cs="Calibri" w:eastAsia="Calibri" w:hAnsi="Calibri"/>
      <w:color w:val="000000"/>
      <w:u w:color="000000"/>
      <w:bdr w:space="0" w:sz="0" w:val="nil"/>
      <w:lang w:eastAsia="es-ES" w:val="de-DE"/>
    </w:rPr>
  </w:style>
  <w:style w:type="numbering" w:styleId="Estiloimportado2" w:customStyle="1">
    <w:name w:val="Estilo importado 2"/>
    <w:rsid w:val="000B5D87"/>
  </w:style>
  <w:style w:type="numbering" w:styleId="Estiloimportado1" w:customStyle="1">
    <w:name w:val="Estilo importado 1"/>
    <w:rsid w:val="000B5D87"/>
  </w:style>
  <w:style w:type="paragraph" w:styleId="INCISO" w:customStyle="1">
    <w:name w:val="INCISO"/>
    <w:basedOn w:val="Normal"/>
    <w:rsid w:val="000B5D87"/>
    <w:pPr>
      <w:spacing w:after="101" w:line="216" w:lineRule="exact"/>
      <w:ind w:left="1080" w:hanging="360"/>
      <w:jc w:val="both"/>
    </w:pPr>
    <w:rPr>
      <w:rFonts w:ascii="Arial" w:cs="Arial" w:hAnsi="Arial"/>
      <w:sz w:val="18"/>
      <w:szCs w:val="18"/>
      <w:lang w:eastAsia="es-MX"/>
    </w:rPr>
  </w:style>
  <w:style w:type="paragraph" w:styleId="n2" w:customStyle="1">
    <w:name w:val="n2"/>
    <w:basedOn w:val="Normal"/>
    <w:rsid w:val="000B5D87"/>
    <w:pPr>
      <w:spacing w:after="100" w:afterAutospacing="1" w:before="100" w:beforeAutospacing="1"/>
    </w:pPr>
    <w:rPr>
      <w:lang w:eastAsia="es-MX" w:val="es-MX"/>
    </w:rPr>
  </w:style>
  <w:style w:type="paragraph" w:styleId="j" w:customStyle="1">
    <w:name w:val="j"/>
    <w:basedOn w:val="Normal"/>
    <w:rsid w:val="000B5D87"/>
    <w:pPr>
      <w:spacing w:after="100" w:afterAutospacing="1" w:before="100" w:beforeAutospacing="1"/>
    </w:pPr>
    <w:rPr>
      <w:lang w:eastAsia="es-MX" w:val="es-MX"/>
    </w:rPr>
  </w:style>
  <w:style w:type="paragraph" w:styleId="m5212863947045306324gmail-msonormal" w:customStyle="1">
    <w:name w:val="m_5212863947045306324gmail-msonormal"/>
    <w:basedOn w:val="Normal"/>
    <w:rsid w:val="000B5D87"/>
    <w:pPr>
      <w:spacing w:after="100" w:afterAutospacing="1" w:before="100" w:beforeAutospacing="1"/>
    </w:pPr>
    <w:rPr>
      <w:lang w:eastAsia="es-MX" w:val="es-MX"/>
    </w:rPr>
  </w:style>
  <w:style w:type="character" w:styleId="user-highlighted-active" w:customStyle="1">
    <w:name w:val="user-highlighted-active"/>
    <w:basedOn w:val="Fuentedeprrafopredeter"/>
    <w:rsid w:val="000B5D87"/>
  </w:style>
  <w:style w:type="paragraph" w:styleId="Lista">
    <w:name w:val="List"/>
    <w:basedOn w:val="Normal"/>
    <w:uiPriority w:val="99"/>
    <w:unhideWhenUsed w:val="1"/>
    <w:rsid w:val="000B5D87"/>
    <w:pPr>
      <w:ind w:left="283" w:hanging="283"/>
      <w:contextualSpacing w:val="1"/>
    </w:pPr>
  </w:style>
  <w:style w:type="paragraph" w:styleId="Lista2">
    <w:name w:val="List 2"/>
    <w:basedOn w:val="Normal"/>
    <w:uiPriority w:val="99"/>
    <w:unhideWhenUsed w:val="1"/>
    <w:rsid w:val="000B5D87"/>
    <w:pPr>
      <w:ind w:left="566" w:hanging="283"/>
      <w:contextualSpacing w:val="1"/>
    </w:pPr>
  </w:style>
  <w:style w:type="paragraph" w:styleId="Lista3">
    <w:name w:val="List 3"/>
    <w:basedOn w:val="Normal"/>
    <w:uiPriority w:val="99"/>
    <w:unhideWhenUsed w:val="1"/>
    <w:rsid w:val="000B5D87"/>
    <w:pPr>
      <w:ind w:left="849" w:hanging="283"/>
      <w:contextualSpacing w:val="1"/>
    </w:pPr>
  </w:style>
  <w:style w:type="paragraph" w:styleId="Sangradetextonormal">
    <w:name w:val="Body Text Indent"/>
    <w:basedOn w:val="Normal"/>
    <w:link w:val="SangradetextonormalCar"/>
    <w:uiPriority w:val="99"/>
    <w:unhideWhenUsed w:val="1"/>
    <w:rsid w:val="000B5D87"/>
    <w:pPr>
      <w:spacing w:after="120"/>
      <w:ind w:left="283"/>
    </w:pPr>
  </w:style>
  <w:style w:type="character" w:styleId="SangradetextonormalCar" w:customStyle="1">
    <w:name w:val="Sangría de texto normal Car"/>
    <w:basedOn w:val="Fuentedeprrafopredeter"/>
    <w:link w:val="Sangradetextonormal"/>
    <w:uiPriority w:val="99"/>
    <w:rsid w:val="000B5D87"/>
    <w:rPr>
      <w:rFonts w:ascii="Times New Roman" w:cs="Times New Roman" w:eastAsia="Times New Roman" w:hAnsi="Times New Roman"/>
      <w:sz w:val="24"/>
      <w:szCs w:val="24"/>
      <w:lang w:eastAsia="es-ES" w:val="es-ES"/>
    </w:rPr>
  </w:style>
  <w:style w:type="paragraph" w:styleId="Textoindependienteprimerasangra2">
    <w:name w:val="Body Text First Indent 2"/>
    <w:basedOn w:val="Sangradetextonormal"/>
    <w:link w:val="Textoindependienteprimerasangra2Car"/>
    <w:uiPriority w:val="99"/>
    <w:unhideWhenUsed w:val="1"/>
    <w:rsid w:val="000B5D87"/>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0B5D87"/>
    <w:rPr>
      <w:rFonts w:ascii="Times New Roman" w:cs="Times New Roman" w:eastAsia="Times New Roman" w:hAnsi="Times New Roman"/>
      <w:sz w:val="24"/>
      <w:szCs w:val="24"/>
      <w:lang w:eastAsia="es-ES" w:val="es-ES"/>
    </w:rPr>
  </w:style>
  <w:style w:type="character" w:styleId="numberfracccentro" w:customStyle="1">
    <w:name w:val="numberfracccentro"/>
    <w:basedOn w:val="Fuentedeprrafopredeter"/>
    <w:rsid w:val="000B5D87"/>
  </w:style>
  <w:style w:type="paragraph" w:styleId="Text" w:customStyle="1">
    <w:name w:val="Text"/>
    <w:basedOn w:val="Normal"/>
    <w:link w:val="TextChar"/>
    <w:rsid w:val="000B5D87"/>
    <w:pPr>
      <w:spacing w:after="240"/>
    </w:pPr>
    <w:rPr>
      <w:szCs w:val="20"/>
      <w:lang w:eastAsia="en-US" w:val="en-US"/>
    </w:rPr>
  </w:style>
  <w:style w:type="character" w:styleId="TextChar" w:customStyle="1">
    <w:name w:val="Text Char"/>
    <w:link w:val="Text"/>
    <w:locked w:val="1"/>
    <w:rsid w:val="000B5D87"/>
    <w:rPr>
      <w:rFonts w:ascii="Times New Roman" w:cs="Times New Roman" w:eastAsia="Times New Roman" w:hAnsi="Times New Roman"/>
      <w:sz w:val="24"/>
      <w:szCs w:val="20"/>
      <w:lang w:val="en-US"/>
    </w:rPr>
  </w:style>
  <w:style w:type="paragraph" w:styleId="corte5transcripcion" w:customStyle="1">
    <w:name w:val="corte5 transcripcion"/>
    <w:basedOn w:val="Normal"/>
    <w:rsid w:val="000B5D87"/>
    <w:pPr>
      <w:spacing w:line="360" w:lineRule="auto"/>
      <w:ind w:left="709" w:right="709"/>
      <w:jc w:val="both"/>
    </w:pPr>
    <w:rPr>
      <w:rFonts w:ascii="Arial" w:cs="Arial" w:hAnsi="Arial"/>
      <w:b w:val="1"/>
      <w:bCs w:val="1"/>
      <w:i w:val="1"/>
      <w:iCs w:val="1"/>
      <w:sz w:val="30"/>
      <w:szCs w:val="30"/>
      <w:lang w:eastAsia="es-MX" w:val="es-MX"/>
    </w:rPr>
  </w:style>
  <w:style w:type="character" w:styleId="Ttulo1Car1" w:customStyle="1">
    <w:name w:val="Título 1 Car1"/>
    <w:basedOn w:val="Fuentedeprrafopredeter"/>
    <w:uiPriority w:val="9"/>
    <w:rsid w:val="000B5D87"/>
    <w:rPr>
      <w:rFonts w:asciiTheme="majorHAnsi" w:cstheme="majorBidi" w:eastAsiaTheme="majorEastAsia" w:hAnsiTheme="majorHAnsi"/>
      <w:color w:val="2e74b5" w:themeColor="accent1" w:themeShade="0000BF"/>
      <w:sz w:val="32"/>
      <w:szCs w:val="32"/>
      <w:lang w:eastAsia="es-ES" w:val="es-ES"/>
    </w:rPr>
  </w:style>
  <w:style w:type="character" w:styleId="Ttulo4Car1" w:customStyle="1">
    <w:name w:val="Título 4 Car1"/>
    <w:basedOn w:val="Fuentedeprrafopredeter"/>
    <w:uiPriority w:val="9"/>
    <w:semiHidden w:val="1"/>
    <w:rsid w:val="000B5D87"/>
    <w:rPr>
      <w:rFonts w:asciiTheme="majorHAnsi" w:cstheme="majorBidi" w:eastAsiaTheme="majorEastAsia" w:hAnsiTheme="majorHAnsi"/>
      <w:i w:val="1"/>
      <w:iCs w:val="1"/>
      <w:color w:val="2e74b5" w:themeColor="accent1" w:themeShade="0000BF"/>
      <w:sz w:val="24"/>
      <w:szCs w:val="24"/>
      <w:lang w:eastAsia="es-ES" w:val="es-ES"/>
    </w:rPr>
  </w:style>
  <w:style w:type="character" w:styleId="Ttulo5Car1" w:customStyle="1">
    <w:name w:val="Título 5 Car1"/>
    <w:basedOn w:val="Fuentedeprrafopredeter"/>
    <w:uiPriority w:val="9"/>
    <w:semiHidden w:val="1"/>
    <w:rsid w:val="000B5D87"/>
    <w:rPr>
      <w:rFonts w:asciiTheme="majorHAnsi" w:cstheme="majorBidi" w:eastAsiaTheme="majorEastAsia" w:hAnsiTheme="majorHAnsi"/>
      <w:color w:val="2e74b5" w:themeColor="accent1" w:themeShade="0000BF"/>
      <w:sz w:val="24"/>
      <w:szCs w:val="24"/>
      <w:lang w:eastAsia="es-ES" w:val="es-ES"/>
    </w:rPr>
  </w:style>
  <w:style w:type="character" w:styleId="Ttulo6Car1" w:customStyle="1">
    <w:name w:val="Título 6 Car1"/>
    <w:basedOn w:val="Fuentedeprrafopredeter"/>
    <w:uiPriority w:val="9"/>
    <w:semiHidden w:val="1"/>
    <w:rsid w:val="000B5D87"/>
    <w:rPr>
      <w:rFonts w:asciiTheme="majorHAnsi" w:cstheme="majorBidi" w:eastAsiaTheme="majorEastAsia" w:hAnsiTheme="majorHAnsi"/>
      <w:color w:val="1f4d78" w:themeColor="accent1" w:themeShade="00007F"/>
      <w:sz w:val="24"/>
      <w:szCs w:val="24"/>
      <w:lang w:eastAsia="es-ES" w:val="es-ES"/>
    </w:rPr>
  </w:style>
  <w:style w:type="numbering" w:styleId="Sinlista4" w:customStyle="1">
    <w:name w:val="Sin lista4"/>
    <w:next w:val="Sinlista"/>
    <w:uiPriority w:val="99"/>
    <w:semiHidden w:val="1"/>
    <w:unhideWhenUsed w:val="1"/>
    <w:rsid w:val="005745B7"/>
  </w:style>
  <w:style w:type="table" w:styleId="Tablaconcuadrcula5" w:customStyle="1">
    <w:name w:val="Tabla con cuadrícula5"/>
    <w:basedOn w:val="Tablanormal"/>
    <w:next w:val="Tablaconcuadrcula"/>
    <w:uiPriority w:val="59"/>
    <w:rsid w:val="005745B7"/>
    <w:rPr>
      <w:rFonts w:eastAsia="MS Mincho"/>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notapie1" w:customStyle="1">
    <w:name w:val="Texto nota pie1"/>
    <w:basedOn w:val="Normal"/>
    <w:next w:val="Textonotapie"/>
    <w:uiPriority w:val="99"/>
    <w:unhideWhenUsed w:val="1"/>
    <w:rsid w:val="005745B7"/>
    <w:rPr>
      <w:rFonts w:ascii="Calibri" w:eastAsia="Calibri" w:hAnsi="Calibri"/>
      <w:sz w:val="20"/>
      <w:szCs w:val="20"/>
      <w:lang w:eastAsia="en-US" w:val="es-MX"/>
    </w:rPr>
  </w:style>
  <w:style w:type="paragraph" w:styleId="Saludo">
    <w:name w:val="Salutation"/>
    <w:basedOn w:val="Normal"/>
    <w:next w:val="Normal"/>
    <w:link w:val="SaludoCar"/>
    <w:uiPriority w:val="99"/>
    <w:unhideWhenUsed w:val="1"/>
    <w:rsid w:val="005745B7"/>
    <w:rPr>
      <w:lang w:val="es-MX"/>
    </w:rPr>
  </w:style>
  <w:style w:type="character" w:styleId="SaludoCar" w:customStyle="1">
    <w:name w:val="Saludo Car"/>
    <w:basedOn w:val="Fuentedeprrafopredeter"/>
    <w:link w:val="Saludo"/>
    <w:uiPriority w:val="99"/>
    <w:rsid w:val="005745B7"/>
    <w:rPr>
      <w:rFonts w:ascii="Times New Roman" w:cs="Times New Roman" w:eastAsia="Times New Roman" w:hAnsi="Times New Roman"/>
      <w:sz w:val="24"/>
      <w:szCs w:val="24"/>
      <w:lang w:eastAsia="es-ES"/>
    </w:rPr>
  </w:style>
  <w:style w:type="paragraph" w:styleId="Listaconvietas2">
    <w:name w:val="List Bullet 2"/>
    <w:basedOn w:val="Normal"/>
    <w:uiPriority w:val="99"/>
    <w:unhideWhenUsed w:val="1"/>
    <w:rsid w:val="005745B7"/>
    <w:pPr>
      <w:numPr>
        <w:numId w:val="5"/>
      </w:numPr>
      <w:contextualSpacing w:val="1"/>
    </w:pPr>
    <w:rPr>
      <w:lang w:val="es-MX"/>
    </w:rPr>
  </w:style>
  <w:style w:type="paragraph" w:styleId="ListaCC" w:customStyle="1">
    <w:name w:val="Lista CC."/>
    <w:basedOn w:val="Normal"/>
    <w:rsid w:val="005745B7"/>
    <w:rPr>
      <w:lang w:val="es-MX"/>
    </w:rPr>
  </w:style>
  <w:style w:type="paragraph" w:styleId="Continuarlista">
    <w:name w:val="List Continue"/>
    <w:basedOn w:val="Normal"/>
    <w:uiPriority w:val="99"/>
    <w:unhideWhenUsed w:val="1"/>
    <w:rsid w:val="005745B7"/>
    <w:pPr>
      <w:spacing w:after="120"/>
      <w:ind w:left="283"/>
      <w:contextualSpacing w:val="1"/>
    </w:pPr>
    <w:rPr>
      <w:lang w:val="es-MX"/>
    </w:rPr>
  </w:style>
  <w:style w:type="paragraph" w:styleId="texto0" w:customStyle="1">
    <w:name w:val="texto"/>
    <w:basedOn w:val="Normal"/>
    <w:rsid w:val="005745B7"/>
    <w:pPr>
      <w:spacing w:after="100" w:afterAutospacing="1" w:before="100" w:beforeAutospacing="1"/>
    </w:pPr>
    <w:rPr>
      <w:lang w:eastAsia="es-MX" w:val="es-MX"/>
    </w:rPr>
  </w:style>
  <w:style w:type="table" w:styleId="Tabladelista1clara-nfasis111111" w:customStyle="1">
    <w:name w:val="Tabla de lista 1 clara - Énfasis 111111"/>
    <w:basedOn w:val="Tablanormal"/>
    <w:next w:val="Tabladelista1clara-nfasis1"/>
    <w:uiPriority w:val="46"/>
    <w:rsid w:val="005745B7"/>
    <w:rPr>
      <w:rFonts w:eastAsia="MS Mincho"/>
      <w:lang w:eastAsia="es-ES" w:val="es-ES_tradnl"/>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table" w:styleId="Tabladelista1clara-nfasis14" w:customStyle="1">
    <w:name w:val="Tabla de lista 1 clara - Énfasis 14"/>
    <w:basedOn w:val="Tablanormal"/>
    <w:next w:val="Tabladelista1clara-nfasis1"/>
    <w:uiPriority w:val="46"/>
    <w:rsid w:val="005745B7"/>
    <w:rPr>
      <w:rFonts w:eastAsia="MS Mincho"/>
      <w:lang w:eastAsia="es-ES" w:val="es-ES_tradnl"/>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extonotapieCar1" w:customStyle="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val="1"/>
    <w:rsid w:val="005745B7"/>
    <w:rPr>
      <w:rFonts w:ascii="Times New Roman" w:cs="Times New Roman" w:eastAsia="Times New Roman" w:hAnsi="Times New Roman"/>
      <w:sz w:val="20"/>
      <w:szCs w:val="20"/>
      <w:lang w:eastAsia="es-ES"/>
    </w:rPr>
  </w:style>
  <w:style w:type="table" w:styleId="Tabladecuadrcula1clara-nfasis11" w:customStyle="1">
    <w:name w:val="Tabla de cuadrícula 1 clara - Énfasis 11"/>
    <w:basedOn w:val="Tablanormal"/>
    <w:uiPriority w:val="46"/>
    <w:rsid w:val="005745B7"/>
    <w:tblPr>
      <w:tblStyleRowBandSize w:val="1"/>
      <w:tblStyleColBandSize w:val="1"/>
      <w:tblBorders>
        <w:top w:color="b8cce4" w:space="0" w:sz="4" w:val="single"/>
        <w:left w:color="b8cce4" w:space="0" w:sz="4" w:val="single"/>
        <w:bottom w:color="b8cce4" w:space="0" w:sz="4" w:val="single"/>
        <w:right w:color="b8cce4" w:space="0" w:sz="4" w:val="single"/>
        <w:insideH w:color="b8cce4" w:space="0" w:sz="4" w:val="single"/>
        <w:insideV w:color="b8cce4" w:space="0" w:sz="4" w:val="single"/>
      </w:tblBorders>
    </w:tblPr>
    <w:tblStylePr w:type="firstRow">
      <w:rPr>
        <w:b w:val="1"/>
        <w:bCs w:val="1"/>
      </w:rPr>
      <w:tblPr/>
      <w:tcPr>
        <w:tcBorders>
          <w:bottom w:color="95b3d7" w:space="0" w:sz="12" w:val="single"/>
        </w:tcBorders>
      </w:tcPr>
    </w:tblStylePr>
    <w:tblStylePr w:type="lastRow">
      <w:rPr>
        <w:b w:val="1"/>
        <w:bCs w:val="1"/>
      </w:rPr>
      <w:tblPr/>
      <w:tcPr>
        <w:tcBorders>
          <w:top w:color="95b3d7" w:space="0" w:sz="2" w:val="double"/>
        </w:tcBorders>
      </w:tcPr>
    </w:tblStylePr>
    <w:tblStylePr w:type="firstCol">
      <w:rPr>
        <w:b w:val="1"/>
        <w:bCs w:val="1"/>
      </w:rPr>
    </w:tblStylePr>
    <w:tblStylePr w:type="lastCol">
      <w:rPr>
        <w:b w:val="1"/>
        <w:bCs w:val="1"/>
      </w:rPr>
    </w:tblStylePr>
  </w:style>
  <w:style w:type="numbering" w:styleId="Estiloimportado21" w:customStyle="1">
    <w:name w:val="Estilo importado 21"/>
    <w:rsid w:val="005745B7"/>
  </w:style>
  <w:style w:type="numbering" w:styleId="Estiloimportado11" w:customStyle="1">
    <w:name w:val="Estilo importado 11"/>
    <w:rsid w:val="005745B7"/>
  </w:style>
  <w:style w:type="table" w:styleId="Tablaconcuadrcula14" w:customStyle="1">
    <w:name w:val="Tabla con cuadrícula14"/>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11" w:customStyle="1">
    <w:name w:val="Sin lista11"/>
    <w:next w:val="Sinlista"/>
    <w:uiPriority w:val="99"/>
    <w:semiHidden w:val="1"/>
    <w:unhideWhenUsed w:val="1"/>
    <w:rsid w:val="005745B7"/>
  </w:style>
  <w:style w:type="table" w:styleId="Tablaconcuadrcula22" w:customStyle="1">
    <w:name w:val="Tabla con cuadrícula22"/>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111" w:customStyle="1">
    <w:name w:val="Sin lista111"/>
    <w:next w:val="Sinlista"/>
    <w:uiPriority w:val="99"/>
    <w:semiHidden w:val="1"/>
    <w:unhideWhenUsed w:val="1"/>
    <w:rsid w:val="005745B7"/>
  </w:style>
  <w:style w:type="table" w:styleId="Tablaconcuadrcula112" w:customStyle="1">
    <w:name w:val="Tabla con cuadrícula112"/>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independiente3">
    <w:name w:val="Body Text 3"/>
    <w:basedOn w:val="Normal"/>
    <w:link w:val="Textoindependiente3Car"/>
    <w:uiPriority w:val="99"/>
    <w:semiHidden w:val="1"/>
    <w:unhideWhenUsed w:val="1"/>
    <w:rsid w:val="005745B7"/>
    <w:pPr>
      <w:spacing w:after="120"/>
    </w:pPr>
    <w:rPr>
      <w:sz w:val="16"/>
      <w:szCs w:val="16"/>
      <w:lang w:val="es-MX"/>
    </w:rPr>
  </w:style>
  <w:style w:type="character" w:styleId="Textoindependiente3Car" w:customStyle="1">
    <w:name w:val="Texto independiente 3 Car"/>
    <w:basedOn w:val="Fuentedeprrafopredeter"/>
    <w:link w:val="Textoindependiente3"/>
    <w:uiPriority w:val="99"/>
    <w:semiHidden w:val="1"/>
    <w:rsid w:val="005745B7"/>
    <w:rPr>
      <w:rFonts w:ascii="Times New Roman" w:cs="Times New Roman" w:eastAsia="Times New Roman" w:hAnsi="Times New Roman"/>
      <w:sz w:val="16"/>
      <w:szCs w:val="16"/>
      <w:lang w:eastAsia="es-ES"/>
    </w:rPr>
  </w:style>
  <w:style w:type="paragraph" w:styleId="xmsonormal" w:customStyle="1">
    <w:name w:val="x_msonormal"/>
    <w:basedOn w:val="Normal"/>
    <w:rsid w:val="005745B7"/>
    <w:pPr>
      <w:spacing w:after="100" w:afterAutospacing="1" w:before="100" w:beforeAutospacing="1"/>
    </w:pPr>
    <w:rPr>
      <w:lang w:eastAsia="es-MX" w:val="es-MX"/>
    </w:rPr>
  </w:style>
  <w:style w:type="numbering" w:styleId="Sinlista21" w:customStyle="1">
    <w:name w:val="Sin lista21"/>
    <w:next w:val="Sinlista"/>
    <w:uiPriority w:val="99"/>
    <w:semiHidden w:val="1"/>
    <w:unhideWhenUsed w:val="1"/>
    <w:rsid w:val="005745B7"/>
  </w:style>
  <w:style w:type="numbering" w:styleId="Sinlista31" w:customStyle="1">
    <w:name w:val="Sin lista31"/>
    <w:next w:val="Sinlista"/>
    <w:uiPriority w:val="99"/>
    <w:semiHidden w:val="1"/>
    <w:unhideWhenUsed w:val="1"/>
    <w:rsid w:val="005745B7"/>
  </w:style>
  <w:style w:type="table" w:styleId="Tablaconcuadrcula31" w:customStyle="1">
    <w:name w:val="Tabla con cuadrícula31"/>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41" w:customStyle="1">
    <w:name w:val="Sin lista41"/>
    <w:next w:val="Sinlista"/>
    <w:uiPriority w:val="99"/>
    <w:semiHidden w:val="1"/>
    <w:unhideWhenUsed w:val="1"/>
    <w:rsid w:val="005745B7"/>
  </w:style>
  <w:style w:type="table" w:styleId="Tablaconcuadrcula41" w:customStyle="1">
    <w:name w:val="Tabla con cuadrícula41"/>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5" w:customStyle="1">
    <w:name w:val="Sin lista5"/>
    <w:next w:val="Sinlista"/>
    <w:uiPriority w:val="99"/>
    <w:semiHidden w:val="1"/>
    <w:unhideWhenUsed w:val="1"/>
    <w:rsid w:val="005745B7"/>
  </w:style>
  <w:style w:type="table" w:styleId="Tablaconcuadrcula51" w:customStyle="1">
    <w:name w:val="Tabla con cuadrícula51"/>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21" w:customStyle="1">
    <w:name w:val="Tabla con cuadrícula121"/>
    <w:basedOn w:val="Tablanormal"/>
    <w:next w:val="Tablaconcuadrcula"/>
    <w:uiPriority w:val="5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12" w:customStyle="1">
    <w:name w:val="Sin lista12"/>
    <w:next w:val="Sinlista"/>
    <w:uiPriority w:val="99"/>
    <w:semiHidden w:val="1"/>
    <w:unhideWhenUsed w:val="1"/>
    <w:rsid w:val="005745B7"/>
  </w:style>
  <w:style w:type="table" w:styleId="Tablaconcuadrcula211" w:customStyle="1">
    <w:name w:val="Tabla con cuadrícula211"/>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1111" w:customStyle="1">
    <w:name w:val="Sin lista1111"/>
    <w:next w:val="Sinlista"/>
    <w:uiPriority w:val="99"/>
    <w:semiHidden w:val="1"/>
    <w:unhideWhenUsed w:val="1"/>
    <w:rsid w:val="005745B7"/>
  </w:style>
  <w:style w:type="table" w:styleId="Tablaconcuadrcula1111" w:customStyle="1">
    <w:name w:val="Tabla con cuadrícula1111"/>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211" w:customStyle="1">
    <w:name w:val="Sin lista211"/>
    <w:next w:val="Sinlista"/>
    <w:uiPriority w:val="99"/>
    <w:semiHidden w:val="1"/>
    <w:unhideWhenUsed w:val="1"/>
    <w:rsid w:val="005745B7"/>
  </w:style>
  <w:style w:type="numbering" w:styleId="Sinlista311" w:customStyle="1">
    <w:name w:val="Sin lista311"/>
    <w:next w:val="Sinlista"/>
    <w:uiPriority w:val="99"/>
    <w:semiHidden w:val="1"/>
    <w:unhideWhenUsed w:val="1"/>
    <w:rsid w:val="005745B7"/>
  </w:style>
  <w:style w:type="numbering" w:styleId="Sinlista411" w:customStyle="1">
    <w:name w:val="Sin lista411"/>
    <w:next w:val="Sinlista"/>
    <w:uiPriority w:val="99"/>
    <w:semiHidden w:val="1"/>
    <w:unhideWhenUsed w:val="1"/>
    <w:rsid w:val="005745B7"/>
  </w:style>
  <w:style w:type="table" w:styleId="Tablaconcuadrcula1121" w:customStyle="1">
    <w:name w:val="Tabla con cuadrícula1121"/>
    <w:basedOn w:val="Tablanormal"/>
    <w:next w:val="Tablaconcuadrcula"/>
    <w:uiPriority w:val="39"/>
    <w:rsid w:val="005745B7"/>
    <w:rPr>
      <w:rFonts w:ascii="Cambria" w:eastAsia="Calibri" w:hAnsi="Cambri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Estiloimportado211" w:customStyle="1">
    <w:name w:val="Estilo importado 211"/>
    <w:rsid w:val="005745B7"/>
  </w:style>
  <w:style w:type="numbering" w:styleId="Estiloimportado111" w:customStyle="1">
    <w:name w:val="Estilo importado 111"/>
    <w:rsid w:val="005745B7"/>
  </w:style>
  <w:style w:type="numbering" w:styleId="Sinlista11111" w:customStyle="1">
    <w:name w:val="Sin lista11111"/>
    <w:next w:val="Sinlista"/>
    <w:uiPriority w:val="99"/>
    <w:semiHidden w:val="1"/>
    <w:unhideWhenUsed w:val="1"/>
    <w:rsid w:val="005745B7"/>
  </w:style>
  <w:style w:type="numbering" w:styleId="Sinlista6" w:customStyle="1">
    <w:name w:val="Sin lista6"/>
    <w:next w:val="Sinlista"/>
    <w:uiPriority w:val="99"/>
    <w:semiHidden w:val="1"/>
    <w:unhideWhenUsed w:val="1"/>
    <w:rsid w:val="005745B7"/>
  </w:style>
  <w:style w:type="table" w:styleId="Tablaconcuadrcula6" w:customStyle="1">
    <w:name w:val="Tabla con cuadrícula6"/>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3" w:customStyle="1">
    <w:name w:val="Tabla con cuadrícula113"/>
    <w:basedOn w:val="Tablanormal"/>
    <w:next w:val="Tablaconcuadrcula"/>
    <w:uiPriority w:val="39"/>
    <w:rsid w:val="005745B7"/>
    <w:rPr>
      <w:rFonts w:ascii="Cambria" w:eastAsia="Calibri" w:hAnsi="Cambri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7" w:customStyle="1">
    <w:name w:val="Sin lista7"/>
    <w:next w:val="Sinlista"/>
    <w:uiPriority w:val="99"/>
    <w:semiHidden w:val="1"/>
    <w:unhideWhenUsed w:val="1"/>
    <w:rsid w:val="005745B7"/>
  </w:style>
  <w:style w:type="table" w:styleId="Tablaconcuadrcula7" w:customStyle="1">
    <w:name w:val="Tabla con cuadrícula7"/>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13" w:customStyle="1">
    <w:name w:val="Sin lista13"/>
    <w:next w:val="Sinlista"/>
    <w:uiPriority w:val="99"/>
    <w:semiHidden w:val="1"/>
    <w:unhideWhenUsed w:val="1"/>
    <w:rsid w:val="005745B7"/>
  </w:style>
  <w:style w:type="table" w:styleId="Tablaconcuadrcula131" w:customStyle="1">
    <w:name w:val="Tabla con cuadrícula131"/>
    <w:basedOn w:val="Tablanormal"/>
    <w:next w:val="Tablaconcuadrcula"/>
    <w:uiPriority w:val="5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22" w:customStyle="1">
    <w:name w:val="Sin lista22"/>
    <w:next w:val="Sinlista"/>
    <w:uiPriority w:val="99"/>
    <w:semiHidden w:val="1"/>
    <w:unhideWhenUsed w:val="1"/>
    <w:rsid w:val="005745B7"/>
  </w:style>
  <w:style w:type="numbering" w:styleId="Sinlista32" w:customStyle="1">
    <w:name w:val="Sin lista32"/>
    <w:next w:val="Sinlista"/>
    <w:uiPriority w:val="99"/>
    <w:semiHidden w:val="1"/>
    <w:unhideWhenUsed w:val="1"/>
    <w:rsid w:val="005745B7"/>
  </w:style>
  <w:style w:type="table" w:styleId="Tablaconcuadrcula32" w:customStyle="1">
    <w:name w:val="Tabla con cuadrícula32"/>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42" w:customStyle="1">
    <w:name w:val="Sin lista42"/>
    <w:next w:val="Sinlista"/>
    <w:uiPriority w:val="99"/>
    <w:semiHidden w:val="1"/>
    <w:unhideWhenUsed w:val="1"/>
    <w:rsid w:val="005745B7"/>
  </w:style>
  <w:style w:type="table" w:styleId="Tablaconcuadrcula42" w:customStyle="1">
    <w:name w:val="Tabla con cuadrícula42"/>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51" w:customStyle="1">
    <w:name w:val="Sin lista51"/>
    <w:next w:val="Sinlista"/>
    <w:uiPriority w:val="99"/>
    <w:semiHidden w:val="1"/>
    <w:unhideWhenUsed w:val="1"/>
    <w:rsid w:val="005745B7"/>
  </w:style>
  <w:style w:type="table" w:styleId="Tablaconcuadrcula114" w:customStyle="1">
    <w:name w:val="Tabla con cuadrícula114"/>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61" w:customStyle="1">
    <w:name w:val="Sin lista61"/>
    <w:next w:val="Sinlista"/>
    <w:uiPriority w:val="99"/>
    <w:semiHidden w:val="1"/>
    <w:unhideWhenUsed w:val="1"/>
    <w:rsid w:val="005745B7"/>
  </w:style>
  <w:style w:type="table" w:styleId="Tablaconcuadrcula61" w:customStyle="1">
    <w:name w:val="Tabla con cuadrícula61"/>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Estiloimportado22" w:customStyle="1">
    <w:name w:val="Estilo importado 22"/>
    <w:rsid w:val="005745B7"/>
  </w:style>
  <w:style w:type="numbering" w:styleId="Estiloimportado12" w:customStyle="1">
    <w:name w:val="Estilo importado 12"/>
    <w:rsid w:val="005745B7"/>
  </w:style>
  <w:style w:type="numbering" w:styleId="Sinlista112" w:customStyle="1">
    <w:name w:val="Sin lista112"/>
    <w:next w:val="Sinlista"/>
    <w:uiPriority w:val="99"/>
    <w:semiHidden w:val="1"/>
    <w:unhideWhenUsed w:val="1"/>
    <w:rsid w:val="005745B7"/>
  </w:style>
  <w:style w:type="numbering" w:styleId="Sinlista1112" w:customStyle="1">
    <w:name w:val="Sin lista1112"/>
    <w:next w:val="Sinlista"/>
    <w:uiPriority w:val="99"/>
    <w:semiHidden w:val="1"/>
    <w:unhideWhenUsed w:val="1"/>
    <w:rsid w:val="005745B7"/>
  </w:style>
  <w:style w:type="numbering" w:styleId="Sinlista2111" w:customStyle="1">
    <w:name w:val="Sin lista2111"/>
    <w:next w:val="Sinlista"/>
    <w:uiPriority w:val="99"/>
    <w:semiHidden w:val="1"/>
    <w:unhideWhenUsed w:val="1"/>
    <w:rsid w:val="005745B7"/>
  </w:style>
  <w:style w:type="numbering" w:styleId="Sinlista3111" w:customStyle="1">
    <w:name w:val="Sin lista3111"/>
    <w:next w:val="Sinlista"/>
    <w:uiPriority w:val="99"/>
    <w:semiHidden w:val="1"/>
    <w:unhideWhenUsed w:val="1"/>
    <w:rsid w:val="005745B7"/>
  </w:style>
  <w:style w:type="table" w:styleId="Tablaconcuadrcula311" w:customStyle="1">
    <w:name w:val="Tabla con cuadrícula311"/>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4111" w:customStyle="1">
    <w:name w:val="Sin lista4111"/>
    <w:next w:val="Sinlista"/>
    <w:uiPriority w:val="99"/>
    <w:semiHidden w:val="1"/>
    <w:unhideWhenUsed w:val="1"/>
    <w:rsid w:val="005745B7"/>
  </w:style>
  <w:style w:type="table" w:styleId="Tablaconcuadrcula411" w:customStyle="1">
    <w:name w:val="Tabla con cuadrícula411"/>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511" w:customStyle="1">
    <w:name w:val="Sin lista511"/>
    <w:next w:val="Sinlista"/>
    <w:uiPriority w:val="99"/>
    <w:semiHidden w:val="1"/>
    <w:unhideWhenUsed w:val="1"/>
    <w:rsid w:val="005745B7"/>
  </w:style>
  <w:style w:type="numbering" w:styleId="Sinlista121" w:customStyle="1">
    <w:name w:val="Sin lista121"/>
    <w:next w:val="Sinlista"/>
    <w:uiPriority w:val="99"/>
    <w:semiHidden w:val="1"/>
    <w:unhideWhenUsed w:val="1"/>
    <w:rsid w:val="005745B7"/>
  </w:style>
  <w:style w:type="numbering" w:styleId="Sinlista111111" w:customStyle="1">
    <w:name w:val="Sin lista111111"/>
    <w:next w:val="Sinlista"/>
    <w:uiPriority w:val="99"/>
    <w:semiHidden w:val="1"/>
    <w:unhideWhenUsed w:val="1"/>
    <w:rsid w:val="005745B7"/>
  </w:style>
  <w:style w:type="numbering" w:styleId="Sinlista21111" w:customStyle="1">
    <w:name w:val="Sin lista21111"/>
    <w:next w:val="Sinlista"/>
    <w:uiPriority w:val="99"/>
    <w:semiHidden w:val="1"/>
    <w:unhideWhenUsed w:val="1"/>
    <w:rsid w:val="005745B7"/>
  </w:style>
  <w:style w:type="numbering" w:styleId="Sinlista31111" w:customStyle="1">
    <w:name w:val="Sin lista31111"/>
    <w:next w:val="Sinlista"/>
    <w:uiPriority w:val="99"/>
    <w:semiHidden w:val="1"/>
    <w:unhideWhenUsed w:val="1"/>
    <w:rsid w:val="005745B7"/>
  </w:style>
  <w:style w:type="numbering" w:styleId="Sinlista41111" w:customStyle="1">
    <w:name w:val="Sin lista41111"/>
    <w:next w:val="Sinlista"/>
    <w:uiPriority w:val="99"/>
    <w:semiHidden w:val="1"/>
    <w:unhideWhenUsed w:val="1"/>
    <w:rsid w:val="005745B7"/>
  </w:style>
  <w:style w:type="numbering" w:styleId="Sinlista71" w:customStyle="1">
    <w:name w:val="Sin lista71"/>
    <w:next w:val="Sinlista"/>
    <w:uiPriority w:val="99"/>
    <w:semiHidden w:val="1"/>
    <w:unhideWhenUsed w:val="1"/>
    <w:rsid w:val="005745B7"/>
  </w:style>
  <w:style w:type="table" w:styleId="Tablaconcuadrcula8" w:customStyle="1">
    <w:name w:val="Tabla con cuadrícula8"/>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Estiloimportado2111" w:customStyle="1">
    <w:name w:val="Estilo importado 2111"/>
    <w:rsid w:val="005745B7"/>
  </w:style>
  <w:style w:type="numbering" w:styleId="Estiloimportado1111" w:customStyle="1">
    <w:name w:val="Estilo importado 1111"/>
    <w:rsid w:val="005745B7"/>
  </w:style>
  <w:style w:type="numbering" w:styleId="Sinlista131" w:customStyle="1">
    <w:name w:val="Sin lista131"/>
    <w:next w:val="Sinlista"/>
    <w:uiPriority w:val="99"/>
    <w:semiHidden w:val="1"/>
    <w:unhideWhenUsed w:val="1"/>
    <w:rsid w:val="005745B7"/>
  </w:style>
  <w:style w:type="numbering" w:styleId="Sinlista1121" w:customStyle="1">
    <w:name w:val="Sin lista1121"/>
    <w:next w:val="Sinlista"/>
    <w:uiPriority w:val="99"/>
    <w:semiHidden w:val="1"/>
    <w:unhideWhenUsed w:val="1"/>
    <w:rsid w:val="005745B7"/>
  </w:style>
  <w:style w:type="table" w:styleId="Tablaconcuadrcula11211" w:customStyle="1">
    <w:name w:val="Tabla con cuadrícula11211"/>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221" w:customStyle="1">
    <w:name w:val="Sin lista221"/>
    <w:next w:val="Sinlista"/>
    <w:uiPriority w:val="99"/>
    <w:semiHidden w:val="1"/>
    <w:unhideWhenUsed w:val="1"/>
    <w:rsid w:val="005745B7"/>
  </w:style>
  <w:style w:type="numbering" w:styleId="Sinlista321" w:customStyle="1">
    <w:name w:val="Sin lista321"/>
    <w:next w:val="Sinlista"/>
    <w:uiPriority w:val="99"/>
    <w:semiHidden w:val="1"/>
    <w:unhideWhenUsed w:val="1"/>
    <w:rsid w:val="005745B7"/>
  </w:style>
  <w:style w:type="numbering" w:styleId="Sinlista421" w:customStyle="1">
    <w:name w:val="Sin lista421"/>
    <w:next w:val="Sinlista"/>
    <w:uiPriority w:val="99"/>
    <w:semiHidden w:val="1"/>
    <w:unhideWhenUsed w:val="1"/>
    <w:rsid w:val="005745B7"/>
  </w:style>
  <w:style w:type="numbering" w:styleId="Estiloimportado23" w:customStyle="1">
    <w:name w:val="Estilo importado 23"/>
    <w:rsid w:val="005745B7"/>
  </w:style>
  <w:style w:type="numbering" w:styleId="Estiloimportado13" w:customStyle="1">
    <w:name w:val="Estilo importado 13"/>
    <w:rsid w:val="005745B7"/>
  </w:style>
  <w:style w:type="numbering" w:styleId="Estiloimportado212" w:customStyle="1">
    <w:name w:val="Estilo importado 212"/>
    <w:rsid w:val="005745B7"/>
  </w:style>
  <w:style w:type="numbering" w:styleId="Estiloimportado112" w:customStyle="1">
    <w:name w:val="Estilo importado 112"/>
    <w:rsid w:val="005745B7"/>
  </w:style>
  <w:style w:type="table" w:styleId="Tablaconcuadrcula1122" w:customStyle="1">
    <w:name w:val="Tabla con cuadrícula1122"/>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8" w:customStyle="1">
    <w:name w:val="Sin lista8"/>
    <w:next w:val="Sinlista"/>
    <w:uiPriority w:val="99"/>
    <w:semiHidden w:val="1"/>
    <w:unhideWhenUsed w:val="1"/>
    <w:rsid w:val="005745B7"/>
  </w:style>
  <w:style w:type="table" w:styleId="Tablaconcuadrcula9" w:customStyle="1">
    <w:name w:val="Tabla con cuadrícula9"/>
    <w:basedOn w:val="Tablanormal"/>
    <w:next w:val="Tablaconcuadrcula"/>
    <w:uiPriority w:val="5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14" w:customStyle="1">
    <w:name w:val="Sin lista14"/>
    <w:next w:val="Sinlista"/>
    <w:uiPriority w:val="99"/>
    <w:semiHidden w:val="1"/>
    <w:unhideWhenUsed w:val="1"/>
    <w:rsid w:val="005745B7"/>
  </w:style>
  <w:style w:type="numbering" w:styleId="Sinlista23" w:customStyle="1">
    <w:name w:val="Sin lista23"/>
    <w:next w:val="Sinlista"/>
    <w:uiPriority w:val="99"/>
    <w:semiHidden w:val="1"/>
    <w:unhideWhenUsed w:val="1"/>
    <w:rsid w:val="005745B7"/>
  </w:style>
  <w:style w:type="table" w:styleId="Tablaconcuadrcula23" w:customStyle="1">
    <w:name w:val="Tabla con cuadrícula23"/>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33" w:customStyle="1">
    <w:name w:val="Sin lista33"/>
    <w:next w:val="Sinlista"/>
    <w:uiPriority w:val="99"/>
    <w:semiHidden w:val="1"/>
    <w:unhideWhenUsed w:val="1"/>
    <w:rsid w:val="005745B7"/>
  </w:style>
  <w:style w:type="table" w:styleId="Tablaconcuadrcula33" w:customStyle="1">
    <w:name w:val="Tabla con cuadrícula33"/>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43" w:customStyle="1">
    <w:name w:val="Sin lista43"/>
    <w:next w:val="Sinlista"/>
    <w:uiPriority w:val="99"/>
    <w:semiHidden w:val="1"/>
    <w:unhideWhenUsed w:val="1"/>
    <w:rsid w:val="005745B7"/>
  </w:style>
  <w:style w:type="table" w:styleId="Tablaconcuadrcula43" w:customStyle="1">
    <w:name w:val="Tabla con cuadrícula43"/>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52" w:customStyle="1">
    <w:name w:val="Sin lista52"/>
    <w:next w:val="Sinlista"/>
    <w:uiPriority w:val="99"/>
    <w:semiHidden w:val="1"/>
    <w:unhideWhenUsed w:val="1"/>
    <w:rsid w:val="005745B7"/>
  </w:style>
  <w:style w:type="table" w:styleId="Tablaconcuadrcula52" w:customStyle="1">
    <w:name w:val="Tabla con cuadrícula52"/>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5" w:customStyle="1">
    <w:name w:val="Tabla con cuadrícula115"/>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71" w:customStyle="1">
    <w:name w:val="Tabla con cuadrícula71"/>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62" w:customStyle="1">
    <w:name w:val="Sin lista62"/>
    <w:next w:val="Sinlista"/>
    <w:uiPriority w:val="99"/>
    <w:semiHidden w:val="1"/>
    <w:unhideWhenUsed w:val="1"/>
    <w:rsid w:val="005745B7"/>
  </w:style>
  <w:style w:type="table" w:styleId="Tablaconcuadrcula62" w:customStyle="1">
    <w:name w:val="Tabla con cuadrícula62"/>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Estiloimportado24" w:customStyle="1">
    <w:name w:val="Estilo importado 24"/>
    <w:rsid w:val="005745B7"/>
  </w:style>
  <w:style w:type="numbering" w:styleId="Estiloimportado14" w:customStyle="1">
    <w:name w:val="Estilo importado 14"/>
    <w:rsid w:val="005745B7"/>
  </w:style>
  <w:style w:type="table" w:styleId="Tablaconcuadrcula122" w:customStyle="1">
    <w:name w:val="Tabla con cuadrícula122"/>
    <w:basedOn w:val="Tablanormal"/>
    <w:next w:val="Tablaconcuadrcula"/>
    <w:uiPriority w:val="5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113" w:customStyle="1">
    <w:name w:val="Sin lista113"/>
    <w:next w:val="Sinlista"/>
    <w:uiPriority w:val="99"/>
    <w:semiHidden w:val="1"/>
    <w:unhideWhenUsed w:val="1"/>
    <w:rsid w:val="005745B7"/>
  </w:style>
  <w:style w:type="table" w:styleId="Tablaconcuadrcula212" w:customStyle="1">
    <w:name w:val="Tabla con cuadrícula212"/>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1113" w:customStyle="1">
    <w:name w:val="Sin lista1113"/>
    <w:next w:val="Sinlista"/>
    <w:uiPriority w:val="99"/>
    <w:semiHidden w:val="1"/>
    <w:unhideWhenUsed w:val="1"/>
    <w:rsid w:val="005745B7"/>
  </w:style>
  <w:style w:type="table" w:styleId="Tablaconcuadrcula1112" w:customStyle="1">
    <w:name w:val="Tabla con cuadrícula1112"/>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212" w:customStyle="1">
    <w:name w:val="Sin lista212"/>
    <w:next w:val="Sinlista"/>
    <w:uiPriority w:val="99"/>
    <w:semiHidden w:val="1"/>
    <w:unhideWhenUsed w:val="1"/>
    <w:rsid w:val="005745B7"/>
  </w:style>
  <w:style w:type="numbering" w:styleId="Sinlista312" w:customStyle="1">
    <w:name w:val="Sin lista312"/>
    <w:next w:val="Sinlista"/>
    <w:uiPriority w:val="99"/>
    <w:semiHidden w:val="1"/>
    <w:unhideWhenUsed w:val="1"/>
    <w:rsid w:val="005745B7"/>
  </w:style>
  <w:style w:type="table" w:styleId="Tablaconcuadrcula312" w:customStyle="1">
    <w:name w:val="Tabla con cuadrícula312"/>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412" w:customStyle="1">
    <w:name w:val="Sin lista412"/>
    <w:next w:val="Sinlista"/>
    <w:uiPriority w:val="99"/>
    <w:semiHidden w:val="1"/>
    <w:unhideWhenUsed w:val="1"/>
    <w:rsid w:val="005745B7"/>
  </w:style>
  <w:style w:type="table" w:styleId="Tablaconcuadrcula412" w:customStyle="1">
    <w:name w:val="Tabla con cuadrícula412"/>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512" w:customStyle="1">
    <w:name w:val="Sin lista512"/>
    <w:next w:val="Sinlista"/>
    <w:uiPriority w:val="99"/>
    <w:semiHidden w:val="1"/>
    <w:unhideWhenUsed w:val="1"/>
    <w:rsid w:val="005745B7"/>
  </w:style>
  <w:style w:type="table" w:styleId="Tablaconcuadrcula511" w:customStyle="1">
    <w:name w:val="Tabla con cuadrícula511"/>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122" w:customStyle="1">
    <w:name w:val="Sin lista122"/>
    <w:next w:val="Sinlista"/>
    <w:uiPriority w:val="99"/>
    <w:semiHidden w:val="1"/>
    <w:unhideWhenUsed w:val="1"/>
    <w:rsid w:val="005745B7"/>
  </w:style>
  <w:style w:type="numbering" w:styleId="Sinlista11112" w:customStyle="1">
    <w:name w:val="Sin lista11112"/>
    <w:next w:val="Sinlista"/>
    <w:uiPriority w:val="99"/>
    <w:semiHidden w:val="1"/>
    <w:unhideWhenUsed w:val="1"/>
    <w:rsid w:val="005745B7"/>
  </w:style>
  <w:style w:type="numbering" w:styleId="Sinlista2112" w:customStyle="1">
    <w:name w:val="Sin lista2112"/>
    <w:next w:val="Sinlista"/>
    <w:uiPriority w:val="99"/>
    <w:semiHidden w:val="1"/>
    <w:unhideWhenUsed w:val="1"/>
    <w:rsid w:val="005745B7"/>
  </w:style>
  <w:style w:type="numbering" w:styleId="Sinlista3112" w:customStyle="1">
    <w:name w:val="Sin lista3112"/>
    <w:next w:val="Sinlista"/>
    <w:uiPriority w:val="99"/>
    <w:semiHidden w:val="1"/>
    <w:unhideWhenUsed w:val="1"/>
    <w:rsid w:val="005745B7"/>
  </w:style>
  <w:style w:type="numbering" w:styleId="Sinlista4112" w:customStyle="1">
    <w:name w:val="Sin lista4112"/>
    <w:next w:val="Sinlista"/>
    <w:uiPriority w:val="99"/>
    <w:semiHidden w:val="1"/>
    <w:unhideWhenUsed w:val="1"/>
    <w:rsid w:val="005745B7"/>
  </w:style>
  <w:style w:type="numbering" w:styleId="Sinlista72" w:customStyle="1">
    <w:name w:val="Sin lista72"/>
    <w:next w:val="Sinlista"/>
    <w:uiPriority w:val="99"/>
    <w:semiHidden w:val="1"/>
    <w:unhideWhenUsed w:val="1"/>
    <w:rsid w:val="005745B7"/>
  </w:style>
  <w:style w:type="table" w:styleId="Tablaconcuadrcula81" w:customStyle="1">
    <w:name w:val="Tabla con cuadrícula81"/>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Estiloimportado213" w:customStyle="1">
    <w:name w:val="Estilo importado 213"/>
    <w:rsid w:val="005745B7"/>
  </w:style>
  <w:style w:type="numbering" w:styleId="Estiloimportado113" w:customStyle="1">
    <w:name w:val="Estilo importado 113"/>
    <w:rsid w:val="005745B7"/>
  </w:style>
  <w:style w:type="numbering" w:styleId="Sinlista132" w:customStyle="1">
    <w:name w:val="Sin lista132"/>
    <w:next w:val="Sinlista"/>
    <w:uiPriority w:val="99"/>
    <w:semiHidden w:val="1"/>
    <w:unhideWhenUsed w:val="1"/>
    <w:rsid w:val="005745B7"/>
  </w:style>
  <w:style w:type="table" w:styleId="Tablaconcuadrcula221" w:customStyle="1">
    <w:name w:val="Tabla con cuadrícula221"/>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1122" w:customStyle="1">
    <w:name w:val="Sin lista1122"/>
    <w:next w:val="Sinlista"/>
    <w:uiPriority w:val="99"/>
    <w:semiHidden w:val="1"/>
    <w:unhideWhenUsed w:val="1"/>
    <w:rsid w:val="005745B7"/>
  </w:style>
  <w:style w:type="table" w:styleId="Tablaconcuadrcula1123" w:customStyle="1">
    <w:name w:val="Tabla con cuadrícula1123"/>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222" w:customStyle="1">
    <w:name w:val="Sin lista222"/>
    <w:next w:val="Sinlista"/>
    <w:uiPriority w:val="99"/>
    <w:semiHidden w:val="1"/>
    <w:unhideWhenUsed w:val="1"/>
    <w:rsid w:val="005745B7"/>
  </w:style>
  <w:style w:type="numbering" w:styleId="Sinlista322" w:customStyle="1">
    <w:name w:val="Sin lista322"/>
    <w:next w:val="Sinlista"/>
    <w:uiPriority w:val="99"/>
    <w:semiHidden w:val="1"/>
    <w:unhideWhenUsed w:val="1"/>
    <w:rsid w:val="005745B7"/>
  </w:style>
  <w:style w:type="table" w:styleId="Tablaconcuadrcula321" w:customStyle="1">
    <w:name w:val="Tabla con cuadrícula321"/>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422" w:customStyle="1">
    <w:name w:val="Sin lista422"/>
    <w:next w:val="Sinlista"/>
    <w:uiPriority w:val="99"/>
    <w:semiHidden w:val="1"/>
    <w:unhideWhenUsed w:val="1"/>
    <w:rsid w:val="005745B7"/>
  </w:style>
  <w:style w:type="table" w:styleId="Tablaconcuadrcula421" w:customStyle="1">
    <w:name w:val="Tabla con cuadrícula421"/>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9" w:customStyle="1">
    <w:name w:val="Sin lista9"/>
    <w:next w:val="Sinlista"/>
    <w:uiPriority w:val="99"/>
    <w:semiHidden w:val="1"/>
    <w:unhideWhenUsed w:val="1"/>
    <w:rsid w:val="005745B7"/>
  </w:style>
  <w:style w:type="table" w:styleId="Tablaconcuadrcula10" w:customStyle="1">
    <w:name w:val="Tabla con cuadrícula10"/>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5" w:customStyle="1">
    <w:name w:val="Tabla con cuadrícula15"/>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15" w:customStyle="1">
    <w:name w:val="Sin lista15"/>
    <w:next w:val="Sinlista"/>
    <w:uiPriority w:val="99"/>
    <w:semiHidden w:val="1"/>
    <w:unhideWhenUsed w:val="1"/>
    <w:rsid w:val="005745B7"/>
  </w:style>
  <w:style w:type="table" w:styleId="Tablaconcuadrcula24" w:customStyle="1">
    <w:name w:val="Tabla con cuadrícula24"/>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114" w:customStyle="1">
    <w:name w:val="Sin lista114"/>
    <w:next w:val="Sinlista"/>
    <w:uiPriority w:val="99"/>
    <w:semiHidden w:val="1"/>
    <w:unhideWhenUsed w:val="1"/>
    <w:rsid w:val="005745B7"/>
  </w:style>
  <w:style w:type="table" w:styleId="Tablaconcuadrcula116" w:customStyle="1">
    <w:name w:val="Tabla con cuadrícula116"/>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24" w:customStyle="1">
    <w:name w:val="Sin lista24"/>
    <w:next w:val="Sinlista"/>
    <w:uiPriority w:val="99"/>
    <w:semiHidden w:val="1"/>
    <w:unhideWhenUsed w:val="1"/>
    <w:rsid w:val="005745B7"/>
  </w:style>
  <w:style w:type="numbering" w:styleId="Sinlista34" w:customStyle="1">
    <w:name w:val="Sin lista34"/>
    <w:next w:val="Sinlista"/>
    <w:uiPriority w:val="99"/>
    <w:semiHidden w:val="1"/>
    <w:unhideWhenUsed w:val="1"/>
    <w:rsid w:val="005745B7"/>
  </w:style>
  <w:style w:type="table" w:styleId="Tablaconcuadrcula34" w:customStyle="1">
    <w:name w:val="Tabla con cuadrícula34"/>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44" w:customStyle="1">
    <w:name w:val="Sin lista44"/>
    <w:next w:val="Sinlista"/>
    <w:uiPriority w:val="99"/>
    <w:semiHidden w:val="1"/>
    <w:unhideWhenUsed w:val="1"/>
    <w:rsid w:val="005745B7"/>
  </w:style>
  <w:style w:type="table" w:styleId="Tablaconcuadrcula44" w:customStyle="1">
    <w:name w:val="Tabla con cuadrícula44"/>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53" w:customStyle="1">
    <w:name w:val="Sin lista53"/>
    <w:next w:val="Sinlista"/>
    <w:uiPriority w:val="99"/>
    <w:semiHidden w:val="1"/>
    <w:unhideWhenUsed w:val="1"/>
    <w:rsid w:val="005745B7"/>
  </w:style>
  <w:style w:type="table" w:styleId="Tablaconcuadrcula53" w:customStyle="1">
    <w:name w:val="Tabla con cuadrícula53"/>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23" w:customStyle="1">
    <w:name w:val="Tabla con cuadrícula123"/>
    <w:basedOn w:val="Tablanormal"/>
    <w:next w:val="Tablaconcuadrcula"/>
    <w:uiPriority w:val="5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123" w:customStyle="1">
    <w:name w:val="Sin lista123"/>
    <w:next w:val="Sinlista"/>
    <w:uiPriority w:val="99"/>
    <w:semiHidden w:val="1"/>
    <w:unhideWhenUsed w:val="1"/>
    <w:rsid w:val="005745B7"/>
  </w:style>
  <w:style w:type="table" w:styleId="Tablaconcuadrcula213" w:customStyle="1">
    <w:name w:val="Tabla con cuadrícula213"/>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1114" w:customStyle="1">
    <w:name w:val="Sin lista1114"/>
    <w:next w:val="Sinlista"/>
    <w:uiPriority w:val="99"/>
    <w:semiHidden w:val="1"/>
    <w:unhideWhenUsed w:val="1"/>
    <w:rsid w:val="005745B7"/>
  </w:style>
  <w:style w:type="table" w:styleId="Tablaconcuadrcula1113" w:customStyle="1">
    <w:name w:val="Tabla con cuadrícula1113"/>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213" w:customStyle="1">
    <w:name w:val="Sin lista213"/>
    <w:next w:val="Sinlista"/>
    <w:uiPriority w:val="99"/>
    <w:semiHidden w:val="1"/>
    <w:unhideWhenUsed w:val="1"/>
    <w:rsid w:val="005745B7"/>
  </w:style>
  <w:style w:type="numbering" w:styleId="Sinlista313" w:customStyle="1">
    <w:name w:val="Sin lista313"/>
    <w:next w:val="Sinlista"/>
    <w:uiPriority w:val="99"/>
    <w:semiHidden w:val="1"/>
    <w:unhideWhenUsed w:val="1"/>
    <w:rsid w:val="005745B7"/>
  </w:style>
  <w:style w:type="table" w:styleId="Tablaconcuadrcula313" w:customStyle="1">
    <w:name w:val="Tabla con cuadrícula313"/>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413" w:customStyle="1">
    <w:name w:val="Sin lista413"/>
    <w:next w:val="Sinlista"/>
    <w:uiPriority w:val="99"/>
    <w:semiHidden w:val="1"/>
    <w:unhideWhenUsed w:val="1"/>
    <w:rsid w:val="005745B7"/>
  </w:style>
  <w:style w:type="table" w:styleId="Tablaconcuadrcula413" w:customStyle="1">
    <w:name w:val="Tabla con cuadrícula413"/>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24" w:customStyle="1">
    <w:name w:val="Tabla con cuadrícula1124"/>
    <w:basedOn w:val="Tablanormal"/>
    <w:next w:val="Tablaconcuadrcula"/>
    <w:uiPriority w:val="39"/>
    <w:rsid w:val="005745B7"/>
    <w:rPr>
      <w:rFonts w:ascii="Cambria" w:eastAsia="Calibri" w:hAnsi="Cambri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Estiloimportado214" w:customStyle="1">
    <w:name w:val="Estilo importado 214"/>
    <w:rsid w:val="005745B7"/>
  </w:style>
  <w:style w:type="numbering" w:styleId="Estiloimportado114" w:customStyle="1">
    <w:name w:val="Estilo importado 114"/>
    <w:rsid w:val="005745B7"/>
  </w:style>
  <w:style w:type="numbering" w:styleId="Sinlista11113" w:customStyle="1">
    <w:name w:val="Sin lista11113"/>
    <w:next w:val="Sinlista"/>
    <w:uiPriority w:val="99"/>
    <w:semiHidden w:val="1"/>
    <w:unhideWhenUsed w:val="1"/>
    <w:rsid w:val="005745B7"/>
  </w:style>
  <w:style w:type="numbering" w:styleId="Sinlista63" w:customStyle="1">
    <w:name w:val="Sin lista63"/>
    <w:next w:val="Sinlista"/>
    <w:uiPriority w:val="99"/>
    <w:semiHidden w:val="1"/>
    <w:unhideWhenUsed w:val="1"/>
    <w:rsid w:val="005745B7"/>
  </w:style>
  <w:style w:type="table" w:styleId="Tablaconcuadrcula63" w:customStyle="1">
    <w:name w:val="Tabla con cuadrícula63"/>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rancesa" w:customStyle="1">
    <w:name w:val="francesa"/>
    <w:basedOn w:val="Normal"/>
    <w:rsid w:val="005745B7"/>
    <w:pPr>
      <w:spacing w:after="100" w:afterAutospacing="1" w:before="100" w:beforeAutospacing="1"/>
    </w:pPr>
    <w:rPr>
      <w:lang w:eastAsia="es-MX" w:val="es-MX"/>
    </w:rPr>
  </w:style>
  <w:style w:type="table" w:styleId="Tablaconcuadrcula117" w:customStyle="1">
    <w:name w:val="Tabla con cuadrícula117"/>
    <w:basedOn w:val="Tablanormal"/>
    <w:next w:val="Tablaconcuadrcula"/>
    <w:uiPriority w:val="39"/>
    <w:rsid w:val="005745B7"/>
    <w:rPr>
      <w:rFonts w:ascii="Cambria" w:eastAsia="Calibri" w:hAnsi="Cambri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10" w:customStyle="1">
    <w:name w:val="Sin lista10"/>
    <w:next w:val="Sinlista"/>
    <w:uiPriority w:val="99"/>
    <w:semiHidden w:val="1"/>
    <w:unhideWhenUsed w:val="1"/>
    <w:rsid w:val="005745B7"/>
  </w:style>
  <w:style w:type="table" w:styleId="Tablaconcuadrcula16" w:customStyle="1">
    <w:name w:val="Tabla con cuadrícula16"/>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Estiloimportado25" w:customStyle="1">
    <w:name w:val="Estilo importado 25"/>
    <w:rsid w:val="005745B7"/>
  </w:style>
  <w:style w:type="numbering" w:styleId="Estiloimportado15" w:customStyle="1">
    <w:name w:val="Estilo importado 15"/>
    <w:rsid w:val="005745B7"/>
  </w:style>
  <w:style w:type="table" w:styleId="Tablaconcuadrcula1114" w:customStyle="1">
    <w:name w:val="Tabla con cuadrícula1114"/>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16" w:customStyle="1">
    <w:name w:val="Sin lista16"/>
    <w:next w:val="Sinlista"/>
    <w:uiPriority w:val="99"/>
    <w:semiHidden w:val="1"/>
    <w:unhideWhenUsed w:val="1"/>
    <w:rsid w:val="005745B7"/>
  </w:style>
  <w:style w:type="table" w:styleId="Tablaconcuadrcula17" w:customStyle="1">
    <w:name w:val="Tabla con cuadrícula17"/>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8" w:customStyle="1">
    <w:name w:val="Tabla con cuadrícula118"/>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25" w:customStyle="1">
    <w:name w:val="Tabla con cuadrícula1125"/>
    <w:basedOn w:val="Tablanormal"/>
    <w:next w:val="Tablaconcuadrcula"/>
    <w:uiPriority w:val="39"/>
    <w:rsid w:val="005745B7"/>
    <w:rPr>
      <w:rFonts w:ascii="Cambria" w:eastAsia="Calibri" w:hAnsi="Cambri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25" w:customStyle="1">
    <w:name w:val="Tabla con cuadrícula25"/>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115" w:customStyle="1">
    <w:name w:val="Sin lista115"/>
    <w:next w:val="Sinlista"/>
    <w:uiPriority w:val="99"/>
    <w:semiHidden w:val="1"/>
    <w:unhideWhenUsed w:val="1"/>
    <w:rsid w:val="005745B7"/>
  </w:style>
  <w:style w:type="numbering" w:styleId="Sinlista25" w:customStyle="1">
    <w:name w:val="Sin lista25"/>
    <w:next w:val="Sinlista"/>
    <w:uiPriority w:val="99"/>
    <w:semiHidden w:val="1"/>
    <w:unhideWhenUsed w:val="1"/>
    <w:rsid w:val="005745B7"/>
  </w:style>
  <w:style w:type="numbering" w:styleId="Sinlista35" w:customStyle="1">
    <w:name w:val="Sin lista35"/>
    <w:next w:val="Sinlista"/>
    <w:uiPriority w:val="99"/>
    <w:semiHidden w:val="1"/>
    <w:unhideWhenUsed w:val="1"/>
    <w:rsid w:val="005745B7"/>
  </w:style>
  <w:style w:type="table" w:styleId="Tablaconcuadrcula35" w:customStyle="1">
    <w:name w:val="Tabla con cuadrícula35"/>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45" w:customStyle="1">
    <w:name w:val="Sin lista45"/>
    <w:next w:val="Sinlista"/>
    <w:uiPriority w:val="99"/>
    <w:semiHidden w:val="1"/>
    <w:unhideWhenUsed w:val="1"/>
    <w:rsid w:val="005745B7"/>
  </w:style>
  <w:style w:type="table" w:styleId="Tablaconcuadrcula45" w:customStyle="1">
    <w:name w:val="Tabla con cuadrícula45"/>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54" w:customStyle="1">
    <w:name w:val="Sin lista54"/>
    <w:next w:val="Sinlista"/>
    <w:uiPriority w:val="99"/>
    <w:semiHidden w:val="1"/>
    <w:unhideWhenUsed w:val="1"/>
    <w:rsid w:val="005745B7"/>
  </w:style>
  <w:style w:type="table" w:styleId="Tablaconcuadrcula54" w:customStyle="1">
    <w:name w:val="Tabla con cuadrícula54"/>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24" w:customStyle="1">
    <w:name w:val="Tabla con cuadrícula124"/>
    <w:basedOn w:val="Tablanormal"/>
    <w:next w:val="Tablaconcuadrcula"/>
    <w:uiPriority w:val="5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124" w:customStyle="1">
    <w:name w:val="Sin lista124"/>
    <w:next w:val="Sinlista"/>
    <w:uiPriority w:val="99"/>
    <w:semiHidden w:val="1"/>
    <w:unhideWhenUsed w:val="1"/>
    <w:rsid w:val="005745B7"/>
  </w:style>
  <w:style w:type="table" w:styleId="Tablaconcuadrcula214" w:customStyle="1">
    <w:name w:val="Tabla con cuadrícula214"/>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1115" w:customStyle="1">
    <w:name w:val="Sin lista1115"/>
    <w:next w:val="Sinlista"/>
    <w:uiPriority w:val="99"/>
    <w:semiHidden w:val="1"/>
    <w:unhideWhenUsed w:val="1"/>
    <w:rsid w:val="005745B7"/>
  </w:style>
  <w:style w:type="numbering" w:styleId="Sinlista214" w:customStyle="1">
    <w:name w:val="Sin lista214"/>
    <w:next w:val="Sinlista"/>
    <w:uiPriority w:val="99"/>
    <w:semiHidden w:val="1"/>
    <w:unhideWhenUsed w:val="1"/>
    <w:rsid w:val="005745B7"/>
  </w:style>
  <w:style w:type="numbering" w:styleId="Sinlista314" w:customStyle="1">
    <w:name w:val="Sin lista314"/>
    <w:next w:val="Sinlista"/>
    <w:uiPriority w:val="99"/>
    <w:semiHidden w:val="1"/>
    <w:unhideWhenUsed w:val="1"/>
    <w:rsid w:val="005745B7"/>
  </w:style>
  <w:style w:type="table" w:styleId="Tablaconcuadrcula314" w:customStyle="1">
    <w:name w:val="Tabla con cuadrícula314"/>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414" w:customStyle="1">
    <w:name w:val="Sin lista414"/>
    <w:next w:val="Sinlista"/>
    <w:uiPriority w:val="99"/>
    <w:semiHidden w:val="1"/>
    <w:unhideWhenUsed w:val="1"/>
    <w:rsid w:val="005745B7"/>
  </w:style>
  <w:style w:type="table" w:styleId="Tablaconcuadrcula414" w:customStyle="1">
    <w:name w:val="Tabla con cuadrícula414"/>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111" w:customStyle="1">
    <w:name w:val="Tabla con cuadrícula11111"/>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Estiloimportado215" w:customStyle="1">
    <w:name w:val="Estilo importado 215"/>
    <w:rsid w:val="005745B7"/>
  </w:style>
  <w:style w:type="numbering" w:styleId="Estiloimportado115" w:customStyle="1">
    <w:name w:val="Estilo importado 115"/>
    <w:rsid w:val="005745B7"/>
  </w:style>
  <w:style w:type="numbering" w:styleId="Sinlista64" w:customStyle="1">
    <w:name w:val="Sin lista64"/>
    <w:next w:val="Sinlista"/>
    <w:uiPriority w:val="99"/>
    <w:semiHidden w:val="1"/>
    <w:unhideWhenUsed w:val="1"/>
    <w:rsid w:val="005745B7"/>
  </w:style>
  <w:style w:type="table" w:styleId="Tablaconcuadrcula64" w:customStyle="1">
    <w:name w:val="Tabla con cuadrícula64"/>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73" w:customStyle="1">
    <w:name w:val="Sin lista73"/>
    <w:next w:val="Sinlista"/>
    <w:uiPriority w:val="99"/>
    <w:semiHidden w:val="1"/>
    <w:unhideWhenUsed w:val="1"/>
    <w:rsid w:val="005745B7"/>
  </w:style>
  <w:style w:type="table" w:styleId="Tablaconcuadrcula72" w:customStyle="1">
    <w:name w:val="Tabla con cuadrícula72"/>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Estiloimportado221" w:customStyle="1">
    <w:name w:val="Estilo importado 221"/>
    <w:rsid w:val="005745B7"/>
  </w:style>
  <w:style w:type="numbering" w:styleId="Estiloimportado121" w:customStyle="1">
    <w:name w:val="Estilo importado 121"/>
    <w:rsid w:val="005745B7"/>
  </w:style>
  <w:style w:type="table" w:styleId="Tablaconcuadrcula11121" w:customStyle="1">
    <w:name w:val="Tabla con cuadrícula11121"/>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133" w:customStyle="1">
    <w:name w:val="Sin lista133"/>
    <w:next w:val="Sinlista"/>
    <w:uiPriority w:val="99"/>
    <w:semiHidden w:val="1"/>
    <w:unhideWhenUsed w:val="1"/>
    <w:rsid w:val="005745B7"/>
  </w:style>
  <w:style w:type="table" w:styleId="Tablaconcuadrcula132" w:customStyle="1">
    <w:name w:val="Tabla con cuadrícula132"/>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31" w:customStyle="1">
    <w:name w:val="Tabla con cuadrícula1131"/>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2111" w:customStyle="1">
    <w:name w:val="Tabla con cuadrícula112111"/>
    <w:basedOn w:val="Tablanormal"/>
    <w:next w:val="Tablaconcuadrcula"/>
    <w:uiPriority w:val="39"/>
    <w:rsid w:val="005745B7"/>
    <w:rPr>
      <w:rFonts w:ascii="Cambria" w:eastAsia="Calibri" w:hAnsi="Cambri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222" w:customStyle="1">
    <w:name w:val="Tabla con cuadrícula222"/>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1123" w:customStyle="1">
    <w:name w:val="Sin lista1123"/>
    <w:next w:val="Sinlista"/>
    <w:uiPriority w:val="99"/>
    <w:semiHidden w:val="1"/>
    <w:unhideWhenUsed w:val="1"/>
    <w:rsid w:val="005745B7"/>
  </w:style>
  <w:style w:type="numbering" w:styleId="Sinlista223" w:customStyle="1">
    <w:name w:val="Sin lista223"/>
    <w:next w:val="Sinlista"/>
    <w:uiPriority w:val="99"/>
    <w:semiHidden w:val="1"/>
    <w:unhideWhenUsed w:val="1"/>
    <w:rsid w:val="005745B7"/>
  </w:style>
  <w:style w:type="numbering" w:styleId="Sinlista323" w:customStyle="1">
    <w:name w:val="Sin lista323"/>
    <w:next w:val="Sinlista"/>
    <w:uiPriority w:val="99"/>
    <w:semiHidden w:val="1"/>
    <w:unhideWhenUsed w:val="1"/>
    <w:rsid w:val="005745B7"/>
  </w:style>
  <w:style w:type="table" w:styleId="Tablaconcuadrcula322" w:customStyle="1">
    <w:name w:val="Tabla con cuadrícula322"/>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423" w:customStyle="1">
    <w:name w:val="Sin lista423"/>
    <w:next w:val="Sinlista"/>
    <w:uiPriority w:val="99"/>
    <w:semiHidden w:val="1"/>
    <w:unhideWhenUsed w:val="1"/>
    <w:rsid w:val="005745B7"/>
  </w:style>
  <w:style w:type="table" w:styleId="Tablaconcuadrcula422" w:customStyle="1">
    <w:name w:val="Tabla con cuadrícula422"/>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513" w:customStyle="1">
    <w:name w:val="Sin lista513"/>
    <w:next w:val="Sinlista"/>
    <w:uiPriority w:val="99"/>
    <w:semiHidden w:val="1"/>
    <w:unhideWhenUsed w:val="1"/>
    <w:rsid w:val="005745B7"/>
  </w:style>
  <w:style w:type="table" w:styleId="Tablaconcuadrcula512" w:customStyle="1">
    <w:name w:val="Tabla con cuadrícula512"/>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211" w:customStyle="1">
    <w:name w:val="Tabla con cuadrícula1211"/>
    <w:basedOn w:val="Tablanormal"/>
    <w:next w:val="Tablaconcuadrcula"/>
    <w:uiPriority w:val="5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1211" w:customStyle="1">
    <w:name w:val="Sin lista1211"/>
    <w:next w:val="Sinlista"/>
    <w:uiPriority w:val="99"/>
    <w:semiHidden w:val="1"/>
    <w:unhideWhenUsed w:val="1"/>
    <w:rsid w:val="005745B7"/>
  </w:style>
  <w:style w:type="table" w:styleId="Tablaconcuadrcula2111" w:customStyle="1">
    <w:name w:val="Tabla con cuadrícula2111"/>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11114" w:customStyle="1">
    <w:name w:val="Sin lista11114"/>
    <w:next w:val="Sinlista"/>
    <w:uiPriority w:val="99"/>
    <w:semiHidden w:val="1"/>
    <w:unhideWhenUsed w:val="1"/>
    <w:rsid w:val="005745B7"/>
  </w:style>
  <w:style w:type="numbering" w:styleId="Sinlista2113" w:customStyle="1">
    <w:name w:val="Sin lista2113"/>
    <w:next w:val="Sinlista"/>
    <w:uiPriority w:val="99"/>
    <w:semiHidden w:val="1"/>
    <w:unhideWhenUsed w:val="1"/>
    <w:rsid w:val="005745B7"/>
  </w:style>
  <w:style w:type="numbering" w:styleId="Sinlista3113" w:customStyle="1">
    <w:name w:val="Sin lista3113"/>
    <w:next w:val="Sinlista"/>
    <w:uiPriority w:val="99"/>
    <w:semiHidden w:val="1"/>
    <w:unhideWhenUsed w:val="1"/>
    <w:rsid w:val="005745B7"/>
  </w:style>
  <w:style w:type="table" w:styleId="Tablaconcuadrcula3111" w:customStyle="1">
    <w:name w:val="Tabla con cuadrícula3111"/>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4113" w:customStyle="1">
    <w:name w:val="Sin lista4113"/>
    <w:next w:val="Sinlista"/>
    <w:uiPriority w:val="99"/>
    <w:semiHidden w:val="1"/>
    <w:unhideWhenUsed w:val="1"/>
    <w:rsid w:val="005745B7"/>
  </w:style>
  <w:style w:type="table" w:styleId="Tablaconcuadrcula4111" w:customStyle="1">
    <w:name w:val="Tabla con cuadrícula4111"/>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112" w:customStyle="1">
    <w:name w:val="Tabla con cuadrícula11112"/>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1111" w:customStyle="1">
    <w:name w:val="Tabla con cuadrícula111111"/>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Estiloimportado21111" w:customStyle="1">
    <w:name w:val="Estilo importado 21111"/>
    <w:rsid w:val="005745B7"/>
  </w:style>
  <w:style w:type="numbering" w:styleId="Estiloimportado11111" w:customStyle="1">
    <w:name w:val="Estilo importado 11111"/>
    <w:rsid w:val="005745B7"/>
  </w:style>
  <w:style w:type="numbering" w:styleId="Sinlista611" w:customStyle="1">
    <w:name w:val="Sin lista611"/>
    <w:next w:val="Sinlista"/>
    <w:uiPriority w:val="99"/>
    <w:semiHidden w:val="1"/>
    <w:unhideWhenUsed w:val="1"/>
    <w:rsid w:val="005745B7"/>
  </w:style>
  <w:style w:type="table" w:styleId="Tablaconcuadrcula611" w:customStyle="1">
    <w:name w:val="Tabla con cuadrícula611"/>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711" w:customStyle="1">
    <w:name w:val="Tabla con cuadrícula711"/>
    <w:basedOn w:val="Tablanormal"/>
    <w:next w:val="Tablaconcuadrcula"/>
    <w:uiPriority w:val="39"/>
    <w:rsid w:val="005745B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Estiloimportado231" w:customStyle="1">
    <w:name w:val="Estilo importado 231"/>
    <w:rsid w:val="005745B7"/>
  </w:style>
  <w:style w:type="numbering" w:styleId="Estiloimportado131" w:customStyle="1">
    <w:name w:val="Estilo importado 131"/>
    <w:rsid w:val="005745B7"/>
  </w:style>
  <w:style w:type="table" w:styleId="Tablaconcuadrcula11221" w:customStyle="1">
    <w:name w:val="Tabla con cuadrícula11221"/>
    <w:basedOn w:val="Tablanormal"/>
    <w:next w:val="Tablaconcuadrcula"/>
    <w:uiPriority w:val="39"/>
    <w:rsid w:val="005745B7"/>
    <w:rPr>
      <w:rFonts w:ascii="Cambria" w:eastAsia="Calibri" w:hAnsi="Cambri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8" w:customStyle="1">
    <w:name w:val="Tabla con cuadrícula18"/>
    <w:basedOn w:val="Tablanormal"/>
    <w:next w:val="Tablaconcuadrcula"/>
    <w:uiPriority w:val="59"/>
    <w:rsid w:val="005745B7"/>
    <w:rPr>
      <w:rFonts w:ascii="Calibri" w:eastAsia="Calibri" w:hAnsi="Calibri"/>
      <w:lang w:val="es-ES"/>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Tabladecuadrcula4-nfasis31" w:customStyle="1">
    <w:name w:val="Tabla de cuadrícula 4 - Énfasis 31"/>
    <w:basedOn w:val="Tablanormal"/>
    <w:uiPriority w:val="49"/>
    <w:rsid w:val="005745B7"/>
    <w:tblPr>
      <w:tblStyleRowBandSize w:val="1"/>
      <w:tblStyleColBandSize w:val="1"/>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Pr>
    <w:tblStylePr w:type="firstRow">
      <w:rPr>
        <w:b w:val="1"/>
        <w:bCs w:val="1"/>
        <w:color w:val="ffffff"/>
      </w:rPr>
      <w:tblPr/>
      <w:tcPr>
        <w:tcBorders>
          <w:top w:color="9bbb59" w:space="0" w:sz="4" w:val="single"/>
          <w:left w:color="9bbb59" w:space="0" w:sz="4" w:val="single"/>
          <w:bottom w:color="9bbb59" w:space="0" w:sz="4" w:val="single"/>
          <w:right w:color="9bbb59" w:space="0" w:sz="4" w:val="single"/>
          <w:insideH w:space="0" w:sz="0" w:val="nil"/>
          <w:insideV w:space="0" w:sz="0" w:val="nil"/>
        </w:tcBorders>
        <w:shd w:color="auto" w:fill="9bbb59" w:val="clear"/>
      </w:tcPr>
    </w:tblStylePr>
    <w:tblStylePr w:type="lastRow">
      <w:rPr>
        <w:b w:val="1"/>
        <w:bCs w:val="1"/>
      </w:rPr>
      <w:tblPr/>
      <w:tcPr>
        <w:tcBorders>
          <w:top w:color="9bbb59" w:space="0" w:sz="4" w:val="double"/>
        </w:tcBorders>
      </w:tcPr>
    </w:tblStylePr>
    <w:tblStylePr w:type="firstCol">
      <w:rPr>
        <w:b w:val="1"/>
        <w:bCs w:val="1"/>
      </w:rPr>
    </w:tblStylePr>
    <w:tblStylePr w:type="lastCol">
      <w:rPr>
        <w:b w:val="1"/>
        <w:bCs w:val="1"/>
      </w:rPr>
    </w:tblStylePr>
    <w:tblStylePr w:type="band1Vert">
      <w:tblPr/>
      <w:tcPr>
        <w:shd w:color="auto" w:fill="eaf1dd" w:val="clear"/>
      </w:tcPr>
    </w:tblStylePr>
    <w:tblStylePr w:type="band1Horz">
      <w:tblPr/>
      <w:tcPr>
        <w:shd w:color="auto" w:fill="eaf1dd" w:val="clear"/>
      </w:tcPr>
    </w:tblStylePr>
  </w:style>
  <w:style w:type="numbering" w:styleId="Sinlista17" w:customStyle="1">
    <w:name w:val="Sin lista17"/>
    <w:next w:val="Sinlista"/>
    <w:uiPriority w:val="99"/>
    <w:semiHidden w:val="1"/>
    <w:unhideWhenUsed w:val="1"/>
    <w:rsid w:val="00B00625"/>
  </w:style>
  <w:style w:type="table" w:styleId="Tablaconcuadrcula19" w:customStyle="1">
    <w:name w:val="Tabla con cuadrícula19"/>
    <w:basedOn w:val="Tablanormal"/>
    <w:next w:val="Tablaconcuadrcula"/>
    <w:uiPriority w:val="59"/>
    <w:rsid w:val="00B00625"/>
    <w:rPr>
      <w:rFonts w:eastAsia="MS Mincho"/>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0" w:customStyle="1">
    <w:name w:val="Tabla con cuadrícula110"/>
    <w:basedOn w:val="Tablanormal"/>
    <w:next w:val="Tablaconcuadrcula"/>
    <w:uiPriority w:val="39"/>
    <w:rsid w:val="00B00625"/>
    <w:rPr>
      <w:rFonts w:ascii="Cambria" w:eastAsia="MS Mincho" w:hAnsi="Cambr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delista1clara-nfasis1115" w:customStyle="1">
    <w:name w:val="Tabla de lista 1 clara - Énfasis 1115"/>
    <w:basedOn w:val="Tablanormal"/>
    <w:next w:val="Tabladelista1clara-nfasis1"/>
    <w:uiPriority w:val="46"/>
    <w:rsid w:val="00B00625"/>
    <w:rPr>
      <w:rFonts w:eastAsia="MS Mincho"/>
      <w:lang w:eastAsia="es-ES" w:val="es-ES_tradnl"/>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table" w:styleId="Tabladelista1clara-nfasis15" w:customStyle="1">
    <w:name w:val="Tabla de lista 1 clara - Énfasis 15"/>
    <w:basedOn w:val="Tablanormal"/>
    <w:next w:val="Tabladelista1clara-nfasis1"/>
    <w:uiPriority w:val="46"/>
    <w:rsid w:val="00B00625"/>
    <w:rPr>
      <w:rFonts w:eastAsia="MS Mincho"/>
      <w:lang w:eastAsia="es-ES" w:val="es-ES_tradnl"/>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table" w:styleId="Tabladelista1clara-nfasis11114" w:customStyle="1">
    <w:name w:val="Tabla de lista 1 clara - Énfasis 11114"/>
    <w:basedOn w:val="Tablanormal"/>
    <w:next w:val="Tabladelista1clara-nfasis1"/>
    <w:uiPriority w:val="46"/>
    <w:rsid w:val="00B00625"/>
    <w:rPr>
      <w:rFonts w:eastAsia="MS Mincho"/>
      <w:lang w:eastAsia="es-ES" w:val="es-ES_tradnl"/>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table" w:styleId="Tabladelista1clara-nfasis11121" w:customStyle="1">
    <w:name w:val="Tabla de lista 1 clara - Énfasis 11121"/>
    <w:basedOn w:val="Tablanormal"/>
    <w:next w:val="Tabladelista1clara-nfasis1"/>
    <w:uiPriority w:val="46"/>
    <w:rsid w:val="00B00625"/>
    <w:rPr>
      <w:rFonts w:eastAsia="MS Mincho"/>
      <w:lang w:eastAsia="es-ES" w:val="es-ES_tradnl"/>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Mencinsinresolver1" w:customStyle="1">
    <w:name w:val="Mención sin resolver1"/>
    <w:basedOn w:val="Fuentedeprrafopredeter"/>
    <w:uiPriority w:val="99"/>
    <w:semiHidden w:val="1"/>
    <w:unhideWhenUsed w:val="1"/>
    <w:rsid w:val="00DE72AA"/>
    <w:rPr>
      <w:color w:val="605e5c"/>
      <w:shd w:color="auto" w:fill="e1dfdd" w:val="clear"/>
    </w:rPr>
  </w:style>
  <w:style w:type="character" w:styleId="Hipervnculo1" w:customStyle="1">
    <w:name w:val="Hipervínculo1"/>
    <w:basedOn w:val="Fuentedeprrafopredeter"/>
    <w:uiPriority w:val="99"/>
    <w:unhideWhenUsed w:val="1"/>
    <w:rsid w:val="00FD0E69"/>
    <w:rPr>
      <w:color w:val="0000ff"/>
      <w:u w:val="single"/>
    </w:rPr>
  </w:style>
  <w:style w:type="character" w:styleId="apple-tab-span" w:customStyle="1">
    <w:name w:val="apple-tab-span"/>
    <w:basedOn w:val="Fuentedeprrafopredeter"/>
    <w:rsid w:val="00EC0500"/>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rPr>
      <w:rFonts w:ascii="Cambria" w:cs="Cambria" w:eastAsia="Cambria" w:hAnsi="Cambria"/>
    </w:rPr>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mbria" w:cs="Cambria" w:eastAsia="Cambria" w:hAnsi="Cambria"/>
    </w:rPr>
    <w:tblPr>
      <w:tblStyleRowBandSize w:val="1"/>
      <w:tblStyleColBandSize w:val="1"/>
      <w:tblCellMar>
        <w:top w:w="0.0" w:type="dxa"/>
        <w:left w:w="115.0" w:type="dxa"/>
        <w:bottom w:w="0.0" w:type="dxa"/>
        <w:right w:w="115.0" w:type="dxa"/>
      </w:tblCellMar>
    </w:tblPr>
    <w:tblStylePr w:type="band1Horz">
      <w:tcPr>
        <w:shd w:fill="dbe5f1" w:val="clear"/>
      </w:tcPr>
    </w:tblStylePr>
    <w:tblStylePr w:type="band1Vert">
      <w:tcPr>
        <w:shd w:fill="dbe5f1" w:val="clear"/>
      </w:tcPr>
    </w:tblStylePr>
    <w:tblStylePr w:type="firstCol">
      <w:rPr>
        <w:b w:val="1"/>
      </w:rPr>
    </w:tblStylePr>
    <w:tblStylePr w:type="firstRow">
      <w:rPr>
        <w:b w:val="1"/>
      </w:rPr>
      <w:tcPr>
        <w:tcBorders>
          <w:bottom w:color="95b3d7" w:space="0" w:sz="4" w:val="single"/>
        </w:tcBorders>
      </w:tcPr>
    </w:tblStylePr>
    <w:tblStylePr w:type="lastCol">
      <w:rPr>
        <w:b w:val="1"/>
      </w:rPr>
    </w:tblStylePr>
    <w:tblStylePr w:type="lastRow">
      <w:rPr>
        <w:b w:val="1"/>
      </w:rPr>
      <w:tcPr>
        <w:tcBorders>
          <w:top w:color="95b3d7" w:space="0" w:sz="4" w:val="single"/>
        </w:tcBorders>
      </w:tcPr>
    </w:tblStylePr>
  </w:style>
  <w:style w:type="table" w:styleId="Table2">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3">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4">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M3r3lJOH/PazGYXlhNWQJOZdKg==">AMUW2mXpyKNCwW7BtXjkD4UhPy0o2Xa67UDBqJLYcf0orNzMsQyl3UMwJaV063iu5SxskgxFGe+prp8ruzpXBZBMRrK+cgqzYycokkXjIacScS6Wq3dmrutz9TcFXNZvOEcbegUbNeiXBhHiOXIguo1WjqueXiPiPFWEBYibpcdatzBjLCsv1iYVXltkiw/POacVVN9c/XRt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2022-02-08T21:26:00Z</dcterms:created>
  <dc:creator>USUARIO</dc:creator>
</cp:coreProperties>
</file>