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DF63" w14:textId="2F1157E7" w:rsidR="00AE4B84" w:rsidRPr="00691611" w:rsidRDefault="007E0799" w:rsidP="00AE4B84">
      <w:pPr>
        <w:spacing w:line="360" w:lineRule="auto"/>
        <w:jc w:val="both"/>
        <w:rPr>
          <w:rFonts w:ascii="Palatino Linotype" w:hAnsi="Palatino Linotype"/>
        </w:rPr>
      </w:pPr>
      <w:r>
        <w:rPr>
          <w:rFonts w:ascii="Palatino Linotype" w:hAnsi="Palatino Linotype"/>
          <w:lang w:eastAsia="es-ES"/>
        </w:rPr>
        <w:t xml:space="preserve"> </w:t>
      </w:r>
      <w:r w:rsidR="00AE4B84" w:rsidRPr="00691611">
        <w:rPr>
          <w:rFonts w:ascii="Palatino Linotype" w:hAnsi="Palatino Linotype"/>
          <w:lang w:eastAsia="es-ES"/>
        </w:rPr>
        <w:t xml:space="preserve">Resolución del Pleno del Instituto de Transparencia, Acceso a la Información Pública y Protección de Datos Personales del Estado de México y Municipios, con domicilio en Metepec, Estado de México; de </w:t>
      </w:r>
      <w:r w:rsidR="0046109F" w:rsidRPr="00691611">
        <w:rPr>
          <w:rFonts w:ascii="Palatino Linotype" w:hAnsi="Palatino Linotype"/>
          <w:lang w:eastAsia="es-ES"/>
        </w:rPr>
        <w:t>fecha</w:t>
      </w:r>
      <w:r w:rsidR="00AE4B84" w:rsidRPr="00691611">
        <w:rPr>
          <w:rFonts w:ascii="Palatino Linotype" w:hAnsi="Palatino Linotype"/>
          <w:lang w:eastAsia="es-ES"/>
        </w:rPr>
        <w:t xml:space="preserve"> </w:t>
      </w:r>
      <w:r w:rsidR="00E01E66" w:rsidRPr="00691611">
        <w:rPr>
          <w:rFonts w:ascii="Palatino Linotype" w:hAnsi="Palatino Linotype"/>
          <w:lang w:eastAsia="es-ES"/>
        </w:rPr>
        <w:t>nueve (09</w:t>
      </w:r>
      <w:r w:rsidR="004B4E36" w:rsidRPr="00691611">
        <w:rPr>
          <w:rFonts w:ascii="Palatino Linotype" w:hAnsi="Palatino Linotype"/>
          <w:lang w:eastAsia="es-ES"/>
        </w:rPr>
        <w:t>)</w:t>
      </w:r>
      <w:r w:rsidR="00BC0F45" w:rsidRPr="00691611">
        <w:rPr>
          <w:rFonts w:ascii="Palatino Linotype" w:hAnsi="Palatino Linotype"/>
          <w:lang w:eastAsia="es-ES"/>
        </w:rPr>
        <w:t xml:space="preserve"> </w:t>
      </w:r>
      <w:r w:rsidR="00AE4B84" w:rsidRPr="00691611">
        <w:rPr>
          <w:rFonts w:ascii="Palatino Linotype" w:hAnsi="Palatino Linotype"/>
          <w:lang w:eastAsia="es-ES"/>
        </w:rPr>
        <w:t xml:space="preserve">de </w:t>
      </w:r>
      <w:r w:rsidR="004B4E36" w:rsidRPr="00691611">
        <w:rPr>
          <w:rFonts w:ascii="Palatino Linotype" w:hAnsi="Palatino Linotype"/>
          <w:lang w:eastAsia="es-ES"/>
        </w:rPr>
        <w:t>noviembre</w:t>
      </w:r>
      <w:r w:rsidR="00AE4B84" w:rsidRPr="00691611">
        <w:rPr>
          <w:rFonts w:ascii="Palatino Linotype" w:hAnsi="Palatino Linotype"/>
          <w:lang w:eastAsia="es-ES"/>
        </w:rPr>
        <w:t xml:space="preserve"> de dos mil veinti</w:t>
      </w:r>
      <w:r w:rsidR="0046109F" w:rsidRPr="00691611">
        <w:rPr>
          <w:rFonts w:ascii="Palatino Linotype" w:hAnsi="Palatino Linotype"/>
          <w:lang w:eastAsia="es-ES"/>
        </w:rPr>
        <w:t>dós.</w:t>
      </w:r>
    </w:p>
    <w:p w14:paraId="1975C4B7" w14:textId="77777777" w:rsidR="00AE4B84" w:rsidRPr="00691611" w:rsidRDefault="00AE4B84" w:rsidP="00AE4B84">
      <w:pPr>
        <w:spacing w:line="360" w:lineRule="auto"/>
        <w:jc w:val="both"/>
        <w:rPr>
          <w:rFonts w:ascii="Palatino Linotype" w:hAnsi="Palatino Linotype"/>
        </w:rPr>
      </w:pPr>
    </w:p>
    <w:p w14:paraId="56085B99" w14:textId="226E6EC1" w:rsidR="00AE4B84" w:rsidRPr="00691611" w:rsidRDefault="00AE4B84" w:rsidP="00AE4B84">
      <w:pPr>
        <w:spacing w:line="360" w:lineRule="auto"/>
        <w:jc w:val="both"/>
        <w:rPr>
          <w:rFonts w:ascii="Palatino Linotype" w:hAnsi="Palatino Linotype"/>
        </w:rPr>
      </w:pPr>
      <w:r w:rsidRPr="00691611">
        <w:rPr>
          <w:rFonts w:ascii="Palatino Linotype" w:hAnsi="Palatino Linotype"/>
          <w:b/>
          <w:lang w:eastAsia="es-ES"/>
        </w:rPr>
        <w:t>VISTO</w:t>
      </w:r>
      <w:r w:rsidRPr="00691611">
        <w:rPr>
          <w:rFonts w:ascii="Palatino Linotype" w:hAnsi="Palatino Linotype"/>
          <w:lang w:eastAsia="es-ES"/>
        </w:rPr>
        <w:t xml:space="preserve"> el expediente electrónico formado con motivo del recurso de revisión número </w:t>
      </w:r>
      <w:r w:rsidR="00AD0D38" w:rsidRPr="00691611">
        <w:rPr>
          <w:rFonts w:ascii="Palatino Linotype" w:hAnsi="Palatino Linotype"/>
          <w:b/>
          <w:bCs/>
          <w:lang w:eastAsia="es-ES"/>
        </w:rPr>
        <w:t>034</w:t>
      </w:r>
      <w:r w:rsidR="003E5530" w:rsidRPr="00691611">
        <w:rPr>
          <w:rFonts w:ascii="Palatino Linotype" w:hAnsi="Palatino Linotype"/>
          <w:b/>
          <w:bCs/>
          <w:lang w:eastAsia="es-ES"/>
        </w:rPr>
        <w:t>38</w:t>
      </w:r>
      <w:r w:rsidRPr="00691611">
        <w:rPr>
          <w:rFonts w:ascii="Palatino Linotype" w:hAnsi="Palatino Linotype"/>
          <w:b/>
          <w:bCs/>
          <w:lang w:eastAsia="es-ES"/>
        </w:rPr>
        <w:t>/INFOEM/IP/RR/202</w:t>
      </w:r>
      <w:r w:rsidR="0046109F" w:rsidRPr="00691611">
        <w:rPr>
          <w:rFonts w:ascii="Palatino Linotype" w:hAnsi="Palatino Linotype"/>
          <w:b/>
          <w:bCs/>
          <w:lang w:eastAsia="es-ES"/>
        </w:rPr>
        <w:t>2</w:t>
      </w:r>
      <w:r w:rsidRPr="00691611">
        <w:rPr>
          <w:rFonts w:ascii="Palatino Linotype" w:hAnsi="Palatino Linotype"/>
          <w:b/>
          <w:bCs/>
          <w:lang w:eastAsia="es-ES"/>
        </w:rPr>
        <w:t xml:space="preserve">, </w:t>
      </w:r>
      <w:r w:rsidRPr="00691611">
        <w:rPr>
          <w:rFonts w:ascii="Palatino Linotype" w:hAnsi="Palatino Linotype"/>
          <w:lang w:eastAsia="es-ES"/>
        </w:rPr>
        <w:t xml:space="preserve">promovido </w:t>
      </w:r>
      <w:r w:rsidR="00BC0F45" w:rsidRPr="00691611">
        <w:rPr>
          <w:rFonts w:ascii="Palatino Linotype" w:hAnsi="Palatino Linotype"/>
          <w:lang w:eastAsia="es-ES"/>
        </w:rPr>
        <w:t xml:space="preserve">por </w:t>
      </w:r>
      <w:r w:rsidR="00691611" w:rsidRPr="00691611">
        <w:rPr>
          <w:rFonts w:ascii="Palatino Linotype" w:hAnsi="Palatino Linotype"/>
          <w:b/>
          <w:bCs/>
          <w:lang w:eastAsia="es-ES"/>
        </w:rPr>
        <w:t>XXXX XXXX XXXXX</w:t>
      </w:r>
      <w:r w:rsidR="00E9492B" w:rsidRPr="00691611">
        <w:rPr>
          <w:rFonts w:ascii="Palatino Linotype" w:hAnsi="Palatino Linotype"/>
          <w:b/>
          <w:bCs/>
          <w:lang w:eastAsia="es-ES"/>
        </w:rPr>
        <w:t xml:space="preserve"> </w:t>
      </w:r>
      <w:r w:rsidRPr="00691611">
        <w:rPr>
          <w:rFonts w:ascii="Palatino Linotype" w:hAnsi="Palatino Linotype"/>
          <w:bCs/>
          <w:lang w:val="es-ES_tradnl" w:eastAsia="es-ES"/>
        </w:rPr>
        <w:t>que en lo suce</w:t>
      </w:r>
      <w:r w:rsidRPr="00691611">
        <w:rPr>
          <w:rFonts w:ascii="Palatino Linotype" w:hAnsi="Palatino Linotype"/>
          <w:lang w:val="es-ES_tradnl" w:eastAsia="es-ES"/>
        </w:rPr>
        <w:t>sivo será identificado como</w:t>
      </w:r>
      <w:r w:rsidRPr="00691611">
        <w:rPr>
          <w:rFonts w:ascii="Palatino Linotype" w:hAnsi="Palatino Linotype"/>
          <w:lang w:eastAsia="es-ES"/>
        </w:rPr>
        <w:t xml:space="preserve"> </w:t>
      </w:r>
      <w:r w:rsidR="004B4E36" w:rsidRPr="00691611">
        <w:rPr>
          <w:rFonts w:ascii="Palatino Linotype" w:hAnsi="Palatino Linotype"/>
          <w:b/>
          <w:lang w:eastAsia="es-ES"/>
        </w:rPr>
        <w:t>Recurrente</w:t>
      </w:r>
      <w:r w:rsidR="00BB539F" w:rsidRPr="00691611">
        <w:rPr>
          <w:rFonts w:ascii="Palatino Linotype" w:hAnsi="Palatino Linotype"/>
          <w:b/>
          <w:lang w:eastAsia="es-ES"/>
        </w:rPr>
        <w:t xml:space="preserve">, </w:t>
      </w:r>
      <w:r w:rsidRPr="00691611">
        <w:rPr>
          <w:rFonts w:ascii="Palatino Linotype" w:hAnsi="Palatino Linotype"/>
          <w:lang w:eastAsia="es-ES"/>
        </w:rPr>
        <w:t>en contra de la respuesta del</w:t>
      </w:r>
      <w:r w:rsidRPr="00691611">
        <w:rPr>
          <w:rFonts w:ascii="Palatino Linotype" w:hAnsi="Palatino Linotype"/>
          <w:b/>
          <w:bCs/>
          <w:lang w:eastAsia="es-ES"/>
        </w:rPr>
        <w:t xml:space="preserve"> </w:t>
      </w:r>
      <w:r w:rsidR="003E5530" w:rsidRPr="00691611">
        <w:rPr>
          <w:rFonts w:ascii="Palatino Linotype" w:eastAsia="Calibri" w:hAnsi="Palatino Linotype" w:cs="Tahoma"/>
          <w:b/>
          <w:bCs/>
          <w:lang w:eastAsia="en-US"/>
        </w:rPr>
        <w:t>Ayuntamiento de Coacalco de Berriozábal</w:t>
      </w:r>
      <w:r w:rsidRPr="00691611">
        <w:rPr>
          <w:rFonts w:ascii="Palatino Linotype" w:hAnsi="Palatino Linotype"/>
          <w:b/>
          <w:lang w:eastAsia="es-ES"/>
        </w:rPr>
        <w:t xml:space="preserve">, </w:t>
      </w:r>
      <w:r w:rsidRPr="00691611">
        <w:rPr>
          <w:rFonts w:ascii="Palatino Linotype" w:hAnsi="Palatino Linotype"/>
          <w:lang w:eastAsia="es-ES"/>
        </w:rPr>
        <w:t xml:space="preserve">en lo sucesivo el </w:t>
      </w:r>
      <w:r w:rsidRPr="00691611">
        <w:rPr>
          <w:rFonts w:ascii="Palatino Linotype" w:hAnsi="Palatino Linotype"/>
          <w:b/>
          <w:lang w:eastAsia="es-ES"/>
        </w:rPr>
        <w:t xml:space="preserve">SUJETO OBLIGADO, </w:t>
      </w:r>
      <w:r w:rsidRPr="00691611">
        <w:rPr>
          <w:rFonts w:ascii="Palatino Linotype" w:hAnsi="Palatino Linotype"/>
          <w:lang w:eastAsia="es-ES"/>
        </w:rPr>
        <w:t xml:space="preserve">se procede a dictar la presente resolución, con base en los siguientes: </w:t>
      </w:r>
    </w:p>
    <w:p w14:paraId="19AEE27D" w14:textId="77777777" w:rsidR="00AE4B84" w:rsidRPr="00691611" w:rsidRDefault="00AE4B84" w:rsidP="00AE4B84">
      <w:pPr>
        <w:spacing w:line="360" w:lineRule="auto"/>
        <w:jc w:val="both"/>
        <w:rPr>
          <w:rFonts w:ascii="Palatino Linotype" w:hAnsi="Palatino Linotype"/>
        </w:rPr>
      </w:pPr>
    </w:p>
    <w:p w14:paraId="65338A15" w14:textId="77777777" w:rsidR="00AE4B84" w:rsidRPr="00691611" w:rsidRDefault="00AE4B84" w:rsidP="00AE4B84">
      <w:pPr>
        <w:keepNext/>
        <w:keepLines/>
        <w:spacing w:before="240" w:line="360" w:lineRule="auto"/>
        <w:jc w:val="center"/>
        <w:outlineLvl w:val="0"/>
        <w:rPr>
          <w:rFonts w:ascii="Palatino Linotype" w:eastAsia="MS Gothic" w:hAnsi="Palatino Linotype"/>
          <w:b/>
          <w:color w:val="000000"/>
        </w:rPr>
      </w:pPr>
      <w:bookmarkStart w:id="0" w:name="_Toc473812222"/>
      <w:bookmarkStart w:id="1" w:name="_Toc494991882"/>
      <w:bookmarkStart w:id="2" w:name="_Toc29544438"/>
      <w:r w:rsidRPr="00691611">
        <w:rPr>
          <w:rFonts w:ascii="Palatino Linotype" w:eastAsia="MS Gothic" w:hAnsi="Palatino Linotype"/>
          <w:b/>
          <w:color w:val="000000"/>
          <w:lang w:val="es-ES"/>
        </w:rPr>
        <w:t>ANTECEDENTES</w:t>
      </w:r>
      <w:bookmarkEnd w:id="0"/>
      <w:bookmarkEnd w:id="1"/>
      <w:bookmarkEnd w:id="2"/>
    </w:p>
    <w:p w14:paraId="05453C12" w14:textId="77777777" w:rsidR="00AE4B84" w:rsidRPr="00691611"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7FC9AF7C" w:rsidR="00AE4B84" w:rsidRPr="00691611" w:rsidRDefault="00BB5195" w:rsidP="003E5530">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sidRPr="00691611">
        <w:rPr>
          <w:rFonts w:ascii="Palatino Linotype" w:eastAsia="Calibri" w:hAnsi="Palatino Linotype" w:cs="Arial"/>
          <w:color w:val="000000"/>
          <w:lang w:val="es-ES" w:eastAsia="es-ES"/>
        </w:rPr>
        <w:t>E</w:t>
      </w:r>
      <w:r w:rsidR="005F74BD" w:rsidRPr="00691611">
        <w:rPr>
          <w:rFonts w:ascii="Palatino Linotype" w:eastAsia="Calibri" w:hAnsi="Palatino Linotype" w:cs="Arial"/>
          <w:color w:val="000000"/>
          <w:lang w:val="es-ES" w:eastAsia="es-ES"/>
        </w:rPr>
        <w:t xml:space="preserve">l </w:t>
      </w:r>
      <w:r w:rsidR="003E5530" w:rsidRPr="00691611">
        <w:rPr>
          <w:rFonts w:ascii="Palatino Linotype" w:eastAsia="Calibri" w:hAnsi="Palatino Linotype" w:cs="Arial"/>
          <w:color w:val="000000"/>
          <w:lang w:val="es-ES" w:eastAsia="es-ES"/>
        </w:rPr>
        <w:t>veintinueve</w:t>
      </w:r>
      <w:r w:rsidRPr="00691611">
        <w:rPr>
          <w:rFonts w:ascii="Palatino Linotype" w:eastAsia="Calibri" w:hAnsi="Palatino Linotype" w:cs="Arial"/>
          <w:color w:val="000000"/>
          <w:lang w:val="es-ES" w:eastAsia="es-ES"/>
        </w:rPr>
        <w:t xml:space="preserve"> </w:t>
      </w:r>
      <w:r w:rsidR="00E9492B" w:rsidRPr="00691611">
        <w:rPr>
          <w:rFonts w:ascii="Palatino Linotype" w:eastAsia="Calibri" w:hAnsi="Palatino Linotype" w:cs="Arial"/>
          <w:color w:val="000000"/>
          <w:lang w:val="es-ES" w:eastAsia="es-ES"/>
        </w:rPr>
        <w:t>(2</w:t>
      </w:r>
      <w:r w:rsidR="003E5530" w:rsidRPr="00691611">
        <w:rPr>
          <w:rFonts w:ascii="Palatino Linotype" w:eastAsia="Calibri" w:hAnsi="Palatino Linotype" w:cs="Arial"/>
          <w:color w:val="000000"/>
          <w:lang w:val="es-ES" w:eastAsia="es-ES"/>
        </w:rPr>
        <w:t>9</w:t>
      </w:r>
      <w:r w:rsidRPr="00691611">
        <w:rPr>
          <w:rFonts w:ascii="Palatino Linotype" w:eastAsia="Calibri" w:hAnsi="Palatino Linotype" w:cs="Arial"/>
          <w:color w:val="000000"/>
          <w:lang w:val="es-ES" w:eastAsia="es-ES"/>
        </w:rPr>
        <w:t xml:space="preserve">) de </w:t>
      </w:r>
      <w:r w:rsidR="003E5530" w:rsidRPr="00691611">
        <w:rPr>
          <w:rFonts w:ascii="Palatino Linotype" w:eastAsia="Calibri" w:hAnsi="Palatino Linotype" w:cs="Arial"/>
          <w:color w:val="000000"/>
          <w:lang w:val="es-ES" w:eastAsia="es-ES"/>
        </w:rPr>
        <w:t>enero</w:t>
      </w:r>
      <w:r w:rsidRPr="00691611">
        <w:rPr>
          <w:rFonts w:ascii="Palatino Linotype" w:eastAsia="Calibri" w:hAnsi="Palatino Linotype" w:cs="Arial"/>
          <w:color w:val="000000"/>
          <w:lang w:val="es-ES" w:eastAsia="es-ES"/>
        </w:rPr>
        <w:t xml:space="preserve"> de dos mil veint</w:t>
      </w:r>
      <w:r w:rsidR="0046109F" w:rsidRPr="00691611">
        <w:rPr>
          <w:rFonts w:ascii="Palatino Linotype" w:eastAsia="Calibri" w:hAnsi="Palatino Linotype" w:cs="Arial"/>
          <w:color w:val="000000"/>
          <w:lang w:val="es-ES" w:eastAsia="es-ES"/>
        </w:rPr>
        <w:t>idós</w:t>
      </w:r>
      <w:r w:rsidR="00AE4B84" w:rsidRPr="00691611">
        <w:rPr>
          <w:rFonts w:ascii="Palatino Linotype" w:eastAsia="Calibri" w:hAnsi="Palatino Linotype" w:cs="Arial"/>
          <w:color w:val="000000"/>
          <w:lang w:val="es-ES" w:eastAsia="es-ES"/>
        </w:rPr>
        <w:t xml:space="preserve">, </w:t>
      </w:r>
      <w:r w:rsidR="003E5530" w:rsidRPr="00691611">
        <w:rPr>
          <w:rFonts w:ascii="Palatino Linotype" w:eastAsia="Calibri" w:hAnsi="Palatino Linotype" w:cs="Arial"/>
          <w:color w:val="000000"/>
          <w:lang w:val="es-ES" w:eastAsia="es-ES"/>
        </w:rPr>
        <w:t xml:space="preserve">presentó una solicitud de acceso a la información pública, a través de la Plataforma Nacional de Transparencia </w:t>
      </w:r>
      <w:r w:rsidR="003E5530" w:rsidRPr="00691611">
        <w:rPr>
          <w:rFonts w:ascii="Palatino Linotype" w:eastAsia="Calibri" w:hAnsi="Palatino Linotype" w:cs="Arial"/>
          <w:b/>
          <w:bCs/>
          <w:color w:val="000000"/>
          <w:lang w:val="es-ES" w:eastAsia="es-ES"/>
        </w:rPr>
        <w:t>(PNT),</w:t>
      </w:r>
      <w:r w:rsidR="003E5530" w:rsidRPr="00691611">
        <w:rPr>
          <w:rFonts w:ascii="Palatino Linotype" w:eastAsia="Calibri" w:hAnsi="Palatino Linotype" w:cs="Arial"/>
          <w:color w:val="000000"/>
          <w:lang w:val="es-ES" w:eastAsia="es-ES"/>
        </w:rPr>
        <w:t xml:space="preserve"> misma que se registró </w:t>
      </w:r>
      <w:r w:rsidR="007C2D99" w:rsidRPr="00691611">
        <w:rPr>
          <w:rFonts w:ascii="Palatino Linotype" w:hAnsi="Palatino Linotype" w:cs="Arial"/>
          <w:lang w:val="es-ES"/>
        </w:rPr>
        <w:t>a través de</w:t>
      </w:r>
      <w:r w:rsidR="004B4E36" w:rsidRPr="00691611">
        <w:rPr>
          <w:rFonts w:ascii="Palatino Linotype" w:hAnsi="Palatino Linotype" w:cs="Arial"/>
          <w:lang w:val="es-ES"/>
        </w:rPr>
        <w:t xml:space="preserve">l </w:t>
      </w:r>
      <w:r w:rsidR="007F78F1" w:rsidRPr="00691611">
        <w:rPr>
          <w:rFonts w:ascii="Palatino Linotype" w:eastAsia="Calibri" w:hAnsi="Palatino Linotype" w:cs="Arial"/>
          <w:color w:val="000000"/>
          <w:lang w:val="es-ES" w:eastAsia="es-ES"/>
        </w:rPr>
        <w:t xml:space="preserve">Sistema de Acceso a la Información Mexiquense </w:t>
      </w:r>
      <w:r w:rsidR="00AE4B84" w:rsidRPr="00691611">
        <w:rPr>
          <w:rFonts w:ascii="Palatino Linotype" w:eastAsia="Calibri" w:hAnsi="Palatino Linotype" w:cs="Arial"/>
          <w:b/>
          <w:color w:val="000000"/>
          <w:lang w:val="es-ES" w:eastAsia="es-ES"/>
        </w:rPr>
        <w:t>(SAIMEX)</w:t>
      </w:r>
      <w:r w:rsidR="003E5530" w:rsidRPr="00691611">
        <w:rPr>
          <w:rFonts w:ascii="Palatino Linotype" w:eastAsia="Calibri" w:hAnsi="Palatino Linotype" w:cs="Arial"/>
          <w:b/>
          <w:color w:val="000000"/>
          <w:lang w:val="es-ES" w:eastAsia="es-ES"/>
        </w:rPr>
        <w:t xml:space="preserve"> </w:t>
      </w:r>
      <w:r w:rsidR="00AE4B84" w:rsidRPr="00691611">
        <w:rPr>
          <w:rFonts w:ascii="Palatino Linotype" w:eastAsia="Calibri" w:hAnsi="Palatino Linotype" w:cs="Arial"/>
          <w:color w:val="000000"/>
          <w:lang w:val="es-ES" w:eastAsia="es-ES"/>
        </w:rPr>
        <w:t>con el número</w:t>
      </w:r>
      <w:r w:rsidRPr="00691611">
        <w:rPr>
          <w:rFonts w:ascii="Verdana" w:hAnsi="Verdana"/>
          <w:b/>
          <w:bCs/>
          <w:color w:val="FF0000"/>
        </w:rPr>
        <w:t xml:space="preserve"> </w:t>
      </w:r>
      <w:r w:rsidR="004B4E36" w:rsidRPr="00691611">
        <w:rPr>
          <w:rFonts w:ascii="Palatino Linotype" w:eastAsia="Calibri" w:hAnsi="Palatino Linotype" w:cs="Arial"/>
          <w:b/>
          <w:bCs/>
          <w:color w:val="000000"/>
          <w:lang w:eastAsia="es-ES"/>
        </w:rPr>
        <w:t>0</w:t>
      </w:r>
      <w:r w:rsidR="003E5530" w:rsidRPr="00691611">
        <w:rPr>
          <w:rFonts w:ascii="Palatino Linotype" w:eastAsia="Calibri" w:hAnsi="Palatino Linotype" w:cs="Arial"/>
          <w:b/>
          <w:bCs/>
          <w:color w:val="000000"/>
          <w:lang w:eastAsia="es-ES"/>
        </w:rPr>
        <w:t>00</w:t>
      </w:r>
      <w:r w:rsidR="00E9492B" w:rsidRPr="00691611">
        <w:rPr>
          <w:rFonts w:ascii="Palatino Linotype" w:eastAsia="Calibri" w:hAnsi="Palatino Linotype" w:cs="Arial"/>
          <w:b/>
          <w:bCs/>
          <w:color w:val="000000"/>
          <w:lang w:eastAsia="es-ES"/>
        </w:rPr>
        <w:t>4</w:t>
      </w:r>
      <w:r w:rsidR="003E5530" w:rsidRPr="00691611">
        <w:rPr>
          <w:rFonts w:ascii="Palatino Linotype" w:eastAsia="Calibri" w:hAnsi="Palatino Linotype" w:cs="Arial"/>
          <w:b/>
          <w:bCs/>
          <w:color w:val="000000"/>
          <w:lang w:eastAsia="es-ES"/>
        </w:rPr>
        <w:t>2</w:t>
      </w:r>
      <w:r w:rsidRPr="00691611">
        <w:rPr>
          <w:rFonts w:ascii="Palatino Linotype" w:eastAsia="Calibri" w:hAnsi="Palatino Linotype" w:cs="Arial"/>
          <w:b/>
          <w:bCs/>
          <w:color w:val="000000"/>
          <w:lang w:eastAsia="es-ES"/>
        </w:rPr>
        <w:t>/</w:t>
      </w:r>
      <w:r w:rsidR="003E5530" w:rsidRPr="00691611">
        <w:rPr>
          <w:rFonts w:ascii="Palatino Linotype" w:eastAsia="Calibri" w:hAnsi="Palatino Linotype" w:cs="Arial"/>
          <w:b/>
          <w:bCs/>
          <w:color w:val="000000"/>
          <w:lang w:eastAsia="es-ES"/>
        </w:rPr>
        <w:t>COACALCO</w:t>
      </w:r>
      <w:r w:rsidRPr="00691611">
        <w:rPr>
          <w:rFonts w:ascii="Palatino Linotype" w:eastAsia="Calibri" w:hAnsi="Palatino Linotype" w:cs="Arial"/>
          <w:b/>
          <w:bCs/>
          <w:color w:val="000000"/>
          <w:lang w:eastAsia="es-ES"/>
        </w:rPr>
        <w:t>/IP/202</w:t>
      </w:r>
      <w:r w:rsidR="0046109F" w:rsidRPr="00691611">
        <w:rPr>
          <w:rFonts w:ascii="Palatino Linotype" w:eastAsia="Calibri" w:hAnsi="Palatino Linotype" w:cs="Arial"/>
          <w:b/>
          <w:bCs/>
          <w:color w:val="000000"/>
          <w:lang w:eastAsia="es-ES"/>
        </w:rPr>
        <w:t>2</w:t>
      </w:r>
      <w:r w:rsidR="00AE4B84" w:rsidRPr="00691611">
        <w:rPr>
          <w:rFonts w:ascii="Palatino Linotype" w:eastAsia="Calibri" w:hAnsi="Palatino Linotype" w:cs="Arial"/>
          <w:b/>
          <w:bCs/>
          <w:color w:val="000000"/>
          <w:lang w:eastAsia="es-ES"/>
        </w:rPr>
        <w:t>,</w:t>
      </w:r>
      <w:r w:rsidR="00AE4B84" w:rsidRPr="00691611">
        <w:rPr>
          <w:rFonts w:ascii="Palatino Linotype" w:eastAsia="Calibri" w:hAnsi="Palatino Linotype" w:cs="Arial"/>
          <w:color w:val="000000"/>
          <w:lang w:val="es-ES" w:eastAsia="es-ES"/>
        </w:rPr>
        <w:t xml:space="preserve"> mediante la cual requirió: </w:t>
      </w:r>
    </w:p>
    <w:p w14:paraId="3EFE4347" w14:textId="77777777" w:rsidR="00AE4B84" w:rsidRPr="00691611" w:rsidRDefault="00AE4B84" w:rsidP="00E9492B">
      <w:pPr>
        <w:tabs>
          <w:tab w:val="left" w:pos="426"/>
        </w:tabs>
        <w:ind w:right="539"/>
        <w:contextualSpacing/>
        <w:jc w:val="both"/>
        <w:rPr>
          <w:rFonts w:ascii="Palatino Linotype" w:eastAsia="Calibri" w:hAnsi="Palatino Linotype" w:cs="Arial"/>
          <w:i/>
          <w:iCs/>
          <w:color w:val="000000"/>
          <w:sz w:val="22"/>
          <w:szCs w:val="22"/>
        </w:rPr>
      </w:pPr>
    </w:p>
    <w:p w14:paraId="1A4691AA" w14:textId="49949A14" w:rsidR="00AE4B84" w:rsidRPr="00691611" w:rsidRDefault="00DD6520" w:rsidP="003E5530">
      <w:pPr>
        <w:ind w:left="567" w:right="539"/>
        <w:jc w:val="both"/>
        <w:rPr>
          <w:rFonts w:ascii="Palatino Linotype" w:hAnsi="Palatino Linotype"/>
          <w:i/>
          <w:iCs/>
          <w:sz w:val="22"/>
          <w:szCs w:val="22"/>
        </w:rPr>
      </w:pPr>
      <w:r w:rsidRPr="00691611">
        <w:rPr>
          <w:rFonts w:ascii="Palatino Linotype" w:hAnsi="Palatino Linotype"/>
          <w:i/>
          <w:iCs/>
          <w:color w:val="000000"/>
          <w:sz w:val="22"/>
          <w:szCs w:val="22"/>
        </w:rPr>
        <w:t>“</w:t>
      </w:r>
      <w:r w:rsidR="003E5530" w:rsidRPr="00691611">
        <w:rPr>
          <w:rFonts w:ascii="Palatino Linotype" w:hAnsi="Palatino Linotype"/>
          <w:i/>
          <w:iCs/>
          <w:color w:val="000000"/>
          <w:sz w:val="22"/>
          <w:szCs w:val="22"/>
        </w:rPr>
        <w:t>Solicito cada una de las facturas emitidas por el ISSEMYM para el H. Ayuntamiento, de los meses de enero a diciembre de 2021. Solicito cada una de las facturas, no una relación de ellas.</w:t>
      </w:r>
      <w:r w:rsidRPr="00691611">
        <w:rPr>
          <w:rFonts w:ascii="Palatino Linotype" w:hAnsi="Palatino Linotype"/>
          <w:i/>
          <w:iCs/>
          <w:sz w:val="22"/>
          <w:szCs w:val="22"/>
        </w:rPr>
        <w:t>” (Sic)</w:t>
      </w:r>
    </w:p>
    <w:p w14:paraId="658E2A6B" w14:textId="77777777" w:rsidR="00DD6520" w:rsidRPr="00691611" w:rsidRDefault="00DD6520" w:rsidP="00DD6520">
      <w:pPr>
        <w:ind w:right="539"/>
        <w:jc w:val="both"/>
        <w:rPr>
          <w:rFonts w:ascii="Palatino Linotype" w:hAnsi="Palatino Linotype"/>
          <w:i/>
          <w:iCs/>
          <w:sz w:val="22"/>
          <w:szCs w:val="22"/>
        </w:rPr>
      </w:pPr>
    </w:p>
    <w:p w14:paraId="27B5C5B7" w14:textId="3CBBFF72" w:rsidR="004B4E36" w:rsidRPr="00691611" w:rsidRDefault="00AE4B84" w:rsidP="004B4E36">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691611">
        <w:rPr>
          <w:rFonts w:ascii="Palatino Linotype" w:eastAsia="MS Mincho" w:hAnsi="Palatino Linotype" w:cs="Arial"/>
          <w:lang w:val="es-ES_tradnl" w:eastAsia="es-ES"/>
        </w:rPr>
        <w:t xml:space="preserve">Se hace constar que </w:t>
      </w:r>
      <w:r w:rsidRPr="00691611">
        <w:rPr>
          <w:rFonts w:ascii="Palatino Linotype" w:hAnsi="Palatino Linotype" w:cs="Arial"/>
          <w:lang w:val="es-ES" w:eastAsia="es-ES"/>
        </w:rPr>
        <w:t>se señaló como modalidad de entrega de la información</w:t>
      </w:r>
      <w:r w:rsidRPr="00691611">
        <w:rPr>
          <w:rFonts w:ascii="Palatino Linotype" w:hAnsi="Palatino Linotype" w:cs="Arial"/>
          <w:b/>
          <w:lang w:val="es-ES" w:eastAsia="es-ES"/>
        </w:rPr>
        <w:t>:</w:t>
      </w:r>
      <w:r w:rsidRPr="00691611">
        <w:rPr>
          <w:rFonts w:ascii="Palatino Linotype" w:hAnsi="Palatino Linotype" w:cs="Arial"/>
          <w:lang w:val="es-ES" w:eastAsia="es-ES"/>
        </w:rPr>
        <w:t xml:space="preserve"> a través </w:t>
      </w:r>
      <w:r w:rsidRPr="00691611">
        <w:rPr>
          <w:rFonts w:ascii="Palatino Linotype" w:eastAsia="MS Mincho" w:hAnsi="Palatino Linotype"/>
          <w:color w:val="000000"/>
          <w:lang w:val="es-ES_tradnl" w:eastAsia="es-ES"/>
        </w:rPr>
        <w:t xml:space="preserve">del </w:t>
      </w:r>
      <w:r w:rsidRPr="00691611">
        <w:rPr>
          <w:rFonts w:ascii="Palatino Linotype" w:eastAsia="Calibri" w:hAnsi="Palatino Linotype" w:cs="Arial"/>
          <w:lang w:val="es-ES" w:eastAsia="es-ES"/>
        </w:rPr>
        <w:t xml:space="preserve">Sistema de Acceso a la Información Mexiquense </w:t>
      </w:r>
      <w:r w:rsidRPr="00691611">
        <w:rPr>
          <w:rFonts w:ascii="Palatino Linotype" w:eastAsia="Calibri" w:hAnsi="Palatino Linotype" w:cs="Arial"/>
          <w:b/>
          <w:lang w:val="es-ES" w:eastAsia="es-ES"/>
        </w:rPr>
        <w:t>(SAIMEX)</w:t>
      </w:r>
      <w:r w:rsidR="003E5530" w:rsidRPr="00691611">
        <w:rPr>
          <w:rFonts w:ascii="Palatino Linotype" w:eastAsia="Calibri" w:hAnsi="Palatino Linotype" w:cs="Arial"/>
          <w:b/>
          <w:lang w:val="es-ES" w:eastAsia="es-ES"/>
        </w:rPr>
        <w:t xml:space="preserve"> y correo electrónico.</w:t>
      </w:r>
    </w:p>
    <w:p w14:paraId="38FE32E7" w14:textId="77777777" w:rsidR="00482FCB" w:rsidRPr="00691611" w:rsidRDefault="00482FCB" w:rsidP="00482FCB">
      <w:pPr>
        <w:spacing w:before="100" w:beforeAutospacing="1" w:after="100" w:afterAutospacing="1" w:line="360" w:lineRule="auto"/>
        <w:contextualSpacing/>
        <w:jc w:val="both"/>
        <w:rPr>
          <w:rFonts w:ascii="Palatino Linotype" w:eastAsia="MS Mincho" w:hAnsi="Palatino Linotype" w:cs="Arial"/>
          <w:color w:val="000000"/>
          <w:lang w:val="es-ES_tradnl"/>
        </w:rPr>
      </w:pPr>
    </w:p>
    <w:p w14:paraId="28ACBFF4" w14:textId="458561E2" w:rsidR="00AE4B84" w:rsidRPr="00691611"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691611">
        <w:rPr>
          <w:rFonts w:ascii="Palatino Linotype" w:eastAsia="Calibri" w:hAnsi="Palatino Linotype" w:cs="Arial"/>
          <w:lang w:val="es-AR" w:eastAsia="es-ES"/>
        </w:rPr>
        <w:lastRenderedPageBreak/>
        <w:t>E</w:t>
      </w:r>
      <w:r w:rsidR="00A15185" w:rsidRPr="00691611">
        <w:rPr>
          <w:rFonts w:ascii="Palatino Linotype" w:eastAsia="Calibri" w:hAnsi="Palatino Linotype" w:cs="Arial"/>
          <w:lang w:val="es-AR" w:eastAsia="es-ES"/>
        </w:rPr>
        <w:t xml:space="preserve">l </w:t>
      </w:r>
      <w:r w:rsidR="003E5530" w:rsidRPr="00691611">
        <w:rPr>
          <w:rFonts w:ascii="Palatino Linotype" w:eastAsia="Calibri" w:hAnsi="Palatino Linotype" w:cs="Arial"/>
          <w:bCs/>
          <w:lang w:val="es-AR" w:eastAsia="es-ES"/>
        </w:rPr>
        <w:t>treinta y uno</w:t>
      </w:r>
      <w:r w:rsidR="009C2AB6" w:rsidRPr="00691611">
        <w:rPr>
          <w:rFonts w:ascii="Palatino Linotype" w:eastAsia="Calibri" w:hAnsi="Palatino Linotype" w:cs="Arial"/>
          <w:bCs/>
          <w:lang w:val="es-AR" w:eastAsia="es-ES"/>
        </w:rPr>
        <w:t xml:space="preserve"> </w:t>
      </w:r>
      <w:r w:rsidR="00A15185" w:rsidRPr="00691611">
        <w:rPr>
          <w:rFonts w:ascii="Palatino Linotype" w:eastAsia="Calibri" w:hAnsi="Palatino Linotype" w:cs="Arial"/>
          <w:lang w:val="es-AR" w:eastAsia="es-ES"/>
        </w:rPr>
        <w:t>(</w:t>
      </w:r>
      <w:r w:rsidR="003E5530" w:rsidRPr="00691611">
        <w:rPr>
          <w:rFonts w:ascii="Palatino Linotype" w:eastAsia="Calibri" w:hAnsi="Palatino Linotype" w:cs="Arial"/>
          <w:lang w:val="es-AR" w:eastAsia="es-ES"/>
        </w:rPr>
        <w:t>31</w:t>
      </w:r>
      <w:r w:rsidRPr="00691611">
        <w:rPr>
          <w:rFonts w:ascii="Palatino Linotype" w:eastAsia="Calibri" w:hAnsi="Palatino Linotype" w:cs="Arial"/>
          <w:lang w:val="es-AR" w:eastAsia="es-ES"/>
        </w:rPr>
        <w:t xml:space="preserve">) de </w:t>
      </w:r>
      <w:r w:rsidR="003E5530" w:rsidRPr="00691611">
        <w:rPr>
          <w:rFonts w:ascii="Palatino Linotype" w:eastAsia="Calibri" w:hAnsi="Palatino Linotype" w:cs="Arial"/>
          <w:lang w:val="es-AR" w:eastAsia="es-ES"/>
        </w:rPr>
        <w:t>enero</w:t>
      </w:r>
      <w:r w:rsidRPr="00691611">
        <w:rPr>
          <w:rFonts w:ascii="Palatino Linotype" w:eastAsia="Calibri" w:hAnsi="Palatino Linotype" w:cs="Arial"/>
          <w:lang w:val="es-AR" w:eastAsia="es-ES"/>
        </w:rPr>
        <w:t xml:space="preserve"> de dos mil veint</w:t>
      </w:r>
      <w:r w:rsidR="009C2AB6" w:rsidRPr="00691611">
        <w:rPr>
          <w:rFonts w:ascii="Palatino Linotype" w:eastAsia="Calibri" w:hAnsi="Palatino Linotype" w:cs="Arial"/>
          <w:lang w:val="es-AR" w:eastAsia="es-ES"/>
        </w:rPr>
        <w:t>idós</w:t>
      </w:r>
      <w:r w:rsidR="009C2AB6" w:rsidRPr="00691611">
        <w:rPr>
          <w:rFonts w:ascii="Palatino Linotype" w:hAnsi="Palatino Linotype" w:cs="Arial"/>
          <w:lang w:val="es-AR" w:eastAsia="es-ES"/>
        </w:rPr>
        <w:t xml:space="preserve">, </w:t>
      </w:r>
      <w:r w:rsidR="00AE4B84" w:rsidRPr="00691611">
        <w:rPr>
          <w:rFonts w:ascii="Palatino Linotype" w:eastAsia="MS Mincho" w:hAnsi="Palatino Linotype"/>
          <w:color w:val="000000"/>
          <w:lang w:val="es-ES_tradnl" w:eastAsia="es-ES"/>
        </w:rPr>
        <w:t xml:space="preserve">el </w:t>
      </w:r>
      <w:r w:rsidRPr="00691611">
        <w:rPr>
          <w:rFonts w:ascii="Palatino Linotype" w:eastAsia="MS Mincho" w:hAnsi="Palatino Linotype"/>
          <w:b/>
          <w:color w:val="000000"/>
          <w:lang w:val="es-ES_tradnl" w:eastAsia="es-ES"/>
        </w:rPr>
        <w:t>SUJETO OB</w:t>
      </w:r>
      <w:r w:rsidR="00E9492B" w:rsidRPr="00691611">
        <w:rPr>
          <w:rFonts w:ascii="Palatino Linotype" w:eastAsia="MS Mincho" w:hAnsi="Palatino Linotype"/>
          <w:b/>
          <w:color w:val="000000"/>
          <w:lang w:val="es-ES_tradnl" w:eastAsia="es-ES"/>
        </w:rPr>
        <w:t>L</w:t>
      </w:r>
      <w:r w:rsidRPr="00691611">
        <w:rPr>
          <w:rFonts w:ascii="Palatino Linotype" w:eastAsia="MS Mincho" w:hAnsi="Palatino Linotype"/>
          <w:b/>
          <w:color w:val="000000"/>
          <w:lang w:val="es-ES_tradnl" w:eastAsia="es-ES"/>
        </w:rPr>
        <w:t>IGADO</w:t>
      </w:r>
      <w:r w:rsidR="009C2AB6" w:rsidRPr="00691611">
        <w:rPr>
          <w:rFonts w:ascii="Palatino Linotype" w:eastAsia="MS Mincho" w:hAnsi="Palatino Linotype"/>
          <w:b/>
          <w:color w:val="000000"/>
          <w:lang w:val="es-ES_tradnl" w:eastAsia="es-ES"/>
        </w:rPr>
        <w:t xml:space="preserve"> </w:t>
      </w:r>
      <w:r w:rsidR="00AE4B84" w:rsidRPr="00691611">
        <w:rPr>
          <w:rFonts w:ascii="Palatino Linotype" w:hAnsi="Palatino Linotype" w:cs="Arial"/>
          <w:lang w:val="es-ES" w:eastAsia="es-ES"/>
        </w:rPr>
        <w:t>dio respuesta a la solicitud de información,</w:t>
      </w:r>
      <w:r w:rsidR="009C2AB6" w:rsidRPr="00691611">
        <w:rPr>
          <w:rFonts w:ascii="Palatino Linotype" w:hAnsi="Palatino Linotype" w:cs="Arial"/>
          <w:lang w:val="es-ES" w:eastAsia="es-ES"/>
        </w:rPr>
        <w:t xml:space="preserve"> en los siguientes términos</w:t>
      </w:r>
      <w:r w:rsidR="00AE4B84" w:rsidRPr="00691611">
        <w:rPr>
          <w:rFonts w:ascii="Palatino Linotype" w:hAnsi="Palatino Linotype" w:cs="Arial"/>
          <w:lang w:val="es-ES" w:eastAsia="es-ES"/>
        </w:rPr>
        <w:t>:</w:t>
      </w:r>
    </w:p>
    <w:p w14:paraId="064CBB20" w14:textId="77777777" w:rsidR="00BB5195" w:rsidRPr="00691611" w:rsidRDefault="00BB5195" w:rsidP="00E461D8">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p w14:paraId="48B3790A" w14:textId="2637DC67" w:rsidR="00BB5195" w:rsidRPr="00691611" w:rsidRDefault="009C2AB6" w:rsidP="003E5530">
      <w:pPr>
        <w:ind w:left="567" w:right="539"/>
        <w:jc w:val="both"/>
        <w:rPr>
          <w:rFonts w:ascii="Palatino Linotype" w:hAnsi="Palatino Linotype"/>
          <w:i/>
          <w:sz w:val="22"/>
          <w:szCs w:val="22"/>
        </w:rPr>
      </w:pPr>
      <w:r w:rsidRPr="00691611">
        <w:rPr>
          <w:rFonts w:ascii="Palatino Linotype" w:eastAsia="MS Mincho" w:hAnsi="Palatino Linotype" w:cs="Arial"/>
          <w:i/>
          <w:color w:val="000000"/>
          <w:sz w:val="22"/>
          <w:szCs w:val="22"/>
          <w:lang w:val="es-ES_tradnl"/>
        </w:rPr>
        <w:t>“</w:t>
      </w:r>
      <w:r w:rsidR="00C03272" w:rsidRPr="00691611">
        <w:rPr>
          <w:rFonts w:ascii="Palatino Linotype" w:hAnsi="Palatino Linotype"/>
          <w:i/>
          <w:color w:val="000000"/>
          <w:sz w:val="22"/>
          <w:szCs w:val="22"/>
        </w:rPr>
        <w:t xml:space="preserve">… </w:t>
      </w:r>
      <w:r w:rsidR="00E9492B" w:rsidRPr="00691611">
        <w:rPr>
          <w:rFonts w:ascii="Palatino Linotype" w:hAnsi="Palatino Linotype"/>
          <w:i/>
          <w:color w:val="000000"/>
          <w:sz w:val="22"/>
          <w:szCs w:val="22"/>
        </w:rPr>
        <w:t>C</w:t>
      </w:r>
      <w:r w:rsidR="003E5530" w:rsidRPr="00691611">
        <w:rPr>
          <w:rFonts w:ascii="Palatino Linotype" w:hAnsi="Palatino Linotype"/>
          <w:i/>
          <w:color w:val="000000"/>
          <w:sz w:val="22"/>
          <w:szCs w:val="22"/>
        </w:rPr>
        <w:t>ON FUNDAMENTO EN EL ARITCULO 167 DE LA LEY DE TRANSPARENCIA Y ACCESO A LA INFORMACION PUBLICA DEL ESTADO DE MEXICO Y MUNICIPIOS ESTA UNIDAD DETERMINA LA NOTORIA INCOMPETENCIA PARA DAR RESPUESTA A LA SOLICITUD, EN VIRTUD DE QUE LA INFORMACION SOLICITADA CORRESPONDE A UN ORGANISMO PUBLICO DESCENTRALIZADO</w:t>
      </w:r>
      <w:r w:rsidR="00C03272" w:rsidRPr="00691611">
        <w:rPr>
          <w:rFonts w:ascii="Palatino Linotype" w:hAnsi="Palatino Linotype"/>
          <w:i/>
          <w:color w:val="000000"/>
          <w:sz w:val="22"/>
          <w:szCs w:val="22"/>
        </w:rPr>
        <w:t>…</w:t>
      </w:r>
      <w:r w:rsidRPr="00691611">
        <w:rPr>
          <w:rFonts w:ascii="Palatino Linotype" w:hAnsi="Palatino Linotype"/>
          <w:i/>
          <w:sz w:val="22"/>
          <w:szCs w:val="22"/>
        </w:rPr>
        <w:t xml:space="preserve">” </w:t>
      </w:r>
      <w:r w:rsidR="00BB5195" w:rsidRPr="00691611">
        <w:rPr>
          <w:rFonts w:ascii="Palatino Linotype" w:eastAsia="MS Mincho" w:hAnsi="Palatino Linotype" w:cs="Arial"/>
          <w:i/>
          <w:color w:val="000000"/>
          <w:sz w:val="22"/>
          <w:szCs w:val="22"/>
          <w:lang w:val="es-ES_tradnl"/>
        </w:rPr>
        <w:t>(Sic)</w:t>
      </w:r>
    </w:p>
    <w:p w14:paraId="28375A3D" w14:textId="77777777" w:rsidR="00BB5195" w:rsidRPr="00691611" w:rsidRDefault="00BB5195" w:rsidP="00BB5195">
      <w:pPr>
        <w:spacing w:before="100" w:beforeAutospacing="1" w:after="100" w:afterAutospacing="1"/>
        <w:ind w:right="539"/>
        <w:contextualSpacing/>
        <w:jc w:val="both"/>
        <w:rPr>
          <w:rFonts w:ascii="Palatino Linotype" w:eastAsia="MS Mincho" w:hAnsi="Palatino Linotype" w:cs="Arial"/>
          <w:i/>
          <w:color w:val="000000"/>
          <w:sz w:val="22"/>
          <w:szCs w:val="22"/>
          <w:lang w:val="es-ES_tradnl"/>
        </w:rPr>
      </w:pPr>
    </w:p>
    <w:p w14:paraId="253182AE" w14:textId="10392414" w:rsidR="009C2AB6" w:rsidRPr="00691611" w:rsidRDefault="00BB5195" w:rsidP="008B6FF6">
      <w:pPr>
        <w:spacing w:before="100" w:beforeAutospacing="1" w:after="100" w:afterAutospacing="1"/>
        <w:ind w:right="539"/>
        <w:contextualSpacing/>
        <w:jc w:val="both"/>
        <w:rPr>
          <w:rFonts w:ascii="Palatino Linotype" w:eastAsia="MS Mincho" w:hAnsi="Palatino Linotype" w:cs="Arial"/>
          <w:color w:val="000000" w:themeColor="text1"/>
          <w:sz w:val="22"/>
          <w:szCs w:val="22"/>
          <w:lang w:val="es-ES_tradnl"/>
        </w:rPr>
      </w:pPr>
      <w:r w:rsidRPr="00691611">
        <w:rPr>
          <w:rFonts w:ascii="Palatino Linotype" w:eastAsia="MS Mincho" w:hAnsi="Palatino Linotype" w:cs="Arial"/>
          <w:color w:val="000000" w:themeColor="text1"/>
          <w:sz w:val="22"/>
          <w:szCs w:val="22"/>
          <w:lang w:val="es-ES_tradnl"/>
        </w:rPr>
        <w:t>Archivo adjunto:</w:t>
      </w:r>
    </w:p>
    <w:p w14:paraId="7B29DE57" w14:textId="1043AFF6" w:rsidR="00E9492B" w:rsidRPr="00691611" w:rsidRDefault="00E9492B" w:rsidP="008B6FF6">
      <w:pPr>
        <w:spacing w:before="100" w:beforeAutospacing="1" w:after="100" w:afterAutospacing="1"/>
        <w:ind w:right="539"/>
        <w:contextualSpacing/>
        <w:jc w:val="both"/>
        <w:rPr>
          <w:rFonts w:ascii="Palatino Linotype" w:eastAsia="MS Mincho" w:hAnsi="Palatino Linotype" w:cs="Arial"/>
          <w:color w:val="000000" w:themeColor="text1"/>
          <w:sz w:val="22"/>
          <w:szCs w:val="22"/>
          <w:lang w:val="es-ES_tradnl"/>
        </w:rPr>
      </w:pPr>
    </w:p>
    <w:p w14:paraId="32757442" w14:textId="7569E3F1" w:rsidR="00E9492B" w:rsidRPr="00691611" w:rsidRDefault="00DA4AB5" w:rsidP="007C4C8F">
      <w:pPr>
        <w:ind w:left="567" w:right="539"/>
        <w:jc w:val="both"/>
        <w:rPr>
          <w:rFonts w:ascii="Palatino Linotype" w:hAnsi="Palatino Linotype"/>
          <w:sz w:val="22"/>
          <w:szCs w:val="22"/>
        </w:rPr>
      </w:pPr>
      <w:hyperlink r:id="rId7" w:tgtFrame="_blank" w:history="1">
        <w:r w:rsidR="004F6CEE" w:rsidRPr="00691611">
          <w:rPr>
            <w:rStyle w:val="Hipervnculo"/>
            <w:rFonts w:ascii="Palatino Linotype" w:hAnsi="Palatino Linotype" w:cs="Arial"/>
            <w:b/>
            <w:bCs/>
            <w:color w:val="auto"/>
            <w:sz w:val="22"/>
            <w:szCs w:val="22"/>
            <w:u w:val="none"/>
          </w:rPr>
          <w:t>INCOMPETENCIA 00042</w:t>
        </w:r>
        <w:r w:rsidR="00E9492B" w:rsidRPr="00691611">
          <w:rPr>
            <w:rStyle w:val="Hipervnculo"/>
            <w:rFonts w:ascii="Palatino Linotype" w:hAnsi="Palatino Linotype" w:cs="Arial"/>
            <w:b/>
            <w:bCs/>
            <w:color w:val="auto"/>
            <w:sz w:val="22"/>
            <w:szCs w:val="22"/>
            <w:u w:val="none"/>
          </w:rPr>
          <w:t>.pdf</w:t>
        </w:r>
      </w:hyperlink>
      <w:r w:rsidR="00E9492B" w:rsidRPr="00691611">
        <w:rPr>
          <w:rFonts w:ascii="Palatino Linotype" w:hAnsi="Palatino Linotype"/>
          <w:sz w:val="22"/>
          <w:szCs w:val="22"/>
        </w:rPr>
        <w:t xml:space="preserve">: Documento de </w:t>
      </w:r>
      <w:r w:rsidR="003E5530" w:rsidRPr="00691611">
        <w:rPr>
          <w:rFonts w:ascii="Palatino Linotype" w:hAnsi="Palatino Linotype"/>
          <w:sz w:val="22"/>
          <w:szCs w:val="22"/>
        </w:rPr>
        <w:t>una</w:t>
      </w:r>
      <w:r w:rsidR="00E9492B" w:rsidRPr="00691611">
        <w:rPr>
          <w:rFonts w:ascii="Palatino Linotype" w:hAnsi="Palatino Linotype"/>
          <w:sz w:val="22"/>
          <w:szCs w:val="22"/>
        </w:rPr>
        <w:t xml:space="preserve"> foja que constan de un oficio de fecha </w:t>
      </w:r>
      <w:r w:rsidR="003E5530" w:rsidRPr="00691611">
        <w:rPr>
          <w:rFonts w:ascii="Palatino Linotype" w:hAnsi="Palatino Linotype"/>
          <w:sz w:val="22"/>
          <w:szCs w:val="22"/>
        </w:rPr>
        <w:t>treinta y uno</w:t>
      </w:r>
      <w:r w:rsidR="00E9492B" w:rsidRPr="00691611">
        <w:rPr>
          <w:rFonts w:ascii="Palatino Linotype" w:hAnsi="Palatino Linotype"/>
          <w:sz w:val="22"/>
          <w:szCs w:val="22"/>
        </w:rPr>
        <w:t xml:space="preserve"> de </w:t>
      </w:r>
      <w:r w:rsidR="003E5530" w:rsidRPr="00691611">
        <w:rPr>
          <w:rFonts w:ascii="Palatino Linotype" w:hAnsi="Palatino Linotype"/>
          <w:sz w:val="22"/>
          <w:szCs w:val="22"/>
        </w:rPr>
        <w:t>enero</w:t>
      </w:r>
      <w:r w:rsidR="00E9492B" w:rsidRPr="00691611">
        <w:rPr>
          <w:rFonts w:ascii="Palatino Linotype" w:hAnsi="Palatino Linotype"/>
          <w:sz w:val="22"/>
          <w:szCs w:val="22"/>
        </w:rPr>
        <w:t xml:space="preserve"> de </w:t>
      </w:r>
      <w:r w:rsidR="007C4C8F" w:rsidRPr="00691611">
        <w:rPr>
          <w:rFonts w:ascii="Palatino Linotype" w:hAnsi="Palatino Linotype"/>
          <w:sz w:val="22"/>
          <w:szCs w:val="22"/>
        </w:rPr>
        <w:t>dos mil veintidós</w:t>
      </w:r>
      <w:r w:rsidR="00E9492B" w:rsidRPr="00691611">
        <w:rPr>
          <w:rFonts w:ascii="Palatino Linotype" w:hAnsi="Palatino Linotype"/>
          <w:sz w:val="22"/>
          <w:szCs w:val="22"/>
        </w:rPr>
        <w:t xml:space="preserve">, suscrito y signado por el </w:t>
      </w:r>
      <w:r w:rsidR="003E5530" w:rsidRPr="00691611">
        <w:rPr>
          <w:rFonts w:ascii="Palatino Linotype" w:hAnsi="Palatino Linotype"/>
          <w:sz w:val="22"/>
          <w:szCs w:val="22"/>
        </w:rPr>
        <w:t>Coordinador de la Unidad de Transparencia y Acceso a la Información</w:t>
      </w:r>
      <w:r w:rsidR="00E9492B" w:rsidRPr="00691611">
        <w:rPr>
          <w:rFonts w:ascii="Palatino Linotype" w:hAnsi="Palatino Linotype"/>
          <w:sz w:val="22"/>
          <w:szCs w:val="22"/>
        </w:rPr>
        <w:t>, dirigido al Paticular, por medio del cual</w:t>
      </w:r>
      <w:r w:rsidR="007C4C8F" w:rsidRPr="00691611">
        <w:rPr>
          <w:rFonts w:ascii="Palatino Linotype" w:hAnsi="Palatino Linotype"/>
          <w:sz w:val="22"/>
          <w:szCs w:val="22"/>
        </w:rPr>
        <w:t xml:space="preserve">, </w:t>
      </w:r>
      <w:r w:rsidR="00E9492B" w:rsidRPr="00691611">
        <w:rPr>
          <w:rFonts w:ascii="Palatino Linotype" w:hAnsi="Palatino Linotype"/>
          <w:sz w:val="22"/>
          <w:szCs w:val="22"/>
        </w:rPr>
        <w:t xml:space="preserve">le informó que </w:t>
      </w:r>
      <w:r w:rsidR="003E5530" w:rsidRPr="00691611">
        <w:rPr>
          <w:rFonts w:ascii="Palatino Linotype" w:hAnsi="Palatino Linotype"/>
          <w:sz w:val="22"/>
          <w:szCs w:val="22"/>
        </w:rPr>
        <w:t xml:space="preserve">el Ayuntamiento de Coacalco de Berriozábal </w:t>
      </w:r>
      <w:r w:rsidR="00E9492B" w:rsidRPr="00691611">
        <w:rPr>
          <w:rFonts w:ascii="Palatino Linotype" w:hAnsi="Palatino Linotype"/>
          <w:sz w:val="22"/>
          <w:szCs w:val="22"/>
        </w:rPr>
        <w:t xml:space="preserve">no es la </w:t>
      </w:r>
      <w:r w:rsidR="007C4C8F" w:rsidRPr="00691611">
        <w:rPr>
          <w:rFonts w:ascii="Palatino Linotype" w:hAnsi="Palatino Linotype"/>
          <w:sz w:val="22"/>
          <w:szCs w:val="22"/>
        </w:rPr>
        <w:t>autoridad competente para hacer entrega de la información solicitada</w:t>
      </w:r>
      <w:r w:rsidR="00A94BAD" w:rsidRPr="00691611">
        <w:rPr>
          <w:rFonts w:ascii="Palatino Linotype" w:hAnsi="Palatino Linotype"/>
          <w:sz w:val="22"/>
          <w:szCs w:val="22"/>
        </w:rPr>
        <w:t>, asimismo,</w:t>
      </w:r>
      <w:r w:rsidR="007C4C8F" w:rsidRPr="00691611">
        <w:rPr>
          <w:rFonts w:ascii="Palatino Linotype" w:hAnsi="Palatino Linotype"/>
          <w:sz w:val="22"/>
          <w:szCs w:val="22"/>
        </w:rPr>
        <w:t xml:space="preserve"> le orientó a realizar una nueva solicitud de información pública ante </w:t>
      </w:r>
      <w:r w:rsidR="003E5530" w:rsidRPr="00691611">
        <w:rPr>
          <w:rFonts w:ascii="Palatino Linotype" w:hAnsi="Palatino Linotype"/>
          <w:sz w:val="22"/>
          <w:szCs w:val="22"/>
        </w:rPr>
        <w:t>el Instituto de Seguridad Social del Estado de México y Municipios (ISSEMYM)</w:t>
      </w:r>
      <w:r w:rsidR="00A94BAD" w:rsidRPr="00691611">
        <w:rPr>
          <w:rFonts w:ascii="Palatino Linotype" w:hAnsi="Palatino Linotype"/>
          <w:sz w:val="22"/>
          <w:szCs w:val="22"/>
        </w:rPr>
        <w:t>.</w:t>
      </w:r>
    </w:p>
    <w:p w14:paraId="6D8752B7" w14:textId="77777777" w:rsidR="00547C72" w:rsidRPr="00691611" w:rsidRDefault="00547C72" w:rsidP="00547C72">
      <w:pPr>
        <w:jc w:val="both"/>
        <w:rPr>
          <w:rFonts w:ascii="Palatino Linotype" w:hAnsi="Palatino Linotype"/>
          <w:color w:val="000000" w:themeColor="text1"/>
          <w:sz w:val="22"/>
          <w:szCs w:val="22"/>
        </w:rPr>
      </w:pPr>
    </w:p>
    <w:p w14:paraId="34187BF3" w14:textId="43A08004" w:rsidR="008B1180" w:rsidRPr="00691611"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691611">
        <w:rPr>
          <w:rFonts w:ascii="Palatino Linotype" w:eastAsia="MS Mincho" w:hAnsi="Palatino Linotype" w:cs="Arial"/>
          <w:color w:val="000000"/>
          <w:lang w:val="es-ES_tradnl" w:eastAsia="es-ES"/>
        </w:rPr>
        <w:t xml:space="preserve">El </w:t>
      </w:r>
      <w:r w:rsidR="00A94BAD" w:rsidRPr="00691611">
        <w:rPr>
          <w:rFonts w:ascii="Palatino Linotype" w:eastAsia="MS Mincho" w:hAnsi="Palatino Linotype" w:cs="Arial"/>
          <w:color w:val="000000"/>
          <w:lang w:val="es-ES_tradnl" w:eastAsia="es-ES"/>
        </w:rPr>
        <w:t>seis</w:t>
      </w:r>
      <w:r w:rsidR="00A15185" w:rsidRPr="00691611">
        <w:rPr>
          <w:rFonts w:ascii="Palatino Linotype" w:eastAsia="MS Mincho" w:hAnsi="Palatino Linotype" w:cs="Arial"/>
          <w:color w:val="000000"/>
          <w:lang w:val="es-ES_tradnl" w:eastAsia="es-ES"/>
        </w:rPr>
        <w:t xml:space="preserve"> </w:t>
      </w:r>
      <w:r w:rsidRPr="00691611">
        <w:rPr>
          <w:rFonts w:ascii="Palatino Linotype" w:eastAsia="MS Mincho" w:hAnsi="Palatino Linotype" w:cs="Arial"/>
          <w:color w:val="000000"/>
          <w:lang w:val="es-ES_tradnl" w:eastAsia="es-ES"/>
        </w:rPr>
        <w:t>(</w:t>
      </w:r>
      <w:r w:rsidR="00A94BAD" w:rsidRPr="00691611">
        <w:rPr>
          <w:rFonts w:ascii="Palatino Linotype" w:eastAsia="MS Mincho" w:hAnsi="Palatino Linotype" w:cs="Arial"/>
          <w:color w:val="000000"/>
          <w:lang w:val="es-ES_tradnl" w:eastAsia="es-ES"/>
        </w:rPr>
        <w:t>06</w:t>
      </w:r>
      <w:r w:rsidRPr="00691611">
        <w:rPr>
          <w:rFonts w:ascii="Palatino Linotype" w:eastAsia="MS Mincho" w:hAnsi="Palatino Linotype" w:cs="Arial"/>
          <w:color w:val="000000"/>
          <w:lang w:val="es-ES_tradnl" w:eastAsia="es-ES"/>
        </w:rPr>
        <w:t xml:space="preserve">) de </w:t>
      </w:r>
      <w:r w:rsidR="00A94BAD" w:rsidRPr="00691611">
        <w:rPr>
          <w:rFonts w:ascii="Palatino Linotype" w:eastAsia="MS Mincho" w:hAnsi="Palatino Linotype" w:cs="Arial"/>
          <w:color w:val="000000"/>
          <w:lang w:val="es-ES_tradnl" w:eastAsia="es-ES"/>
        </w:rPr>
        <w:t>marzo</w:t>
      </w:r>
      <w:r w:rsidR="00A15185" w:rsidRPr="00691611">
        <w:rPr>
          <w:rFonts w:ascii="Palatino Linotype" w:eastAsia="MS Mincho" w:hAnsi="Palatino Linotype" w:cs="Arial"/>
          <w:color w:val="000000"/>
          <w:lang w:val="es-ES_tradnl" w:eastAsia="es-ES"/>
        </w:rPr>
        <w:t xml:space="preserve"> </w:t>
      </w:r>
      <w:r w:rsidR="00AE4B84" w:rsidRPr="00691611">
        <w:rPr>
          <w:rFonts w:ascii="Palatino Linotype" w:eastAsia="MS Mincho" w:hAnsi="Palatino Linotype" w:cs="Arial"/>
          <w:color w:val="000000"/>
          <w:lang w:val="es-ES_tradnl" w:eastAsia="es-ES"/>
        </w:rPr>
        <w:t>de dos mil veinti</w:t>
      </w:r>
      <w:r w:rsidR="008B6FF6" w:rsidRPr="00691611">
        <w:rPr>
          <w:rFonts w:ascii="Palatino Linotype" w:eastAsia="MS Mincho" w:hAnsi="Palatino Linotype" w:cs="Arial"/>
          <w:color w:val="000000"/>
          <w:lang w:val="es-ES_tradnl" w:eastAsia="es-ES"/>
        </w:rPr>
        <w:t>dós,</w:t>
      </w:r>
      <w:r w:rsidR="00AE4B84" w:rsidRPr="00691611">
        <w:rPr>
          <w:rFonts w:ascii="Palatino Linotype" w:eastAsia="MS Mincho" w:hAnsi="Palatino Linotype" w:cs="Arial"/>
          <w:color w:val="000000"/>
          <w:lang w:val="es-ES_tradnl" w:eastAsia="es-ES"/>
        </w:rPr>
        <w:t xml:space="preserve"> se interpuso el recurso de revisión, en contra de la respuesta, señalando como: </w:t>
      </w:r>
    </w:p>
    <w:p w14:paraId="2A57E329" w14:textId="77777777" w:rsidR="00635DF8" w:rsidRPr="00691611"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08B2531F" w14:textId="77777777" w:rsidR="00253ED9" w:rsidRPr="00691611" w:rsidRDefault="00253ED9" w:rsidP="00391F36">
      <w:pPr>
        <w:ind w:left="567" w:right="539"/>
        <w:jc w:val="both"/>
        <w:rPr>
          <w:rFonts w:ascii="Palatino Linotype" w:eastAsia="MS Gothic" w:hAnsi="Palatino Linotype"/>
          <w:b/>
          <w:sz w:val="22"/>
          <w:szCs w:val="22"/>
          <w:lang w:val="es-ES"/>
        </w:rPr>
      </w:pPr>
      <w:r w:rsidRPr="00691611">
        <w:rPr>
          <w:rFonts w:ascii="Palatino Linotype" w:eastAsia="MS Gothic" w:hAnsi="Palatino Linotype"/>
          <w:b/>
          <w:sz w:val="22"/>
          <w:szCs w:val="22"/>
          <w:lang w:val="es-ES"/>
        </w:rPr>
        <w:t>Acto impugnado:</w:t>
      </w:r>
    </w:p>
    <w:p w14:paraId="4577E317" w14:textId="2C1C0DD8" w:rsidR="0099650D" w:rsidRPr="00691611" w:rsidRDefault="00AE4B84" w:rsidP="00A94BAD">
      <w:pPr>
        <w:ind w:left="567" w:right="539"/>
        <w:jc w:val="both"/>
        <w:rPr>
          <w:rFonts w:ascii="Palatino Linotype" w:hAnsi="Palatino Linotype"/>
          <w:i/>
          <w:sz w:val="22"/>
          <w:szCs w:val="22"/>
        </w:rPr>
      </w:pPr>
      <w:r w:rsidRPr="00691611">
        <w:rPr>
          <w:rFonts w:ascii="Palatino Linotype" w:eastAsia="MS Gothic" w:hAnsi="Palatino Linotype"/>
          <w:b/>
          <w:i/>
          <w:sz w:val="22"/>
          <w:szCs w:val="22"/>
          <w:lang w:val="es-ES"/>
        </w:rPr>
        <w:t>“</w:t>
      </w:r>
      <w:r w:rsidR="00A94BAD" w:rsidRPr="00691611">
        <w:rPr>
          <w:rFonts w:ascii="Palatino Linotype" w:hAnsi="Palatino Linotype"/>
          <w:i/>
          <w:color w:val="000000"/>
          <w:sz w:val="22"/>
          <w:szCs w:val="22"/>
        </w:rPr>
        <w:t>La documentación solicitada, corresponde a facturas (CFDI) recibidas a nombre de la institución pública, mismas que deben existir en la dependencia como comprobante del egreso que representan.</w:t>
      </w:r>
      <w:r w:rsidRPr="00691611">
        <w:rPr>
          <w:rFonts w:ascii="Palatino Linotype" w:hAnsi="Palatino Linotype"/>
          <w:i/>
          <w:color w:val="000000"/>
          <w:sz w:val="22"/>
          <w:szCs w:val="22"/>
        </w:rPr>
        <w:t>”</w:t>
      </w:r>
      <w:r w:rsidRPr="00691611">
        <w:rPr>
          <w:rFonts w:ascii="Palatino Linotype" w:eastAsia="Calibri" w:hAnsi="Palatino Linotype" w:cs="Arial"/>
          <w:i/>
          <w:sz w:val="22"/>
          <w:szCs w:val="22"/>
          <w:lang w:val="es-ES" w:eastAsia="es-ES"/>
        </w:rPr>
        <w:t xml:space="preserve"> (Sic)</w:t>
      </w:r>
    </w:p>
    <w:p w14:paraId="18A18416" w14:textId="07550CA6" w:rsidR="00391F36" w:rsidRPr="00691611" w:rsidRDefault="00391F36" w:rsidP="00391F36">
      <w:pPr>
        <w:ind w:left="567" w:right="539"/>
        <w:jc w:val="both"/>
        <w:rPr>
          <w:rFonts w:ascii="Palatino Linotype" w:eastAsia="Calibri" w:hAnsi="Palatino Linotype" w:cs="Arial"/>
          <w:i/>
          <w:sz w:val="22"/>
          <w:szCs w:val="22"/>
          <w:lang w:val="es-ES" w:eastAsia="es-ES"/>
        </w:rPr>
      </w:pPr>
    </w:p>
    <w:p w14:paraId="5A9CB95D" w14:textId="77777777" w:rsidR="006565DA" w:rsidRPr="00691611" w:rsidRDefault="00391F36" w:rsidP="00391F36">
      <w:pPr>
        <w:ind w:left="567" w:right="539"/>
        <w:jc w:val="both"/>
        <w:rPr>
          <w:rFonts w:ascii="Palatino Linotype" w:eastAsia="Calibri" w:hAnsi="Palatino Linotype" w:cs="Arial"/>
          <w:b/>
          <w:bCs/>
          <w:iCs/>
          <w:sz w:val="22"/>
          <w:szCs w:val="22"/>
          <w:lang w:val="es-ES" w:eastAsia="es-ES"/>
        </w:rPr>
      </w:pPr>
      <w:r w:rsidRPr="00691611">
        <w:rPr>
          <w:rFonts w:ascii="Palatino Linotype" w:eastAsia="Calibri" w:hAnsi="Palatino Linotype" w:cs="Arial"/>
          <w:b/>
          <w:bCs/>
          <w:iCs/>
          <w:sz w:val="22"/>
          <w:szCs w:val="22"/>
          <w:lang w:val="es-ES" w:eastAsia="es-ES"/>
        </w:rPr>
        <w:t>Razones o motivos de inconformidad:</w:t>
      </w:r>
      <w:r w:rsidR="006565DA" w:rsidRPr="00691611">
        <w:rPr>
          <w:rFonts w:ascii="Palatino Linotype" w:eastAsia="Calibri" w:hAnsi="Palatino Linotype" w:cs="Arial"/>
          <w:b/>
          <w:bCs/>
          <w:iCs/>
          <w:sz w:val="22"/>
          <w:szCs w:val="22"/>
          <w:lang w:val="es-ES" w:eastAsia="es-ES"/>
        </w:rPr>
        <w:t xml:space="preserve"> </w:t>
      </w:r>
    </w:p>
    <w:p w14:paraId="5E9A6961" w14:textId="69BF02A2" w:rsidR="005949AA" w:rsidRPr="00691611" w:rsidRDefault="00A94BAD" w:rsidP="007C4C8F">
      <w:pPr>
        <w:ind w:left="567" w:right="539"/>
        <w:jc w:val="both"/>
        <w:rPr>
          <w:rFonts w:ascii="Palatino Linotype" w:eastAsia="Calibri" w:hAnsi="Palatino Linotype" w:cs="Arial"/>
          <w:sz w:val="22"/>
          <w:szCs w:val="22"/>
          <w:lang w:val="es-ES" w:eastAsia="es-ES"/>
        </w:rPr>
      </w:pPr>
      <w:r w:rsidRPr="00691611">
        <w:rPr>
          <w:rFonts w:ascii="Palatino Linotype" w:eastAsia="Calibri" w:hAnsi="Palatino Linotype" w:cs="Arial"/>
          <w:sz w:val="22"/>
          <w:szCs w:val="22"/>
          <w:lang w:val="es-ES" w:eastAsia="es-ES"/>
        </w:rPr>
        <w:t>(No se manifestaron razones o motivos de inconformidad).</w:t>
      </w:r>
    </w:p>
    <w:p w14:paraId="21E06B78" w14:textId="77777777" w:rsidR="00A94BAD" w:rsidRPr="00691611" w:rsidRDefault="00A94BAD" w:rsidP="00A94BAD">
      <w:pPr>
        <w:ind w:right="539"/>
        <w:jc w:val="both"/>
        <w:rPr>
          <w:rFonts w:ascii="Palatino Linotype" w:hAnsi="Palatino Linotype"/>
          <w:i/>
          <w:iCs/>
          <w:sz w:val="22"/>
          <w:szCs w:val="22"/>
          <w:lang w:val="es-ES"/>
        </w:rPr>
      </w:pPr>
    </w:p>
    <w:p w14:paraId="2D3767C3" w14:textId="6C29956A" w:rsidR="00AE4B84" w:rsidRPr="00691611"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691611">
        <w:rPr>
          <w:rFonts w:ascii="Palatino Linotype" w:hAnsi="Palatino Linotype" w:cs="Arial"/>
          <w:lang w:val="es-ES" w:eastAsia="es-ES"/>
        </w:rPr>
        <w:t xml:space="preserve">Se registró el recurso de revisión bajo el número de expediente al rubro indicado, </w:t>
      </w:r>
      <w:r w:rsidRPr="00691611">
        <w:rPr>
          <w:rFonts w:ascii="Palatino Linotype" w:eastAsia="MS Mincho" w:hAnsi="Palatino Linotype" w:cs="Arial"/>
          <w:bCs/>
          <w:lang w:val="es-ES_tradnl" w:eastAsia="es-ES"/>
        </w:rPr>
        <w:t xml:space="preserve">con fundamento en lo dispuesto por el </w:t>
      </w:r>
      <w:r w:rsidRPr="00691611">
        <w:rPr>
          <w:rFonts w:ascii="Palatino Linotype" w:eastAsia="Calibri" w:hAnsi="Palatino Linotype" w:cs="Arial"/>
          <w:lang w:val="es-ES" w:eastAsia="es-ES"/>
        </w:rPr>
        <w:t xml:space="preserve">artículo 185 fracción I de la </w:t>
      </w:r>
      <w:r w:rsidRPr="00691611">
        <w:rPr>
          <w:rFonts w:ascii="Palatino Linotype" w:eastAsia="Calibri" w:hAnsi="Palatino Linotype" w:cs="Arial"/>
          <w:b/>
          <w:lang w:val="es-ES" w:eastAsia="es-ES"/>
        </w:rPr>
        <w:t xml:space="preserve">Ley de </w:t>
      </w:r>
      <w:r w:rsidRPr="00691611">
        <w:rPr>
          <w:rFonts w:ascii="Palatino Linotype" w:eastAsia="Calibri" w:hAnsi="Palatino Linotype" w:cs="Arial"/>
          <w:b/>
          <w:lang w:val="es-ES" w:eastAsia="es-ES"/>
        </w:rPr>
        <w:lastRenderedPageBreak/>
        <w:t xml:space="preserve">Transparencia y Acceso a la Información Pública del Estado de México y Municipios </w:t>
      </w:r>
      <w:r w:rsidRPr="00691611">
        <w:rPr>
          <w:rFonts w:ascii="Palatino Linotype" w:hAnsi="Palatino Linotype" w:cs="Arial"/>
          <w:lang w:val="es-ES" w:eastAsia="es-ES"/>
        </w:rPr>
        <w:t xml:space="preserve">se turnó a la </w:t>
      </w:r>
      <w:r w:rsidRPr="00691611">
        <w:rPr>
          <w:rFonts w:ascii="Palatino Linotype" w:hAnsi="Palatino Linotype" w:cs="Arial"/>
          <w:b/>
          <w:lang w:val="es-ES" w:eastAsia="es-ES"/>
        </w:rPr>
        <w:t xml:space="preserve">Comisionada María del Rosario Mejía Ayala, </w:t>
      </w:r>
      <w:r w:rsidRPr="00691611">
        <w:rPr>
          <w:rFonts w:ascii="Palatino Linotype" w:hAnsi="Palatino Linotype" w:cs="Arial"/>
          <w:lang w:val="es-ES" w:eastAsia="es-ES"/>
        </w:rPr>
        <w:t xml:space="preserve">con el objeto de </w:t>
      </w:r>
      <w:r w:rsidRPr="00691611">
        <w:rPr>
          <w:rFonts w:ascii="Palatino Linotype" w:hAnsi="Palatino Linotype" w:cs="Arial"/>
          <w:lang w:eastAsia="es-ES"/>
        </w:rPr>
        <w:t xml:space="preserve">su análisis. </w:t>
      </w:r>
    </w:p>
    <w:p w14:paraId="1255E8F7" w14:textId="77777777" w:rsidR="00934AE9" w:rsidRPr="00691611" w:rsidRDefault="00934AE9" w:rsidP="00934AE9">
      <w:pPr>
        <w:spacing w:before="240" w:after="240" w:line="360" w:lineRule="auto"/>
        <w:contextualSpacing/>
        <w:jc w:val="both"/>
        <w:rPr>
          <w:rFonts w:ascii="Palatino Linotype" w:hAnsi="Palatino Linotype" w:cs="Arial"/>
          <w:i/>
          <w:lang w:val="es-ES_tradnl"/>
        </w:rPr>
      </w:pPr>
    </w:p>
    <w:p w14:paraId="419467CD" w14:textId="216145E4" w:rsidR="00AE4B84" w:rsidRPr="00691611"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691611">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A94BAD" w:rsidRPr="00691611">
        <w:rPr>
          <w:rFonts w:ascii="Palatino Linotype" w:eastAsia="Calibri" w:hAnsi="Palatino Linotype" w:cs="Arial"/>
          <w:lang w:val="es-ES" w:eastAsia="es-ES"/>
        </w:rPr>
        <w:t>nueve</w:t>
      </w:r>
      <w:r w:rsidR="008B1180" w:rsidRPr="00691611">
        <w:rPr>
          <w:rFonts w:ascii="Palatino Linotype" w:eastAsia="Calibri" w:hAnsi="Palatino Linotype" w:cs="Arial"/>
          <w:lang w:val="es-ES" w:eastAsia="es-ES"/>
        </w:rPr>
        <w:t xml:space="preserve"> (</w:t>
      </w:r>
      <w:r w:rsidR="00A94BAD" w:rsidRPr="00691611">
        <w:rPr>
          <w:rFonts w:ascii="Palatino Linotype" w:eastAsia="Calibri" w:hAnsi="Palatino Linotype" w:cs="Arial"/>
          <w:lang w:val="es-ES" w:eastAsia="es-ES"/>
        </w:rPr>
        <w:t>09</w:t>
      </w:r>
      <w:r w:rsidR="008B1180" w:rsidRPr="00691611">
        <w:rPr>
          <w:rFonts w:ascii="Palatino Linotype" w:eastAsia="Calibri" w:hAnsi="Palatino Linotype" w:cs="Arial"/>
          <w:lang w:val="es-ES" w:eastAsia="es-ES"/>
        </w:rPr>
        <w:t xml:space="preserve">) de </w:t>
      </w:r>
      <w:r w:rsidR="00A94BAD" w:rsidRPr="00691611">
        <w:rPr>
          <w:rFonts w:ascii="Palatino Linotype" w:eastAsia="Calibri" w:hAnsi="Palatino Linotype" w:cs="Arial"/>
          <w:lang w:val="es-ES" w:eastAsia="es-ES"/>
        </w:rPr>
        <w:t>marzo</w:t>
      </w:r>
      <w:r w:rsidR="008B6FF6" w:rsidRPr="00691611">
        <w:rPr>
          <w:rFonts w:ascii="Palatino Linotype" w:eastAsia="Calibri" w:hAnsi="Palatino Linotype" w:cs="Arial"/>
          <w:lang w:val="es-ES" w:eastAsia="es-ES"/>
        </w:rPr>
        <w:t xml:space="preserve"> </w:t>
      </w:r>
      <w:r w:rsidRPr="00691611">
        <w:rPr>
          <w:rFonts w:ascii="Palatino Linotype" w:eastAsia="Calibri" w:hAnsi="Palatino Linotype" w:cs="Arial"/>
          <w:lang w:val="es-ES" w:eastAsia="es-ES"/>
        </w:rPr>
        <w:t>de dos mil veinti</w:t>
      </w:r>
      <w:r w:rsidR="008B6FF6" w:rsidRPr="00691611">
        <w:rPr>
          <w:rFonts w:ascii="Palatino Linotype" w:eastAsia="Calibri" w:hAnsi="Palatino Linotype" w:cs="Arial"/>
          <w:lang w:val="es-ES" w:eastAsia="es-ES"/>
        </w:rPr>
        <w:t>dós</w:t>
      </w:r>
      <w:r w:rsidRPr="00691611">
        <w:rPr>
          <w:rFonts w:ascii="Palatino Linotype" w:eastAsia="Calibri" w:hAnsi="Palatino Linotype" w:cs="Arial"/>
          <w:lang w:val="es-ES" w:eastAsia="es-ES"/>
        </w:rPr>
        <w:t xml:space="preserve">, puso a disposición de las partes el expediente electrónico </w:t>
      </w:r>
      <w:r w:rsidRPr="00691611">
        <w:rPr>
          <w:rFonts w:ascii="Palatino Linotype" w:eastAsia="Calibri" w:hAnsi="Palatino Linotype" w:cs="Arial"/>
          <w:lang w:val="es-ES_tradnl" w:eastAsia="es-ES"/>
        </w:rPr>
        <w:t xml:space="preserve">vía </w:t>
      </w:r>
      <w:r w:rsidRPr="00691611">
        <w:rPr>
          <w:rFonts w:ascii="Palatino Linotype" w:eastAsia="Calibri" w:hAnsi="Palatino Linotype" w:cs="Arial"/>
          <w:lang w:val="es-ES" w:eastAsia="es-ES"/>
        </w:rPr>
        <w:t>Sistema de Acceso a la Información Mexiquense (</w:t>
      </w:r>
      <w:r w:rsidRPr="00691611">
        <w:rPr>
          <w:rFonts w:ascii="Palatino Linotype" w:eastAsia="Calibri" w:hAnsi="Palatino Linotype" w:cs="Arial"/>
          <w:b/>
          <w:lang w:val="es-ES" w:eastAsia="es-ES"/>
        </w:rPr>
        <w:t xml:space="preserve">SAIMEX) </w:t>
      </w:r>
      <w:r w:rsidRPr="00691611">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691611">
        <w:rPr>
          <w:rFonts w:ascii="Palatino Linotype" w:eastAsia="Calibri" w:hAnsi="Palatino Linotype" w:cs="Arial"/>
          <w:b/>
          <w:lang w:val="es-ES" w:eastAsia="es-ES"/>
        </w:rPr>
        <w:t>SUJETO OBLIGADO</w:t>
      </w:r>
      <w:r w:rsidRPr="00691611">
        <w:rPr>
          <w:rFonts w:ascii="Palatino Linotype" w:eastAsia="Calibri" w:hAnsi="Palatino Linotype" w:cs="Arial"/>
          <w:lang w:val="es-ES" w:eastAsia="es-ES"/>
        </w:rPr>
        <w:t xml:space="preserve"> presentará el Informe Justificado procedente</w:t>
      </w:r>
      <w:r w:rsidR="00934AE9" w:rsidRPr="00691611">
        <w:rPr>
          <w:rFonts w:ascii="Palatino Linotype" w:eastAsia="Calibri" w:hAnsi="Palatino Linotype" w:cs="Arial"/>
          <w:lang w:val="es-ES" w:eastAsia="es-ES"/>
        </w:rPr>
        <w:t>.</w:t>
      </w:r>
    </w:p>
    <w:p w14:paraId="7E04D420" w14:textId="77777777" w:rsidR="00934AE9" w:rsidRPr="00691611" w:rsidRDefault="00934AE9" w:rsidP="006565DA">
      <w:pPr>
        <w:rPr>
          <w:rFonts w:ascii="Palatino Linotype" w:eastAsia="Calibri" w:hAnsi="Palatino Linotype" w:cs="Arial"/>
        </w:rPr>
      </w:pPr>
    </w:p>
    <w:p w14:paraId="6D64AB06" w14:textId="08BD8351" w:rsidR="007C4C8F" w:rsidRPr="00691611" w:rsidRDefault="006565DA" w:rsidP="007C4C8F">
      <w:pPr>
        <w:numPr>
          <w:ilvl w:val="0"/>
          <w:numId w:val="1"/>
        </w:numPr>
        <w:tabs>
          <w:tab w:val="clear" w:pos="862"/>
        </w:tabs>
        <w:spacing w:line="360" w:lineRule="auto"/>
        <w:ind w:left="0" w:firstLine="0"/>
        <w:contextualSpacing/>
        <w:jc w:val="both"/>
        <w:rPr>
          <w:rFonts w:ascii="Palatino Linotype" w:eastAsia="Calibri" w:hAnsi="Palatino Linotype" w:cs="Arial"/>
        </w:rPr>
      </w:pPr>
      <w:r w:rsidRPr="00691611">
        <w:rPr>
          <w:rFonts w:ascii="Palatino Linotype" w:eastAsia="Calibri" w:hAnsi="Palatino Linotype" w:cs="Arial"/>
        </w:rPr>
        <w:t xml:space="preserve">De </w:t>
      </w:r>
      <w:r w:rsidRPr="00691611">
        <w:rPr>
          <w:rFonts w:ascii="Palatino Linotype" w:hAnsi="Palatino Linotype"/>
          <w:color w:val="000000"/>
        </w:rPr>
        <w:t xml:space="preserve">las constancias que obran en el </w:t>
      </w:r>
      <w:r w:rsidRPr="00691611">
        <w:rPr>
          <w:rFonts w:ascii="Palatino Linotype" w:hAnsi="Palatino Linotype"/>
          <w:b/>
          <w:bCs/>
          <w:color w:val="000000"/>
        </w:rPr>
        <w:t>SAIMEX</w:t>
      </w:r>
      <w:r w:rsidRPr="00691611">
        <w:rPr>
          <w:rFonts w:ascii="Palatino Linotype" w:hAnsi="Palatino Linotype"/>
          <w:color w:val="000000"/>
        </w:rPr>
        <w:t>, se observa que el</w:t>
      </w:r>
      <w:r w:rsidR="0010276A" w:rsidRPr="00691611">
        <w:rPr>
          <w:rFonts w:ascii="Palatino Linotype" w:hAnsi="Palatino Linotype"/>
          <w:color w:val="000000"/>
        </w:rPr>
        <w:t xml:space="preserve"> dieciocho (18) de marzo de dos mil veintidós, el</w:t>
      </w:r>
      <w:r w:rsidRPr="00691611">
        <w:rPr>
          <w:rFonts w:ascii="Palatino Linotype" w:hAnsi="Palatino Linotype"/>
          <w:color w:val="000000"/>
        </w:rPr>
        <w:t xml:space="preserve"> </w:t>
      </w:r>
      <w:r w:rsidRPr="00691611">
        <w:rPr>
          <w:rFonts w:ascii="Palatino Linotype" w:hAnsi="Palatino Linotype"/>
          <w:b/>
          <w:bCs/>
          <w:color w:val="000000"/>
        </w:rPr>
        <w:t xml:space="preserve">SUJETO OBLIGADO </w:t>
      </w:r>
      <w:r w:rsidRPr="00691611">
        <w:rPr>
          <w:rFonts w:ascii="Palatino Linotype" w:hAnsi="Palatino Linotype"/>
          <w:color w:val="000000"/>
        </w:rPr>
        <w:t>r</w:t>
      </w:r>
      <w:r w:rsidR="0010276A" w:rsidRPr="00691611">
        <w:rPr>
          <w:rFonts w:ascii="Palatino Linotype" w:hAnsi="Palatino Linotype"/>
          <w:color w:val="000000"/>
        </w:rPr>
        <w:t xml:space="preserve">indió </w:t>
      </w:r>
      <w:r w:rsidR="007C4C8F" w:rsidRPr="00691611">
        <w:rPr>
          <w:rFonts w:ascii="Palatino Linotype" w:hAnsi="Palatino Linotype"/>
          <w:color w:val="000000"/>
        </w:rPr>
        <w:t xml:space="preserve">el </w:t>
      </w:r>
      <w:r w:rsidRPr="00691611">
        <w:rPr>
          <w:rFonts w:ascii="Palatino Linotype" w:hAnsi="Palatino Linotype"/>
          <w:color w:val="000000"/>
        </w:rPr>
        <w:t>informe justificado</w:t>
      </w:r>
      <w:r w:rsidR="007C4C8F" w:rsidRPr="00691611">
        <w:rPr>
          <w:rFonts w:ascii="Palatino Linotype" w:hAnsi="Palatino Linotype"/>
          <w:color w:val="000000"/>
        </w:rPr>
        <w:t xml:space="preserve"> correspondiente, a través de</w:t>
      </w:r>
      <w:r w:rsidR="00A94BAD" w:rsidRPr="00691611">
        <w:rPr>
          <w:rFonts w:ascii="Palatino Linotype" w:hAnsi="Palatino Linotype"/>
          <w:color w:val="000000"/>
        </w:rPr>
        <w:t xml:space="preserve"> los siguientes archivos electrónicos:</w:t>
      </w:r>
    </w:p>
    <w:p w14:paraId="454EDB77" w14:textId="43C86B59" w:rsidR="00A94BAD" w:rsidRPr="00691611" w:rsidRDefault="00A94BAD" w:rsidP="00A94BAD">
      <w:pPr>
        <w:spacing w:line="360" w:lineRule="auto"/>
        <w:contextualSpacing/>
        <w:jc w:val="both"/>
      </w:pPr>
    </w:p>
    <w:p w14:paraId="7ACB08CD" w14:textId="2391D12B" w:rsidR="00A94BAD" w:rsidRPr="00691611" w:rsidRDefault="00A94BAD" w:rsidP="00A94BAD">
      <w:pPr>
        <w:ind w:left="567" w:right="539"/>
        <w:contextualSpacing/>
        <w:jc w:val="both"/>
        <w:rPr>
          <w:rFonts w:ascii="Palatino Linotype" w:hAnsi="Palatino Linotype"/>
          <w:b/>
          <w:bCs/>
          <w:sz w:val="22"/>
          <w:szCs w:val="22"/>
        </w:rPr>
      </w:pPr>
      <w:r w:rsidRPr="00691611">
        <w:rPr>
          <w:rFonts w:ascii="Palatino Linotype" w:hAnsi="Palatino Linotype"/>
          <w:b/>
          <w:bCs/>
          <w:sz w:val="22"/>
          <w:szCs w:val="22"/>
        </w:rPr>
        <w:t>TESORERIA RR_3834_2022.pdf:</w:t>
      </w:r>
      <w:r w:rsidR="004F6CEE" w:rsidRPr="00691611">
        <w:rPr>
          <w:rFonts w:ascii="Palatino Linotype" w:hAnsi="Palatino Linotype"/>
          <w:b/>
          <w:bCs/>
          <w:sz w:val="22"/>
          <w:szCs w:val="22"/>
        </w:rPr>
        <w:t xml:space="preserve"> </w:t>
      </w:r>
      <w:r w:rsidR="004F6CEE" w:rsidRPr="00691611">
        <w:rPr>
          <w:rFonts w:ascii="Palatino Linotype" w:hAnsi="Palatino Linotype"/>
          <w:sz w:val="22"/>
          <w:szCs w:val="22"/>
        </w:rPr>
        <w:t xml:space="preserve">Documento de cincuenta y tres fojas que constan de diversos Comprobantes Fiscales Digitales por internet (CFDI) correspondientes a ejercicio fiscal 2021, emitidos por el Instituto de Seguridad Social del Estado de México y Municipios (ISSEMYM) a favor del </w:t>
      </w:r>
      <w:r w:rsidR="00F365B8" w:rsidRPr="00691611">
        <w:rPr>
          <w:rFonts w:ascii="Palatino Linotype" w:hAnsi="Palatino Linotype"/>
          <w:b/>
          <w:bCs/>
          <w:sz w:val="22"/>
          <w:szCs w:val="22"/>
        </w:rPr>
        <w:t>SUJETO OBLIGADO.</w:t>
      </w:r>
    </w:p>
    <w:p w14:paraId="2C121B64" w14:textId="77777777" w:rsidR="00F365B8" w:rsidRPr="00691611" w:rsidRDefault="00F365B8" w:rsidP="00A94BAD">
      <w:pPr>
        <w:ind w:left="567" w:right="539"/>
        <w:contextualSpacing/>
        <w:jc w:val="both"/>
        <w:rPr>
          <w:rFonts w:ascii="Palatino Linotype" w:hAnsi="Palatino Linotype"/>
          <w:b/>
          <w:bCs/>
          <w:sz w:val="22"/>
          <w:szCs w:val="22"/>
        </w:rPr>
      </w:pPr>
    </w:p>
    <w:p w14:paraId="6ACD4C4D" w14:textId="003CF73C" w:rsidR="00A94BAD" w:rsidRPr="00691611" w:rsidRDefault="00A94BAD" w:rsidP="00A94BAD">
      <w:pPr>
        <w:ind w:left="567" w:right="539"/>
        <w:contextualSpacing/>
        <w:jc w:val="both"/>
        <w:rPr>
          <w:rFonts w:ascii="Palatino Linotype" w:hAnsi="Palatino Linotype"/>
          <w:sz w:val="22"/>
          <w:szCs w:val="22"/>
        </w:rPr>
      </w:pPr>
      <w:r w:rsidRPr="00691611">
        <w:rPr>
          <w:rFonts w:ascii="Palatino Linotype" w:hAnsi="Palatino Linotype"/>
          <w:b/>
          <w:bCs/>
          <w:sz w:val="22"/>
          <w:szCs w:val="22"/>
        </w:rPr>
        <w:t>RR_03438_2022.pdf:</w:t>
      </w:r>
      <w:r w:rsidR="004F6CEE" w:rsidRPr="00691611">
        <w:rPr>
          <w:rFonts w:ascii="Palatino Linotype" w:hAnsi="Palatino Linotype"/>
          <w:b/>
          <w:bCs/>
          <w:sz w:val="22"/>
          <w:szCs w:val="22"/>
        </w:rPr>
        <w:t xml:space="preserve"> </w:t>
      </w:r>
      <w:r w:rsidR="004F6CEE" w:rsidRPr="00691611">
        <w:rPr>
          <w:rFonts w:ascii="Palatino Linotype" w:hAnsi="Palatino Linotype"/>
          <w:sz w:val="22"/>
          <w:szCs w:val="22"/>
        </w:rPr>
        <w:t xml:space="preserve">Documento de cinco fojas que constan del informe justificado, suscrito y signado por el Coordinador de Transparencia, por medio del cual, hizo del conociemto </w:t>
      </w:r>
      <w:r w:rsidR="00F365B8" w:rsidRPr="00691611">
        <w:rPr>
          <w:rFonts w:ascii="Palatino Linotype" w:hAnsi="Palatino Linotype"/>
          <w:sz w:val="22"/>
          <w:szCs w:val="22"/>
        </w:rPr>
        <w:t>d</w:t>
      </w:r>
      <w:r w:rsidR="004F6CEE" w:rsidRPr="00691611">
        <w:rPr>
          <w:rFonts w:ascii="Palatino Linotype" w:hAnsi="Palatino Linotype"/>
          <w:sz w:val="22"/>
          <w:szCs w:val="22"/>
        </w:rPr>
        <w:t>el Solicitante la respuesta emitida por el Servidor Publico Habilitado.</w:t>
      </w:r>
    </w:p>
    <w:p w14:paraId="2F2381F2" w14:textId="77777777" w:rsidR="00F365B8" w:rsidRPr="00691611" w:rsidRDefault="00F365B8" w:rsidP="00A94BAD">
      <w:pPr>
        <w:ind w:left="567" w:right="539"/>
        <w:contextualSpacing/>
        <w:jc w:val="both"/>
        <w:rPr>
          <w:rFonts w:ascii="Palatino Linotype" w:hAnsi="Palatino Linotype"/>
          <w:b/>
          <w:bCs/>
          <w:sz w:val="22"/>
          <w:szCs w:val="22"/>
        </w:rPr>
      </w:pPr>
    </w:p>
    <w:p w14:paraId="38867628" w14:textId="77777777" w:rsidR="00795DE3" w:rsidRPr="00691611" w:rsidRDefault="00A94BAD" w:rsidP="00A94BAD">
      <w:pPr>
        <w:ind w:left="567" w:right="539"/>
        <w:contextualSpacing/>
        <w:jc w:val="both"/>
        <w:rPr>
          <w:rFonts w:ascii="Palatino Linotype" w:eastAsia="Calibri" w:hAnsi="Palatino Linotype" w:cs="Arial"/>
          <w:b/>
          <w:bCs/>
          <w:sz w:val="22"/>
          <w:szCs w:val="22"/>
        </w:rPr>
      </w:pPr>
      <w:r w:rsidRPr="00691611">
        <w:rPr>
          <w:rFonts w:ascii="Palatino Linotype" w:eastAsia="Calibri" w:hAnsi="Palatino Linotype" w:cs="Arial"/>
          <w:b/>
          <w:bCs/>
          <w:sz w:val="22"/>
          <w:szCs w:val="22"/>
        </w:rPr>
        <w:t>RESPUESTA AL SOLICITANTE RR_03438_2022.pdf:</w:t>
      </w:r>
      <w:r w:rsidR="00F365B8" w:rsidRPr="00691611">
        <w:rPr>
          <w:rFonts w:ascii="Palatino Linotype" w:eastAsia="Calibri" w:hAnsi="Palatino Linotype" w:cs="Arial"/>
          <w:b/>
          <w:bCs/>
          <w:sz w:val="22"/>
          <w:szCs w:val="22"/>
        </w:rPr>
        <w:t xml:space="preserve"> </w:t>
      </w:r>
      <w:r w:rsidR="00F365B8" w:rsidRPr="00691611">
        <w:rPr>
          <w:rFonts w:ascii="Palatino Linotype" w:eastAsia="Calibri" w:hAnsi="Palatino Linotype" w:cs="Arial"/>
          <w:sz w:val="22"/>
          <w:szCs w:val="22"/>
        </w:rPr>
        <w:t>Documento de una foja que consta del oficio número PM/UT/CAMG/352/2022 del 18 de marzo de 2022, suscrito y signado por el Titular de la Unidad de Transparencia, dirigido al Solicitante, por medio del cual</w:t>
      </w:r>
      <w:r w:rsidR="00795DE3" w:rsidRPr="00691611">
        <w:rPr>
          <w:rFonts w:ascii="Palatino Linotype" w:eastAsia="Calibri" w:hAnsi="Palatino Linotype" w:cs="Arial"/>
          <w:sz w:val="22"/>
          <w:szCs w:val="22"/>
        </w:rPr>
        <w:t xml:space="preserve"> manifestó lo siguiente:</w:t>
      </w:r>
    </w:p>
    <w:p w14:paraId="6C60FB71" w14:textId="77777777" w:rsidR="00795DE3" w:rsidRPr="00691611" w:rsidRDefault="00795DE3" w:rsidP="00A94BAD">
      <w:pPr>
        <w:ind w:left="567" w:right="539"/>
        <w:contextualSpacing/>
        <w:jc w:val="both"/>
        <w:rPr>
          <w:rFonts w:ascii="Palatino Linotype" w:eastAsia="Calibri" w:hAnsi="Palatino Linotype" w:cs="Arial"/>
          <w:b/>
          <w:bCs/>
          <w:sz w:val="22"/>
          <w:szCs w:val="22"/>
        </w:rPr>
      </w:pPr>
    </w:p>
    <w:p w14:paraId="19EEF015" w14:textId="6951EA32" w:rsidR="00A94BAD" w:rsidRPr="00691611" w:rsidRDefault="00795DE3" w:rsidP="00795DE3">
      <w:pPr>
        <w:ind w:left="567" w:right="539"/>
        <w:contextualSpacing/>
        <w:jc w:val="both"/>
        <w:rPr>
          <w:rFonts w:ascii="Palatino Linotype" w:eastAsia="Calibri" w:hAnsi="Palatino Linotype" w:cs="Arial"/>
          <w:i/>
          <w:iCs/>
          <w:sz w:val="22"/>
          <w:szCs w:val="22"/>
        </w:rPr>
      </w:pPr>
      <w:r w:rsidRPr="00691611">
        <w:rPr>
          <w:rFonts w:ascii="Palatino Linotype" w:eastAsia="Calibri" w:hAnsi="Palatino Linotype" w:cs="Arial"/>
          <w:i/>
          <w:iCs/>
          <w:sz w:val="22"/>
          <w:szCs w:val="22"/>
        </w:rPr>
        <w:lastRenderedPageBreak/>
        <w:t>“…Oficio TM/486/2022 anexando Comprobantes Fiscales Digitales por internet (CFDI’s) correspondientes al Ejercicio Fiscal 2021, emitidos por el Instituto de Seguridad Social del Estado de México y Municipios (ISSEMYM) a favor de este Municipio en formato PDF. Suscrito por la TESORERA MUNICIPAL…” (Sic)</w:t>
      </w:r>
    </w:p>
    <w:p w14:paraId="26E77A8D" w14:textId="77777777" w:rsidR="00F365B8" w:rsidRPr="00691611" w:rsidRDefault="00F365B8" w:rsidP="00F365B8">
      <w:pPr>
        <w:ind w:right="539"/>
        <w:contextualSpacing/>
        <w:jc w:val="both"/>
        <w:rPr>
          <w:rFonts w:ascii="Palatino Linotype" w:eastAsia="Calibri" w:hAnsi="Palatino Linotype" w:cs="Arial"/>
          <w:b/>
          <w:bCs/>
          <w:sz w:val="22"/>
          <w:szCs w:val="22"/>
        </w:rPr>
      </w:pPr>
    </w:p>
    <w:p w14:paraId="1A0BA818" w14:textId="06927043" w:rsidR="00A94BAD" w:rsidRPr="00691611" w:rsidRDefault="00A94BAD" w:rsidP="00A94BAD">
      <w:pPr>
        <w:ind w:left="567" w:right="539"/>
        <w:contextualSpacing/>
        <w:jc w:val="both"/>
        <w:rPr>
          <w:rFonts w:ascii="Palatino Linotype" w:eastAsia="Calibri" w:hAnsi="Palatino Linotype" w:cs="Arial"/>
          <w:sz w:val="22"/>
          <w:szCs w:val="22"/>
        </w:rPr>
      </w:pPr>
      <w:r w:rsidRPr="00691611">
        <w:rPr>
          <w:rFonts w:ascii="Palatino Linotype" w:eastAsia="Calibri" w:hAnsi="Palatino Linotype" w:cs="Arial"/>
          <w:b/>
          <w:bCs/>
          <w:sz w:val="22"/>
          <w:szCs w:val="22"/>
        </w:rPr>
        <w:t>CONSTETACION TESORERIA RR_3438_2022.pdf:</w:t>
      </w:r>
      <w:r w:rsidR="00795DE3" w:rsidRPr="00691611">
        <w:rPr>
          <w:rFonts w:ascii="Palatino Linotype" w:eastAsia="Calibri" w:hAnsi="Palatino Linotype" w:cs="Arial"/>
          <w:b/>
          <w:bCs/>
          <w:sz w:val="22"/>
          <w:szCs w:val="22"/>
        </w:rPr>
        <w:t xml:space="preserve"> </w:t>
      </w:r>
      <w:r w:rsidR="00795DE3" w:rsidRPr="00691611">
        <w:rPr>
          <w:rFonts w:ascii="Palatino Linotype" w:eastAsia="Calibri" w:hAnsi="Palatino Linotype" w:cs="Arial"/>
          <w:sz w:val="22"/>
          <w:szCs w:val="22"/>
        </w:rPr>
        <w:t>Documento de una foja que consta del oficio número PM/UT/CAMG/324/2022 del 16 de marzo de 2022, suscrito y signado por la Tesorera Municipal, dirigido al Solicitante, por medio del cual manifestó lo siguiente:</w:t>
      </w:r>
    </w:p>
    <w:p w14:paraId="3AE963A0" w14:textId="269FCE30" w:rsidR="00795DE3" w:rsidRPr="00691611" w:rsidRDefault="00795DE3" w:rsidP="00A94BAD">
      <w:pPr>
        <w:ind w:left="567" w:right="539"/>
        <w:contextualSpacing/>
        <w:jc w:val="both"/>
        <w:rPr>
          <w:rFonts w:ascii="Palatino Linotype" w:eastAsia="Calibri" w:hAnsi="Palatino Linotype" w:cs="Arial"/>
          <w:b/>
          <w:bCs/>
          <w:sz w:val="22"/>
          <w:szCs w:val="22"/>
        </w:rPr>
      </w:pPr>
    </w:p>
    <w:p w14:paraId="5BB5D1D7" w14:textId="65592EBF" w:rsidR="00795DE3" w:rsidRPr="00691611" w:rsidRDefault="00795DE3" w:rsidP="00A94BAD">
      <w:pPr>
        <w:ind w:left="567" w:right="539"/>
        <w:contextualSpacing/>
        <w:jc w:val="both"/>
        <w:rPr>
          <w:rFonts w:ascii="Palatino Linotype" w:eastAsia="Calibri" w:hAnsi="Palatino Linotype" w:cs="Arial"/>
          <w:i/>
          <w:iCs/>
          <w:sz w:val="22"/>
          <w:szCs w:val="22"/>
        </w:rPr>
      </w:pPr>
      <w:r w:rsidRPr="00691611">
        <w:rPr>
          <w:rFonts w:ascii="Palatino Linotype" w:eastAsia="Calibri" w:hAnsi="Palatino Linotype" w:cs="Arial"/>
          <w:i/>
          <w:iCs/>
          <w:sz w:val="22"/>
          <w:szCs w:val="22"/>
        </w:rPr>
        <w:t>“… Al respecto, le comunico que de la búsqueda exhaustiva y minuciosa en los archivos físicos y digitales que obran en esta Dependencia Municipal, se identificaron los Comprobantes Fiscales Digitales por Internet (CFDI`s) correspondientes al ejercicio fiscla 2021, emitidos por el Instituto de Seguridad Social del Estado de México y Municipios (ISSEMYM) a favor de este Municipio, mismo que le envío en medio magnético en formato PDF…”(Sic)</w:t>
      </w:r>
    </w:p>
    <w:p w14:paraId="23B6A8B8" w14:textId="77777777" w:rsidR="007C4C8F" w:rsidRPr="00691611" w:rsidRDefault="007C4C8F" w:rsidP="007C4C8F">
      <w:pPr>
        <w:rPr>
          <w:rFonts w:ascii="Palatino Linotype" w:hAnsi="Palatino Linotype"/>
          <w:color w:val="000000"/>
        </w:rPr>
      </w:pPr>
    </w:p>
    <w:p w14:paraId="659AB0A2" w14:textId="3DE68001" w:rsidR="006565DA" w:rsidRPr="00691611" w:rsidRDefault="006565DA" w:rsidP="007C4C8F">
      <w:pPr>
        <w:numPr>
          <w:ilvl w:val="0"/>
          <w:numId w:val="1"/>
        </w:numPr>
        <w:tabs>
          <w:tab w:val="clear" w:pos="862"/>
        </w:tabs>
        <w:spacing w:line="360" w:lineRule="auto"/>
        <w:ind w:left="0" w:firstLine="0"/>
        <w:contextualSpacing/>
        <w:jc w:val="both"/>
        <w:rPr>
          <w:rFonts w:ascii="Palatino Linotype" w:eastAsia="Calibri" w:hAnsi="Palatino Linotype" w:cs="Arial"/>
        </w:rPr>
      </w:pPr>
      <w:r w:rsidRPr="00691611">
        <w:rPr>
          <w:rFonts w:ascii="Palatino Linotype" w:hAnsi="Palatino Linotype"/>
          <w:color w:val="000000"/>
        </w:rPr>
        <w:t xml:space="preserve">Por su parte el </w:t>
      </w:r>
      <w:r w:rsidRPr="00691611">
        <w:rPr>
          <w:rFonts w:ascii="Palatino Linotype" w:hAnsi="Palatino Linotype"/>
          <w:b/>
          <w:bCs/>
          <w:color w:val="000000"/>
        </w:rPr>
        <w:t xml:space="preserve">Recurrente </w:t>
      </w:r>
      <w:r w:rsidRPr="00691611">
        <w:rPr>
          <w:rFonts w:ascii="Palatino Linotype" w:hAnsi="Palatino Linotype"/>
          <w:color w:val="000000"/>
        </w:rPr>
        <w:t>no realizó manifestaciones, ni ofreció pruebas o alegatos que a su derecho convinieran.</w:t>
      </w:r>
    </w:p>
    <w:p w14:paraId="4EC97BEE" w14:textId="77777777" w:rsidR="00A94BAD" w:rsidRPr="00691611" w:rsidRDefault="00A94BAD" w:rsidP="00A94BAD">
      <w:pPr>
        <w:spacing w:line="360" w:lineRule="auto"/>
        <w:contextualSpacing/>
        <w:jc w:val="both"/>
        <w:rPr>
          <w:rFonts w:ascii="Palatino Linotype" w:eastAsia="Calibri" w:hAnsi="Palatino Linotype" w:cs="Arial"/>
        </w:rPr>
      </w:pPr>
    </w:p>
    <w:p w14:paraId="11C1E6E6" w14:textId="7F11B707" w:rsidR="00A94BAD" w:rsidRPr="00691611" w:rsidRDefault="00A94BAD" w:rsidP="00A94BAD">
      <w:pPr>
        <w:numPr>
          <w:ilvl w:val="0"/>
          <w:numId w:val="1"/>
        </w:numPr>
        <w:tabs>
          <w:tab w:val="clear" w:pos="862"/>
        </w:tabs>
        <w:spacing w:line="360" w:lineRule="auto"/>
        <w:ind w:left="0" w:firstLine="0"/>
        <w:contextualSpacing/>
        <w:jc w:val="both"/>
        <w:rPr>
          <w:rFonts w:ascii="Palatino Linotype" w:eastAsia="Calibri" w:hAnsi="Palatino Linotype" w:cs="Arial"/>
        </w:rPr>
      </w:pPr>
      <w:r w:rsidRPr="00691611">
        <w:rPr>
          <w:rFonts w:ascii="Palatino Linotype" w:hAnsi="Palatino Linotype"/>
        </w:rPr>
        <w:t xml:space="preserve">El dos (02) de junio de dos mil veintidós, </w:t>
      </w:r>
      <w:r w:rsidRPr="00691611">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691611">
        <w:rPr>
          <w:rFonts w:ascii="Palatino Linotype" w:hAnsi="Palatino Linotype" w:cs="Arial"/>
          <w:bCs/>
          <w:color w:val="000000" w:themeColor="text1"/>
          <w:lang w:val="es-ES"/>
        </w:rPr>
        <w:t xml:space="preserve"> </w:t>
      </w:r>
      <w:r w:rsidRPr="00691611">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p>
    <w:p w14:paraId="656BCF03" w14:textId="77777777" w:rsidR="00A94BAD" w:rsidRPr="00691611" w:rsidRDefault="00A94BAD" w:rsidP="00A94BAD">
      <w:pPr>
        <w:rPr>
          <w:rFonts w:ascii="Palatino Linotype" w:eastAsia="Calibri" w:hAnsi="Palatino Linotype" w:cs="Arial"/>
        </w:rPr>
      </w:pPr>
    </w:p>
    <w:p w14:paraId="30169D21" w14:textId="60083AD5" w:rsidR="00A94BAD" w:rsidRPr="00691611" w:rsidRDefault="00A94BAD" w:rsidP="00A94BAD">
      <w:pPr>
        <w:numPr>
          <w:ilvl w:val="0"/>
          <w:numId w:val="1"/>
        </w:numPr>
        <w:tabs>
          <w:tab w:val="clear" w:pos="862"/>
        </w:tabs>
        <w:spacing w:line="360" w:lineRule="auto"/>
        <w:ind w:left="0" w:firstLine="0"/>
        <w:contextualSpacing/>
        <w:jc w:val="both"/>
        <w:rPr>
          <w:rFonts w:ascii="Palatino Linotype" w:eastAsia="Calibri" w:hAnsi="Palatino Linotype" w:cs="Arial"/>
        </w:rPr>
      </w:pPr>
      <w:r w:rsidRPr="00691611">
        <w:rPr>
          <w:rFonts w:ascii="Palatino Linotype" w:hAnsi="Palatino Linotype"/>
          <w:color w:val="000000" w:themeColor="text1"/>
        </w:rPr>
        <w:t xml:space="preserve">Este </w:t>
      </w:r>
      <w:r w:rsidRPr="00691611">
        <w:rPr>
          <w:rFonts w:ascii="Palatino Linotype" w:hAnsi="Palatino Linotype"/>
        </w:rPr>
        <w:t xml:space="preserve">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691611">
        <w:rPr>
          <w:rFonts w:ascii="Palatino Linotype" w:hAnsi="Palatino Linotype"/>
        </w:rPr>
        <w:lastRenderedPageBreak/>
        <w:t>capacidades técnicas y humanas del personal encargado de la proyección de las resoluciones a dichos medios de impugnación.</w:t>
      </w:r>
    </w:p>
    <w:p w14:paraId="60D55A62" w14:textId="77777777" w:rsidR="00A94BAD" w:rsidRPr="00691611" w:rsidRDefault="00A94BAD" w:rsidP="00A94BAD">
      <w:pPr>
        <w:rPr>
          <w:rFonts w:ascii="Palatino Linotype" w:eastAsia="Calibri" w:hAnsi="Palatino Linotype" w:cs="Arial"/>
        </w:rPr>
      </w:pPr>
    </w:p>
    <w:p w14:paraId="27BB055E" w14:textId="4CA75DE5" w:rsidR="00A94BAD" w:rsidRPr="00691611" w:rsidRDefault="00A94BAD" w:rsidP="00A94BAD">
      <w:pPr>
        <w:numPr>
          <w:ilvl w:val="0"/>
          <w:numId w:val="1"/>
        </w:numPr>
        <w:tabs>
          <w:tab w:val="clear" w:pos="862"/>
        </w:tabs>
        <w:spacing w:line="360" w:lineRule="auto"/>
        <w:ind w:left="0" w:firstLine="0"/>
        <w:contextualSpacing/>
        <w:jc w:val="both"/>
        <w:rPr>
          <w:rFonts w:ascii="Palatino Linotype" w:eastAsia="Calibri" w:hAnsi="Palatino Linotype" w:cs="Arial"/>
        </w:rPr>
      </w:pPr>
      <w:r w:rsidRPr="00691611">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DDD25FE" w14:textId="77777777" w:rsidR="00A94BAD" w:rsidRPr="00691611" w:rsidRDefault="00A94BAD" w:rsidP="00A94BAD">
      <w:pPr>
        <w:rPr>
          <w:rFonts w:ascii="Palatino Linotype" w:eastAsia="Calibri" w:hAnsi="Palatino Linotype" w:cs="Arial"/>
        </w:rPr>
      </w:pPr>
    </w:p>
    <w:p w14:paraId="4510D53E" w14:textId="77777777" w:rsidR="00A94BAD" w:rsidRPr="00691611" w:rsidRDefault="00A94BAD" w:rsidP="00A94BAD">
      <w:pPr>
        <w:numPr>
          <w:ilvl w:val="0"/>
          <w:numId w:val="1"/>
        </w:numPr>
        <w:tabs>
          <w:tab w:val="clear" w:pos="862"/>
        </w:tabs>
        <w:spacing w:line="360" w:lineRule="auto"/>
        <w:ind w:left="0" w:firstLine="0"/>
        <w:contextualSpacing/>
        <w:jc w:val="both"/>
        <w:rPr>
          <w:rFonts w:ascii="Palatino Linotype" w:eastAsia="Calibri" w:hAnsi="Palatino Linotype" w:cs="Arial"/>
        </w:rPr>
      </w:pPr>
      <w:r w:rsidRPr="0069161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D17867" w14:textId="77777777" w:rsidR="00A94BAD" w:rsidRPr="00691611" w:rsidRDefault="00A94BAD" w:rsidP="00A94BAD">
      <w:pPr>
        <w:rPr>
          <w:rFonts w:ascii="Palatino Linotype" w:hAnsi="Palatino Linotype"/>
        </w:rPr>
      </w:pPr>
    </w:p>
    <w:p w14:paraId="58D140D0" w14:textId="77777777" w:rsidR="00A94BAD" w:rsidRPr="00691611" w:rsidRDefault="00A94BAD" w:rsidP="00A94BAD">
      <w:pPr>
        <w:numPr>
          <w:ilvl w:val="0"/>
          <w:numId w:val="1"/>
        </w:numPr>
        <w:tabs>
          <w:tab w:val="clear" w:pos="862"/>
        </w:tabs>
        <w:spacing w:line="360" w:lineRule="auto"/>
        <w:ind w:left="0" w:firstLine="0"/>
        <w:contextualSpacing/>
        <w:jc w:val="both"/>
        <w:rPr>
          <w:rFonts w:ascii="Palatino Linotype" w:eastAsia="Calibri" w:hAnsi="Palatino Linotype" w:cs="Arial"/>
        </w:rPr>
      </w:pPr>
      <w:r w:rsidRPr="00691611">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EB043C0" w14:textId="77777777" w:rsidR="00A94BAD" w:rsidRPr="00691611" w:rsidRDefault="00A94BAD" w:rsidP="00A94BAD">
      <w:pPr>
        <w:rPr>
          <w:rFonts w:ascii="Palatino Linotype" w:hAnsi="Palatino Linotype"/>
        </w:rPr>
      </w:pPr>
    </w:p>
    <w:p w14:paraId="7938090E" w14:textId="77777777" w:rsidR="00A94BAD" w:rsidRPr="00691611" w:rsidRDefault="00A94BAD" w:rsidP="00A94BAD">
      <w:pPr>
        <w:numPr>
          <w:ilvl w:val="0"/>
          <w:numId w:val="1"/>
        </w:numPr>
        <w:tabs>
          <w:tab w:val="clear" w:pos="862"/>
        </w:tabs>
        <w:spacing w:line="360" w:lineRule="auto"/>
        <w:ind w:left="0" w:firstLine="0"/>
        <w:contextualSpacing/>
        <w:jc w:val="both"/>
        <w:rPr>
          <w:rFonts w:ascii="Palatino Linotype" w:eastAsia="Calibri" w:hAnsi="Palatino Linotype" w:cs="Arial"/>
        </w:rPr>
      </w:pPr>
      <w:r w:rsidRPr="00691611">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75C06195" w14:textId="47D0B00D" w:rsidR="00A94BAD" w:rsidRPr="00691611" w:rsidRDefault="00A94BAD" w:rsidP="00A94BAD">
      <w:pPr>
        <w:rPr>
          <w:rFonts w:ascii="Palatino Linotype" w:hAnsi="Palatino Linotype"/>
        </w:rPr>
      </w:pPr>
    </w:p>
    <w:p w14:paraId="1A196596" w14:textId="77777777" w:rsidR="00A94BAD" w:rsidRPr="00691611" w:rsidRDefault="00A94BAD" w:rsidP="00A94BAD">
      <w:pPr>
        <w:pStyle w:val="Prrafodelista"/>
        <w:numPr>
          <w:ilvl w:val="0"/>
          <w:numId w:val="6"/>
        </w:numPr>
        <w:ind w:left="851" w:right="616" w:hanging="284"/>
        <w:jc w:val="both"/>
        <w:rPr>
          <w:rFonts w:ascii="Palatino Linotype" w:hAnsi="Palatino Linotype"/>
          <w:sz w:val="22"/>
          <w:szCs w:val="22"/>
        </w:rPr>
      </w:pPr>
      <w:r w:rsidRPr="00691611">
        <w:rPr>
          <w:rFonts w:ascii="Palatino Linotype" w:hAnsi="Palatino Linotype"/>
          <w:sz w:val="22"/>
          <w:szCs w:val="22"/>
        </w:rPr>
        <w:t xml:space="preserve">Complejidad del Asunto: La complejidad de la prueba, la pluralidad de sujetos procesales, el tiempo transcurrido, las características y contexto del recurso. </w:t>
      </w:r>
    </w:p>
    <w:p w14:paraId="5B5AEBB4" w14:textId="77777777" w:rsidR="00A94BAD" w:rsidRPr="00691611" w:rsidRDefault="00A94BAD" w:rsidP="00A94BAD">
      <w:pPr>
        <w:pStyle w:val="Prrafodelista"/>
        <w:ind w:left="851" w:right="616" w:hanging="284"/>
        <w:jc w:val="both"/>
        <w:rPr>
          <w:rFonts w:ascii="Palatino Linotype" w:hAnsi="Palatino Linotype"/>
          <w:sz w:val="22"/>
          <w:szCs w:val="22"/>
        </w:rPr>
      </w:pPr>
    </w:p>
    <w:p w14:paraId="4A114BC8" w14:textId="77777777" w:rsidR="00A94BAD" w:rsidRPr="00691611" w:rsidRDefault="00A94BAD" w:rsidP="00A94BAD">
      <w:pPr>
        <w:pStyle w:val="Prrafodelista"/>
        <w:numPr>
          <w:ilvl w:val="0"/>
          <w:numId w:val="6"/>
        </w:numPr>
        <w:ind w:left="851" w:right="616" w:hanging="284"/>
        <w:jc w:val="both"/>
        <w:rPr>
          <w:rFonts w:ascii="Palatino Linotype" w:hAnsi="Palatino Linotype"/>
          <w:sz w:val="22"/>
          <w:szCs w:val="22"/>
        </w:rPr>
      </w:pPr>
      <w:r w:rsidRPr="00691611">
        <w:rPr>
          <w:rFonts w:ascii="Palatino Linotype" w:hAnsi="Palatino Linotype"/>
          <w:sz w:val="22"/>
          <w:szCs w:val="22"/>
        </w:rPr>
        <w:t>Actividad Procesal del interesado. Acciones u omisiones del interesado.</w:t>
      </w:r>
    </w:p>
    <w:p w14:paraId="14950702" w14:textId="77777777" w:rsidR="00A94BAD" w:rsidRPr="00691611" w:rsidRDefault="00A94BAD" w:rsidP="00A94BAD">
      <w:pPr>
        <w:ind w:left="851" w:right="616" w:hanging="284"/>
        <w:jc w:val="both"/>
        <w:rPr>
          <w:rFonts w:ascii="Palatino Linotype" w:hAnsi="Palatino Linotype"/>
          <w:sz w:val="22"/>
          <w:szCs w:val="22"/>
        </w:rPr>
      </w:pPr>
    </w:p>
    <w:p w14:paraId="343A98EA" w14:textId="77777777" w:rsidR="00A94BAD" w:rsidRPr="00691611" w:rsidRDefault="00A94BAD" w:rsidP="00A94BAD">
      <w:pPr>
        <w:pStyle w:val="Prrafodelista"/>
        <w:numPr>
          <w:ilvl w:val="0"/>
          <w:numId w:val="6"/>
        </w:numPr>
        <w:ind w:left="851" w:right="616" w:hanging="284"/>
        <w:jc w:val="both"/>
        <w:rPr>
          <w:rFonts w:ascii="Palatino Linotype" w:hAnsi="Palatino Linotype"/>
          <w:sz w:val="22"/>
          <w:szCs w:val="22"/>
        </w:rPr>
      </w:pPr>
      <w:r w:rsidRPr="00691611">
        <w:rPr>
          <w:rFonts w:ascii="Palatino Linotype" w:hAnsi="Palatino Linotype"/>
          <w:sz w:val="22"/>
          <w:szCs w:val="22"/>
        </w:rPr>
        <w:t>Conducta de la Autoridad: Las Acciones u omisiones realizadas en el procedimiento. Así como si la autoridad actuó con la debida diligencia.</w:t>
      </w:r>
    </w:p>
    <w:p w14:paraId="470923E5" w14:textId="77777777" w:rsidR="00A94BAD" w:rsidRPr="00691611" w:rsidRDefault="00A94BAD" w:rsidP="00A94BAD">
      <w:pPr>
        <w:pStyle w:val="Prrafodelista"/>
        <w:ind w:left="851" w:right="616" w:hanging="284"/>
        <w:rPr>
          <w:rFonts w:ascii="Palatino Linotype" w:hAnsi="Palatino Linotype"/>
          <w:sz w:val="22"/>
          <w:szCs w:val="22"/>
        </w:rPr>
      </w:pPr>
    </w:p>
    <w:p w14:paraId="2BFEC69B" w14:textId="6F9BD4AD" w:rsidR="00A94BAD" w:rsidRPr="00691611" w:rsidRDefault="00A94BAD" w:rsidP="00A94BAD">
      <w:pPr>
        <w:ind w:left="851" w:right="616" w:hanging="284"/>
        <w:jc w:val="both"/>
        <w:rPr>
          <w:rFonts w:ascii="Palatino Linotype" w:hAnsi="Palatino Linotype"/>
          <w:sz w:val="22"/>
          <w:szCs w:val="22"/>
        </w:rPr>
      </w:pPr>
      <w:r w:rsidRPr="00691611">
        <w:rPr>
          <w:rFonts w:ascii="Palatino Linotype" w:hAnsi="Palatino Linotype"/>
          <w:sz w:val="22"/>
          <w:szCs w:val="22"/>
        </w:rPr>
        <w:t>d) La afectación generada en la situación jurídica de la persona involucrada en el proceso: Violación a sus derechos humanos.</w:t>
      </w:r>
    </w:p>
    <w:p w14:paraId="2A585749" w14:textId="77777777" w:rsidR="00A94BAD" w:rsidRPr="00691611" w:rsidRDefault="00A94BAD" w:rsidP="00A94BAD">
      <w:pPr>
        <w:rPr>
          <w:rFonts w:ascii="Palatino Linotype" w:hAnsi="Palatino Linotype"/>
        </w:rPr>
      </w:pPr>
    </w:p>
    <w:p w14:paraId="53B1C2B4" w14:textId="4BECDF09" w:rsidR="00A94BAD" w:rsidRPr="00691611" w:rsidRDefault="00A94BAD" w:rsidP="00A94BAD">
      <w:pPr>
        <w:numPr>
          <w:ilvl w:val="0"/>
          <w:numId w:val="1"/>
        </w:numPr>
        <w:tabs>
          <w:tab w:val="clear" w:pos="862"/>
        </w:tabs>
        <w:spacing w:line="360" w:lineRule="auto"/>
        <w:ind w:left="0" w:firstLine="0"/>
        <w:contextualSpacing/>
        <w:jc w:val="both"/>
        <w:rPr>
          <w:rFonts w:ascii="Palatino Linotype" w:eastAsia="Calibri" w:hAnsi="Palatino Linotype" w:cs="Arial"/>
        </w:rPr>
      </w:pPr>
      <w:r w:rsidRPr="0069161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352CAB" w14:textId="77777777" w:rsidR="00A94BAD" w:rsidRPr="00691611" w:rsidRDefault="00A94BAD" w:rsidP="00A94BAD">
      <w:pPr>
        <w:spacing w:line="360" w:lineRule="auto"/>
        <w:contextualSpacing/>
        <w:jc w:val="both"/>
        <w:rPr>
          <w:rFonts w:ascii="Palatino Linotype" w:eastAsia="Calibri" w:hAnsi="Palatino Linotype" w:cs="Arial"/>
        </w:rPr>
      </w:pPr>
    </w:p>
    <w:p w14:paraId="05D9EE59" w14:textId="77777777" w:rsidR="00A94BAD" w:rsidRPr="00691611" w:rsidRDefault="00A94BAD" w:rsidP="00A94BAD">
      <w:pPr>
        <w:numPr>
          <w:ilvl w:val="0"/>
          <w:numId w:val="1"/>
        </w:numPr>
        <w:tabs>
          <w:tab w:val="clear" w:pos="862"/>
        </w:tabs>
        <w:spacing w:line="360" w:lineRule="auto"/>
        <w:ind w:left="0" w:firstLine="0"/>
        <w:contextualSpacing/>
        <w:jc w:val="both"/>
        <w:rPr>
          <w:rFonts w:ascii="Palatino Linotype" w:eastAsia="Calibri" w:hAnsi="Palatino Linotype" w:cs="Arial"/>
        </w:rPr>
      </w:pPr>
      <w:r w:rsidRPr="00691611">
        <w:rPr>
          <w:rFonts w:ascii="Palatino Linotype" w:hAnsi="Palatino Linotype"/>
        </w:rPr>
        <w:t xml:space="preserve">Argumento que encuentra sustento en la jurisprudencia P./J. 32/92 emitida por el Pleno de la Suprema Corte de Justicia de la Nación de rubro </w:t>
      </w:r>
      <w:r w:rsidRPr="00691611">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91611">
        <w:rPr>
          <w:rFonts w:ascii="Palatino Linotype" w:hAnsi="Palatino Linotype"/>
        </w:rPr>
        <w:t>, visible en la Gaceta del Seminario Judicial de la Federación con el registro digital 205635.</w:t>
      </w:r>
    </w:p>
    <w:p w14:paraId="149983C8" w14:textId="77777777" w:rsidR="00A94BAD" w:rsidRPr="00691611" w:rsidRDefault="00A94BAD" w:rsidP="00A94BAD">
      <w:pPr>
        <w:rPr>
          <w:rFonts w:ascii="Palatino Linotype" w:hAnsi="Palatino Linotype"/>
        </w:rPr>
      </w:pPr>
    </w:p>
    <w:p w14:paraId="11923464" w14:textId="77777777" w:rsidR="00A94BAD" w:rsidRPr="00691611" w:rsidRDefault="00A94BAD" w:rsidP="00A94BAD">
      <w:pPr>
        <w:numPr>
          <w:ilvl w:val="0"/>
          <w:numId w:val="1"/>
        </w:numPr>
        <w:tabs>
          <w:tab w:val="clear" w:pos="862"/>
        </w:tabs>
        <w:spacing w:line="360" w:lineRule="auto"/>
        <w:ind w:left="0" w:firstLine="0"/>
        <w:contextualSpacing/>
        <w:jc w:val="both"/>
        <w:rPr>
          <w:rFonts w:ascii="Palatino Linotype" w:eastAsia="Calibri" w:hAnsi="Palatino Linotype" w:cs="Arial"/>
        </w:rPr>
      </w:pPr>
      <w:r w:rsidRPr="00691611">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691611">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30F0ADCE" w14:textId="77777777" w:rsidR="00A94BAD" w:rsidRPr="00691611" w:rsidRDefault="00A94BAD" w:rsidP="00A94BAD">
      <w:pPr>
        <w:rPr>
          <w:rFonts w:ascii="Palatino Linotype" w:hAnsi="Palatino Linotype"/>
        </w:rPr>
      </w:pPr>
    </w:p>
    <w:p w14:paraId="2467E864" w14:textId="77777777" w:rsidR="00A94BAD" w:rsidRPr="00691611" w:rsidRDefault="00A94BAD" w:rsidP="00A94BAD">
      <w:pPr>
        <w:numPr>
          <w:ilvl w:val="0"/>
          <w:numId w:val="1"/>
        </w:numPr>
        <w:tabs>
          <w:tab w:val="clear" w:pos="862"/>
        </w:tabs>
        <w:spacing w:line="360" w:lineRule="auto"/>
        <w:ind w:left="0" w:firstLine="0"/>
        <w:contextualSpacing/>
        <w:jc w:val="both"/>
        <w:rPr>
          <w:rFonts w:ascii="Palatino Linotype" w:eastAsia="Calibri" w:hAnsi="Palatino Linotype" w:cs="Arial"/>
        </w:rPr>
      </w:pPr>
      <w:r w:rsidRPr="0069161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14B1553" w14:textId="77777777" w:rsidR="00A94BAD" w:rsidRPr="00691611" w:rsidRDefault="00A94BAD" w:rsidP="00A94BAD">
      <w:pPr>
        <w:rPr>
          <w:rFonts w:ascii="Palatino Linotype" w:hAnsi="Palatino Linotype"/>
        </w:rPr>
      </w:pPr>
    </w:p>
    <w:p w14:paraId="05E885F1" w14:textId="54282D8A" w:rsidR="00A94BAD" w:rsidRPr="00691611" w:rsidRDefault="00A94BAD" w:rsidP="00A94BAD">
      <w:pPr>
        <w:numPr>
          <w:ilvl w:val="0"/>
          <w:numId w:val="1"/>
        </w:numPr>
        <w:tabs>
          <w:tab w:val="clear" w:pos="862"/>
        </w:tabs>
        <w:spacing w:line="360" w:lineRule="auto"/>
        <w:ind w:left="0" w:firstLine="0"/>
        <w:contextualSpacing/>
        <w:jc w:val="both"/>
        <w:rPr>
          <w:rFonts w:ascii="Palatino Linotype" w:eastAsia="Calibri" w:hAnsi="Palatino Linotype" w:cs="Arial"/>
        </w:rPr>
      </w:pPr>
      <w:r w:rsidRPr="0069161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467234D" w14:textId="77777777" w:rsidR="00A94BAD" w:rsidRPr="00691611" w:rsidRDefault="00A94BAD" w:rsidP="00A94BAD">
      <w:pPr>
        <w:pStyle w:val="Prrafodelista"/>
        <w:tabs>
          <w:tab w:val="left" w:pos="426"/>
        </w:tabs>
        <w:spacing w:line="360" w:lineRule="auto"/>
        <w:ind w:left="0" w:right="49"/>
        <w:jc w:val="both"/>
        <w:rPr>
          <w:rFonts w:ascii="Palatino Linotype" w:hAnsi="Palatino Linotype" w:cs="Arial"/>
          <w:color w:val="000000" w:themeColor="text1"/>
        </w:rPr>
      </w:pPr>
    </w:p>
    <w:p w14:paraId="43C21604" w14:textId="77777777" w:rsidR="00A94BAD" w:rsidRPr="00691611" w:rsidRDefault="00A94BAD" w:rsidP="00A94BAD">
      <w:pPr>
        <w:ind w:left="567" w:right="616"/>
        <w:jc w:val="both"/>
        <w:rPr>
          <w:rFonts w:ascii="Palatino Linotype" w:hAnsi="Palatino Linotype"/>
          <w:sz w:val="22"/>
        </w:rPr>
      </w:pPr>
      <w:r w:rsidRPr="00691611">
        <w:rPr>
          <w:rFonts w:ascii="Palatino Linotype" w:hAnsi="Palatino Linotype"/>
          <w:i/>
          <w:sz w:val="22"/>
        </w:rPr>
        <w:t>“PLAZO RAZONABLE PARA RESOLVER. DIMENSIÓN Y EFECTOS DE ESTE CONCEPTO CUANDO SE ADUCE EXCESIVA CARGA DE TRABAJO.”</w:t>
      </w:r>
      <w:r w:rsidRPr="00691611">
        <w:rPr>
          <w:rFonts w:ascii="Palatino Linotype" w:hAnsi="Palatino Linotype"/>
          <w:sz w:val="22"/>
        </w:rPr>
        <w:t xml:space="preserve"> consultable en el Seminario Judicial de la Federación y su gaceta, con el registro digital 2002351.</w:t>
      </w:r>
    </w:p>
    <w:p w14:paraId="07D37784" w14:textId="77777777" w:rsidR="00A94BAD" w:rsidRPr="00691611" w:rsidRDefault="00A94BAD" w:rsidP="00A94BAD">
      <w:pPr>
        <w:tabs>
          <w:tab w:val="left" w:pos="2070"/>
        </w:tabs>
        <w:ind w:left="567" w:right="616"/>
        <w:jc w:val="both"/>
        <w:rPr>
          <w:rFonts w:ascii="Palatino Linotype" w:hAnsi="Palatino Linotype"/>
          <w:b/>
          <w:sz w:val="22"/>
        </w:rPr>
      </w:pPr>
      <w:r w:rsidRPr="00691611">
        <w:rPr>
          <w:rFonts w:ascii="Palatino Linotype" w:hAnsi="Palatino Linotype"/>
          <w:b/>
          <w:sz w:val="22"/>
        </w:rPr>
        <w:tab/>
      </w:r>
    </w:p>
    <w:p w14:paraId="569CB12F" w14:textId="77777777" w:rsidR="00A94BAD" w:rsidRPr="00691611" w:rsidRDefault="00A94BAD" w:rsidP="00A94BAD">
      <w:pPr>
        <w:ind w:left="567" w:right="616"/>
        <w:jc w:val="both"/>
        <w:rPr>
          <w:rFonts w:ascii="Palatino Linotype" w:hAnsi="Palatino Linotype"/>
          <w:sz w:val="22"/>
        </w:rPr>
      </w:pPr>
      <w:r w:rsidRPr="00691611">
        <w:rPr>
          <w:rFonts w:ascii="Palatino Linotype" w:hAnsi="Palatino Linotype"/>
          <w:i/>
          <w:sz w:val="22"/>
        </w:rPr>
        <w:t>“PLAZO RAZONABLE PARA RESOLVER. CONCEPTO Y ELEMENTOS QUE LO INTEGRAN A LA LUZ DEL DERECHO INTERNACIONAL DE LOS DERECHOS HUMANOS.”</w:t>
      </w:r>
      <w:r w:rsidRPr="00691611">
        <w:rPr>
          <w:rFonts w:ascii="Palatino Linotype" w:hAnsi="Palatino Linotype"/>
          <w:sz w:val="22"/>
        </w:rPr>
        <w:t>, visible en el Seminario Judicial de la Federación y su gaceta, con el registro digital 2002350.</w:t>
      </w:r>
    </w:p>
    <w:p w14:paraId="544634AF" w14:textId="77777777" w:rsidR="00A94BAD" w:rsidRPr="00691611" w:rsidRDefault="00A94BAD" w:rsidP="00A94BAD">
      <w:pPr>
        <w:rPr>
          <w:rFonts w:ascii="Palatino Linotype" w:hAnsi="Palatino Linotype"/>
        </w:rPr>
      </w:pPr>
    </w:p>
    <w:p w14:paraId="11049B3C" w14:textId="5BEF493E" w:rsidR="00A94BAD" w:rsidRPr="00691611" w:rsidRDefault="00A94BAD" w:rsidP="00A94BAD">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691611">
        <w:rPr>
          <w:rFonts w:ascii="Palatino Linotype" w:hAnsi="Palatino Linotype"/>
        </w:rPr>
        <w:t>Por ello, este Organismo Garante comprometido con la tutela de los derechos humanos confiados, señala que este exceso de plazo legal para resolver el presente asunto resulta de carácter excepcional.</w:t>
      </w:r>
    </w:p>
    <w:p w14:paraId="78C3FF38" w14:textId="77777777" w:rsidR="00A94BAD" w:rsidRPr="00691611" w:rsidRDefault="00A94BAD" w:rsidP="00A94BAD">
      <w:pPr>
        <w:rPr>
          <w:rFonts w:ascii="Palatino Linotype" w:hAnsi="Palatino Linotype"/>
          <w:lang w:eastAsia="es-ES"/>
        </w:rPr>
      </w:pPr>
    </w:p>
    <w:p w14:paraId="22CE2F3F" w14:textId="3983D163" w:rsidR="005F74BD" w:rsidRPr="00691611" w:rsidRDefault="00AE4B84" w:rsidP="005F74BD">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691611">
        <w:rPr>
          <w:rFonts w:ascii="Palatino Linotype" w:hAnsi="Palatino Linotype"/>
          <w:lang w:eastAsia="es-ES"/>
        </w:rPr>
        <w:t>El Comisionado Ponente decretó el cierre de instrucción</w:t>
      </w:r>
      <w:r w:rsidRPr="00691611">
        <w:rPr>
          <w:rFonts w:ascii="Palatino Linotype" w:hAnsi="Palatino Linotype" w:cs="Arial"/>
          <w:lang w:eastAsia="es-ES"/>
        </w:rPr>
        <w:t xml:space="preserve"> </w:t>
      </w:r>
      <w:r w:rsidRPr="00691611">
        <w:rPr>
          <w:rFonts w:ascii="Palatino Linotype" w:hAnsi="Palatino Linotype"/>
          <w:lang w:eastAsia="es-ES"/>
        </w:rPr>
        <w:t>mediante acuerdo de</w:t>
      </w:r>
      <w:r w:rsidR="008B1180" w:rsidRPr="00691611">
        <w:rPr>
          <w:rFonts w:ascii="Palatino Linotype" w:hAnsi="Palatino Linotype"/>
          <w:lang w:eastAsia="es-ES"/>
        </w:rPr>
        <w:t>l</w:t>
      </w:r>
      <w:r w:rsidRPr="00691611">
        <w:rPr>
          <w:rFonts w:ascii="Palatino Linotype" w:hAnsi="Palatino Linotype"/>
          <w:lang w:eastAsia="es-ES"/>
        </w:rPr>
        <w:t xml:space="preserve"> </w:t>
      </w:r>
      <w:r w:rsidR="00224440" w:rsidRPr="00691611">
        <w:rPr>
          <w:rFonts w:ascii="Palatino Linotype" w:hAnsi="Palatino Linotype"/>
          <w:lang w:eastAsia="es-ES"/>
        </w:rPr>
        <w:t>cuatro</w:t>
      </w:r>
      <w:r w:rsidR="0058535E" w:rsidRPr="00691611">
        <w:rPr>
          <w:rFonts w:ascii="Palatino Linotype" w:hAnsi="Palatino Linotype"/>
          <w:lang w:eastAsia="es-ES"/>
        </w:rPr>
        <w:t xml:space="preserve"> </w:t>
      </w:r>
      <w:r w:rsidR="008B1180" w:rsidRPr="00691611">
        <w:rPr>
          <w:rFonts w:ascii="Palatino Linotype" w:hAnsi="Palatino Linotype"/>
          <w:lang w:eastAsia="es-ES"/>
        </w:rPr>
        <w:t>(</w:t>
      </w:r>
      <w:r w:rsidR="00224440" w:rsidRPr="00691611">
        <w:rPr>
          <w:rFonts w:ascii="Palatino Linotype" w:hAnsi="Palatino Linotype"/>
          <w:lang w:eastAsia="es-ES"/>
        </w:rPr>
        <w:t>04</w:t>
      </w:r>
      <w:r w:rsidR="008B1180" w:rsidRPr="00691611">
        <w:rPr>
          <w:rFonts w:ascii="Palatino Linotype" w:hAnsi="Palatino Linotype"/>
          <w:lang w:eastAsia="es-ES"/>
        </w:rPr>
        <w:t xml:space="preserve">) de </w:t>
      </w:r>
      <w:r w:rsidR="00224440" w:rsidRPr="00691611">
        <w:rPr>
          <w:rFonts w:ascii="Palatino Linotype" w:hAnsi="Palatino Linotype"/>
          <w:lang w:eastAsia="es-ES"/>
        </w:rPr>
        <w:t>noviembre</w:t>
      </w:r>
      <w:r w:rsidR="00635DF8" w:rsidRPr="00691611">
        <w:rPr>
          <w:rFonts w:ascii="Palatino Linotype" w:hAnsi="Palatino Linotype"/>
          <w:lang w:eastAsia="es-ES"/>
        </w:rPr>
        <w:t xml:space="preserve"> de dos mil veinti</w:t>
      </w:r>
      <w:r w:rsidR="008B6FF6" w:rsidRPr="00691611">
        <w:rPr>
          <w:rFonts w:ascii="Palatino Linotype" w:hAnsi="Palatino Linotype"/>
          <w:lang w:eastAsia="es-ES"/>
        </w:rPr>
        <w:t>dós</w:t>
      </w:r>
      <w:r w:rsidR="001F21B2" w:rsidRPr="00691611">
        <w:rPr>
          <w:rFonts w:ascii="Palatino Linotype" w:hAnsi="Palatino Linotype"/>
          <w:lang w:eastAsia="es-ES"/>
        </w:rPr>
        <w:t xml:space="preserve">; </w:t>
      </w:r>
      <w:r w:rsidR="00635DF8" w:rsidRPr="00691611">
        <w:rPr>
          <w:rFonts w:ascii="Palatino Linotype" w:hAnsi="Palatino Linotype" w:cs="Arial"/>
          <w:lang w:eastAsia="es-ES"/>
        </w:rPr>
        <w:t>posterior a ello</w:t>
      </w:r>
      <w:r w:rsidR="001F21B2" w:rsidRPr="00691611">
        <w:rPr>
          <w:rFonts w:ascii="Palatino Linotype" w:hAnsi="Palatino Linotype" w:cs="Arial"/>
          <w:lang w:eastAsia="es-ES"/>
        </w:rPr>
        <w:t>,</w:t>
      </w:r>
      <w:r w:rsidR="00635DF8" w:rsidRPr="00691611">
        <w:rPr>
          <w:rFonts w:ascii="Palatino Linotype" w:hAnsi="Palatino Linotype" w:cs="Arial"/>
          <w:lang w:eastAsia="es-ES"/>
        </w:rPr>
        <w:t xml:space="preserve"> se </w:t>
      </w:r>
      <w:r w:rsidRPr="00691611">
        <w:rPr>
          <w:rFonts w:ascii="Palatino Linotype" w:hAnsi="Palatino Linotype" w:cs="Arial"/>
          <w:lang w:eastAsia="es-ES"/>
        </w:rPr>
        <w:t>ordenó tur</w:t>
      </w:r>
      <w:r w:rsidR="00635DF8" w:rsidRPr="00691611">
        <w:rPr>
          <w:rFonts w:ascii="Palatino Linotype" w:hAnsi="Palatino Linotype" w:cs="Arial"/>
          <w:lang w:eastAsia="es-ES"/>
        </w:rPr>
        <w:t>nar el expediente a resolución</w:t>
      </w:r>
      <w:r w:rsidR="00071DC1" w:rsidRPr="00691611">
        <w:rPr>
          <w:rFonts w:ascii="Palatino Linotype" w:hAnsi="Palatino Linotype" w:cs="Arial"/>
          <w:lang w:eastAsia="es-ES"/>
        </w:rPr>
        <w:t>.</w:t>
      </w:r>
      <w:r w:rsidR="00224440" w:rsidRPr="00691611">
        <w:rPr>
          <w:rFonts w:ascii="Palatino Linotype" w:hAnsi="Palatino Linotype" w:cs="Arial"/>
          <w:lang w:eastAsia="es-ES"/>
        </w:rPr>
        <w:t>---------------------------------------------------------------------------------</w:t>
      </w:r>
    </w:p>
    <w:p w14:paraId="22577FC0" w14:textId="77777777" w:rsidR="0058535E" w:rsidRPr="00691611" w:rsidRDefault="0058535E" w:rsidP="0058535E">
      <w:pPr>
        <w:spacing w:before="240" w:after="240" w:line="360" w:lineRule="auto"/>
        <w:contextualSpacing/>
        <w:jc w:val="both"/>
        <w:rPr>
          <w:rFonts w:ascii="Palatino Linotype" w:hAnsi="Palatino Linotype" w:cs="Arial"/>
        </w:rPr>
      </w:pPr>
    </w:p>
    <w:p w14:paraId="3866C4CC" w14:textId="44028130" w:rsidR="00AE4B84" w:rsidRPr="00691611" w:rsidRDefault="00AE4B84" w:rsidP="00804F09">
      <w:pPr>
        <w:spacing w:before="240" w:after="240" w:line="360" w:lineRule="auto"/>
        <w:ind w:left="360"/>
        <w:contextualSpacing/>
        <w:jc w:val="center"/>
        <w:outlineLvl w:val="0"/>
        <w:rPr>
          <w:rFonts w:ascii="Palatino Linotype" w:hAnsi="Palatino Linotype" w:cs="Arial"/>
          <w:b/>
        </w:rPr>
      </w:pPr>
      <w:bookmarkStart w:id="3" w:name="_Toc29544439"/>
      <w:r w:rsidRPr="00691611">
        <w:rPr>
          <w:rFonts w:ascii="Palatino Linotype" w:hAnsi="Palatino Linotype" w:cs="Arial"/>
          <w:b/>
          <w:lang w:eastAsia="es-ES"/>
        </w:rPr>
        <w:t>CONSIDERANDO</w:t>
      </w:r>
      <w:bookmarkEnd w:id="3"/>
    </w:p>
    <w:p w14:paraId="599887F8" w14:textId="77777777" w:rsidR="00AE4B84" w:rsidRPr="00691611"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4" w:name="_Toc29544440"/>
      <w:r w:rsidRPr="00691611">
        <w:rPr>
          <w:rFonts w:ascii="Palatino Linotype" w:eastAsia="MS Gothic" w:hAnsi="Palatino Linotype" w:cs="Arial"/>
          <w:b/>
          <w:color w:val="000000"/>
          <w:lang w:val="es-ES" w:eastAsia="es-ES"/>
        </w:rPr>
        <w:t>PRIMERO. De la competencia.</w:t>
      </w:r>
      <w:bookmarkEnd w:id="4"/>
      <w:r w:rsidRPr="00691611">
        <w:rPr>
          <w:rFonts w:ascii="Palatino Linotype" w:eastAsia="MS Gothic" w:hAnsi="Palatino Linotype" w:cs="Arial"/>
          <w:b/>
          <w:color w:val="000000"/>
          <w:lang w:val="es-ES" w:eastAsia="es-ES"/>
        </w:rPr>
        <w:t xml:space="preserve"> </w:t>
      </w:r>
    </w:p>
    <w:p w14:paraId="1A092CA8" w14:textId="29633346" w:rsidR="00AE4B84" w:rsidRPr="00691611" w:rsidRDefault="003A11F3" w:rsidP="00A94BAD">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691611">
        <w:rPr>
          <w:rFonts w:ascii="Palatino Linotype" w:eastAsia="Calibri" w:hAnsi="Palatino Linotype"/>
          <w:lang w:val="es-ES" w:eastAsia="es-ES"/>
        </w:rPr>
        <w:t xml:space="preserve">Este </w:t>
      </w:r>
      <w:r w:rsidRPr="00691611">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691611">
        <w:rPr>
          <w:rFonts w:ascii="Palatino Linotype" w:eastAsiaTheme="minorEastAsia" w:hAnsi="Palatino Linotype"/>
          <w:lang w:val="es-ES_tradnl" w:eastAsia="es-ES"/>
        </w:rPr>
        <w:t>.</w:t>
      </w:r>
    </w:p>
    <w:p w14:paraId="5DB2CEC2" w14:textId="77777777" w:rsidR="00795DE3" w:rsidRPr="00691611" w:rsidRDefault="00795DE3" w:rsidP="00795DE3">
      <w:pPr>
        <w:spacing w:line="360" w:lineRule="auto"/>
        <w:contextualSpacing/>
        <w:jc w:val="both"/>
        <w:rPr>
          <w:rFonts w:ascii="Palatino Linotype" w:eastAsia="Calibri" w:hAnsi="Palatino Linotype"/>
          <w:lang w:eastAsia="es-ES"/>
        </w:rPr>
      </w:pPr>
    </w:p>
    <w:p w14:paraId="251C7302" w14:textId="2F22D9E4" w:rsidR="00AE4B84" w:rsidRPr="00691611" w:rsidRDefault="00AE4B84" w:rsidP="00804F09">
      <w:pPr>
        <w:keepNext/>
        <w:keepLines/>
        <w:spacing w:before="240" w:line="360" w:lineRule="auto"/>
        <w:outlineLvl w:val="0"/>
        <w:rPr>
          <w:rFonts w:ascii="Palatino Linotype" w:eastAsia="MS Gothic" w:hAnsi="Palatino Linotype"/>
          <w:b/>
          <w:color w:val="000000"/>
        </w:rPr>
      </w:pPr>
      <w:bookmarkStart w:id="5" w:name="_Toc29544441"/>
      <w:r w:rsidRPr="00691611">
        <w:rPr>
          <w:rFonts w:ascii="Palatino Linotype" w:eastAsia="MS Gothic" w:hAnsi="Palatino Linotype"/>
          <w:b/>
          <w:color w:val="000000"/>
          <w:lang w:val="es-ES" w:eastAsia="es-ES"/>
        </w:rPr>
        <w:t>SEGUNDO. De la oportunidad y procedencia</w:t>
      </w:r>
      <w:bookmarkEnd w:id="5"/>
    </w:p>
    <w:p w14:paraId="2DF548C9" w14:textId="3C898F8C" w:rsidR="00224440" w:rsidRPr="00691611" w:rsidRDefault="00AE4B84" w:rsidP="00224440">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691611">
        <w:rPr>
          <w:rFonts w:ascii="Palatino Linotype" w:hAnsi="Palatino Linotype"/>
          <w:color w:val="000000"/>
          <w:lang w:eastAsia="es-ES"/>
        </w:rPr>
        <w:t>El medio de impugnación fue presentado a través de</w:t>
      </w:r>
      <w:r w:rsidR="0030793F" w:rsidRPr="00691611">
        <w:rPr>
          <w:rFonts w:ascii="Palatino Linotype" w:hAnsi="Palatino Linotype"/>
          <w:color w:val="000000"/>
          <w:lang w:eastAsia="es-ES"/>
        </w:rPr>
        <w:t xml:space="preserve"> </w:t>
      </w:r>
      <w:r w:rsidRPr="00691611">
        <w:rPr>
          <w:rFonts w:ascii="Palatino Linotype" w:hAnsi="Palatino Linotype"/>
          <w:b/>
          <w:color w:val="000000"/>
          <w:lang w:eastAsia="es-ES"/>
        </w:rPr>
        <w:t>SAIMEX,</w:t>
      </w:r>
      <w:r w:rsidRPr="00691611">
        <w:rPr>
          <w:rFonts w:ascii="Palatino Linotype" w:hAnsi="Palatino Linotype"/>
          <w:color w:val="000000"/>
          <w:lang w:eastAsia="es-ES"/>
        </w:rPr>
        <w:t xml:space="preserve"> en el formato previamente aprobado para tal efecto, s</w:t>
      </w:r>
      <w:r w:rsidRPr="00691611">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691611">
        <w:rPr>
          <w:rFonts w:ascii="Palatino Linotype" w:hAnsi="Palatino Linotype" w:cs="Arial"/>
          <w:u w:val="single"/>
          <w:lang w:eastAsia="es-ES"/>
        </w:rPr>
        <w:t>fuera del plazo</w:t>
      </w:r>
      <w:r w:rsidRPr="00691611">
        <w:rPr>
          <w:rFonts w:ascii="Palatino Linotype" w:hAnsi="Palatino Linotype" w:cs="Arial"/>
          <w:lang w:eastAsia="es-ES"/>
        </w:rPr>
        <w:t xml:space="preserve"> de quince días hábiles </w:t>
      </w:r>
      <w:r w:rsidRPr="00691611">
        <w:rPr>
          <w:rFonts w:ascii="Palatino Linotype" w:hAnsi="Palatino Linotype"/>
          <w:lang w:eastAsia="es-ES"/>
        </w:rPr>
        <w:t>contados</w:t>
      </w:r>
      <w:r w:rsidRPr="00691611">
        <w:rPr>
          <w:rFonts w:ascii="Palatino Linotype" w:hAnsi="Palatino Linotype" w:cs="Arial"/>
          <w:lang w:eastAsia="es-ES"/>
        </w:rPr>
        <w:t xml:space="preserve"> a partir del día siguiente al que </w:t>
      </w:r>
      <w:r w:rsidR="00224440" w:rsidRPr="00691611">
        <w:rPr>
          <w:rFonts w:ascii="Palatino Linotype" w:hAnsi="Palatino Linotype" w:cs="Arial"/>
          <w:bCs/>
          <w:lang w:eastAsia="es-ES"/>
        </w:rPr>
        <w:t>el</w:t>
      </w:r>
      <w:r w:rsidRPr="00691611">
        <w:rPr>
          <w:rFonts w:ascii="Palatino Linotype" w:hAnsi="Palatino Linotype" w:cs="Arial"/>
          <w:b/>
          <w:bCs/>
          <w:lang w:eastAsia="es-ES"/>
        </w:rPr>
        <w:t xml:space="preserve"> R</w:t>
      </w:r>
      <w:r w:rsidR="00224440" w:rsidRPr="00691611">
        <w:rPr>
          <w:rFonts w:ascii="Palatino Linotype" w:hAnsi="Palatino Linotype" w:cs="Arial"/>
          <w:b/>
          <w:bCs/>
          <w:lang w:eastAsia="es-ES"/>
        </w:rPr>
        <w:t>ecurrente</w:t>
      </w:r>
      <w:r w:rsidRPr="00691611">
        <w:rPr>
          <w:rFonts w:ascii="Palatino Linotype" w:hAnsi="Palatino Linotype" w:cs="Arial"/>
          <w:b/>
          <w:bCs/>
          <w:lang w:eastAsia="es-ES"/>
        </w:rPr>
        <w:t xml:space="preserve"> </w:t>
      </w:r>
      <w:r w:rsidRPr="00691611">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5101C56B" w14:textId="77777777" w:rsidR="00AE4B84" w:rsidRPr="00691611" w:rsidRDefault="00AE4B84" w:rsidP="00547C72">
      <w:pPr>
        <w:spacing w:before="120" w:after="120"/>
        <w:ind w:left="709" w:right="709"/>
        <w:jc w:val="both"/>
        <w:rPr>
          <w:rFonts w:ascii="Palatino Linotype" w:hAnsi="Palatino Linotype" w:cs="Arial"/>
          <w:i/>
          <w:sz w:val="22"/>
          <w:szCs w:val="22"/>
        </w:rPr>
      </w:pPr>
      <w:r w:rsidRPr="00691611">
        <w:rPr>
          <w:rFonts w:ascii="Palatino Linotype" w:hAnsi="Palatino Linotype" w:cs="Arial"/>
          <w:i/>
          <w:sz w:val="22"/>
          <w:szCs w:val="22"/>
          <w:lang w:eastAsia="es-ES"/>
        </w:rPr>
        <w:lastRenderedPageBreak/>
        <w:t>“</w:t>
      </w:r>
      <w:r w:rsidRPr="00691611">
        <w:rPr>
          <w:rFonts w:ascii="Palatino Linotype" w:hAnsi="Palatino Linotype" w:cs="Arial"/>
          <w:b/>
          <w:i/>
          <w:sz w:val="22"/>
          <w:szCs w:val="22"/>
          <w:lang w:eastAsia="es-ES"/>
        </w:rPr>
        <w:t>Artículo 178.</w:t>
      </w:r>
      <w:r w:rsidRPr="00691611">
        <w:rPr>
          <w:rFonts w:ascii="Palatino Linotype" w:hAnsi="Palatino Linotype" w:cs="Arial"/>
          <w:i/>
          <w:sz w:val="22"/>
          <w:szCs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77777777" w:rsidR="00AE4B84" w:rsidRPr="00691611" w:rsidRDefault="00AE4B84" w:rsidP="00547C72">
      <w:pPr>
        <w:spacing w:before="120" w:after="120"/>
        <w:ind w:left="709" w:right="709"/>
        <w:jc w:val="both"/>
        <w:rPr>
          <w:rFonts w:ascii="Palatino Linotype" w:hAnsi="Palatino Linotype" w:cs="Arial"/>
          <w:i/>
          <w:sz w:val="22"/>
          <w:szCs w:val="22"/>
        </w:rPr>
      </w:pPr>
      <w:r w:rsidRPr="00691611">
        <w:rPr>
          <w:rFonts w:ascii="Palatino Linotype" w:hAnsi="Palatino Linotype" w:cs="Arial"/>
          <w:i/>
          <w:sz w:val="22"/>
          <w:szCs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A47526" w14:textId="61A9C2CA" w:rsidR="00AE4B84" w:rsidRPr="00691611" w:rsidRDefault="00AE4B84" w:rsidP="00547C72">
      <w:pPr>
        <w:spacing w:before="120" w:after="120"/>
        <w:ind w:left="709" w:right="709"/>
        <w:jc w:val="both"/>
        <w:rPr>
          <w:rFonts w:ascii="Palatino Linotype" w:hAnsi="Palatino Linotype" w:cs="Arial"/>
          <w:i/>
          <w:sz w:val="22"/>
          <w:szCs w:val="22"/>
          <w:lang w:eastAsia="es-ES"/>
        </w:rPr>
      </w:pPr>
      <w:r w:rsidRPr="00691611">
        <w:rPr>
          <w:rFonts w:ascii="Palatino Linotype" w:hAnsi="Palatino Linotype" w:cs="Arial"/>
          <w:i/>
          <w:sz w:val="22"/>
          <w:szCs w:val="22"/>
          <w:lang w:eastAsia="es-ES"/>
        </w:rPr>
        <w:t xml:space="preserve">En el caso de que se interponga ante la Unidad de Transparencia, ésta deberá remitir el recurso de revisión al Instituto a más tardar al día </w:t>
      </w:r>
      <w:r w:rsidRPr="00691611">
        <w:rPr>
          <w:rFonts w:ascii="Palatino Linotype" w:hAnsi="Palatino Linotype" w:cs="Arial"/>
          <w:i/>
          <w:sz w:val="22"/>
          <w:szCs w:val="22"/>
        </w:rPr>
        <w:t>siguiente</w:t>
      </w:r>
      <w:r w:rsidRPr="00691611">
        <w:rPr>
          <w:rFonts w:ascii="Palatino Linotype" w:hAnsi="Palatino Linotype" w:cs="Arial"/>
          <w:i/>
          <w:sz w:val="22"/>
          <w:szCs w:val="22"/>
          <w:lang w:eastAsia="es-ES"/>
        </w:rPr>
        <w:t xml:space="preserve"> de haberlo recibido.”</w:t>
      </w:r>
    </w:p>
    <w:p w14:paraId="48A2A549" w14:textId="22ABBC8F" w:rsidR="00804F09" w:rsidRPr="00691611" w:rsidRDefault="00804F09" w:rsidP="00804F09">
      <w:pPr>
        <w:spacing w:before="120" w:after="120"/>
        <w:ind w:right="709"/>
        <w:jc w:val="both"/>
        <w:rPr>
          <w:rFonts w:ascii="Palatino Linotype" w:hAnsi="Palatino Linotype" w:cs="Arial"/>
          <w:i/>
          <w:sz w:val="22"/>
          <w:szCs w:val="22"/>
          <w:lang w:eastAsia="es-ES"/>
        </w:rPr>
      </w:pPr>
    </w:p>
    <w:p w14:paraId="312EF591" w14:textId="0B1926B6" w:rsidR="00AE4B84" w:rsidRPr="00691611" w:rsidRDefault="00804F09" w:rsidP="0058535E">
      <w:pPr>
        <w:spacing w:before="120" w:after="120"/>
        <w:ind w:left="709" w:right="709"/>
        <w:jc w:val="both"/>
        <w:rPr>
          <w:rFonts w:ascii="Palatino Linotype" w:hAnsi="Palatino Linotype" w:cs="Arial"/>
          <w:b/>
          <w:bCs/>
          <w:i/>
          <w:sz w:val="22"/>
          <w:szCs w:val="22"/>
          <w:lang w:eastAsia="es-ES"/>
        </w:rPr>
      </w:pPr>
      <w:r w:rsidRPr="00691611">
        <w:rPr>
          <w:rFonts w:ascii="Palatino Linotype" w:hAnsi="Palatino Linotype" w:cs="Arial"/>
          <w:b/>
          <w:bCs/>
          <w:i/>
          <w:sz w:val="22"/>
          <w:szCs w:val="22"/>
          <w:lang w:eastAsia="es-ES"/>
        </w:rPr>
        <w:t>(Énfasis añadido)</w:t>
      </w:r>
    </w:p>
    <w:p w14:paraId="5EEED9E0" w14:textId="77777777" w:rsidR="00627148" w:rsidRPr="00691611" w:rsidRDefault="00627148" w:rsidP="00627148">
      <w:pPr>
        <w:spacing w:before="120" w:after="120"/>
        <w:ind w:right="709"/>
        <w:jc w:val="both"/>
        <w:rPr>
          <w:rFonts w:ascii="Palatino Linotype" w:hAnsi="Palatino Linotype" w:cs="Arial"/>
          <w:b/>
          <w:bCs/>
          <w:i/>
          <w:sz w:val="22"/>
          <w:szCs w:val="22"/>
          <w:lang w:eastAsia="es-ES"/>
        </w:rPr>
      </w:pPr>
    </w:p>
    <w:p w14:paraId="2B7EE51A" w14:textId="2AC1EDD4" w:rsidR="00130080" w:rsidRPr="00691611"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691611">
        <w:rPr>
          <w:rFonts w:ascii="Palatino Linotype" w:hAnsi="Palatino Linotype" w:cs="Arial"/>
          <w:lang w:eastAsia="es-ES"/>
        </w:rPr>
        <w:t xml:space="preserve">En esa tesitura, atendiendo que </w:t>
      </w:r>
      <w:r w:rsidRPr="00691611">
        <w:rPr>
          <w:rFonts w:ascii="Palatino Linotype" w:hAnsi="Palatino Linotype" w:cs="Arial"/>
          <w:b/>
          <w:lang w:eastAsia="es-ES"/>
        </w:rPr>
        <w:t>el SUJETO OBLIGADO</w:t>
      </w:r>
      <w:r w:rsidRPr="00691611">
        <w:rPr>
          <w:rFonts w:ascii="Palatino Linotype" w:hAnsi="Palatino Linotype" w:cs="Arial"/>
          <w:lang w:eastAsia="es-ES"/>
        </w:rPr>
        <w:t xml:space="preserve"> notificó la respuesta a la solicitud de información pública el día </w:t>
      </w:r>
      <w:r w:rsidR="00A94BAD" w:rsidRPr="00691611">
        <w:rPr>
          <w:rFonts w:ascii="Palatino Linotype" w:hAnsi="Palatino Linotype" w:cs="Arial"/>
          <w:b/>
          <w:lang w:eastAsia="es-ES"/>
        </w:rPr>
        <w:t>treinta y uno</w:t>
      </w:r>
      <w:r w:rsidR="001F21B2" w:rsidRPr="00691611">
        <w:rPr>
          <w:rFonts w:ascii="Palatino Linotype" w:hAnsi="Palatino Linotype" w:cs="Arial"/>
          <w:b/>
          <w:lang w:eastAsia="es-ES"/>
        </w:rPr>
        <w:t xml:space="preserve"> </w:t>
      </w:r>
      <w:r w:rsidR="000E186F" w:rsidRPr="00691611">
        <w:rPr>
          <w:rFonts w:ascii="Palatino Linotype" w:hAnsi="Palatino Linotype" w:cs="Arial"/>
          <w:b/>
          <w:lang w:eastAsia="es-ES"/>
        </w:rPr>
        <w:t>(</w:t>
      </w:r>
      <w:r w:rsidR="00224440" w:rsidRPr="00691611">
        <w:rPr>
          <w:rFonts w:ascii="Palatino Linotype" w:hAnsi="Palatino Linotype" w:cs="Arial"/>
          <w:b/>
          <w:lang w:eastAsia="es-ES"/>
        </w:rPr>
        <w:t>3</w:t>
      </w:r>
      <w:r w:rsidR="00A94BAD" w:rsidRPr="00691611">
        <w:rPr>
          <w:rFonts w:ascii="Palatino Linotype" w:hAnsi="Palatino Linotype" w:cs="Arial"/>
          <w:b/>
          <w:lang w:eastAsia="es-ES"/>
        </w:rPr>
        <w:t>1</w:t>
      </w:r>
      <w:r w:rsidR="003A11F3" w:rsidRPr="00691611">
        <w:rPr>
          <w:rFonts w:ascii="Palatino Linotype" w:hAnsi="Palatino Linotype" w:cs="Arial"/>
          <w:b/>
          <w:lang w:eastAsia="es-ES"/>
        </w:rPr>
        <w:t>) de</w:t>
      </w:r>
      <w:r w:rsidR="00071DC1" w:rsidRPr="00691611">
        <w:rPr>
          <w:rFonts w:ascii="Palatino Linotype" w:hAnsi="Palatino Linotype" w:cs="Arial"/>
          <w:b/>
          <w:lang w:eastAsia="es-ES"/>
        </w:rPr>
        <w:t xml:space="preserve"> </w:t>
      </w:r>
      <w:r w:rsidR="00A94BAD" w:rsidRPr="00691611">
        <w:rPr>
          <w:rFonts w:ascii="Palatino Linotype" w:hAnsi="Palatino Linotype" w:cs="Arial"/>
          <w:b/>
          <w:lang w:eastAsia="es-ES"/>
        </w:rPr>
        <w:t>enero</w:t>
      </w:r>
      <w:r w:rsidR="003A11F3" w:rsidRPr="00691611">
        <w:rPr>
          <w:rFonts w:ascii="Palatino Linotype" w:hAnsi="Palatino Linotype" w:cs="Arial"/>
          <w:b/>
          <w:lang w:eastAsia="es-ES"/>
        </w:rPr>
        <w:t xml:space="preserve"> de dos mil veint</w:t>
      </w:r>
      <w:r w:rsidR="00C4282F" w:rsidRPr="00691611">
        <w:rPr>
          <w:rFonts w:ascii="Palatino Linotype" w:hAnsi="Palatino Linotype" w:cs="Arial"/>
          <w:b/>
          <w:lang w:eastAsia="es-ES"/>
        </w:rPr>
        <w:t>idós</w:t>
      </w:r>
      <w:r w:rsidRPr="00691611">
        <w:rPr>
          <w:rFonts w:ascii="Palatino Linotype" w:hAnsi="Palatino Linotype" w:cs="Arial"/>
          <w:lang w:eastAsia="es-ES"/>
        </w:rPr>
        <w:t>, el plazo de quince días hábiles que el artículo 178 de la Ley de la materia otorga a</w:t>
      </w:r>
      <w:r w:rsidR="00224440" w:rsidRPr="00691611">
        <w:rPr>
          <w:rFonts w:ascii="Palatino Linotype" w:hAnsi="Palatino Linotype" w:cs="Arial"/>
          <w:lang w:eastAsia="es-ES"/>
        </w:rPr>
        <w:t xml:space="preserve">l </w:t>
      </w:r>
      <w:r w:rsidR="00224440" w:rsidRPr="00691611">
        <w:rPr>
          <w:rFonts w:ascii="Palatino Linotype" w:hAnsi="Palatino Linotype" w:cs="Arial"/>
          <w:b/>
          <w:bCs/>
          <w:lang w:eastAsia="es-ES"/>
        </w:rPr>
        <w:t>Recurrente</w:t>
      </w:r>
      <w:r w:rsidR="00224440" w:rsidRPr="00691611">
        <w:rPr>
          <w:rFonts w:ascii="Palatino Linotype" w:hAnsi="Palatino Linotype" w:cs="Arial"/>
          <w:lang w:eastAsia="es-ES"/>
        </w:rPr>
        <w:t xml:space="preserve"> </w:t>
      </w:r>
      <w:r w:rsidRPr="00691611">
        <w:rPr>
          <w:rFonts w:ascii="Palatino Linotype" w:hAnsi="Palatino Linotype" w:cs="Arial"/>
          <w:lang w:eastAsia="es-ES"/>
        </w:rPr>
        <w:t xml:space="preserve">para presentar el recurso de revisión, transcurrió del </w:t>
      </w:r>
      <w:r w:rsidR="00A94BAD" w:rsidRPr="00691611">
        <w:rPr>
          <w:rFonts w:ascii="Palatino Linotype" w:hAnsi="Palatino Linotype" w:cs="Arial"/>
          <w:b/>
          <w:lang w:eastAsia="es-ES"/>
        </w:rPr>
        <w:t>uno</w:t>
      </w:r>
      <w:r w:rsidR="00C4282F" w:rsidRPr="00691611">
        <w:rPr>
          <w:rFonts w:ascii="Palatino Linotype" w:hAnsi="Palatino Linotype" w:cs="Arial"/>
          <w:b/>
          <w:lang w:eastAsia="es-ES"/>
        </w:rPr>
        <w:t xml:space="preserve"> </w:t>
      </w:r>
      <w:r w:rsidR="000E186F" w:rsidRPr="00691611">
        <w:rPr>
          <w:rFonts w:ascii="Palatino Linotype" w:hAnsi="Palatino Linotype" w:cs="Arial"/>
          <w:b/>
          <w:lang w:eastAsia="es-ES"/>
        </w:rPr>
        <w:t>(</w:t>
      </w:r>
      <w:r w:rsidR="00A94BAD" w:rsidRPr="00691611">
        <w:rPr>
          <w:rFonts w:ascii="Palatino Linotype" w:hAnsi="Palatino Linotype" w:cs="Arial"/>
          <w:b/>
          <w:lang w:eastAsia="es-ES"/>
        </w:rPr>
        <w:t>01</w:t>
      </w:r>
      <w:r w:rsidR="000E186F" w:rsidRPr="00691611">
        <w:rPr>
          <w:rFonts w:ascii="Palatino Linotype" w:hAnsi="Palatino Linotype" w:cs="Arial"/>
          <w:b/>
          <w:lang w:eastAsia="es-ES"/>
        </w:rPr>
        <w:t xml:space="preserve">) </w:t>
      </w:r>
      <w:r w:rsidR="000E186F" w:rsidRPr="00691611">
        <w:rPr>
          <w:rFonts w:ascii="Palatino Linotype" w:hAnsi="Palatino Linotype" w:cs="Arial"/>
          <w:bCs/>
          <w:lang w:eastAsia="es-ES"/>
        </w:rPr>
        <w:t>al</w:t>
      </w:r>
      <w:r w:rsidR="000E186F" w:rsidRPr="00691611">
        <w:rPr>
          <w:rFonts w:ascii="Palatino Linotype" w:hAnsi="Palatino Linotype" w:cs="Arial"/>
          <w:b/>
          <w:lang w:eastAsia="es-ES"/>
        </w:rPr>
        <w:t xml:space="preserve"> </w:t>
      </w:r>
      <w:r w:rsidR="004F6CEE" w:rsidRPr="00691611">
        <w:rPr>
          <w:rFonts w:ascii="Palatino Linotype" w:hAnsi="Palatino Linotype" w:cs="Arial"/>
          <w:b/>
          <w:lang w:eastAsia="es-ES"/>
        </w:rPr>
        <w:t xml:space="preserve">veintidós </w:t>
      </w:r>
      <w:r w:rsidR="000E186F" w:rsidRPr="00691611">
        <w:rPr>
          <w:rFonts w:ascii="Palatino Linotype" w:hAnsi="Palatino Linotype" w:cs="Arial"/>
          <w:b/>
          <w:lang w:eastAsia="es-ES"/>
        </w:rPr>
        <w:t>(</w:t>
      </w:r>
      <w:r w:rsidR="004F6CEE" w:rsidRPr="00691611">
        <w:rPr>
          <w:rFonts w:ascii="Palatino Linotype" w:hAnsi="Palatino Linotype" w:cs="Arial"/>
          <w:b/>
          <w:lang w:eastAsia="es-ES"/>
        </w:rPr>
        <w:t>22</w:t>
      </w:r>
      <w:r w:rsidR="000E186F" w:rsidRPr="00691611">
        <w:rPr>
          <w:rFonts w:ascii="Palatino Linotype" w:hAnsi="Palatino Linotype" w:cs="Arial"/>
          <w:b/>
          <w:lang w:eastAsia="es-ES"/>
        </w:rPr>
        <w:t xml:space="preserve">) de </w:t>
      </w:r>
      <w:r w:rsidR="004F6CEE" w:rsidRPr="00691611">
        <w:rPr>
          <w:rFonts w:ascii="Palatino Linotype" w:hAnsi="Palatino Linotype" w:cs="Arial"/>
          <w:b/>
          <w:lang w:eastAsia="es-ES"/>
        </w:rPr>
        <w:t>febrero</w:t>
      </w:r>
      <w:r w:rsidRPr="00691611">
        <w:rPr>
          <w:rFonts w:ascii="Palatino Linotype" w:hAnsi="Palatino Linotype" w:cs="Arial"/>
          <w:b/>
          <w:lang w:eastAsia="es-ES"/>
        </w:rPr>
        <w:t xml:space="preserve"> de dos mil veint</w:t>
      </w:r>
      <w:r w:rsidR="00C4282F" w:rsidRPr="00691611">
        <w:rPr>
          <w:rFonts w:ascii="Palatino Linotype" w:hAnsi="Palatino Linotype" w:cs="Arial"/>
          <w:b/>
          <w:lang w:eastAsia="es-ES"/>
        </w:rPr>
        <w:t>idós</w:t>
      </w:r>
      <w:r w:rsidR="00C4282F" w:rsidRPr="00691611">
        <w:rPr>
          <w:rFonts w:ascii="Palatino Linotype" w:hAnsi="Palatino Linotype" w:cs="Arial"/>
          <w:lang w:eastAsia="es-ES"/>
        </w:rPr>
        <w:t>.</w:t>
      </w:r>
    </w:p>
    <w:p w14:paraId="3B7F11F1" w14:textId="77777777" w:rsidR="00C4282F" w:rsidRPr="00691611" w:rsidRDefault="00C4282F" w:rsidP="00C4282F">
      <w:pPr>
        <w:spacing w:before="240" w:after="240" w:line="360" w:lineRule="auto"/>
        <w:contextualSpacing/>
        <w:jc w:val="both"/>
        <w:rPr>
          <w:rFonts w:ascii="Palatino Linotype" w:hAnsi="Palatino Linotype"/>
          <w:color w:val="000000"/>
        </w:rPr>
      </w:pPr>
    </w:p>
    <w:p w14:paraId="3E27E472" w14:textId="74261B6C" w:rsidR="00AE4B84" w:rsidRPr="00691611"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691611">
        <w:rPr>
          <w:rFonts w:ascii="Palatino Linotype" w:hAnsi="Palatino Linotype" w:cs="Arial"/>
          <w:lang w:eastAsia="es-ES"/>
        </w:rPr>
        <w:t>En ese tenor, si el recurso de revisión que nos ocupa, se interpuso el día</w:t>
      </w:r>
      <w:r w:rsidR="00130080" w:rsidRPr="00691611">
        <w:rPr>
          <w:rFonts w:ascii="Palatino Linotype" w:hAnsi="Palatino Linotype" w:cs="Arial"/>
          <w:b/>
          <w:lang w:eastAsia="es-ES"/>
        </w:rPr>
        <w:t xml:space="preserve"> </w:t>
      </w:r>
      <w:r w:rsidR="004F6CEE" w:rsidRPr="00691611">
        <w:rPr>
          <w:rFonts w:ascii="Palatino Linotype" w:hAnsi="Palatino Linotype" w:cs="Arial"/>
          <w:b/>
          <w:lang w:eastAsia="es-ES"/>
        </w:rPr>
        <w:t>seis</w:t>
      </w:r>
      <w:r w:rsidR="00130080" w:rsidRPr="00691611">
        <w:rPr>
          <w:rFonts w:ascii="Palatino Linotype" w:hAnsi="Palatino Linotype" w:cs="Arial"/>
          <w:b/>
          <w:lang w:eastAsia="es-ES"/>
        </w:rPr>
        <w:t xml:space="preserve"> (</w:t>
      </w:r>
      <w:r w:rsidR="004F6CEE" w:rsidRPr="00691611">
        <w:rPr>
          <w:rFonts w:ascii="Palatino Linotype" w:hAnsi="Palatino Linotype" w:cs="Arial"/>
          <w:b/>
          <w:lang w:eastAsia="es-ES"/>
        </w:rPr>
        <w:t>06</w:t>
      </w:r>
      <w:r w:rsidR="00130080" w:rsidRPr="00691611">
        <w:rPr>
          <w:rFonts w:ascii="Palatino Linotype" w:hAnsi="Palatino Linotype" w:cs="Arial"/>
          <w:b/>
          <w:lang w:eastAsia="es-ES"/>
        </w:rPr>
        <w:t>) de</w:t>
      </w:r>
      <w:r w:rsidR="001F21B2" w:rsidRPr="00691611">
        <w:rPr>
          <w:rFonts w:ascii="Palatino Linotype" w:hAnsi="Palatino Linotype" w:cs="Arial"/>
          <w:b/>
          <w:lang w:eastAsia="es-ES"/>
        </w:rPr>
        <w:t xml:space="preserve"> </w:t>
      </w:r>
      <w:r w:rsidR="004F6CEE" w:rsidRPr="00691611">
        <w:rPr>
          <w:rFonts w:ascii="Palatino Linotype" w:hAnsi="Palatino Linotype" w:cs="Arial"/>
          <w:b/>
          <w:lang w:eastAsia="es-ES"/>
        </w:rPr>
        <w:t>marzo</w:t>
      </w:r>
      <w:r w:rsidR="00071DC1" w:rsidRPr="00691611">
        <w:rPr>
          <w:rFonts w:ascii="Palatino Linotype" w:hAnsi="Palatino Linotype" w:cs="Arial"/>
          <w:b/>
          <w:lang w:eastAsia="es-ES"/>
        </w:rPr>
        <w:t xml:space="preserve"> </w:t>
      </w:r>
      <w:r w:rsidRPr="00691611">
        <w:rPr>
          <w:rFonts w:ascii="Palatino Linotype" w:hAnsi="Palatino Linotype" w:cs="Arial"/>
          <w:b/>
          <w:lang w:eastAsia="es-ES"/>
        </w:rPr>
        <w:t>de dos mil veinti</w:t>
      </w:r>
      <w:r w:rsidR="00547C72" w:rsidRPr="00691611">
        <w:rPr>
          <w:rFonts w:ascii="Palatino Linotype" w:hAnsi="Palatino Linotype" w:cs="Arial"/>
          <w:b/>
          <w:lang w:eastAsia="es-ES"/>
        </w:rPr>
        <w:t>dós</w:t>
      </w:r>
      <w:r w:rsidRPr="00691611">
        <w:rPr>
          <w:rFonts w:ascii="Palatino Linotype" w:hAnsi="Palatino Linotype" w:cs="Arial"/>
          <w:lang w:eastAsia="es-ES"/>
        </w:rPr>
        <w:t xml:space="preserve">, se encuentra </w:t>
      </w:r>
      <w:r w:rsidRPr="00691611">
        <w:rPr>
          <w:rFonts w:ascii="Palatino Linotype" w:hAnsi="Palatino Linotype" w:cs="Arial"/>
          <w:b/>
          <w:u w:val="single"/>
          <w:lang w:eastAsia="es-ES"/>
        </w:rPr>
        <w:t>fuera</w:t>
      </w:r>
      <w:r w:rsidRPr="00691611">
        <w:rPr>
          <w:rFonts w:ascii="Palatino Linotype" w:hAnsi="Palatino Linotype" w:cs="Arial"/>
          <w:lang w:eastAsia="es-ES"/>
        </w:rPr>
        <w:t xml:space="preserve"> de los márgenes temporales previstos en el precepto legal señalado en el artículo 178 </w:t>
      </w:r>
      <w:r w:rsidRPr="00691611">
        <w:rPr>
          <w:rFonts w:ascii="Palatino Linotype" w:hAnsi="Palatino Linotype"/>
          <w:lang w:eastAsia="es-ES_tradnl"/>
        </w:rPr>
        <w:t xml:space="preserve">de la Ley de Transparencia y Acceso a la Información Pública del Estado de México y Municipios </w:t>
      </w:r>
      <w:r w:rsidRPr="00691611">
        <w:rPr>
          <w:rFonts w:ascii="Palatino Linotype" w:hAnsi="Palatino Linotype" w:cs="Arial"/>
          <w:lang w:eastAsia="es-ES"/>
        </w:rPr>
        <w:t xml:space="preserve">y, por tanto, su interposición </w:t>
      </w:r>
      <w:r w:rsidRPr="00691611">
        <w:rPr>
          <w:rFonts w:ascii="Palatino Linotype" w:hAnsi="Palatino Linotype" w:cs="Arial"/>
          <w:b/>
          <w:lang w:eastAsia="es-ES"/>
        </w:rPr>
        <w:t>no se considera oportuna</w:t>
      </w:r>
      <w:r w:rsidR="00E5557C" w:rsidRPr="00691611">
        <w:rPr>
          <w:rFonts w:ascii="Palatino Linotype" w:hAnsi="Palatino Linotype" w:cs="Arial"/>
          <w:lang w:eastAsia="es-ES"/>
        </w:rPr>
        <w:t>.</w:t>
      </w:r>
      <w:r w:rsidRPr="00691611">
        <w:rPr>
          <w:rFonts w:ascii="Palatino Linotype" w:hAnsi="Palatino Linotype" w:cs="Arial"/>
          <w:lang w:eastAsia="es-ES"/>
        </w:rPr>
        <w:t xml:space="preserve"> </w:t>
      </w:r>
    </w:p>
    <w:p w14:paraId="1B73C6A1" w14:textId="77777777" w:rsidR="00AE4B84" w:rsidRPr="00691611"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4466BFB3" w:rsidR="00AE4B84" w:rsidRPr="00691611"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691611">
        <w:rPr>
          <w:rFonts w:ascii="Palatino Linotype" w:hAnsi="Palatino Linotype" w:cs="Arial"/>
          <w:lang w:val="es-ES_tradnl" w:eastAsia="es-ES"/>
        </w:rPr>
        <w:t>En atención a las consideraciones anteriores, esta Ponencia Resolutoria</w:t>
      </w:r>
      <w:r w:rsidRPr="00691611">
        <w:rPr>
          <w:rFonts w:ascii="Palatino Linotype" w:hAnsi="Palatino Linotype"/>
          <w:color w:val="000000"/>
          <w:lang w:eastAsia="es-ES"/>
        </w:rPr>
        <w:t xml:space="preserve"> advierte que</w:t>
      </w:r>
      <w:r w:rsidR="0058535E" w:rsidRPr="00691611">
        <w:rPr>
          <w:rFonts w:ascii="Palatino Linotype" w:hAnsi="Palatino Linotype"/>
          <w:color w:val="000000"/>
          <w:lang w:eastAsia="es-ES"/>
        </w:rPr>
        <w:t>,</w:t>
      </w:r>
      <w:r w:rsidRPr="00691611">
        <w:rPr>
          <w:rFonts w:ascii="Palatino Linotype" w:hAnsi="Palatino Linotype"/>
          <w:color w:val="000000"/>
          <w:lang w:eastAsia="es-ES"/>
        </w:rPr>
        <w:t xml:space="preserve"> en el presente caso, se actualiza la hipótesis prevista en </w:t>
      </w:r>
      <w:r w:rsidRPr="00691611">
        <w:rPr>
          <w:rFonts w:ascii="Palatino Linotype" w:hAnsi="Palatino Linotype" w:cs="Arial"/>
          <w:lang w:val="es-ES_tradnl" w:eastAsia="es-ES"/>
        </w:rPr>
        <w:t xml:space="preserve">el </w:t>
      </w:r>
      <w:r w:rsidRPr="00691611">
        <w:rPr>
          <w:rFonts w:ascii="Palatino Linotype" w:hAnsi="Palatino Linotype"/>
          <w:color w:val="000000"/>
          <w:lang w:eastAsia="es-ES"/>
        </w:rPr>
        <w:t xml:space="preserve">artículo 191 fracción I </w:t>
      </w:r>
      <w:r w:rsidRPr="00691611">
        <w:rPr>
          <w:rFonts w:ascii="Palatino Linotype" w:hAnsi="Palatino Linotype"/>
          <w:color w:val="000000"/>
          <w:lang w:eastAsia="es-ES"/>
        </w:rPr>
        <w:lastRenderedPageBreak/>
        <w:t>de</w:t>
      </w:r>
      <w:r w:rsidRPr="00691611">
        <w:rPr>
          <w:rFonts w:ascii="Palatino Linotype" w:hAnsi="Palatino Linotype" w:cs="Arial"/>
          <w:lang w:val="es-ES_tradnl" w:eastAsia="es-ES"/>
        </w:rPr>
        <w:t xml:space="preserve"> la </w:t>
      </w:r>
      <w:r w:rsidRPr="00691611">
        <w:rPr>
          <w:rFonts w:ascii="Palatino Linotype" w:hAnsi="Palatino Linotype"/>
          <w:lang w:eastAsia="es-ES"/>
        </w:rPr>
        <w:t xml:space="preserve">Ley de Transparencia y Acceso a la Información Pública del Estado de México y Municipios, </w:t>
      </w:r>
      <w:r w:rsidRPr="00691611">
        <w:rPr>
          <w:rFonts w:ascii="Palatino Linotype" w:hAnsi="Palatino Linotype"/>
          <w:color w:val="000000"/>
          <w:lang w:eastAsia="es-ES"/>
        </w:rPr>
        <w:t xml:space="preserve">que dispone lo siguiente: </w:t>
      </w:r>
    </w:p>
    <w:p w14:paraId="2FBF74FD" w14:textId="77777777" w:rsidR="00AE4B84" w:rsidRPr="00691611" w:rsidRDefault="00AE4B84" w:rsidP="00AE4B84">
      <w:pPr>
        <w:tabs>
          <w:tab w:val="left" w:pos="426"/>
        </w:tabs>
        <w:spacing w:before="240" w:after="240" w:line="360" w:lineRule="auto"/>
        <w:contextualSpacing/>
        <w:jc w:val="both"/>
        <w:rPr>
          <w:rFonts w:ascii="Palatino Linotype" w:hAnsi="Palatino Linotype"/>
          <w:color w:val="000000"/>
        </w:rPr>
      </w:pPr>
    </w:p>
    <w:p w14:paraId="5EF7ECFE" w14:textId="77777777" w:rsidR="00AE4B84" w:rsidRPr="00691611" w:rsidRDefault="00AE4B84" w:rsidP="00547C72">
      <w:pPr>
        <w:spacing w:before="120"/>
        <w:ind w:left="709" w:right="709"/>
        <w:jc w:val="both"/>
        <w:rPr>
          <w:rFonts w:ascii="Palatino Linotype" w:hAnsi="Palatino Linotype" w:cs="Arial"/>
          <w:i/>
          <w:sz w:val="22"/>
          <w:szCs w:val="22"/>
        </w:rPr>
      </w:pPr>
      <w:r w:rsidRPr="00691611">
        <w:rPr>
          <w:rFonts w:ascii="Palatino Linotype" w:hAnsi="Palatino Linotype" w:cs="Arial"/>
          <w:i/>
          <w:sz w:val="22"/>
          <w:szCs w:val="22"/>
          <w:lang w:eastAsia="es-ES"/>
        </w:rPr>
        <w:t>“</w:t>
      </w:r>
      <w:r w:rsidRPr="00691611">
        <w:rPr>
          <w:rFonts w:ascii="Palatino Linotype" w:hAnsi="Palatino Linotype" w:cs="Arial"/>
          <w:b/>
          <w:i/>
          <w:sz w:val="22"/>
          <w:szCs w:val="22"/>
          <w:lang w:eastAsia="es-ES"/>
        </w:rPr>
        <w:t>Artículo 191</w:t>
      </w:r>
      <w:r w:rsidRPr="00691611">
        <w:rPr>
          <w:rFonts w:ascii="Palatino Linotype" w:hAnsi="Palatino Linotype" w:cs="Arial"/>
          <w:i/>
          <w:sz w:val="22"/>
          <w:szCs w:val="22"/>
          <w:lang w:eastAsia="es-ES"/>
        </w:rPr>
        <w:t xml:space="preserve">. </w:t>
      </w:r>
      <w:r w:rsidRPr="00691611">
        <w:rPr>
          <w:rFonts w:ascii="Palatino Linotype" w:hAnsi="Palatino Linotype" w:cs="Arial"/>
          <w:b/>
          <w:i/>
          <w:sz w:val="22"/>
          <w:szCs w:val="22"/>
          <w:u w:val="single"/>
          <w:lang w:eastAsia="es-ES"/>
        </w:rPr>
        <w:t>El recurso será desechado por improcedente cuando</w:t>
      </w:r>
      <w:r w:rsidRPr="00691611">
        <w:rPr>
          <w:rFonts w:ascii="Palatino Linotype" w:hAnsi="Palatino Linotype" w:cs="Arial"/>
          <w:i/>
          <w:sz w:val="22"/>
          <w:szCs w:val="22"/>
          <w:lang w:eastAsia="es-ES"/>
        </w:rPr>
        <w:t xml:space="preserve">: </w:t>
      </w:r>
    </w:p>
    <w:p w14:paraId="684BB95E" w14:textId="1FBD485B" w:rsidR="00AE4B84" w:rsidRPr="00691611" w:rsidRDefault="00AE4B84" w:rsidP="00547C72">
      <w:pPr>
        <w:spacing w:before="120"/>
        <w:ind w:left="709" w:right="709"/>
        <w:jc w:val="both"/>
        <w:rPr>
          <w:rFonts w:ascii="Palatino Linotype" w:hAnsi="Palatino Linotype" w:cs="Arial"/>
          <w:i/>
          <w:sz w:val="22"/>
          <w:szCs w:val="22"/>
          <w:lang w:eastAsia="es-ES"/>
        </w:rPr>
      </w:pPr>
      <w:r w:rsidRPr="00691611">
        <w:rPr>
          <w:rFonts w:ascii="Palatino Linotype" w:hAnsi="Palatino Linotype" w:cs="Arial"/>
          <w:b/>
          <w:i/>
          <w:sz w:val="22"/>
          <w:szCs w:val="22"/>
          <w:lang w:eastAsia="es-ES"/>
        </w:rPr>
        <w:t xml:space="preserve">I. </w:t>
      </w:r>
      <w:r w:rsidRPr="00691611">
        <w:rPr>
          <w:rFonts w:ascii="Palatino Linotype" w:hAnsi="Palatino Linotype" w:cs="Arial"/>
          <w:b/>
          <w:i/>
          <w:sz w:val="22"/>
          <w:szCs w:val="22"/>
          <w:u w:val="single"/>
          <w:lang w:eastAsia="es-ES"/>
        </w:rPr>
        <w:t>Sea extemporáneo por haber transcurrido el plazo establecido en la presente Ley, a partir de la respuesta</w:t>
      </w:r>
      <w:r w:rsidRPr="00691611">
        <w:rPr>
          <w:rFonts w:ascii="Palatino Linotype" w:hAnsi="Palatino Linotype" w:cs="Arial"/>
          <w:i/>
          <w:sz w:val="22"/>
          <w:szCs w:val="22"/>
          <w:lang w:eastAsia="es-ES"/>
        </w:rPr>
        <w:t>;”</w:t>
      </w:r>
    </w:p>
    <w:p w14:paraId="3B8D8B59" w14:textId="77777777" w:rsidR="00804F09" w:rsidRPr="00691611" w:rsidRDefault="00804F09" w:rsidP="00804F09">
      <w:pPr>
        <w:spacing w:before="120"/>
        <w:ind w:right="709"/>
        <w:jc w:val="both"/>
        <w:rPr>
          <w:rFonts w:ascii="Palatino Linotype" w:hAnsi="Palatino Linotype" w:cs="Arial"/>
          <w:i/>
          <w:sz w:val="22"/>
          <w:szCs w:val="22"/>
        </w:rPr>
      </w:pPr>
    </w:p>
    <w:p w14:paraId="3C1336F9" w14:textId="77777777" w:rsidR="00AE4B84" w:rsidRPr="00691611" w:rsidRDefault="00AE4B84" w:rsidP="00547C72">
      <w:pPr>
        <w:spacing w:before="120"/>
        <w:ind w:left="709" w:right="709"/>
        <w:jc w:val="both"/>
        <w:rPr>
          <w:rFonts w:ascii="Palatino Linotype" w:hAnsi="Palatino Linotype" w:cs="Arial"/>
          <w:b/>
          <w:bCs/>
          <w:i/>
          <w:iCs/>
          <w:sz w:val="22"/>
          <w:szCs w:val="22"/>
          <w:lang w:eastAsia="es-ES"/>
        </w:rPr>
      </w:pPr>
      <w:r w:rsidRPr="00691611">
        <w:rPr>
          <w:rFonts w:ascii="Palatino Linotype" w:hAnsi="Palatino Linotype" w:cs="Arial"/>
          <w:b/>
          <w:bCs/>
          <w:i/>
          <w:iCs/>
          <w:sz w:val="22"/>
          <w:szCs w:val="22"/>
          <w:lang w:eastAsia="es-ES"/>
        </w:rPr>
        <w:t>(Énfasis añadido)</w:t>
      </w:r>
    </w:p>
    <w:p w14:paraId="4830B08B" w14:textId="77777777" w:rsidR="00AE4B84" w:rsidRPr="00691611" w:rsidRDefault="00AE4B84" w:rsidP="00804F09">
      <w:pPr>
        <w:spacing w:before="120" w:line="360" w:lineRule="auto"/>
        <w:ind w:right="709"/>
        <w:jc w:val="both"/>
        <w:rPr>
          <w:rFonts w:ascii="Palatino Linotype" w:hAnsi="Palatino Linotype" w:cs="Arial"/>
        </w:rPr>
      </w:pPr>
    </w:p>
    <w:p w14:paraId="6784CD34" w14:textId="00EDB329" w:rsidR="00AE4B84" w:rsidRPr="00691611" w:rsidRDefault="00AE4B84" w:rsidP="00224440">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691611">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w:t>
      </w:r>
      <w:r w:rsidR="00224440" w:rsidRPr="00691611">
        <w:rPr>
          <w:rFonts w:ascii="Palatino Linotype" w:eastAsia="Calibri" w:hAnsi="Palatino Linotype" w:cs="Arial"/>
          <w:lang w:eastAsia="es-ES"/>
        </w:rPr>
        <w:t>el</w:t>
      </w:r>
      <w:r w:rsidRPr="00691611">
        <w:rPr>
          <w:rFonts w:ascii="Palatino Linotype" w:eastAsia="Calibri" w:hAnsi="Palatino Linotype" w:cs="Arial"/>
          <w:lang w:eastAsia="es-ES"/>
        </w:rPr>
        <w:t xml:space="preserve"> </w:t>
      </w:r>
      <w:r w:rsidRPr="00691611">
        <w:rPr>
          <w:rFonts w:ascii="Palatino Linotype" w:eastAsia="Calibri" w:hAnsi="Palatino Linotype" w:cs="Arial"/>
          <w:b/>
          <w:lang w:eastAsia="es-ES"/>
        </w:rPr>
        <w:t>R</w:t>
      </w:r>
      <w:r w:rsidR="00224440" w:rsidRPr="00691611">
        <w:rPr>
          <w:rFonts w:ascii="Palatino Linotype" w:eastAsia="Calibri" w:hAnsi="Palatino Linotype" w:cs="Arial"/>
          <w:b/>
          <w:lang w:eastAsia="es-ES"/>
        </w:rPr>
        <w:t>ecurrente</w:t>
      </w:r>
      <w:r w:rsidRPr="00691611">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691611">
        <w:rPr>
          <w:rFonts w:ascii="Palatino Linotype" w:hAnsi="Palatino Linotype" w:cs="Arial"/>
          <w:lang w:eastAsia="es-ES"/>
        </w:rPr>
        <w:t xml:space="preserve">Sirve de apoyo a lo anterior, por analogía la Tesis Jurisprudencial </w:t>
      </w:r>
      <w:r w:rsidRPr="00691611">
        <w:rPr>
          <w:rFonts w:ascii="Palatino Linotype" w:hAnsi="Palatino Linotype" w:cs="Arial"/>
          <w:bCs/>
          <w:lang w:eastAsia="es-ES"/>
        </w:rPr>
        <w:t xml:space="preserve">con número de registro 2011170 de la </w:t>
      </w:r>
      <w:r w:rsidRPr="00691611">
        <w:rPr>
          <w:rFonts w:ascii="Palatino Linotype" w:eastAsia="Calibri" w:hAnsi="Palatino Linotype" w:cs="Arial"/>
          <w:lang w:eastAsia="es-ES"/>
        </w:rPr>
        <w:t xml:space="preserve">Décima </w:t>
      </w:r>
      <w:r w:rsidRPr="00691611">
        <w:rPr>
          <w:rFonts w:ascii="Palatino Linotype" w:hAnsi="Palatino Linotype" w:cs="Arial"/>
          <w:bCs/>
          <w:lang w:eastAsia="es-ES"/>
        </w:rPr>
        <w:t xml:space="preserve">Época de la Primera Sala de la Suprema Corte de Justicia de la Nación, publicada en la página 966 del </w:t>
      </w:r>
      <w:r w:rsidRPr="00691611">
        <w:rPr>
          <w:rFonts w:ascii="Palatino Linotype" w:eastAsia="Calibri" w:hAnsi="Palatino Linotype" w:cs="Arial"/>
          <w:lang w:eastAsia="es-ES"/>
        </w:rPr>
        <w:t>Libro 28, Tomo I</w:t>
      </w:r>
      <w:r w:rsidRPr="00691611">
        <w:rPr>
          <w:rFonts w:ascii="Palatino Linotype" w:hAnsi="Palatino Linotype" w:cs="Arial"/>
          <w:bCs/>
          <w:lang w:eastAsia="es-ES"/>
        </w:rPr>
        <w:t xml:space="preserve">, de </w:t>
      </w:r>
      <w:r w:rsidRPr="00691611">
        <w:rPr>
          <w:rFonts w:ascii="Palatino Linotype" w:eastAsia="Calibri" w:hAnsi="Palatino Linotype" w:cs="Arial"/>
          <w:lang w:eastAsia="es-ES"/>
        </w:rPr>
        <w:t>marzo de 2016</w:t>
      </w:r>
      <w:r w:rsidRPr="00691611">
        <w:rPr>
          <w:rFonts w:ascii="Palatino Linotype" w:hAnsi="Palatino Linotype" w:cs="Arial"/>
        </w:rPr>
        <w:t>, del Semanario Judicial de la Federación y su Gaceta, misma que es del tenor</w:t>
      </w:r>
      <w:r w:rsidRPr="00691611">
        <w:rPr>
          <w:rFonts w:ascii="Palatino Linotype" w:hAnsi="Palatino Linotype" w:cs="Arial"/>
          <w:bCs/>
          <w:lang w:eastAsia="es-ES"/>
        </w:rPr>
        <w:t xml:space="preserve"> literal siguiente:</w:t>
      </w:r>
    </w:p>
    <w:p w14:paraId="6CC134CE" w14:textId="77777777" w:rsidR="00AE4B84" w:rsidRPr="00691611" w:rsidRDefault="00AE4B84" w:rsidP="00804F09">
      <w:pPr>
        <w:ind w:left="567" w:right="616"/>
        <w:jc w:val="both"/>
        <w:rPr>
          <w:rFonts w:ascii="Palatino Linotype" w:hAnsi="Palatino Linotype" w:cs="Arial"/>
          <w:b/>
          <w:i/>
        </w:rPr>
      </w:pPr>
      <w:r w:rsidRPr="00691611">
        <w:rPr>
          <w:rFonts w:ascii="Palatino Linotype" w:hAnsi="Palatino Linotype" w:cs="Arial"/>
          <w:b/>
          <w:i/>
          <w:lang w:eastAsia="es-ES"/>
        </w:rPr>
        <w:t>REVISIÓN EN AMPARO DIRECTO. ES EXTEMPORÁNEO CUANDO SU ADMISIÓN SE BASA EN EL SUPUESTO DE "PRESUNCIÓN DE OPORTUNIDAD", POR LO QUE DEBE PROCEDER SU DESECHAMIENTO POR IMPROCEDENTE.</w:t>
      </w:r>
    </w:p>
    <w:p w14:paraId="4B13B8C6" w14:textId="77777777" w:rsidR="00AE4B84" w:rsidRPr="00691611" w:rsidRDefault="00AE4B84" w:rsidP="00804F09">
      <w:pPr>
        <w:ind w:left="567" w:right="616" w:firstLine="709"/>
        <w:rPr>
          <w:rFonts w:ascii="Palatino Linotype" w:hAnsi="Palatino Linotype" w:cs="Arial"/>
          <w:i/>
        </w:rPr>
      </w:pPr>
    </w:p>
    <w:p w14:paraId="4EA45A2C" w14:textId="54067F5F" w:rsidR="00AE4B84" w:rsidRPr="00691611" w:rsidRDefault="00AE4B84" w:rsidP="00804F09">
      <w:pPr>
        <w:ind w:left="567" w:right="616"/>
        <w:jc w:val="both"/>
        <w:rPr>
          <w:rFonts w:ascii="Palatino Linotype" w:hAnsi="Palatino Linotype" w:cs="Arial"/>
          <w:i/>
          <w:lang w:eastAsia="es-ES"/>
        </w:rPr>
      </w:pPr>
      <w:r w:rsidRPr="00691611">
        <w:rPr>
          <w:rFonts w:ascii="Palatino Linotype" w:hAnsi="Palatino Linotype" w:cs="Arial"/>
          <w:i/>
          <w:lang w:eastAsia="es-ES"/>
        </w:rPr>
        <w:t>Es extemporánea la interposición del recurso de revisión en amparo directo, cuando el escrito de agravios se presenta fuera del plazo de diez días previsto en el artículo </w:t>
      </w:r>
      <w:hyperlink r:id="rId8" w:history="1">
        <w:r w:rsidRPr="00691611">
          <w:rPr>
            <w:rFonts w:ascii="Palatino Linotype" w:hAnsi="Palatino Linotype" w:cs="Arial"/>
            <w:i/>
            <w:lang w:eastAsia="es-ES"/>
          </w:rPr>
          <w:t>86, párrafo primero, de la Ley de Amparo</w:t>
        </w:r>
      </w:hyperlink>
      <w:r w:rsidRPr="00691611">
        <w:rPr>
          <w:rFonts w:ascii="Palatino Linotype" w:hAnsi="Palatino Linotype" w:cs="Arial"/>
          <w:i/>
          <w:lang w:eastAsia="es-ES"/>
        </w:rPr>
        <w:t xml:space="preserve">,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w:t>
      </w:r>
      <w:r w:rsidRPr="00691611">
        <w:rPr>
          <w:rFonts w:ascii="Palatino Linotype" w:hAnsi="Palatino Linotype" w:cs="Arial"/>
          <w:i/>
          <w:lang w:eastAsia="es-ES"/>
        </w:rPr>
        <w:lastRenderedPageBreak/>
        <w:t>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9" w:history="1">
        <w:r w:rsidRPr="00691611">
          <w:rPr>
            <w:rFonts w:ascii="Palatino Linotype" w:hAnsi="Palatino Linotype" w:cs="Arial"/>
            <w:i/>
            <w:lang w:eastAsia="es-ES"/>
          </w:rPr>
          <w:t>68 de la Ley de Amparo</w:t>
        </w:r>
      </w:hyperlink>
      <w:r w:rsidRPr="00691611">
        <w:rPr>
          <w:rFonts w:ascii="Palatino Linotype" w:hAnsi="Palatino Linotype" w:cs="Arial"/>
          <w:i/>
          <w:lang w:eastAsia="es-ES"/>
        </w:rPr>
        <w:t xml:space="preserve">, por lo que si al </w:t>
      </w:r>
      <w:r w:rsidRPr="00691611">
        <w:rPr>
          <w:rFonts w:ascii="Palatino Linotype" w:hAnsi="Palatino Linotype" w:cs="Arial"/>
          <w:b/>
          <w:i/>
          <w:lang w:eastAsia="es-ES"/>
        </w:rPr>
        <w:t>reexaminar la temporalidad de la interposición del recurso se advierte que se hizo valer de forma extemporánea, debe proceder su desechamiento por improcedente</w:t>
      </w:r>
      <w:r w:rsidRPr="00691611">
        <w:rPr>
          <w:rFonts w:ascii="Palatino Linotype" w:hAnsi="Palatino Linotype" w:cs="Arial"/>
          <w:i/>
          <w:lang w:eastAsia="es-ES"/>
        </w:rPr>
        <w:t>.</w:t>
      </w:r>
    </w:p>
    <w:p w14:paraId="1851547A" w14:textId="77777777" w:rsidR="00804F09" w:rsidRPr="00691611" w:rsidRDefault="00804F09" w:rsidP="00804F09">
      <w:pPr>
        <w:ind w:right="616"/>
        <w:jc w:val="both"/>
        <w:rPr>
          <w:rFonts w:ascii="Palatino Linotype" w:hAnsi="Palatino Linotype" w:cs="Arial"/>
          <w:i/>
        </w:rPr>
      </w:pPr>
    </w:p>
    <w:p w14:paraId="12242673" w14:textId="77777777" w:rsidR="00AE4B84" w:rsidRPr="00691611" w:rsidRDefault="00AE4B84" w:rsidP="00804F09">
      <w:pPr>
        <w:ind w:left="567" w:right="616"/>
        <w:jc w:val="both"/>
        <w:rPr>
          <w:rFonts w:ascii="Palatino Linotype" w:hAnsi="Palatino Linotype" w:cs="Arial"/>
          <w:b/>
          <w:bCs/>
          <w:i/>
          <w:iCs/>
        </w:rPr>
      </w:pPr>
      <w:r w:rsidRPr="00691611">
        <w:rPr>
          <w:rFonts w:ascii="Palatino Linotype" w:hAnsi="Palatino Linotype" w:cs="Arial"/>
          <w:b/>
          <w:bCs/>
          <w:i/>
          <w:iCs/>
          <w:lang w:eastAsia="es-ES"/>
        </w:rPr>
        <w:t>(Énfasis Añadido)</w:t>
      </w:r>
    </w:p>
    <w:p w14:paraId="0FE3C2CD" w14:textId="77777777" w:rsidR="00AE4B84" w:rsidRPr="00691611"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691611"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691611">
        <w:rPr>
          <w:rFonts w:ascii="Palatino Linotype" w:hAnsi="Palatino Linotype"/>
          <w:color w:val="000000"/>
        </w:rPr>
        <w:t>Es por ello,</w:t>
      </w:r>
      <w:r w:rsidR="004D4CE7" w:rsidRPr="00691611">
        <w:rPr>
          <w:rFonts w:ascii="Palatino Linotype" w:hAnsi="Palatino Linotype"/>
          <w:color w:val="000000"/>
        </w:rPr>
        <w:t xml:space="preserve"> </w:t>
      </w:r>
      <w:r w:rsidR="00A5051E" w:rsidRPr="00691611">
        <w:rPr>
          <w:rFonts w:ascii="Palatino Linotype" w:hAnsi="Palatino Linotype"/>
          <w:color w:val="000000"/>
        </w:rPr>
        <w:t xml:space="preserve">que la Ley en la materia contempla que en los casos en que </w:t>
      </w:r>
      <w:r w:rsidRPr="00691611">
        <w:rPr>
          <w:rFonts w:ascii="Palatino Linotype" w:hAnsi="Palatino Linotype"/>
          <w:color w:val="000000"/>
        </w:rPr>
        <w:t xml:space="preserve">el recurso de revisión </w:t>
      </w:r>
      <w:r w:rsidR="00AE4B84" w:rsidRPr="00691611">
        <w:rPr>
          <w:rFonts w:ascii="Palatino Linotype" w:hAnsi="Palatino Linotype" w:cs="Arial"/>
          <w:lang w:val="es-ES_tradnl" w:eastAsia="es-ES"/>
        </w:rPr>
        <w:t xml:space="preserve">al ser interpuesto de manera extemporánea respecto del plazo otorgado </w:t>
      </w:r>
      <w:r w:rsidR="00AE4B84" w:rsidRPr="00691611">
        <w:rPr>
          <w:rFonts w:ascii="Palatino Linotype" w:hAnsi="Palatino Linotype" w:cs="Arial"/>
          <w:lang w:eastAsia="es-ES"/>
        </w:rPr>
        <w:t>para tales efectos</w:t>
      </w:r>
      <w:r w:rsidR="00AE4B84" w:rsidRPr="00691611">
        <w:rPr>
          <w:rFonts w:ascii="Palatino Linotype" w:hAnsi="Palatino Linotype"/>
          <w:lang w:eastAsia="es-ES_tradnl"/>
        </w:rPr>
        <w:t xml:space="preserve">, </w:t>
      </w:r>
      <w:r w:rsidR="00A5051E" w:rsidRPr="00691611">
        <w:rPr>
          <w:rFonts w:ascii="Palatino Linotype" w:hAnsi="Palatino Linotype"/>
          <w:lang w:eastAsia="es-ES_tradnl"/>
        </w:rPr>
        <w:t xml:space="preserve">deberá ser desechado </w:t>
      </w:r>
      <w:r w:rsidR="00AE4B84" w:rsidRPr="00691611">
        <w:rPr>
          <w:rFonts w:ascii="Palatino Linotype" w:hAnsi="Palatino Linotype"/>
          <w:lang w:eastAsia="es-ES_tradnl"/>
        </w:rPr>
        <w:t xml:space="preserve">de conformidad con lo señalado en </w:t>
      </w:r>
      <w:r w:rsidR="00A5051E" w:rsidRPr="00691611">
        <w:rPr>
          <w:rFonts w:ascii="Palatino Linotype" w:hAnsi="Palatino Linotype"/>
          <w:lang w:eastAsia="es-ES_tradnl"/>
        </w:rPr>
        <w:t>el</w:t>
      </w:r>
      <w:r w:rsidR="00AE4B84" w:rsidRPr="00691611">
        <w:rPr>
          <w:rFonts w:ascii="Palatino Linotype" w:hAnsi="Palatino Linotype"/>
          <w:lang w:eastAsia="es-ES_tradnl"/>
        </w:rPr>
        <w:t xml:space="preserve"> </w:t>
      </w:r>
      <w:r w:rsidR="00AE4B84" w:rsidRPr="00691611">
        <w:rPr>
          <w:rFonts w:ascii="Palatino Linotype" w:hAnsi="Palatino Linotype" w:cs="Arial"/>
          <w:lang w:val="es-ES_tradnl" w:eastAsia="es-ES"/>
        </w:rPr>
        <w:t>artículo</w:t>
      </w:r>
      <w:r w:rsidR="00A5051E" w:rsidRPr="00691611">
        <w:rPr>
          <w:rFonts w:ascii="Palatino Linotype" w:hAnsi="Palatino Linotype" w:cs="Arial"/>
          <w:lang w:val="es-ES_tradnl" w:eastAsia="es-ES"/>
        </w:rPr>
        <w:t xml:space="preserve"> </w:t>
      </w:r>
      <w:r w:rsidR="004D4CE7" w:rsidRPr="00691611">
        <w:rPr>
          <w:rFonts w:ascii="Palatino Linotype" w:hAnsi="Palatino Linotype" w:cs="Arial"/>
          <w:lang w:val="es-ES_tradnl" w:eastAsia="es-ES"/>
        </w:rPr>
        <w:t xml:space="preserve">191 fracción I </w:t>
      </w:r>
      <w:r w:rsidR="00AE4B84" w:rsidRPr="00691611">
        <w:rPr>
          <w:rFonts w:ascii="Palatino Linotype" w:hAnsi="Palatino Linotype" w:cs="Arial"/>
          <w:lang w:val="es-ES_tradnl" w:eastAsia="es-ES"/>
        </w:rPr>
        <w:t xml:space="preserve">de la </w:t>
      </w:r>
      <w:r w:rsidR="00AE4B84" w:rsidRPr="00691611">
        <w:rPr>
          <w:rFonts w:ascii="Palatino Linotype" w:eastAsia="Calibri" w:hAnsi="Palatino Linotype" w:cs="Arial"/>
          <w:lang w:eastAsia="es-ES"/>
        </w:rPr>
        <w:t>Ley de Transparencia y Acceso a la Información Pública del Estado de México y Municipios, mismo</w:t>
      </w:r>
      <w:r w:rsidR="004D4CE7" w:rsidRPr="00691611">
        <w:rPr>
          <w:rFonts w:ascii="Palatino Linotype" w:eastAsia="Calibri" w:hAnsi="Palatino Linotype" w:cs="Arial"/>
          <w:lang w:eastAsia="es-ES"/>
        </w:rPr>
        <w:t>s</w:t>
      </w:r>
      <w:r w:rsidR="00AE4B84" w:rsidRPr="00691611">
        <w:rPr>
          <w:rFonts w:ascii="Palatino Linotype" w:eastAsia="Calibri" w:hAnsi="Palatino Linotype" w:cs="Arial"/>
          <w:lang w:eastAsia="es-ES"/>
        </w:rPr>
        <w:t xml:space="preserve"> que se transcribe</w:t>
      </w:r>
      <w:r w:rsidR="004D4CE7" w:rsidRPr="00691611">
        <w:rPr>
          <w:rFonts w:ascii="Palatino Linotype" w:eastAsia="Calibri" w:hAnsi="Palatino Linotype" w:cs="Arial"/>
          <w:lang w:eastAsia="es-ES"/>
        </w:rPr>
        <w:t>n</w:t>
      </w:r>
      <w:r w:rsidR="00AE4B84" w:rsidRPr="00691611">
        <w:rPr>
          <w:rFonts w:ascii="Palatino Linotype" w:eastAsia="Calibri" w:hAnsi="Palatino Linotype" w:cs="Arial"/>
          <w:lang w:eastAsia="es-ES"/>
        </w:rPr>
        <w:t xml:space="preserve"> a continuación:</w:t>
      </w:r>
    </w:p>
    <w:p w14:paraId="4B36BDD1" w14:textId="77777777" w:rsidR="00AE4B84" w:rsidRPr="00691611" w:rsidRDefault="00AE4B84" w:rsidP="00AE4B84">
      <w:pPr>
        <w:tabs>
          <w:tab w:val="left" w:pos="426"/>
        </w:tabs>
        <w:spacing w:before="240" w:after="240" w:line="360" w:lineRule="auto"/>
        <w:contextualSpacing/>
        <w:jc w:val="both"/>
        <w:rPr>
          <w:rFonts w:ascii="Palatino Linotype" w:hAnsi="Palatino Linotype"/>
          <w:color w:val="000000"/>
        </w:rPr>
      </w:pPr>
    </w:p>
    <w:p w14:paraId="251D9D9C" w14:textId="3896FCF5" w:rsidR="004D4CE7" w:rsidRPr="00691611" w:rsidRDefault="00AE4B84" w:rsidP="00224440">
      <w:pPr>
        <w:spacing w:before="120"/>
        <w:ind w:left="567" w:right="539"/>
        <w:jc w:val="both"/>
        <w:rPr>
          <w:rFonts w:ascii="Palatino Linotype" w:hAnsi="Palatino Linotype" w:cs="Arial"/>
          <w:b/>
          <w:i/>
          <w:sz w:val="22"/>
          <w:szCs w:val="22"/>
          <w:u w:val="single"/>
          <w:lang w:eastAsia="es-ES"/>
        </w:rPr>
      </w:pPr>
      <w:r w:rsidRPr="00691611">
        <w:rPr>
          <w:rFonts w:ascii="Palatino Linotype" w:hAnsi="Palatino Linotype" w:cs="Arial"/>
          <w:i/>
          <w:sz w:val="22"/>
          <w:szCs w:val="22"/>
          <w:lang w:eastAsia="es-ES"/>
        </w:rPr>
        <w:t>“</w:t>
      </w:r>
      <w:r w:rsidR="004D4CE7" w:rsidRPr="00691611">
        <w:rPr>
          <w:rFonts w:ascii="Palatino Linotype" w:hAnsi="Palatino Linotype" w:cs="Arial"/>
          <w:b/>
          <w:bCs/>
          <w:i/>
          <w:sz w:val="22"/>
          <w:szCs w:val="22"/>
          <w:lang w:eastAsia="es-ES"/>
        </w:rPr>
        <w:t>Artículo 191.</w:t>
      </w:r>
      <w:r w:rsidR="004D4CE7" w:rsidRPr="00691611">
        <w:rPr>
          <w:rFonts w:ascii="Palatino Linotype" w:hAnsi="Palatino Linotype" w:cs="Arial"/>
          <w:i/>
          <w:sz w:val="22"/>
          <w:szCs w:val="22"/>
          <w:lang w:eastAsia="es-ES"/>
        </w:rPr>
        <w:t xml:space="preserve"> El recurso será </w:t>
      </w:r>
      <w:r w:rsidR="004D4CE7" w:rsidRPr="00691611">
        <w:rPr>
          <w:rFonts w:ascii="Palatino Linotype" w:hAnsi="Palatino Linotype" w:cs="Arial"/>
          <w:b/>
          <w:bCs/>
          <w:i/>
          <w:sz w:val="22"/>
          <w:szCs w:val="22"/>
          <w:lang w:eastAsia="es-ES"/>
        </w:rPr>
        <w:t>desechado por improcedente</w:t>
      </w:r>
      <w:r w:rsidR="004D4CE7" w:rsidRPr="00691611">
        <w:rPr>
          <w:rFonts w:ascii="Palatino Linotype" w:hAnsi="Palatino Linotype" w:cs="Arial"/>
          <w:i/>
          <w:sz w:val="22"/>
          <w:szCs w:val="22"/>
          <w:lang w:eastAsia="es-ES"/>
        </w:rPr>
        <w:t xml:space="preserve"> cuando:</w:t>
      </w:r>
    </w:p>
    <w:p w14:paraId="5B06464D" w14:textId="77777777" w:rsidR="004D4CE7" w:rsidRPr="00691611" w:rsidRDefault="004D4CE7" w:rsidP="00224440">
      <w:pPr>
        <w:spacing w:before="120"/>
        <w:ind w:left="567" w:right="539"/>
        <w:jc w:val="both"/>
        <w:rPr>
          <w:rFonts w:ascii="Palatino Linotype" w:hAnsi="Palatino Linotype" w:cs="Arial"/>
          <w:i/>
          <w:sz w:val="22"/>
          <w:szCs w:val="22"/>
          <w:lang w:eastAsia="es-ES"/>
        </w:rPr>
      </w:pPr>
      <w:r w:rsidRPr="00691611">
        <w:rPr>
          <w:rFonts w:ascii="Palatino Linotype" w:hAnsi="Palatino Linotype" w:cs="Arial"/>
          <w:i/>
          <w:sz w:val="22"/>
          <w:szCs w:val="22"/>
          <w:lang w:eastAsia="es-ES"/>
        </w:rPr>
        <w:t xml:space="preserve">I.Sea </w:t>
      </w:r>
      <w:r w:rsidRPr="00691611">
        <w:rPr>
          <w:rFonts w:ascii="Palatino Linotype" w:hAnsi="Palatino Linotype" w:cs="Arial"/>
          <w:b/>
          <w:bCs/>
          <w:i/>
          <w:sz w:val="22"/>
          <w:szCs w:val="22"/>
          <w:lang w:eastAsia="es-ES"/>
        </w:rPr>
        <w:t>extemporáneo</w:t>
      </w:r>
      <w:r w:rsidRPr="00691611">
        <w:rPr>
          <w:rFonts w:ascii="Palatino Linotype" w:hAnsi="Palatino Linotype" w:cs="Arial"/>
          <w:i/>
          <w:sz w:val="22"/>
          <w:szCs w:val="22"/>
          <w:lang w:eastAsia="es-ES"/>
        </w:rPr>
        <w:t xml:space="preserve"> por haber transcurrido el plazo establecido en la presente Ley, a partir de la respuesta;</w:t>
      </w:r>
    </w:p>
    <w:p w14:paraId="05853913" w14:textId="6BA913C2" w:rsidR="00AE4B84" w:rsidRPr="00691611" w:rsidRDefault="004D4CE7" w:rsidP="00224440">
      <w:pPr>
        <w:spacing w:before="120"/>
        <w:ind w:left="567" w:right="539"/>
        <w:jc w:val="both"/>
        <w:rPr>
          <w:rFonts w:ascii="Palatino Linotype" w:hAnsi="Palatino Linotype" w:cs="Arial"/>
          <w:i/>
          <w:sz w:val="22"/>
          <w:szCs w:val="22"/>
          <w:lang w:eastAsia="es-ES"/>
        </w:rPr>
      </w:pPr>
      <w:r w:rsidRPr="00691611">
        <w:rPr>
          <w:rFonts w:ascii="Palatino Linotype" w:hAnsi="Palatino Linotype" w:cs="Arial"/>
          <w:i/>
          <w:sz w:val="22"/>
          <w:szCs w:val="22"/>
          <w:lang w:eastAsia="es-ES"/>
        </w:rPr>
        <w:t>(…)</w:t>
      </w:r>
      <w:r w:rsidR="00AE4B84" w:rsidRPr="00691611">
        <w:rPr>
          <w:rFonts w:ascii="Palatino Linotype" w:hAnsi="Palatino Linotype" w:cs="Arial"/>
          <w:i/>
          <w:sz w:val="22"/>
          <w:szCs w:val="22"/>
          <w:lang w:eastAsia="es-ES"/>
        </w:rPr>
        <w:t>”</w:t>
      </w:r>
    </w:p>
    <w:p w14:paraId="5067F9C1" w14:textId="77777777" w:rsidR="00804F09" w:rsidRPr="00691611" w:rsidRDefault="00804F09" w:rsidP="00224440">
      <w:pPr>
        <w:spacing w:before="120"/>
        <w:ind w:left="567" w:right="539"/>
        <w:jc w:val="both"/>
        <w:rPr>
          <w:rFonts w:ascii="Palatino Linotype" w:hAnsi="Palatino Linotype" w:cs="Arial"/>
          <w:i/>
          <w:sz w:val="22"/>
          <w:szCs w:val="22"/>
        </w:rPr>
      </w:pPr>
    </w:p>
    <w:p w14:paraId="62EB3D41" w14:textId="77777777" w:rsidR="00AE4B84" w:rsidRPr="00691611" w:rsidRDefault="00AE4B84" w:rsidP="00224440">
      <w:pPr>
        <w:spacing w:before="120"/>
        <w:ind w:left="567" w:right="539"/>
        <w:jc w:val="both"/>
        <w:rPr>
          <w:rFonts w:ascii="Palatino Linotype" w:hAnsi="Palatino Linotype" w:cs="Arial"/>
          <w:b/>
          <w:bCs/>
          <w:i/>
          <w:sz w:val="22"/>
          <w:szCs w:val="22"/>
          <w:lang w:eastAsia="es-ES"/>
        </w:rPr>
      </w:pPr>
      <w:r w:rsidRPr="00691611">
        <w:rPr>
          <w:rFonts w:ascii="Palatino Linotype" w:hAnsi="Palatino Linotype" w:cs="Arial"/>
          <w:b/>
          <w:bCs/>
          <w:i/>
          <w:sz w:val="22"/>
          <w:szCs w:val="22"/>
          <w:lang w:eastAsia="es-ES"/>
        </w:rPr>
        <w:t>(Énfasis añadido)</w:t>
      </w:r>
    </w:p>
    <w:p w14:paraId="7599DF05" w14:textId="77777777" w:rsidR="00AE4B84" w:rsidRPr="00691611" w:rsidRDefault="00AE4B84" w:rsidP="00804F09">
      <w:pPr>
        <w:spacing w:before="120" w:line="360" w:lineRule="auto"/>
        <w:ind w:right="709"/>
        <w:jc w:val="both"/>
        <w:rPr>
          <w:rFonts w:ascii="Palatino Linotype" w:hAnsi="Palatino Linotype" w:cs="Arial"/>
        </w:rPr>
      </w:pPr>
    </w:p>
    <w:p w14:paraId="0688647F" w14:textId="261A6A80" w:rsidR="00CD24D6" w:rsidRPr="00691611"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691611">
        <w:rPr>
          <w:rFonts w:ascii="Palatino Linotype" w:hAnsi="Palatino Linotype"/>
          <w:color w:val="000000"/>
        </w:rPr>
        <w:t xml:space="preserve">Consecuentemente, </w:t>
      </w:r>
      <w:r w:rsidRPr="00691611">
        <w:rPr>
          <w:rFonts w:ascii="Palatino Linotype" w:hAnsi="Palatino Linotype" w:cs="Arial"/>
          <w:color w:val="000000"/>
        </w:rPr>
        <w:t xml:space="preserve">en términos del artículo 191, fracción I, de la Ley de Transparencia y Acceso a la Información Pública del Estado de México y Municipios, </w:t>
      </w:r>
      <w:r w:rsidRPr="00691611">
        <w:rPr>
          <w:rFonts w:ascii="Palatino Linotype" w:hAnsi="Palatino Linotype" w:cs="Arial"/>
          <w:color w:val="000000"/>
        </w:rPr>
        <w:lastRenderedPageBreak/>
        <w:t xml:space="preserve">este Instituto </w:t>
      </w:r>
      <w:r w:rsidRPr="00691611">
        <w:rPr>
          <w:rFonts w:ascii="Palatino Linotype" w:eastAsia="Calibri" w:hAnsi="Palatino Linotype"/>
          <w:lang w:val="es-CO"/>
        </w:rPr>
        <w:t xml:space="preserve">determina el </w:t>
      </w:r>
      <w:r w:rsidRPr="00691611">
        <w:rPr>
          <w:rFonts w:ascii="Palatino Linotype" w:eastAsia="Calibri" w:hAnsi="Palatino Linotype"/>
          <w:b/>
          <w:lang w:val="es-CO"/>
        </w:rPr>
        <w:t xml:space="preserve">SOBRESEIMIENTO </w:t>
      </w:r>
      <w:r w:rsidRPr="00691611">
        <w:rPr>
          <w:rFonts w:ascii="Palatino Linotype" w:eastAsia="Calibri" w:hAnsi="Palatino Linotype"/>
          <w:lang w:val="es-CO"/>
        </w:rPr>
        <w:t>del presente recurso de revisión,</w:t>
      </w:r>
      <w:r w:rsidRPr="00691611">
        <w:rPr>
          <w:rFonts w:ascii="Palatino Linotype" w:hAnsi="Palatino Linotype"/>
        </w:rPr>
        <w:t xml:space="preserve"> por</w:t>
      </w:r>
      <w:r w:rsidRPr="00691611">
        <w:rPr>
          <w:rFonts w:ascii="Palatino Linotype" w:hAnsi="Palatino Linotype"/>
          <w:spacing w:val="1"/>
        </w:rPr>
        <w:t xml:space="preserve"> </w:t>
      </w:r>
      <w:r w:rsidRPr="00691611">
        <w:rPr>
          <w:rFonts w:ascii="Palatino Linotype" w:hAnsi="Palatino Linotype"/>
        </w:rPr>
        <w:t>resultar</w:t>
      </w:r>
      <w:r w:rsidRPr="00691611">
        <w:rPr>
          <w:rFonts w:ascii="Palatino Linotype" w:hAnsi="Palatino Linotype"/>
          <w:spacing w:val="1"/>
        </w:rPr>
        <w:t xml:space="preserve"> </w:t>
      </w:r>
      <w:r w:rsidRPr="00691611">
        <w:rPr>
          <w:rFonts w:ascii="Palatino Linotype" w:hAnsi="Palatino Linotype"/>
        </w:rPr>
        <w:t xml:space="preserve">improcedente, de acuerdo con el artículo 192 </w:t>
      </w:r>
      <w:r w:rsidR="00071DC1" w:rsidRPr="00691611">
        <w:rPr>
          <w:rFonts w:ascii="Palatino Linotype" w:hAnsi="Palatino Linotype"/>
        </w:rPr>
        <w:t>fracción</w:t>
      </w:r>
      <w:r w:rsidRPr="00691611">
        <w:rPr>
          <w:rFonts w:ascii="Palatino Linotype" w:hAnsi="Palatino Linotype"/>
        </w:rPr>
        <w:t xml:space="preserve"> IV de la misma Ley.</w:t>
      </w:r>
    </w:p>
    <w:p w14:paraId="60A9C2F5" w14:textId="77777777" w:rsidR="00804F09" w:rsidRPr="00691611" w:rsidRDefault="00804F09" w:rsidP="00804F09">
      <w:pPr>
        <w:spacing w:before="240" w:after="240" w:line="360" w:lineRule="auto"/>
        <w:contextualSpacing/>
        <w:jc w:val="both"/>
        <w:rPr>
          <w:rFonts w:ascii="Palatino Linotype" w:hAnsi="Palatino Linotype"/>
          <w:color w:val="000000"/>
        </w:rPr>
      </w:pPr>
    </w:p>
    <w:p w14:paraId="1D204364" w14:textId="1ECDDB3C" w:rsidR="00CD24D6" w:rsidRPr="00691611" w:rsidRDefault="00CD24D6" w:rsidP="006C78A4">
      <w:pPr>
        <w:spacing w:before="240" w:after="240"/>
        <w:ind w:left="567" w:right="539"/>
        <w:contextualSpacing/>
        <w:jc w:val="both"/>
        <w:rPr>
          <w:rFonts w:ascii="Palatino Linotype" w:hAnsi="Palatino Linotype"/>
          <w:i/>
          <w:iCs/>
          <w:sz w:val="22"/>
          <w:szCs w:val="22"/>
        </w:rPr>
      </w:pPr>
      <w:r w:rsidRPr="00691611">
        <w:rPr>
          <w:rFonts w:ascii="Palatino Linotype" w:hAnsi="Palatino Linotype"/>
          <w:i/>
          <w:iCs/>
          <w:sz w:val="22"/>
          <w:szCs w:val="22"/>
        </w:rPr>
        <w:t>“</w:t>
      </w:r>
      <w:r w:rsidRPr="00691611">
        <w:rPr>
          <w:rFonts w:ascii="Palatino Linotype" w:hAnsi="Palatino Linotype"/>
          <w:b/>
          <w:bCs/>
          <w:i/>
          <w:iCs/>
          <w:sz w:val="22"/>
          <w:szCs w:val="22"/>
        </w:rPr>
        <w:t>Artículo 192.</w:t>
      </w:r>
      <w:r w:rsidRPr="00691611">
        <w:rPr>
          <w:rFonts w:ascii="Palatino Linotype" w:hAnsi="Palatino Linotype"/>
          <w:i/>
          <w:iCs/>
          <w:sz w:val="22"/>
          <w:szCs w:val="22"/>
        </w:rPr>
        <w:t xml:space="preserve"> El recurso será </w:t>
      </w:r>
      <w:r w:rsidRPr="00691611">
        <w:rPr>
          <w:rFonts w:ascii="Palatino Linotype" w:hAnsi="Palatino Linotype"/>
          <w:b/>
          <w:bCs/>
          <w:i/>
          <w:iCs/>
          <w:sz w:val="22"/>
          <w:szCs w:val="22"/>
        </w:rPr>
        <w:t>sobreseído</w:t>
      </w:r>
      <w:r w:rsidR="006C78A4" w:rsidRPr="00691611">
        <w:rPr>
          <w:rFonts w:ascii="Palatino Linotype" w:hAnsi="Palatino Linotype"/>
          <w:i/>
          <w:iCs/>
          <w:sz w:val="22"/>
          <w:szCs w:val="22"/>
        </w:rPr>
        <w:t>, en todo o parte, cuando una vez admitido, se actualicen alguno de los siguientes supuestos:</w:t>
      </w:r>
    </w:p>
    <w:p w14:paraId="5A605ED8" w14:textId="71AC6583" w:rsidR="006C78A4" w:rsidRPr="00691611" w:rsidRDefault="006C78A4" w:rsidP="006C78A4">
      <w:pPr>
        <w:spacing w:before="240" w:after="240"/>
        <w:ind w:left="567" w:right="539"/>
        <w:contextualSpacing/>
        <w:jc w:val="both"/>
        <w:rPr>
          <w:rFonts w:ascii="Palatino Linotype" w:hAnsi="Palatino Linotype"/>
          <w:i/>
          <w:iCs/>
          <w:sz w:val="22"/>
          <w:szCs w:val="22"/>
        </w:rPr>
      </w:pPr>
      <w:r w:rsidRPr="00691611">
        <w:rPr>
          <w:rFonts w:ascii="Palatino Linotype" w:hAnsi="Palatino Linotype"/>
          <w:i/>
          <w:iCs/>
          <w:sz w:val="22"/>
          <w:szCs w:val="22"/>
        </w:rPr>
        <w:t>(…)</w:t>
      </w:r>
    </w:p>
    <w:p w14:paraId="2FAFC94E" w14:textId="754E8E4F" w:rsidR="006C78A4" w:rsidRPr="00691611" w:rsidRDefault="00CD24D6" w:rsidP="006C78A4">
      <w:pPr>
        <w:spacing w:before="240" w:after="240"/>
        <w:ind w:left="567" w:right="539"/>
        <w:contextualSpacing/>
        <w:jc w:val="both"/>
        <w:rPr>
          <w:rFonts w:ascii="Palatino Linotype" w:hAnsi="Palatino Linotype"/>
          <w:b/>
          <w:bCs/>
          <w:i/>
          <w:iCs/>
          <w:sz w:val="22"/>
          <w:szCs w:val="22"/>
        </w:rPr>
      </w:pPr>
      <w:r w:rsidRPr="00691611">
        <w:rPr>
          <w:rFonts w:ascii="Palatino Linotype" w:hAnsi="Palatino Linotype"/>
          <w:b/>
          <w:bCs/>
          <w:i/>
          <w:iCs/>
          <w:sz w:val="22"/>
          <w:szCs w:val="22"/>
        </w:rPr>
        <w:t xml:space="preserve">IV. </w:t>
      </w:r>
      <w:r w:rsidR="006C78A4" w:rsidRPr="00691611">
        <w:rPr>
          <w:rFonts w:ascii="Palatino Linotype" w:hAnsi="Palatino Linotype"/>
          <w:b/>
          <w:bCs/>
          <w:i/>
          <w:iCs/>
          <w:sz w:val="22"/>
          <w:szCs w:val="22"/>
        </w:rPr>
        <w:t xml:space="preserve"> Admitido el recurso de revisión, aparezca alguna causal de improcedencia en los términos de la presente Ley; y</w:t>
      </w:r>
    </w:p>
    <w:p w14:paraId="67FC708B" w14:textId="58C5D47C" w:rsidR="00CD24D6" w:rsidRPr="00691611" w:rsidRDefault="006C78A4" w:rsidP="006C78A4">
      <w:pPr>
        <w:spacing w:before="240" w:after="240"/>
        <w:ind w:left="567" w:right="539"/>
        <w:contextualSpacing/>
        <w:jc w:val="both"/>
        <w:rPr>
          <w:rFonts w:ascii="Palatino Linotype" w:hAnsi="Palatino Linotype"/>
          <w:i/>
          <w:iCs/>
          <w:sz w:val="22"/>
          <w:szCs w:val="22"/>
        </w:rPr>
      </w:pPr>
      <w:r w:rsidRPr="00691611">
        <w:rPr>
          <w:rFonts w:ascii="Palatino Linotype" w:hAnsi="Palatino Linotype"/>
          <w:i/>
          <w:iCs/>
          <w:sz w:val="22"/>
          <w:szCs w:val="22"/>
        </w:rPr>
        <w:t>(…)”</w:t>
      </w:r>
    </w:p>
    <w:p w14:paraId="3875835F" w14:textId="77777777" w:rsidR="006C78A4" w:rsidRPr="00691611" w:rsidRDefault="006C78A4" w:rsidP="00804F09">
      <w:pPr>
        <w:spacing w:before="240" w:after="240"/>
        <w:ind w:right="539"/>
        <w:contextualSpacing/>
        <w:jc w:val="both"/>
        <w:rPr>
          <w:rFonts w:ascii="Palatino Linotype" w:hAnsi="Palatino Linotype"/>
          <w:i/>
          <w:iCs/>
          <w:sz w:val="22"/>
          <w:szCs w:val="22"/>
        </w:rPr>
      </w:pPr>
    </w:p>
    <w:p w14:paraId="68A4C549" w14:textId="5F9F0DD5" w:rsidR="006C78A4" w:rsidRPr="00691611" w:rsidRDefault="006C78A4" w:rsidP="006C78A4">
      <w:pPr>
        <w:spacing w:before="240" w:after="240"/>
        <w:ind w:left="567" w:right="539"/>
        <w:contextualSpacing/>
        <w:jc w:val="both"/>
        <w:rPr>
          <w:rFonts w:ascii="Palatino Linotype" w:hAnsi="Palatino Linotype"/>
          <w:b/>
          <w:bCs/>
          <w:i/>
          <w:iCs/>
          <w:sz w:val="22"/>
          <w:szCs w:val="22"/>
        </w:rPr>
      </w:pPr>
      <w:r w:rsidRPr="00691611">
        <w:rPr>
          <w:rFonts w:ascii="Palatino Linotype" w:hAnsi="Palatino Linotype"/>
          <w:b/>
          <w:bCs/>
          <w:i/>
          <w:iCs/>
          <w:sz w:val="22"/>
          <w:szCs w:val="22"/>
        </w:rPr>
        <w:t>(Énfasis añadido)</w:t>
      </w:r>
    </w:p>
    <w:p w14:paraId="73E29239" w14:textId="77777777" w:rsidR="006C78A4" w:rsidRPr="00691611" w:rsidRDefault="006C78A4" w:rsidP="00CD24D6">
      <w:pPr>
        <w:spacing w:before="240" w:after="240" w:line="360" w:lineRule="auto"/>
        <w:contextualSpacing/>
        <w:jc w:val="both"/>
        <w:rPr>
          <w:rFonts w:ascii="Palatino Linotype" w:hAnsi="Palatino Linotype"/>
          <w:color w:val="000000"/>
        </w:rPr>
      </w:pPr>
    </w:p>
    <w:p w14:paraId="2B0DBF0D" w14:textId="65B3960F" w:rsidR="00AE4B84" w:rsidRPr="00691611"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691611">
        <w:rPr>
          <w:rFonts w:ascii="Palatino Linotype" w:eastAsia="Calibri" w:hAnsi="Palatino Linotype" w:cs="Arial"/>
          <w:lang w:eastAsia="es-ES"/>
        </w:rPr>
        <w:t>Finalmente, es de precisar que se dejan a salvo los derechos de</w:t>
      </w:r>
      <w:r w:rsidR="00224440" w:rsidRPr="00691611">
        <w:rPr>
          <w:rFonts w:ascii="Palatino Linotype" w:eastAsia="Calibri" w:hAnsi="Palatino Linotype" w:cs="Arial"/>
          <w:lang w:eastAsia="es-ES"/>
        </w:rPr>
        <w:t>l</w:t>
      </w:r>
      <w:r w:rsidRPr="00691611">
        <w:rPr>
          <w:rFonts w:ascii="Palatino Linotype" w:eastAsia="Calibri" w:hAnsi="Palatino Linotype" w:cs="Arial"/>
          <w:lang w:eastAsia="es-ES"/>
        </w:rPr>
        <w:t xml:space="preserve"> </w:t>
      </w:r>
      <w:r w:rsidRPr="00691611">
        <w:rPr>
          <w:rFonts w:ascii="Palatino Linotype" w:eastAsia="Calibri" w:hAnsi="Palatino Linotype" w:cs="Arial"/>
          <w:b/>
          <w:lang w:eastAsia="es-ES"/>
        </w:rPr>
        <w:t>R</w:t>
      </w:r>
      <w:r w:rsidR="00224440" w:rsidRPr="00691611">
        <w:rPr>
          <w:rFonts w:ascii="Palatino Linotype" w:eastAsia="Calibri" w:hAnsi="Palatino Linotype" w:cs="Arial"/>
          <w:b/>
          <w:lang w:eastAsia="es-ES"/>
        </w:rPr>
        <w:t>ecurrente</w:t>
      </w:r>
      <w:r w:rsidRPr="00691611">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691611" w:rsidRDefault="00AE4B84" w:rsidP="00AE4B84">
      <w:pPr>
        <w:tabs>
          <w:tab w:val="left" w:pos="426"/>
        </w:tabs>
        <w:spacing w:before="240" w:after="240" w:line="360" w:lineRule="auto"/>
        <w:contextualSpacing/>
        <w:jc w:val="both"/>
        <w:rPr>
          <w:rFonts w:ascii="Palatino Linotype" w:hAnsi="Palatino Linotype"/>
          <w:color w:val="000000"/>
        </w:rPr>
      </w:pPr>
    </w:p>
    <w:p w14:paraId="527392A1" w14:textId="08BB202C" w:rsidR="00AE4B84" w:rsidRPr="00691611"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691611">
        <w:rPr>
          <w:rFonts w:ascii="Palatino Linotype" w:hAnsi="Palatino Linotype"/>
          <w:lang w:val="es-ES"/>
        </w:rPr>
        <w:t xml:space="preserve">Por lo anteriormente expuesto y fundado, este </w:t>
      </w:r>
      <w:r w:rsidRPr="00691611">
        <w:rPr>
          <w:rFonts w:ascii="Palatino Linotype" w:hAnsi="Palatino Linotype"/>
          <w:b/>
          <w:bCs/>
          <w:lang w:val="es-ES"/>
        </w:rPr>
        <w:t>ÓRGANO GARANTE</w:t>
      </w:r>
      <w:r w:rsidRPr="00691611">
        <w:rPr>
          <w:rFonts w:ascii="Palatino Linotype" w:hAnsi="Palatino Linotype"/>
          <w:lang w:val="es-ES"/>
        </w:rPr>
        <w:t xml:space="preserve"> emite los siguientes:</w:t>
      </w:r>
    </w:p>
    <w:p w14:paraId="36CD0155" w14:textId="77777777" w:rsidR="00AE4B84" w:rsidRPr="00691611" w:rsidRDefault="00AE4B84" w:rsidP="00AE4B84">
      <w:pPr>
        <w:keepNext/>
        <w:keepLines/>
        <w:spacing w:before="240" w:line="360" w:lineRule="auto"/>
        <w:jc w:val="center"/>
        <w:outlineLvl w:val="0"/>
        <w:rPr>
          <w:rFonts w:ascii="Palatino Linotype" w:eastAsia="MS Gothic" w:hAnsi="Palatino Linotype"/>
          <w:color w:val="000000"/>
        </w:rPr>
      </w:pPr>
      <w:bookmarkStart w:id="6" w:name="_Toc475014715"/>
      <w:bookmarkStart w:id="7" w:name="_Toc475381194"/>
      <w:bookmarkStart w:id="8" w:name="_Toc490155969"/>
      <w:bookmarkStart w:id="9" w:name="_Toc490734332"/>
      <w:bookmarkStart w:id="10" w:name="_Toc491854740"/>
      <w:bookmarkStart w:id="11" w:name="_Toc494991893"/>
      <w:bookmarkStart w:id="12" w:name="_Toc29544442"/>
      <w:r w:rsidRPr="00691611">
        <w:rPr>
          <w:rFonts w:ascii="Palatino Linotype" w:eastAsia="MS Gothic" w:hAnsi="Palatino Linotype"/>
          <w:b/>
          <w:color w:val="000000"/>
          <w:lang w:val="es-ES" w:eastAsia="es-ES"/>
        </w:rPr>
        <w:t>R E S O L U T I V O S</w:t>
      </w:r>
      <w:bookmarkEnd w:id="6"/>
      <w:bookmarkEnd w:id="7"/>
      <w:bookmarkEnd w:id="8"/>
      <w:bookmarkEnd w:id="9"/>
      <w:bookmarkEnd w:id="10"/>
      <w:bookmarkEnd w:id="11"/>
      <w:bookmarkEnd w:id="12"/>
    </w:p>
    <w:p w14:paraId="71B8E15C" w14:textId="77777777" w:rsidR="00AE4B84" w:rsidRPr="00691611" w:rsidRDefault="00AE4B84" w:rsidP="00AE4B84">
      <w:pPr>
        <w:spacing w:line="360" w:lineRule="auto"/>
        <w:rPr>
          <w:rFonts w:ascii="Palatino Linotype" w:eastAsia="MS Mincho" w:hAnsi="Palatino Linotype"/>
        </w:rPr>
      </w:pPr>
    </w:p>
    <w:p w14:paraId="5CAA6B33" w14:textId="7D4123F0" w:rsidR="00AE4B84" w:rsidRPr="00691611" w:rsidRDefault="00AE4B84" w:rsidP="0014208C">
      <w:pPr>
        <w:spacing w:line="360" w:lineRule="auto"/>
        <w:jc w:val="both"/>
        <w:rPr>
          <w:rFonts w:ascii="Palatino Linotype" w:eastAsia="MS Mincho" w:hAnsi="Palatino Linotype" w:cs="Arial"/>
          <w:lang w:val="es-ES_tradnl" w:eastAsia="es-ES"/>
        </w:rPr>
      </w:pPr>
      <w:r w:rsidRPr="00691611">
        <w:rPr>
          <w:rFonts w:ascii="Palatino Linotype" w:eastAsia="MS Mincho" w:hAnsi="Palatino Linotype" w:cs="Arial"/>
          <w:b/>
          <w:lang w:val="es-ES_tradnl" w:eastAsia="es-ES"/>
        </w:rPr>
        <w:t>PRIMERO</w:t>
      </w:r>
      <w:r w:rsidRPr="00691611">
        <w:rPr>
          <w:rFonts w:ascii="Palatino Linotype" w:eastAsia="MS Mincho" w:hAnsi="Palatino Linotype" w:cs="Arial"/>
          <w:lang w:val="es-ES_tradnl" w:eastAsia="es-ES"/>
        </w:rPr>
        <w:t xml:space="preserve">. Se </w:t>
      </w:r>
      <w:r w:rsidR="006C78A4" w:rsidRPr="00691611">
        <w:rPr>
          <w:rFonts w:ascii="Palatino Linotype" w:eastAsia="MS Mincho" w:hAnsi="Palatino Linotype" w:cs="Arial"/>
          <w:b/>
          <w:lang w:val="es-ES_tradnl" w:eastAsia="es-ES"/>
        </w:rPr>
        <w:t xml:space="preserve">SOBRESEE </w:t>
      </w:r>
      <w:r w:rsidR="0014208C" w:rsidRPr="00691611">
        <w:rPr>
          <w:rFonts w:ascii="Palatino Linotype" w:eastAsia="MS Mincho" w:hAnsi="Palatino Linotype" w:cs="Arial"/>
          <w:lang w:val="es-ES_tradnl" w:eastAsia="es-ES"/>
        </w:rPr>
        <w:t>el recurso de revisión</w:t>
      </w:r>
      <w:r w:rsidR="00071DC1" w:rsidRPr="00691611">
        <w:rPr>
          <w:rFonts w:ascii="Palatino Linotype" w:eastAsia="MS Mincho" w:hAnsi="Palatino Linotype" w:cs="Arial"/>
          <w:b/>
          <w:lang w:val="es-ES_tradnl" w:eastAsia="es-ES"/>
        </w:rPr>
        <w:t xml:space="preserve"> </w:t>
      </w:r>
      <w:r w:rsidR="004F6CEE" w:rsidRPr="00691611">
        <w:rPr>
          <w:rFonts w:ascii="Palatino Linotype" w:eastAsia="MS Mincho" w:hAnsi="Palatino Linotype" w:cs="Arial"/>
          <w:b/>
          <w:lang w:val="es-ES_tradnl" w:eastAsia="es-ES"/>
        </w:rPr>
        <w:t>03438</w:t>
      </w:r>
      <w:r w:rsidR="0014208C" w:rsidRPr="00691611">
        <w:rPr>
          <w:rFonts w:ascii="Palatino Linotype" w:eastAsia="MS Mincho" w:hAnsi="Palatino Linotype" w:cs="Arial"/>
          <w:b/>
          <w:lang w:val="es-ES_tradnl" w:eastAsia="es-ES"/>
        </w:rPr>
        <w:t>/INFOEM/IP/RR/2022</w:t>
      </w:r>
      <w:r w:rsidR="0014208C" w:rsidRPr="00691611">
        <w:rPr>
          <w:rFonts w:ascii="Palatino Linotype" w:eastAsia="MS Mincho" w:hAnsi="Palatino Linotype" w:cs="Arial"/>
          <w:lang w:val="es-ES_tradnl" w:eastAsia="es-ES"/>
        </w:rPr>
        <w:t xml:space="preserve">, </w:t>
      </w:r>
      <w:r w:rsidR="00AB2087" w:rsidRPr="00691611">
        <w:rPr>
          <w:rFonts w:ascii="Palatino Linotype" w:eastAsia="MS Mincho" w:hAnsi="Palatino Linotype" w:cs="Arial"/>
          <w:lang w:val="es-ES_tradnl" w:eastAsia="es-ES"/>
        </w:rPr>
        <w:t xml:space="preserve">conforme al artículo 192 fracción IV, en relación con el </w:t>
      </w:r>
      <w:r w:rsidR="0014208C" w:rsidRPr="00691611">
        <w:rPr>
          <w:rFonts w:ascii="Palatino Linotype" w:eastAsia="MS Mincho" w:hAnsi="Palatino Linotype" w:cs="Arial"/>
          <w:lang w:val="es-ES_tradnl" w:eastAsia="es-ES"/>
        </w:rPr>
        <w:t>artículo 191</w:t>
      </w:r>
      <w:r w:rsidR="00AB2087" w:rsidRPr="00691611">
        <w:rPr>
          <w:rFonts w:ascii="Palatino Linotype" w:eastAsia="MS Mincho" w:hAnsi="Palatino Linotype" w:cs="Arial"/>
          <w:lang w:val="es-ES_tradnl" w:eastAsia="es-ES"/>
        </w:rPr>
        <w:t xml:space="preserve"> fracción I </w:t>
      </w:r>
      <w:r w:rsidR="0014208C" w:rsidRPr="00691611">
        <w:rPr>
          <w:rFonts w:ascii="Palatino Linotype" w:eastAsia="MS Mincho" w:hAnsi="Palatino Linotype" w:cs="Arial"/>
          <w:lang w:val="es-ES_tradnl" w:eastAsia="es-ES"/>
        </w:rPr>
        <w:t>de la Ley de Transparencia y Acceso a la Información Pública del Estado de México y Municipios, en términos del Considerando</w:t>
      </w:r>
      <w:r w:rsidRPr="00691611">
        <w:rPr>
          <w:rFonts w:ascii="Palatino Linotype" w:eastAsia="MS Mincho" w:hAnsi="Palatino Linotype" w:cs="Arial"/>
          <w:lang w:val="es-ES_tradnl" w:eastAsia="es-ES"/>
        </w:rPr>
        <w:t xml:space="preserve"> </w:t>
      </w:r>
      <w:r w:rsidR="0014208C" w:rsidRPr="00691611">
        <w:rPr>
          <w:rFonts w:ascii="Palatino Linotype" w:eastAsia="MS Mincho" w:hAnsi="Palatino Linotype" w:cs="Arial"/>
          <w:b/>
          <w:lang w:val="es-ES_tradnl" w:eastAsia="es-ES"/>
        </w:rPr>
        <w:t>Segundo</w:t>
      </w:r>
      <w:r w:rsidRPr="00691611">
        <w:rPr>
          <w:rFonts w:ascii="Palatino Linotype" w:eastAsia="MS Mincho" w:hAnsi="Palatino Linotype" w:cs="Arial"/>
          <w:b/>
          <w:lang w:val="es-ES_tradnl" w:eastAsia="es-ES"/>
        </w:rPr>
        <w:t xml:space="preserve"> </w:t>
      </w:r>
      <w:r w:rsidR="0014208C" w:rsidRPr="00691611">
        <w:rPr>
          <w:rFonts w:ascii="Palatino Linotype" w:eastAsia="MS Mincho" w:hAnsi="Palatino Linotype" w:cs="Arial"/>
          <w:lang w:val="es-ES_tradnl" w:eastAsia="es-ES"/>
        </w:rPr>
        <w:t>de la presente R</w:t>
      </w:r>
      <w:r w:rsidRPr="00691611">
        <w:rPr>
          <w:rFonts w:ascii="Palatino Linotype" w:eastAsia="MS Mincho" w:hAnsi="Palatino Linotype" w:cs="Arial"/>
          <w:lang w:val="es-ES_tradnl" w:eastAsia="es-ES"/>
        </w:rPr>
        <w:t>esolución.</w:t>
      </w:r>
    </w:p>
    <w:p w14:paraId="10DF6935" w14:textId="77777777" w:rsidR="00AE4B84" w:rsidRPr="00691611" w:rsidRDefault="00AE4B84" w:rsidP="00AE4B84">
      <w:pPr>
        <w:spacing w:line="360" w:lineRule="auto"/>
        <w:jc w:val="both"/>
        <w:rPr>
          <w:rFonts w:ascii="Palatino Linotype" w:eastAsia="MS Mincho" w:hAnsi="Palatino Linotype" w:cs="Arial"/>
          <w:b/>
          <w:bCs/>
          <w:lang w:val="es-ES_tradnl"/>
        </w:rPr>
      </w:pPr>
    </w:p>
    <w:p w14:paraId="65D3DC63" w14:textId="77777777" w:rsidR="00AE4B84" w:rsidRPr="00691611" w:rsidRDefault="00AE4B84" w:rsidP="00AE4B84">
      <w:pPr>
        <w:spacing w:line="360" w:lineRule="auto"/>
        <w:jc w:val="both"/>
        <w:rPr>
          <w:rFonts w:ascii="Palatino Linotype" w:hAnsi="Palatino Linotype"/>
          <w:b/>
          <w:shd w:val="clear" w:color="auto" w:fill="FFFFFF"/>
          <w:lang w:val="es-ES_tradnl"/>
        </w:rPr>
      </w:pPr>
      <w:r w:rsidRPr="00691611">
        <w:rPr>
          <w:rFonts w:ascii="Palatino Linotype" w:eastAsia="MS Mincho" w:hAnsi="Palatino Linotype" w:cs="Arial"/>
          <w:b/>
          <w:lang w:val="es-ES_tradnl" w:eastAsia="es-ES"/>
        </w:rPr>
        <w:t xml:space="preserve">SEGUNDO. </w:t>
      </w:r>
      <w:r w:rsidRPr="00691611">
        <w:rPr>
          <w:rFonts w:ascii="Palatino Linotype" w:eastAsia="MS Gothic" w:hAnsi="Palatino Linotype"/>
          <w:b/>
          <w:lang w:val="es-ES_tradnl" w:eastAsia="es-ES"/>
        </w:rPr>
        <w:t xml:space="preserve">REMÍTASE, </w:t>
      </w:r>
      <w:r w:rsidRPr="00691611">
        <w:rPr>
          <w:rFonts w:ascii="Palatino Linotype" w:hAnsi="Palatino Linotype"/>
          <w:lang w:val="es-ES" w:eastAsia="es-ES"/>
        </w:rPr>
        <w:t xml:space="preserve">vía </w:t>
      </w:r>
      <w:r w:rsidRPr="00691611">
        <w:rPr>
          <w:rFonts w:ascii="Palatino Linotype" w:hAnsi="Palatino Linotype"/>
          <w:lang w:val="es-ES_tradnl" w:eastAsia="es-ES"/>
        </w:rPr>
        <w:t>Sistema de Acceso a Información Mexiquense, (</w:t>
      </w:r>
      <w:r w:rsidRPr="00691611">
        <w:rPr>
          <w:rFonts w:ascii="Palatino Linotype" w:hAnsi="Palatino Linotype"/>
          <w:b/>
          <w:lang w:val="es-ES_tradnl" w:eastAsia="es-ES"/>
        </w:rPr>
        <w:t>SAIMEX)</w:t>
      </w:r>
      <w:r w:rsidRPr="00691611">
        <w:rPr>
          <w:rFonts w:ascii="Palatino Linotype" w:eastAsia="MS Gothic" w:hAnsi="Palatino Linotype"/>
          <w:b/>
          <w:lang w:val="es-ES_tradnl" w:eastAsia="es-ES"/>
        </w:rPr>
        <w:t xml:space="preserve">, </w:t>
      </w:r>
      <w:r w:rsidRPr="00691611">
        <w:rPr>
          <w:rFonts w:ascii="Palatino Linotype" w:eastAsia="MS Gothic" w:hAnsi="Palatino Linotype"/>
          <w:lang w:val="es-ES_tradnl" w:eastAsia="es-ES"/>
        </w:rPr>
        <w:t xml:space="preserve">la presente resolución al Titular de la Unidad de Transparencia </w:t>
      </w:r>
      <w:r w:rsidRPr="00691611">
        <w:rPr>
          <w:rFonts w:ascii="Palatino Linotype" w:hAnsi="Palatino Linotype"/>
          <w:color w:val="222222"/>
          <w:shd w:val="clear" w:color="auto" w:fill="FFFFFF"/>
          <w:lang w:val="es-ES_tradnl"/>
        </w:rPr>
        <w:t xml:space="preserve">del </w:t>
      </w:r>
      <w:r w:rsidRPr="00691611">
        <w:rPr>
          <w:rFonts w:ascii="Palatino Linotype" w:hAnsi="Palatino Linotype"/>
          <w:b/>
          <w:shd w:val="clear" w:color="auto" w:fill="FFFFFF"/>
          <w:lang w:val="es-ES_tradnl"/>
        </w:rPr>
        <w:t>SUJETO OBLIGADO.</w:t>
      </w:r>
    </w:p>
    <w:p w14:paraId="6DDF49DE" w14:textId="77777777" w:rsidR="00AB2087" w:rsidRPr="00691611" w:rsidRDefault="00AB2087" w:rsidP="00AE4B84">
      <w:pPr>
        <w:spacing w:line="360" w:lineRule="auto"/>
        <w:jc w:val="both"/>
        <w:rPr>
          <w:rFonts w:ascii="Palatino Linotype" w:hAnsi="Palatino Linotype"/>
          <w:color w:val="222222"/>
          <w:shd w:val="clear" w:color="auto" w:fill="FFFFFF"/>
          <w:lang w:val="es-ES_tradnl"/>
        </w:rPr>
      </w:pPr>
    </w:p>
    <w:p w14:paraId="0BBA9C68" w14:textId="71718325" w:rsidR="00AE4B84" w:rsidRPr="00691611" w:rsidRDefault="00AE4B84" w:rsidP="00AE4B84">
      <w:pPr>
        <w:shd w:val="clear" w:color="auto" w:fill="FFFFFF"/>
        <w:spacing w:before="240" w:after="360" w:line="360" w:lineRule="auto"/>
        <w:jc w:val="both"/>
        <w:rPr>
          <w:rFonts w:ascii="Palatino Linotype" w:hAnsi="Palatino Linotype"/>
        </w:rPr>
      </w:pPr>
      <w:r w:rsidRPr="00691611">
        <w:rPr>
          <w:rFonts w:ascii="Palatino Linotype" w:eastAsia="MS Gothic" w:hAnsi="Palatino Linotype"/>
          <w:b/>
          <w:lang w:val="es-ES_tradnl" w:eastAsia="es-ES"/>
        </w:rPr>
        <w:t xml:space="preserve">TERCERO. </w:t>
      </w:r>
      <w:r w:rsidRPr="00691611">
        <w:rPr>
          <w:rFonts w:ascii="Palatino Linotype" w:eastAsia="MS Gothic" w:hAnsi="Palatino Linotype"/>
          <w:lang w:val="es-ES_tradnl" w:eastAsia="es-ES"/>
        </w:rPr>
        <w:t>Notifíquese al</w:t>
      </w:r>
      <w:r w:rsidRPr="00691611">
        <w:rPr>
          <w:rFonts w:ascii="Palatino Linotype" w:eastAsiaTheme="minorEastAsia" w:hAnsi="Palatino Linotype"/>
          <w:b/>
          <w:lang w:val="es-ES_tradnl" w:eastAsia="es-ES"/>
        </w:rPr>
        <w:t xml:space="preserve"> RECURRENTE </w:t>
      </w:r>
      <w:r w:rsidR="007B7637" w:rsidRPr="00691611">
        <w:rPr>
          <w:rFonts w:ascii="Palatino Linotype" w:hAnsi="Palatino Linotype"/>
          <w:lang w:val="es-ES" w:eastAsia="es-ES"/>
        </w:rPr>
        <w:t xml:space="preserve">la presente resolución vía </w:t>
      </w:r>
      <w:r w:rsidR="007B7637" w:rsidRPr="00691611">
        <w:rPr>
          <w:rFonts w:ascii="Palatino Linotype" w:hAnsi="Palatino Linotype"/>
          <w:lang w:val="es-ES_tradnl" w:eastAsia="es-ES"/>
        </w:rPr>
        <w:t>Sistema de Acceso a Información Mexiquense (</w:t>
      </w:r>
      <w:r w:rsidR="007B7637" w:rsidRPr="00691611">
        <w:rPr>
          <w:rFonts w:ascii="Palatino Linotype" w:hAnsi="Palatino Linotype"/>
          <w:b/>
          <w:lang w:val="es-ES_tradnl" w:eastAsia="es-ES"/>
        </w:rPr>
        <w:t>SAIMEX)</w:t>
      </w:r>
      <w:r w:rsidR="00071DC1" w:rsidRPr="00691611">
        <w:rPr>
          <w:rFonts w:ascii="Palatino Linotype" w:hAnsi="Palatino Linotype"/>
          <w:b/>
          <w:lang w:val="es-ES_tradnl" w:eastAsia="es-ES"/>
        </w:rPr>
        <w:t>.</w:t>
      </w:r>
    </w:p>
    <w:p w14:paraId="110EFE7A" w14:textId="77777777" w:rsidR="00AE4B84" w:rsidRPr="00691611" w:rsidRDefault="00AE4B84" w:rsidP="00AE4B84">
      <w:pPr>
        <w:spacing w:line="360" w:lineRule="auto"/>
        <w:jc w:val="both"/>
        <w:rPr>
          <w:rFonts w:ascii="Palatino Linotype" w:eastAsia="MS Mincho" w:hAnsi="Palatino Linotype"/>
        </w:rPr>
      </w:pPr>
      <w:r w:rsidRPr="00691611">
        <w:rPr>
          <w:rFonts w:ascii="Palatino Linotype" w:eastAsia="MS Mincho" w:hAnsi="Palatino Linotype"/>
          <w:b/>
          <w:lang w:eastAsia="es-ES"/>
        </w:rPr>
        <w:t>CUARTO.</w:t>
      </w:r>
      <w:r w:rsidRPr="00691611">
        <w:rPr>
          <w:rFonts w:ascii="Palatino Linotype" w:eastAsia="MS Mincho" w:hAnsi="Palatino Linotype"/>
          <w:lang w:eastAsia="es-ES"/>
        </w:rPr>
        <w:t xml:space="preserve"> </w:t>
      </w:r>
      <w:r w:rsidRPr="00691611">
        <w:rPr>
          <w:rFonts w:ascii="Palatino Linotype" w:eastAsia="MS Mincho" w:hAnsi="Palatino Linotype"/>
          <w:lang w:val="es-ES" w:eastAsia="es-ES"/>
        </w:rPr>
        <w:t>Se hace del conocimiento del</w:t>
      </w:r>
      <w:r w:rsidRPr="00691611">
        <w:rPr>
          <w:rFonts w:ascii="Palatino Linotype" w:hAnsi="Palatino Linotype"/>
          <w:b/>
          <w:lang w:val="es-ES_tradnl" w:eastAsia="es-ES"/>
        </w:rPr>
        <w:t xml:space="preserve"> </w:t>
      </w:r>
      <w:r w:rsidRPr="00691611">
        <w:rPr>
          <w:rFonts w:ascii="Palatino Linotype" w:eastAsia="MS Mincho" w:hAnsi="Palatino Linotype"/>
          <w:b/>
          <w:lang w:val="es-ES_tradnl" w:eastAsia="es-ES"/>
        </w:rPr>
        <w:t>RECURRENTE</w:t>
      </w:r>
      <w:r w:rsidRPr="00691611">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91611">
        <w:rPr>
          <w:rFonts w:ascii="Palatino Linotype" w:eastAsia="MS Mincho" w:hAnsi="Palatino Linotype"/>
          <w:bCs/>
          <w:lang w:val="es-ES" w:eastAsia="es-ES"/>
        </w:rPr>
        <w:t>vía juicio de amparo</w:t>
      </w:r>
      <w:r w:rsidRPr="00691611">
        <w:rPr>
          <w:rFonts w:ascii="Palatino Linotype" w:eastAsia="MS Mincho" w:hAnsi="Palatino Linotype"/>
          <w:lang w:val="es-ES" w:eastAsia="es-ES"/>
        </w:rPr>
        <w:t> en los términos de las leyes aplicables.</w:t>
      </w:r>
    </w:p>
    <w:p w14:paraId="074546BF" w14:textId="77777777" w:rsidR="00AE4B84" w:rsidRPr="00691611" w:rsidRDefault="00AE4B84" w:rsidP="00AE4B84">
      <w:pPr>
        <w:shd w:val="clear" w:color="auto" w:fill="FFFFFF"/>
        <w:spacing w:line="360" w:lineRule="auto"/>
        <w:jc w:val="both"/>
        <w:rPr>
          <w:rFonts w:ascii="Palatino Linotype" w:hAnsi="Palatino Linotype" w:cs="Arial"/>
          <w:b/>
          <w:bCs/>
          <w:color w:val="222222"/>
        </w:rPr>
      </w:pPr>
    </w:p>
    <w:p w14:paraId="00FCA08A" w14:textId="77777777" w:rsidR="00320535" w:rsidRDefault="00320535" w:rsidP="00320535">
      <w:pPr>
        <w:spacing w:before="240" w:after="240" w:line="360" w:lineRule="auto"/>
        <w:jc w:val="both"/>
        <w:rPr>
          <w:rFonts w:ascii="Palatino Linotype" w:hAnsi="Palatino Linotype"/>
        </w:rPr>
      </w:pPr>
      <w:r w:rsidRPr="0069161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13" w:name="_GoBack"/>
      <w:bookmarkEnd w:id="13"/>
      <w:r w:rsidRPr="00624AAD">
        <w:rPr>
          <w:rFonts w:ascii="Palatino Linotype" w:hAnsi="Palatino Linotype"/>
        </w:rPr>
        <w:t xml:space="preserve"> </w:t>
      </w:r>
    </w:p>
    <w:p w14:paraId="4071799B" w14:textId="77777777" w:rsidR="00C85E52" w:rsidRDefault="00C85E52"/>
    <w:p w14:paraId="5C530BFE" w14:textId="77777777" w:rsidR="00C85E52" w:rsidRDefault="00C85E52"/>
    <w:p w14:paraId="7900038F" w14:textId="77777777" w:rsidR="00C85E52" w:rsidRDefault="00C85E52"/>
    <w:p w14:paraId="1095818F" w14:textId="77777777" w:rsidR="00C85E52" w:rsidRDefault="00C85E52"/>
    <w:p w14:paraId="5298011F" w14:textId="77777777" w:rsidR="00C85E52" w:rsidRDefault="00C85E52"/>
    <w:p w14:paraId="2C6FE89E" w14:textId="77777777" w:rsidR="00C85E52" w:rsidRDefault="00C85E52"/>
    <w:p w14:paraId="5C3BAD85" w14:textId="77777777" w:rsidR="00C85E52" w:rsidRDefault="00C85E52"/>
    <w:p w14:paraId="787CA307" w14:textId="77777777" w:rsidR="00C85E52" w:rsidRDefault="00C85E52"/>
    <w:p w14:paraId="608729F8" w14:textId="77777777" w:rsidR="00C85E52" w:rsidRDefault="00C85E52"/>
    <w:p w14:paraId="3C61F49F" w14:textId="77777777" w:rsidR="00C85E52" w:rsidRDefault="00C85E52"/>
    <w:p w14:paraId="14F25653" w14:textId="77777777" w:rsidR="00C85E52" w:rsidRDefault="00C85E52"/>
    <w:p w14:paraId="2FE66A79" w14:textId="77777777" w:rsidR="00C85E52" w:rsidRDefault="00C85E52"/>
    <w:p w14:paraId="358F5FE7" w14:textId="77777777" w:rsidR="00C85E52" w:rsidRDefault="00C85E52"/>
    <w:p w14:paraId="585EE062" w14:textId="77777777" w:rsidR="00C85E52" w:rsidRDefault="00C85E52"/>
    <w:p w14:paraId="4AD2E3AC" w14:textId="77777777" w:rsidR="00C85E52" w:rsidRDefault="00C85E52"/>
    <w:p w14:paraId="17750FAF" w14:textId="77777777" w:rsidR="00C85E52" w:rsidRDefault="00C85E52"/>
    <w:p w14:paraId="00E76A05" w14:textId="77777777" w:rsidR="00C85E52" w:rsidRDefault="00C85E52"/>
    <w:p w14:paraId="48DAF332" w14:textId="77777777" w:rsidR="00C85E52" w:rsidRDefault="00C85E52"/>
    <w:p w14:paraId="12B0938B" w14:textId="77777777" w:rsidR="00C85E52" w:rsidRDefault="00C85E52"/>
    <w:p w14:paraId="1B18FA4A" w14:textId="77777777" w:rsidR="00C85E52" w:rsidRDefault="00C85E52"/>
    <w:p w14:paraId="2846A49A" w14:textId="77777777" w:rsidR="00C85E52" w:rsidRDefault="00C85E52"/>
    <w:p w14:paraId="392578DE" w14:textId="77777777" w:rsidR="00C85E52" w:rsidRDefault="00C85E52"/>
    <w:p w14:paraId="6D9ABD14" w14:textId="77777777" w:rsidR="00C85E52" w:rsidRDefault="00C85E52"/>
    <w:p w14:paraId="64549FB3" w14:textId="77777777" w:rsidR="00C85E52" w:rsidRDefault="00C85E52"/>
    <w:p w14:paraId="1D7F848D" w14:textId="77777777" w:rsidR="00C85E52" w:rsidRDefault="00C85E52"/>
    <w:p w14:paraId="400CC5A0" w14:textId="77777777" w:rsidR="00C85E52" w:rsidRDefault="00C85E52"/>
    <w:sectPr w:rsidR="00C85E52" w:rsidSect="00934AE9">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03666" w14:textId="77777777" w:rsidR="00DA4AB5" w:rsidRDefault="00DA4AB5">
      <w:r>
        <w:separator/>
      </w:r>
    </w:p>
  </w:endnote>
  <w:endnote w:type="continuationSeparator" w:id="0">
    <w:p w14:paraId="4695E70F" w14:textId="77777777" w:rsidR="00DA4AB5" w:rsidRDefault="00DA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691611">
      <w:rPr>
        <w:b/>
        <w:bCs/>
        <w:noProof/>
      </w:rPr>
      <w:t>13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91611">
      <w:rPr>
        <w:b/>
        <w:bCs/>
        <w:noProof/>
      </w:rPr>
      <w:t>14</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69161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91611">
      <w:rPr>
        <w:b/>
        <w:bCs/>
        <w:noProof/>
      </w:rPr>
      <w:t>14</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A93B1" w14:textId="77777777" w:rsidR="00DA4AB5" w:rsidRDefault="00DA4AB5">
      <w:r>
        <w:separator/>
      </w:r>
    </w:p>
  </w:footnote>
  <w:footnote w:type="continuationSeparator" w:id="0">
    <w:p w14:paraId="52191D39" w14:textId="77777777" w:rsidR="00DA4AB5" w:rsidRDefault="00DA4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F394" w14:textId="77777777" w:rsidR="00194689" w:rsidRDefault="00DA4AB5">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p w14:paraId="6D081576" w14:textId="77777777" w:rsidR="00194689" w:rsidRDefault="00194689" w:rsidP="00194689"/>
        <w:tbl>
          <w:tblPr>
            <w:tblW w:w="6662" w:type="dxa"/>
            <w:tblInd w:w="40" w:type="dxa"/>
            <w:tblLayout w:type="fixed"/>
            <w:tblLook w:val="0420" w:firstRow="1" w:lastRow="0" w:firstColumn="0" w:lastColumn="0" w:noHBand="0" w:noVBand="1"/>
          </w:tblPr>
          <w:tblGrid>
            <w:gridCol w:w="2551"/>
            <w:gridCol w:w="4111"/>
          </w:tblGrid>
          <w:tr w:rsidR="00194689" w14:paraId="700F904D" w14:textId="77777777" w:rsidTr="00194689">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D653E30" w14:textId="788B3CE2" w:rsidR="00194689" w:rsidRPr="00020E73" w:rsidRDefault="00AD0D38" w:rsidP="0019468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03438</w:t>
                </w:r>
                <w:r w:rsidR="00F736EA" w:rsidRPr="009E7B0A">
                  <w:rPr>
                    <w:rFonts w:ascii="Palatino Linotype" w:eastAsia="Calibri" w:hAnsi="Palatino Linotype" w:cs="Tahoma"/>
                    <w:bCs/>
                    <w:sz w:val="22"/>
                    <w:szCs w:val="22"/>
                    <w:lang w:eastAsia="en-US"/>
                  </w:rPr>
                  <w:t>/INFOEM/IP/RR/202</w:t>
                </w:r>
                <w:r w:rsidR="0046109F">
                  <w:rPr>
                    <w:rFonts w:ascii="Palatino Linotype" w:eastAsia="Calibri" w:hAnsi="Palatino Linotype" w:cs="Tahoma"/>
                    <w:bCs/>
                    <w:sz w:val="22"/>
                    <w:szCs w:val="22"/>
                    <w:lang w:eastAsia="en-US"/>
                  </w:rPr>
                  <w:t>2</w:t>
                </w:r>
              </w:p>
            </w:tc>
          </w:tr>
          <w:tr w:rsidR="00194689" w14:paraId="16A25739" w14:textId="77777777" w:rsidTr="00194689">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DB4A81D" w14:textId="5FF45988" w:rsidR="00194689" w:rsidRPr="00020E73" w:rsidRDefault="00AD0D38" w:rsidP="0019468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Coacalco de Berriozábal</w:t>
                </w:r>
              </w:p>
            </w:tc>
          </w:tr>
          <w:tr w:rsidR="00194689" w14:paraId="542C3BE0" w14:textId="77777777" w:rsidTr="00194689">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777777" w:rsidR="00194689" w:rsidRPr="00443C6B" w:rsidRDefault="00DA4AB5"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94689" w:rsidRPr="00330DA7" w14:paraId="2FDFA89A" w14:textId="77777777" w:rsidTr="00194689">
            <w:trPr>
              <w:trHeight w:val="144"/>
            </w:trPr>
            <w:tc>
              <w:tcPr>
                <w:tcW w:w="2444"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9605667" w14:textId="452A89E3" w:rsidR="00194689" w:rsidRPr="00BC0F45" w:rsidRDefault="00AD0D38" w:rsidP="0019468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03438</w:t>
                </w:r>
                <w:r w:rsidR="00F736EA" w:rsidRPr="00BC0F45">
                  <w:rPr>
                    <w:rFonts w:ascii="Palatino Linotype" w:eastAsia="Calibri" w:hAnsi="Palatino Linotype" w:cs="Tahoma"/>
                    <w:sz w:val="22"/>
                    <w:szCs w:val="22"/>
                    <w:lang w:eastAsia="en-US"/>
                  </w:rPr>
                  <w:t>/INFOEM/IP/RR/202</w:t>
                </w:r>
                <w:r w:rsidR="0046109F" w:rsidRPr="00BC0F45">
                  <w:rPr>
                    <w:rFonts w:ascii="Palatino Linotype" w:eastAsia="Calibri" w:hAnsi="Palatino Linotype" w:cs="Tahoma"/>
                    <w:sz w:val="22"/>
                    <w:szCs w:val="22"/>
                    <w:lang w:eastAsia="en-US"/>
                  </w:rPr>
                  <w:t>2</w:t>
                </w:r>
                <w:r w:rsidR="00F736EA" w:rsidRPr="00BC0F45">
                  <w:rPr>
                    <w:rFonts w:ascii="Palatino Linotype" w:eastAsia="Calibri" w:hAnsi="Palatino Linotype" w:cs="Tahoma"/>
                    <w:b/>
                    <w:bCs/>
                    <w:sz w:val="22"/>
                    <w:szCs w:val="22"/>
                    <w:lang w:eastAsia="en-US"/>
                  </w:rPr>
                  <w:t xml:space="preserve"> </w:t>
                </w:r>
              </w:p>
            </w:tc>
          </w:tr>
          <w:tr w:rsidR="00194689" w:rsidRPr="00330DA7" w14:paraId="3643DA1F" w14:textId="77777777" w:rsidTr="00194689">
            <w:trPr>
              <w:trHeight w:val="144"/>
            </w:trPr>
            <w:tc>
              <w:tcPr>
                <w:tcW w:w="2444"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7D58B0A" w14:textId="5DA46240" w:rsidR="00194689" w:rsidRPr="00BC0F45" w:rsidRDefault="00691611" w:rsidP="00194689">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hAnsi="Palatino Linotype"/>
                    <w:sz w:val="22"/>
                    <w:szCs w:val="22"/>
                    <w:lang w:eastAsia="es-ES"/>
                  </w:rPr>
                  <w:t>XXXX XXXX XXXX</w:t>
                </w:r>
              </w:p>
            </w:tc>
          </w:tr>
          <w:tr w:rsidR="00194689" w:rsidRPr="00330DA7" w14:paraId="46E8E26D" w14:textId="77777777" w:rsidTr="00BC0F45">
            <w:trPr>
              <w:trHeight w:val="83"/>
            </w:trPr>
            <w:tc>
              <w:tcPr>
                <w:tcW w:w="2444"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13EF278" w14:textId="1460B0D6" w:rsidR="00194689" w:rsidRPr="00BC0F45" w:rsidRDefault="00AD0D38" w:rsidP="00B51F50">
                <w:pPr>
                  <w:rPr>
                    <w:rFonts w:ascii="Palatino Linotype" w:hAnsi="Palatino Linotype"/>
                    <w:sz w:val="22"/>
                    <w:szCs w:val="22"/>
                  </w:rPr>
                </w:pPr>
                <w:r>
                  <w:rPr>
                    <w:rFonts w:ascii="Palatino Linotype" w:eastAsia="Calibri" w:hAnsi="Palatino Linotype" w:cs="Tahoma"/>
                    <w:sz w:val="22"/>
                    <w:szCs w:val="22"/>
                    <w:lang w:eastAsia="en-US"/>
                  </w:rPr>
                  <w:t>Ayuntamiento de Coacalco de Berriozábal</w:t>
                </w:r>
              </w:p>
            </w:tc>
          </w:tr>
          <w:tr w:rsidR="00194689" w:rsidRPr="00330DA7" w14:paraId="4E2722A4" w14:textId="77777777" w:rsidTr="00194689">
            <w:trPr>
              <w:trHeight w:val="283"/>
            </w:trPr>
            <w:tc>
              <w:tcPr>
                <w:tcW w:w="2444"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2BF8F8" w14:textId="77777777" w:rsidR="00194689" w:rsidRPr="00020E73" w:rsidRDefault="00F736EA" w:rsidP="0019468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194689">
                <w:pPr>
                  <w:tabs>
                    <w:tab w:val="right" w:pos="8838"/>
                  </w:tabs>
                  <w:ind w:left="-74" w:right="-105"/>
                  <w:jc w:val="both"/>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DA4AB5"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963107B"/>
    <w:multiLevelType w:val="hybridMultilevel"/>
    <w:tmpl w:val="0958F3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84"/>
    <w:rsid w:val="00007A3C"/>
    <w:rsid w:val="00015C87"/>
    <w:rsid w:val="00071DC1"/>
    <w:rsid w:val="0007327E"/>
    <w:rsid w:val="000B55F3"/>
    <w:rsid w:val="000E186F"/>
    <w:rsid w:val="0010276A"/>
    <w:rsid w:val="00130080"/>
    <w:rsid w:val="001374AD"/>
    <w:rsid w:val="0014208C"/>
    <w:rsid w:val="0018065E"/>
    <w:rsid w:val="00194689"/>
    <w:rsid w:val="001B52C2"/>
    <w:rsid w:val="001F21B2"/>
    <w:rsid w:val="00214EBE"/>
    <w:rsid w:val="00224440"/>
    <w:rsid w:val="00253ED9"/>
    <w:rsid w:val="002707A9"/>
    <w:rsid w:val="002A2F2B"/>
    <w:rsid w:val="0030793F"/>
    <w:rsid w:val="00312F62"/>
    <w:rsid w:val="00320535"/>
    <w:rsid w:val="00391F36"/>
    <w:rsid w:val="003A11F3"/>
    <w:rsid w:val="003A7B86"/>
    <w:rsid w:val="003E5530"/>
    <w:rsid w:val="00430888"/>
    <w:rsid w:val="00441F33"/>
    <w:rsid w:val="0046109F"/>
    <w:rsid w:val="00474004"/>
    <w:rsid w:val="00482FCB"/>
    <w:rsid w:val="004B4E36"/>
    <w:rsid w:val="004D4CE7"/>
    <w:rsid w:val="004E09D0"/>
    <w:rsid w:val="004F6CEE"/>
    <w:rsid w:val="00547C72"/>
    <w:rsid w:val="0058535E"/>
    <w:rsid w:val="005949AA"/>
    <w:rsid w:val="005B59B8"/>
    <w:rsid w:val="005E51B8"/>
    <w:rsid w:val="005F74BD"/>
    <w:rsid w:val="00627148"/>
    <w:rsid w:val="0063135F"/>
    <w:rsid w:val="00635DF8"/>
    <w:rsid w:val="006565DA"/>
    <w:rsid w:val="00691611"/>
    <w:rsid w:val="006C11D1"/>
    <w:rsid w:val="006C78A4"/>
    <w:rsid w:val="006F3A6D"/>
    <w:rsid w:val="007120A1"/>
    <w:rsid w:val="00742B92"/>
    <w:rsid w:val="00760690"/>
    <w:rsid w:val="0076643E"/>
    <w:rsid w:val="007901EB"/>
    <w:rsid w:val="00795DE3"/>
    <w:rsid w:val="007A3703"/>
    <w:rsid w:val="007B7637"/>
    <w:rsid w:val="007C2D99"/>
    <w:rsid w:val="007C4C8F"/>
    <w:rsid w:val="007E0799"/>
    <w:rsid w:val="007F78F1"/>
    <w:rsid w:val="00804F09"/>
    <w:rsid w:val="008468E1"/>
    <w:rsid w:val="008A0EBF"/>
    <w:rsid w:val="008A3FA6"/>
    <w:rsid w:val="008B1180"/>
    <w:rsid w:val="008B6FF6"/>
    <w:rsid w:val="008C6385"/>
    <w:rsid w:val="008F44D6"/>
    <w:rsid w:val="00934AE9"/>
    <w:rsid w:val="0099650D"/>
    <w:rsid w:val="009A4B58"/>
    <w:rsid w:val="009C2AB6"/>
    <w:rsid w:val="009C2E06"/>
    <w:rsid w:val="00A15185"/>
    <w:rsid w:val="00A417E9"/>
    <w:rsid w:val="00A5051E"/>
    <w:rsid w:val="00A94BAD"/>
    <w:rsid w:val="00AB2087"/>
    <w:rsid w:val="00AD0D38"/>
    <w:rsid w:val="00AE4B84"/>
    <w:rsid w:val="00B3711E"/>
    <w:rsid w:val="00B51F50"/>
    <w:rsid w:val="00B53803"/>
    <w:rsid w:val="00B912F7"/>
    <w:rsid w:val="00BB5195"/>
    <w:rsid w:val="00BB539F"/>
    <w:rsid w:val="00BC0F45"/>
    <w:rsid w:val="00C03272"/>
    <w:rsid w:val="00C4282F"/>
    <w:rsid w:val="00C85E52"/>
    <w:rsid w:val="00CD24D6"/>
    <w:rsid w:val="00CF4287"/>
    <w:rsid w:val="00DA4AB5"/>
    <w:rsid w:val="00DC1EB9"/>
    <w:rsid w:val="00DD06F9"/>
    <w:rsid w:val="00DD6520"/>
    <w:rsid w:val="00E01E66"/>
    <w:rsid w:val="00E461D8"/>
    <w:rsid w:val="00E5557C"/>
    <w:rsid w:val="00E72525"/>
    <w:rsid w:val="00E83330"/>
    <w:rsid w:val="00E9492B"/>
    <w:rsid w:val="00EA5CB9"/>
    <w:rsid w:val="00EF0A5D"/>
    <w:rsid w:val="00F365B8"/>
    <w:rsid w:val="00F73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35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5195"/>
    <w:pPr>
      <w:ind w:left="720"/>
      <w:contextualSpacing/>
    </w:pPr>
  </w:style>
  <w:style w:type="character" w:styleId="Hipervnculo">
    <w:name w:val="Hyperlink"/>
    <w:basedOn w:val="Fuentedeprrafopredeter"/>
    <w:uiPriority w:val="99"/>
    <w:semiHidden/>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4BAD"/>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4063">
      <w:bodyDiv w:val="1"/>
      <w:marLeft w:val="0"/>
      <w:marRight w:val="0"/>
      <w:marTop w:val="0"/>
      <w:marBottom w:val="0"/>
      <w:divBdr>
        <w:top w:val="none" w:sz="0" w:space="0" w:color="auto"/>
        <w:left w:val="none" w:sz="0" w:space="0" w:color="auto"/>
        <w:bottom w:val="none" w:sz="0" w:space="0" w:color="auto"/>
        <w:right w:val="none" w:sz="0" w:space="0" w:color="auto"/>
      </w:divBdr>
    </w:div>
    <w:div w:id="390932161">
      <w:bodyDiv w:val="1"/>
      <w:marLeft w:val="0"/>
      <w:marRight w:val="0"/>
      <w:marTop w:val="0"/>
      <w:marBottom w:val="0"/>
      <w:divBdr>
        <w:top w:val="none" w:sz="0" w:space="0" w:color="auto"/>
        <w:left w:val="none" w:sz="0" w:space="0" w:color="auto"/>
        <w:bottom w:val="none" w:sz="0" w:space="0" w:color="auto"/>
        <w:right w:val="none" w:sz="0" w:space="0" w:color="auto"/>
      </w:divBdr>
    </w:div>
    <w:div w:id="394396137">
      <w:bodyDiv w:val="1"/>
      <w:marLeft w:val="0"/>
      <w:marRight w:val="0"/>
      <w:marTop w:val="0"/>
      <w:marBottom w:val="0"/>
      <w:divBdr>
        <w:top w:val="none" w:sz="0" w:space="0" w:color="auto"/>
        <w:left w:val="none" w:sz="0" w:space="0" w:color="auto"/>
        <w:bottom w:val="none" w:sz="0" w:space="0" w:color="auto"/>
        <w:right w:val="none" w:sz="0" w:space="0" w:color="auto"/>
      </w:divBdr>
    </w:div>
    <w:div w:id="439490324">
      <w:bodyDiv w:val="1"/>
      <w:marLeft w:val="0"/>
      <w:marRight w:val="0"/>
      <w:marTop w:val="0"/>
      <w:marBottom w:val="0"/>
      <w:divBdr>
        <w:top w:val="none" w:sz="0" w:space="0" w:color="auto"/>
        <w:left w:val="none" w:sz="0" w:space="0" w:color="auto"/>
        <w:bottom w:val="none" w:sz="0" w:space="0" w:color="auto"/>
        <w:right w:val="none" w:sz="0" w:space="0" w:color="auto"/>
      </w:divBdr>
    </w:div>
    <w:div w:id="483355226">
      <w:bodyDiv w:val="1"/>
      <w:marLeft w:val="0"/>
      <w:marRight w:val="0"/>
      <w:marTop w:val="0"/>
      <w:marBottom w:val="0"/>
      <w:divBdr>
        <w:top w:val="none" w:sz="0" w:space="0" w:color="auto"/>
        <w:left w:val="none" w:sz="0" w:space="0" w:color="auto"/>
        <w:bottom w:val="none" w:sz="0" w:space="0" w:color="auto"/>
        <w:right w:val="none" w:sz="0" w:space="0" w:color="auto"/>
      </w:divBdr>
    </w:div>
    <w:div w:id="535854273">
      <w:bodyDiv w:val="1"/>
      <w:marLeft w:val="0"/>
      <w:marRight w:val="0"/>
      <w:marTop w:val="0"/>
      <w:marBottom w:val="0"/>
      <w:divBdr>
        <w:top w:val="none" w:sz="0" w:space="0" w:color="auto"/>
        <w:left w:val="none" w:sz="0" w:space="0" w:color="auto"/>
        <w:bottom w:val="none" w:sz="0" w:space="0" w:color="auto"/>
        <w:right w:val="none" w:sz="0" w:space="0" w:color="auto"/>
      </w:divBdr>
    </w:div>
    <w:div w:id="561597396">
      <w:bodyDiv w:val="1"/>
      <w:marLeft w:val="0"/>
      <w:marRight w:val="0"/>
      <w:marTop w:val="0"/>
      <w:marBottom w:val="0"/>
      <w:divBdr>
        <w:top w:val="none" w:sz="0" w:space="0" w:color="auto"/>
        <w:left w:val="none" w:sz="0" w:space="0" w:color="auto"/>
        <w:bottom w:val="none" w:sz="0" w:space="0" w:color="auto"/>
        <w:right w:val="none" w:sz="0" w:space="0" w:color="auto"/>
      </w:divBdr>
    </w:div>
    <w:div w:id="565654090">
      <w:bodyDiv w:val="1"/>
      <w:marLeft w:val="0"/>
      <w:marRight w:val="0"/>
      <w:marTop w:val="0"/>
      <w:marBottom w:val="0"/>
      <w:divBdr>
        <w:top w:val="none" w:sz="0" w:space="0" w:color="auto"/>
        <w:left w:val="none" w:sz="0" w:space="0" w:color="auto"/>
        <w:bottom w:val="none" w:sz="0" w:space="0" w:color="auto"/>
        <w:right w:val="none" w:sz="0" w:space="0" w:color="auto"/>
      </w:divBdr>
    </w:div>
    <w:div w:id="604731026">
      <w:bodyDiv w:val="1"/>
      <w:marLeft w:val="0"/>
      <w:marRight w:val="0"/>
      <w:marTop w:val="0"/>
      <w:marBottom w:val="0"/>
      <w:divBdr>
        <w:top w:val="none" w:sz="0" w:space="0" w:color="auto"/>
        <w:left w:val="none" w:sz="0" w:space="0" w:color="auto"/>
        <w:bottom w:val="none" w:sz="0" w:space="0" w:color="auto"/>
        <w:right w:val="none" w:sz="0" w:space="0" w:color="auto"/>
      </w:divBdr>
    </w:div>
    <w:div w:id="684408745">
      <w:bodyDiv w:val="1"/>
      <w:marLeft w:val="0"/>
      <w:marRight w:val="0"/>
      <w:marTop w:val="0"/>
      <w:marBottom w:val="0"/>
      <w:divBdr>
        <w:top w:val="none" w:sz="0" w:space="0" w:color="auto"/>
        <w:left w:val="none" w:sz="0" w:space="0" w:color="auto"/>
        <w:bottom w:val="none" w:sz="0" w:space="0" w:color="auto"/>
        <w:right w:val="none" w:sz="0" w:space="0" w:color="auto"/>
      </w:divBdr>
    </w:div>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199003591">
      <w:bodyDiv w:val="1"/>
      <w:marLeft w:val="0"/>
      <w:marRight w:val="0"/>
      <w:marTop w:val="0"/>
      <w:marBottom w:val="0"/>
      <w:divBdr>
        <w:top w:val="none" w:sz="0" w:space="0" w:color="auto"/>
        <w:left w:val="none" w:sz="0" w:space="0" w:color="auto"/>
        <w:bottom w:val="none" w:sz="0" w:space="0" w:color="auto"/>
        <w:right w:val="none" w:sz="0" w:space="0" w:color="auto"/>
      </w:divBdr>
    </w:div>
    <w:div w:id="1209803453">
      <w:bodyDiv w:val="1"/>
      <w:marLeft w:val="0"/>
      <w:marRight w:val="0"/>
      <w:marTop w:val="0"/>
      <w:marBottom w:val="0"/>
      <w:divBdr>
        <w:top w:val="none" w:sz="0" w:space="0" w:color="auto"/>
        <w:left w:val="none" w:sz="0" w:space="0" w:color="auto"/>
        <w:bottom w:val="none" w:sz="0" w:space="0" w:color="auto"/>
        <w:right w:val="none" w:sz="0" w:space="0" w:color="auto"/>
      </w:divBdr>
    </w:div>
    <w:div w:id="1251887635">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35595896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566337143">
      <w:bodyDiv w:val="1"/>
      <w:marLeft w:val="0"/>
      <w:marRight w:val="0"/>
      <w:marTop w:val="0"/>
      <w:marBottom w:val="0"/>
      <w:divBdr>
        <w:top w:val="none" w:sz="0" w:space="0" w:color="auto"/>
        <w:left w:val="none" w:sz="0" w:space="0" w:color="auto"/>
        <w:bottom w:val="none" w:sz="0" w:space="0" w:color="auto"/>
        <w:right w:val="none" w:sz="0" w:space="0" w:color="auto"/>
      </w:divBdr>
    </w:div>
    <w:div w:id="1593971441">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1765803193">
      <w:bodyDiv w:val="1"/>
      <w:marLeft w:val="0"/>
      <w:marRight w:val="0"/>
      <w:marTop w:val="0"/>
      <w:marBottom w:val="0"/>
      <w:divBdr>
        <w:top w:val="none" w:sz="0" w:space="0" w:color="auto"/>
        <w:left w:val="none" w:sz="0" w:space="0" w:color="auto"/>
        <w:bottom w:val="none" w:sz="0" w:space="0" w:color="auto"/>
        <w:right w:val="none" w:sz="0" w:space="0" w:color="auto"/>
      </w:divBdr>
    </w:div>
    <w:div w:id="1871718255">
      <w:bodyDiv w:val="1"/>
      <w:marLeft w:val="0"/>
      <w:marRight w:val="0"/>
      <w:marTop w:val="0"/>
      <w:marBottom w:val="0"/>
      <w:divBdr>
        <w:top w:val="none" w:sz="0" w:space="0" w:color="auto"/>
        <w:left w:val="none" w:sz="0" w:space="0" w:color="auto"/>
        <w:bottom w:val="none" w:sz="0" w:space="0" w:color="auto"/>
        <w:right w:val="none" w:sz="0" w:space="0" w:color="auto"/>
      </w:divBdr>
    </w:div>
    <w:div w:id="1887989986">
      <w:bodyDiv w:val="1"/>
      <w:marLeft w:val="0"/>
      <w:marRight w:val="0"/>
      <w:marTop w:val="0"/>
      <w:marBottom w:val="0"/>
      <w:divBdr>
        <w:top w:val="none" w:sz="0" w:space="0" w:color="auto"/>
        <w:left w:val="none" w:sz="0" w:space="0" w:color="auto"/>
        <w:bottom w:val="none" w:sz="0" w:space="0" w:color="auto"/>
        <w:right w:val="none" w:sz="0" w:space="0" w:color="auto"/>
      </w:divBdr>
    </w:div>
    <w:div w:id="2029210142">
      <w:bodyDiv w:val="1"/>
      <w:marLeft w:val="0"/>
      <w:marRight w:val="0"/>
      <w:marTop w:val="0"/>
      <w:marBottom w:val="0"/>
      <w:divBdr>
        <w:top w:val="none" w:sz="0" w:space="0" w:color="auto"/>
        <w:left w:val="none" w:sz="0" w:space="0" w:color="auto"/>
        <w:bottom w:val="none" w:sz="0" w:space="0" w:color="auto"/>
        <w:right w:val="none" w:sz="0" w:space="0" w:color="auto"/>
      </w:divBdr>
    </w:div>
    <w:div w:id="2082630208">
      <w:bodyDiv w:val="1"/>
      <w:marLeft w:val="0"/>
      <w:marRight w:val="0"/>
      <w:marTop w:val="0"/>
      <w:marBottom w:val="0"/>
      <w:divBdr>
        <w:top w:val="none" w:sz="0" w:space="0" w:color="auto"/>
        <w:left w:val="none" w:sz="0" w:space="0" w:color="auto"/>
        <w:bottom w:val="none" w:sz="0" w:space="0" w:color="auto"/>
        <w:right w:val="none" w:sz="0" w:space="0" w:color="auto"/>
      </w:divBdr>
    </w:div>
    <w:div w:id="2098213949">
      <w:bodyDiv w:val="1"/>
      <w:marLeft w:val="0"/>
      <w:marRight w:val="0"/>
      <w:marTop w:val="0"/>
      <w:marBottom w:val="0"/>
      <w:divBdr>
        <w:top w:val="none" w:sz="0" w:space="0" w:color="auto"/>
        <w:left w:val="none" w:sz="0" w:space="0" w:color="auto"/>
        <w:bottom w:val="none" w:sz="0" w:space="0" w:color="auto"/>
        <w:right w:val="none" w:sz="0" w:space="0" w:color="auto"/>
      </w:divBdr>
    </w:div>
    <w:div w:id="21013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1582942.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3175</Words>
  <Characters>17464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2022-10-27T19:51:00Z</dcterms:created>
  <dcterms:modified xsi:type="dcterms:W3CDTF">2022-11-24T22:36:00Z</dcterms:modified>
</cp:coreProperties>
</file>