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72195"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seis de julio del dos mil veintidós</w:t>
      </w:r>
      <w:r>
        <w:rPr>
          <w:rFonts w:ascii="Palatino Linotype" w:eastAsia="Palatino Linotype" w:hAnsi="Palatino Linotype" w:cs="Palatino Linotype"/>
        </w:rPr>
        <w:t>.</w:t>
      </w:r>
    </w:p>
    <w:p w14:paraId="4C3006B4" w14:textId="77777777" w:rsidR="00AF47DB" w:rsidRDefault="0002429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03774/INFOEM/IP/RR/2022</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una persona de manera anónima,</w:t>
      </w:r>
      <w:r>
        <w:rPr>
          <w:rFonts w:ascii="Palatino Linotype" w:eastAsia="Palatino Linotype" w:hAnsi="Palatino Linotype" w:cs="Palatino Linotype"/>
        </w:rPr>
        <w:t xml:space="preserve"> en lo sucesivo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folio </w:t>
      </w:r>
      <w:r>
        <w:rPr>
          <w:rFonts w:ascii="Palatino Linotype" w:eastAsia="Palatino Linotype" w:hAnsi="Palatino Linotype" w:cs="Palatino Linotype"/>
          <w:b/>
        </w:rPr>
        <w:t xml:space="preserve"> 00003/OASZINACAN/IP/2022,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 xml:space="preserve">Organismo Público Descentralizado para la Prestación de los Servicios de Agua Potable Alcantarillado y Saneamiento de Zinacantepec,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14:paraId="697DFC5B" w14:textId="77777777" w:rsidR="00AF47DB" w:rsidRDefault="00024296">
      <w:pPr>
        <w:numPr>
          <w:ilvl w:val="0"/>
          <w:numId w:val="7"/>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rPr>
      </w:pPr>
      <w:r>
        <w:rPr>
          <w:rFonts w:ascii="Palatino Linotype" w:eastAsia="Palatino Linotype" w:hAnsi="Palatino Linotype" w:cs="Palatino Linotype"/>
          <w:b/>
        </w:rPr>
        <w:t>A N T E C E D E N T E S:</w:t>
      </w:r>
    </w:p>
    <w:p w14:paraId="21472E84"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siete de febrero del dos mil veintidós,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14:paraId="42D0304E" w14:textId="77777777" w:rsidR="00AF47DB" w:rsidRDefault="00024296">
      <w:pPr>
        <w:spacing w:before="240" w:after="240" w:line="276" w:lineRule="auto"/>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“requiero copia de cada una de las renuncias de los directores, jefes, coordinadores salientes de la administración 2019 - 2021 </w:t>
      </w:r>
      <w:proofErr w:type="spellStart"/>
      <w:r>
        <w:rPr>
          <w:rFonts w:ascii="Palatino Linotype" w:eastAsia="Palatino Linotype" w:hAnsi="Palatino Linotype" w:cs="Palatino Linotype"/>
          <w:i/>
          <w:sz w:val="22"/>
          <w:szCs w:val="22"/>
        </w:rPr>
        <w:t>asi</w:t>
      </w:r>
      <w:proofErr w:type="spellEnd"/>
      <w:r>
        <w:rPr>
          <w:rFonts w:ascii="Palatino Linotype" w:eastAsia="Palatino Linotype" w:hAnsi="Palatino Linotype" w:cs="Palatino Linotype"/>
          <w:i/>
          <w:sz w:val="22"/>
          <w:szCs w:val="22"/>
        </w:rPr>
        <w:t xml:space="preserve"> como recibos de finiquito.” (Sic)</w:t>
      </w:r>
    </w:p>
    <w:p w14:paraId="47D9FC93"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10BB5DE2" w14:textId="77777777" w:rsidR="00AF47DB" w:rsidRDefault="00024296">
      <w:pPr>
        <w:spacing w:line="360" w:lineRule="auto"/>
        <w:jc w:val="both"/>
      </w:pPr>
      <w:r>
        <w:rPr>
          <w:rFonts w:ascii="Palatino Linotype" w:eastAsia="Palatino Linotype" w:hAnsi="Palatino Linotype" w:cs="Palatino Linotype"/>
          <w:b/>
        </w:rPr>
        <w:lastRenderedPageBreak/>
        <w:t>2. Prórroga.</w:t>
      </w:r>
      <w:r>
        <w:rPr>
          <w:rFonts w:ascii="Palatino Linotype" w:eastAsia="Palatino Linotype" w:hAnsi="Palatino Linotype" w:cs="Palatino Linotype"/>
          <w:color w:val="000000"/>
        </w:rPr>
        <w:t xml:space="preserve"> De las constancias que obran en el expediente electrónico del SAIMEX, se desprende que el </w:t>
      </w:r>
      <w:proofErr w:type="gramStart"/>
      <w:r>
        <w:rPr>
          <w:rFonts w:ascii="Palatino Linotype" w:eastAsia="Palatino Linotype" w:hAnsi="Palatino Linotype" w:cs="Palatino Linotype"/>
          <w:color w:val="000000"/>
        </w:rPr>
        <w:t>Responsable</w:t>
      </w:r>
      <w:proofErr w:type="gramEnd"/>
      <w:r>
        <w:rPr>
          <w:rFonts w:ascii="Palatino Linotype" w:eastAsia="Palatino Linotype" w:hAnsi="Palatino Linotype" w:cs="Palatino Linotype"/>
          <w:color w:val="000000"/>
        </w:rPr>
        <w:t xml:space="preserve"> de la Unidad de Transparencia, el </w:t>
      </w:r>
      <w:r>
        <w:rPr>
          <w:rFonts w:ascii="Palatino Linotype" w:eastAsia="Palatino Linotype" w:hAnsi="Palatino Linotype" w:cs="Palatino Linotype"/>
          <w:b/>
          <w:color w:val="000000"/>
        </w:rPr>
        <w:t>primero de marzo del año dos mil veintidós</w:t>
      </w:r>
      <w:r>
        <w:rPr>
          <w:rFonts w:ascii="Palatino Linotype" w:eastAsia="Palatino Linotype" w:hAnsi="Palatino Linotype" w:cs="Palatino Linotype"/>
          <w:color w:val="000000"/>
        </w:rPr>
        <w:t>, notificó una prórroga de siete días más, a los quince días que señala el artículo 163 de la Ley de Transparencia y Acceso a la Información Pública vigente en la entidad; para emitir su respuesta correspondiente, argumentando lo siguiente:</w:t>
      </w:r>
    </w:p>
    <w:p w14:paraId="7F0D6FB4" w14:textId="77777777" w:rsidR="00AF47DB" w:rsidRDefault="00024296">
      <w:pPr>
        <w:spacing w:before="240" w:after="240" w:line="276" w:lineRule="auto"/>
        <w:ind w:left="108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1834CF8" w14:textId="77777777" w:rsidR="00AF47DB" w:rsidRDefault="00024296">
      <w:pPr>
        <w:spacing w:before="240" w:after="240" w:line="276" w:lineRule="auto"/>
        <w:ind w:left="108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Se aprueba por unanimidad, en la </w:t>
      </w:r>
      <w:proofErr w:type="gramStart"/>
      <w:r>
        <w:rPr>
          <w:rFonts w:ascii="Palatino Linotype" w:eastAsia="Palatino Linotype" w:hAnsi="Palatino Linotype" w:cs="Palatino Linotype"/>
          <w:i/>
          <w:sz w:val="22"/>
          <w:szCs w:val="22"/>
        </w:rPr>
        <w:t>primer sesión extraordinaria</w:t>
      </w:r>
      <w:proofErr w:type="gramEnd"/>
      <w:r>
        <w:rPr>
          <w:rFonts w:ascii="Palatino Linotype" w:eastAsia="Palatino Linotype" w:hAnsi="Palatino Linotype" w:cs="Palatino Linotype"/>
          <w:i/>
          <w:sz w:val="22"/>
          <w:szCs w:val="22"/>
        </w:rPr>
        <w:t xml:space="preserve"> del comité de transparencia</w:t>
      </w:r>
    </w:p>
    <w:p w14:paraId="652C943E" w14:textId="77777777" w:rsidR="00AF47DB" w:rsidRDefault="00024296">
      <w:pPr>
        <w:spacing w:before="240" w:after="240" w:line="276" w:lineRule="auto"/>
        <w:ind w:left="108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 L.C. Monserrat Romero Ventura</w:t>
      </w:r>
    </w:p>
    <w:p w14:paraId="7A3FF9AB" w14:textId="77777777" w:rsidR="00AF47DB" w:rsidRDefault="00024296">
      <w:pPr>
        <w:spacing w:before="240" w:after="240" w:line="360" w:lineRule="auto"/>
        <w:ind w:left="108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Responsable de la Unidad de Transparencia</w:t>
      </w:r>
    </w:p>
    <w:p w14:paraId="035A0B96"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Respuesta del Sujeto Obligado.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diez de marzo del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14:paraId="307B33B6" w14:textId="77777777" w:rsidR="00AF47DB" w:rsidRDefault="00024296">
      <w:pPr>
        <w:spacing w:before="240" w:after="240" w:line="276" w:lineRule="auto"/>
        <w:ind w:left="108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17BAC21" w14:textId="77777777" w:rsidR="00AF47DB" w:rsidRDefault="00024296">
      <w:pPr>
        <w:spacing w:before="240" w:after="240" w:line="276" w:lineRule="auto"/>
        <w:ind w:left="108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Se da respuesta a su solicitud de información esperando le sea de utilidad, sin omitir señalar que tiene derecho a inconformarse en la forma y término indicado en el oficio adjunto.</w:t>
      </w:r>
    </w:p>
    <w:p w14:paraId="00872DC2" w14:textId="77777777" w:rsidR="00AF47DB" w:rsidRDefault="00024296">
      <w:pPr>
        <w:spacing w:before="240" w:after="240" w:line="276" w:lineRule="auto"/>
        <w:ind w:left="108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5CF30EB1" w14:textId="77777777" w:rsidR="00AF47DB" w:rsidRDefault="00024296">
      <w:pPr>
        <w:spacing w:before="240" w:after="240" w:line="276" w:lineRule="auto"/>
        <w:ind w:left="108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 L.C. Monserrat Romero Ventura” (Sic)</w:t>
      </w:r>
    </w:p>
    <w:p w14:paraId="73878FDF" w14:textId="77777777" w:rsidR="00AF47DB" w:rsidRDefault="00024296">
      <w:pPr>
        <w:spacing w:before="240" w:after="240" w:line="276" w:lineRule="auto"/>
        <w:ind w:right="18"/>
        <w:jc w:val="both"/>
        <w:rPr>
          <w:rFonts w:ascii="Palatino Linotype" w:eastAsia="Palatino Linotype" w:hAnsi="Palatino Linotype" w:cs="Palatino Linotype"/>
        </w:rPr>
      </w:pPr>
      <w:r>
        <w:rPr>
          <w:rFonts w:ascii="Palatino Linotype" w:eastAsia="Palatino Linotype" w:hAnsi="Palatino Linotype" w:cs="Palatino Linotype"/>
        </w:rPr>
        <w:t xml:space="preserve">A través de la cual adjuntó tres documentos que se describen a continuación: </w:t>
      </w:r>
    </w:p>
    <w:p w14:paraId="32A7615D" w14:textId="77777777" w:rsidR="00AF47DB" w:rsidRDefault="00024296">
      <w:pPr>
        <w:numPr>
          <w:ilvl w:val="0"/>
          <w:numId w:val="4"/>
        </w:numPr>
        <w:pBdr>
          <w:top w:val="nil"/>
          <w:left w:val="nil"/>
          <w:bottom w:val="nil"/>
          <w:right w:val="nil"/>
          <w:between w:val="nil"/>
        </w:pBdr>
        <w:spacing w:before="240" w:after="240" w:line="276" w:lineRule="auto"/>
        <w:ind w:right="18"/>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“Oficio Respuesta U.T..</w:t>
      </w:r>
      <w:proofErr w:type="spellStart"/>
      <w:r>
        <w:rPr>
          <w:rFonts w:ascii="Palatino Linotype" w:eastAsia="Palatino Linotype" w:hAnsi="Palatino Linotype" w:cs="Palatino Linotype"/>
          <w:b/>
          <w:i/>
          <w:color w:val="000000"/>
        </w:rPr>
        <w:t>pdf</w:t>
      </w:r>
      <w:proofErr w:type="spellEnd"/>
      <w:r>
        <w:rPr>
          <w:rFonts w:ascii="Palatino Linotype" w:eastAsia="Palatino Linotype" w:hAnsi="Palatino Linotype" w:cs="Palatino Linotype"/>
          <w:b/>
          <w:i/>
          <w:color w:val="000000"/>
        </w:rPr>
        <w:t xml:space="preserve"> “, </w:t>
      </w:r>
      <w:r>
        <w:rPr>
          <w:rFonts w:ascii="Palatino Linotype" w:eastAsia="Palatino Linotype" w:hAnsi="Palatino Linotype" w:cs="Palatino Linotype"/>
          <w:color w:val="000000"/>
        </w:rPr>
        <w:t>oficio sin número de fecha diez de marzo de dos mil veintidós a través del cual la Titular de la Unidad de Información, Planeación, Programación, Evaluación y Transparencia, manifiesta lo siguiente:</w:t>
      </w:r>
    </w:p>
    <w:p w14:paraId="5A4EF04B" w14:textId="77777777" w:rsidR="00AF47DB" w:rsidRDefault="00024296">
      <w:pPr>
        <w:spacing w:before="240" w:after="240" w:line="276" w:lineRule="auto"/>
        <w:ind w:right="18"/>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5181DB31" wp14:editId="7DC2CEDF">
            <wp:extent cx="4719844" cy="3440726"/>
            <wp:effectExtent l="0" t="0" r="0" b="0"/>
            <wp:docPr id="8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t="33309" r="4214" b="2951"/>
                    <a:stretch>
                      <a:fillRect/>
                    </a:stretch>
                  </pic:blipFill>
                  <pic:spPr>
                    <a:xfrm>
                      <a:off x="0" y="0"/>
                      <a:ext cx="4719844" cy="3440726"/>
                    </a:xfrm>
                    <a:prstGeom prst="rect">
                      <a:avLst/>
                    </a:prstGeom>
                    <a:ln/>
                  </pic:spPr>
                </pic:pic>
              </a:graphicData>
            </a:graphic>
          </wp:inline>
        </w:drawing>
      </w:r>
    </w:p>
    <w:p w14:paraId="21656057" w14:textId="77777777" w:rsidR="00AF47DB" w:rsidRDefault="00AF47DB">
      <w:pPr>
        <w:spacing w:before="240" w:after="240" w:line="276" w:lineRule="auto"/>
        <w:ind w:right="18"/>
        <w:jc w:val="both"/>
        <w:rPr>
          <w:rFonts w:ascii="Palatino Linotype" w:eastAsia="Palatino Linotype" w:hAnsi="Palatino Linotype" w:cs="Palatino Linotype"/>
        </w:rPr>
      </w:pPr>
    </w:p>
    <w:p w14:paraId="492D9D15" w14:textId="77777777" w:rsidR="00AF47DB" w:rsidRDefault="00024296">
      <w:pPr>
        <w:spacing w:before="240" w:after="240" w:line="276" w:lineRule="auto"/>
        <w:ind w:right="18"/>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35874CAE" wp14:editId="229578DE">
            <wp:extent cx="4951064" cy="2575698"/>
            <wp:effectExtent l="0" t="0" r="0" b="0"/>
            <wp:docPr id="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170" b="47827"/>
                    <a:stretch>
                      <a:fillRect/>
                    </a:stretch>
                  </pic:blipFill>
                  <pic:spPr>
                    <a:xfrm>
                      <a:off x="0" y="0"/>
                      <a:ext cx="4951064" cy="2575698"/>
                    </a:xfrm>
                    <a:prstGeom prst="rect">
                      <a:avLst/>
                    </a:prstGeom>
                    <a:ln/>
                  </pic:spPr>
                </pic:pic>
              </a:graphicData>
            </a:graphic>
          </wp:inline>
        </w:drawing>
      </w:r>
    </w:p>
    <w:p w14:paraId="75F0004C" w14:textId="77777777" w:rsidR="00AF47DB" w:rsidRDefault="00024296">
      <w:pPr>
        <w:numPr>
          <w:ilvl w:val="0"/>
          <w:numId w:val="3"/>
        </w:numPr>
        <w:pBdr>
          <w:top w:val="nil"/>
          <w:left w:val="nil"/>
          <w:bottom w:val="nil"/>
          <w:right w:val="nil"/>
          <w:between w:val="nil"/>
        </w:pBdr>
        <w:spacing w:before="240" w:line="360" w:lineRule="auto"/>
        <w:ind w:right="18"/>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“Oficio de Requerimiento de </w:t>
      </w:r>
      <w:proofErr w:type="gramStart"/>
      <w:r>
        <w:rPr>
          <w:rFonts w:ascii="Palatino Linotype" w:eastAsia="Palatino Linotype" w:hAnsi="Palatino Linotype" w:cs="Palatino Linotype"/>
          <w:b/>
          <w:i/>
          <w:color w:val="000000"/>
        </w:rPr>
        <w:t>Información.pdf“</w:t>
      </w:r>
      <w:proofErr w:type="gramEnd"/>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color w:val="000000"/>
        </w:rPr>
        <w:t>Oficio número OPDAPASZ/UIPPEYT/MEMO/0015/2022, de fecha ocho de febrero de dos mil veintidós, suscrito por la Titular de la Unidad de Información, Planeación, Programación, Evaluación y Transparencia, mediante la cual envía requerimiento a la Coordinadora de Administración, Finanzas y Comercialización.</w:t>
      </w:r>
    </w:p>
    <w:p w14:paraId="1348635D" w14:textId="77777777" w:rsidR="00AF47DB" w:rsidRDefault="00AF47DB">
      <w:pPr>
        <w:pBdr>
          <w:top w:val="nil"/>
          <w:left w:val="nil"/>
          <w:bottom w:val="nil"/>
          <w:right w:val="nil"/>
          <w:between w:val="nil"/>
        </w:pBdr>
        <w:spacing w:line="360" w:lineRule="auto"/>
        <w:ind w:left="720" w:right="18"/>
        <w:jc w:val="both"/>
        <w:rPr>
          <w:rFonts w:ascii="Palatino Linotype" w:eastAsia="Palatino Linotype" w:hAnsi="Palatino Linotype" w:cs="Palatino Linotype"/>
          <w:color w:val="000000"/>
        </w:rPr>
      </w:pPr>
    </w:p>
    <w:p w14:paraId="5B18B515" w14:textId="77777777" w:rsidR="00AF47DB" w:rsidRDefault="00024296">
      <w:pPr>
        <w:numPr>
          <w:ilvl w:val="0"/>
          <w:numId w:val="3"/>
        </w:numPr>
        <w:pBdr>
          <w:top w:val="nil"/>
          <w:left w:val="nil"/>
          <w:bottom w:val="nil"/>
          <w:right w:val="nil"/>
          <w:between w:val="nil"/>
        </w:pBdr>
        <w:spacing w:after="240" w:line="360" w:lineRule="auto"/>
        <w:ind w:right="18"/>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“Oficio de Respuesta S.P.H..</w:t>
      </w:r>
      <w:proofErr w:type="spellStart"/>
      <w:r>
        <w:rPr>
          <w:rFonts w:ascii="Palatino Linotype" w:eastAsia="Palatino Linotype" w:hAnsi="Palatino Linotype" w:cs="Palatino Linotype"/>
          <w:b/>
          <w:i/>
          <w:color w:val="000000"/>
        </w:rPr>
        <w:t>pdf</w:t>
      </w:r>
      <w:proofErr w:type="spellEnd"/>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color w:val="000000"/>
        </w:rPr>
        <w:t>Oficio número OPDAPASZ/DG/CAFC/049/2022, de fecha nueve de marzo de dos mil veintidós por medio del cual la Coordinadora de Administración, Finanzas y Comercialización, da respuesta al requerimiento de información, en los siguientes términos:</w:t>
      </w:r>
    </w:p>
    <w:p w14:paraId="5DE7DFB6" w14:textId="77777777" w:rsidR="00AF47DB" w:rsidRDefault="00024296">
      <w:pPr>
        <w:spacing w:before="240" w:after="240" w:line="276" w:lineRule="auto"/>
        <w:ind w:right="18"/>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5B4AA554" wp14:editId="59B568B2">
            <wp:extent cx="4740838" cy="4998855"/>
            <wp:effectExtent l="0" t="0" r="0" b="0"/>
            <wp:docPr id="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740838" cy="4998855"/>
                    </a:xfrm>
                    <a:prstGeom prst="rect">
                      <a:avLst/>
                    </a:prstGeom>
                    <a:ln/>
                  </pic:spPr>
                </pic:pic>
              </a:graphicData>
            </a:graphic>
          </wp:inline>
        </w:drawing>
      </w:r>
    </w:p>
    <w:p w14:paraId="237E3757" w14:textId="77777777" w:rsidR="00AF47DB" w:rsidRDefault="00AF47DB">
      <w:pPr>
        <w:spacing w:before="240" w:after="240" w:line="276" w:lineRule="auto"/>
        <w:ind w:right="18"/>
        <w:jc w:val="center"/>
        <w:rPr>
          <w:rFonts w:ascii="Palatino Linotype" w:eastAsia="Palatino Linotype" w:hAnsi="Palatino Linotype" w:cs="Palatino Linotype"/>
        </w:rPr>
      </w:pPr>
    </w:p>
    <w:p w14:paraId="3C1DBF80"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Interposición del recurso de revisión. </w:t>
      </w:r>
      <w:r>
        <w:rPr>
          <w:rFonts w:ascii="Palatino Linotype" w:eastAsia="Palatino Linotype" w:hAnsi="Palatino Linotype" w:cs="Palatino Linotype"/>
        </w:rPr>
        <w:t xml:space="preserve">Inconforme el solicitante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el recurso de revisión a través del SAIMEX en fecha </w:t>
      </w:r>
      <w:r>
        <w:rPr>
          <w:rFonts w:ascii="Palatino Linotype" w:eastAsia="Palatino Linotype" w:hAnsi="Palatino Linotype" w:cs="Palatino Linotype"/>
          <w:b/>
        </w:rPr>
        <w:t>once de marzo del dos mil veintidós,</w:t>
      </w:r>
      <w:r>
        <w:rPr>
          <w:rFonts w:ascii="Palatino Linotype" w:eastAsia="Palatino Linotype" w:hAnsi="Palatino Linotype" w:cs="Palatino Linotype"/>
        </w:rPr>
        <w:t xml:space="preserve"> a través del cual expresó lo siguiente:</w:t>
      </w:r>
    </w:p>
    <w:p w14:paraId="5C48627F" w14:textId="77777777" w:rsidR="00AF47DB" w:rsidRDefault="00AF47DB">
      <w:pPr>
        <w:spacing w:before="240" w:after="240" w:line="360" w:lineRule="auto"/>
        <w:jc w:val="both"/>
        <w:rPr>
          <w:rFonts w:ascii="Palatino Linotype" w:eastAsia="Palatino Linotype" w:hAnsi="Palatino Linotype" w:cs="Palatino Linotype"/>
        </w:rPr>
      </w:pPr>
    </w:p>
    <w:p w14:paraId="5FF78989" w14:textId="77777777" w:rsidR="00AF47DB" w:rsidRDefault="00024296">
      <w:pPr>
        <w:spacing w:before="240" w:after="240" w:line="360" w:lineRule="auto"/>
        <w:rPr>
          <w:rFonts w:ascii="Palatino Linotype" w:eastAsia="Palatino Linotype" w:hAnsi="Palatino Linotype" w:cs="Palatino Linotype"/>
          <w:b/>
        </w:rPr>
      </w:pPr>
      <w:r>
        <w:rPr>
          <w:rFonts w:ascii="Palatino Linotype" w:eastAsia="Palatino Linotype" w:hAnsi="Palatino Linotype" w:cs="Palatino Linotype"/>
          <w:b/>
        </w:rPr>
        <w:lastRenderedPageBreak/>
        <w:t>a) Acto impugnado.</w:t>
      </w:r>
    </w:p>
    <w:p w14:paraId="36644016" w14:textId="77777777" w:rsidR="00AF47DB" w:rsidRDefault="00024296">
      <w:pPr>
        <w:spacing w:before="240" w:after="240" w:line="360"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negativa de la información.” </w:t>
      </w:r>
    </w:p>
    <w:p w14:paraId="3EFB5460" w14:textId="77777777" w:rsidR="00AF47DB" w:rsidRDefault="0002429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4AE0AC2F" w14:textId="77777777" w:rsidR="00AF47DB" w:rsidRDefault="00024296">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la respuesta no contiene nada referente a lo que pedí, se tardaron 15 días y 7 más para adjuntar una respuesta que al final solo adjunta que es posesión de ellos la portabilidad de sus datos personales, en ese caso les recuerdo que los pagos de finiquito fueron REALIZADOS con dinero proveniente de los ciudadanos y no manera privada para que oculten la información en ese caso manden los recibos techados en nombre y esos datos que tapan, ahora en este caso el artículo 86 que señalan aplica para todo o solo para los que ya se fueron? o acaso todas respuestas vendrán en ese mismo sentido? Saludos</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283A6197" w14:textId="77777777" w:rsidR="00AF47DB" w:rsidRDefault="0002429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5. Turno</w:t>
      </w:r>
      <w:r>
        <w:rPr>
          <w:rFonts w:ascii="Palatino Linotype" w:eastAsia="Palatino Linotype" w:hAnsi="Palatino Linotype" w:cs="Palatino Linotype"/>
          <w:b/>
          <w:sz w:val="28"/>
          <w:szCs w:val="28"/>
        </w:rPr>
        <w:t>. </w:t>
      </w:r>
      <w:r>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w:t>
      </w:r>
      <w:r>
        <w:rPr>
          <w:rFonts w:ascii="Palatino Linotype" w:eastAsia="Palatino Linotype" w:hAnsi="Palatino Linotype" w:cs="Palatino Linotype"/>
          <w:b/>
        </w:rPr>
        <w:t xml:space="preserve"> Comisionada</w:t>
      </w:r>
      <w:r>
        <w:rPr>
          <w:rFonts w:ascii="Palatino Linotype" w:eastAsia="Palatino Linotype" w:hAnsi="Palatino Linotype" w:cs="Palatino Linotype"/>
        </w:rPr>
        <w:t>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 </w:t>
      </w:r>
    </w:p>
    <w:p w14:paraId="62BEA184"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6. Admisión del recurso de revisión: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dieciséis de marzo del dos mil veintidós</w:t>
      </w:r>
      <w:r>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w:t>
      </w:r>
      <w:r>
        <w:rPr>
          <w:rFonts w:ascii="Palatino Linotype" w:eastAsia="Palatino Linotype" w:hAnsi="Palatino Linotype" w:cs="Palatino Linotype"/>
        </w:rPr>
        <w:lastRenderedPageBreak/>
        <w:t xml:space="preserve">manifestaran lo que a su derecho resultara conveniente, ofrecieran pruebas, formularan alegatos y el Sujeto Obligado presentara su informe justificado. </w:t>
      </w:r>
    </w:p>
    <w:p w14:paraId="46471F9E" w14:textId="77777777" w:rsidR="00AF47DB" w:rsidRDefault="00024296">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Manifestaciones</w:t>
      </w:r>
      <w:r>
        <w:rPr>
          <w:rFonts w:ascii="Palatino Linotype" w:eastAsia="Palatino Linotype" w:hAnsi="Palatino Linotype" w:cs="Palatino Linotype"/>
        </w:rPr>
        <w:t xml:space="preserve">: De las constancias que integran el expediente en que se actúa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veintiocho de marzo de dos mil veintidós,</w:t>
      </w:r>
      <w:r>
        <w:rPr>
          <w:rFonts w:ascii="Palatino Linotype" w:eastAsia="Palatino Linotype" w:hAnsi="Palatino Linotype" w:cs="Palatino Linotype"/>
        </w:rPr>
        <w:t xml:space="preserve"> rinde informe justificado en los términos siguientes:</w:t>
      </w:r>
    </w:p>
    <w:p w14:paraId="3194C1FF" w14:textId="77777777" w:rsidR="00AF47DB" w:rsidRDefault="00024296">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rPr>
      </w:pPr>
      <w:r>
        <w:rPr>
          <w:noProof/>
          <w:lang w:val="es-MX" w:eastAsia="es-MX"/>
        </w:rPr>
        <w:drawing>
          <wp:inline distT="0" distB="0" distL="0" distR="0" wp14:anchorId="1F7E650F" wp14:editId="4EF7B59C">
            <wp:extent cx="5470809" cy="3835207"/>
            <wp:effectExtent l="0" t="0" r="0" b="0"/>
            <wp:docPr id="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54141" t="39831" r="12931" b="19131"/>
                    <a:stretch>
                      <a:fillRect/>
                    </a:stretch>
                  </pic:blipFill>
                  <pic:spPr>
                    <a:xfrm>
                      <a:off x="0" y="0"/>
                      <a:ext cx="5470809" cy="3835207"/>
                    </a:xfrm>
                    <a:prstGeom prst="rect">
                      <a:avLst/>
                    </a:prstGeom>
                    <a:ln/>
                  </pic:spPr>
                </pic:pic>
              </a:graphicData>
            </a:graphic>
          </wp:inline>
        </w:drawing>
      </w:r>
    </w:p>
    <w:p w14:paraId="32E3260F" w14:textId="77777777" w:rsidR="00AF47DB" w:rsidRDefault="00024296">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0FFEEE40" wp14:editId="4206D927">
            <wp:extent cx="5612130" cy="6876415"/>
            <wp:effectExtent l="0" t="0" r="0" b="0"/>
            <wp:docPr id="8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612130" cy="6876415"/>
                    </a:xfrm>
                    <a:prstGeom prst="rect">
                      <a:avLst/>
                    </a:prstGeom>
                    <a:ln/>
                  </pic:spPr>
                </pic:pic>
              </a:graphicData>
            </a:graphic>
          </wp:inline>
        </w:drawing>
      </w:r>
    </w:p>
    <w:p w14:paraId="4F37DFCB" w14:textId="77777777" w:rsidR="00AF47DB" w:rsidRDefault="00024296">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1BC58716" wp14:editId="03DC0946">
            <wp:extent cx="5612130" cy="6469380"/>
            <wp:effectExtent l="0" t="0" r="0" b="0"/>
            <wp:docPr id="8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612130" cy="6469380"/>
                    </a:xfrm>
                    <a:prstGeom prst="rect">
                      <a:avLst/>
                    </a:prstGeom>
                    <a:ln/>
                  </pic:spPr>
                </pic:pic>
              </a:graphicData>
            </a:graphic>
          </wp:inline>
        </w:drawing>
      </w:r>
    </w:p>
    <w:p w14:paraId="2D91607D" w14:textId="77777777" w:rsidR="00AF47DB" w:rsidRDefault="00024296">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Y agregó el documento: </w:t>
      </w:r>
      <w:r>
        <w:rPr>
          <w:rFonts w:ascii="Palatino Linotype" w:eastAsia="Palatino Linotype" w:hAnsi="Palatino Linotype" w:cs="Palatino Linotype"/>
          <w:b/>
          <w:i/>
        </w:rPr>
        <w:t xml:space="preserve">Anexos RR-SOL-03.pdf, </w:t>
      </w:r>
      <w:r>
        <w:rPr>
          <w:rFonts w:ascii="Palatino Linotype" w:eastAsia="Palatino Linotype" w:hAnsi="Palatino Linotype" w:cs="Palatino Linotype"/>
        </w:rPr>
        <w:t xml:space="preserve">el cual no fue puesto a la vista la </w:t>
      </w:r>
      <w:r>
        <w:rPr>
          <w:rFonts w:ascii="Palatino Linotype" w:eastAsia="Palatino Linotype" w:hAnsi="Palatino Linotype" w:cs="Palatino Linotype"/>
        </w:rPr>
        <w:lastRenderedPageBreak/>
        <w:t xml:space="preserve">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por contener datos de carácter personal, información que se analizará en líneas posteriores.</w:t>
      </w:r>
    </w:p>
    <w:p w14:paraId="3D2F6AE9" w14:textId="77777777" w:rsidR="00AF47DB" w:rsidRDefault="00024296">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informe justificado fue puesto a la vista de la </w:t>
      </w:r>
      <w:r>
        <w:rPr>
          <w:rFonts w:ascii="Palatino Linotype" w:eastAsia="Palatino Linotype" w:hAnsi="Palatino Linotype" w:cs="Palatino Linotype"/>
          <w:b/>
        </w:rPr>
        <w:t>parte Recurrente</w:t>
      </w:r>
      <w:r>
        <w:rPr>
          <w:rFonts w:ascii="Palatino Linotype" w:eastAsia="Palatino Linotype" w:hAnsi="Palatino Linotype" w:cs="Palatino Linotype"/>
        </w:rPr>
        <w:t xml:space="preserve"> el veinticuatro de mayo de dos mil veintidós, por su parte, la </w:t>
      </w:r>
      <w:r>
        <w:rPr>
          <w:rFonts w:ascii="Palatino Linotype" w:eastAsia="Palatino Linotype" w:hAnsi="Palatino Linotype" w:cs="Palatino Linotype"/>
          <w:b/>
        </w:rPr>
        <w:t>parte Recurrente</w:t>
      </w:r>
      <w:r>
        <w:rPr>
          <w:rFonts w:ascii="Palatino Linotype" w:eastAsia="Palatino Linotype" w:hAnsi="Palatino Linotype" w:cs="Palatino Linotype"/>
        </w:rPr>
        <w:t xml:space="preserve"> fue omisa en emitir manifestaciones. </w:t>
      </w:r>
    </w:p>
    <w:p w14:paraId="5F253BC4" w14:textId="77777777" w:rsidR="00AF47DB" w:rsidRDefault="00024296">
      <w:pPr>
        <w:widowControl w:val="0"/>
        <w:spacing w:before="240" w:after="240" w:line="360" w:lineRule="auto"/>
        <w:jc w:val="both"/>
        <w:rPr>
          <w:rFonts w:ascii="Palatino Linotype" w:eastAsia="Palatino Linotype" w:hAnsi="Palatino Linotype" w:cs="Palatino Linotype"/>
          <w:highlight w:val="yellow"/>
        </w:rPr>
      </w:pPr>
      <w:r>
        <w:rPr>
          <w:rFonts w:ascii="Palatino Linotype" w:eastAsia="Palatino Linotype" w:hAnsi="Palatino Linotype" w:cs="Palatino Linotype"/>
          <w:b/>
        </w:rPr>
        <w:t>8.- Ampliación del plazo para emitir resolución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dieciséis de mayo del dos mil veintidós,</w:t>
      </w:r>
      <w:r>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mediante el acuerdo respectivo, ampliar el plazo para emitir la presente resolución a fin de realizar un mejor estudio del asunto.</w:t>
      </w:r>
    </w:p>
    <w:p w14:paraId="3272C737" w14:textId="77777777" w:rsidR="00AF47DB" w:rsidRDefault="00024296">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85149DE" w14:textId="77777777" w:rsidR="00AF47DB" w:rsidRDefault="00024296">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es menester precisar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Pr>
          <w:rFonts w:ascii="Palatino Linotype" w:eastAsia="Palatino Linotype" w:hAnsi="Palatino Linotype" w:cs="Palatino Linotype"/>
        </w:rPr>
        <w:lastRenderedPageBreak/>
        <w:t>órganos jurisdiccionales federales, aplicables también en procedimientos análogos, como el que nos ocupa.</w:t>
      </w:r>
    </w:p>
    <w:p w14:paraId="618BAF06" w14:textId="77777777" w:rsidR="00AF47DB" w:rsidRDefault="00024296">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6C6703E" w14:textId="77777777" w:rsidR="00AF47DB" w:rsidRDefault="00024296">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5CCC60D" w14:textId="77777777" w:rsidR="00AF47DB" w:rsidRDefault="00024296">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w:t>
      </w:r>
    </w:p>
    <w:p w14:paraId="5BD6BE28" w14:textId="77777777" w:rsidR="00AF47DB" w:rsidRDefault="00024296">
      <w:pPr>
        <w:widowControl w:val="0"/>
        <w:spacing w:after="160" w:line="360" w:lineRule="auto"/>
        <w:ind w:left="1280" w:hanging="360"/>
        <w:jc w:val="both"/>
        <w:rPr>
          <w:rFonts w:ascii="Palatino Linotype" w:eastAsia="Palatino Linotype" w:hAnsi="Palatino Linotype" w:cs="Palatino Linotype"/>
        </w:rPr>
      </w:pPr>
      <w:r>
        <w:rPr>
          <w:rFonts w:ascii="Palatino Linotype" w:eastAsia="Palatino Linotype" w:hAnsi="Palatino Linotype" w:cs="Palatino Linotype"/>
        </w:rPr>
        <w:t>a)</w:t>
      </w:r>
      <w:r>
        <w:rPr>
          <w:sz w:val="14"/>
          <w:szCs w:val="14"/>
        </w:rPr>
        <w:t xml:space="preserve">      </w:t>
      </w:r>
      <w:r>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14:paraId="5849F1C7" w14:textId="77777777" w:rsidR="00AF47DB" w:rsidRDefault="00024296">
      <w:pPr>
        <w:widowControl w:val="0"/>
        <w:spacing w:after="160" w:line="360" w:lineRule="auto"/>
        <w:ind w:left="1280" w:hanging="360"/>
        <w:jc w:val="both"/>
        <w:rPr>
          <w:rFonts w:ascii="Palatino Linotype" w:eastAsia="Palatino Linotype" w:hAnsi="Palatino Linotype" w:cs="Palatino Linotype"/>
        </w:rPr>
      </w:pPr>
      <w:r>
        <w:rPr>
          <w:rFonts w:ascii="Palatino Linotype" w:eastAsia="Palatino Linotype" w:hAnsi="Palatino Linotype" w:cs="Palatino Linotype"/>
        </w:rPr>
        <w:t>b)</w:t>
      </w:r>
      <w:r>
        <w:rPr>
          <w:sz w:val="14"/>
          <w:szCs w:val="14"/>
        </w:rPr>
        <w:t xml:space="preserve">     </w:t>
      </w:r>
      <w:r>
        <w:rPr>
          <w:rFonts w:ascii="Palatino Linotype" w:eastAsia="Palatino Linotype" w:hAnsi="Palatino Linotype" w:cs="Palatino Linotype"/>
        </w:rPr>
        <w:t>Actividad Procesal del interesado. Acciones u omisiones del interesado.</w:t>
      </w:r>
    </w:p>
    <w:p w14:paraId="27CD32B1" w14:textId="77777777" w:rsidR="00AF47DB" w:rsidRDefault="00024296">
      <w:pPr>
        <w:widowControl w:val="0"/>
        <w:spacing w:after="160" w:line="360" w:lineRule="auto"/>
        <w:ind w:left="1280" w:hanging="360"/>
        <w:jc w:val="both"/>
        <w:rPr>
          <w:rFonts w:ascii="Palatino Linotype" w:eastAsia="Palatino Linotype" w:hAnsi="Palatino Linotype" w:cs="Palatino Linotype"/>
        </w:rPr>
      </w:pPr>
      <w:r>
        <w:rPr>
          <w:rFonts w:ascii="Palatino Linotype" w:eastAsia="Palatino Linotype" w:hAnsi="Palatino Linotype" w:cs="Palatino Linotype"/>
        </w:rPr>
        <w:t>c)</w:t>
      </w:r>
      <w:r>
        <w:rPr>
          <w:sz w:val="14"/>
          <w:szCs w:val="14"/>
        </w:rPr>
        <w:t xml:space="preserve">      </w:t>
      </w: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061E6A26" w14:textId="77777777" w:rsidR="00AF47DB" w:rsidRDefault="00024296">
      <w:pPr>
        <w:widowControl w:val="0"/>
        <w:spacing w:before="240" w:after="240" w:line="360" w:lineRule="auto"/>
        <w:ind w:left="1420" w:hanging="420"/>
        <w:jc w:val="both"/>
        <w:rPr>
          <w:rFonts w:ascii="Palatino Linotype" w:eastAsia="Palatino Linotype" w:hAnsi="Palatino Linotype" w:cs="Palatino Linotype"/>
        </w:rPr>
      </w:pPr>
      <w:r>
        <w:rPr>
          <w:rFonts w:ascii="Palatino Linotype" w:eastAsia="Palatino Linotype" w:hAnsi="Palatino Linotype" w:cs="Palatino Linotype"/>
        </w:rPr>
        <w:t xml:space="preserve">d) La afectación generada en la situación jurídica de la persona involucrada </w:t>
      </w:r>
      <w:r>
        <w:rPr>
          <w:rFonts w:ascii="Palatino Linotype" w:eastAsia="Palatino Linotype" w:hAnsi="Palatino Linotype" w:cs="Palatino Linotype"/>
        </w:rPr>
        <w:lastRenderedPageBreak/>
        <w:t>en el proceso: Violación a sus derechos humanos.</w:t>
      </w:r>
    </w:p>
    <w:p w14:paraId="57DAEFF9" w14:textId="77777777" w:rsidR="00AF47DB" w:rsidRDefault="00024296">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534F7D5" w14:textId="77777777" w:rsidR="00AF47DB" w:rsidRDefault="00024296">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5C1447B8" w14:textId="77777777" w:rsidR="00AF47DB" w:rsidRDefault="00024296">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Pr>
          <w:rFonts w:ascii="Palatino Linotype" w:eastAsia="Palatino Linotype" w:hAnsi="Palatino Linotype" w:cs="Palatino Linotype"/>
        </w:rPr>
        <w:lastRenderedPageBreak/>
        <w:t>desahogadas por las partes; lo que impide la tramitación de los recursos dentro de los términos legales previamente establecidos por la Ley, por tratarse de causas de fuerza mayor.</w:t>
      </w:r>
    </w:p>
    <w:p w14:paraId="11105788" w14:textId="77777777" w:rsidR="00AF47DB" w:rsidRDefault="00024296">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AFAAF48" w14:textId="77777777" w:rsidR="00AF47DB" w:rsidRDefault="00024296">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3E2343CF" w14:textId="77777777" w:rsidR="00AF47DB" w:rsidRDefault="00024296">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69ED3031" w14:textId="77777777" w:rsidR="00AF47DB" w:rsidRDefault="00024296">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4B5EB964"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9.- Cierre de Instrucción.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treinta y uno de mayo de dos mil veintidós,</w:t>
      </w:r>
      <w:r>
        <w:rPr>
          <w:rFonts w:ascii="Palatino Linotype" w:eastAsia="Palatino Linotype" w:hAnsi="Palatino Linotype" w:cs="Palatino Linotype"/>
        </w:rPr>
        <w:t xml:space="preserve"> con fundamento en lo establecido en los artículos 185, fracción VI de la Ley de Transparencia y Acceso a la Información Pública del Estado de México y Municipios, al no existir trámite pendiente por realizar y haber sido sustanciado el medio de </w:t>
      </w:r>
      <w:r>
        <w:rPr>
          <w:rFonts w:ascii="Palatino Linotype" w:eastAsia="Palatino Linotype" w:hAnsi="Palatino Linotype" w:cs="Palatino Linotype"/>
        </w:rPr>
        <w:lastRenderedPageBreak/>
        <w:t>impugnación se acordó el cierre de instrucción y se procede a formular la resolución que en derecho corresponda.</w:t>
      </w:r>
    </w:p>
    <w:p w14:paraId="0BFB1942" w14:textId="77777777" w:rsidR="00AF47DB" w:rsidRDefault="00024296">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p>
    <w:p w14:paraId="3B04A9FB" w14:textId="77777777" w:rsidR="00AF47DB" w:rsidRDefault="00024296">
      <w:pPr>
        <w:widowControl w:val="0"/>
        <w:pBdr>
          <w:top w:val="nil"/>
          <w:left w:val="nil"/>
          <w:bottom w:val="nil"/>
          <w:right w:val="nil"/>
          <w:between w:val="nil"/>
        </w:pBdr>
        <w:tabs>
          <w:tab w:val="left" w:pos="709"/>
        </w:tabs>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w:t>
      </w:r>
      <w:r>
        <w:rPr>
          <w:rFonts w:ascii="Palatino Linotype" w:eastAsia="Palatino Linotype" w:hAnsi="Palatino Linotype" w:cs="Palatino Linotype"/>
          <w:b/>
        </w:rPr>
        <w:tab/>
        <w:t>C O N S I D E R A N D O S</w:t>
      </w:r>
    </w:p>
    <w:p w14:paraId="3CF9D415" w14:textId="77777777" w:rsidR="00AF47DB" w:rsidRDefault="00024296">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w:t>
      </w:r>
      <w:r>
        <w:rPr>
          <w:rFonts w:ascii="Palatino Linotype" w:eastAsia="Palatino Linotype" w:hAnsi="Palatino Linotype" w:cs="Palatino Linotype"/>
          <w:b/>
          <w:highlight w:val="white"/>
        </w:rPr>
        <w:t>Recurrente</w:t>
      </w:r>
      <w:r>
        <w:rPr>
          <w:rFonts w:ascii="Palatino Linotype" w:eastAsia="Palatino Linotype" w:hAnsi="Palatino Linotype" w:cs="Palatino Linotype"/>
          <w:highlight w:val="white"/>
        </w:rPr>
        <w:t xml:space="preserve">, conforme a lo dispuesto en los artículos 6, apartado A de la Constitución Política de los Estados Unidos Mexicanos; 5, párrafos vigésimo noveno, trigésimo y trigésimo primero,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14:paraId="5749F18F"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De conformidad con los requisitos de Oportunidad y Procedibilidad que debe reunir el recurso de revisión interpuesto, previstos en los artículos 178 y 180 de la Ley de Transparencia y Acceso a la Información Pública del Estado de México y Municipios; </w:t>
      </w:r>
      <w:r>
        <w:rPr>
          <w:rFonts w:ascii="Palatino Linotype" w:eastAsia="Palatino Linotype" w:hAnsi="Palatino Linotype" w:cs="Palatino Linotype"/>
        </w:rPr>
        <w:lastRenderedPageBreak/>
        <w:t xml:space="preserve">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w:t>
      </w:r>
      <w:r>
        <w:rPr>
          <w:rFonts w:ascii="Palatino Linotype" w:eastAsia="Palatino Linotype" w:hAnsi="Palatino Linotype" w:cs="Palatino Linotype"/>
          <w:b/>
        </w:rPr>
        <w:t>diez de marzo del año dos mil veintidós</w:t>
      </w:r>
      <w:r>
        <w:rPr>
          <w:rFonts w:ascii="Palatino Linotype" w:eastAsia="Palatino Linotype" w:hAnsi="Palatino Linotype" w:cs="Palatino Linotype"/>
        </w:rPr>
        <w:t xml:space="preserve"> y el recurrente presentó su recurso de revisión el </w:t>
      </w:r>
      <w:r>
        <w:rPr>
          <w:rFonts w:ascii="Palatino Linotype" w:eastAsia="Palatino Linotype" w:hAnsi="Palatino Linotype" w:cs="Palatino Linotype"/>
          <w:b/>
        </w:rPr>
        <w:t>once de marzo del dos mil veintidós</w:t>
      </w:r>
      <w:r>
        <w:rPr>
          <w:rFonts w:ascii="Palatino Linotype" w:eastAsia="Palatino Linotype" w:hAnsi="Palatino Linotype" w:cs="Palatino Linotype"/>
        </w:rPr>
        <w:t>, esto es al siguiente día hábil de aquel en que tuvo conocimiento de la respuesta; evidenciándose que la interposición del recurso se encuentra dentro de los márgenes temporales previstos en el citado precepto legal.</w:t>
      </w:r>
    </w:p>
    <w:p w14:paraId="4AC4E32D"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por cuanto hace a la procedibilidad del recurso de revisión, es de suma importancia señalar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no señaló nombre o seudónimo 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E4C0238" w14:textId="77777777" w:rsidR="00AF47DB" w:rsidRDefault="00024296">
      <w:pPr>
        <w:spacing w:before="240" w:after="240" w:line="276" w:lineRule="auto"/>
        <w:ind w:left="566" w:right="6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44FE2C7C"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por cuanto hace a la procedibilidad del recurso de revisión, una vez realizado el análisis del formato de interposición del mismo, se concluye la acreditación plena de los elementos formales precisados por el artículo 180 de la Ley </w:t>
      </w:r>
      <w:r>
        <w:rPr>
          <w:rFonts w:ascii="Palatino Linotype" w:eastAsia="Palatino Linotype" w:hAnsi="Palatino Linotype" w:cs="Palatino Linotype"/>
        </w:rPr>
        <w:lastRenderedPageBreak/>
        <w:t>de Transparencia y Acceso a la Información Pública del Estado de México y Municipios, en atención a que fue presentado mediante el formato visible en el SAIMEX.</w:t>
      </w:r>
    </w:p>
    <w:p w14:paraId="65FD5A8D" w14:textId="77777777" w:rsidR="00AF47DB" w:rsidRDefault="00024296">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Ahora bien, resulta procedente la interposición del recurso revisión, según lo aducido por el</w:t>
      </w:r>
      <w:r>
        <w:rPr>
          <w:rFonts w:ascii="Palatino Linotype" w:eastAsia="Palatino Linotype" w:hAnsi="Palatino Linotype" w:cs="Palatino Linotype"/>
          <w:b/>
        </w:rPr>
        <w:t xml:space="preserve"> Recurrente </w:t>
      </w:r>
      <w:r>
        <w:rPr>
          <w:rFonts w:ascii="Palatino Linotype" w:eastAsia="Palatino Linotype" w:hAnsi="Palatino Linotype" w:cs="Palatino Linotype"/>
        </w:rPr>
        <w:t xml:space="preserve">en su acto impugnado como en sus motivos de inconformidad, de acuerdo al artículo 179 fracciones I </w:t>
      </w:r>
      <w:proofErr w:type="gramStart"/>
      <w:r>
        <w:rPr>
          <w:rFonts w:ascii="Palatino Linotype" w:eastAsia="Palatino Linotype" w:hAnsi="Palatino Linotype" w:cs="Palatino Linotype"/>
        </w:rPr>
        <w:t>y  de</w:t>
      </w:r>
      <w:proofErr w:type="gramEnd"/>
      <w:r>
        <w:rPr>
          <w:rFonts w:ascii="Palatino Linotype" w:eastAsia="Palatino Linotype" w:hAnsi="Palatino Linotype" w:cs="Palatino Linotype"/>
        </w:rPr>
        <w:t xml:space="preserve"> la Ley de Transparencia y Acceso a la Información Pública del Estado de México y Municipios; que a la letra dice:</w:t>
      </w:r>
    </w:p>
    <w:p w14:paraId="4387B454" w14:textId="77777777" w:rsidR="00AF47DB" w:rsidRDefault="00024296">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 recurso de revisión</w:t>
      </w:r>
      <w:r>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sz w:val="22"/>
          <w:szCs w:val="22"/>
        </w:rPr>
        <w:t>, y procederá en contra de las siguientes causas</w:t>
      </w:r>
      <w:r>
        <w:rPr>
          <w:rFonts w:ascii="Palatino Linotype" w:eastAsia="Palatino Linotype" w:hAnsi="Palatino Linotype" w:cs="Palatino Linotype"/>
          <w:i/>
          <w:sz w:val="22"/>
          <w:szCs w:val="22"/>
        </w:rPr>
        <w:t>:</w:t>
      </w:r>
    </w:p>
    <w:p w14:paraId="481DE3F1" w14:textId="77777777" w:rsidR="00AF47DB" w:rsidRDefault="00024296">
      <w:pPr>
        <w:pBdr>
          <w:top w:val="nil"/>
          <w:left w:val="nil"/>
          <w:bottom w:val="nil"/>
          <w:right w:val="nil"/>
          <w:between w:val="nil"/>
        </w:pBdr>
        <w:spacing w:before="240" w:line="276" w:lineRule="auto"/>
        <w:ind w:left="1660" w:right="1043"/>
        <w:jc w:val="both"/>
        <w:rPr>
          <w:color w:val="000000"/>
        </w:rPr>
      </w:pPr>
      <w:r>
        <w:rPr>
          <w:rFonts w:ascii="Palatino Linotype" w:eastAsia="Palatino Linotype" w:hAnsi="Palatino Linotype" w:cs="Palatino Linotype"/>
          <w:b/>
          <w:i/>
          <w:color w:val="000000"/>
          <w:sz w:val="22"/>
          <w:szCs w:val="22"/>
        </w:rPr>
        <w:t>I. La negativa a la información solicitada;</w:t>
      </w:r>
      <w:r>
        <w:rPr>
          <w:color w:val="000000"/>
        </w:rPr>
        <w:t xml:space="preserve"> </w:t>
      </w:r>
    </w:p>
    <w:p w14:paraId="3DBE5DD5" w14:textId="77777777" w:rsidR="00AF47DB" w:rsidRDefault="00024296">
      <w:pPr>
        <w:pBdr>
          <w:top w:val="nil"/>
          <w:left w:val="nil"/>
          <w:bottom w:val="nil"/>
          <w:right w:val="nil"/>
          <w:between w:val="nil"/>
        </w:pBdr>
        <w:spacing w:line="276" w:lineRule="auto"/>
        <w:ind w:left="1660" w:right="104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w:t>
      </w:r>
    </w:p>
    <w:p w14:paraId="4B228095" w14:textId="77777777" w:rsidR="00AF47DB" w:rsidRDefault="00024296">
      <w:pPr>
        <w:pBdr>
          <w:top w:val="nil"/>
          <w:left w:val="nil"/>
          <w:bottom w:val="nil"/>
          <w:right w:val="nil"/>
          <w:between w:val="nil"/>
        </w:pBdr>
        <w:spacing w:line="276" w:lineRule="auto"/>
        <w:ind w:left="1660" w:right="104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VI. La entrega de información que no corresponda con lo solicitado;</w:t>
      </w:r>
    </w:p>
    <w:p w14:paraId="05ABA38F" w14:textId="77777777" w:rsidR="00AF47DB" w:rsidRDefault="00024296">
      <w:pPr>
        <w:pBdr>
          <w:top w:val="nil"/>
          <w:left w:val="nil"/>
          <w:bottom w:val="nil"/>
          <w:right w:val="nil"/>
          <w:between w:val="nil"/>
        </w:pBdr>
        <w:spacing w:line="276" w:lineRule="auto"/>
        <w:ind w:left="1660" w:right="104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w:t>
      </w:r>
    </w:p>
    <w:p w14:paraId="24AE46BE" w14:textId="77777777" w:rsidR="00AF47DB" w:rsidRDefault="00024296">
      <w:pPr>
        <w:pBdr>
          <w:top w:val="nil"/>
          <w:left w:val="nil"/>
          <w:bottom w:val="nil"/>
          <w:right w:val="nil"/>
          <w:between w:val="nil"/>
        </w:pBdr>
        <w:spacing w:after="240" w:line="276" w:lineRule="auto"/>
        <w:ind w:left="1660" w:right="1043"/>
        <w:jc w:val="both"/>
        <w:rPr>
          <w:rFonts w:ascii="Palatino Linotype" w:eastAsia="Palatino Linotype" w:hAnsi="Palatino Linotype" w:cs="Palatino Linotype"/>
          <w:b/>
          <w:i/>
          <w:color w:val="000000"/>
          <w:sz w:val="22"/>
          <w:szCs w:val="22"/>
        </w:rPr>
      </w:pPr>
      <w:r>
        <w:rPr>
          <w:color w:val="000000"/>
        </w:rPr>
        <w:t xml:space="preserve">X. </w:t>
      </w:r>
      <w:r>
        <w:rPr>
          <w:rFonts w:ascii="Palatino Linotype" w:eastAsia="Palatino Linotype" w:hAnsi="Palatino Linotype" w:cs="Palatino Linotype"/>
          <w:b/>
          <w:i/>
          <w:color w:val="000000"/>
          <w:sz w:val="22"/>
          <w:szCs w:val="22"/>
        </w:rPr>
        <w:t>Los costos o tiempos de entrega de la información;</w:t>
      </w:r>
      <w:r>
        <w:rPr>
          <w:color w:val="000000"/>
        </w:rPr>
        <w:t>”</w:t>
      </w:r>
    </w:p>
    <w:p w14:paraId="4CDCBDCA" w14:textId="77777777" w:rsidR="00AF47DB" w:rsidRDefault="000242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 Materia de Revisión</w:t>
      </w:r>
      <w:r>
        <w:rPr>
          <w:rFonts w:ascii="Palatino Linotype" w:eastAsia="Palatino Linotype" w:hAnsi="Palatino Linotype" w:cs="Palatino Linotype"/>
        </w:rPr>
        <w:t xml:space="preserve">: 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4B69D542"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En primer término, se estima pertinente mencionar que el derecho de acceso a la información está consagrado en </w:t>
      </w:r>
      <w:r>
        <w:rPr>
          <w:rFonts w:ascii="Palatino Linotype" w:eastAsia="Palatino Linotype" w:hAnsi="Palatino Linotype" w:cs="Palatino Linotype"/>
        </w:rPr>
        <w:lastRenderedPageBreak/>
        <w:t>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6272DE1" w14:textId="77777777" w:rsidR="00AF47DB" w:rsidRDefault="00024296">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817CF9B" w14:textId="77777777" w:rsidR="00AF47DB" w:rsidRDefault="00024296">
      <w:pPr>
        <w:tabs>
          <w:tab w:val="left" w:pos="709"/>
        </w:tabs>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64842FFE" w14:textId="77777777" w:rsidR="00AF47DB" w:rsidRDefault="00024296">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3E321670" w14:textId="77777777" w:rsidR="00AF47DB" w:rsidRDefault="00024296">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293A77F" w14:textId="77777777" w:rsidR="00AF47DB" w:rsidRDefault="00024296">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158D80B1" w14:textId="77777777" w:rsidR="00AF47DB" w:rsidRDefault="00024296">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08EB9B3" w14:textId="77777777" w:rsidR="00AF47DB" w:rsidRDefault="0002429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2E76F918" w14:textId="77777777" w:rsidR="00AF47DB" w:rsidRDefault="0002429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253EEB4E" w14:textId="77777777" w:rsidR="00AF47DB" w:rsidRDefault="0002429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 xml:space="preserve">es pública y </w:t>
      </w:r>
      <w:r>
        <w:rPr>
          <w:rFonts w:ascii="Palatino Linotype" w:eastAsia="Palatino Linotype" w:hAnsi="Palatino Linotype" w:cs="Palatino Linotype"/>
          <w:b/>
          <w:i/>
          <w:sz w:val="22"/>
          <w:szCs w:val="22"/>
        </w:rPr>
        <w:lastRenderedPageBreak/>
        <w:t>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9D5E427" w14:textId="77777777" w:rsidR="00AF47DB" w:rsidRDefault="0002429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1D9E9DB0" w14:textId="77777777" w:rsidR="00AF47DB" w:rsidRDefault="00024296">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6914239B" w14:textId="77777777" w:rsidR="00AF47DB" w:rsidRDefault="0002429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44A6D3C4" w14:textId="77777777" w:rsidR="00AF47DB" w:rsidRDefault="0002429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4F16D39A" w14:textId="77777777" w:rsidR="00AF47DB" w:rsidRDefault="0002429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39C0AD23" w14:textId="77777777" w:rsidR="00AF47DB" w:rsidRDefault="0002429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2FBEEAA9" w14:textId="77777777" w:rsidR="00AF47DB" w:rsidRDefault="00AF47DB">
      <w:pPr>
        <w:ind w:left="851" w:right="851"/>
        <w:jc w:val="both"/>
        <w:rPr>
          <w:rFonts w:ascii="Palatino Linotype" w:eastAsia="Palatino Linotype" w:hAnsi="Palatino Linotype" w:cs="Palatino Linotype"/>
          <w:i/>
          <w:sz w:val="22"/>
          <w:szCs w:val="22"/>
        </w:rPr>
      </w:pPr>
    </w:p>
    <w:p w14:paraId="4A3D3228" w14:textId="77777777" w:rsidR="00AF47DB" w:rsidRDefault="0002429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8B9FD6D" w14:textId="77777777" w:rsidR="00AF47DB" w:rsidRDefault="0002429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023C10B9" w14:textId="77777777" w:rsidR="00AF47DB" w:rsidRDefault="0002429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55A3FAE" w14:textId="77777777" w:rsidR="00AF47DB" w:rsidRDefault="0002429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0249D214" w14:textId="77777777" w:rsidR="00AF47DB" w:rsidRDefault="0002429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50D07E7" w14:textId="77777777" w:rsidR="00AF47DB" w:rsidRDefault="00AF47DB">
      <w:pPr>
        <w:ind w:right="851"/>
        <w:jc w:val="both"/>
        <w:rPr>
          <w:rFonts w:ascii="Palatino Linotype" w:eastAsia="Palatino Linotype" w:hAnsi="Palatino Linotype" w:cs="Palatino Linotype"/>
          <w:i/>
          <w:sz w:val="22"/>
          <w:szCs w:val="22"/>
        </w:rPr>
      </w:pPr>
    </w:p>
    <w:p w14:paraId="3FF5236E" w14:textId="77777777" w:rsidR="00AF47DB" w:rsidRDefault="00024296">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w:t>
      </w:r>
      <w:r>
        <w:rPr>
          <w:rFonts w:ascii="Palatino Linotype" w:eastAsia="Palatino Linotype" w:hAnsi="Palatino Linotype" w:cs="Palatino Linotype"/>
        </w:rPr>
        <w:lastRenderedPageBreak/>
        <w:t>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3A5CFCC4" w14:textId="77777777" w:rsidR="00AF47DB" w:rsidRDefault="00024296">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primer lugar, 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C59C1D3" w14:textId="77777777" w:rsidR="00AF47DB" w:rsidRDefault="00024296">
      <w:pPr>
        <w:spacing w:before="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A6D6E3B" w14:textId="77777777" w:rsidR="00AF47DB" w:rsidRDefault="00AF47DB">
      <w:pPr>
        <w:spacing w:before="240" w:line="276" w:lineRule="auto"/>
        <w:ind w:left="709" w:right="760"/>
        <w:jc w:val="both"/>
        <w:rPr>
          <w:rFonts w:ascii="Palatino Linotype" w:eastAsia="Palatino Linotype" w:hAnsi="Palatino Linotype" w:cs="Palatino Linotype"/>
          <w:i/>
          <w:sz w:val="22"/>
          <w:szCs w:val="22"/>
        </w:rPr>
      </w:pPr>
    </w:p>
    <w:p w14:paraId="132A9837" w14:textId="77777777" w:rsidR="00AF47DB" w:rsidRDefault="00024296">
      <w:pPr>
        <w:spacing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Pr>
          <w:rFonts w:ascii="Palatino Linotype" w:eastAsia="Palatino Linotype" w:hAnsi="Palatino Linotype" w:cs="Palatino Linotype"/>
          <w:i/>
          <w:sz w:val="22"/>
          <w:szCs w:val="22"/>
        </w:rPr>
        <w:lastRenderedPageBreak/>
        <w:t>público, en los términos de las causas legítimas y estrictamente necesarias previstas por esta Ley.</w:t>
      </w:r>
    </w:p>
    <w:p w14:paraId="641E3418" w14:textId="77777777" w:rsidR="00AF47DB" w:rsidRDefault="00AF47DB">
      <w:pPr>
        <w:spacing w:line="276" w:lineRule="auto"/>
        <w:ind w:left="709" w:right="760"/>
        <w:jc w:val="both"/>
        <w:rPr>
          <w:rFonts w:ascii="Palatino Linotype" w:eastAsia="Palatino Linotype" w:hAnsi="Palatino Linotype" w:cs="Palatino Linotype"/>
          <w:i/>
          <w:sz w:val="22"/>
          <w:szCs w:val="22"/>
        </w:rPr>
      </w:pPr>
    </w:p>
    <w:p w14:paraId="75C16CCF" w14:textId="77777777" w:rsidR="00AF47DB" w:rsidRDefault="00024296">
      <w:pPr>
        <w:spacing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18783737" w14:textId="77777777" w:rsidR="00AF47DB" w:rsidRDefault="00AF47DB">
      <w:pPr>
        <w:ind w:left="709" w:right="760"/>
        <w:jc w:val="both"/>
        <w:rPr>
          <w:rFonts w:ascii="Palatino Linotype" w:eastAsia="Palatino Linotype" w:hAnsi="Palatino Linotype" w:cs="Palatino Linotype"/>
          <w:i/>
        </w:rPr>
      </w:pPr>
    </w:p>
    <w:p w14:paraId="56EAEFC1"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0DFC907D" w14:textId="77777777" w:rsidR="00AF47DB" w:rsidRDefault="00024296">
      <w:pPr>
        <w:spacing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D3FC8EE" w14:textId="77777777" w:rsidR="00AF47DB" w:rsidRDefault="00AF47DB">
      <w:pPr>
        <w:spacing w:line="276" w:lineRule="auto"/>
        <w:ind w:left="567" w:right="758"/>
        <w:jc w:val="both"/>
        <w:rPr>
          <w:rFonts w:ascii="Palatino Linotype" w:eastAsia="Palatino Linotype" w:hAnsi="Palatino Linotype" w:cs="Palatino Linotype"/>
          <w:i/>
          <w:sz w:val="22"/>
          <w:szCs w:val="22"/>
        </w:rPr>
      </w:pPr>
    </w:p>
    <w:p w14:paraId="030C0AD0" w14:textId="77777777" w:rsidR="00AF47DB" w:rsidRDefault="00024296">
      <w:pPr>
        <w:spacing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00077175" w14:textId="77777777" w:rsidR="00AF47DB" w:rsidRDefault="00AF47DB">
      <w:pPr>
        <w:spacing w:line="360" w:lineRule="auto"/>
        <w:ind w:right="-93"/>
        <w:jc w:val="both"/>
        <w:rPr>
          <w:rFonts w:ascii="Palatino Linotype" w:eastAsia="Palatino Linotype" w:hAnsi="Palatino Linotype" w:cs="Palatino Linotype"/>
        </w:rPr>
      </w:pPr>
    </w:p>
    <w:p w14:paraId="38984935" w14:textId="77777777" w:rsidR="00AF47DB" w:rsidRDefault="000242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w:t>
      </w:r>
      <w:r>
        <w:rPr>
          <w:rFonts w:ascii="Palatino Linotype" w:eastAsia="Palatino Linotype" w:hAnsi="Palatino Linotype" w:cs="Palatino Linotype"/>
        </w:rPr>
        <w:lastRenderedPageBreak/>
        <w:t>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453D4D77" w14:textId="77777777" w:rsidR="00AF47DB" w:rsidRDefault="00AF47DB">
      <w:pPr>
        <w:spacing w:line="360" w:lineRule="auto"/>
        <w:ind w:right="49"/>
        <w:jc w:val="both"/>
        <w:rPr>
          <w:rFonts w:ascii="Palatino Linotype" w:eastAsia="Palatino Linotype" w:hAnsi="Palatino Linotype" w:cs="Palatino Linotype"/>
        </w:rPr>
      </w:pPr>
    </w:p>
    <w:p w14:paraId="5BD1A79E" w14:textId="77777777" w:rsidR="00AF47DB" w:rsidRDefault="00024296">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5184CFD" w14:textId="77777777" w:rsidR="00AF47DB" w:rsidRDefault="00AF47DB">
      <w:pPr>
        <w:spacing w:line="360" w:lineRule="auto"/>
        <w:ind w:right="49"/>
        <w:jc w:val="both"/>
        <w:rPr>
          <w:rFonts w:ascii="Palatino Linotype" w:eastAsia="Palatino Linotype" w:hAnsi="Palatino Linotype" w:cs="Palatino Linotype"/>
        </w:rPr>
      </w:pPr>
    </w:p>
    <w:p w14:paraId="604E51A9" w14:textId="77777777" w:rsidR="00AF47DB" w:rsidRDefault="000242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conviene mencionar que la Ley de Transparencia vigente en el Estado de México refiere: </w:t>
      </w:r>
    </w:p>
    <w:p w14:paraId="379FB2BC" w14:textId="77777777" w:rsidR="00AF47DB" w:rsidRDefault="00AF47DB">
      <w:pPr>
        <w:spacing w:line="360" w:lineRule="auto"/>
        <w:jc w:val="both"/>
        <w:rPr>
          <w:rFonts w:ascii="Palatino Linotype" w:eastAsia="Palatino Linotype" w:hAnsi="Palatino Linotype" w:cs="Palatino Linotype"/>
        </w:rPr>
      </w:pPr>
    </w:p>
    <w:p w14:paraId="0498B72F" w14:textId="77777777" w:rsidR="00AF47DB" w:rsidRDefault="00024296">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sz w:val="22"/>
          <w:szCs w:val="22"/>
        </w:rPr>
        <w:t xml:space="preserve"> y reutilización de la información que generen.</w:t>
      </w:r>
    </w:p>
    <w:p w14:paraId="71B8343A" w14:textId="77777777" w:rsidR="00AF47DB" w:rsidRDefault="00AF47DB">
      <w:pPr>
        <w:spacing w:line="276" w:lineRule="auto"/>
        <w:ind w:left="851" w:right="851"/>
        <w:jc w:val="both"/>
        <w:rPr>
          <w:rFonts w:ascii="Palatino Linotype" w:eastAsia="Palatino Linotype" w:hAnsi="Palatino Linotype" w:cs="Palatino Linotype"/>
          <w:b/>
          <w:i/>
          <w:sz w:val="22"/>
          <w:szCs w:val="22"/>
        </w:rPr>
      </w:pPr>
    </w:p>
    <w:p w14:paraId="42B89114" w14:textId="77777777" w:rsidR="00AF47DB" w:rsidRDefault="00024296">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 </w:t>
      </w:r>
      <w:r>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sz w:val="22"/>
          <w:szCs w:val="22"/>
        </w:rPr>
        <w:t>.</w:t>
      </w:r>
    </w:p>
    <w:p w14:paraId="3DA2776B" w14:textId="77777777" w:rsidR="00AF47DB" w:rsidRDefault="00AF47DB">
      <w:pPr>
        <w:spacing w:line="276" w:lineRule="auto"/>
        <w:ind w:left="851" w:right="851"/>
        <w:jc w:val="both"/>
        <w:rPr>
          <w:rFonts w:ascii="Palatino Linotype" w:eastAsia="Palatino Linotype" w:hAnsi="Palatino Linotype" w:cs="Palatino Linotype"/>
          <w:i/>
          <w:sz w:val="22"/>
          <w:szCs w:val="22"/>
        </w:rPr>
      </w:pPr>
    </w:p>
    <w:p w14:paraId="1CCC24D5" w14:textId="77777777" w:rsidR="00AF47DB" w:rsidRDefault="00024296">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En los casos en que ciertas facultades, competencias o funciones no se hayan ejercido, se debe motivar la respuesta en función de las causas que motiven tal circunstancia. </w:t>
      </w:r>
    </w:p>
    <w:p w14:paraId="5EADB480" w14:textId="77777777" w:rsidR="00AF47DB" w:rsidRDefault="00AF47DB">
      <w:pPr>
        <w:spacing w:line="276" w:lineRule="auto"/>
        <w:ind w:left="851" w:right="851"/>
        <w:jc w:val="both"/>
        <w:rPr>
          <w:rFonts w:ascii="Palatino Linotype" w:eastAsia="Palatino Linotype" w:hAnsi="Palatino Linotype" w:cs="Palatino Linotype"/>
          <w:i/>
          <w:sz w:val="22"/>
          <w:szCs w:val="22"/>
        </w:rPr>
      </w:pPr>
    </w:p>
    <w:p w14:paraId="48F28A63" w14:textId="77777777" w:rsidR="00AF47DB" w:rsidRDefault="00024296">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BB3C36C" w14:textId="77777777" w:rsidR="00AF47DB" w:rsidRDefault="00AF47DB">
      <w:pPr>
        <w:spacing w:line="276" w:lineRule="auto"/>
        <w:ind w:left="851" w:right="851"/>
        <w:jc w:val="both"/>
        <w:rPr>
          <w:rFonts w:ascii="Palatino Linotype" w:eastAsia="Palatino Linotype" w:hAnsi="Palatino Linotype" w:cs="Palatino Linotype"/>
          <w:i/>
          <w:sz w:val="22"/>
          <w:szCs w:val="22"/>
        </w:rPr>
      </w:pPr>
    </w:p>
    <w:p w14:paraId="5A5CB656" w14:textId="77777777" w:rsidR="00AF47DB" w:rsidRDefault="0002429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31CBF29C" w14:textId="77777777" w:rsidR="00AF47DB" w:rsidRDefault="00AF47DB">
      <w:pPr>
        <w:spacing w:line="360" w:lineRule="auto"/>
        <w:jc w:val="both"/>
        <w:rPr>
          <w:rFonts w:ascii="Palatino Linotype" w:eastAsia="Palatino Linotype" w:hAnsi="Palatino Linotype" w:cs="Palatino Linotype"/>
        </w:rPr>
      </w:pPr>
    </w:p>
    <w:p w14:paraId="78271DB0" w14:textId="77777777" w:rsidR="00AF47DB" w:rsidRDefault="000242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0FAAF309" w14:textId="77777777" w:rsidR="00AF47DB" w:rsidRDefault="00AF47DB">
      <w:pPr>
        <w:spacing w:line="360" w:lineRule="auto"/>
        <w:jc w:val="both"/>
        <w:rPr>
          <w:rFonts w:ascii="Palatino Linotype" w:eastAsia="Palatino Linotype" w:hAnsi="Palatino Linotype" w:cs="Palatino Linotype"/>
        </w:rPr>
      </w:pPr>
    </w:p>
    <w:p w14:paraId="2C3A4AC1" w14:textId="77777777" w:rsidR="00AF47DB" w:rsidRDefault="000242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w:t>
      </w:r>
      <w:r>
        <w:rPr>
          <w:rFonts w:ascii="Palatino Linotype" w:eastAsia="Palatino Linotype" w:hAnsi="Palatino Linotype" w:cs="Palatino Linotype"/>
        </w:rPr>
        <w:lastRenderedPageBreak/>
        <w:t xml:space="preserve">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352A794" w14:textId="77777777" w:rsidR="00AF47DB" w:rsidRDefault="00AF47DB">
      <w:pPr>
        <w:ind w:left="851" w:right="899"/>
        <w:jc w:val="both"/>
        <w:rPr>
          <w:rFonts w:ascii="Palatino Linotype" w:eastAsia="Palatino Linotype" w:hAnsi="Palatino Linotype" w:cs="Palatino Linotype"/>
          <w:i/>
          <w:sz w:val="22"/>
          <w:szCs w:val="22"/>
        </w:rPr>
      </w:pPr>
    </w:p>
    <w:p w14:paraId="24F3ADF6" w14:textId="77777777" w:rsidR="00AF47DB" w:rsidRDefault="00024296">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33657E00" w14:textId="77777777" w:rsidR="00AF47DB" w:rsidRDefault="00024296">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79F925A" w14:textId="77777777" w:rsidR="00AF47DB" w:rsidRDefault="00024296">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actas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FBE640F" w14:textId="77777777" w:rsidR="00AF47DB" w:rsidRDefault="00AF47DB">
      <w:pPr>
        <w:ind w:left="851" w:right="899"/>
        <w:jc w:val="both"/>
        <w:rPr>
          <w:rFonts w:ascii="Palatino Linotype" w:eastAsia="Palatino Linotype" w:hAnsi="Palatino Linotype" w:cs="Palatino Linotype"/>
          <w:sz w:val="22"/>
          <w:szCs w:val="22"/>
        </w:rPr>
      </w:pPr>
    </w:p>
    <w:p w14:paraId="6611535C" w14:textId="77777777" w:rsidR="00AF47DB" w:rsidRDefault="000242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1B7EE4D" w14:textId="77777777" w:rsidR="00AF47DB" w:rsidRDefault="00AF47DB">
      <w:pPr>
        <w:ind w:left="851" w:right="899"/>
        <w:jc w:val="both"/>
        <w:rPr>
          <w:rFonts w:ascii="Palatino Linotype" w:eastAsia="Palatino Linotype" w:hAnsi="Palatino Linotype" w:cs="Palatino Linotype"/>
        </w:rPr>
      </w:pPr>
    </w:p>
    <w:p w14:paraId="483DDFCE" w14:textId="77777777" w:rsidR="00AF47DB" w:rsidRDefault="00024296">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08BFC7E4" w14:textId="77777777" w:rsidR="00AF47DB" w:rsidRDefault="00024296">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Pr>
          <w:rFonts w:ascii="Palatino Linotype" w:eastAsia="Palatino Linotype" w:hAnsi="Palatino Linotype" w:cs="Palatino Linotype"/>
          <w:i/>
          <w:sz w:val="22"/>
          <w:szCs w:val="22"/>
        </w:rPr>
        <w:lastRenderedPageBreak/>
        <w:t>órganos u organismos públicos, en virtud del ejercicio de sus funciones de derecho público, sin importar su fuente, soporte o fecha de elaboración.</w:t>
      </w:r>
    </w:p>
    <w:p w14:paraId="40643871" w14:textId="77777777" w:rsidR="00AF47DB" w:rsidRDefault="00024296">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w:t>
      </w:r>
      <w:proofErr w:type="gramStart"/>
      <w:r>
        <w:rPr>
          <w:rFonts w:ascii="Palatino Linotype" w:eastAsia="Palatino Linotype" w:hAnsi="Palatino Linotype" w:cs="Palatino Linotype"/>
          <w:i/>
          <w:sz w:val="22"/>
          <w:szCs w:val="22"/>
        </w:rPr>
        <w:t>consecuencia</w:t>
      </w:r>
      <w:proofErr w:type="gramEnd"/>
      <w:r>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FD60CE2" w14:textId="77777777" w:rsidR="00AF47DB" w:rsidRDefault="00024296">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sea generada por los Sujetos Obligados;</w:t>
      </w:r>
    </w:p>
    <w:p w14:paraId="31B91F08" w14:textId="77777777" w:rsidR="00AF47DB" w:rsidRDefault="00024296">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sea administrada por los Sujetos Obligados, y</w:t>
      </w:r>
    </w:p>
    <w:p w14:paraId="25E84316" w14:textId="77777777" w:rsidR="00AF47DB" w:rsidRDefault="0002429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 encuentre en posesión de los Sujetos Obligados.” </w:t>
      </w:r>
    </w:p>
    <w:p w14:paraId="5A6259EA" w14:textId="77777777" w:rsidR="00AF47DB" w:rsidRDefault="0002429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xml:space="preserve">, como pudiera tratarse de </w:t>
      </w:r>
      <w:r>
        <w:rPr>
          <w:rFonts w:ascii="Palatino Linotype" w:eastAsia="Palatino Linotype" w:hAnsi="Palatino Linotype" w:cs="Palatino Linotype"/>
        </w:rPr>
        <w:lastRenderedPageBreak/>
        <w:t>aquella relacionada con las obligaciones de trasparencia señaladas en los artículos 92 y 100 de la Ley de la Materia.</w:t>
      </w:r>
    </w:p>
    <w:p w14:paraId="0A204552"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análisis de la solicitud de información motivo del recurso de revisión que ahora se resuelve, se advierte que el particular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lo siguiente:</w:t>
      </w:r>
    </w:p>
    <w:p w14:paraId="13101011" w14:textId="77777777" w:rsidR="00AF47DB" w:rsidRDefault="00024296">
      <w:pPr>
        <w:numPr>
          <w:ilvl w:val="0"/>
          <w:numId w:val="1"/>
        </w:numPr>
        <w:pBdr>
          <w:top w:val="nil"/>
          <w:left w:val="nil"/>
          <w:bottom w:val="nil"/>
          <w:right w:val="nil"/>
          <w:between w:val="nil"/>
        </w:pBdr>
        <w:spacing w:before="240" w:after="24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Copia de cada una de las renuncias de los directores, jefes, coordinadores salientes de la administración 2019 – 2021, así como recibos de finiquito.</w:t>
      </w:r>
    </w:p>
    <w:p w14:paraId="6A451545"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través de los documentos siguientes:</w:t>
      </w:r>
    </w:p>
    <w:p w14:paraId="774DE1A3" w14:textId="77777777" w:rsidR="00AF47DB" w:rsidRDefault="00024296">
      <w:pPr>
        <w:spacing w:before="240" w:after="240" w:line="360" w:lineRule="auto"/>
        <w:ind w:right="18"/>
        <w:jc w:val="both"/>
        <w:rPr>
          <w:rFonts w:ascii="Palatino Linotype" w:eastAsia="Palatino Linotype" w:hAnsi="Palatino Linotype" w:cs="Palatino Linotype"/>
        </w:rPr>
      </w:pPr>
      <w:r>
        <w:rPr>
          <w:rFonts w:ascii="Palatino Linotype" w:eastAsia="Palatino Linotype" w:hAnsi="Palatino Linotype" w:cs="Palatino Linotype"/>
          <w:b/>
          <w:i/>
        </w:rPr>
        <w:t>“Oficio Respuesta U.T..</w:t>
      </w:r>
      <w:proofErr w:type="spellStart"/>
      <w:r>
        <w:rPr>
          <w:rFonts w:ascii="Palatino Linotype" w:eastAsia="Palatino Linotype" w:hAnsi="Palatino Linotype" w:cs="Palatino Linotype"/>
          <w:b/>
          <w:i/>
        </w:rPr>
        <w:t>pdf</w:t>
      </w:r>
      <w:proofErr w:type="spellEnd"/>
      <w:r>
        <w:rPr>
          <w:rFonts w:ascii="Palatino Linotype" w:eastAsia="Palatino Linotype" w:hAnsi="Palatino Linotype" w:cs="Palatino Linotype"/>
          <w:b/>
          <w:i/>
        </w:rPr>
        <w:t xml:space="preserve"> “, </w:t>
      </w:r>
      <w:r>
        <w:rPr>
          <w:rFonts w:ascii="Palatino Linotype" w:eastAsia="Palatino Linotype" w:hAnsi="Palatino Linotype" w:cs="Palatino Linotype"/>
        </w:rPr>
        <w:t>oficio sin número de fecha diez de marzo de dos mil veintidós a través del cual la Titular de la Unidad de Información, Planeación, Programación, Evaluación y Transparencia, manifiesta lo siguiente:</w:t>
      </w:r>
    </w:p>
    <w:p w14:paraId="01D627CC" w14:textId="77777777" w:rsidR="00AF47DB" w:rsidRDefault="00024296">
      <w:pPr>
        <w:spacing w:before="240" w:after="240" w:line="276" w:lineRule="auto"/>
        <w:ind w:right="18"/>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2B5C7156" wp14:editId="1474BED8">
            <wp:extent cx="5076272" cy="3708699"/>
            <wp:effectExtent l="0" t="0" r="0" b="0"/>
            <wp:docPr id="8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t="33309"/>
                    <a:stretch>
                      <a:fillRect/>
                    </a:stretch>
                  </pic:blipFill>
                  <pic:spPr>
                    <a:xfrm>
                      <a:off x="0" y="0"/>
                      <a:ext cx="5076272" cy="3708699"/>
                    </a:xfrm>
                    <a:prstGeom prst="rect">
                      <a:avLst/>
                    </a:prstGeom>
                    <a:ln/>
                  </pic:spPr>
                </pic:pic>
              </a:graphicData>
            </a:graphic>
          </wp:inline>
        </w:drawing>
      </w:r>
    </w:p>
    <w:p w14:paraId="0FC18113" w14:textId="77777777" w:rsidR="00AF47DB" w:rsidRDefault="00024296">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el que se destaca que para proporcionar la información, se requiere el consentimiento expreso de los </w:t>
      </w:r>
      <w:proofErr w:type="gramStart"/>
      <w:r>
        <w:rPr>
          <w:rFonts w:ascii="Palatino Linotype" w:eastAsia="Palatino Linotype" w:hAnsi="Palatino Linotype" w:cs="Palatino Linotype"/>
        </w:rPr>
        <w:t>titulares,  los</w:t>
      </w:r>
      <w:proofErr w:type="gramEnd"/>
      <w:r>
        <w:rPr>
          <w:rFonts w:ascii="Palatino Linotype" w:eastAsia="Palatino Linotype" w:hAnsi="Palatino Linotype" w:cs="Palatino Linotype"/>
        </w:rPr>
        <w:t xml:space="preserve"> cuales informa, ya no son servidores públicos, agregando el artículo 89 de la Ley del Trabajo para los Servidores Públicos del Estado de México y Municipios, que señala las causas de terminación de la relación laboral, además que dentro de los archivos de ese Organismo no se cuenta con la información solicitada, por no tener la obligación de contar con ella.</w:t>
      </w:r>
    </w:p>
    <w:p w14:paraId="0D815FB8" w14:textId="77777777" w:rsidR="00AF47DB" w:rsidRDefault="00024296">
      <w:pPr>
        <w:spacing w:before="240" w:after="240" w:line="360" w:lineRule="auto"/>
        <w:ind w:right="18"/>
        <w:jc w:val="both"/>
        <w:rPr>
          <w:rFonts w:ascii="Palatino Linotype" w:eastAsia="Palatino Linotype" w:hAnsi="Palatino Linotype" w:cs="Palatino Linotype"/>
        </w:rPr>
      </w:pPr>
      <w:r>
        <w:rPr>
          <w:rFonts w:ascii="Palatino Linotype" w:eastAsia="Palatino Linotype" w:hAnsi="Palatino Linotype" w:cs="Palatino Linotype"/>
          <w:b/>
          <w:i/>
        </w:rPr>
        <w:t>“Oficio de Respuesta S.P.H..</w:t>
      </w:r>
      <w:proofErr w:type="spellStart"/>
      <w:r>
        <w:rPr>
          <w:rFonts w:ascii="Palatino Linotype" w:eastAsia="Palatino Linotype" w:hAnsi="Palatino Linotype" w:cs="Palatino Linotype"/>
          <w:b/>
          <w:i/>
        </w:rPr>
        <w:t>pdf</w:t>
      </w:r>
      <w:proofErr w:type="spellEnd"/>
      <w:r>
        <w:rPr>
          <w:rFonts w:ascii="Palatino Linotype" w:eastAsia="Palatino Linotype" w:hAnsi="Palatino Linotype" w:cs="Palatino Linotype"/>
        </w:rPr>
        <w:t xml:space="preserve">”, Oficio número OPDAPASZ/DG/CAFC/049/2022, de fecha nueve de marzo de dos mil veintidós por medio del cual la Coordinadora de Administración, Finanzas y Comercialización, da respuesta al requerimiento de información, en los </w:t>
      </w:r>
      <w:proofErr w:type="gramStart"/>
      <w:r>
        <w:rPr>
          <w:rFonts w:ascii="Palatino Linotype" w:eastAsia="Palatino Linotype" w:hAnsi="Palatino Linotype" w:cs="Palatino Linotype"/>
        </w:rPr>
        <w:t>siguiente términos</w:t>
      </w:r>
      <w:proofErr w:type="gramEnd"/>
      <w:r>
        <w:rPr>
          <w:rFonts w:ascii="Palatino Linotype" w:eastAsia="Palatino Linotype" w:hAnsi="Palatino Linotype" w:cs="Palatino Linotype"/>
        </w:rPr>
        <w:t>:</w:t>
      </w:r>
    </w:p>
    <w:p w14:paraId="3741C799" w14:textId="77777777" w:rsidR="00AF47DB" w:rsidRDefault="00024296">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Pr>
          <w:noProof/>
          <w:lang w:val="es-MX" w:eastAsia="es-MX"/>
        </w:rPr>
        <w:lastRenderedPageBreak/>
        <w:drawing>
          <wp:inline distT="0" distB="0" distL="0" distR="0" wp14:anchorId="5DCA2CB3" wp14:editId="3021ACC4">
            <wp:extent cx="5555798" cy="3272747"/>
            <wp:effectExtent l="0" t="0" r="0" b="0"/>
            <wp:docPr id="9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l="72939" t="24627" r="6501" b="46643"/>
                    <a:stretch>
                      <a:fillRect/>
                    </a:stretch>
                  </pic:blipFill>
                  <pic:spPr>
                    <a:xfrm>
                      <a:off x="0" y="0"/>
                      <a:ext cx="5555798" cy="3272747"/>
                    </a:xfrm>
                    <a:prstGeom prst="rect">
                      <a:avLst/>
                    </a:prstGeom>
                    <a:ln/>
                  </pic:spPr>
                </pic:pic>
              </a:graphicData>
            </a:graphic>
          </wp:inline>
        </w:drawing>
      </w:r>
    </w:p>
    <w:p w14:paraId="7193036F" w14:textId="77777777" w:rsidR="00AF47DB" w:rsidRDefault="00024296">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No conforme el particular con la respuesta, interpone el recurso de revisión que señala como motivos de inconformidad en lo medular: “</w:t>
      </w:r>
      <w:r>
        <w:rPr>
          <w:rFonts w:ascii="Palatino Linotype" w:eastAsia="Palatino Linotype" w:hAnsi="Palatino Linotype" w:cs="Palatino Linotype"/>
          <w:i/>
        </w:rPr>
        <w:t xml:space="preserve">En la respuesta no </w:t>
      </w:r>
      <w:r>
        <w:rPr>
          <w:rFonts w:ascii="Palatino Linotype" w:eastAsia="Palatino Linotype" w:hAnsi="Palatino Linotype" w:cs="Palatino Linotype"/>
          <w:b/>
          <w:i/>
          <w:u w:val="single"/>
        </w:rPr>
        <w:t>contiene nada referente a lo que pedí,</w:t>
      </w:r>
      <w:r>
        <w:rPr>
          <w:rFonts w:ascii="Palatino Linotype" w:eastAsia="Palatino Linotype" w:hAnsi="Palatino Linotype" w:cs="Palatino Linotype"/>
          <w:i/>
        </w:rPr>
        <w:t xml:space="preserve"> se tardaron 15 días y 7 más para adjuntar una respuesta que al final solo adjunta que es posesión de ellos la portabilidad de sus datos personales, en ese caso </w:t>
      </w:r>
      <w:r>
        <w:rPr>
          <w:rFonts w:ascii="Palatino Linotype" w:eastAsia="Palatino Linotype" w:hAnsi="Palatino Linotype" w:cs="Palatino Linotype"/>
          <w:b/>
          <w:i/>
          <w:u w:val="single"/>
        </w:rPr>
        <w:t>les recuerdo que los pagos de finiquito fueron REALIZADOS con dinero proveniente de los ciudadanos y no manera privada para que oculten la información en ese caso manden los recibos techados en nombre y esos datos que tapan</w:t>
      </w:r>
      <w:r>
        <w:rPr>
          <w:rFonts w:ascii="Palatino Linotype" w:eastAsia="Palatino Linotype" w:hAnsi="Palatino Linotype" w:cs="Palatino Linotype"/>
          <w:i/>
        </w:rPr>
        <w:t xml:space="preserve">, ahora en este caso el artículo 86 que señalan aplica para todo o solo para los que ya se fueron? o acaso todas respuestas vendrán en ese mismo sentido? </w:t>
      </w:r>
      <w:proofErr w:type="gramStart"/>
      <w:r>
        <w:rPr>
          <w:rFonts w:ascii="Palatino Linotype" w:eastAsia="Palatino Linotype" w:hAnsi="Palatino Linotype" w:cs="Palatino Linotype"/>
          <w:i/>
        </w:rPr>
        <w:t>…“ (</w:t>
      </w:r>
      <w:proofErr w:type="gramEnd"/>
      <w:r>
        <w:rPr>
          <w:rFonts w:ascii="Palatino Linotype" w:eastAsia="Palatino Linotype" w:hAnsi="Palatino Linotype" w:cs="Palatino Linotype"/>
          <w:i/>
        </w:rPr>
        <w:t>Sic)</w:t>
      </w:r>
    </w:p>
    <w:p w14:paraId="2FF7A4C6"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ello el </w:t>
      </w:r>
      <w:r>
        <w:rPr>
          <w:rFonts w:ascii="Palatino Linotype" w:eastAsia="Palatino Linotype" w:hAnsi="Palatino Linotype" w:cs="Palatino Linotype"/>
          <w:b/>
        </w:rPr>
        <w:t>Sujeto Obligado</w:t>
      </w:r>
      <w:r>
        <w:rPr>
          <w:rFonts w:ascii="Palatino Linotype" w:eastAsia="Palatino Linotype" w:hAnsi="Palatino Linotype" w:cs="Palatino Linotype"/>
        </w:rPr>
        <w:t>, envía informe justificado, por medio del cual, modifica su respuesta en el siguiente sentido:</w:t>
      </w:r>
    </w:p>
    <w:p w14:paraId="4A7905B0" w14:textId="77777777" w:rsidR="00AF47DB" w:rsidRDefault="00024296">
      <w:pPr>
        <w:widowControl w:val="0"/>
        <w:pBdr>
          <w:top w:val="nil"/>
          <w:left w:val="nil"/>
          <w:bottom w:val="nil"/>
          <w:right w:val="nil"/>
          <w:between w:val="nil"/>
        </w:pBdr>
        <w:tabs>
          <w:tab w:val="left" w:pos="709"/>
        </w:tabs>
        <w:spacing w:before="240" w:after="240" w:line="360" w:lineRule="auto"/>
        <w:jc w:val="center"/>
        <w:rPr>
          <w:rFonts w:ascii="Palatino Linotype" w:eastAsia="Palatino Linotype" w:hAnsi="Palatino Linotype" w:cs="Palatino Linotype"/>
        </w:rPr>
      </w:pPr>
      <w:r>
        <w:rPr>
          <w:noProof/>
          <w:lang w:val="es-MX" w:eastAsia="es-MX"/>
        </w:rPr>
        <w:lastRenderedPageBreak/>
        <w:drawing>
          <wp:inline distT="0" distB="0" distL="0" distR="0" wp14:anchorId="16ED9799" wp14:editId="33DD8B7E">
            <wp:extent cx="4228049" cy="2963993"/>
            <wp:effectExtent l="0" t="0" r="0" b="0"/>
            <wp:docPr id="8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54141" t="39831" r="12931" b="19131"/>
                    <a:stretch>
                      <a:fillRect/>
                    </a:stretch>
                  </pic:blipFill>
                  <pic:spPr>
                    <a:xfrm>
                      <a:off x="0" y="0"/>
                      <a:ext cx="4228049" cy="2963993"/>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58240" behindDoc="0" locked="0" layoutInCell="1" hidden="0" allowOverlap="1" wp14:anchorId="553D427B" wp14:editId="2A2C3D21">
                <wp:simplePos x="0" y="0"/>
                <wp:positionH relativeFrom="column">
                  <wp:posOffset>787400</wp:posOffset>
                </wp:positionH>
                <wp:positionV relativeFrom="paragraph">
                  <wp:posOffset>812800</wp:posOffset>
                </wp:positionV>
                <wp:extent cx="4086225" cy="828675"/>
                <wp:effectExtent l="0" t="0" r="0" b="0"/>
                <wp:wrapNone/>
                <wp:docPr id="78" name="Rectángulo 78"/>
                <wp:cNvGraphicFramePr/>
                <a:graphic xmlns:a="http://schemas.openxmlformats.org/drawingml/2006/main">
                  <a:graphicData uri="http://schemas.microsoft.com/office/word/2010/wordprocessingShape">
                    <wps:wsp>
                      <wps:cNvSpPr/>
                      <wps:spPr>
                        <a:xfrm>
                          <a:off x="3345750" y="3408525"/>
                          <a:ext cx="4000500" cy="742950"/>
                        </a:xfrm>
                        <a:prstGeom prst="rect">
                          <a:avLst/>
                        </a:prstGeom>
                        <a:noFill/>
                        <a:ln w="28575" cap="flat" cmpd="sng">
                          <a:solidFill>
                            <a:srgbClr val="FF0000"/>
                          </a:solidFill>
                          <a:prstDash val="solid"/>
                          <a:miter lim="800000"/>
                          <a:headEnd type="none" w="sm" len="sm"/>
                          <a:tailEnd type="none" w="sm" len="sm"/>
                        </a:ln>
                      </wps:spPr>
                      <wps:txbx>
                        <w:txbxContent>
                          <w:p w14:paraId="3CB93CA0" w14:textId="77777777" w:rsidR="00AF47DB" w:rsidRDefault="00AF47DB">
                            <w:pPr>
                              <w:textDirection w:val="btLr"/>
                            </w:pPr>
                          </w:p>
                        </w:txbxContent>
                      </wps:txbx>
                      <wps:bodyPr spcFirstLastPara="1" wrap="square" lIns="91425" tIns="91425" rIns="91425" bIns="91425" anchor="ctr" anchorCtr="0">
                        <a:noAutofit/>
                      </wps:bodyPr>
                    </wps:wsp>
                  </a:graphicData>
                </a:graphic>
              </wp:anchor>
            </w:drawing>
          </mc:Choice>
          <mc:Fallback>
            <w:pict>
              <v:rect w14:anchorId="553D427B" id="Rectángulo 78" o:spid="_x0000_s1026" style="position:absolute;left:0;text-align:left;margin-left:62pt;margin-top:64pt;width:321.75pt;height:65.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" filled="f" strokecolor="red" strokeweight="2.25pt">
                <v:stroke startarrowwidth="narrow" startarrowlength="short" endarrowwidth="narrow" endarrowlength="short"/>
                <v:textbox inset="2.53958mm,2.53958mm,2.53958mm,2.53958mm">
                  <w:txbxContent>
                    <w:p w14:paraId="3CB93CA0" w14:textId="77777777" w:rsidR="00AF47DB" w:rsidRDefault="00AF47DB">
                      <w:pPr>
                        <w:textDirection w:val="btLr"/>
                      </w:pPr>
                    </w:p>
                  </w:txbxContent>
                </v:textbox>
              </v:rect>
            </w:pict>
          </mc:Fallback>
        </mc:AlternateContent>
      </w:r>
    </w:p>
    <w:p w14:paraId="1FDC0EE6" w14:textId="77777777" w:rsidR="00AF47DB" w:rsidRDefault="00024296">
      <w:pPr>
        <w:widowControl w:val="0"/>
        <w:pBdr>
          <w:top w:val="nil"/>
          <w:left w:val="nil"/>
          <w:bottom w:val="nil"/>
          <w:right w:val="nil"/>
          <w:between w:val="nil"/>
        </w:pBdr>
        <w:tabs>
          <w:tab w:val="left" w:pos="709"/>
        </w:tabs>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7E31E9A9" wp14:editId="5BDDEDF5">
            <wp:extent cx="4280921" cy="5245315"/>
            <wp:effectExtent l="0" t="0" r="0" b="0"/>
            <wp:docPr id="9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280921" cy="5245315"/>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59264" behindDoc="0" locked="0" layoutInCell="1" hidden="0" allowOverlap="1" wp14:anchorId="6BFEA9B1" wp14:editId="23C0D567">
                <wp:simplePos x="0" y="0"/>
                <wp:positionH relativeFrom="column">
                  <wp:posOffset>647700</wp:posOffset>
                </wp:positionH>
                <wp:positionV relativeFrom="paragraph">
                  <wp:posOffset>4406900</wp:posOffset>
                </wp:positionV>
                <wp:extent cx="4152900" cy="828675"/>
                <wp:effectExtent l="0" t="0" r="0" b="0"/>
                <wp:wrapNone/>
                <wp:docPr id="77" name="Rectángulo 77"/>
                <wp:cNvGraphicFramePr/>
                <a:graphic xmlns:a="http://schemas.openxmlformats.org/drawingml/2006/main">
                  <a:graphicData uri="http://schemas.microsoft.com/office/word/2010/wordprocessingShape">
                    <wps:wsp>
                      <wps:cNvSpPr/>
                      <wps:spPr>
                        <a:xfrm>
                          <a:off x="3312413" y="3408525"/>
                          <a:ext cx="4067175" cy="742950"/>
                        </a:xfrm>
                        <a:prstGeom prst="rect">
                          <a:avLst/>
                        </a:prstGeom>
                        <a:noFill/>
                        <a:ln w="28575" cap="flat" cmpd="sng">
                          <a:solidFill>
                            <a:srgbClr val="FF0000"/>
                          </a:solidFill>
                          <a:prstDash val="solid"/>
                          <a:miter lim="800000"/>
                          <a:headEnd type="none" w="sm" len="sm"/>
                          <a:tailEnd type="none" w="sm" len="sm"/>
                        </a:ln>
                      </wps:spPr>
                      <wps:txbx>
                        <w:txbxContent>
                          <w:p w14:paraId="231C0755" w14:textId="77777777" w:rsidR="00AF47DB" w:rsidRDefault="00AF47DB">
                            <w:pPr>
                              <w:textDirection w:val="btLr"/>
                            </w:pPr>
                          </w:p>
                        </w:txbxContent>
                      </wps:txbx>
                      <wps:bodyPr spcFirstLastPara="1" wrap="square" lIns="91425" tIns="91425" rIns="91425" bIns="91425" anchor="ctr" anchorCtr="0">
                        <a:noAutofit/>
                      </wps:bodyPr>
                    </wps:wsp>
                  </a:graphicData>
                </a:graphic>
              </wp:anchor>
            </w:drawing>
          </mc:Choice>
          <mc:Fallback>
            <w:pict>
              <v:rect w14:anchorId="6BFEA9B1" id="Rectángulo 77" o:spid="_x0000_s1027" style="position:absolute;left:0;text-align:left;margin-left:51pt;margin-top:347pt;width:327pt;height:6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" filled="f" strokecolor="red" strokeweight="2.25pt">
                <v:stroke startarrowwidth="narrow" startarrowlength="short" endarrowwidth="narrow" endarrowlength="short"/>
                <v:textbox inset="2.53958mm,2.53958mm,2.53958mm,2.53958mm">
                  <w:txbxContent>
                    <w:p w14:paraId="231C0755" w14:textId="77777777" w:rsidR="00AF47DB" w:rsidRDefault="00AF47DB">
                      <w:pPr>
                        <w:textDirection w:val="btLr"/>
                      </w:pPr>
                    </w:p>
                  </w:txbxContent>
                </v:textbox>
              </v:rect>
            </w:pict>
          </mc:Fallback>
        </mc:AlternateContent>
      </w:r>
    </w:p>
    <w:p w14:paraId="58345EDA" w14:textId="77777777" w:rsidR="00AF47DB" w:rsidRDefault="00024296">
      <w:pPr>
        <w:widowControl w:val="0"/>
        <w:pBdr>
          <w:top w:val="nil"/>
          <w:left w:val="nil"/>
          <w:bottom w:val="nil"/>
          <w:right w:val="nil"/>
          <w:between w:val="nil"/>
        </w:pBdr>
        <w:tabs>
          <w:tab w:val="left" w:pos="709"/>
        </w:tabs>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37C78BB0" wp14:editId="7D46AC69">
            <wp:extent cx="4582404" cy="5282363"/>
            <wp:effectExtent l="0" t="0" r="0" b="0"/>
            <wp:docPr id="9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582404" cy="5282363"/>
                    </a:xfrm>
                    <a:prstGeom prst="rect">
                      <a:avLst/>
                    </a:prstGeom>
                    <a:ln/>
                  </pic:spPr>
                </pic:pic>
              </a:graphicData>
            </a:graphic>
          </wp:inline>
        </w:drawing>
      </w:r>
    </w:p>
    <w:p w14:paraId="6C27AE1B"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se procede al análisis de la respuesta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494F24A4" w14:textId="77777777" w:rsidR="00AF47DB" w:rsidRDefault="00AF47D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3D7187" w14:textId="77777777" w:rsidR="00AF47DB" w:rsidRDefault="0002429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
          <w:color w:val="000000"/>
          <w:u w:val="single"/>
        </w:rPr>
      </w:pPr>
      <w:r>
        <w:rPr>
          <w:rFonts w:ascii="Palatino Linotype" w:eastAsia="Palatino Linotype" w:hAnsi="Palatino Linotype" w:cs="Palatino Linotype"/>
          <w:color w:val="000000"/>
        </w:rPr>
        <w:lastRenderedPageBreak/>
        <w:t xml:space="preserve">En atención a </w:t>
      </w:r>
      <w:r>
        <w:rPr>
          <w:rFonts w:ascii="Palatino Linotype" w:eastAsia="Palatino Linotype" w:hAnsi="Palatino Linotype" w:cs="Palatino Linotype"/>
          <w:b/>
          <w:color w:val="000000"/>
        </w:rPr>
        <w:t xml:space="preserve">las renuncias de los directores, jefes, coordinadores salientes de la administración 2019 – 2021, </w:t>
      </w:r>
      <w:r>
        <w:rPr>
          <w:rFonts w:ascii="Palatino Linotype" w:eastAsia="Palatino Linotype" w:hAnsi="Palatino Linotype" w:cs="Palatino Linotype"/>
          <w:color w:val="000000"/>
        </w:rPr>
        <w:t xml:space="preserve">conviene recordar que originalmente  en atención a la solicitud de información que ahora nos ocupa,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través del  Servidor Público Habilitado de la Coordinación Administración, Finanzas y Comercialización, informó sustancialmente que</w:t>
      </w:r>
      <w:r>
        <w:rPr>
          <w:color w:val="000000"/>
        </w:rPr>
        <w:t xml:space="preserve"> </w:t>
      </w:r>
      <w:r>
        <w:rPr>
          <w:rFonts w:ascii="Palatino Linotype" w:eastAsia="Palatino Linotype" w:hAnsi="Palatino Linotype" w:cs="Palatino Linotype"/>
          <w:b/>
          <w:color w:val="000000"/>
        </w:rPr>
        <w:t xml:space="preserve">para proporcionar la información, </w:t>
      </w:r>
      <w:r>
        <w:rPr>
          <w:rFonts w:ascii="Palatino Linotype" w:eastAsia="Palatino Linotype" w:hAnsi="Palatino Linotype" w:cs="Palatino Linotype"/>
          <w:b/>
          <w:color w:val="000000"/>
          <w:u w:val="single"/>
        </w:rPr>
        <w:t>se requería el consentimiento expreso de los titulares de los datos, los cuales informa, ya no son servidores públicos</w:t>
      </w:r>
      <w:r>
        <w:rPr>
          <w:rFonts w:ascii="Palatino Linotype" w:eastAsia="Palatino Linotype" w:hAnsi="Palatino Linotype" w:cs="Palatino Linotype"/>
          <w:color w:val="000000"/>
        </w:rPr>
        <w:t xml:space="preserve">, y que con fundamento en  el artículo 89 de la Ley del Trabajo para los Servidores Públicos del Estado de México y Municipios, que señala las causas de terminación de la relación laboral, que dentro de los archivos de ese Organismo </w:t>
      </w:r>
      <w:r>
        <w:rPr>
          <w:rFonts w:ascii="Palatino Linotype" w:eastAsia="Palatino Linotype" w:hAnsi="Palatino Linotype" w:cs="Palatino Linotype"/>
          <w:b/>
          <w:color w:val="000000"/>
          <w:u w:val="single"/>
        </w:rPr>
        <w:t>no se contaba con la información solicitada, por no tener la obligación de contar con ella.</w:t>
      </w:r>
    </w:p>
    <w:p w14:paraId="5C3952F5" w14:textId="77777777" w:rsidR="00AF47DB" w:rsidRDefault="00AF47D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1E307838" w14:textId="77777777" w:rsidR="00AF47DB" w:rsidRDefault="00024296">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antes señalado, existió incongruencia en la respuesta del Servidor Público Habilitado de la Coordinación Administración, Finanzas y Comercialización, al manifestar que para proporcionar la información requería los consentimientos de los titulares de los datos, dando cuenta con ello de que sí contaba con la información, sin embargo, en el mismo documento informa que no se contaba con la información solicitada.</w:t>
      </w:r>
    </w:p>
    <w:p w14:paraId="4480AF72" w14:textId="77777777" w:rsidR="00AF47DB" w:rsidRDefault="00024296">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atención al consentimiento, el artículo 148, fracción II, de la Ley de Transparencia y Acceso a la Información Pública del Estado de México y Municipios, señala que no se requerirá el consentimiento del titular de la información confidencial cuando por Ley tenga el carácter de pública, por lo cual las renuncias de los servidores </w:t>
      </w:r>
      <w:r>
        <w:rPr>
          <w:rFonts w:ascii="Palatino Linotype" w:eastAsia="Palatino Linotype" w:hAnsi="Palatino Linotype" w:cs="Palatino Linotype"/>
          <w:color w:val="000000"/>
        </w:rPr>
        <w:lastRenderedPageBreak/>
        <w:t>públicos es información pública que se relaciona con su ejercicio laboral y se vincula con los recursos públicos, los cuales abonan a la transparencia y rendición de cuentas, por lo cual no encuadra con lo manifestado por el Servidor Público Habilitado de la Coordinación Administración, Finanzas y Comercialización.</w:t>
      </w:r>
    </w:p>
    <w:p w14:paraId="17D77D9C" w14:textId="77777777" w:rsidR="00AF47DB" w:rsidRDefault="00024296">
      <w:pPr>
        <w:tabs>
          <w:tab w:val="left" w:pos="426"/>
        </w:tabs>
        <w:spacing w:before="240" w:after="240" w:line="360" w:lineRule="auto"/>
        <w:ind w:right="51"/>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En este sentido,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manifestó que en atención al artículo 89 de la Ley del Trabajo para Servidores Públicos del Estado de México y Municipios, </w:t>
      </w:r>
      <w:r>
        <w:rPr>
          <w:rFonts w:ascii="Palatino Linotype" w:eastAsia="Palatino Linotype" w:hAnsi="Palatino Linotype" w:cs="Palatino Linotype"/>
          <w:i/>
          <w:color w:val="000000"/>
        </w:rPr>
        <w:t>son causas de terminación de la relación laboral sin responsabilidad para las instituciones públicas:</w:t>
      </w:r>
    </w:p>
    <w:p w14:paraId="40FA914E" w14:textId="77777777" w:rsidR="00AF47DB" w:rsidRDefault="00024296">
      <w:pPr>
        <w:pBdr>
          <w:top w:val="nil"/>
          <w:left w:val="nil"/>
          <w:bottom w:val="nil"/>
          <w:right w:val="nil"/>
          <w:between w:val="nil"/>
        </w:pBdr>
        <w:tabs>
          <w:tab w:val="left" w:pos="426"/>
        </w:tabs>
        <w:spacing w:before="240" w:line="360" w:lineRule="auto"/>
        <w:ind w:left="720" w:right="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 La renuncia del servidor público;</w:t>
      </w:r>
    </w:p>
    <w:p w14:paraId="67A529B0" w14:textId="77777777" w:rsidR="00AF47DB" w:rsidRDefault="00024296">
      <w:pPr>
        <w:pBdr>
          <w:top w:val="nil"/>
          <w:left w:val="nil"/>
          <w:bottom w:val="nil"/>
          <w:right w:val="nil"/>
          <w:between w:val="nil"/>
        </w:pBdr>
        <w:tabs>
          <w:tab w:val="left" w:pos="426"/>
        </w:tabs>
        <w:spacing w:line="360" w:lineRule="auto"/>
        <w:ind w:left="720" w:right="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 El mutuo consentimiento de las partes;</w:t>
      </w:r>
    </w:p>
    <w:p w14:paraId="463D224C" w14:textId="77777777" w:rsidR="00AF47DB" w:rsidRDefault="00024296">
      <w:pPr>
        <w:pBdr>
          <w:top w:val="nil"/>
          <w:left w:val="nil"/>
          <w:bottom w:val="nil"/>
          <w:right w:val="nil"/>
          <w:between w:val="nil"/>
        </w:pBdr>
        <w:tabs>
          <w:tab w:val="left" w:pos="426"/>
        </w:tabs>
        <w:spacing w:line="360" w:lineRule="auto"/>
        <w:ind w:left="720" w:right="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III. El vencimiento del término o conclusión de la obra determinantes de la contratación;</w:t>
      </w:r>
    </w:p>
    <w:p w14:paraId="3259A3E3" w14:textId="77777777" w:rsidR="00AF47DB" w:rsidRDefault="00024296">
      <w:pPr>
        <w:pBdr>
          <w:top w:val="nil"/>
          <w:left w:val="nil"/>
          <w:bottom w:val="nil"/>
          <w:right w:val="nil"/>
          <w:between w:val="nil"/>
        </w:pBdr>
        <w:tabs>
          <w:tab w:val="left" w:pos="426"/>
        </w:tabs>
        <w:spacing w:line="360" w:lineRule="auto"/>
        <w:ind w:left="720" w:right="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IV. El término o conclusión de la administración en la cual fue contratado el servidor público a que se refiere el artículo 8 de </w:t>
      </w:r>
      <w:proofErr w:type="gramStart"/>
      <w:r>
        <w:rPr>
          <w:rFonts w:ascii="Palatino Linotype" w:eastAsia="Palatino Linotype" w:hAnsi="Palatino Linotype" w:cs="Palatino Linotype"/>
          <w:i/>
          <w:color w:val="000000"/>
        </w:rPr>
        <w:t>ésta</w:t>
      </w:r>
      <w:proofErr w:type="gramEnd"/>
      <w:r>
        <w:rPr>
          <w:rFonts w:ascii="Palatino Linotype" w:eastAsia="Palatino Linotype" w:hAnsi="Palatino Linotype" w:cs="Palatino Linotype"/>
          <w:i/>
          <w:color w:val="000000"/>
        </w:rPr>
        <w:t xml:space="preserve"> Ley;</w:t>
      </w:r>
    </w:p>
    <w:p w14:paraId="33F112FB" w14:textId="77777777" w:rsidR="00AF47DB" w:rsidRDefault="00024296">
      <w:pPr>
        <w:pBdr>
          <w:top w:val="nil"/>
          <w:left w:val="nil"/>
          <w:bottom w:val="nil"/>
          <w:right w:val="nil"/>
          <w:between w:val="nil"/>
        </w:pBdr>
        <w:tabs>
          <w:tab w:val="left" w:pos="426"/>
        </w:tabs>
        <w:spacing w:line="360" w:lineRule="auto"/>
        <w:ind w:left="720" w:right="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V. La muerte del servidor público; y</w:t>
      </w:r>
    </w:p>
    <w:p w14:paraId="42720704" w14:textId="77777777" w:rsidR="00AF47DB" w:rsidRDefault="00024296">
      <w:pPr>
        <w:pBdr>
          <w:top w:val="nil"/>
          <w:left w:val="nil"/>
          <w:bottom w:val="nil"/>
          <w:right w:val="nil"/>
          <w:between w:val="nil"/>
        </w:pBdr>
        <w:tabs>
          <w:tab w:val="left" w:pos="426"/>
        </w:tabs>
        <w:spacing w:after="240" w:line="360" w:lineRule="auto"/>
        <w:ind w:left="720" w:right="51"/>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VI. La incapacidad permanente del servidor público que le impida el desempeño de sus labores</w:t>
      </w:r>
      <w:r>
        <w:rPr>
          <w:rFonts w:ascii="Palatino Linotype" w:eastAsia="Palatino Linotype" w:hAnsi="Palatino Linotype" w:cs="Palatino Linotype"/>
          <w:color w:val="000000"/>
        </w:rPr>
        <w:t>.</w:t>
      </w:r>
    </w:p>
    <w:p w14:paraId="2B840A82"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Sin embargo, mediante informe justificado el </w:t>
      </w:r>
      <w:r>
        <w:rPr>
          <w:rFonts w:ascii="Palatino Linotype" w:eastAsia="Palatino Linotype" w:hAnsi="Palatino Linotype" w:cs="Palatino Linotype"/>
          <w:b/>
        </w:rPr>
        <w:t>Sujeto Obligado</w:t>
      </w:r>
      <w:r>
        <w:rPr>
          <w:rFonts w:ascii="Palatino Linotype" w:eastAsia="Palatino Linotype" w:hAnsi="Palatino Linotype" w:cs="Palatino Linotype"/>
        </w:rPr>
        <w:t>, modifica su respuesta e informa que solicitó al Servidor Público Habilitado del Órgano de Control Interno, quien remite copia de dos renuncias de los directores, jefes, coordinadores salientes de la administración 2019 y 2021, a saber:</w:t>
      </w:r>
    </w:p>
    <w:p w14:paraId="0393DFD8" w14:textId="77777777" w:rsidR="00AF47DB" w:rsidRDefault="00024296">
      <w:pPr>
        <w:numPr>
          <w:ilvl w:val="0"/>
          <w:numId w:val="2"/>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Mario Vallejo Madrazo y</w:t>
      </w:r>
    </w:p>
    <w:p w14:paraId="5AFF00F0" w14:textId="77777777" w:rsidR="00AF47DB" w:rsidRDefault="00024296">
      <w:pPr>
        <w:numPr>
          <w:ilvl w:val="0"/>
          <w:numId w:val="2"/>
        </w:num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Miguel Ángel Acosta Rojas.</w:t>
      </w:r>
    </w:p>
    <w:p w14:paraId="03D3DC1F" w14:textId="77777777" w:rsidR="00AF47DB" w:rsidRDefault="0002429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Las cuales </w:t>
      </w:r>
      <w:r>
        <w:rPr>
          <w:rFonts w:ascii="Palatino Linotype" w:eastAsia="Palatino Linotype" w:hAnsi="Palatino Linotype" w:cs="Palatino Linotype"/>
          <w:b/>
        </w:rPr>
        <w:t>no fueron puestas a la vista la</w:t>
      </w:r>
      <w:r>
        <w:rPr>
          <w:rFonts w:ascii="Palatino Linotype" w:eastAsia="Palatino Linotype" w:hAnsi="Palatino Linotype" w:cs="Palatino Linotype"/>
        </w:rPr>
        <w:t xml:space="preserve"> </w:t>
      </w:r>
      <w:r>
        <w:rPr>
          <w:rFonts w:ascii="Palatino Linotype" w:eastAsia="Palatino Linotype" w:hAnsi="Palatino Linotype" w:cs="Palatino Linotype"/>
          <w:b/>
        </w:rPr>
        <w:t>parte Recurrente</w:t>
      </w:r>
      <w:r>
        <w:rPr>
          <w:rFonts w:ascii="Palatino Linotype" w:eastAsia="Palatino Linotype" w:hAnsi="Palatino Linotype" w:cs="Palatino Linotype"/>
        </w:rPr>
        <w:t xml:space="preserve"> </w:t>
      </w:r>
      <w:r>
        <w:rPr>
          <w:rFonts w:ascii="Palatino Linotype" w:eastAsia="Palatino Linotype" w:hAnsi="Palatino Linotype" w:cs="Palatino Linotype"/>
          <w:b/>
        </w:rPr>
        <w:t>por contener datos de carácter personal, en las que se aprecian claves de ISSEMYM y RFC.</w:t>
      </w:r>
    </w:p>
    <w:p w14:paraId="71B03812"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Atento a lo anterior, del análisis de los documentos remitidos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encontró que ciertamente se tratan de las renuncias presentadas por los entonces servidores públicos de la Dirección de Administración y del Director General del Organismo Público Descentralizado para la prestación de los Servicios de Agua Potable, Alcantarillado y Saneamiento del Municipio de Zinacantepec, que laboraron en la administración anterior,  sin embargo, de su revisión se observó que se encuentran publicados de manera íntegra sin versión pública, aún y cuando se observa que existen datos personales como son el RFC y la clave de ISSEMYM, datos susceptibles de ser clasificados como confidenciales, de conformidad con lo dispuesto en el artículo 143 fracción I de la Ley de Transparencia y Acceso a la Información Pública del Estado de México y Municipios, información que será analizada en el </w:t>
      </w:r>
      <w:r>
        <w:rPr>
          <w:rFonts w:ascii="Palatino Linotype" w:eastAsia="Palatino Linotype" w:hAnsi="Palatino Linotype" w:cs="Palatino Linotype"/>
          <w:b/>
        </w:rPr>
        <w:t>Considerando Quinto</w:t>
      </w:r>
      <w:r>
        <w:rPr>
          <w:rFonts w:ascii="Palatino Linotype" w:eastAsia="Palatino Linotype" w:hAnsi="Palatino Linotype" w:cs="Palatino Linotype"/>
        </w:rPr>
        <w:t>.</w:t>
      </w:r>
    </w:p>
    <w:p w14:paraId="10640E31" w14:textId="77777777" w:rsidR="00AF47DB" w:rsidRDefault="00024296">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rPr>
        <w:t>Por otra parte, en atención a los</w:t>
      </w:r>
      <w:r>
        <w:rPr>
          <w:rFonts w:ascii="Palatino Linotype" w:eastAsia="Palatino Linotype" w:hAnsi="Palatino Linotype" w:cs="Palatino Linotype"/>
          <w:b/>
          <w:color w:val="000000"/>
        </w:rPr>
        <w:t xml:space="preserve"> recibos de finiquito de los directores, jefes, coordinadores salientes de la administración 2019 – 2021</w:t>
      </w:r>
      <w:r>
        <w:rPr>
          <w:rFonts w:ascii="Palatino Linotype" w:eastAsia="Palatino Linotype" w:hAnsi="Palatino Linotype" w:cs="Palatino Linotype"/>
        </w:rPr>
        <w:t xml:space="preserve">, es importante precisar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señala que no se encuentra obligado a otorgar finiquitos</w:t>
      </w:r>
      <w:r>
        <w:rPr>
          <w:rFonts w:ascii="Palatino Linotype" w:eastAsia="Palatino Linotype" w:hAnsi="Palatino Linotype" w:cs="Palatino Linotype"/>
          <w:b/>
        </w:rPr>
        <w:t>, ya que todas las prestaciones a los que tienen derecho los servidores públicos, se habían cubierto durante el mes de diciembre de 2021.</w:t>
      </w:r>
      <w:r>
        <w:rPr>
          <w:rFonts w:ascii="Palatino Linotype" w:eastAsia="Palatino Linotype" w:hAnsi="Palatino Linotype" w:cs="Palatino Linotype"/>
        </w:rPr>
        <w:t xml:space="preserve"> </w:t>
      </w:r>
    </w:p>
    <w:p w14:paraId="698126D2" w14:textId="77777777" w:rsidR="00AF47DB" w:rsidRDefault="000242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cabe recordar que el Particular, hizo alusión a que requería los recibos de finiquito, por lo que, en el aparato de Preguntas Frecuentes, de la página oficial de la Secretaría del Trabajo del Estado de México, la liga electrónica </w:t>
      </w:r>
      <w:hyperlink r:id="rId15">
        <w:r>
          <w:rPr>
            <w:rFonts w:ascii="Palatino Linotype" w:eastAsia="Palatino Linotype" w:hAnsi="Palatino Linotype" w:cs="Palatino Linotype"/>
            <w:color w:val="0563C1"/>
            <w:u w:val="single"/>
          </w:rPr>
          <w:t>https://strabajo.edomex.gob.mx/faqs</w:t>
        </w:r>
      </w:hyperlink>
      <w:r>
        <w:rPr>
          <w:rFonts w:ascii="Palatino Linotype" w:eastAsia="Palatino Linotype" w:hAnsi="Palatino Linotype" w:cs="Palatino Linotype"/>
        </w:rPr>
        <w:t>, se establece que en caso de renuncia de un trabajador, este tiene derecho al pago de las partes proporcionales de salarios devengados, aguinaldo, vacaciones y prima de vacacional, y en el caso, que tenga más de quince años de servicio, tendrá además derecho a recibir la prima de antigüedad, así como prestaciones generadas y no pagadas (fondo de ahorro, salarios devengados, entre otros).</w:t>
      </w:r>
    </w:p>
    <w:p w14:paraId="1ABB28E6" w14:textId="77777777" w:rsidR="00AF47DB" w:rsidRDefault="00AF47DB">
      <w:pPr>
        <w:spacing w:line="360" w:lineRule="auto"/>
        <w:jc w:val="both"/>
        <w:rPr>
          <w:rFonts w:ascii="Palatino Linotype" w:eastAsia="Palatino Linotype" w:hAnsi="Palatino Linotype" w:cs="Palatino Linotype"/>
          <w:b/>
        </w:rPr>
      </w:pPr>
    </w:p>
    <w:p w14:paraId="191CB488" w14:textId="77777777" w:rsidR="00AF47DB" w:rsidRDefault="00024296">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Conforme de lo anterior, se puede advertir que la pretensión del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es obtener información respecto a los exservidores públicos que se les adeudó alguna prestación, por la decisión del trabajador por dar terminada la relación laboral con el patrón, entre las cuales se encuentran los salarios devengados y partes proporcionales de aguinaldo, prima de antigüedad, prima vacacional, entre otras.</w:t>
      </w:r>
    </w:p>
    <w:p w14:paraId="7D4688FD" w14:textId="77777777" w:rsidR="00AF47DB" w:rsidRDefault="00AF47DB">
      <w:pPr>
        <w:spacing w:line="360" w:lineRule="auto"/>
        <w:jc w:val="both"/>
        <w:rPr>
          <w:rFonts w:ascii="Palatino Linotype" w:eastAsia="Palatino Linotype" w:hAnsi="Palatino Linotype" w:cs="Palatino Linotype"/>
          <w:b/>
        </w:rPr>
      </w:pPr>
    </w:p>
    <w:p w14:paraId="16024BF9" w14:textId="77777777" w:rsidR="00AF47DB" w:rsidRDefault="00024296">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de las constancias que obran en el expediente, se logra advertir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turno la solicitud de información a la Coordinación Administración, Finanzas y Comercialización; así, resulta necesario hacer referencia al </w:t>
      </w:r>
      <w:r>
        <w:rPr>
          <w:rFonts w:ascii="Palatino Linotype" w:eastAsia="Palatino Linotype" w:hAnsi="Palatino Linotype" w:cs="Palatino Linotype"/>
          <w:b/>
        </w:rPr>
        <w:t>procedimiento de búsqueda que deben de seguir los Sujetos Obligados para localizar la información</w:t>
      </w:r>
      <w:r>
        <w:rPr>
          <w:rFonts w:ascii="Palatino Linotype" w:eastAsia="Palatino Linotype" w:hAnsi="Palatino Linotype" w:cs="Palatino Linotype"/>
        </w:rPr>
        <w:t>, el cual se encuentra previsto en los artículos 160 y 162 de la Ley de Transparencia y Acceso a la Información Pública del Estado de México y Municipios, mismo que es el siguiente:</w:t>
      </w:r>
    </w:p>
    <w:p w14:paraId="71293EE2" w14:textId="77777777" w:rsidR="00AF47DB" w:rsidRDefault="00AF47DB">
      <w:pPr>
        <w:spacing w:line="360" w:lineRule="auto"/>
        <w:ind w:right="-93"/>
        <w:jc w:val="both"/>
        <w:rPr>
          <w:rFonts w:ascii="Palatino Linotype" w:eastAsia="Palatino Linotype" w:hAnsi="Palatino Linotype" w:cs="Palatino Linotype"/>
        </w:rPr>
      </w:pPr>
    </w:p>
    <w:p w14:paraId="565E637B" w14:textId="77777777" w:rsidR="00AF47DB" w:rsidRDefault="00024296">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7E1B376D" w14:textId="77777777" w:rsidR="00AF47DB" w:rsidRDefault="00AF47DB">
      <w:pPr>
        <w:spacing w:line="360" w:lineRule="auto"/>
        <w:ind w:left="720"/>
        <w:jc w:val="both"/>
        <w:rPr>
          <w:rFonts w:ascii="Palatino Linotype" w:eastAsia="Palatino Linotype" w:hAnsi="Palatino Linotype" w:cs="Palatino Linotype"/>
        </w:rPr>
      </w:pPr>
    </w:p>
    <w:p w14:paraId="752A5751" w14:textId="77777777" w:rsidR="00AF47DB" w:rsidRDefault="00024296">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7464AF0A" w14:textId="77777777" w:rsidR="00AF47DB" w:rsidRDefault="000242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559C1322" w14:textId="77777777" w:rsidR="00AF47DB" w:rsidRDefault="000242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a efecto de determinar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cumplió con el procedimiento de búsqueda, resulta</w:t>
      </w:r>
      <w:r>
        <w:rPr>
          <w:rFonts w:ascii="Palatino Linotype" w:eastAsia="Palatino Linotype" w:hAnsi="Palatino Linotype" w:cs="Palatino Linotype"/>
          <w:sz w:val="22"/>
          <w:szCs w:val="22"/>
        </w:rPr>
        <w:t xml:space="preserve"> importa citar</w:t>
      </w:r>
      <w:r>
        <w:rPr>
          <w:rFonts w:ascii="Palatino Linotype" w:eastAsia="Palatino Linotype" w:hAnsi="Palatino Linotype" w:cs="Palatino Linotype"/>
        </w:rPr>
        <w:t xml:space="preserve"> el Reglamento Interno del Organismo Público Descentralizado para la Prestación de los Servicios de Agua Potable Alcantarillado y Saneamiento del Municipio de Zinacantepec 2021, que señala lo siguiente:</w:t>
      </w:r>
    </w:p>
    <w:p w14:paraId="5F96ECF8" w14:textId="77777777" w:rsidR="00AF47DB" w:rsidRDefault="00024296">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Organismo tiene personalidad Jurídica y patrimonio propio, así como </w:t>
      </w:r>
      <w:r>
        <w:rPr>
          <w:rFonts w:ascii="Palatino Linotype" w:eastAsia="Palatino Linotype" w:hAnsi="Palatino Linotype" w:cs="Palatino Linotype"/>
          <w:b/>
          <w:i/>
          <w:sz w:val="22"/>
          <w:szCs w:val="22"/>
        </w:rPr>
        <w:t>autonomía técnica y administrativa en el manejo de sus recursos,</w:t>
      </w:r>
      <w:r>
        <w:rPr>
          <w:rFonts w:ascii="Palatino Linotype" w:eastAsia="Palatino Linotype" w:hAnsi="Palatino Linotype" w:cs="Palatino Linotype"/>
          <w:i/>
          <w:sz w:val="22"/>
          <w:szCs w:val="22"/>
        </w:rPr>
        <w:t xml:space="preserve"> debiendo ejercer los actos de autoridad administrativa y fiscal que específicamente le señala la Ley del Agua, el presente Reglamento, así como las demás disposiciones legales en la materia, a través de su Consejo Directivo y del </w:t>
      </w:r>
      <w:proofErr w:type="gramStart"/>
      <w:r>
        <w:rPr>
          <w:rFonts w:ascii="Palatino Linotype" w:eastAsia="Palatino Linotype" w:hAnsi="Palatino Linotype" w:cs="Palatino Linotype"/>
          <w:i/>
          <w:sz w:val="22"/>
          <w:szCs w:val="22"/>
        </w:rPr>
        <w:t>Director</w:t>
      </w:r>
      <w:proofErr w:type="gramEnd"/>
      <w:r>
        <w:rPr>
          <w:rFonts w:ascii="Palatino Linotype" w:eastAsia="Palatino Linotype" w:hAnsi="Palatino Linotype" w:cs="Palatino Linotype"/>
          <w:i/>
          <w:sz w:val="22"/>
          <w:szCs w:val="22"/>
        </w:rPr>
        <w:t xml:space="preserve"> con facultades para delegar dichas atribuciones en los términos de las disposiciones jurídicas aplicables.</w:t>
      </w:r>
    </w:p>
    <w:p w14:paraId="3C0DDC55" w14:textId="77777777" w:rsidR="00AF47DB" w:rsidRDefault="00024296">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16.-</w:t>
      </w:r>
      <w:r>
        <w:rPr>
          <w:rFonts w:ascii="Palatino Linotype" w:eastAsia="Palatino Linotype" w:hAnsi="Palatino Linotype" w:cs="Palatino Linotype"/>
          <w:i/>
          <w:sz w:val="22"/>
          <w:szCs w:val="22"/>
        </w:rPr>
        <w:t xml:space="preserve"> Para el estudio, planeación y despacho de los asuntos de su competencia, así como para atender las acciones de control y evaluación que le corresponden, el </w:t>
      </w:r>
      <w:proofErr w:type="gramStart"/>
      <w:r>
        <w:rPr>
          <w:rFonts w:ascii="Palatino Linotype" w:eastAsia="Palatino Linotype" w:hAnsi="Palatino Linotype" w:cs="Palatino Linotype"/>
          <w:i/>
          <w:sz w:val="22"/>
          <w:szCs w:val="22"/>
        </w:rPr>
        <w:t>Director</w:t>
      </w:r>
      <w:proofErr w:type="gramEnd"/>
      <w:r>
        <w:rPr>
          <w:rFonts w:ascii="Palatino Linotype" w:eastAsia="Palatino Linotype" w:hAnsi="Palatino Linotype" w:cs="Palatino Linotype"/>
          <w:i/>
          <w:sz w:val="22"/>
          <w:szCs w:val="22"/>
        </w:rPr>
        <w:t xml:space="preserve"> se auxiliará de las siguientes Unidades Administrativas:</w:t>
      </w:r>
    </w:p>
    <w:p w14:paraId="7ACA747A" w14:textId="77777777" w:rsidR="00AF47DB" w:rsidRDefault="00024296">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w:t>
      </w:r>
      <w:proofErr w:type="gramStart"/>
      <w:r>
        <w:rPr>
          <w:rFonts w:ascii="Palatino Linotype" w:eastAsia="Palatino Linotype" w:hAnsi="Palatino Linotype" w:cs="Palatino Linotype"/>
          <w:b/>
          <w:i/>
          <w:sz w:val="22"/>
          <w:szCs w:val="22"/>
        </w:rPr>
        <w:t>Director</w:t>
      </w:r>
      <w:proofErr w:type="gramEnd"/>
      <w:r>
        <w:rPr>
          <w:rFonts w:ascii="Palatino Linotype" w:eastAsia="Palatino Linotype" w:hAnsi="Palatino Linotype" w:cs="Palatino Linotype"/>
          <w:b/>
          <w:i/>
          <w:sz w:val="22"/>
          <w:szCs w:val="22"/>
        </w:rPr>
        <w:t xml:space="preserve"> de Administración y Finanzas.</w:t>
      </w:r>
    </w:p>
    <w:p w14:paraId="43E37716" w14:textId="77777777" w:rsidR="00AF47DB" w:rsidRDefault="00024296">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Departamento de Comercialización.</w:t>
      </w:r>
    </w:p>
    <w:p w14:paraId="085C701F" w14:textId="77777777" w:rsidR="00AF47DB" w:rsidRDefault="00024296">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w:t>
      </w:r>
      <w:r>
        <w:rPr>
          <w:rFonts w:ascii="Palatino Linotype" w:eastAsia="Palatino Linotype" w:hAnsi="Palatino Linotype" w:cs="Palatino Linotype"/>
          <w:b/>
          <w:i/>
          <w:sz w:val="22"/>
          <w:szCs w:val="22"/>
        </w:rPr>
        <w:t>Departamento Recursos Humanos y Contabilidad.</w:t>
      </w:r>
    </w:p>
    <w:p w14:paraId="5D4602AB" w14:textId="77777777" w:rsidR="00AF47DB" w:rsidRDefault="00024296">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 Departamento de Recursos Materiales.</w:t>
      </w:r>
    </w:p>
    <w:p w14:paraId="61E136CE" w14:textId="77777777" w:rsidR="00AF47DB" w:rsidRDefault="00024296">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w:t>
      </w:r>
      <w:proofErr w:type="gramStart"/>
      <w:r>
        <w:rPr>
          <w:rFonts w:ascii="Palatino Linotype" w:eastAsia="Palatino Linotype" w:hAnsi="Palatino Linotype" w:cs="Palatino Linotype"/>
          <w:i/>
          <w:sz w:val="22"/>
          <w:szCs w:val="22"/>
        </w:rPr>
        <w:t>Director Técnico</w:t>
      </w:r>
      <w:proofErr w:type="gramEnd"/>
    </w:p>
    <w:p w14:paraId="18007121" w14:textId="77777777" w:rsidR="00AF47DB" w:rsidRDefault="00024296">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Departamento de Planeación y Construcción.</w:t>
      </w:r>
    </w:p>
    <w:p w14:paraId="6400AEDE" w14:textId="77777777" w:rsidR="00AF47DB" w:rsidRDefault="00024296">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Departamento de Operación y Mantenimiento.</w:t>
      </w:r>
    </w:p>
    <w:p w14:paraId="0941571D" w14:textId="77777777" w:rsidR="00AF47DB" w:rsidRDefault="00024296">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Contraloría Interna.</w:t>
      </w:r>
    </w:p>
    <w:p w14:paraId="2AB7AC8F" w14:textId="77777777" w:rsidR="00AF47DB" w:rsidRDefault="00024296">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Autoridad Investigadora.</w:t>
      </w:r>
    </w:p>
    <w:p w14:paraId="6363A631" w14:textId="77777777" w:rsidR="00AF47DB" w:rsidRDefault="00024296">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Autoridad Substanciadora.</w:t>
      </w:r>
    </w:p>
    <w:p w14:paraId="00EB8124" w14:textId="77777777" w:rsidR="00AF47DB" w:rsidRDefault="00024296">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 Autoridad Resolutora.</w:t>
      </w:r>
    </w:p>
    <w:p w14:paraId="65C605A9" w14:textId="77777777" w:rsidR="00AF47DB" w:rsidRDefault="00024296">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Secretaría Particular.</w:t>
      </w:r>
    </w:p>
    <w:p w14:paraId="78D41E73" w14:textId="77777777" w:rsidR="00AF47DB" w:rsidRDefault="00024296">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Unidad de Asuntos Jurídicos.</w:t>
      </w:r>
    </w:p>
    <w:p w14:paraId="7CA12952" w14:textId="77777777" w:rsidR="00AF47DB" w:rsidRDefault="00024296">
      <w:pPr>
        <w:spacing w:before="240" w:after="240" w:line="276"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VI. Unidad de Información, Planeación, Programación, Evaluación, y Transparencia</w:t>
      </w:r>
      <w:r>
        <w:rPr>
          <w:rFonts w:ascii="Palatino Linotype" w:eastAsia="Palatino Linotype" w:hAnsi="Palatino Linotype" w:cs="Palatino Linotype"/>
          <w:b/>
          <w:i/>
          <w:sz w:val="22"/>
          <w:szCs w:val="22"/>
        </w:rPr>
        <w:t>.</w:t>
      </w:r>
    </w:p>
    <w:p w14:paraId="4DBB1F42" w14:textId="77777777" w:rsidR="00AF47DB" w:rsidRDefault="00024296">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Unidad de Comunicación Social y Cultura del Agua.</w:t>
      </w:r>
    </w:p>
    <w:p w14:paraId="1EAAF32E" w14:textId="77777777" w:rsidR="00AF47DB" w:rsidRDefault="00024296">
      <w:pPr>
        <w:spacing w:before="240" w:after="240" w:line="276"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DIRECCIÓN DE ADMINISTRACIÓN Y FINANZAS.</w:t>
      </w:r>
    </w:p>
    <w:p w14:paraId="1F3FFB23" w14:textId="77777777" w:rsidR="00AF47DB" w:rsidRDefault="00024296">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Artículo 19.-La Dirección de Administración y Finanzas, es la responsable de dirigir y gestionar las acciones para la administración y distribución de los recursos humanos, materiales y financieros y le corresponde:</w:t>
      </w:r>
    </w:p>
    <w:p w14:paraId="749235DE" w14:textId="77777777" w:rsidR="00AF47DB" w:rsidRDefault="00024296">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w:t>
      </w:r>
      <w:r>
        <w:rPr>
          <w:rFonts w:ascii="Palatino Linotype" w:eastAsia="Palatino Linotype" w:hAnsi="Palatino Linotype" w:cs="Palatino Linotype"/>
          <w:b/>
          <w:i/>
          <w:sz w:val="22"/>
          <w:szCs w:val="22"/>
          <w:u w:val="single"/>
        </w:rPr>
        <w:t>Administrar los recursos humanos,</w:t>
      </w:r>
      <w:r>
        <w:rPr>
          <w:rFonts w:ascii="Palatino Linotype" w:eastAsia="Palatino Linotype" w:hAnsi="Palatino Linotype" w:cs="Palatino Linotype"/>
          <w:i/>
          <w:sz w:val="22"/>
          <w:szCs w:val="22"/>
        </w:rPr>
        <w:t xml:space="preserve"> financieros y materiales del Organismo, de acuerdo con las disposiciones aplicables;</w:t>
      </w:r>
    </w:p>
    <w:p w14:paraId="282982C8" w14:textId="77777777" w:rsidR="00AF47DB" w:rsidRDefault="00024296">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B8AF351" w14:textId="77777777" w:rsidR="00AF47DB" w:rsidRDefault="00024296">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XXI. </w:t>
      </w:r>
      <w:r>
        <w:rPr>
          <w:rFonts w:ascii="Palatino Linotype" w:eastAsia="Palatino Linotype" w:hAnsi="Palatino Linotype" w:cs="Palatino Linotype"/>
          <w:b/>
          <w:i/>
          <w:sz w:val="22"/>
          <w:szCs w:val="22"/>
        </w:rPr>
        <w:t>Autorizar las</w:t>
      </w:r>
      <w:r>
        <w:rPr>
          <w:rFonts w:ascii="Palatino Linotype" w:eastAsia="Palatino Linotype" w:hAnsi="Palatino Linotype" w:cs="Palatino Linotype"/>
          <w:i/>
          <w:sz w:val="22"/>
          <w:szCs w:val="22"/>
        </w:rPr>
        <w:t xml:space="preserve"> altas, </w:t>
      </w:r>
      <w:r>
        <w:rPr>
          <w:rFonts w:ascii="Palatino Linotype" w:eastAsia="Palatino Linotype" w:hAnsi="Palatino Linotype" w:cs="Palatino Linotype"/>
          <w:b/>
          <w:i/>
          <w:sz w:val="22"/>
          <w:szCs w:val="22"/>
        </w:rPr>
        <w:t>bajas</w:t>
      </w:r>
      <w:r>
        <w:rPr>
          <w:rFonts w:ascii="Palatino Linotype" w:eastAsia="Palatino Linotype" w:hAnsi="Palatino Linotype" w:cs="Palatino Linotype"/>
          <w:i/>
          <w:sz w:val="22"/>
          <w:szCs w:val="22"/>
        </w:rPr>
        <w:t>, cambios, permisos y licencias por incapacidad, entre otras, del personal y su correcta aplicación en los expedientes correspondientes;</w:t>
      </w:r>
    </w:p>
    <w:p w14:paraId="7CA56142" w14:textId="77777777" w:rsidR="00AF47DB" w:rsidRDefault="00024296">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F912453" w14:textId="77777777" w:rsidR="00AF47DB" w:rsidRDefault="00024296">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DEL DEPARTAMENTO DE RECURSOS HUMANOS Y CONTABILIDAD.</w:t>
      </w:r>
    </w:p>
    <w:p w14:paraId="2E2B6E07" w14:textId="77777777" w:rsidR="00AF47DB" w:rsidRDefault="00024296">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21.- El Departamento de Recursos Humanos y Contabilidad está adscrito a la Dirección de Administración y Finanzas, es la responsable de planear </w:t>
      </w:r>
      <w:r>
        <w:rPr>
          <w:rFonts w:ascii="Palatino Linotype" w:eastAsia="Palatino Linotype" w:hAnsi="Palatino Linotype" w:cs="Palatino Linotype"/>
          <w:b/>
          <w:i/>
          <w:sz w:val="22"/>
          <w:szCs w:val="22"/>
        </w:rPr>
        <w:t>y coordinar las acciones financieras, presupuestales y contables</w:t>
      </w:r>
      <w:r>
        <w:rPr>
          <w:rFonts w:ascii="Palatino Linotype" w:eastAsia="Palatino Linotype" w:hAnsi="Palatino Linotype" w:cs="Palatino Linotype"/>
          <w:i/>
          <w:sz w:val="22"/>
          <w:szCs w:val="22"/>
        </w:rPr>
        <w:t>, al cual le corresponde:</w:t>
      </w:r>
    </w:p>
    <w:p w14:paraId="5328CF58" w14:textId="77777777" w:rsidR="00AF47DB" w:rsidRDefault="00024296">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FA743C6" w14:textId="77777777" w:rsidR="00AF47DB" w:rsidRDefault="00024296">
      <w:pPr>
        <w:spacing w:before="240" w:after="240" w:line="276"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 xml:space="preserve">VII. Realizar los </w:t>
      </w:r>
      <w:r>
        <w:rPr>
          <w:rFonts w:ascii="Palatino Linotype" w:eastAsia="Palatino Linotype" w:hAnsi="Palatino Linotype" w:cs="Palatino Linotype"/>
          <w:b/>
          <w:i/>
          <w:sz w:val="22"/>
          <w:szCs w:val="22"/>
          <w:u w:val="single"/>
        </w:rPr>
        <w:t>movimientos de alta y baja del personal del organismo</w:t>
      </w:r>
      <w:r>
        <w:rPr>
          <w:rFonts w:ascii="Palatino Linotype" w:eastAsia="Palatino Linotype" w:hAnsi="Palatino Linotype" w:cs="Palatino Linotype"/>
          <w:i/>
          <w:sz w:val="22"/>
          <w:szCs w:val="22"/>
        </w:rPr>
        <w:t xml:space="preserve"> para integrar el padrón de servidores públicos obligados a presentar manifestación de bienes por alta, baja y por anualidad en cumplimiento de lo establecido por los Artículos 80 y 80 Bis de la Ley de Responsabilidades de los Servidores Públicos del Estado de México y Municipios, en coordinación con la </w:t>
      </w:r>
      <w:proofErr w:type="gramStart"/>
      <w:r>
        <w:rPr>
          <w:rFonts w:ascii="Palatino Linotype" w:eastAsia="Palatino Linotype" w:hAnsi="Palatino Linotype" w:cs="Palatino Linotype"/>
          <w:i/>
          <w:sz w:val="22"/>
          <w:szCs w:val="22"/>
        </w:rPr>
        <w:t>Secretaria</w:t>
      </w:r>
      <w:proofErr w:type="gramEnd"/>
      <w:r>
        <w:rPr>
          <w:rFonts w:ascii="Palatino Linotype" w:eastAsia="Palatino Linotype" w:hAnsi="Palatino Linotype" w:cs="Palatino Linotype"/>
          <w:i/>
          <w:sz w:val="22"/>
          <w:szCs w:val="22"/>
        </w:rPr>
        <w:t xml:space="preserve"> de la Contraloría del Gobierno del Estado de México</w:t>
      </w:r>
      <w:r>
        <w:rPr>
          <w:rFonts w:ascii="Palatino Linotype" w:eastAsia="Palatino Linotype" w:hAnsi="Palatino Linotype" w:cs="Palatino Linotype"/>
          <w:i/>
        </w:rPr>
        <w:t>.</w:t>
      </w:r>
    </w:p>
    <w:p w14:paraId="2EDFF6D8"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antes señalado, la Dirección de Administración y Finanzas, es competente para conocer la información solicitada, sin embargo se pudiera considerar que </w:t>
      </w:r>
      <w:r>
        <w:rPr>
          <w:rFonts w:ascii="Palatino Linotype" w:eastAsia="Palatino Linotype" w:hAnsi="Palatino Linotype" w:cs="Palatino Linotype"/>
        </w:rPr>
        <w:lastRenderedPageBreak/>
        <w:t xml:space="preserve">difiere en la denominación proporcionada, ya que la misma fue realizada por el Servidor Público Habilitado de la Coordinación de Administración, Finanzas y Comercialización, al respecto, el portal del Sistema de Información Pública de Oficio Mexiquense IPOMEX, señala en la Fracción II B, Organigrama, Ejercicio: 2022, con actualización al veintidós de abril de dos mil veintidós, en la liga electrónica:  </w:t>
      </w:r>
      <w:hyperlink r:id="rId16">
        <w:r>
          <w:rPr>
            <w:rFonts w:ascii="Palatino Linotype" w:eastAsia="Palatino Linotype" w:hAnsi="Palatino Linotype" w:cs="Palatino Linotype"/>
            <w:color w:val="0563C1"/>
            <w:u w:val="single"/>
          </w:rPr>
          <w:t>https://drive.google.com/file/d/1Wq0iBSX6yRwf_fazG1egkH4ca-JohRHI/view</w:t>
        </w:r>
      </w:hyperlink>
    </w:p>
    <w:p w14:paraId="610D963B" w14:textId="77777777" w:rsidR="00AF47DB" w:rsidRDefault="00024296">
      <w:pPr>
        <w:spacing w:before="240" w:after="240" w:line="360" w:lineRule="auto"/>
        <w:jc w:val="both"/>
        <w:rPr>
          <w:rFonts w:ascii="Palatino Linotype" w:eastAsia="Palatino Linotype" w:hAnsi="Palatino Linotype" w:cs="Palatino Linotype"/>
        </w:rPr>
      </w:pPr>
      <w:r>
        <w:rPr>
          <w:noProof/>
          <w:lang w:val="es-MX" w:eastAsia="es-MX"/>
        </w:rPr>
        <w:drawing>
          <wp:inline distT="0" distB="0" distL="0" distR="0" wp14:anchorId="1B51314E" wp14:editId="14DD4C3D">
            <wp:extent cx="5411887" cy="3836999"/>
            <wp:effectExtent l="0" t="0" r="0" b="0"/>
            <wp:docPr id="9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l="9013" t="29584" r="58224" b="29116"/>
                    <a:stretch>
                      <a:fillRect/>
                    </a:stretch>
                  </pic:blipFill>
                  <pic:spPr>
                    <a:xfrm>
                      <a:off x="0" y="0"/>
                      <a:ext cx="5411887" cy="3836999"/>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60288" behindDoc="0" locked="0" layoutInCell="1" hidden="0" allowOverlap="1" wp14:anchorId="08C27DE8" wp14:editId="2864D42C">
                <wp:simplePos x="0" y="0"/>
                <wp:positionH relativeFrom="column">
                  <wp:posOffset>330200</wp:posOffset>
                </wp:positionH>
                <wp:positionV relativeFrom="paragraph">
                  <wp:posOffset>2298700</wp:posOffset>
                </wp:positionV>
                <wp:extent cx="2564319" cy="1766651"/>
                <wp:effectExtent l="0" t="0" r="0" b="0"/>
                <wp:wrapNone/>
                <wp:docPr id="79" name="Elipse 79"/>
                <wp:cNvGraphicFramePr/>
                <a:graphic xmlns:a="http://schemas.openxmlformats.org/drawingml/2006/main">
                  <a:graphicData uri="http://schemas.microsoft.com/office/word/2010/wordprocessingShape">
                    <wps:wsp>
                      <wps:cNvSpPr/>
                      <wps:spPr>
                        <a:xfrm>
                          <a:off x="4076541" y="2909375"/>
                          <a:ext cx="2538919" cy="1741251"/>
                        </a:xfrm>
                        <a:prstGeom prst="ellipse">
                          <a:avLst/>
                        </a:prstGeom>
                        <a:noFill/>
                        <a:ln w="12700" cap="flat" cmpd="sng">
                          <a:solidFill>
                            <a:srgbClr val="FF0000"/>
                          </a:solidFill>
                          <a:prstDash val="solid"/>
                          <a:miter lim="800000"/>
                          <a:headEnd type="none" w="sm" len="sm"/>
                          <a:tailEnd type="none" w="sm" len="sm"/>
                        </a:ln>
                      </wps:spPr>
                      <wps:txbx>
                        <w:txbxContent>
                          <w:p w14:paraId="39CAAE31" w14:textId="77777777" w:rsidR="00AF47DB" w:rsidRDefault="00AF47DB">
                            <w:pPr>
                              <w:textDirection w:val="btLr"/>
                            </w:pPr>
                          </w:p>
                        </w:txbxContent>
                      </wps:txbx>
                      <wps:bodyPr spcFirstLastPara="1" wrap="square" lIns="91425" tIns="91425" rIns="91425" bIns="91425" anchor="ctr" anchorCtr="0">
                        <a:noAutofit/>
                      </wps:bodyPr>
                    </wps:wsp>
                  </a:graphicData>
                </a:graphic>
              </wp:anchor>
            </w:drawing>
          </mc:Choice>
          <mc:Fallback>
            <w:pict>
              <v:oval w14:anchorId="08C27DE8" id="Elipse 79" o:spid="_x0000_s1028" style="position:absolute;left:0;text-align:left;margin-left:26pt;margin-top:181pt;width:201.9pt;height:139.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" filled="f" strokecolor="red" strokeweight="1pt">
                <v:stroke startarrowwidth="narrow" startarrowlength="short" endarrowwidth="narrow" endarrowlength="short" joinstyle="miter"/>
                <v:textbox inset="2.53958mm,2.53958mm,2.53958mm,2.53958mm">
                  <w:txbxContent>
                    <w:p w14:paraId="39CAAE31" w14:textId="77777777" w:rsidR="00AF47DB" w:rsidRDefault="00AF47DB">
                      <w:pPr>
                        <w:textDirection w:val="btLr"/>
                      </w:pPr>
                    </w:p>
                  </w:txbxContent>
                </v:textbox>
              </v:oval>
            </w:pict>
          </mc:Fallback>
        </mc:AlternateContent>
      </w:r>
    </w:p>
    <w:p w14:paraId="61494680" w14:textId="77777777" w:rsidR="00AF47DB" w:rsidRDefault="00AF47DB">
      <w:pPr>
        <w:spacing w:before="240" w:after="240" w:line="360" w:lineRule="auto"/>
        <w:jc w:val="both"/>
        <w:rPr>
          <w:rFonts w:ascii="Palatino Linotype" w:eastAsia="Palatino Linotype" w:hAnsi="Palatino Linotype" w:cs="Palatino Linotype"/>
        </w:rPr>
      </w:pPr>
    </w:p>
    <w:p w14:paraId="53227A02" w14:textId="77777777" w:rsidR="00AF47DB" w:rsidRDefault="00AF47DB">
      <w:pPr>
        <w:spacing w:before="240" w:after="240" w:line="360" w:lineRule="auto"/>
        <w:jc w:val="both"/>
        <w:rPr>
          <w:rFonts w:ascii="Palatino Linotype" w:eastAsia="Palatino Linotype" w:hAnsi="Palatino Linotype" w:cs="Palatino Linotype"/>
        </w:rPr>
      </w:pPr>
    </w:p>
    <w:p w14:paraId="6CAF92F0"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lo que se identifica al Servidor Público Habilitado, y  una vez precisado lo anterior, es procedente recordar que el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argumentó que considerando que los </w:t>
      </w:r>
      <w:r>
        <w:rPr>
          <w:rFonts w:ascii="Palatino Linotype" w:eastAsia="Palatino Linotype" w:hAnsi="Palatino Linotype" w:cs="Palatino Linotype"/>
          <w:b/>
          <w:color w:val="000000"/>
        </w:rPr>
        <w:t>directores, jefes, coordinadores se encuentran dentro de la categoría de personal de confianza, por ello que no se encuentra obligado a generar finiquitos ya que todas las prestaciones a los que tienen derecho estos Servidores Públicos se habían cubierto durante el mes de diciembre 2022</w:t>
      </w:r>
      <w:r>
        <w:rPr>
          <w:rFonts w:ascii="Palatino Linotype" w:eastAsia="Palatino Linotype" w:hAnsi="Palatino Linotype" w:cs="Palatino Linotype"/>
          <w:color w:val="000000"/>
        </w:rPr>
        <w:t>, fundamentando su dicho en la Ley del Trabajo para Servidores Públicos del Estado de México y Municipios, artículos que se citan a continuación:</w:t>
      </w:r>
    </w:p>
    <w:p w14:paraId="26A4F6D4" w14:textId="77777777" w:rsidR="00AF47DB" w:rsidRDefault="00024296">
      <w:pPr>
        <w:pBdr>
          <w:top w:val="nil"/>
          <w:left w:val="nil"/>
          <w:bottom w:val="nil"/>
          <w:right w:val="nil"/>
          <w:between w:val="nil"/>
        </w:pBdr>
        <w:tabs>
          <w:tab w:val="left" w:pos="851"/>
          <w:tab w:val="left" w:pos="993"/>
        </w:tabs>
        <w:spacing w:line="360"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6. Los servidores públicos se clasifican en generales y de confianza, los cuales, de acuerdo con la duración de sus relaciones de trabajo pueden ser: por tiempo u obra determinados o por tiempo indeterminado.</w:t>
      </w:r>
    </w:p>
    <w:p w14:paraId="219DDD63" w14:textId="77777777" w:rsidR="00AF47DB" w:rsidRDefault="00AF47DB">
      <w:pPr>
        <w:pBdr>
          <w:top w:val="nil"/>
          <w:left w:val="nil"/>
          <w:bottom w:val="nil"/>
          <w:right w:val="nil"/>
          <w:between w:val="nil"/>
        </w:pBdr>
        <w:tabs>
          <w:tab w:val="left" w:pos="851"/>
          <w:tab w:val="left" w:pos="993"/>
        </w:tabs>
        <w:spacing w:line="360" w:lineRule="auto"/>
        <w:ind w:left="1134" w:right="900"/>
        <w:jc w:val="both"/>
        <w:rPr>
          <w:rFonts w:ascii="Palatino Linotype" w:eastAsia="Palatino Linotype" w:hAnsi="Palatino Linotype" w:cs="Palatino Linotype"/>
          <w:i/>
          <w:color w:val="000000"/>
          <w:sz w:val="22"/>
          <w:szCs w:val="22"/>
        </w:rPr>
      </w:pPr>
    </w:p>
    <w:p w14:paraId="4042E58C" w14:textId="77777777" w:rsidR="00AF47DB" w:rsidRDefault="00024296">
      <w:pPr>
        <w:pBdr>
          <w:top w:val="nil"/>
          <w:left w:val="nil"/>
          <w:bottom w:val="nil"/>
          <w:right w:val="nil"/>
          <w:between w:val="nil"/>
        </w:pBdr>
        <w:tabs>
          <w:tab w:val="left" w:pos="851"/>
          <w:tab w:val="left" w:pos="993"/>
        </w:tabs>
        <w:spacing w:line="360"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8. Se entiende por servidores públicos de confianza: </w:t>
      </w:r>
    </w:p>
    <w:p w14:paraId="616D09BE" w14:textId="77777777" w:rsidR="00AF47DB" w:rsidRDefault="00AF47DB">
      <w:pPr>
        <w:pBdr>
          <w:top w:val="nil"/>
          <w:left w:val="nil"/>
          <w:bottom w:val="nil"/>
          <w:right w:val="nil"/>
          <w:between w:val="nil"/>
        </w:pBdr>
        <w:tabs>
          <w:tab w:val="left" w:pos="851"/>
          <w:tab w:val="left" w:pos="993"/>
        </w:tabs>
        <w:spacing w:line="360" w:lineRule="auto"/>
        <w:ind w:left="1134" w:right="900"/>
        <w:jc w:val="both"/>
        <w:rPr>
          <w:rFonts w:ascii="Palatino Linotype" w:eastAsia="Palatino Linotype" w:hAnsi="Palatino Linotype" w:cs="Palatino Linotype"/>
          <w:i/>
          <w:color w:val="000000"/>
          <w:sz w:val="22"/>
          <w:szCs w:val="22"/>
        </w:rPr>
      </w:pPr>
    </w:p>
    <w:p w14:paraId="2F1BAEB8" w14:textId="77777777" w:rsidR="00AF47DB" w:rsidRDefault="00024296">
      <w:pPr>
        <w:pBdr>
          <w:top w:val="nil"/>
          <w:left w:val="nil"/>
          <w:bottom w:val="nil"/>
          <w:right w:val="nil"/>
          <w:between w:val="nil"/>
        </w:pBdr>
        <w:tabs>
          <w:tab w:val="left" w:pos="851"/>
          <w:tab w:val="left" w:pos="993"/>
        </w:tabs>
        <w:spacing w:line="360"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Aquéllos cuyo nombramiento o ejercicio del cargo requiera de la intervención directa del titular de la institución pública, del órgano de gobierno o de los Organismos Autónomos Constitucionales; siendo atribución de éstos su nombramiento o remoción en cualquier momento;</w:t>
      </w:r>
    </w:p>
    <w:p w14:paraId="540A8383" w14:textId="77777777" w:rsidR="00AF47DB" w:rsidRDefault="00AF47DB">
      <w:pPr>
        <w:pBdr>
          <w:top w:val="nil"/>
          <w:left w:val="nil"/>
          <w:bottom w:val="nil"/>
          <w:right w:val="nil"/>
          <w:between w:val="nil"/>
        </w:pBdr>
        <w:tabs>
          <w:tab w:val="left" w:pos="851"/>
          <w:tab w:val="left" w:pos="993"/>
        </w:tabs>
        <w:spacing w:line="360" w:lineRule="auto"/>
        <w:ind w:left="1134" w:right="900"/>
        <w:jc w:val="both"/>
        <w:rPr>
          <w:rFonts w:ascii="Palatino Linotype" w:eastAsia="Palatino Linotype" w:hAnsi="Palatino Linotype" w:cs="Palatino Linotype"/>
          <w:i/>
          <w:color w:val="000000"/>
          <w:sz w:val="22"/>
          <w:szCs w:val="22"/>
        </w:rPr>
      </w:pPr>
    </w:p>
    <w:p w14:paraId="32641B0C" w14:textId="77777777" w:rsidR="00AF47DB" w:rsidRDefault="00024296">
      <w:pPr>
        <w:pBdr>
          <w:top w:val="nil"/>
          <w:left w:val="nil"/>
          <w:bottom w:val="nil"/>
          <w:right w:val="nil"/>
          <w:between w:val="nil"/>
        </w:pBdr>
        <w:tabs>
          <w:tab w:val="left" w:pos="851"/>
          <w:tab w:val="left" w:pos="993"/>
        </w:tabs>
        <w:spacing w:line="360"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II. Aquéllos que tengan esa calidad en razón de la naturaleza de las funciones que desempeñen y no de la designación que se dé al puesto. </w:t>
      </w:r>
    </w:p>
    <w:p w14:paraId="456E68C3" w14:textId="77777777" w:rsidR="00AF47DB" w:rsidRDefault="00AF47DB">
      <w:pPr>
        <w:pBdr>
          <w:top w:val="nil"/>
          <w:left w:val="nil"/>
          <w:bottom w:val="nil"/>
          <w:right w:val="nil"/>
          <w:between w:val="nil"/>
        </w:pBdr>
        <w:tabs>
          <w:tab w:val="left" w:pos="851"/>
          <w:tab w:val="left" w:pos="993"/>
        </w:tabs>
        <w:spacing w:line="360" w:lineRule="auto"/>
        <w:ind w:left="1134" w:right="900"/>
        <w:jc w:val="both"/>
        <w:rPr>
          <w:rFonts w:ascii="Palatino Linotype" w:eastAsia="Palatino Linotype" w:hAnsi="Palatino Linotype" w:cs="Palatino Linotype"/>
          <w:i/>
          <w:color w:val="000000"/>
          <w:sz w:val="22"/>
          <w:szCs w:val="22"/>
        </w:rPr>
      </w:pPr>
    </w:p>
    <w:p w14:paraId="37B5CCAB" w14:textId="77777777" w:rsidR="00AF47DB" w:rsidRDefault="00024296">
      <w:pPr>
        <w:pBdr>
          <w:top w:val="nil"/>
          <w:left w:val="nil"/>
          <w:bottom w:val="nil"/>
          <w:right w:val="nil"/>
          <w:between w:val="nil"/>
        </w:pBdr>
        <w:tabs>
          <w:tab w:val="left" w:pos="851"/>
          <w:tab w:val="left" w:pos="993"/>
        </w:tabs>
        <w:spacing w:line="360"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 “</w:t>
      </w:r>
    </w:p>
    <w:p w14:paraId="54798F11" w14:textId="77777777" w:rsidR="00AF47DB" w:rsidRDefault="00AF47D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56725BF0" w14:textId="77777777" w:rsidR="00AF47DB" w:rsidRDefault="00024296">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bookmarkStart w:id="0" w:name="_heading=h.gjdgxs" w:colFirst="0" w:colLast="0"/>
      <w:bookmarkEnd w:id="0"/>
      <w:r>
        <w:rPr>
          <w:rFonts w:ascii="Palatino Linotype" w:eastAsia="Palatino Linotype" w:hAnsi="Palatino Linotype" w:cs="Palatino Linotype"/>
          <w:color w:val="000000"/>
        </w:rPr>
        <w:t xml:space="preserve">Y </w:t>
      </w:r>
      <w:proofErr w:type="gramStart"/>
      <w:r>
        <w:rPr>
          <w:rFonts w:ascii="Palatino Linotype" w:eastAsia="Palatino Linotype" w:hAnsi="Palatino Linotype" w:cs="Palatino Linotype"/>
          <w:color w:val="000000"/>
        </w:rPr>
        <w:t>que</w:t>
      </w:r>
      <w:proofErr w:type="gramEnd"/>
      <w:r>
        <w:rPr>
          <w:rFonts w:ascii="Palatino Linotype" w:eastAsia="Palatino Linotype" w:hAnsi="Palatino Linotype" w:cs="Palatino Linotype"/>
          <w:color w:val="000000"/>
        </w:rPr>
        <w:t xml:space="preserve"> en atención a lo anterior,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señaló, que </w:t>
      </w:r>
      <w:r>
        <w:rPr>
          <w:rFonts w:ascii="Palatino Linotype" w:eastAsia="Palatino Linotype" w:hAnsi="Palatino Linotype" w:cs="Palatino Linotype"/>
          <w:b/>
          <w:color w:val="000000"/>
        </w:rPr>
        <w:t>no se encuentra obligado a generar finiquitos ya que todas las prestaciones a los que tienen derecho estos Servidores Públicos se habían cubierto durante el mes de diciembre 2022</w:t>
      </w:r>
      <w:r>
        <w:rPr>
          <w:rFonts w:ascii="Palatino Linotype" w:eastAsia="Palatino Linotype" w:hAnsi="Palatino Linotype" w:cs="Palatino Linotype"/>
          <w:color w:val="000000"/>
        </w:rPr>
        <w:t>, sin embargo se puede apreciar que dicha respuesta es ambigua y general, toda vez que no permite determinar si a los dos exservidores públicos que presentaron su renuncia les fue otorgado el finiquito o no.</w:t>
      </w:r>
    </w:p>
    <w:p w14:paraId="7C3DDB14" w14:textId="77777777" w:rsidR="00AF47DB" w:rsidRDefault="000242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resulta necesario traer por analogía, el Criterio 02/17, emitido por el Instituto Nacional de Transparencia, Acceso a la Información y Protección de Datos Personales, que señala lo siguiente:</w:t>
      </w:r>
    </w:p>
    <w:p w14:paraId="6C0A86BF" w14:textId="77777777" w:rsidR="00AF47DB" w:rsidRDefault="00AF47DB">
      <w:pPr>
        <w:spacing w:line="360" w:lineRule="auto"/>
        <w:jc w:val="both"/>
        <w:rPr>
          <w:rFonts w:ascii="Palatino Linotype" w:eastAsia="Palatino Linotype" w:hAnsi="Palatino Linotype" w:cs="Palatino Linotype"/>
          <w:sz w:val="22"/>
          <w:szCs w:val="22"/>
        </w:rPr>
      </w:pPr>
    </w:p>
    <w:p w14:paraId="6AE05095" w14:textId="77777777" w:rsidR="00AF47DB" w:rsidRDefault="00024296">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 xml:space="preserve">“Congruencia y exhaustividad. Sus alcances para garantizar el derecho de acceso a la información. </w:t>
      </w:r>
      <w:r>
        <w:rPr>
          <w:rFonts w:ascii="Palatino Linotype" w:eastAsia="Palatino Linotype" w:hAnsi="Palatino Linotype" w:cs="Palatino Linotype"/>
          <w:i/>
        </w:rPr>
        <w:t xml:space="preserve">De conformidad con el artículo 3 de la Ley Federal de Procedimiento Administrativo, de aplicación supletoria a la Ley Federal de </w:t>
      </w:r>
      <w:r>
        <w:rPr>
          <w:rFonts w:ascii="Palatino Linotype" w:eastAsia="Palatino Linotype" w:hAnsi="Palatino Linotype" w:cs="Palatino Linotype"/>
          <w:i/>
        </w:rPr>
        <w:lastRenderedPageBreak/>
        <w:t>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A80666E" w14:textId="77777777" w:rsidR="00AF47DB" w:rsidRDefault="00AF47DB">
      <w:pPr>
        <w:spacing w:line="360" w:lineRule="auto"/>
        <w:ind w:right="113"/>
        <w:jc w:val="both"/>
        <w:rPr>
          <w:rFonts w:ascii="Palatino Linotype" w:eastAsia="Palatino Linotype" w:hAnsi="Palatino Linotype" w:cs="Palatino Linotype"/>
          <w:sz w:val="22"/>
          <w:szCs w:val="22"/>
        </w:rPr>
      </w:pPr>
    </w:p>
    <w:p w14:paraId="6AE65F01" w14:textId="77777777" w:rsidR="00AF47DB" w:rsidRDefault="000242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citado criterio, se desprende que todo acto administrativo debe apegarse al </w:t>
      </w:r>
      <w:r>
        <w:rPr>
          <w:rFonts w:ascii="Palatino Linotype" w:eastAsia="Palatino Linotype" w:hAnsi="Palatino Linotype" w:cs="Palatino Linotype"/>
          <w:b/>
        </w:rPr>
        <w:t xml:space="preserve">Principio de Congruencia, </w:t>
      </w:r>
      <w:r>
        <w:rPr>
          <w:rFonts w:ascii="Palatino Linotype" w:eastAsia="Palatino Linotype" w:hAnsi="Palatino Linotype" w:cs="Palatino Linotype"/>
        </w:rPr>
        <w:t>el cual</w:t>
      </w:r>
      <w:r>
        <w:rPr>
          <w:rFonts w:ascii="Palatino Linotype" w:eastAsia="Palatino Linotype" w:hAnsi="Palatino Linotype" w:cs="Palatino Linotype"/>
          <w:b/>
        </w:rPr>
        <w:t xml:space="preserve"> </w:t>
      </w:r>
      <w:r>
        <w:rPr>
          <w:rFonts w:ascii="Palatino Linotype" w:eastAsia="Palatino Linotype" w:hAnsi="Palatino Linotype" w:cs="Palatino Linotype"/>
        </w:rPr>
        <w:t>implica que exista concordancia entre el requerimiento formulado y la respuesta entregada; por tales consideraciones, al incumplir con dicho principio,</w:t>
      </w:r>
      <w:r>
        <w:rPr>
          <w:rFonts w:ascii="Palatino Linotype" w:eastAsia="Palatino Linotype" w:hAnsi="Palatino Linotype" w:cs="Palatino Linotype"/>
          <w:b/>
        </w:rPr>
        <w:t xml:space="preserve"> </w:t>
      </w:r>
      <w:r>
        <w:rPr>
          <w:rFonts w:ascii="Palatino Linotype" w:eastAsia="Palatino Linotype" w:hAnsi="Palatino Linotype" w:cs="Palatino Linotype"/>
        </w:rPr>
        <w:t>por parte de la Coordinación de Administración, Finanzas y Comercialización no se puede validar la contestación realizada.</w:t>
      </w:r>
    </w:p>
    <w:p w14:paraId="22D7896C" w14:textId="77777777" w:rsidR="00AF47DB" w:rsidRDefault="00AF47DB">
      <w:pPr>
        <w:spacing w:line="360" w:lineRule="auto"/>
        <w:jc w:val="both"/>
        <w:rPr>
          <w:rFonts w:ascii="Palatino Linotype" w:eastAsia="Palatino Linotype" w:hAnsi="Palatino Linotype" w:cs="Palatino Linotype"/>
          <w:sz w:val="22"/>
          <w:szCs w:val="22"/>
        </w:rPr>
      </w:pPr>
    </w:p>
    <w:p w14:paraId="41BFC8FA" w14:textId="77777777" w:rsidR="00AF47DB" w:rsidRDefault="000242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Conforme a lo anterior, se advierte que no existe congruencia en la respuesta proporcionada Coordinación de Administración, Finanzas y Comercialización, así como  con lo remitido por la Unidad de Transparencia, mediante informe justificado, por lo que resulta procedente ordenar la búsqueda exhaustiva y razonable y entrega del documento que dé cuenta de lo solicitado</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rPr>
        <w:t xml:space="preserve">para lo cual , es necesario establecer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genera documentos que den cuenta de lo peticionado; al </w:t>
      </w:r>
      <w:r>
        <w:rPr>
          <w:rFonts w:ascii="Palatino Linotype" w:eastAsia="Palatino Linotype" w:hAnsi="Palatino Linotype" w:cs="Palatino Linotype"/>
        </w:rPr>
        <w:lastRenderedPageBreak/>
        <w:t>respecto, el artículo 32, párrafo segundo, de la Ley de Fiscalización Superior del Estado de México, establece que los Presidentes Municipales, presentarán a la Legislatura los informes mensuales, dentro de los veinte días posteriores al término del mes correspondiente.</w:t>
      </w:r>
    </w:p>
    <w:p w14:paraId="758E095E" w14:textId="77777777" w:rsidR="00AF47DB" w:rsidRDefault="00AF47DB">
      <w:pPr>
        <w:spacing w:line="360" w:lineRule="auto"/>
        <w:jc w:val="both"/>
        <w:rPr>
          <w:rFonts w:ascii="Palatino Linotype" w:eastAsia="Palatino Linotype" w:hAnsi="Palatino Linotype" w:cs="Palatino Linotype"/>
          <w:sz w:val="22"/>
          <w:szCs w:val="22"/>
        </w:rPr>
      </w:pPr>
    </w:p>
    <w:p w14:paraId="650A403A" w14:textId="77777777" w:rsidR="00AF47DB" w:rsidRDefault="000242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orden de ideas, el diverso 8°, fracciones XI y XIV, de dicho ordenamiento jurídico, establece que el Órgano Superior de Fiscalización del Estado de México, será el encargado de establecer los lineamientos necesarios para la elaboración de los informes mensuales; además que verificará que dichos informes hayan sido presentados conforme a la normatividad aplicable.</w:t>
      </w:r>
    </w:p>
    <w:p w14:paraId="554ECC42" w14:textId="77777777" w:rsidR="00AF47DB" w:rsidRDefault="00AF47DB">
      <w:pPr>
        <w:spacing w:line="360" w:lineRule="auto"/>
        <w:jc w:val="both"/>
        <w:rPr>
          <w:rFonts w:ascii="Palatino Linotype" w:eastAsia="Palatino Linotype" w:hAnsi="Palatino Linotype" w:cs="Palatino Linotype"/>
        </w:rPr>
      </w:pPr>
    </w:p>
    <w:p w14:paraId="4AFEDBFD" w14:textId="77777777" w:rsidR="00AF47DB" w:rsidRDefault="000242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en las Políticas para la Integración del Informe Trimestral de los Sujetos de Fiscalización Municipales, para el ejercicio fiscal dos mil veintiuno, se integra de diversos documentos, entre los cuales se encuentra las notas de desglose, en las cuales se deben colocar los pasivos, correspondientes a una relación de las cuentas y documentos pendientes por pagar.</w:t>
      </w:r>
    </w:p>
    <w:p w14:paraId="2E4A54D9" w14:textId="77777777" w:rsidR="00AF47DB" w:rsidRDefault="00AF47DB">
      <w:pPr>
        <w:spacing w:line="360" w:lineRule="auto"/>
        <w:jc w:val="both"/>
        <w:rPr>
          <w:rFonts w:ascii="Palatino Linotype" w:eastAsia="Palatino Linotype" w:hAnsi="Palatino Linotype" w:cs="Palatino Linotype"/>
          <w:sz w:val="22"/>
          <w:szCs w:val="22"/>
        </w:rPr>
      </w:pPr>
    </w:p>
    <w:p w14:paraId="74A5DDCC" w14:textId="77777777" w:rsidR="00AF47DB" w:rsidRDefault="000242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lo anterior, se logra advertir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 contar con documentos que pudieran dar cuenta de lo solicitado, pues conoce a los exservidores públicos, que renunciaron y por dicha causa, se le otorgaron ciertas prestaciones.</w:t>
      </w:r>
    </w:p>
    <w:p w14:paraId="1A3ADA91" w14:textId="77777777" w:rsidR="00AF47DB" w:rsidRDefault="00AF47DB">
      <w:pPr>
        <w:spacing w:line="360" w:lineRule="auto"/>
        <w:jc w:val="both"/>
        <w:rPr>
          <w:rFonts w:ascii="Palatino Linotype" w:eastAsia="Palatino Linotype" w:hAnsi="Palatino Linotype" w:cs="Palatino Linotype"/>
          <w:sz w:val="22"/>
          <w:szCs w:val="22"/>
        </w:rPr>
      </w:pPr>
    </w:p>
    <w:p w14:paraId="5EDF9F1A" w14:textId="77777777" w:rsidR="00AF47DB" w:rsidRDefault="000242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en el presente caso, se considera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atender el requerimiento de información, deberá realizar una búsqueda exhaustiva </w:t>
      </w:r>
      <w:r>
        <w:rPr>
          <w:rFonts w:ascii="Palatino Linotype" w:eastAsia="Palatino Linotype" w:hAnsi="Palatino Linotype" w:cs="Palatino Linotype"/>
        </w:rPr>
        <w:lastRenderedPageBreak/>
        <w:t>y razonable, en los archivos de la Coordinación de Administración, Finanzas y Comercialización, a efecto de que proporcione los documentos donde conste el nombre y adscripción de los exservidores públicos, a los cuales, se les haya otorgado finiquito, a la fecha de la solicitud, o alguna prestación derivada de la renuncia voluntaria.</w:t>
      </w:r>
    </w:p>
    <w:p w14:paraId="43E78BA7" w14:textId="77777777" w:rsidR="00AF47DB" w:rsidRDefault="00AF47DB">
      <w:pPr>
        <w:spacing w:line="360" w:lineRule="auto"/>
        <w:jc w:val="both"/>
        <w:rPr>
          <w:rFonts w:ascii="Palatino Linotype" w:eastAsia="Palatino Linotype" w:hAnsi="Palatino Linotype" w:cs="Palatino Linotype"/>
          <w:sz w:val="22"/>
          <w:szCs w:val="22"/>
        </w:rPr>
      </w:pPr>
    </w:p>
    <w:p w14:paraId="24E54C07" w14:textId="77777777" w:rsidR="00AF47DB" w:rsidRDefault="000242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0BA27187" w14:textId="77777777" w:rsidR="00AF47DB" w:rsidRDefault="00AF47DB">
      <w:pPr>
        <w:spacing w:line="360" w:lineRule="auto"/>
        <w:jc w:val="both"/>
        <w:rPr>
          <w:rFonts w:ascii="Palatino Linotype" w:eastAsia="Palatino Linotype" w:hAnsi="Palatino Linotype" w:cs="Palatino Linotype"/>
          <w:sz w:val="22"/>
          <w:szCs w:val="22"/>
        </w:rPr>
      </w:pPr>
    </w:p>
    <w:p w14:paraId="71E9F85E" w14:textId="77777777" w:rsidR="00AF47DB" w:rsidRDefault="00024296">
      <w:pPr>
        <w:tabs>
          <w:tab w:val="left" w:pos="4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esta manera, el derecho de acceso a la información pública se satisface en aquellos casos en que se entregue el soporte documental en el que conste la información solicitada, sin necesidad de elaborar documentos ad hoc; lo cual, de conformidad con en el artículo 160 de la Ley de Transparencia y Acceso a la Información Pública del Estado de México y Municipios, el cual refiere que los sujetos obligados deberán entregar la información que obre en sus archivos. </w:t>
      </w:r>
    </w:p>
    <w:p w14:paraId="37EA346C" w14:textId="77777777" w:rsidR="00AF47DB" w:rsidRDefault="00AF47DB">
      <w:pPr>
        <w:tabs>
          <w:tab w:val="left" w:pos="4962"/>
        </w:tabs>
        <w:spacing w:line="360" w:lineRule="auto"/>
        <w:jc w:val="both"/>
        <w:rPr>
          <w:rFonts w:ascii="Palatino Linotype" w:eastAsia="Palatino Linotype" w:hAnsi="Palatino Linotype" w:cs="Palatino Linotype"/>
          <w:sz w:val="22"/>
          <w:szCs w:val="22"/>
        </w:rPr>
      </w:pPr>
      <w:bookmarkStart w:id="1" w:name="_heading=h.1fob9te" w:colFirst="0" w:colLast="0"/>
      <w:bookmarkEnd w:id="1"/>
    </w:p>
    <w:p w14:paraId="2EE9D9E5" w14:textId="77777777" w:rsidR="00AF47DB" w:rsidRDefault="00024296">
      <w:pPr>
        <w:tabs>
          <w:tab w:val="left" w:pos="4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tales circunstancias, se concluye que los sujetos obligados únicamente se encuentran constreñidos a proporcionar los documentos que den cuenta de la información solicitada, como obren en sus archivos, sin tener que elaborarlos a las </w:t>
      </w:r>
      <w:r>
        <w:rPr>
          <w:rFonts w:ascii="Palatino Linotype" w:eastAsia="Palatino Linotype" w:hAnsi="Palatino Linotype" w:cs="Palatino Linotype"/>
        </w:rPr>
        <w:lastRenderedPageBreak/>
        <w:t>necesidades del Recurrente; por lo que, en el presente caso, deberá proporcionar el documento donde conste la información referida.</w:t>
      </w:r>
    </w:p>
    <w:p w14:paraId="5C58E4AE" w14:textId="77777777" w:rsidR="00AF47DB" w:rsidRDefault="00AF47DB">
      <w:pPr>
        <w:tabs>
          <w:tab w:val="left" w:pos="4962"/>
        </w:tabs>
        <w:spacing w:line="360" w:lineRule="auto"/>
        <w:jc w:val="both"/>
        <w:rPr>
          <w:rFonts w:ascii="Palatino Linotype" w:eastAsia="Palatino Linotype" w:hAnsi="Palatino Linotype" w:cs="Palatino Linotype"/>
          <w:sz w:val="22"/>
          <w:szCs w:val="22"/>
        </w:rPr>
      </w:pPr>
    </w:p>
    <w:p w14:paraId="5949D3C8" w14:textId="77777777" w:rsidR="00AF47DB" w:rsidRDefault="00024296">
      <w:pPr>
        <w:tabs>
          <w:tab w:val="left" w:pos="4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para el caso de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al ocho de febrero de dos mil veintidós, no se adeudara ningún monto a exservidores públicos que renunciaron a su cargo, deberá hacerlo del conocimiento del </w:t>
      </w:r>
      <w:r>
        <w:rPr>
          <w:rFonts w:ascii="Palatino Linotype" w:eastAsia="Palatino Linotype" w:hAnsi="Palatino Linotype" w:cs="Palatino Linotype"/>
          <w:b/>
        </w:rPr>
        <w:t>Recurrente</w:t>
      </w:r>
      <w:r>
        <w:rPr>
          <w:rFonts w:ascii="Palatino Linotype" w:eastAsia="Palatino Linotype" w:hAnsi="Palatino Linotype" w:cs="Palatino Linotype"/>
        </w:rPr>
        <w:t>, en términos del artículo 19, párrafo segundo de la Ley de la Transparencia y Acceso a la Información Pública del Estado de México y Municipios.</w:t>
      </w:r>
    </w:p>
    <w:p w14:paraId="004E8111" w14:textId="77777777" w:rsidR="00AF47DB" w:rsidRDefault="00AF47DB">
      <w:pPr>
        <w:spacing w:line="360" w:lineRule="auto"/>
        <w:jc w:val="both"/>
        <w:rPr>
          <w:rFonts w:ascii="Palatino Linotype" w:eastAsia="Palatino Linotype" w:hAnsi="Palatino Linotype" w:cs="Palatino Linotype"/>
        </w:rPr>
      </w:pPr>
    </w:p>
    <w:p w14:paraId="5EBA21BF" w14:textId="77777777" w:rsidR="00AF47DB" w:rsidRDefault="000242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No pasa desapercibido para este Instituto que los documentos que atiendan la solicitud, pudieran contener datos o información clasificada, en términos de la Ley de Transparencia y Acceso a la Información Pública del Estado de México; al respecto, conforme al artículo 3, fracción XLV, relacionado con el 137, ambos de la Ley de la materia,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25AD7B8D" w14:textId="77777777" w:rsidR="00AF47DB" w:rsidRDefault="00AF47DB">
      <w:pPr>
        <w:spacing w:line="360" w:lineRule="auto"/>
        <w:jc w:val="both"/>
        <w:rPr>
          <w:rFonts w:ascii="Palatino Linotype" w:eastAsia="Palatino Linotype" w:hAnsi="Palatino Linotype" w:cs="Palatino Linotype"/>
        </w:rPr>
      </w:pPr>
    </w:p>
    <w:p w14:paraId="0B6985F3" w14:textId="77777777" w:rsidR="00AF47DB" w:rsidRDefault="000242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tal situación,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seguir el procedimiento establecido en el artículo 168 de dicho ordenamiento jurídico; esto es, que el área competente deberá elaborar la versión pública, así como emitir el Acuerdo, por parte del Comité </w:t>
      </w:r>
      <w:r>
        <w:rPr>
          <w:rFonts w:ascii="Palatino Linotype" w:eastAsia="Palatino Linotype" w:hAnsi="Palatino Linotype" w:cs="Palatino Linotype"/>
        </w:rPr>
        <w:lastRenderedPageBreak/>
        <w:t>de Transparencia, donde confirme la clasificación de los datos, fundando y motivando la clasificación.</w:t>
      </w:r>
    </w:p>
    <w:p w14:paraId="6A4477D1"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 </w:t>
      </w:r>
    </w:p>
    <w:p w14:paraId="5FB58423"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 </w:t>
      </w:r>
    </w:p>
    <w:p w14:paraId="519B0C2E" w14:textId="77777777" w:rsidR="00AF47DB" w:rsidRDefault="00024296">
      <w:pPr>
        <w:spacing w:before="240" w:after="240"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rPr>
        <w:t xml:space="preserve">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 </w:t>
      </w:r>
    </w:p>
    <w:p w14:paraId="442F15E8"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concordancia con lo previo, el artículo 143, fracción I, de la Ley previamente citada, establece que la información privada y los datos personales, concernientes a una persona física o jurídica colectiva identificada o identificable son confidenciales. </w:t>
      </w:r>
    </w:p>
    <w:p w14:paraId="5D682CE9"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en el artículo 145 de la Ley de Transparencia y Acceso a la Información Pública del Estado de México y Municipios, prevé que para que los Sujetos </w:t>
      </w:r>
      <w:r>
        <w:rPr>
          <w:rFonts w:ascii="Palatino Linotype" w:eastAsia="Palatino Linotype" w:hAnsi="Palatino Linotype" w:cs="Palatino Linotype"/>
        </w:rPr>
        <w:lastRenderedPageBreak/>
        <w:t xml:space="preserve">Obligados puedan permitir el acceso a la información confidencial, requieren obtener el consentimiento de los particulares titulares de la información, excepto cuando i) la información se encuentre en registros públicos o fuentes de acceso público, </w:t>
      </w:r>
      <w:proofErr w:type="spellStart"/>
      <w:r>
        <w:rPr>
          <w:rFonts w:ascii="Palatino Linotype" w:eastAsia="Palatino Linotype" w:hAnsi="Palatino Linotype" w:cs="Palatino Linotype"/>
        </w:rPr>
        <w:t>ii</w:t>
      </w:r>
      <w:proofErr w:type="spellEnd"/>
      <w:r>
        <w:rPr>
          <w:rFonts w:ascii="Palatino Linotype" w:eastAsia="Palatino Linotype" w:hAnsi="Palatino Linotype" w:cs="Palatino Linotype"/>
        </w:rPr>
        <w:t xml:space="preserve">) por ley tenga el carácter de pública, </w:t>
      </w:r>
      <w:proofErr w:type="spellStart"/>
      <w:r>
        <w:rPr>
          <w:rFonts w:ascii="Palatino Linotype" w:eastAsia="Palatino Linotype" w:hAnsi="Palatino Linotype" w:cs="Palatino Linotype"/>
        </w:rPr>
        <w:t>iii</w:t>
      </w:r>
      <w:proofErr w:type="spellEnd"/>
      <w:r>
        <w:rPr>
          <w:rFonts w:ascii="Palatino Linotype" w:eastAsia="Palatino Linotype" w:hAnsi="Palatino Linotype" w:cs="Palatino Linotype"/>
        </w:rPr>
        <w:t xml:space="preserve">) exista una orden judicial, </w:t>
      </w:r>
      <w:proofErr w:type="spellStart"/>
      <w:r>
        <w:rPr>
          <w:rFonts w:ascii="Palatino Linotype" w:eastAsia="Palatino Linotype" w:hAnsi="Palatino Linotype" w:cs="Palatino Linotype"/>
        </w:rPr>
        <w:t>iv</w:t>
      </w:r>
      <w:proofErr w:type="spellEnd"/>
      <w:r>
        <w:rPr>
          <w:rFonts w:ascii="Palatino Linotype" w:eastAsia="Palatino Linotype" w:hAnsi="Palatino Linotype" w:cs="Palatino Linotype"/>
        </w:rPr>
        <w:t>) por razones de seguridad nacional y salubridad general o v) para proteger los derechos de terceros o cuando se transmita entre sujetos obligados en términos de los tratados y los acuerdos interinstitucionales.</w:t>
      </w:r>
    </w:p>
    <w:p w14:paraId="008FD95D"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términos de lo expuesto, la documentación y aquellos datos que se consideren confidenciales, serán una limitante del derecho de acceso a la información, siempre y cuando: </w:t>
      </w:r>
    </w:p>
    <w:p w14:paraId="29927BC9"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 Se trate de datos personales o información privada; esto es, información concerniente a una persona física o jurídica colectiva y que ésta sea identificada o identificable. </w:t>
      </w:r>
    </w:p>
    <w:p w14:paraId="73A38DEF"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b. Para la difusión de los datos, se requiera el consentimiento del titular.</w:t>
      </w:r>
    </w:p>
    <w:p w14:paraId="6488ECD7"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identificable(cuando su identidad pueda determinarse directa o </w:t>
      </w:r>
      <w:r>
        <w:rPr>
          <w:rFonts w:ascii="Palatino Linotype" w:eastAsia="Palatino Linotype" w:hAnsi="Palatino Linotype" w:cs="Palatino Linotype"/>
        </w:rPr>
        <w:lastRenderedPageBreak/>
        <w:t xml:space="preserve">indirectamente a través de cualquier documento informativo físico o electrónico), establecida en cualquier formato o modalidad. </w:t>
      </w:r>
    </w:p>
    <w:p w14:paraId="73F2E29F"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en el artículo 5° de dicho ordenamiento jurídico, establece que es la Ley aplicable para todo tratamiento de datos personales.</w:t>
      </w:r>
    </w:p>
    <w:p w14:paraId="47ECEAE4"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66FC13DA"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6F928907"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contexto, la confidencialidad de los datos personales, tiene por objetivo establecer el límite del derecho de acceso a la información a partir del derecho a la intimidad y la vida privada de los individuos. Sobre la Particular, el legislador </w:t>
      </w:r>
      <w:r>
        <w:rPr>
          <w:rFonts w:ascii="Palatino Linotype" w:eastAsia="Palatino Linotype" w:hAnsi="Palatino Linotype" w:cs="Palatino Linotype"/>
        </w:rPr>
        <w:lastRenderedPageBreak/>
        <w:t>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639FD4E4"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tal suerte, las instituciones públicas tienen la doble responsabilidad, por un lado, de proteger los datos personales y por otro, darles publicidad cuando la relevancia de esos datos sea de interés público. </w:t>
      </w:r>
    </w:p>
    <w:p w14:paraId="05B718B5"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 </w:t>
      </w:r>
    </w:p>
    <w:p w14:paraId="5C3B7E1E"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w:t>
      </w:r>
      <w:r>
        <w:rPr>
          <w:rFonts w:ascii="Palatino Linotype" w:eastAsia="Palatino Linotype" w:hAnsi="Palatino Linotype" w:cs="Palatino Linotype"/>
        </w:rPr>
        <w:lastRenderedPageBreak/>
        <w:t>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71621EBC"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5C420A55"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este esquema, se aprecia que la información ordenada puede contener información susceptible a clasificar como confidencial y otra pública; de forma enunciativa más no limitativa; se analiza el Registro Federal de Contribuyentes (RFC) y la Clave Única de Registro de Población (CURP), huella dactilar, la Clave de cualquier tipo de seguridad social (ISSEMYM, u otros), así como, los préstamos o descuentos personales que se le hagan al servidor público. </w:t>
      </w:r>
    </w:p>
    <w:p w14:paraId="6C93386A" w14:textId="77777777" w:rsidR="00AF47DB" w:rsidRDefault="0002429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Registro Federal de Contribuyentes (RFC) </w:t>
      </w:r>
    </w:p>
    <w:p w14:paraId="66E83D08"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67A45ED"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acuerdo a lo establecido en el artículo en comento, esta clave se compone de trece caracteres alfanuméricos, con datos obtenidos de los apellidos, nombre (s), fecha de nacimiento del titular, más una </w:t>
      </w:r>
      <w:proofErr w:type="spellStart"/>
      <w:r>
        <w:rPr>
          <w:rFonts w:ascii="Palatino Linotype" w:eastAsia="Palatino Linotype" w:hAnsi="Palatino Linotype" w:cs="Palatino Linotype"/>
        </w:rPr>
        <w:t>homoclave</w:t>
      </w:r>
      <w:proofErr w:type="spellEnd"/>
      <w:r>
        <w:rPr>
          <w:rFonts w:ascii="Palatino Linotype" w:eastAsia="Palatino Linotype" w:hAnsi="Palatino Linotype" w:cs="Palatino Linotype"/>
        </w:rPr>
        <w:t xml:space="preserve"> que establece el sistema automático del Servicio de Administración Tributaria.</w:t>
      </w:r>
    </w:p>
    <w:p w14:paraId="4BD99620"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75611B5E"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w:t>
      </w:r>
      <w:r>
        <w:rPr>
          <w:rFonts w:ascii="Palatino Linotype" w:eastAsia="Palatino Linotype" w:hAnsi="Palatino Linotype" w:cs="Palatino Linotype"/>
        </w:rPr>
        <w:lastRenderedPageBreak/>
        <w:t>de un dato relevante únicamente para las personas involucradas en el pago de estos, en el presente caso, del pago del Impuesto Sobre el Producto del Trabajo.</w:t>
      </w:r>
    </w:p>
    <w:p w14:paraId="2963EBDF"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resulta congruente con el Criterio 19/17 emitido por el Instituto Nacional de Transparencia, Acceso a la Información y Protección de Datos Personales, en el cual se señala lo siguiente:</w:t>
      </w:r>
    </w:p>
    <w:p w14:paraId="795C9443" w14:textId="77777777" w:rsidR="00AF47DB" w:rsidRDefault="00024296">
      <w:pPr>
        <w:spacing w:before="240" w:after="240" w:line="360"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Registro Federal de Contribuyentes (RFC) de personas físicas.</w:t>
      </w:r>
      <w:r>
        <w:rPr>
          <w:rFonts w:ascii="Palatino Linotype" w:eastAsia="Palatino Linotype" w:hAnsi="Palatino Linotype" w:cs="Palatino Linotype"/>
          <w:i/>
          <w:sz w:val="22"/>
          <w:szCs w:val="22"/>
        </w:rPr>
        <w:t xml:space="preserve"> El RFC es una clave de carácter fiscal, única e irrepetible, que permite identificar al titular, su edad y fecha de nacimiento, por lo que es un dato personal de carácter confidencial.</w:t>
      </w:r>
    </w:p>
    <w:p w14:paraId="6FB0CEC4" w14:textId="77777777" w:rsidR="00AF47DB" w:rsidRDefault="000242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6CF91BED" w14:textId="77777777" w:rsidR="00AF47DB" w:rsidRDefault="0002429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 Clave Única de Registro de Población (CURP). </w:t>
      </w:r>
    </w:p>
    <w:p w14:paraId="2BB15480"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artículo 36 de la Constitución Política de los Estados Unidos Mexicanos, dispone la obligación de los ciudadanos de inscribirse en el Registro Nacional de Ciudadanos. </w:t>
      </w:r>
    </w:p>
    <w:p w14:paraId="4D0380A6"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El artículo 85 de la Ley General de Población, prevé que corresponde a la Secretaría de Gobernación el registro y acreditación de la identidad de todas las personas residentes en el país y de los nacionales que residan en el extranjero. </w:t>
      </w:r>
    </w:p>
    <w:p w14:paraId="1A6B4B74"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13A713E"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conformidad con lo precisado por la propia Secretaría de Gobernación en la dirección </w:t>
      </w:r>
      <w:hyperlink r:id="rId18">
        <w:r>
          <w:rPr>
            <w:rFonts w:ascii="Palatino Linotype" w:eastAsia="Palatino Linotype" w:hAnsi="Palatino Linotype" w:cs="Palatino Linotype"/>
            <w:color w:val="000000"/>
            <w:u w:val="single"/>
          </w:rPr>
          <w:t>https://consultas.curp.gob.mx/CurpSP/html/informacionecurpPS.html</w:t>
        </w:r>
      </w:hyperlink>
      <w:r>
        <w:rPr>
          <w:rFonts w:ascii="Palatino Linotype" w:eastAsia="Palatino Linotype" w:hAnsi="Palatino Linotype" w:cs="Palatino Linotype"/>
        </w:rPr>
        <w:t>,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5A1711AB" w14:textId="77777777" w:rsidR="00AF47DB" w:rsidRDefault="00024296">
      <w:pPr>
        <w:spacing w:before="240" w:after="240" w:line="360" w:lineRule="auto"/>
        <w:ind w:firstLine="851"/>
        <w:jc w:val="both"/>
        <w:rPr>
          <w:rFonts w:ascii="Palatino Linotype" w:eastAsia="Palatino Linotype" w:hAnsi="Palatino Linotype" w:cs="Palatino Linotype"/>
        </w:rPr>
      </w:pPr>
      <w:r>
        <w:rPr>
          <w:rFonts w:ascii="Palatino Linotype" w:eastAsia="Palatino Linotype" w:hAnsi="Palatino Linotype" w:cs="Palatino Linotype"/>
        </w:rPr>
        <w:t xml:space="preserve">• El primero y segundo apellidos, así como al nombre de pila. </w:t>
      </w:r>
    </w:p>
    <w:p w14:paraId="420DA529" w14:textId="77777777" w:rsidR="00AF47DB" w:rsidRDefault="00024296">
      <w:pPr>
        <w:spacing w:before="240" w:after="240" w:line="360" w:lineRule="auto"/>
        <w:ind w:firstLine="851"/>
        <w:jc w:val="both"/>
        <w:rPr>
          <w:rFonts w:ascii="Palatino Linotype" w:eastAsia="Palatino Linotype" w:hAnsi="Palatino Linotype" w:cs="Palatino Linotype"/>
        </w:rPr>
      </w:pPr>
      <w:r>
        <w:rPr>
          <w:rFonts w:ascii="Palatino Linotype" w:eastAsia="Palatino Linotype" w:hAnsi="Palatino Linotype" w:cs="Palatino Linotype"/>
        </w:rPr>
        <w:t xml:space="preserve">• La fecha de nacimiento. </w:t>
      </w:r>
    </w:p>
    <w:p w14:paraId="20860025" w14:textId="77777777" w:rsidR="00AF47DB" w:rsidRDefault="00024296">
      <w:pPr>
        <w:spacing w:before="240" w:after="240" w:line="360" w:lineRule="auto"/>
        <w:ind w:firstLine="851"/>
        <w:jc w:val="both"/>
        <w:rPr>
          <w:rFonts w:ascii="Palatino Linotype" w:eastAsia="Palatino Linotype" w:hAnsi="Palatino Linotype" w:cs="Palatino Linotype"/>
        </w:rPr>
      </w:pPr>
      <w:r>
        <w:rPr>
          <w:rFonts w:ascii="Palatino Linotype" w:eastAsia="Palatino Linotype" w:hAnsi="Palatino Linotype" w:cs="Palatino Linotype"/>
        </w:rPr>
        <w:t xml:space="preserve">• El sexo. </w:t>
      </w:r>
    </w:p>
    <w:p w14:paraId="4FC054A5" w14:textId="77777777" w:rsidR="00AF47DB" w:rsidRDefault="00024296">
      <w:pPr>
        <w:spacing w:before="240" w:after="240" w:line="360" w:lineRule="auto"/>
        <w:ind w:firstLine="851"/>
        <w:jc w:val="both"/>
        <w:rPr>
          <w:rFonts w:ascii="Palatino Linotype" w:eastAsia="Palatino Linotype" w:hAnsi="Palatino Linotype" w:cs="Palatino Linotype"/>
        </w:rPr>
      </w:pPr>
      <w:r>
        <w:rPr>
          <w:rFonts w:ascii="Palatino Linotype" w:eastAsia="Palatino Linotype" w:hAnsi="Palatino Linotype" w:cs="Palatino Linotype"/>
        </w:rPr>
        <w:t xml:space="preserve">• La entidad federativa de nacimiento. </w:t>
      </w:r>
    </w:p>
    <w:p w14:paraId="207C298A"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Los dos últimos elementos de la Clave Única de Registro de Población evitan la duplicidad de la Clave y garantizan su correcta integración.</w:t>
      </w:r>
    </w:p>
    <w:p w14:paraId="565266AD"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3239E8FE"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Resulta aplicable en la especie, como argumento orientador, el Criterio 3/10, emitido por el Instituto Nacional de Transparencia, Acceso a la Información y Protección de Datos Personales.</w:t>
      </w:r>
    </w:p>
    <w:p w14:paraId="72AC328F" w14:textId="77777777" w:rsidR="00AF47DB" w:rsidRDefault="00024296">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Clave Única de Registro de Población (CURP) es un dato personal confidencial. 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w:t>
      </w:r>
      <w:proofErr w:type="gramStart"/>
      <w:r>
        <w:rPr>
          <w:rFonts w:ascii="Palatino Linotype" w:eastAsia="Palatino Linotype" w:hAnsi="Palatino Linotype" w:cs="Palatino Linotype"/>
          <w:i/>
          <w:sz w:val="22"/>
          <w:szCs w:val="22"/>
        </w:rPr>
        <w:t>el artículos anteriormente señalados</w:t>
      </w:r>
      <w:proofErr w:type="gramEnd"/>
      <w:r>
        <w:rPr>
          <w:rFonts w:ascii="Palatino Linotype" w:eastAsia="Palatino Linotype" w:hAnsi="Palatino Linotype" w:cs="Palatino Linotype"/>
          <w:i/>
          <w:sz w:val="22"/>
          <w:szCs w:val="22"/>
        </w:rPr>
        <w:t>.</w:t>
      </w:r>
    </w:p>
    <w:p w14:paraId="531C936E"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acuerdo con lo anterior, la CURP es un dato que debe clasificarse, por tratarse de un dato personal confidencial, en términos del artículo 143, fracción I de la Ley de Transparencia y Acceso a la Información Pública del Estado de México y Municipios.</w:t>
      </w:r>
    </w:p>
    <w:p w14:paraId="0A50C9FE" w14:textId="77777777" w:rsidR="00AF47DB" w:rsidRDefault="0002429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Huella dactilar. </w:t>
      </w:r>
    </w:p>
    <w:p w14:paraId="5861BF62"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Academia Mexicana de la Lengua y el Diccionario de la Real Academia de la Lengua Española, establecen que la huella dactilar, es la impresión que suele dejar la yema del dedo en un objeto al tocarlo, o la que se obtiene impregnándola previamente en una materia colorante. Por su parte, en el documento electrónico intitulado “Nuevas Tecnologías Biométricas”, publicado por el Instituto Nacional de Ciencias Penales y la Procuraduría General de la República, disponible en </w:t>
      </w:r>
      <w:hyperlink r:id="rId19">
        <w:r>
          <w:rPr>
            <w:rFonts w:ascii="Palatino Linotype" w:eastAsia="Palatino Linotype" w:hAnsi="Palatino Linotype" w:cs="Palatino Linotype"/>
            <w:color w:val="000000"/>
            <w:u w:val="single"/>
          </w:rPr>
          <w:t>https://docplayer.es/5455342-Nuevas-tecnologiasbiometricas-instituto-nacional-de-ciencias-penales-procuraduria-general-de-la-republicaversion-1-0.html</w:t>
        </w:r>
      </w:hyperlink>
      <w:r>
        <w:rPr>
          <w:rFonts w:ascii="Palatino Linotype" w:eastAsia="Palatino Linotype" w:hAnsi="Palatino Linotype" w:cs="Palatino Linotype"/>
        </w:rPr>
        <w:t xml:space="preserve"> se indica que existen tres principios fundamentales para la identificación de las huellas dactilares, a saber:</w:t>
      </w:r>
    </w:p>
    <w:p w14:paraId="38F7EF97"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Primer principio. La huella es una característica individual. No hay dos huellas con características en las crestas que sean idénticas. </w:t>
      </w:r>
    </w:p>
    <w:p w14:paraId="1AAF374B"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Segundo principio. Una huella permanece sin cambios durante toda la vida de un individuo (sin embargo, puede adquirir cicatrices o cualquier otra deformación que impida su identificación clara).</w:t>
      </w:r>
    </w:p>
    <w:p w14:paraId="4EE8FE01"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Tercer principio. Las huellas tienen patrones que se forman con sus crestas, lo que hace posible clasificarlas sistemáticamente para agilizar las búsquedas.</w:t>
      </w:r>
    </w:p>
    <w:p w14:paraId="5B654A52"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lo expuesto, es indubitable que la huella dactilar es una característica propia de un individuo que permite su reconocimiento. Por tanto, sin duda, se considera que es una característica individual que se utiliza como medio de identificación de las personas y, por tanto, constituye un dato personal, de conformidad con lo establecido en el artículo 143, fracción I de la Ley de la materia. </w:t>
      </w:r>
    </w:p>
    <w:p w14:paraId="57E12373"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no obstante que dicho dato no se haya recolectado mediante escaneo que permita su sistematización y procesamiento electrónico, incluso su recolección en tinta y papel, también permite su escaneo, lo que puede propiciar un mal uno de dicho dato, sino se aplican las medidas de protección adecuada, tal como lo refiere la siguiente Tesis Aislada:</w:t>
      </w:r>
    </w:p>
    <w:p w14:paraId="7319CFB0" w14:textId="77777777" w:rsidR="00AF47DB" w:rsidRDefault="00024296">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HUELLA DACTILAR. ES APTA PARA ACREDITAR EL CONSENTIMIENTO EN LA CELEBRACIÓN DE UN CONTRATO</w:t>
      </w:r>
      <w:r>
        <w:rPr>
          <w:rFonts w:ascii="Palatino Linotype" w:eastAsia="Palatino Linotype" w:hAnsi="Palatino Linotype" w:cs="Palatino Linotype"/>
          <w:i/>
          <w:sz w:val="22"/>
          <w:szCs w:val="22"/>
        </w:rPr>
        <w:t xml:space="preserve">. La huella dactilar es un elemento jurídicamente reconocido para demostrar tanto la individualización de su autor como la manifestación de su voluntad con el contenido de un documento, porque es más idónea para individualizar al sujeto, pues las técnicas dactiloscópicas desarrolladas permiten afirmar que no hay dos personas que posean idénticas huellas dactilares; en cambio, los caracteres de la letra pueden ser imitados y, en algunos casos, podrá resultar difícil al perito decidir sobre la autenticidad de una firma. Como ejemplo de la eficacia de esa función individualizadora se tiene el artículo 76 del Código Civil para el Distrito Federal, que concibe a la huella como una firma útil para identificar a los nacidos en un parto múltiple. Por lo que toca a la función de acreditar la manifestación del consentimiento, el citado código prevé diversos supuestos, </w:t>
      </w:r>
      <w:proofErr w:type="gramStart"/>
      <w:r>
        <w:rPr>
          <w:rFonts w:ascii="Palatino Linotype" w:eastAsia="Palatino Linotype" w:hAnsi="Palatino Linotype" w:cs="Palatino Linotype"/>
          <w:i/>
          <w:sz w:val="22"/>
          <w:szCs w:val="22"/>
        </w:rPr>
        <w:t>como</w:t>
      </w:r>
      <w:proofErr w:type="gramEnd"/>
      <w:r>
        <w:rPr>
          <w:rFonts w:ascii="Palatino Linotype" w:eastAsia="Palatino Linotype" w:hAnsi="Palatino Linotype" w:cs="Palatino Linotype"/>
          <w:i/>
          <w:sz w:val="22"/>
          <w:szCs w:val="22"/>
        </w:rPr>
        <w:t xml:space="preserve"> por ejemplo, la solicitud del matrimonio (artículo 97, fracción III, segundo párrafo) y la celebración misma de </w:t>
      </w:r>
      <w:r>
        <w:rPr>
          <w:rFonts w:ascii="Palatino Linotype" w:eastAsia="Palatino Linotype" w:hAnsi="Palatino Linotype" w:cs="Palatino Linotype"/>
          <w:i/>
          <w:sz w:val="22"/>
          <w:szCs w:val="22"/>
        </w:rPr>
        <w:lastRenderedPageBreak/>
        <w:t>éste (artículo 103, fracción IX, tercer párrafo). Tratándose de los contratos, la impresión de la huella cumple esa doble función, pues si bien es cierto que dicho código en su artículo 1834 establece como requisito adicional la firma de la persona que intervenga a ruego del autor de la huella, ello ocurre de manera excepcional para los casos en que éste no sepa o no pueda leer ni escribir, pero aun en este caso el conocimiento del contenido del documento y, en consecuencia, la eficacia de la manifestación de la voluntad del autor respecto del contenido del contrato, se asegura con la necesidad de la intervención de la persona que solicite el autor. De esta manera, si en un contrato se encuentran plasmadas huellas atribuidas a una de las partes acompañadas de firmas igualmente atribuidas a él, quedando demostrado que dichas huellas sí corresponden a dicho autor, debe tenerse por acreditado el consentimiento en la celebración del contrato, incluso, con independencia de que la prueba pericial haya determinado la falsificación de las firmas correspondientes, más aún cuando el autor no negó expresamente haber estampado sus huellas en el contrato.</w:t>
      </w:r>
    </w:p>
    <w:p w14:paraId="404175C5" w14:textId="77777777" w:rsidR="00AF47DB" w:rsidRDefault="00024296">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2A4FD086"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la actualidad existen sistemas denominados AFIS por sus siglas en inglés </w:t>
      </w:r>
      <w:proofErr w:type="spellStart"/>
      <w:r>
        <w:rPr>
          <w:rFonts w:ascii="Palatino Linotype" w:eastAsia="Palatino Linotype" w:hAnsi="Palatino Linotype" w:cs="Palatino Linotype"/>
        </w:rPr>
        <w:t>Automated</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Fingerprint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Identification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System</w:t>
      </w:r>
      <w:proofErr w:type="spellEnd"/>
      <w:r>
        <w:rPr>
          <w:rFonts w:ascii="Palatino Linotype" w:eastAsia="Palatino Linotype" w:hAnsi="Palatino Linotype" w:cs="Palatino Linotype"/>
        </w:rPr>
        <w:t xml:space="preserve"> que son sistemas informáticos que permiten la captura, consulta y comparación automática de huellas dactilares, para la captura y adquisición existen diversas formas de realizarlo y una de ellas es a través de la fotografía de una huella dactilar que se encuentra impresa en un papel, que sólo depende de la calidad de la imagen para su comparación para la individualización del autor por medio de los sistemas AFIS.</w:t>
      </w:r>
    </w:p>
    <w:p w14:paraId="52FF62DF"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términos de la calidad de la imagen se debe observar que en la NOM-151-SCFI-2016 publicada en el Diario Oficial de la Federación el 30 de </w:t>
      </w:r>
      <w:proofErr w:type="gramStart"/>
      <w:r>
        <w:rPr>
          <w:rFonts w:ascii="Palatino Linotype" w:eastAsia="Palatino Linotype" w:hAnsi="Palatino Linotype" w:cs="Palatino Linotype"/>
        </w:rPr>
        <w:t>Marzo</w:t>
      </w:r>
      <w:proofErr w:type="gramEnd"/>
      <w:r>
        <w:rPr>
          <w:rFonts w:ascii="Palatino Linotype" w:eastAsia="Palatino Linotype" w:hAnsi="Palatino Linotype" w:cs="Palatino Linotype"/>
        </w:rPr>
        <w:t xml:space="preserve"> de 2017, se determina que la calidad propicia para realizar la digitalización de documentos físicos en formato de imagen es de 200 píxeles por pulgada o superior para </w:t>
      </w:r>
      <w:r>
        <w:rPr>
          <w:rFonts w:ascii="Palatino Linotype" w:eastAsia="Palatino Linotype" w:hAnsi="Palatino Linotype" w:cs="Palatino Linotype"/>
        </w:rPr>
        <w:lastRenderedPageBreak/>
        <w:t>representaciones en blanco y negro, color o escala de grises, para garantizar el contenido y la integridad de los documentos digitalizados. Desde esta perspectiva es viable digitalizar la imagen de una huella digital con una calidad mínima para poder ser puesta a disposición de un sistema AFIS por medio de escáneres y multifuncionales de venta al público general de diversas marcas y que pueden proporcionar una resolución de hasta 600 pixeles por pulgada.</w:t>
      </w:r>
    </w:p>
    <w:p w14:paraId="2A80D5B6"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conclusión, con el uso de las tecnologías de digitalización e impresión puestas a disposición de público general, es posible realizar la adquisición y reproducción de la huella digital que se encuentra en un documento y adicionalmente se puede sistematizar la comparación y análisis de las digitalizaciones a través de sistemas especializados para esta finalidad que pueden encontrarse de forma gratuita en Internet.</w:t>
      </w:r>
    </w:p>
    <w:p w14:paraId="2B9372A5"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anterior, la huella dactilar no sólo constituye un dato personal confidencial de carácter biométrico, sino que su tratamiento debe llevarse a cabo a través de medidas de seguridad que garanticen su adecuado tratamiento, por lo que debe ser clasificado como confidencial en términos del artículo 143, fracción I, de la Ley de Transparencia y Acceso a la Información Pública del Estado de México y Municipios.</w:t>
      </w:r>
    </w:p>
    <w:p w14:paraId="52A20160" w14:textId="77777777" w:rsidR="00AF47DB" w:rsidRDefault="0002429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Clave de cualquier tipo de seguridad social</w:t>
      </w:r>
    </w:p>
    <w:p w14:paraId="2C1BAD1F"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Instituto de Seguridad Social del Estado de México y Municipios (ISSEMYM) es el organismo público encargado de proporcionar los servicios de seguridad social a los servidores públicos del Estado de México, con el objetivo de garantizar a los </w:t>
      </w:r>
      <w:r>
        <w:rPr>
          <w:rFonts w:ascii="Palatino Linotype" w:eastAsia="Palatino Linotype" w:hAnsi="Palatino Linotype" w:cs="Palatino Linotype"/>
        </w:rPr>
        <w:lastRenderedPageBreak/>
        <w:t>derechohabientes el acceso a las prestaciones que otorga, de conformidad con el artículo 14 de la Ley de Seguridad Social para los Servidores Públicos del Estado de México y Municipios.</w:t>
      </w:r>
    </w:p>
    <w:p w14:paraId="3CCD51A8"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 </w:t>
      </w:r>
    </w:p>
    <w:p w14:paraId="2BC27A3E"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5ED858B0"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Contar con la prestación de seguridad social que brinda el ISSEMYM no es una obligación para entrar a trabajar a una institución pública, más bien, es un derecho que se adquiere cuando se ingresa al servicio público, por tal motivo, es un dato </w:t>
      </w:r>
      <w:r>
        <w:rPr>
          <w:rFonts w:ascii="Palatino Linotype" w:eastAsia="Palatino Linotype" w:hAnsi="Palatino Linotype" w:cs="Palatino Linotype"/>
        </w:rPr>
        <w:lastRenderedPageBreak/>
        <w:t>personal confidencial, por lo que se aprueba su eliminación en las versiones públicas, toda vez que actualiza el supuesto de confidencialidad del artículo 143, fracción I de la Ley de Transparencia y Acceso a la Información Pública del Estado de México y Municipios</w:t>
      </w:r>
    </w:p>
    <w:p w14:paraId="2CCF52AC"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w:t>
      </w:r>
      <w:proofErr w:type="gramStart"/>
      <w:r>
        <w:rPr>
          <w:rFonts w:ascii="Palatino Linotype" w:eastAsia="Palatino Linotype" w:hAnsi="Palatino Linotype" w:cs="Palatino Linotype"/>
        </w:rPr>
        <w:t>tanto</w:t>
      </w:r>
      <w:proofErr w:type="gramEnd"/>
      <w:r>
        <w:rPr>
          <w:rFonts w:ascii="Palatino Linotype" w:eastAsia="Palatino Linotype" w:hAnsi="Palatino Linotype" w:cs="Palatino Linotype"/>
        </w:rPr>
        <w:t xml:space="preserve"> resulta procedente clasificar dicho dato en términos del artículo 143, fracción I de la Ley de Transparencia y Acceso a la Información Pública del Estado de México y Municipios.</w:t>
      </w:r>
    </w:p>
    <w:p w14:paraId="28A35831"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mérito de lo expuesto en líneas anteriores, resultan fundados los motivos de inconformidad vertidos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por ello con fundamento en el artículo 186, fracción III, de la Ley de Transparencia y Acceso a la Información Pública del Estado de México y Municipios, 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la respuesta a la solicitud de información que ha sido materia del presente fallo, por lo que este Pleno:</w:t>
      </w:r>
    </w:p>
    <w:p w14:paraId="1D7B2320" w14:textId="77777777" w:rsidR="00AF47DB" w:rsidRDefault="00024296">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w:t>
      </w:r>
      <w:r>
        <w:rPr>
          <w:rFonts w:ascii="Palatino Linotype" w:eastAsia="Palatino Linotype" w:hAnsi="Palatino Linotype" w:cs="Palatino Linotype"/>
          <w:b/>
        </w:rPr>
        <w:tab/>
        <w:t>R E S U E L V E</w:t>
      </w:r>
    </w:p>
    <w:p w14:paraId="17FF3581"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fundadas</w:t>
      </w:r>
      <w:r>
        <w:rPr>
          <w:rFonts w:ascii="Palatino Linotype" w:eastAsia="Palatino Linotype" w:hAnsi="Palatino Linotype" w:cs="Palatino Linotype"/>
        </w:rPr>
        <w:t xml:space="preserve"> las razones o motivos de inconformidad hechos valer por la parte Recurrente, en el recurso de revisión </w:t>
      </w:r>
      <w:r>
        <w:rPr>
          <w:rFonts w:ascii="Palatino Linotype" w:eastAsia="Palatino Linotype" w:hAnsi="Palatino Linotype" w:cs="Palatino Linotype"/>
          <w:b/>
        </w:rPr>
        <w:t>03774/INFOEM/IP/RR/2022</w:t>
      </w:r>
      <w:r>
        <w:rPr>
          <w:rFonts w:ascii="Palatino Linotype" w:eastAsia="Palatino Linotype" w:hAnsi="Palatino Linotype" w:cs="Palatino Linotype"/>
        </w:rPr>
        <w:t xml:space="preserve">; 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34B45627" w14:textId="77777777" w:rsidR="00AF47DB" w:rsidRDefault="0002429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entregue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versión pública, los documentos que den cuenta o donde consten: </w:t>
      </w:r>
    </w:p>
    <w:p w14:paraId="0559EA2B" w14:textId="77777777" w:rsidR="00AF47DB" w:rsidRDefault="00024296">
      <w:pPr>
        <w:numPr>
          <w:ilvl w:val="0"/>
          <w:numId w:val="6"/>
        </w:numPr>
        <w:pBdr>
          <w:top w:val="nil"/>
          <w:left w:val="nil"/>
          <w:bottom w:val="nil"/>
          <w:right w:val="nil"/>
          <w:between w:val="nil"/>
        </w:pBdr>
        <w:spacing w:before="240" w:line="360" w:lineRule="auto"/>
        <w:ind w:left="1134" w:right="90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Las renuncias de los servidores públicos enviadas en informe justificado; y</w:t>
      </w:r>
    </w:p>
    <w:p w14:paraId="6579187C" w14:textId="77777777" w:rsidR="00AF47DB" w:rsidRDefault="00024296">
      <w:pPr>
        <w:numPr>
          <w:ilvl w:val="0"/>
          <w:numId w:val="6"/>
        </w:numPr>
        <w:pBdr>
          <w:top w:val="nil"/>
          <w:left w:val="nil"/>
          <w:bottom w:val="nil"/>
          <w:right w:val="nil"/>
          <w:between w:val="nil"/>
        </w:pBdr>
        <w:spacing w:after="240" w:line="360" w:lineRule="auto"/>
        <w:ind w:left="1134" w:right="90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Previa búsqueda exhaustiva y razonable, los recibos de finiquito de los servidores públicos que laboraban en la administración 2019- 2021, y que presentaron renuncia, del uno de enero al ocho de febrero de dos mil veintidós.</w:t>
      </w:r>
    </w:p>
    <w:p w14:paraId="71AD34F8" w14:textId="77777777" w:rsidR="00AF47DB" w:rsidRDefault="00024296">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1CD60BD3" w14:textId="77777777" w:rsidR="00AF47DB" w:rsidRDefault="00024296">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el caso, de que no haber generado información en atención al inciso b</w:t>
      </w:r>
      <w:proofErr w:type="gramStart"/>
      <w:r>
        <w:rPr>
          <w:rFonts w:ascii="Palatino Linotype" w:eastAsia="Palatino Linotype" w:hAnsi="Palatino Linotype" w:cs="Palatino Linotype"/>
          <w:i/>
          <w:sz w:val="22"/>
          <w:szCs w:val="22"/>
        </w:rPr>
        <w:t>) ,</w:t>
      </w:r>
      <w:proofErr w:type="gramEnd"/>
      <w:r>
        <w:rPr>
          <w:rFonts w:ascii="Palatino Linotype" w:eastAsia="Palatino Linotype" w:hAnsi="Palatino Linotype" w:cs="Palatino Linotype"/>
          <w:i/>
          <w:color w:val="000000"/>
          <w:sz w:val="22"/>
          <w:szCs w:val="22"/>
        </w:rPr>
        <w:t xml:space="preserve"> bastará con que así lo haga del conocimiento del particular de manera fundada y motivada, en términos de lo establecido en el segundo párrafo del artículo 19 de la Ley en la materia.</w:t>
      </w:r>
    </w:p>
    <w:p w14:paraId="5A906FB3" w14:textId="77777777" w:rsidR="00AF47DB" w:rsidRDefault="00024296">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 xml:space="preserve">Tercero. Notifíquese vía SAIMEX </w:t>
      </w:r>
      <w:r>
        <w:rPr>
          <w:rFonts w:ascii="Palatino Linotype" w:eastAsia="Palatino Linotype" w:hAnsi="Palatino Linotype" w:cs="Palatino Linotype"/>
        </w:rPr>
        <w:t xml:space="preserve">la presente resolución, 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highlight w:val="white"/>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219FBE4" w14:textId="77777777" w:rsidR="00AF47DB" w:rsidRDefault="00024296">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Pr>
          <w:rFonts w:ascii="Palatino Linotype" w:eastAsia="Palatino Linotype" w:hAnsi="Palatino Linotype" w:cs="Palatino Linotype"/>
        </w:rPr>
        <w:lastRenderedPageBreak/>
        <w:t xml:space="preserve">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 </w:t>
      </w:r>
    </w:p>
    <w:p w14:paraId="69E1602C" w14:textId="77777777" w:rsidR="00AF47DB" w:rsidRDefault="0002429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Notifíquese vía SAIMEX al </w:t>
      </w:r>
      <w:r>
        <w:rPr>
          <w:rFonts w:ascii="Palatino Linotype" w:eastAsia="Palatino Linotype" w:hAnsi="Palatino Linotype" w:cs="Palatino Linotype"/>
        </w:rPr>
        <w:t>Recurrente</w:t>
      </w:r>
      <w:r>
        <w:rPr>
          <w:rFonts w:ascii="Palatino Linotype" w:eastAsia="Palatino Linotype" w:hAnsi="Palatino Linotype" w:cs="Palatino Linotype"/>
          <w:b/>
        </w:rPr>
        <w:t xml:space="preserve">, </w:t>
      </w:r>
      <w:r>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6336C0D" w14:textId="77777777" w:rsidR="00AF47DB" w:rsidRDefault="00024296">
      <w:pPr>
        <w:spacing w:before="240" w:after="240" w:line="360" w:lineRule="auto"/>
        <w:jc w:val="both"/>
        <w:rPr>
          <w:rFonts w:ascii="Palatino Linotype" w:eastAsia="Palatino Linotype" w:hAnsi="Palatino Linotype" w:cs="Palatino Linotype"/>
        </w:rPr>
        <w:sectPr w:rsidR="00AF47DB">
          <w:headerReference w:type="default" r:id="rId20"/>
          <w:footerReference w:type="default" r:id="rId21"/>
          <w:headerReference w:type="first" r:id="rId22"/>
          <w:footerReference w:type="first" r:id="rId23"/>
          <w:pgSz w:w="12240" w:h="15840"/>
          <w:pgMar w:top="1417" w:right="1701" w:bottom="1417" w:left="1701" w:header="709" w:footer="709" w:gutter="0"/>
          <w:pgNumType w:start="1"/>
          <w:cols w:space="720"/>
          <w:titlePg/>
        </w:sectPr>
      </w:pPr>
      <w:bookmarkStart w:id="3" w:name="_heading=h.2et92p0" w:colFirst="0" w:colLast="0"/>
      <w:bookmarkEnd w:id="3"/>
      <w:r>
        <w:rPr>
          <w:rFonts w:ascii="Palatino Linotype" w:eastAsia="Palatino Linotype" w:hAnsi="Palatino Linotype" w:cs="Palatino Linotype"/>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6B7089">
        <w:rPr>
          <w:rFonts w:ascii="Palatino Linotype" w:eastAsia="Palatino Linotype" w:hAnsi="Palatino Linotype" w:cs="Palatino Linotype"/>
          <w:highlight w:val="white"/>
        </w:rPr>
        <w:t xml:space="preserve"> (AUSENCIA JUSTIFICADA)</w:t>
      </w:r>
      <w:r>
        <w:rPr>
          <w:rFonts w:ascii="Palatino Linotype" w:eastAsia="Palatino Linotype" w:hAnsi="Palatino Linotype" w:cs="Palatino Linotype"/>
          <w:highlight w:val="white"/>
        </w:rPr>
        <w:t xml:space="preserve">, LUIS GUSTAVO PARRA NORIEGA Y GUADALUPE RAMÍREZ PEÑA; EN LA VIGÉSIMA QUINTA SESIÓN ORDINARIA CELEBRADA EL SEIS DE </w:t>
      </w:r>
      <w:r>
        <w:rPr>
          <w:rFonts w:ascii="Palatino Linotype" w:eastAsia="Palatino Linotype" w:hAnsi="Palatino Linotype" w:cs="Palatino Linotype"/>
        </w:rPr>
        <w:t>JULIO DE DOS MIL VEINTIDÓS, ANTE EL SECRETARIO TÉCNICO DEL PLENO ALEXIS TAPIA RAMÍREZ.</w:t>
      </w:r>
    </w:p>
    <w:p w14:paraId="7DC4F00F" w14:textId="77777777" w:rsidR="00AF47DB" w:rsidRDefault="00AF47DB">
      <w:pPr>
        <w:spacing w:before="240" w:after="240" w:line="360" w:lineRule="auto"/>
        <w:jc w:val="both"/>
        <w:rPr>
          <w:rFonts w:ascii="Palatino Linotype" w:eastAsia="Palatino Linotype" w:hAnsi="Palatino Linotype" w:cs="Palatino Linotype"/>
        </w:rPr>
      </w:pPr>
    </w:p>
    <w:p w14:paraId="073A5847" w14:textId="77777777" w:rsidR="00AF47DB" w:rsidRDefault="00AF47DB">
      <w:pPr>
        <w:spacing w:before="240" w:after="240" w:line="360" w:lineRule="auto"/>
        <w:jc w:val="both"/>
        <w:rPr>
          <w:rFonts w:ascii="Palatino Linotype" w:eastAsia="Palatino Linotype" w:hAnsi="Palatino Linotype" w:cs="Palatino Linotype"/>
        </w:rPr>
      </w:pPr>
    </w:p>
    <w:p w14:paraId="645953C3" w14:textId="77777777" w:rsidR="00AF47DB" w:rsidRDefault="00AF47DB">
      <w:pPr>
        <w:spacing w:before="240" w:after="240" w:line="360" w:lineRule="auto"/>
        <w:jc w:val="both"/>
        <w:rPr>
          <w:rFonts w:ascii="Palatino Linotype" w:eastAsia="Palatino Linotype" w:hAnsi="Palatino Linotype" w:cs="Palatino Linotype"/>
        </w:rPr>
      </w:pPr>
    </w:p>
    <w:p w14:paraId="51EF53FA" w14:textId="77777777" w:rsidR="00AF47DB" w:rsidRDefault="00AF47DB">
      <w:pPr>
        <w:spacing w:before="240" w:after="240" w:line="360" w:lineRule="auto"/>
        <w:rPr>
          <w:rFonts w:ascii="Palatino Linotype" w:eastAsia="Palatino Linotype" w:hAnsi="Palatino Linotype" w:cs="Palatino Linotype"/>
        </w:rPr>
      </w:pPr>
    </w:p>
    <w:p w14:paraId="65758C7D" w14:textId="77777777" w:rsidR="00AF47DB" w:rsidRDefault="00AF47DB"/>
    <w:p w14:paraId="699B7C1D" w14:textId="77777777" w:rsidR="00AF47DB" w:rsidRDefault="00AF47DB"/>
    <w:p w14:paraId="0CF5432C" w14:textId="77777777" w:rsidR="00AF47DB" w:rsidRDefault="00AF47DB"/>
    <w:p w14:paraId="381EB245" w14:textId="77777777" w:rsidR="00AF47DB" w:rsidRDefault="00AF47DB"/>
    <w:p w14:paraId="0CA9DF41" w14:textId="77777777" w:rsidR="00AF47DB" w:rsidRDefault="00AF47DB"/>
    <w:p w14:paraId="6BE68073" w14:textId="77777777" w:rsidR="00AF47DB" w:rsidRDefault="00AF47DB"/>
    <w:p w14:paraId="04DAB2B1" w14:textId="77777777" w:rsidR="00AF47DB" w:rsidRDefault="00AF47DB"/>
    <w:p w14:paraId="5505EDF7" w14:textId="77777777" w:rsidR="00AF47DB" w:rsidRDefault="00AF47DB"/>
    <w:p w14:paraId="5F870960" w14:textId="77777777" w:rsidR="00AF47DB" w:rsidRDefault="00AF47DB"/>
    <w:p w14:paraId="5A7F9040" w14:textId="77777777" w:rsidR="00AF47DB" w:rsidRDefault="00AF47DB"/>
    <w:p w14:paraId="6ACDC210" w14:textId="77777777" w:rsidR="00AF47DB" w:rsidRDefault="00AF47DB"/>
    <w:p w14:paraId="729ABF58" w14:textId="77777777" w:rsidR="00AF47DB" w:rsidRDefault="00AF47DB"/>
    <w:p w14:paraId="35AB8396" w14:textId="77777777" w:rsidR="00AF47DB" w:rsidRDefault="00AF47DB"/>
    <w:p w14:paraId="0FE3EBA2" w14:textId="77777777" w:rsidR="00AF47DB" w:rsidRDefault="00AF47DB"/>
    <w:p w14:paraId="35D36D09" w14:textId="77777777" w:rsidR="00AF47DB" w:rsidRDefault="00AF47DB"/>
    <w:p w14:paraId="0B0ABB2E" w14:textId="77777777" w:rsidR="00AF47DB" w:rsidRDefault="00AF47DB"/>
    <w:p w14:paraId="35BB7D13" w14:textId="77777777" w:rsidR="00AF47DB" w:rsidRDefault="00AF47DB"/>
    <w:p w14:paraId="74B9FF91" w14:textId="77777777" w:rsidR="00AF47DB" w:rsidRDefault="00AF47DB"/>
    <w:p w14:paraId="1E8E4A53" w14:textId="77777777" w:rsidR="00AF47DB" w:rsidRDefault="00AF47DB"/>
    <w:p w14:paraId="53C61450" w14:textId="77777777" w:rsidR="00AF47DB" w:rsidRDefault="00AF47DB"/>
    <w:p w14:paraId="710629CF" w14:textId="77777777" w:rsidR="00AF47DB" w:rsidRDefault="00AF47DB"/>
    <w:p w14:paraId="147EE7DB" w14:textId="77777777" w:rsidR="00AF47DB" w:rsidRDefault="00AF47DB"/>
    <w:p w14:paraId="6391878F" w14:textId="77777777" w:rsidR="00AF47DB" w:rsidRDefault="00AF47DB"/>
    <w:p w14:paraId="610A7255" w14:textId="77777777" w:rsidR="00AF47DB" w:rsidRDefault="00AF47DB"/>
    <w:p w14:paraId="68D10A9B" w14:textId="77777777" w:rsidR="00AF47DB" w:rsidRDefault="00AF47DB"/>
    <w:p w14:paraId="3690D372" w14:textId="77777777" w:rsidR="00AF47DB" w:rsidRDefault="00AF47DB"/>
    <w:p w14:paraId="6D0C8EE8" w14:textId="77777777" w:rsidR="00AF47DB" w:rsidRDefault="00AF47DB"/>
    <w:p w14:paraId="15D359F6" w14:textId="77777777" w:rsidR="00AF47DB" w:rsidRDefault="00AF47DB"/>
    <w:p w14:paraId="682EF99F" w14:textId="77777777" w:rsidR="00AF47DB" w:rsidRDefault="00AF47DB"/>
    <w:p w14:paraId="6D2B3EFF" w14:textId="77777777" w:rsidR="00AF47DB" w:rsidRDefault="00AF47DB"/>
    <w:p w14:paraId="2F1CAE9B" w14:textId="77777777" w:rsidR="00AF47DB" w:rsidRDefault="00AF47DB"/>
    <w:p w14:paraId="7A632E6C" w14:textId="77777777" w:rsidR="00AF47DB" w:rsidRDefault="00AF47DB"/>
    <w:p w14:paraId="49F8D554" w14:textId="77777777" w:rsidR="00AF47DB" w:rsidRDefault="00AF47DB"/>
    <w:p w14:paraId="6A1CC72A" w14:textId="77777777" w:rsidR="00AF47DB" w:rsidRDefault="00AF47DB"/>
    <w:p w14:paraId="6D117351" w14:textId="77777777" w:rsidR="00AF47DB" w:rsidRDefault="00AF47DB">
      <w:bookmarkStart w:id="4" w:name="_heading=h.3znysh7" w:colFirst="0" w:colLast="0"/>
      <w:bookmarkEnd w:id="4"/>
    </w:p>
    <w:sectPr w:rsidR="00AF47DB">
      <w:headerReference w:type="first" r:id="rId24"/>
      <w:pgSz w:w="12240" w:h="15840"/>
      <w:pgMar w:top="1417" w:right="1701" w:bottom="1417"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2BAA4" w14:textId="77777777" w:rsidR="00106F3D" w:rsidRDefault="00106F3D">
      <w:r>
        <w:separator/>
      </w:r>
    </w:p>
  </w:endnote>
  <w:endnote w:type="continuationSeparator" w:id="0">
    <w:p w14:paraId="7CC6FF17" w14:textId="77777777" w:rsidR="00106F3D" w:rsidRDefault="00106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935A6" w14:textId="77777777" w:rsidR="00AF47DB" w:rsidRDefault="00024296">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B3CF4">
      <w:rPr>
        <w:rFonts w:ascii="Palatino Linotype" w:eastAsia="Palatino Linotype" w:hAnsi="Palatino Linotype" w:cs="Palatino Linotype"/>
        <w:b/>
        <w:noProof/>
        <w:color w:val="000000"/>
        <w:sz w:val="20"/>
        <w:szCs w:val="20"/>
      </w:rPr>
      <w:t>61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B3CF4">
      <w:rPr>
        <w:rFonts w:ascii="Palatino Linotype" w:eastAsia="Palatino Linotype" w:hAnsi="Palatino Linotype" w:cs="Palatino Linotype"/>
        <w:b/>
        <w:noProof/>
        <w:color w:val="000000"/>
        <w:sz w:val="20"/>
        <w:szCs w:val="20"/>
      </w:rPr>
      <w:t>62</w:t>
    </w:r>
    <w:r>
      <w:rPr>
        <w:rFonts w:ascii="Palatino Linotype" w:eastAsia="Palatino Linotype" w:hAnsi="Palatino Linotype" w:cs="Palatino Linotype"/>
        <w:b/>
        <w:color w:val="000000"/>
        <w:sz w:val="20"/>
        <w:szCs w:val="20"/>
      </w:rPr>
      <w:fldChar w:fldCharType="end"/>
    </w:r>
  </w:p>
  <w:p w14:paraId="395C1BBD" w14:textId="77777777" w:rsidR="00AF47DB" w:rsidRDefault="00AF47D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B9CDC" w14:textId="77777777" w:rsidR="00AF47DB" w:rsidRDefault="00024296">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A14E3">
      <w:rPr>
        <w:rFonts w:ascii="Palatino Linotype" w:eastAsia="Palatino Linotype" w:hAnsi="Palatino Linotype" w:cs="Palatino Linotype"/>
        <w:b/>
        <w:noProof/>
        <w:color w:val="000000"/>
        <w:sz w:val="20"/>
        <w:szCs w:val="20"/>
      </w:rPr>
      <w:t>62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A14E3">
      <w:rPr>
        <w:rFonts w:ascii="Palatino Linotype" w:eastAsia="Palatino Linotype" w:hAnsi="Palatino Linotype" w:cs="Palatino Linotype"/>
        <w:b/>
        <w:noProof/>
        <w:color w:val="000000"/>
        <w:sz w:val="20"/>
        <w:szCs w:val="20"/>
      </w:rPr>
      <w:t>62</w:t>
    </w:r>
    <w:r>
      <w:rPr>
        <w:rFonts w:ascii="Palatino Linotype" w:eastAsia="Palatino Linotype" w:hAnsi="Palatino Linotype" w:cs="Palatino Linotype"/>
        <w:b/>
        <w:color w:val="000000"/>
        <w:sz w:val="20"/>
        <w:szCs w:val="20"/>
      </w:rPr>
      <w:fldChar w:fldCharType="end"/>
    </w:r>
  </w:p>
  <w:p w14:paraId="326D7F8F" w14:textId="77777777" w:rsidR="00AF47DB" w:rsidRDefault="00AF47D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48910" w14:textId="77777777" w:rsidR="00106F3D" w:rsidRDefault="00106F3D">
      <w:r>
        <w:separator/>
      </w:r>
    </w:p>
  </w:footnote>
  <w:footnote w:type="continuationSeparator" w:id="0">
    <w:p w14:paraId="0A1856B1" w14:textId="77777777" w:rsidR="00106F3D" w:rsidRDefault="00106F3D">
      <w:r>
        <w:continuationSeparator/>
      </w:r>
    </w:p>
  </w:footnote>
  <w:footnote w:id="1">
    <w:p w14:paraId="7FEA93DE" w14:textId="77777777" w:rsidR="00AF47DB" w:rsidRDefault="0002429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6537A94D" w14:textId="77777777" w:rsidR="00AF47DB" w:rsidRDefault="0002429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05CCF" w14:textId="77777777" w:rsidR="00AF47DB" w:rsidRDefault="00024296">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8240" behindDoc="1" locked="0" layoutInCell="1" hidden="0" allowOverlap="1" wp14:anchorId="52F6A3DE" wp14:editId="5AF94B72">
          <wp:simplePos x="0" y="0"/>
          <wp:positionH relativeFrom="column">
            <wp:posOffset>-665856</wp:posOffset>
          </wp:positionH>
          <wp:positionV relativeFrom="paragraph">
            <wp:posOffset>-453611</wp:posOffset>
          </wp:positionV>
          <wp:extent cx="7635600" cy="9943200"/>
          <wp:effectExtent l="0" t="0" r="0" b="0"/>
          <wp:wrapNone/>
          <wp:docPr id="8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4"/>
      <w:tblW w:w="5812" w:type="dxa"/>
      <w:tblInd w:w="3119" w:type="dxa"/>
      <w:tblLayout w:type="fixed"/>
      <w:tblLook w:val="0400" w:firstRow="0" w:lastRow="0" w:firstColumn="0" w:lastColumn="0" w:noHBand="0" w:noVBand="1"/>
    </w:tblPr>
    <w:tblGrid>
      <w:gridCol w:w="2551"/>
      <w:gridCol w:w="3261"/>
    </w:tblGrid>
    <w:tr w:rsidR="00AF47DB" w14:paraId="1B489532" w14:textId="77777777">
      <w:tc>
        <w:tcPr>
          <w:tcW w:w="2551" w:type="dxa"/>
          <w:vAlign w:val="center"/>
        </w:tcPr>
        <w:p w14:paraId="0F752667" w14:textId="77777777" w:rsidR="00AF47DB" w:rsidRDefault="000242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14:paraId="1C4EEF8C" w14:textId="77777777" w:rsidR="00AF47DB" w:rsidRDefault="0002429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03774/INFOEM/IP/RR/2022. </w:t>
          </w:r>
        </w:p>
      </w:tc>
    </w:tr>
    <w:tr w:rsidR="00AF47DB" w14:paraId="0F83F804" w14:textId="77777777">
      <w:trPr>
        <w:trHeight w:val="228"/>
      </w:trPr>
      <w:tc>
        <w:tcPr>
          <w:tcW w:w="2551" w:type="dxa"/>
          <w:vAlign w:val="center"/>
        </w:tcPr>
        <w:p w14:paraId="4A904FA4" w14:textId="77777777" w:rsidR="00AF47DB" w:rsidRDefault="000242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vAlign w:val="center"/>
        </w:tcPr>
        <w:p w14:paraId="1D4C346D" w14:textId="77777777" w:rsidR="00AF47DB" w:rsidRDefault="0002429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para la Prestación de los Servicios de Agua Potable Alcantarillado y Saneamiento de Zinacantepec</w:t>
          </w:r>
        </w:p>
      </w:tc>
    </w:tr>
    <w:tr w:rsidR="00AF47DB" w14:paraId="61267293" w14:textId="77777777">
      <w:tc>
        <w:tcPr>
          <w:tcW w:w="2551" w:type="dxa"/>
          <w:vAlign w:val="center"/>
        </w:tcPr>
        <w:p w14:paraId="54CE70B1" w14:textId="77777777" w:rsidR="00AF47DB" w:rsidRDefault="000242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vAlign w:val="center"/>
        </w:tcPr>
        <w:p w14:paraId="0EC61BD5" w14:textId="77777777" w:rsidR="00AF47DB" w:rsidRDefault="0002429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B065416" w14:textId="77777777" w:rsidR="00AF47DB" w:rsidRDefault="00AF47DB">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7FC5D" w14:textId="77777777" w:rsidR="00AF47DB" w:rsidRDefault="00024296">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14:anchorId="28D03F6A" wp14:editId="581D87AB">
          <wp:simplePos x="0" y="0"/>
          <wp:positionH relativeFrom="column">
            <wp:posOffset>-680309</wp:posOffset>
          </wp:positionH>
          <wp:positionV relativeFrom="paragraph">
            <wp:posOffset>-168880</wp:posOffset>
          </wp:positionV>
          <wp:extent cx="7635600" cy="9943200"/>
          <wp:effectExtent l="0" t="0" r="0" b="0"/>
          <wp:wrapNone/>
          <wp:docPr id="8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3"/>
      <w:tblW w:w="5812" w:type="dxa"/>
      <w:tblInd w:w="3119" w:type="dxa"/>
      <w:tblLayout w:type="fixed"/>
      <w:tblLook w:val="0400" w:firstRow="0" w:lastRow="0" w:firstColumn="0" w:lastColumn="0" w:noHBand="0" w:noVBand="1"/>
    </w:tblPr>
    <w:tblGrid>
      <w:gridCol w:w="2551"/>
      <w:gridCol w:w="3261"/>
    </w:tblGrid>
    <w:tr w:rsidR="00AF47DB" w14:paraId="21DC5290" w14:textId="77777777">
      <w:tc>
        <w:tcPr>
          <w:tcW w:w="2551" w:type="dxa"/>
          <w:vAlign w:val="center"/>
        </w:tcPr>
        <w:p w14:paraId="27595387" w14:textId="77777777" w:rsidR="00AF47DB" w:rsidRDefault="000242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14:paraId="28E6306B" w14:textId="77777777" w:rsidR="00AF47DB" w:rsidRDefault="0002429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03774/INFOEM/IP/RR/2022. </w:t>
          </w:r>
        </w:p>
      </w:tc>
    </w:tr>
    <w:tr w:rsidR="00AF47DB" w14:paraId="4D8268C0" w14:textId="77777777">
      <w:tc>
        <w:tcPr>
          <w:tcW w:w="2551" w:type="dxa"/>
          <w:vAlign w:val="center"/>
        </w:tcPr>
        <w:p w14:paraId="1C58220D" w14:textId="77777777" w:rsidR="00AF47DB" w:rsidRDefault="00024296">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1" w:type="dxa"/>
          <w:vAlign w:val="center"/>
        </w:tcPr>
        <w:p w14:paraId="7C1F07FD" w14:textId="77777777" w:rsidR="00AF47DB" w:rsidRDefault="00AF47DB">
          <w:pPr>
            <w:jc w:val="both"/>
            <w:rPr>
              <w:rFonts w:ascii="Palatino Linotype" w:eastAsia="Palatino Linotype" w:hAnsi="Palatino Linotype" w:cs="Palatino Linotype"/>
              <w:b/>
              <w:sz w:val="22"/>
              <w:szCs w:val="22"/>
            </w:rPr>
          </w:pPr>
        </w:p>
      </w:tc>
    </w:tr>
    <w:tr w:rsidR="00AF47DB" w14:paraId="647C4F7D" w14:textId="77777777">
      <w:trPr>
        <w:trHeight w:val="228"/>
      </w:trPr>
      <w:tc>
        <w:tcPr>
          <w:tcW w:w="2551" w:type="dxa"/>
          <w:vAlign w:val="center"/>
        </w:tcPr>
        <w:p w14:paraId="1EF960B3" w14:textId="77777777" w:rsidR="00AF47DB" w:rsidRDefault="000242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vAlign w:val="center"/>
        </w:tcPr>
        <w:p w14:paraId="5FFF696C" w14:textId="77777777" w:rsidR="00AF47DB" w:rsidRDefault="0002429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para la Prestación de los Servicios de Agua Potable Alcantarillado y Saneamiento de Zinacantepec</w:t>
          </w:r>
        </w:p>
      </w:tc>
    </w:tr>
    <w:tr w:rsidR="00AF47DB" w14:paraId="6D35B467" w14:textId="77777777">
      <w:tc>
        <w:tcPr>
          <w:tcW w:w="2551" w:type="dxa"/>
          <w:vAlign w:val="center"/>
        </w:tcPr>
        <w:p w14:paraId="100266E6" w14:textId="77777777" w:rsidR="00AF47DB" w:rsidRDefault="000242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vAlign w:val="center"/>
        </w:tcPr>
        <w:p w14:paraId="47323C07" w14:textId="77777777" w:rsidR="00AF47DB" w:rsidRDefault="0002429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056C7C8" w14:textId="77777777" w:rsidR="00AF47DB" w:rsidRDefault="00AF47DB">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C2F5B" w14:textId="77777777" w:rsidR="00AF47DB" w:rsidRDefault="00AF47DB">
    <w:pPr>
      <w:pBdr>
        <w:top w:val="nil"/>
        <w:left w:val="nil"/>
        <w:bottom w:val="nil"/>
        <w:right w:val="nil"/>
        <w:between w:val="nil"/>
      </w:pBdr>
      <w:tabs>
        <w:tab w:val="center" w:pos="4419"/>
        <w:tab w:val="right" w:pos="8838"/>
      </w:tabs>
      <w:jc w:val="both"/>
      <w:rPr>
        <w:color w:val="000000"/>
      </w:rPr>
    </w:pPr>
  </w:p>
  <w:p w14:paraId="77718D46" w14:textId="77777777" w:rsidR="00AF47DB" w:rsidRDefault="00AF47DB">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12EB0"/>
    <w:multiLevelType w:val="multilevel"/>
    <w:tmpl w:val="9B00F222"/>
    <w:lvl w:ilvl="0">
      <w:start w:val="1"/>
      <w:numFmt w:val="lowerLetter"/>
      <w:lvlText w:val="%1)"/>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011AAB"/>
    <w:multiLevelType w:val="multilevel"/>
    <w:tmpl w:val="80DAB52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C664DB1"/>
    <w:multiLevelType w:val="multilevel"/>
    <w:tmpl w:val="8B8C2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5902D7"/>
    <w:multiLevelType w:val="multilevel"/>
    <w:tmpl w:val="590A28F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AF018B1"/>
    <w:multiLevelType w:val="multilevel"/>
    <w:tmpl w:val="0BA888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DCC53D0"/>
    <w:multiLevelType w:val="multilevel"/>
    <w:tmpl w:val="48FA13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F2B43DA"/>
    <w:multiLevelType w:val="multilevel"/>
    <w:tmpl w:val="9B080C1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5"/>
  </w:num>
  <w:num w:numId="4">
    <w:abstractNumId w:val="4"/>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7DB"/>
    <w:rsid w:val="00024296"/>
    <w:rsid w:val="00106F3D"/>
    <w:rsid w:val="006B7089"/>
    <w:rsid w:val="007C134C"/>
    <w:rsid w:val="008A14E3"/>
    <w:rsid w:val="008C0607"/>
    <w:rsid w:val="00917478"/>
    <w:rsid w:val="00AF47DB"/>
    <w:rsid w:val="00BB3CF4"/>
    <w:rsid w:val="00C00413"/>
    <w:rsid w:val="00DE436E"/>
    <w:rsid w:val="00DF7B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2AF85"/>
  <w15:docId w15:val="{2E5DEEA1-F103-4F94-BB8F-6E163445E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6AF"/>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05792E"/>
    <w:pPr>
      <w:tabs>
        <w:tab w:val="center" w:pos="4419"/>
        <w:tab w:val="right" w:pos="8838"/>
      </w:tabs>
    </w:pPr>
  </w:style>
  <w:style w:type="character" w:customStyle="1" w:styleId="EncabezadoCar">
    <w:name w:val="Encabezado Car"/>
    <w:basedOn w:val="Fuentedeprrafopredeter"/>
    <w:link w:val="Encabezado"/>
    <w:uiPriority w:val="99"/>
    <w:rsid w:val="0005792E"/>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5792E"/>
    <w:pPr>
      <w:tabs>
        <w:tab w:val="center" w:pos="4419"/>
        <w:tab w:val="right" w:pos="8838"/>
      </w:tabs>
    </w:pPr>
  </w:style>
  <w:style w:type="character" w:customStyle="1" w:styleId="PiedepginaCar">
    <w:name w:val="Pie de página Car"/>
    <w:basedOn w:val="Fuentedeprrafopredeter"/>
    <w:link w:val="Piedepgina"/>
    <w:uiPriority w:val="99"/>
    <w:rsid w:val="0005792E"/>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86786E"/>
    <w:rPr>
      <w:color w:val="0563C1" w:themeColor="hyperlink"/>
      <w:u w:val="single"/>
    </w:rPr>
  </w:style>
  <w:style w:type="character" w:customStyle="1" w:styleId="Mencinsinresolver1">
    <w:name w:val="Mención sin resolver1"/>
    <w:basedOn w:val="Fuentedeprrafopredeter"/>
    <w:uiPriority w:val="99"/>
    <w:semiHidden/>
    <w:unhideWhenUsed/>
    <w:rsid w:val="0086786E"/>
    <w:rPr>
      <w:color w:val="605E5C"/>
      <w:shd w:val="clear" w:color="auto" w:fill="E1DFDD"/>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A0FF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458CD"/>
    <w:rPr>
      <w:rFonts w:ascii="Times New Roman" w:eastAsia="Times New Roman" w:hAnsi="Times New Roman" w:cs="Times New Roman"/>
      <w:sz w:val="24"/>
      <w:szCs w:val="24"/>
      <w:lang w:val="es-ES"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consultas.curp.gob.mx/CurpSP/html/informacionecurpPS.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rive.google.com/file/d/1Wq0iBSX6yRwf_fazG1egkH4ca-JohRHI/view"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strabajo.edomex.gob.mx/faqs"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cplayer.es/5455342-Nuevas-tecnologiasbiometricas-instituto-nacional-de-ciencias-penales-procuraduria-general-de-la-republicaversion-1-0.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6PurpWLetDfkvUyJcC+bxr1OWDQ==">AMUW2mXbqOie9H1jTDKmz/OyuU7/BU2dYk5fY5/GmNGFcQP6itVeaomZLmMw4/Sids+4G/z+0GrlBpZfrD+jhHmbLHKPmpzTryS2zf2yXXIyDDuoKhxWTyxzG5ZwjfOUajT/WU/JT4TpIPodg5BJ/YqXENKLc6oXnwP7I0MoknL1SihCmugjuOOvNZPyuiuDuDS3NHBpjERL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12008</Words>
  <Characters>66044</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77897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KEPZAR Productos y Servicios de Tecnología</dc:creator>
  <cp:lastModifiedBy>User 425</cp:lastModifiedBy>
  <cp:revision>5</cp:revision>
  <cp:lastPrinted>2022-07-08T18:55:00Z</cp:lastPrinted>
  <dcterms:created xsi:type="dcterms:W3CDTF">2022-07-08T18:35:00Z</dcterms:created>
  <dcterms:modified xsi:type="dcterms:W3CDTF">2022-07-08T18:55:00Z</dcterms:modified>
</cp:coreProperties>
</file>