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C2E0" w14:textId="4B7B396D" w:rsidR="00D8203F" w:rsidRPr="00A2355B" w:rsidRDefault="00D8203F" w:rsidP="00A2355B">
      <w:pPr>
        <w:spacing w:after="0"/>
        <w:rPr>
          <w:rFonts w:eastAsia="Times New Roman" w:cs="Tahoma"/>
          <w:bCs/>
          <w:color w:val="auto"/>
          <w:lang w:eastAsia="es-ES"/>
        </w:rPr>
      </w:pPr>
      <w:bookmarkStart w:id="0" w:name="_GoBack"/>
      <w:bookmarkEnd w:id="0"/>
      <w:r w:rsidRPr="00A2355B">
        <w:rPr>
          <w:rFonts w:cs="Tahoma"/>
          <w:bCs/>
        </w:rPr>
        <w:t xml:space="preserve">Resolución del Pleno del Instituto de Transparencia, Acceso a la Información Pública y </w:t>
      </w:r>
      <w:r w:rsidR="00D8468C">
        <w:rPr>
          <w:rFonts w:cs="Tahoma"/>
          <w:bCs/>
        </w:rPr>
        <w:t xml:space="preserve"> </w:t>
      </w:r>
      <w:r w:rsidRPr="00A2355B">
        <w:rPr>
          <w:rFonts w:eastAsia="Times New Roman" w:cs="Tahoma"/>
          <w:bCs/>
          <w:color w:val="auto"/>
          <w:lang w:eastAsia="es-ES"/>
        </w:rPr>
        <w:t xml:space="preserve">Protección de Datos Personales del Estado de México y Municipios, con domicilio en Metepec, Estado de México, de fecha </w:t>
      </w:r>
      <w:r w:rsidR="005318F3">
        <w:rPr>
          <w:rFonts w:eastAsia="Times New Roman" w:cs="Tahoma"/>
          <w:bCs/>
          <w:color w:val="auto"/>
          <w:lang w:eastAsia="es-ES"/>
        </w:rPr>
        <w:t>dieciséis</w:t>
      </w:r>
      <w:r w:rsidR="00EC3F60">
        <w:rPr>
          <w:rFonts w:eastAsia="Times New Roman" w:cs="Tahoma"/>
          <w:bCs/>
          <w:color w:val="auto"/>
          <w:lang w:eastAsia="es-ES"/>
        </w:rPr>
        <w:t xml:space="preserve"> de marzo de dos mil veintidós</w:t>
      </w:r>
      <w:r w:rsidRPr="00A2355B">
        <w:rPr>
          <w:rFonts w:eastAsia="Times New Roman" w:cs="Tahoma"/>
          <w:bCs/>
          <w:color w:val="auto"/>
          <w:lang w:eastAsia="es-ES"/>
        </w:rPr>
        <w:t xml:space="preserve">. </w:t>
      </w:r>
    </w:p>
    <w:p w14:paraId="6936EE21" w14:textId="77777777" w:rsidR="00D8203F" w:rsidRPr="00A2355B" w:rsidRDefault="00D8203F" w:rsidP="00A2355B">
      <w:pPr>
        <w:spacing w:after="0"/>
      </w:pPr>
    </w:p>
    <w:p w14:paraId="7B5A5142" w14:textId="29AD945C" w:rsidR="00D8203F" w:rsidRPr="00A2355B" w:rsidRDefault="16E1FC8C" w:rsidP="00A2355B">
      <w:pPr>
        <w:spacing w:after="0"/>
      </w:pPr>
      <w:r w:rsidRPr="16E1FC8C">
        <w:rPr>
          <w:b/>
          <w:bCs/>
        </w:rPr>
        <w:t xml:space="preserve">VISTO </w:t>
      </w:r>
      <w:r>
        <w:t xml:space="preserve">el expediente conformado con motivo del Recurso de Revisión 06531/INFOEM/IP/RR/2021, interpuesto por </w:t>
      </w:r>
      <w:r w:rsidRPr="16E1FC8C">
        <w:rPr>
          <w:highlight w:val="black"/>
        </w:rPr>
        <w:t>XXXXXXXXXXXXX</w:t>
      </w:r>
      <w:r>
        <w:t xml:space="preserve">, </w:t>
      </w:r>
      <w:r w:rsidRPr="16E1FC8C">
        <w:rPr>
          <w:rFonts w:cs="Tahoma"/>
          <w:color w:val="0D0D0D" w:themeColor="text1" w:themeTint="F2"/>
        </w:rPr>
        <w:t>en lo sucesivo Recurrente o Particular</w:t>
      </w:r>
      <w:r>
        <w:t>, en contra de la respuesta del Sujeto Obligado, Instituto Hacendario del Estado de México, a la solicitud de acceso a la información pública 00101/IHAEM/IP/2021, se emite la presente Resolución, con base en los Antecedentes y Considerandos que a continuación se exponen:</w:t>
      </w:r>
    </w:p>
    <w:p w14:paraId="52EC590C" w14:textId="77777777" w:rsidR="00D8203F" w:rsidRPr="00A2355B" w:rsidRDefault="00D8203F" w:rsidP="00A2355B">
      <w:pPr>
        <w:spacing w:after="0"/>
        <w:rPr>
          <w:bCs/>
        </w:rPr>
      </w:pPr>
    </w:p>
    <w:p w14:paraId="5020F5CE" w14:textId="77777777" w:rsidR="00D8203F" w:rsidRPr="00A2355B" w:rsidRDefault="00D8203F" w:rsidP="00A2355B">
      <w:pPr>
        <w:spacing w:after="0"/>
        <w:jc w:val="center"/>
        <w:rPr>
          <w:b/>
        </w:rPr>
      </w:pPr>
      <w:r w:rsidRPr="00A2355B">
        <w:rPr>
          <w:b/>
        </w:rPr>
        <w:t>A N T E C E D E N TE S:</w:t>
      </w:r>
    </w:p>
    <w:p w14:paraId="1B82AE83" w14:textId="77777777" w:rsidR="00D8203F" w:rsidRPr="00A2355B" w:rsidRDefault="00D8203F" w:rsidP="00A2355B">
      <w:pPr>
        <w:tabs>
          <w:tab w:val="left" w:pos="567"/>
        </w:tabs>
        <w:spacing w:after="0"/>
        <w:rPr>
          <w:rFonts w:eastAsia="Times New Roman" w:cs="Tahoma"/>
          <w:b/>
          <w:color w:val="auto"/>
          <w:lang w:eastAsia="es-ES"/>
        </w:rPr>
      </w:pPr>
    </w:p>
    <w:p w14:paraId="7F6DA6C9" w14:textId="77777777" w:rsidR="00D8203F" w:rsidRPr="00A2355B" w:rsidRDefault="00D8203F" w:rsidP="00A2355B">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 solicitud de información:</w:t>
      </w:r>
    </w:p>
    <w:p w14:paraId="2CA46D00" w14:textId="01152D4E" w:rsidR="00D8203F" w:rsidRPr="00A2355B" w:rsidRDefault="00D8203F" w:rsidP="00A2355B">
      <w:pPr>
        <w:tabs>
          <w:tab w:val="left" w:pos="567"/>
        </w:tabs>
        <w:spacing w:after="0"/>
        <w:rPr>
          <w:rFonts w:eastAsia="Times New Roman" w:cs="Tahoma"/>
          <w:color w:val="auto"/>
          <w:lang w:eastAsia="es-ES"/>
        </w:rPr>
      </w:pPr>
    </w:p>
    <w:p w14:paraId="375762E1" w14:textId="2A380FC2" w:rsidR="00C138ED" w:rsidRPr="00A2355B" w:rsidRDefault="00C138ED" w:rsidP="00A2355B">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D8468C">
        <w:rPr>
          <w:rFonts w:eastAsia="Times New Roman" w:cs="Tahoma"/>
          <w:color w:val="auto"/>
          <w:lang w:eastAsia="es-ES"/>
        </w:rPr>
        <w:t>veintidós</w:t>
      </w:r>
      <w:r w:rsidR="00EC3F60">
        <w:rPr>
          <w:rFonts w:eastAsia="Times New Roman" w:cs="Tahoma"/>
          <w:color w:val="auto"/>
          <w:lang w:eastAsia="es-ES"/>
        </w:rPr>
        <w:t xml:space="preserve"> de noviembre </w:t>
      </w:r>
      <w:r w:rsidRPr="00A2355B">
        <w:rPr>
          <w:rFonts w:eastAsia="Times New Roman" w:cs="Tahoma"/>
          <w:color w:val="auto"/>
          <w:lang w:eastAsia="es-ES"/>
        </w:rPr>
        <w:t xml:space="preserve">de dos mil veintiuno, </w:t>
      </w:r>
      <w:r w:rsidR="002351AB" w:rsidRPr="00A2355B">
        <w:rPr>
          <w:rFonts w:eastAsia="Times New Roman" w:cs="Tahoma"/>
          <w:color w:val="auto"/>
          <w:lang w:eastAsia="es-ES"/>
        </w:rPr>
        <w:t>el Particular presentó una solicitud de acceso a la información pública</w:t>
      </w:r>
      <w:r w:rsidR="008A5840" w:rsidRPr="00A2355B">
        <w:rPr>
          <w:rFonts w:eastAsia="Times New Roman" w:cs="Tahoma"/>
          <w:color w:val="auto"/>
          <w:lang w:eastAsia="es-ES"/>
        </w:rPr>
        <w:t>,</w:t>
      </w:r>
      <w:r w:rsidR="002351AB" w:rsidRPr="00A2355B">
        <w:rPr>
          <w:rFonts w:eastAsia="Times New Roman" w:cs="Tahoma"/>
          <w:color w:val="auto"/>
          <w:lang w:eastAsia="es-ES"/>
        </w:rPr>
        <w:t xml:space="preserve"> a través del Sistema de Acceso a la Información Mexiquense (SAIMEX), ante el </w:t>
      </w:r>
      <w:r w:rsidR="00384899" w:rsidRPr="00384899">
        <w:t>Instituto Hacendario del Estado de México</w:t>
      </w:r>
      <w:r w:rsidRPr="00A2355B">
        <w:rPr>
          <w:rFonts w:eastAsia="Batang" w:cs="Tahoma"/>
          <w:color w:val="auto"/>
          <w:lang w:val="es-ES" w:eastAsia="es-ES"/>
        </w:rPr>
        <w:t>,</w:t>
      </w:r>
      <w:r w:rsidRPr="00A2355B">
        <w:rPr>
          <w:rFonts w:cs="Tahoma"/>
          <w:b/>
          <w:bCs/>
          <w:lang w:val="es-ES"/>
        </w:rPr>
        <w:t xml:space="preserve"> </w:t>
      </w:r>
      <w:r w:rsidR="008A5840" w:rsidRPr="00A2355B">
        <w:rPr>
          <w:rFonts w:cs="Tahoma"/>
          <w:lang w:val="es-ES"/>
        </w:rPr>
        <w:t>en los siguientes términos:</w:t>
      </w:r>
    </w:p>
    <w:p w14:paraId="174525F5" w14:textId="77777777" w:rsidR="00D8203F" w:rsidRPr="00A2355B" w:rsidRDefault="00D8203F" w:rsidP="00A2355B">
      <w:pPr>
        <w:tabs>
          <w:tab w:val="left" w:pos="567"/>
        </w:tabs>
        <w:spacing w:after="0"/>
        <w:rPr>
          <w:rFonts w:eastAsia="Times New Roman" w:cs="Tahoma"/>
          <w:color w:val="auto"/>
          <w:lang w:eastAsia="es-ES"/>
        </w:rPr>
      </w:pPr>
    </w:p>
    <w:p w14:paraId="52CDF51B" w14:textId="77777777" w:rsidR="00D8203F" w:rsidRPr="00A2355B" w:rsidRDefault="00D8203F" w:rsidP="00A2355B">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“DESCRIPCIÓN CLARA Y PRECISA DE LA INFORMACIÓN SOLICITADA.</w:t>
      </w:r>
    </w:p>
    <w:p w14:paraId="4240E320" w14:textId="04042383" w:rsidR="00D8203F" w:rsidRPr="00A2355B" w:rsidRDefault="00384899" w:rsidP="00A2355B">
      <w:pPr>
        <w:widowControl w:val="0"/>
        <w:tabs>
          <w:tab w:val="left" w:pos="4667"/>
        </w:tabs>
        <w:spacing w:after="0"/>
        <w:ind w:left="567" w:right="567"/>
        <w:rPr>
          <w:rFonts w:eastAsia="Times New Roman" w:cs="Tahoma"/>
          <w:bCs/>
          <w:i/>
          <w:iCs/>
          <w:color w:val="auto"/>
          <w:sz w:val="20"/>
          <w:szCs w:val="20"/>
          <w:lang w:eastAsia="es-ES"/>
        </w:rPr>
      </w:pPr>
      <w:r w:rsidRPr="00384899">
        <w:rPr>
          <w:rFonts w:eastAsia="Times New Roman" w:cs="Tahoma"/>
          <w:bCs/>
          <w:i/>
          <w:iCs/>
          <w:color w:val="auto"/>
          <w:sz w:val="20"/>
          <w:szCs w:val="20"/>
          <w:lang w:eastAsia="es-ES"/>
        </w:rPr>
        <w:t>Ademas de salir a fumar o por comida casi toda la jornada laboral, deseo saber y conocer con documentos comprobatorios, que es lo que realizan las siguientes personas que "laboran" en el Instituto Hacendario del Estado de México: José Aldo Gutierrez Sánchez, Ignacio Regueira Rosas, Roberto Gonzalo Saenz Bellanger y Fernando Gonzalez, adscritos a la Coordinación de Estudios Hacendarios. Además requiero el oficio de funciones asignadas, recibos de nomina, registros de entrada y salida diarios, formatos de incidencias y/o permisos otorgados</w:t>
      </w:r>
      <w:proofErr w:type="gramStart"/>
      <w:r w:rsidRPr="00384899">
        <w:rPr>
          <w:rFonts w:eastAsia="Times New Roman" w:cs="Tahoma"/>
          <w:bCs/>
          <w:i/>
          <w:iCs/>
          <w:color w:val="auto"/>
          <w:sz w:val="20"/>
          <w:szCs w:val="20"/>
          <w:lang w:eastAsia="es-ES"/>
        </w:rPr>
        <w:t>.</w:t>
      </w:r>
      <w:r w:rsidR="00EC3F60" w:rsidRPr="00EC3F60">
        <w:rPr>
          <w:rFonts w:eastAsia="Times New Roman" w:cs="Tahoma"/>
          <w:bCs/>
          <w:i/>
          <w:iCs/>
          <w:color w:val="auto"/>
          <w:sz w:val="20"/>
          <w:szCs w:val="20"/>
          <w:lang w:eastAsia="es-ES"/>
        </w:rPr>
        <w:t>.</w:t>
      </w:r>
      <w:r w:rsidR="00D8203F" w:rsidRPr="00A2355B">
        <w:rPr>
          <w:rFonts w:eastAsia="Times New Roman" w:cs="Tahoma"/>
          <w:bCs/>
          <w:i/>
          <w:iCs/>
          <w:color w:val="auto"/>
          <w:sz w:val="20"/>
          <w:szCs w:val="20"/>
          <w:lang w:eastAsia="es-ES"/>
        </w:rPr>
        <w:t>”</w:t>
      </w:r>
      <w:proofErr w:type="gramEnd"/>
      <w:r w:rsidR="00D8203F" w:rsidRPr="00A2355B">
        <w:rPr>
          <w:rFonts w:eastAsia="Times New Roman" w:cs="Tahoma"/>
          <w:bCs/>
          <w:i/>
          <w:iCs/>
          <w:color w:val="auto"/>
          <w:sz w:val="20"/>
          <w:szCs w:val="20"/>
          <w:lang w:eastAsia="es-ES"/>
        </w:rPr>
        <w:t xml:space="preserve"> (Sic) </w:t>
      </w:r>
    </w:p>
    <w:p w14:paraId="4E56260E" w14:textId="77777777" w:rsidR="00D8203F" w:rsidRDefault="00D8203F" w:rsidP="00A2355B">
      <w:pPr>
        <w:tabs>
          <w:tab w:val="left" w:pos="4667"/>
        </w:tabs>
        <w:spacing w:after="0"/>
        <w:ind w:left="567" w:right="567"/>
        <w:rPr>
          <w:rFonts w:eastAsia="Times New Roman" w:cs="Tahoma"/>
          <w:bCs/>
          <w:i/>
          <w:iCs/>
          <w:color w:val="auto"/>
          <w:sz w:val="20"/>
          <w:szCs w:val="20"/>
          <w:lang w:eastAsia="es-ES"/>
        </w:rPr>
      </w:pPr>
    </w:p>
    <w:p w14:paraId="4C9F9EF9" w14:textId="77777777" w:rsidR="005318F3" w:rsidRDefault="005318F3" w:rsidP="00A2355B">
      <w:pPr>
        <w:tabs>
          <w:tab w:val="left" w:pos="4667"/>
        </w:tabs>
        <w:spacing w:after="0"/>
        <w:ind w:left="567" w:right="567"/>
        <w:rPr>
          <w:rFonts w:eastAsia="Times New Roman" w:cs="Tahoma"/>
          <w:bCs/>
          <w:i/>
          <w:iCs/>
          <w:color w:val="auto"/>
          <w:sz w:val="20"/>
          <w:szCs w:val="20"/>
          <w:lang w:eastAsia="es-ES"/>
        </w:rPr>
      </w:pPr>
    </w:p>
    <w:p w14:paraId="22A29A7D" w14:textId="77777777" w:rsidR="005318F3" w:rsidRPr="00A2355B" w:rsidRDefault="005318F3" w:rsidP="00A2355B">
      <w:pPr>
        <w:tabs>
          <w:tab w:val="left" w:pos="4667"/>
        </w:tabs>
        <w:spacing w:after="0"/>
        <w:ind w:left="567" w:right="567"/>
        <w:rPr>
          <w:rFonts w:eastAsia="Times New Roman" w:cs="Tahoma"/>
          <w:bCs/>
          <w:i/>
          <w:iCs/>
          <w:color w:val="auto"/>
          <w:sz w:val="20"/>
          <w:szCs w:val="20"/>
          <w:lang w:eastAsia="es-ES"/>
        </w:rPr>
      </w:pPr>
    </w:p>
    <w:p w14:paraId="59FEC259" w14:textId="77777777" w:rsidR="00D8203F" w:rsidRPr="00A2355B" w:rsidRDefault="00D8203F" w:rsidP="00A2355B">
      <w:pPr>
        <w:tabs>
          <w:tab w:val="left" w:pos="4667"/>
        </w:tabs>
        <w:spacing w:after="0"/>
        <w:ind w:left="567" w:right="567"/>
        <w:rPr>
          <w:rFonts w:eastAsia="Times New Roman" w:cs="Tahoma"/>
          <w:b/>
          <w:bCs/>
          <w:i/>
          <w:iCs/>
          <w:color w:val="auto"/>
          <w:sz w:val="20"/>
          <w:lang w:eastAsia="es-ES"/>
        </w:rPr>
      </w:pPr>
      <w:r w:rsidRPr="00A2355B">
        <w:rPr>
          <w:rFonts w:eastAsia="Times New Roman" w:cs="Tahoma"/>
          <w:b/>
          <w:bCs/>
          <w:i/>
          <w:iCs/>
          <w:color w:val="auto"/>
          <w:sz w:val="20"/>
          <w:lang w:eastAsia="es-ES"/>
        </w:rPr>
        <w:t>“MODALIDAD DE ENTREGA</w:t>
      </w:r>
    </w:p>
    <w:p w14:paraId="1D72B351" w14:textId="26449625" w:rsidR="00D8203F" w:rsidRPr="00A2355B" w:rsidRDefault="005318F3" w:rsidP="00A2355B">
      <w:pPr>
        <w:spacing w:after="0"/>
        <w:ind w:left="567" w:right="567"/>
        <w:rPr>
          <w:rFonts w:eastAsia="Times New Roman" w:cs="Arial"/>
          <w:bCs/>
          <w:i/>
          <w:iCs/>
          <w:color w:val="auto"/>
          <w:sz w:val="20"/>
          <w:lang w:eastAsia="es-ES"/>
        </w:rPr>
      </w:pPr>
      <w:r w:rsidRPr="005318F3">
        <w:rPr>
          <w:rFonts w:eastAsia="Times New Roman" w:cs="Arial"/>
          <w:bCs/>
          <w:i/>
          <w:iCs/>
          <w:color w:val="auto"/>
          <w:sz w:val="20"/>
          <w:lang w:eastAsia="es-ES"/>
        </w:rPr>
        <w:t>A través del SAIMEX</w:t>
      </w:r>
      <w:r w:rsidR="00D8203F" w:rsidRPr="00A2355B">
        <w:rPr>
          <w:rFonts w:eastAsia="Times New Roman" w:cs="Arial"/>
          <w:bCs/>
          <w:i/>
          <w:iCs/>
          <w:color w:val="auto"/>
          <w:sz w:val="20"/>
          <w:lang w:eastAsia="es-ES"/>
        </w:rPr>
        <w:t>”</w:t>
      </w:r>
    </w:p>
    <w:p w14:paraId="5455DBE1" w14:textId="77777777" w:rsidR="00D8203F" w:rsidRPr="00A2355B" w:rsidRDefault="00D8203F" w:rsidP="00A2355B">
      <w:pPr>
        <w:spacing w:after="0"/>
        <w:rPr>
          <w:b/>
        </w:rPr>
      </w:pPr>
    </w:p>
    <w:p w14:paraId="7CE11C14" w14:textId="77777777" w:rsidR="00D8203F" w:rsidRPr="00A2355B" w:rsidRDefault="00D8203F" w:rsidP="00A2355B">
      <w:pPr>
        <w:spacing w:after="0"/>
        <w:rPr>
          <w:b/>
        </w:rPr>
      </w:pPr>
      <w:r w:rsidRPr="00A2355B">
        <w:rPr>
          <w:b/>
        </w:rPr>
        <w:t>II. Respuesta del Sujeto Obligado.</w:t>
      </w:r>
    </w:p>
    <w:p w14:paraId="62FF2732" w14:textId="77777777" w:rsidR="00D8203F" w:rsidRPr="00A2355B" w:rsidRDefault="00D8203F" w:rsidP="00A2355B">
      <w:pPr>
        <w:spacing w:after="0"/>
        <w:rPr>
          <w:rFonts w:eastAsia="Times New Roman" w:cs="Tahoma"/>
          <w:bCs/>
          <w:iCs/>
          <w:lang w:eastAsia="es-ES"/>
        </w:rPr>
      </w:pPr>
    </w:p>
    <w:p w14:paraId="3401BA4C" w14:textId="789812F1" w:rsidR="00F97409" w:rsidRDefault="00F97409" w:rsidP="00A2355B">
      <w:pPr>
        <w:spacing w:after="0"/>
        <w:rPr>
          <w:rFonts w:eastAsia="Times New Roman" w:cs="Tahoma"/>
          <w:bCs/>
          <w:iCs/>
          <w:lang w:eastAsia="es-ES"/>
        </w:rPr>
      </w:pPr>
      <w:r w:rsidRPr="00A2355B">
        <w:rPr>
          <w:rFonts w:eastAsia="Times New Roman" w:cs="Tahoma"/>
          <w:bCs/>
          <w:iCs/>
          <w:lang w:eastAsia="es-ES"/>
        </w:rPr>
        <w:t xml:space="preserve">Con fecha </w:t>
      </w:r>
      <w:r w:rsidR="00384899">
        <w:rPr>
          <w:rFonts w:eastAsia="Times New Roman" w:cs="Tahoma"/>
          <w:bCs/>
          <w:iCs/>
          <w:lang w:eastAsia="es-ES"/>
        </w:rPr>
        <w:t>trece</w:t>
      </w:r>
      <w:r w:rsidR="00777341">
        <w:rPr>
          <w:rFonts w:eastAsia="Times New Roman" w:cs="Tahoma"/>
          <w:bCs/>
          <w:iCs/>
          <w:lang w:eastAsia="es-ES"/>
        </w:rPr>
        <w:t xml:space="preserve"> de diciembre </w:t>
      </w:r>
      <w:r w:rsidRPr="00A2355B">
        <w:rPr>
          <w:rFonts w:eastAsia="Times New Roman" w:cs="Tahoma"/>
          <w:bCs/>
          <w:iCs/>
          <w:lang w:eastAsia="es-ES"/>
        </w:rPr>
        <w:t xml:space="preserve"> de dos mil veintiuno</w:t>
      </w:r>
      <w:r w:rsidR="00777341">
        <w:rPr>
          <w:rFonts w:eastAsia="Times New Roman" w:cs="Tahoma"/>
          <w:bCs/>
          <w:iCs/>
          <w:lang w:eastAsia="es-ES"/>
        </w:rPr>
        <w:t xml:space="preserve">, </w:t>
      </w:r>
      <w:r w:rsidR="00384899">
        <w:rPr>
          <w:rFonts w:eastAsia="Times New Roman" w:cs="Tahoma"/>
          <w:bCs/>
          <w:iCs/>
          <w:lang w:eastAsia="es-ES"/>
        </w:rPr>
        <w:t xml:space="preserve">el </w:t>
      </w:r>
      <w:r w:rsidR="00384899" w:rsidRPr="00384899">
        <w:rPr>
          <w:rFonts w:eastAsia="Times New Roman" w:cs="Tahoma"/>
          <w:bCs/>
          <w:iCs/>
          <w:lang w:eastAsia="es-ES"/>
        </w:rPr>
        <w:t>Instituto Hacendario del Estado de México</w:t>
      </w:r>
      <w:r w:rsidR="00384899">
        <w:rPr>
          <w:rFonts w:eastAsia="Times New Roman" w:cs="Tahoma"/>
          <w:bCs/>
          <w:iCs/>
          <w:lang w:eastAsia="es-ES"/>
        </w:rPr>
        <w:t>,</w:t>
      </w:r>
      <w:r w:rsidR="00D8203F" w:rsidRPr="00A2355B">
        <w:rPr>
          <w:rFonts w:eastAsia="Times New Roman" w:cs="Tahoma"/>
          <w:bCs/>
          <w:iCs/>
          <w:lang w:eastAsia="es-ES"/>
        </w:rPr>
        <w:t xml:space="preserve"> a través del Sistema de Acceso a la Información Mexiquense (SAIMEX), notificó la respuesta </w:t>
      </w:r>
      <w:r w:rsidR="008A5840" w:rsidRPr="00A2355B">
        <w:rPr>
          <w:rFonts w:eastAsia="Times New Roman" w:cs="Tahoma"/>
          <w:bCs/>
          <w:iCs/>
          <w:lang w:eastAsia="es-ES"/>
        </w:rPr>
        <w:t>al</w:t>
      </w:r>
      <w:r w:rsidR="00D8203F" w:rsidRPr="00A2355B">
        <w:rPr>
          <w:rFonts w:eastAsia="Times New Roman" w:cs="Tahoma"/>
          <w:bCs/>
          <w:iCs/>
          <w:lang w:eastAsia="es-ES"/>
        </w:rPr>
        <w:t xml:space="preserve"> Soli</w:t>
      </w:r>
      <w:r w:rsidR="00777341">
        <w:rPr>
          <w:rFonts w:eastAsia="Times New Roman" w:cs="Tahoma"/>
          <w:bCs/>
          <w:iCs/>
          <w:lang w:eastAsia="es-ES"/>
        </w:rPr>
        <w:t xml:space="preserve">citante, por medio de </w:t>
      </w:r>
      <w:r w:rsidR="00D8203F" w:rsidRPr="00A2355B">
        <w:rPr>
          <w:rFonts w:eastAsia="Times New Roman" w:cs="Tahoma"/>
          <w:bCs/>
          <w:iCs/>
          <w:lang w:eastAsia="es-ES"/>
        </w:rPr>
        <w:t>oficio número</w:t>
      </w:r>
      <w:r w:rsidR="00777341">
        <w:rPr>
          <w:rFonts w:eastAsia="Times New Roman" w:cs="Tahoma"/>
          <w:bCs/>
          <w:iCs/>
          <w:lang w:eastAsia="es-ES"/>
        </w:rPr>
        <w:t xml:space="preserve"> </w:t>
      </w:r>
      <w:r w:rsidR="00384899">
        <w:rPr>
          <w:rFonts w:eastAsia="Times New Roman" w:cs="Tahoma"/>
          <w:bCs/>
          <w:iCs/>
          <w:lang w:eastAsia="es-ES"/>
        </w:rPr>
        <w:t>sin  número</w:t>
      </w:r>
      <w:r w:rsidR="008A5840" w:rsidRPr="00A2355B">
        <w:rPr>
          <w:rFonts w:eastAsia="Times New Roman" w:cs="Tahoma"/>
          <w:bCs/>
          <w:iCs/>
          <w:lang w:eastAsia="es-ES"/>
        </w:rPr>
        <w:t xml:space="preserve">, del </w:t>
      </w:r>
      <w:r w:rsidR="00384899">
        <w:rPr>
          <w:rFonts w:eastAsia="Times New Roman" w:cs="Tahoma"/>
          <w:bCs/>
          <w:iCs/>
          <w:lang w:eastAsia="es-ES"/>
        </w:rPr>
        <w:t>trece</w:t>
      </w:r>
      <w:r w:rsidR="00777341">
        <w:rPr>
          <w:rFonts w:eastAsia="Times New Roman" w:cs="Tahoma"/>
          <w:bCs/>
          <w:iCs/>
          <w:lang w:eastAsia="es-ES"/>
        </w:rPr>
        <w:t xml:space="preserve"> de diciembre de dos mil veintiuno</w:t>
      </w:r>
      <w:r w:rsidR="008A5840" w:rsidRPr="00A2355B">
        <w:rPr>
          <w:rFonts w:eastAsia="Times New Roman" w:cs="Tahoma"/>
          <w:bCs/>
          <w:iCs/>
          <w:lang w:eastAsia="es-ES"/>
        </w:rPr>
        <w:t>,</w:t>
      </w:r>
      <w:r w:rsidRPr="00A2355B">
        <w:rPr>
          <w:rFonts w:eastAsia="Times New Roman" w:cs="Tahoma"/>
          <w:bCs/>
          <w:iCs/>
          <w:lang w:eastAsia="es-ES"/>
        </w:rPr>
        <w:t xml:space="preserve"> suscrito por </w:t>
      </w:r>
      <w:r w:rsidR="00384899">
        <w:rPr>
          <w:rFonts w:eastAsia="Times New Roman" w:cs="Tahoma"/>
          <w:bCs/>
          <w:iCs/>
          <w:lang w:eastAsia="es-ES"/>
        </w:rPr>
        <w:t>la</w:t>
      </w:r>
      <w:r w:rsidRPr="00A2355B">
        <w:rPr>
          <w:rFonts w:eastAsia="Times New Roman" w:cs="Tahoma"/>
          <w:bCs/>
          <w:iCs/>
          <w:lang w:eastAsia="es-ES"/>
        </w:rPr>
        <w:t xml:space="preserve"> Titular de la Unidad de Transparencia, por medio del cual </w:t>
      </w:r>
      <w:r w:rsidR="008A5840" w:rsidRPr="00A2355B">
        <w:rPr>
          <w:rFonts w:eastAsia="Times New Roman" w:cs="Tahoma"/>
          <w:bCs/>
          <w:iCs/>
          <w:lang w:eastAsia="es-ES"/>
        </w:rPr>
        <w:t xml:space="preserve">precisa </w:t>
      </w:r>
      <w:r w:rsidR="00384899">
        <w:rPr>
          <w:rFonts w:eastAsia="Times New Roman" w:cs="Tahoma"/>
          <w:bCs/>
          <w:iCs/>
          <w:lang w:eastAsia="es-ES"/>
        </w:rPr>
        <w:t xml:space="preserve">lo </w:t>
      </w:r>
      <w:r w:rsidR="00384899" w:rsidRPr="0014480C">
        <w:rPr>
          <w:rFonts w:eastAsia="Times New Roman" w:cs="Tahoma"/>
          <w:bCs/>
          <w:iCs/>
          <w:lang w:eastAsia="es-ES"/>
        </w:rPr>
        <w:t xml:space="preserve">siguiente: </w:t>
      </w:r>
    </w:p>
    <w:p w14:paraId="530D73B1" w14:textId="77777777" w:rsidR="005318F3" w:rsidRPr="0014480C" w:rsidRDefault="005318F3" w:rsidP="00A2355B">
      <w:pPr>
        <w:spacing w:after="0"/>
        <w:rPr>
          <w:rFonts w:eastAsia="Times New Roman" w:cs="Tahoma"/>
          <w:bCs/>
          <w:iCs/>
          <w:lang w:eastAsia="es-ES"/>
        </w:rPr>
      </w:pPr>
    </w:p>
    <w:p w14:paraId="76FD905C" w14:textId="36D33B38" w:rsidR="00384899" w:rsidRPr="0014480C" w:rsidRDefault="00384899" w:rsidP="00384899">
      <w:pPr>
        <w:pStyle w:val="Prrafodelista"/>
        <w:numPr>
          <w:ilvl w:val="0"/>
          <w:numId w:val="31"/>
        </w:numPr>
        <w:spacing w:after="0"/>
        <w:rPr>
          <w:rFonts w:eastAsia="Times New Roman" w:cs="Tahoma"/>
          <w:bCs/>
          <w:i/>
          <w:lang w:eastAsia="es-ES"/>
        </w:rPr>
      </w:pPr>
      <w:r w:rsidRPr="0014480C">
        <w:rPr>
          <w:rFonts w:eastAsia="Times New Roman" w:cs="Tahoma"/>
          <w:bCs/>
          <w:lang w:eastAsia="es-ES"/>
        </w:rPr>
        <w:t>Que dicho Sujeto Obligado es competente para conocer de la solicitud de información.</w:t>
      </w:r>
    </w:p>
    <w:p w14:paraId="116FE456" w14:textId="61E33090" w:rsidR="00AC59DD" w:rsidRPr="0014480C" w:rsidRDefault="00AC59DD" w:rsidP="00384899">
      <w:pPr>
        <w:pStyle w:val="Prrafodelista"/>
        <w:numPr>
          <w:ilvl w:val="0"/>
          <w:numId w:val="31"/>
        </w:numPr>
        <w:spacing w:after="0"/>
        <w:rPr>
          <w:rFonts w:eastAsia="Times New Roman" w:cs="Tahoma"/>
          <w:bCs/>
          <w:lang w:eastAsia="es-ES"/>
        </w:rPr>
      </w:pPr>
      <w:r w:rsidRPr="0014480C">
        <w:rPr>
          <w:rFonts w:eastAsia="Times New Roman" w:cs="Tahoma"/>
          <w:bCs/>
          <w:lang w:eastAsia="es-ES"/>
        </w:rPr>
        <w:t>Que la Unidad de Adm</w:t>
      </w:r>
      <w:r w:rsidR="00DB2FCA">
        <w:rPr>
          <w:rFonts w:eastAsia="Times New Roman" w:cs="Tahoma"/>
          <w:bCs/>
          <w:lang w:eastAsia="es-ES"/>
        </w:rPr>
        <w:t>inistración y Finanzas no contaba</w:t>
      </w:r>
      <w:r w:rsidRPr="0014480C">
        <w:rPr>
          <w:rFonts w:eastAsia="Times New Roman" w:cs="Tahoma"/>
          <w:bCs/>
          <w:lang w:eastAsia="es-ES"/>
        </w:rPr>
        <w:t xml:space="preserve"> con la información solicitada de José Aldo </w:t>
      </w:r>
      <w:r w:rsidR="0052654D" w:rsidRPr="0014480C">
        <w:rPr>
          <w:rFonts w:eastAsia="Times New Roman" w:cs="Tahoma"/>
          <w:bCs/>
          <w:lang w:eastAsia="es-ES"/>
        </w:rPr>
        <w:t>Gutiérrez</w:t>
      </w:r>
      <w:r w:rsidRPr="0014480C">
        <w:rPr>
          <w:rFonts w:eastAsia="Times New Roman" w:cs="Tahoma"/>
          <w:bCs/>
          <w:lang w:eastAsia="es-ES"/>
        </w:rPr>
        <w:t xml:space="preserve"> Sánchez, Ignacio Regueira Rosas y Fernando G</w:t>
      </w:r>
      <w:r w:rsidR="00CF6930">
        <w:rPr>
          <w:rFonts w:eastAsia="Times New Roman" w:cs="Tahoma"/>
          <w:bCs/>
          <w:lang w:eastAsia="es-ES"/>
        </w:rPr>
        <w:t>onzález, ya que no corresponden</w:t>
      </w:r>
      <w:r w:rsidRPr="0014480C">
        <w:rPr>
          <w:rFonts w:eastAsia="Times New Roman" w:cs="Tahoma"/>
          <w:bCs/>
          <w:lang w:eastAsia="es-ES"/>
        </w:rPr>
        <w:t xml:space="preserve"> a servidores públicos, sino a  empleados de una empresa privada prestadora de </w:t>
      </w:r>
      <w:r w:rsidR="0052654D" w:rsidRPr="0014480C">
        <w:rPr>
          <w:rFonts w:eastAsia="Times New Roman" w:cs="Tahoma"/>
          <w:bCs/>
          <w:lang w:eastAsia="es-ES"/>
        </w:rPr>
        <w:t>servicios</w:t>
      </w:r>
      <w:r w:rsidRPr="0014480C">
        <w:rPr>
          <w:rFonts w:eastAsia="Times New Roman" w:cs="Tahoma"/>
          <w:bCs/>
          <w:lang w:eastAsia="es-ES"/>
        </w:rPr>
        <w:t xml:space="preserve"> profesionales y capital humano quienes realizan sus actividades </w:t>
      </w:r>
      <w:r w:rsidR="0052654D" w:rsidRPr="0014480C">
        <w:rPr>
          <w:rFonts w:eastAsia="Times New Roman" w:cs="Tahoma"/>
          <w:bCs/>
          <w:lang w:eastAsia="es-ES"/>
        </w:rPr>
        <w:t>operativas</w:t>
      </w:r>
      <w:r w:rsidRPr="0014480C">
        <w:rPr>
          <w:rFonts w:eastAsia="Times New Roman" w:cs="Tahoma"/>
          <w:bCs/>
          <w:lang w:eastAsia="es-ES"/>
        </w:rPr>
        <w:t xml:space="preserve"> y </w:t>
      </w:r>
      <w:r w:rsidR="0052654D" w:rsidRPr="0014480C">
        <w:rPr>
          <w:rFonts w:eastAsia="Times New Roman" w:cs="Tahoma"/>
          <w:bCs/>
          <w:lang w:eastAsia="es-ES"/>
        </w:rPr>
        <w:t>administrativas</w:t>
      </w:r>
      <w:r w:rsidRPr="0014480C">
        <w:rPr>
          <w:rFonts w:eastAsia="Times New Roman" w:cs="Tahoma"/>
          <w:bCs/>
          <w:lang w:eastAsia="es-ES"/>
        </w:rPr>
        <w:t xml:space="preserve"> conforme a lo que la </w:t>
      </w:r>
      <w:r w:rsidR="0052654D" w:rsidRPr="0014480C">
        <w:rPr>
          <w:rFonts w:eastAsia="Times New Roman" w:cs="Tahoma"/>
          <w:bCs/>
          <w:lang w:eastAsia="es-ES"/>
        </w:rPr>
        <w:t>empresa</w:t>
      </w:r>
      <w:r w:rsidRPr="0014480C">
        <w:rPr>
          <w:rFonts w:eastAsia="Times New Roman" w:cs="Tahoma"/>
          <w:bCs/>
          <w:lang w:eastAsia="es-ES"/>
        </w:rPr>
        <w:t xml:space="preserve"> contratante les requiera; </w:t>
      </w:r>
    </w:p>
    <w:p w14:paraId="6A9A1DAB" w14:textId="00A293ED" w:rsidR="0052654D" w:rsidRPr="0014480C" w:rsidRDefault="00792F4F" w:rsidP="00384899">
      <w:pPr>
        <w:pStyle w:val="Prrafodelista"/>
        <w:numPr>
          <w:ilvl w:val="0"/>
          <w:numId w:val="31"/>
        </w:numPr>
        <w:spacing w:after="0"/>
        <w:rPr>
          <w:rFonts w:eastAsia="Times New Roman" w:cs="Tahoma"/>
          <w:bCs/>
          <w:lang w:eastAsia="es-ES"/>
        </w:rPr>
      </w:pPr>
      <w:r w:rsidRPr="0014480C">
        <w:rPr>
          <w:rFonts w:eastAsia="Times New Roman" w:cs="Tahoma"/>
          <w:bCs/>
          <w:lang w:eastAsia="es-ES"/>
        </w:rPr>
        <w:t>Por lo que refiere al C.</w:t>
      </w:r>
      <w:r w:rsidR="004E0763" w:rsidRPr="0014480C">
        <w:rPr>
          <w:rFonts w:eastAsia="Times New Roman" w:cs="Tahoma"/>
          <w:bCs/>
          <w:lang w:eastAsia="es-ES"/>
        </w:rPr>
        <w:t xml:space="preserve"> Roberto Gonzalo Saenz Bella</w:t>
      </w:r>
      <w:r w:rsidR="0052654D" w:rsidRPr="0014480C">
        <w:rPr>
          <w:rFonts w:eastAsia="Times New Roman" w:cs="Tahoma"/>
          <w:bCs/>
          <w:lang w:eastAsia="es-ES"/>
        </w:rPr>
        <w:t xml:space="preserve">nger, Subdirector de Asistencia Técnica, informa sobre las funciones asignadas, entrega veinticuatro recibos de nómina, correspondientes al periodo de un año anterior a la presentación dela solicitud de información, a la presentación de la misma; </w:t>
      </w:r>
      <w:r w:rsidRPr="0014480C">
        <w:rPr>
          <w:rFonts w:eastAsia="Times New Roman" w:cs="Tahoma"/>
          <w:bCs/>
          <w:lang w:eastAsia="es-ES"/>
        </w:rPr>
        <w:t xml:space="preserve"> Así mismo </w:t>
      </w:r>
      <w:r w:rsidR="0052654D" w:rsidRPr="0014480C">
        <w:rPr>
          <w:rFonts w:eastAsia="Times New Roman" w:cs="Tahoma"/>
          <w:bCs/>
          <w:lang w:eastAsia="es-ES"/>
        </w:rPr>
        <w:t xml:space="preserve">que </w:t>
      </w:r>
      <w:r w:rsidRPr="0014480C">
        <w:rPr>
          <w:rFonts w:eastAsia="Times New Roman" w:cs="Tahoma"/>
          <w:bCs/>
          <w:lang w:eastAsia="es-ES"/>
        </w:rPr>
        <w:t xml:space="preserve">dicho Servidor Público </w:t>
      </w:r>
      <w:r w:rsidR="0052654D" w:rsidRPr="0014480C">
        <w:rPr>
          <w:rFonts w:eastAsia="Times New Roman" w:cs="Tahoma"/>
          <w:bCs/>
          <w:lang w:eastAsia="es-ES"/>
        </w:rPr>
        <w:t>se encuentra exceptuado del control de puntualidad y asistencia así como de</w:t>
      </w:r>
      <w:r w:rsidRPr="0014480C">
        <w:rPr>
          <w:rFonts w:eastAsia="Times New Roman" w:cs="Tahoma"/>
          <w:bCs/>
          <w:lang w:eastAsia="es-ES"/>
        </w:rPr>
        <w:t xml:space="preserve"> presentar </w:t>
      </w:r>
      <w:r w:rsidR="0052654D" w:rsidRPr="0014480C">
        <w:rPr>
          <w:rFonts w:eastAsia="Times New Roman" w:cs="Tahoma"/>
          <w:bCs/>
          <w:lang w:eastAsia="es-ES"/>
        </w:rPr>
        <w:t xml:space="preserve"> formatos de incidencias.</w:t>
      </w:r>
    </w:p>
    <w:p w14:paraId="4ECB2064" w14:textId="77777777" w:rsidR="00F97409" w:rsidRPr="0014480C" w:rsidRDefault="00F97409" w:rsidP="00A2355B">
      <w:pPr>
        <w:spacing w:after="0"/>
        <w:rPr>
          <w:rFonts w:eastAsia="Times New Roman" w:cs="Tahoma"/>
          <w:bCs/>
          <w:iCs/>
          <w:lang w:eastAsia="es-ES"/>
        </w:rPr>
      </w:pPr>
    </w:p>
    <w:p w14:paraId="4D577B87" w14:textId="03DB1057" w:rsidR="00F97409" w:rsidRPr="00D56A74" w:rsidRDefault="008A5840" w:rsidP="00A2355B">
      <w:pPr>
        <w:spacing w:after="0"/>
        <w:rPr>
          <w:rFonts w:eastAsia="Times New Roman" w:cs="Tahoma"/>
          <w:bCs/>
          <w:iCs/>
          <w:lang w:eastAsia="es-ES"/>
        </w:rPr>
      </w:pPr>
      <w:r w:rsidRPr="0014480C">
        <w:rPr>
          <w:rFonts w:eastAsia="Times New Roman" w:cs="Tahoma"/>
          <w:bCs/>
          <w:iCs/>
          <w:lang w:eastAsia="es-ES"/>
        </w:rPr>
        <w:t>El Ente Recurrido</w:t>
      </w:r>
      <w:r w:rsidR="00F97409" w:rsidRPr="0014480C">
        <w:rPr>
          <w:rFonts w:eastAsia="Times New Roman" w:cs="Tahoma"/>
          <w:bCs/>
          <w:iCs/>
          <w:lang w:eastAsia="es-ES"/>
        </w:rPr>
        <w:t xml:space="preserve"> adjunt</w:t>
      </w:r>
      <w:r w:rsidRPr="0014480C">
        <w:rPr>
          <w:rFonts w:eastAsia="Times New Roman" w:cs="Tahoma"/>
          <w:bCs/>
          <w:iCs/>
          <w:lang w:eastAsia="es-ES"/>
        </w:rPr>
        <w:t>ó</w:t>
      </w:r>
      <w:r w:rsidR="00F97409" w:rsidRPr="0014480C">
        <w:rPr>
          <w:rFonts w:eastAsia="Times New Roman" w:cs="Tahoma"/>
          <w:bCs/>
          <w:iCs/>
          <w:lang w:eastAsia="es-ES"/>
        </w:rPr>
        <w:t xml:space="preserve"> l</w:t>
      </w:r>
      <w:r w:rsidRPr="0014480C">
        <w:rPr>
          <w:rFonts w:eastAsia="Times New Roman" w:cs="Tahoma"/>
          <w:bCs/>
          <w:iCs/>
          <w:lang w:eastAsia="es-ES"/>
        </w:rPr>
        <w:t>a digitalización de los</w:t>
      </w:r>
      <w:r w:rsidR="00F97409" w:rsidRPr="0014480C">
        <w:rPr>
          <w:rFonts w:eastAsia="Times New Roman" w:cs="Tahoma"/>
          <w:bCs/>
          <w:iCs/>
          <w:lang w:eastAsia="es-ES"/>
        </w:rPr>
        <w:t xml:space="preserve"> siguientes documentos</w:t>
      </w:r>
      <w:r w:rsidRPr="0014480C">
        <w:rPr>
          <w:rFonts w:eastAsia="Times New Roman" w:cs="Tahoma"/>
          <w:bCs/>
          <w:iCs/>
          <w:lang w:eastAsia="es-ES"/>
        </w:rPr>
        <w:t>:</w:t>
      </w:r>
    </w:p>
    <w:p w14:paraId="1E9EB7EC" w14:textId="7340501A" w:rsidR="00F97409" w:rsidRPr="00D56A74" w:rsidRDefault="00F97409" w:rsidP="00A2355B">
      <w:pPr>
        <w:spacing w:after="0"/>
        <w:rPr>
          <w:rFonts w:eastAsia="Times New Roman" w:cs="Tahoma"/>
          <w:bCs/>
          <w:iCs/>
          <w:lang w:eastAsia="es-ES"/>
        </w:rPr>
      </w:pPr>
    </w:p>
    <w:p w14:paraId="6728641A" w14:textId="63218239" w:rsidR="00F97409" w:rsidRDefault="0014480C" w:rsidP="00777341">
      <w:pPr>
        <w:pStyle w:val="Prrafodelista"/>
        <w:numPr>
          <w:ilvl w:val="0"/>
          <w:numId w:val="27"/>
        </w:numPr>
        <w:spacing w:after="0"/>
        <w:rPr>
          <w:rFonts w:eastAsia="Times New Roman" w:cs="Tahoma"/>
          <w:bCs/>
          <w:iCs/>
          <w:lang w:eastAsia="es-ES"/>
        </w:rPr>
      </w:pPr>
      <w:r>
        <w:rPr>
          <w:rFonts w:eastAsia="Times New Roman" w:cs="Tahoma"/>
          <w:bCs/>
          <w:iCs/>
          <w:lang w:eastAsia="es-ES"/>
        </w:rPr>
        <w:lastRenderedPageBreak/>
        <w:t xml:space="preserve">Respuestas del </w:t>
      </w:r>
      <w:r w:rsidR="00154A3D">
        <w:rPr>
          <w:rFonts w:eastAsia="Times New Roman" w:cs="Tahoma"/>
          <w:bCs/>
          <w:iCs/>
          <w:lang w:eastAsia="es-ES"/>
        </w:rPr>
        <w:t>Coordinador de Estudios Hacend</w:t>
      </w:r>
      <w:r>
        <w:rPr>
          <w:rFonts w:eastAsia="Times New Roman" w:cs="Tahoma"/>
          <w:bCs/>
          <w:iCs/>
          <w:lang w:eastAsia="es-ES"/>
        </w:rPr>
        <w:t xml:space="preserve">arios y Asistencia Técnica,  </w:t>
      </w:r>
      <w:r w:rsidR="00154A3D">
        <w:rPr>
          <w:rFonts w:eastAsia="Times New Roman" w:cs="Tahoma"/>
          <w:bCs/>
          <w:iCs/>
          <w:lang w:eastAsia="es-ES"/>
        </w:rPr>
        <w:t xml:space="preserve"> Jefe de Informática, y del Jefe de la Unidad de Administración y Finanzas, en el mismo sentido de la respuesta proporcionada por la Titular de Transparencia al Peticionario, anexando liga electrónica para consulta del Manual General de Organización del Instituto Hacendario del Estado de México, así como la parte conducente de dicho Manual, correspondiente a las funciones de la Subdirección de Asistencia Técnica.</w:t>
      </w:r>
    </w:p>
    <w:p w14:paraId="1D009131" w14:textId="106DC322" w:rsidR="00154A3D" w:rsidRDefault="00154A3D" w:rsidP="00777341">
      <w:pPr>
        <w:pStyle w:val="Prrafodelista"/>
        <w:numPr>
          <w:ilvl w:val="0"/>
          <w:numId w:val="27"/>
        </w:numPr>
        <w:spacing w:after="0"/>
        <w:rPr>
          <w:rFonts w:eastAsia="Times New Roman" w:cs="Tahoma"/>
          <w:bCs/>
          <w:iCs/>
          <w:lang w:eastAsia="es-ES"/>
        </w:rPr>
      </w:pPr>
      <w:r>
        <w:rPr>
          <w:rFonts w:eastAsia="Times New Roman" w:cs="Tahoma"/>
          <w:bCs/>
          <w:iCs/>
          <w:lang w:eastAsia="es-ES"/>
        </w:rPr>
        <w:t xml:space="preserve">Recibos de nómina en versión pública, del C. Roberto </w:t>
      </w:r>
      <w:r w:rsidR="004E0763">
        <w:rPr>
          <w:rFonts w:eastAsia="Times New Roman" w:cs="Tahoma"/>
          <w:bCs/>
          <w:iCs/>
          <w:lang w:eastAsia="es-ES"/>
        </w:rPr>
        <w:t>Gonzalo</w:t>
      </w:r>
      <w:r>
        <w:rPr>
          <w:rFonts w:eastAsia="Times New Roman" w:cs="Tahoma"/>
          <w:bCs/>
          <w:iCs/>
          <w:lang w:eastAsia="es-ES"/>
        </w:rPr>
        <w:t xml:space="preserve"> Saenz Bellanger, del periodo primero de noviembre de dos mil veinte al quince de noviembre de dos mil veintiuno.</w:t>
      </w:r>
    </w:p>
    <w:p w14:paraId="3DF0B0CE" w14:textId="7B272F7D" w:rsidR="00154A3D" w:rsidRPr="00D56A74" w:rsidRDefault="00154A3D" w:rsidP="00777341">
      <w:pPr>
        <w:pStyle w:val="Prrafodelista"/>
        <w:numPr>
          <w:ilvl w:val="0"/>
          <w:numId w:val="27"/>
        </w:numPr>
        <w:spacing w:after="0"/>
        <w:rPr>
          <w:rFonts w:eastAsia="Times New Roman" w:cs="Tahoma"/>
          <w:bCs/>
          <w:iCs/>
          <w:lang w:eastAsia="es-ES"/>
        </w:rPr>
      </w:pPr>
      <w:r>
        <w:rPr>
          <w:rFonts w:eastAsia="Times New Roman" w:cs="Tahoma"/>
          <w:bCs/>
          <w:iCs/>
          <w:lang w:eastAsia="es-ES"/>
        </w:rPr>
        <w:t>Acta de la Sexagésima Novena Sesión Extraordinaria del Comité de Transparencia</w:t>
      </w:r>
      <w:r w:rsidR="004E0763">
        <w:rPr>
          <w:rFonts w:eastAsia="Times New Roman" w:cs="Tahoma"/>
          <w:bCs/>
          <w:iCs/>
          <w:lang w:eastAsia="es-ES"/>
        </w:rPr>
        <w:t xml:space="preserve"> donde se aprobó la versión publica de los recibos de nómina para dar respuesta a la solicitud de información 00101/IHAEM/IP/2021.</w:t>
      </w:r>
    </w:p>
    <w:p w14:paraId="6CFE54A7" w14:textId="77777777" w:rsidR="007B0411" w:rsidRPr="00A2355B" w:rsidRDefault="007B0411" w:rsidP="00A2355B">
      <w:pPr>
        <w:spacing w:after="0"/>
        <w:rPr>
          <w:rFonts w:eastAsia="Times New Roman" w:cs="Tahoma"/>
          <w:bCs/>
          <w:iCs/>
          <w:lang w:eastAsia="es-ES"/>
        </w:rPr>
      </w:pPr>
    </w:p>
    <w:p w14:paraId="21F292FF" w14:textId="77777777" w:rsidR="00D8203F" w:rsidRPr="00A2355B" w:rsidRDefault="00D8203F" w:rsidP="00A2355B">
      <w:pPr>
        <w:spacing w:after="0"/>
        <w:rPr>
          <w:b/>
          <w:bCs/>
        </w:rPr>
      </w:pPr>
      <w:r w:rsidRPr="00A2355B">
        <w:rPr>
          <w:b/>
          <w:bCs/>
        </w:rPr>
        <w:t xml:space="preserve">III. Interposición del Recurso de Revisión. </w:t>
      </w:r>
    </w:p>
    <w:p w14:paraId="71FE0651" w14:textId="77777777" w:rsidR="00D8203F" w:rsidRPr="00A2355B" w:rsidRDefault="00D8203F" w:rsidP="00A2355B">
      <w:pPr>
        <w:spacing w:after="0"/>
        <w:rPr>
          <w:b/>
          <w:bCs/>
        </w:rPr>
      </w:pPr>
    </w:p>
    <w:p w14:paraId="7E37C3DB" w14:textId="5C7A8D2A" w:rsidR="007B0411" w:rsidRPr="00A2355B" w:rsidRDefault="004E0763" w:rsidP="00A2355B">
      <w:pPr>
        <w:spacing w:after="0"/>
      </w:pPr>
      <w:r>
        <w:rPr>
          <w:rFonts w:eastAsia="Times New Roman" w:cs="Tahoma"/>
          <w:color w:val="auto"/>
          <w:lang w:eastAsia="es-ES"/>
        </w:rPr>
        <w:t xml:space="preserve">Con fecha veintidós </w:t>
      </w:r>
      <w:r w:rsidR="00454109">
        <w:rPr>
          <w:rFonts w:eastAsia="Times New Roman" w:cs="Tahoma"/>
          <w:color w:val="auto"/>
          <w:lang w:eastAsia="es-ES"/>
        </w:rPr>
        <w:t xml:space="preserve"> de diciembre </w:t>
      </w:r>
      <w:r w:rsidR="007B0411" w:rsidRPr="00A2355B">
        <w:rPr>
          <w:rFonts w:eastAsia="Times New Roman" w:cs="Tahoma"/>
          <w:color w:val="auto"/>
          <w:lang w:eastAsia="es-ES"/>
        </w:rPr>
        <w:t xml:space="preserve">de dos mil veintiuno, </w:t>
      </w:r>
      <w:r w:rsidR="00BD08C5" w:rsidRPr="00A2355B">
        <w:t xml:space="preserve">se </w:t>
      </w:r>
      <w:r w:rsidR="00CA1B00" w:rsidRPr="00A2355B">
        <w:t>tuvo por recibido</w:t>
      </w:r>
      <w:r w:rsidR="00BD08C5" w:rsidRPr="00A2355B">
        <w:t xml:space="preserve"> en este Instituto, a través del Sistema</w:t>
      </w:r>
      <w:r w:rsidR="00BD08C5" w:rsidRPr="00A2355B">
        <w:rPr>
          <w:lang w:val="es-ES"/>
        </w:rPr>
        <w:t xml:space="preserve"> de Acceso a la Información Mexiquense (SAIMEX)</w:t>
      </w:r>
      <w:r w:rsidR="00BD08C5" w:rsidRPr="00A2355B">
        <w:t>, el Recurso de Revisión interpuesto por la parte Recurrente</w:t>
      </w:r>
      <w:r w:rsidR="007B0411" w:rsidRPr="00A2355B">
        <w:rPr>
          <w:rFonts w:eastAsia="Batang" w:cs="Tahoma"/>
          <w:color w:val="auto"/>
          <w:lang w:val="es-ES" w:eastAsia="es-ES"/>
        </w:rPr>
        <w:t>,</w:t>
      </w:r>
      <w:r w:rsidR="00BD08C5" w:rsidRPr="00A2355B">
        <w:rPr>
          <w:rFonts w:eastAsia="Batang" w:cs="Tahoma"/>
          <w:color w:val="auto"/>
          <w:lang w:val="es-ES" w:eastAsia="es-ES"/>
        </w:rPr>
        <w:t xml:space="preserve"> </w:t>
      </w:r>
      <w:r w:rsidR="00BD08C5" w:rsidRPr="00A2355B">
        <w:t>en contra de la respuesta del Sujeto Obligado</w:t>
      </w:r>
      <w:r w:rsidR="00454109">
        <w:t xml:space="preserve">, </w:t>
      </w:r>
      <w:r w:rsidR="00BD08C5" w:rsidRPr="00A2355B">
        <w:rPr>
          <w:rFonts w:cs="Tahoma"/>
          <w:lang w:val="es-ES"/>
        </w:rPr>
        <w:t xml:space="preserve">en los siguientes términos: </w:t>
      </w:r>
    </w:p>
    <w:p w14:paraId="32EC2427" w14:textId="77777777" w:rsidR="00D8203F" w:rsidRPr="00A2355B" w:rsidRDefault="00D8203F" w:rsidP="00A2355B">
      <w:pPr>
        <w:spacing w:after="0"/>
      </w:pPr>
    </w:p>
    <w:p w14:paraId="2833A950" w14:textId="77777777" w:rsidR="00D8203F" w:rsidRPr="00A2355B" w:rsidRDefault="00D8203F" w:rsidP="00A2355B">
      <w:pPr>
        <w:spacing w:after="0"/>
        <w:ind w:left="567" w:right="567"/>
        <w:rPr>
          <w:bCs/>
          <w:i/>
          <w:sz w:val="20"/>
          <w:szCs w:val="20"/>
        </w:rPr>
      </w:pPr>
      <w:r w:rsidRPr="00A2355B">
        <w:rPr>
          <w:b/>
          <w:bCs/>
          <w:i/>
          <w:sz w:val="20"/>
          <w:szCs w:val="20"/>
        </w:rPr>
        <w:t>“ACTO IMPUGNADO</w:t>
      </w:r>
    </w:p>
    <w:p w14:paraId="60F31DEE" w14:textId="0E71609C" w:rsidR="00D8203F" w:rsidRPr="00A2355B" w:rsidRDefault="004E0763" w:rsidP="00A2355B">
      <w:pPr>
        <w:spacing w:after="0"/>
        <w:ind w:left="567" w:right="567"/>
        <w:rPr>
          <w:i/>
          <w:sz w:val="20"/>
          <w:szCs w:val="20"/>
        </w:rPr>
      </w:pPr>
      <w:r w:rsidRPr="004E0763">
        <w:rPr>
          <w:i/>
          <w:sz w:val="20"/>
          <w:szCs w:val="20"/>
        </w:rPr>
        <w:t>NO entregan la información</w:t>
      </w:r>
      <w:r w:rsidR="00BD08C5" w:rsidRPr="00A2355B">
        <w:rPr>
          <w:i/>
          <w:sz w:val="20"/>
          <w:szCs w:val="20"/>
        </w:rPr>
        <w:t>.</w:t>
      </w:r>
      <w:r w:rsidR="00D8203F" w:rsidRPr="00A2355B">
        <w:rPr>
          <w:i/>
          <w:sz w:val="20"/>
          <w:szCs w:val="20"/>
        </w:rPr>
        <w:t>” (Sic.)</w:t>
      </w:r>
    </w:p>
    <w:p w14:paraId="69D01251" w14:textId="77777777" w:rsidR="00D8203F" w:rsidRPr="00A2355B" w:rsidRDefault="00D8203F" w:rsidP="00A2355B">
      <w:pPr>
        <w:spacing w:after="0"/>
        <w:ind w:left="567" w:right="567"/>
        <w:rPr>
          <w:i/>
          <w:sz w:val="20"/>
          <w:szCs w:val="20"/>
        </w:rPr>
      </w:pPr>
    </w:p>
    <w:p w14:paraId="46664227" w14:textId="61AAD6B7" w:rsidR="00BD08C5" w:rsidRPr="00A2355B" w:rsidRDefault="00D8203F" w:rsidP="00A2355B">
      <w:pPr>
        <w:spacing w:after="0"/>
        <w:ind w:left="567" w:right="567"/>
        <w:rPr>
          <w:b/>
          <w:i/>
          <w:sz w:val="20"/>
          <w:szCs w:val="20"/>
        </w:rPr>
      </w:pPr>
      <w:r w:rsidRPr="00A2355B">
        <w:rPr>
          <w:b/>
          <w:i/>
          <w:sz w:val="20"/>
          <w:szCs w:val="20"/>
        </w:rPr>
        <w:t>“RAZONES O MOTIVOS DE LA INCONFORMIDAD</w:t>
      </w:r>
    </w:p>
    <w:p w14:paraId="4DE18E01" w14:textId="5D259281" w:rsidR="00D8203F" w:rsidRPr="00A2355B" w:rsidRDefault="004E0763" w:rsidP="00A2355B">
      <w:pPr>
        <w:spacing w:after="0"/>
        <w:ind w:left="567" w:right="567"/>
        <w:rPr>
          <w:i/>
          <w:sz w:val="20"/>
          <w:szCs w:val="20"/>
        </w:rPr>
      </w:pPr>
      <w:r w:rsidRPr="004E0763">
        <w:rPr>
          <w:i/>
          <w:sz w:val="20"/>
          <w:szCs w:val="20"/>
        </w:rPr>
        <w:t xml:space="preserve">Argumentan que son prestadores de alguna empresa, sin embargo esas personas reciben recursos publicos, al ser dinero que les paga el instituto, asimismo utilizan los revursos materiales del instituto, como lo son los automoviles y por ende debe de haber documentos donde se señalen sus </w:t>
      </w:r>
      <w:r w:rsidRPr="004E0763">
        <w:rPr>
          <w:i/>
          <w:sz w:val="20"/>
          <w:szCs w:val="20"/>
        </w:rPr>
        <w:lastRenderedPageBreak/>
        <w:t>salidas, así como de los permisos otorgados. Con esta respuesta, se ve afectado totalmente mi derecho de saber de los recursos publicos que mal usan al tener gente tan floja</w:t>
      </w:r>
      <w:proofErr w:type="gramStart"/>
      <w:r w:rsidRPr="004E0763">
        <w:rPr>
          <w:i/>
          <w:sz w:val="20"/>
          <w:szCs w:val="20"/>
        </w:rPr>
        <w:t>!</w:t>
      </w:r>
      <w:proofErr w:type="gramEnd"/>
      <w:r w:rsidRPr="00A2355B">
        <w:rPr>
          <w:i/>
          <w:sz w:val="20"/>
          <w:szCs w:val="20"/>
        </w:rPr>
        <w:t>”</w:t>
      </w:r>
      <w:r w:rsidR="00D8203F" w:rsidRPr="00A2355B">
        <w:rPr>
          <w:i/>
          <w:sz w:val="20"/>
          <w:szCs w:val="20"/>
        </w:rPr>
        <w:t xml:space="preserve"> (Sic.)</w:t>
      </w:r>
    </w:p>
    <w:p w14:paraId="6111A3B0" w14:textId="77777777" w:rsidR="00D8203F" w:rsidRPr="00A2355B" w:rsidRDefault="00D8203F" w:rsidP="00A2355B">
      <w:pPr>
        <w:spacing w:after="0"/>
      </w:pPr>
    </w:p>
    <w:p w14:paraId="7CC18348" w14:textId="77777777" w:rsidR="00D8203F" w:rsidRPr="00A2355B" w:rsidRDefault="00D8203F" w:rsidP="00A2355B">
      <w:pPr>
        <w:spacing w:after="0"/>
        <w:rPr>
          <w:b/>
          <w:bCs/>
        </w:rPr>
      </w:pPr>
      <w:r w:rsidRPr="00A2355B">
        <w:rPr>
          <w:b/>
          <w:bCs/>
        </w:rPr>
        <w:t>IV. Trámite del Recurso de Revisión ante el Instituto.</w:t>
      </w:r>
    </w:p>
    <w:p w14:paraId="26D65406" w14:textId="77777777" w:rsidR="00D8203F" w:rsidRPr="00A2355B" w:rsidRDefault="00D8203F" w:rsidP="00A2355B">
      <w:pPr>
        <w:spacing w:after="0"/>
      </w:pPr>
    </w:p>
    <w:p w14:paraId="07622F31" w14:textId="4C107AB6" w:rsidR="00D8203F" w:rsidRPr="00A2355B" w:rsidRDefault="00D8203F" w:rsidP="00A2355B">
      <w:pPr>
        <w:spacing w:after="0"/>
        <w:rPr>
          <w:rFonts w:eastAsia="Batang" w:cs="Tahoma"/>
          <w:bCs/>
          <w:lang w:eastAsia="es-ES"/>
        </w:rPr>
      </w:pPr>
      <w:r w:rsidRPr="00A2355B">
        <w:rPr>
          <w:b/>
          <w:bCs/>
        </w:rPr>
        <w:t xml:space="preserve">a) Turno del Recurso de Revisión. </w:t>
      </w:r>
      <w:r w:rsidRPr="00A2355B">
        <w:t xml:space="preserve">El </w:t>
      </w:r>
      <w:r w:rsidR="004E0763">
        <w:t>veintidós</w:t>
      </w:r>
      <w:r w:rsidR="00454109">
        <w:t xml:space="preserve"> de diciembre </w:t>
      </w:r>
      <w:r w:rsidRPr="00A2355B">
        <w:t xml:space="preserve"> de dos mil </w:t>
      </w:r>
      <w:r w:rsidR="00BD08C5" w:rsidRPr="00A2355B">
        <w:t>veintiuno</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Pr="00A2355B">
        <w:rPr>
          <w:rFonts w:eastAsia="Batang" w:cs="Tahoma"/>
          <w:bCs/>
          <w:lang w:eastAsia="es-ES"/>
        </w:rPr>
        <w:t xml:space="preserve"> asignó el número de expediente </w:t>
      </w:r>
      <w:r w:rsidR="004E0763" w:rsidRPr="004E0763">
        <w:rPr>
          <w:rFonts w:eastAsia="Batang" w:cs="Tahoma"/>
          <w:b/>
          <w:bCs/>
          <w:lang w:eastAsia="es-ES"/>
        </w:rPr>
        <w:t>06531/INFOEM/IP/RR/2021</w:t>
      </w:r>
      <w:r w:rsidRPr="00A2355B">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CB92970" w14:textId="77777777" w:rsidR="00D8203F" w:rsidRPr="00A2355B" w:rsidRDefault="00D8203F" w:rsidP="00A2355B">
      <w:pPr>
        <w:spacing w:after="0"/>
        <w:rPr>
          <w:rFonts w:eastAsia="Batang" w:cs="Tahoma"/>
          <w:bCs/>
          <w:lang w:eastAsia="es-ES"/>
        </w:rPr>
      </w:pPr>
    </w:p>
    <w:p w14:paraId="4677A832" w14:textId="0B365497" w:rsidR="00D8203F" w:rsidRPr="00A2355B" w:rsidRDefault="00D8203F" w:rsidP="00A2355B">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4E0763">
        <w:rPr>
          <w:rFonts w:eastAsia="Batang" w:cs="Tahoma"/>
          <w:bCs/>
          <w:lang w:eastAsia="es-ES"/>
        </w:rPr>
        <w:t xml:space="preserve">doce de enero </w:t>
      </w:r>
      <w:r w:rsidR="00593B72" w:rsidRPr="00A2355B">
        <w:rPr>
          <w:rFonts w:eastAsia="Batang" w:cs="Tahoma"/>
          <w:bCs/>
          <w:lang w:eastAsia="es-ES"/>
        </w:rPr>
        <w:t xml:space="preserve"> de dos mil veintiuno</w:t>
      </w:r>
      <w:r w:rsidRPr="00A2355B">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77C5F53" w14:textId="77777777" w:rsidR="00D8203F" w:rsidRPr="00A2355B" w:rsidRDefault="00D8203F" w:rsidP="00A2355B">
      <w:pPr>
        <w:spacing w:after="0"/>
        <w:rPr>
          <w:rFonts w:eastAsia="Batang" w:cs="Tahoma"/>
          <w:bCs/>
          <w:lang w:val="es-ES_tradnl" w:eastAsia="es-ES"/>
        </w:rPr>
      </w:pPr>
    </w:p>
    <w:p w14:paraId="1578090F" w14:textId="02DACDDF" w:rsidR="00C44AF0" w:rsidRPr="00F66D38" w:rsidRDefault="00D8203F" w:rsidP="00A2355B">
      <w:pPr>
        <w:spacing w:after="0"/>
        <w:rPr>
          <w:rFonts w:eastAsia="Times New Roman" w:cs="Tahoma"/>
          <w:bCs/>
          <w:iCs/>
          <w:lang w:eastAsia="es-ES"/>
        </w:rPr>
      </w:pPr>
      <w:r w:rsidRPr="00A2355B">
        <w:rPr>
          <w:rFonts w:eastAsia="Times New Roman" w:cs="Tahoma"/>
          <w:b/>
          <w:lang w:eastAsia="es-ES"/>
        </w:rPr>
        <w:t>c)</w:t>
      </w:r>
      <w:r w:rsidRPr="00A2355B">
        <w:rPr>
          <w:rFonts w:eastAsia="Times New Roman" w:cs="Tahoma"/>
          <w:lang w:val="es-ES_tradnl" w:eastAsia="es-ES"/>
        </w:rPr>
        <w:t xml:space="preserve"> </w:t>
      </w:r>
      <w:r w:rsidRPr="00A2355B">
        <w:rPr>
          <w:rFonts w:eastAsia="Times New Roman" w:cs="Tahoma"/>
          <w:b/>
          <w:lang w:val="es-ES_tradnl" w:eastAsia="es-ES"/>
        </w:rPr>
        <w:t xml:space="preserve">Informe Justificado. </w:t>
      </w:r>
      <w:r w:rsidR="00C44AF0" w:rsidRPr="00A2355B">
        <w:rPr>
          <w:rFonts w:eastAsia="Times New Roman" w:cs="Tahoma"/>
          <w:bCs/>
          <w:lang w:val="es-ES_tradnl" w:eastAsia="es-ES"/>
        </w:rPr>
        <w:t xml:space="preserve">El </w:t>
      </w:r>
      <w:r w:rsidR="004E0763">
        <w:rPr>
          <w:rFonts w:eastAsia="Times New Roman" w:cs="Tahoma"/>
          <w:bCs/>
          <w:lang w:val="es-ES_tradnl" w:eastAsia="es-ES"/>
        </w:rPr>
        <w:t>veintiuno</w:t>
      </w:r>
      <w:r w:rsidR="007851A6">
        <w:rPr>
          <w:rFonts w:eastAsia="Times New Roman" w:cs="Tahoma"/>
          <w:bCs/>
          <w:lang w:val="es-ES_tradnl" w:eastAsia="es-ES"/>
        </w:rPr>
        <w:t xml:space="preserve"> de enero de dos mil veintidós</w:t>
      </w:r>
      <w:r w:rsidRPr="00A2355B">
        <w:rPr>
          <w:rFonts w:eastAsia="Times New Roman" w:cs="Tahoma"/>
          <w:lang w:val="es-ES_tradnl" w:eastAsia="es-ES"/>
        </w:rPr>
        <w:t xml:space="preserve">, se recibió, a través del </w:t>
      </w:r>
      <w:r w:rsidRPr="00A2355B">
        <w:rPr>
          <w:rFonts w:eastAsia="Times New Roman" w:cs="Tahoma"/>
          <w:lang w:val="es-ES" w:eastAsia="es-ES"/>
        </w:rPr>
        <w:t>Sistema de Acceso a la Información Mexiquense (SAIMEX)</w:t>
      </w:r>
      <w:r w:rsidRPr="00A2355B">
        <w:rPr>
          <w:rFonts w:eastAsia="Times New Roman" w:cs="Tahoma"/>
          <w:lang w:val="es-ES_tradnl" w:eastAsia="es-ES"/>
        </w:rPr>
        <w:t xml:space="preserve">, </w:t>
      </w:r>
      <w:r w:rsidRPr="00A2355B">
        <w:rPr>
          <w:rFonts w:eastAsia="Times New Roman" w:cs="Tahoma"/>
          <w:bCs/>
          <w:iCs/>
          <w:lang w:val="es-ES" w:eastAsia="es-ES"/>
        </w:rPr>
        <w:t xml:space="preserve">el Informe Justificado </w:t>
      </w:r>
      <w:r w:rsidRPr="00A2355B">
        <w:rPr>
          <w:rFonts w:eastAsia="Times New Roman" w:cs="Tahoma"/>
          <w:bCs/>
          <w:iCs/>
          <w:lang w:eastAsia="es-ES"/>
        </w:rPr>
        <w:t>interpuesto por el Sujeto Obliga</w:t>
      </w:r>
      <w:r w:rsidR="00F66D38">
        <w:rPr>
          <w:rFonts w:eastAsia="Times New Roman" w:cs="Tahoma"/>
          <w:bCs/>
          <w:iCs/>
          <w:lang w:eastAsia="es-ES"/>
        </w:rPr>
        <w:t>do, por medio de</w:t>
      </w:r>
      <w:r w:rsidR="004E0763">
        <w:rPr>
          <w:rFonts w:eastAsia="Times New Roman" w:cs="Tahoma"/>
          <w:bCs/>
          <w:iCs/>
          <w:lang w:eastAsia="es-ES"/>
        </w:rPr>
        <w:t>l oficio sin número ni fecha de la</w:t>
      </w:r>
      <w:r w:rsidR="00F66D38">
        <w:rPr>
          <w:rFonts w:eastAsia="Times New Roman" w:cs="Tahoma"/>
          <w:bCs/>
          <w:iCs/>
          <w:lang w:eastAsia="es-ES"/>
        </w:rPr>
        <w:t xml:space="preserve"> </w:t>
      </w:r>
      <w:r w:rsidR="00C44AF0" w:rsidRPr="00A2355B">
        <w:rPr>
          <w:rFonts w:eastAsia="Times New Roman" w:cs="Tahoma"/>
          <w:bCs/>
          <w:iCs/>
          <w:lang w:eastAsia="es-ES"/>
        </w:rPr>
        <w:t xml:space="preserve">Titular </w:t>
      </w:r>
      <w:r w:rsidR="006900B8" w:rsidRPr="00A2355B">
        <w:rPr>
          <w:rFonts w:eastAsia="Times New Roman" w:cs="Tahoma"/>
          <w:bCs/>
          <w:iCs/>
          <w:lang w:eastAsia="es-ES"/>
        </w:rPr>
        <w:t>de la Unidad de Transparencia, por med</w:t>
      </w:r>
      <w:r w:rsidR="00EC7552" w:rsidRPr="00A2355B">
        <w:rPr>
          <w:rFonts w:eastAsia="Times New Roman" w:cs="Tahoma"/>
          <w:bCs/>
          <w:iCs/>
          <w:lang w:eastAsia="es-ES"/>
        </w:rPr>
        <w:t xml:space="preserve">io </w:t>
      </w:r>
      <w:r w:rsidR="006900B8" w:rsidRPr="00A2355B">
        <w:rPr>
          <w:rFonts w:eastAsia="Times New Roman" w:cs="Tahoma"/>
          <w:bCs/>
          <w:iCs/>
          <w:lang w:eastAsia="es-ES"/>
        </w:rPr>
        <w:t xml:space="preserve">del cual manifiesta y expone: </w:t>
      </w:r>
    </w:p>
    <w:p w14:paraId="1652618B" w14:textId="7174D561" w:rsidR="006900B8" w:rsidRPr="00A2355B" w:rsidRDefault="006900B8" w:rsidP="00A2355B">
      <w:pPr>
        <w:spacing w:after="0"/>
        <w:rPr>
          <w:rFonts w:eastAsia="Times New Roman" w:cs="Tahoma"/>
          <w:bCs/>
          <w:iCs/>
          <w:lang w:eastAsia="es-ES"/>
        </w:rPr>
      </w:pPr>
    </w:p>
    <w:p w14:paraId="0CE308A9" w14:textId="7101D4A5" w:rsidR="004E0763" w:rsidRDefault="006900B8" w:rsidP="004E0763">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w:t>
      </w:r>
      <w:r w:rsidR="00A66BE0">
        <w:rPr>
          <w:rFonts w:eastAsia="Times New Roman" w:cs="Tahoma"/>
          <w:bCs/>
          <w:i/>
          <w:sz w:val="20"/>
          <w:szCs w:val="20"/>
          <w:lang w:eastAsia="es-ES"/>
        </w:rPr>
        <w:t>Este Sujeto Obligado dio respuesta de forma fundamentada y motivada a la solicitud de información con número de folio 00101/IHAEM/IP/2021, manifestando que era competente para conocer la petición formulada.</w:t>
      </w:r>
    </w:p>
    <w:p w14:paraId="4ECCB0EF" w14:textId="5B322BA1" w:rsidR="00A66BE0" w:rsidRDefault="00A66BE0" w:rsidP="004E0763">
      <w:pPr>
        <w:spacing w:after="0"/>
        <w:ind w:left="567" w:right="567"/>
        <w:rPr>
          <w:rFonts w:eastAsia="Times New Roman" w:cs="Tahoma"/>
          <w:bCs/>
          <w:i/>
          <w:sz w:val="20"/>
          <w:szCs w:val="20"/>
          <w:lang w:eastAsia="es-ES"/>
        </w:rPr>
      </w:pPr>
      <w:r>
        <w:rPr>
          <w:rFonts w:eastAsia="Times New Roman" w:cs="Tahoma"/>
          <w:bCs/>
          <w:i/>
          <w:sz w:val="20"/>
          <w:szCs w:val="20"/>
          <w:lang w:eastAsia="es-ES"/>
        </w:rPr>
        <w:lastRenderedPageBreak/>
        <w:t>…</w:t>
      </w:r>
    </w:p>
    <w:p w14:paraId="2EC0AF3F" w14:textId="26177C57" w:rsidR="00A66BE0" w:rsidRDefault="00A66BE0" w:rsidP="004E0763">
      <w:pPr>
        <w:spacing w:after="0"/>
        <w:ind w:left="567" w:right="567"/>
        <w:rPr>
          <w:rFonts w:eastAsia="Times New Roman" w:cs="Tahoma"/>
          <w:bCs/>
          <w:i/>
          <w:sz w:val="20"/>
          <w:szCs w:val="20"/>
          <w:lang w:eastAsia="es-ES"/>
        </w:rPr>
      </w:pPr>
      <w:r>
        <w:rPr>
          <w:rFonts w:eastAsia="Times New Roman" w:cs="Tahoma"/>
          <w:bCs/>
          <w:i/>
          <w:sz w:val="20"/>
          <w:szCs w:val="20"/>
          <w:lang w:eastAsia="es-ES"/>
        </w:rPr>
        <w:t>Por lo que respecta al Acto Impugnado, como se señaló en la Respuesta al solicitante, no se cuenta con la información solicitada de los CC. José Aldo Gutiérrez Sánchez, Ignacio Regueira Rosas y Fernando González, ya que no corresponde a servidores públicos…</w:t>
      </w:r>
    </w:p>
    <w:p w14:paraId="10CDC6B4" w14:textId="229E87B2" w:rsidR="00A66BE0" w:rsidRDefault="00A66BE0" w:rsidP="004E0763">
      <w:pPr>
        <w:spacing w:after="0"/>
        <w:ind w:left="567" w:right="567"/>
        <w:rPr>
          <w:rFonts w:eastAsia="Times New Roman" w:cs="Tahoma"/>
          <w:bCs/>
          <w:i/>
          <w:sz w:val="20"/>
          <w:szCs w:val="20"/>
          <w:lang w:eastAsia="es-ES"/>
        </w:rPr>
      </w:pPr>
      <w:r>
        <w:rPr>
          <w:rFonts w:eastAsia="Times New Roman" w:cs="Tahoma"/>
          <w:bCs/>
          <w:i/>
          <w:sz w:val="20"/>
          <w:szCs w:val="20"/>
          <w:lang w:eastAsia="es-ES"/>
        </w:rPr>
        <w:t>…</w:t>
      </w:r>
    </w:p>
    <w:p w14:paraId="36C87D46" w14:textId="591B5F79" w:rsidR="00A66BE0" w:rsidRDefault="00A66BE0" w:rsidP="004E0763">
      <w:pPr>
        <w:spacing w:after="0"/>
        <w:ind w:left="567" w:right="567"/>
        <w:rPr>
          <w:rFonts w:eastAsia="Times New Roman" w:cs="Tahoma"/>
          <w:bCs/>
          <w:i/>
          <w:sz w:val="20"/>
          <w:szCs w:val="20"/>
          <w:lang w:eastAsia="es-ES"/>
        </w:rPr>
      </w:pPr>
      <w:r>
        <w:rPr>
          <w:rFonts w:eastAsia="Times New Roman" w:cs="Tahoma"/>
          <w:bCs/>
          <w:i/>
          <w:sz w:val="20"/>
          <w:szCs w:val="20"/>
          <w:lang w:eastAsia="es-ES"/>
        </w:rPr>
        <w:t>Por lo anterior, el Instituto Hacendario del Estado de México, en su calidad de Sujeto Obligado, no cuenta dentro de sus archivos, documentación que acredite la entrega de recursos públicos, tanto en dinero como en materiales, que sean o hayan sido entregados a los ciudadanos mencionados en la solicitud de información primigenia y el derivado recurso de revisión en mérito.</w:t>
      </w:r>
    </w:p>
    <w:p w14:paraId="4F75C793" w14:textId="318FD9D8" w:rsidR="00F42CAA" w:rsidRPr="00A2355B" w:rsidRDefault="00F42CAA" w:rsidP="00A2355B">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 xml:space="preserve">…” (Sic) </w:t>
      </w:r>
    </w:p>
    <w:p w14:paraId="6D866CA9" w14:textId="77777777" w:rsidR="00D8203F" w:rsidRPr="00A2355B" w:rsidRDefault="00D8203F" w:rsidP="00A2355B">
      <w:pPr>
        <w:spacing w:after="0"/>
        <w:rPr>
          <w:rFonts w:eastAsia="Times New Roman" w:cs="Tahoma"/>
          <w:iCs/>
          <w:color w:val="auto"/>
          <w:lang w:val="es-ES_tradnl" w:eastAsia="es-ES"/>
        </w:rPr>
      </w:pPr>
    </w:p>
    <w:p w14:paraId="351C90FF" w14:textId="0E9E832C" w:rsidR="00953BD3" w:rsidRPr="00953BD3" w:rsidRDefault="00D8203F" w:rsidP="00A73024">
      <w:pPr>
        <w:spacing w:after="0"/>
        <w:rPr>
          <w:rFonts w:eastAsia="Times New Roman" w:cs="Tahoma"/>
          <w:bCs/>
          <w:iCs/>
          <w:lang w:eastAsia="es-ES"/>
        </w:rPr>
      </w:pPr>
      <w:r w:rsidRPr="00A2355B">
        <w:rPr>
          <w:rFonts w:eastAsia="Times New Roman" w:cs="Tahoma"/>
          <w:iCs/>
          <w:color w:val="auto"/>
          <w:lang w:val="es-ES_tradnl" w:eastAsia="es-ES"/>
        </w:rPr>
        <w:t xml:space="preserve">El Sujeto Obligado adjuntó la digitalización </w:t>
      </w:r>
      <w:r w:rsidR="00A73024">
        <w:rPr>
          <w:rFonts w:eastAsia="Times New Roman" w:cs="Tahoma"/>
          <w:iCs/>
          <w:color w:val="auto"/>
          <w:lang w:val="es-ES_tradnl" w:eastAsia="es-ES"/>
        </w:rPr>
        <w:t>de los o</w:t>
      </w:r>
      <w:r w:rsidR="00A66BE0">
        <w:rPr>
          <w:rFonts w:eastAsia="Times New Roman" w:cs="Tahoma"/>
          <w:bCs/>
          <w:iCs/>
          <w:lang w:eastAsia="es-ES"/>
        </w:rPr>
        <w:t xml:space="preserve">ficios de turno a diversas áreas y respuesta de las mismas, para dar atención a la solicitud de información </w:t>
      </w:r>
      <w:r w:rsidR="00A66BE0" w:rsidRPr="00A66BE0">
        <w:rPr>
          <w:rFonts w:eastAsia="Times New Roman" w:cs="Tahoma"/>
          <w:bCs/>
          <w:iCs/>
          <w:lang w:eastAsia="es-ES"/>
        </w:rPr>
        <w:t>00101/IHAEM/IP/2021</w:t>
      </w:r>
      <w:r w:rsidR="00A66BE0">
        <w:rPr>
          <w:rFonts w:eastAsia="Times New Roman" w:cs="Tahoma"/>
          <w:bCs/>
          <w:iCs/>
          <w:lang w:eastAsia="es-ES"/>
        </w:rPr>
        <w:t>, a las cuales ya se ha hecho referencia anteriormente.</w:t>
      </w:r>
    </w:p>
    <w:p w14:paraId="196F0D28" w14:textId="77777777" w:rsidR="00953BD3" w:rsidRPr="00953BD3" w:rsidRDefault="00953BD3" w:rsidP="00953BD3">
      <w:pPr>
        <w:pStyle w:val="Prrafodelista"/>
        <w:spacing w:after="0"/>
        <w:ind w:left="1429"/>
        <w:rPr>
          <w:rFonts w:eastAsia="Times New Roman" w:cs="Tahoma"/>
          <w:iCs/>
          <w:color w:val="auto"/>
          <w:lang w:val="es-ES_tradnl" w:eastAsia="es-ES"/>
        </w:rPr>
      </w:pPr>
    </w:p>
    <w:p w14:paraId="4BF866FA" w14:textId="4D4E9AE8" w:rsidR="00D8203F" w:rsidRPr="00A2355B" w:rsidRDefault="00D8203F" w:rsidP="00A2355B">
      <w:pPr>
        <w:spacing w:after="0"/>
        <w:rPr>
          <w:rFonts w:cs="Tahoma"/>
        </w:rPr>
      </w:pPr>
      <w:r w:rsidRPr="00A2355B">
        <w:rPr>
          <w:rFonts w:cs="Tahoma"/>
          <w:b/>
          <w:bCs/>
        </w:rPr>
        <w:t xml:space="preserve">d) Vista del informe justificado. </w:t>
      </w:r>
      <w:r w:rsidRPr="00A2355B">
        <w:rPr>
          <w:rFonts w:cs="Tahoma"/>
        </w:rPr>
        <w:t xml:space="preserve">El </w:t>
      </w:r>
      <w:r w:rsidR="00A66BE0">
        <w:rPr>
          <w:rFonts w:cs="Tahoma"/>
        </w:rPr>
        <w:t xml:space="preserve">veintiuno de enero </w:t>
      </w:r>
      <w:r w:rsidR="00953BD3">
        <w:rPr>
          <w:rFonts w:cs="Tahoma"/>
        </w:rPr>
        <w:t xml:space="preserve">  de dos mil veintidós</w:t>
      </w:r>
      <w:r w:rsidRPr="00A2355B">
        <w:rPr>
          <w:rFonts w:cs="Tahoma"/>
        </w:rPr>
        <w:t xml:space="preserve">, se dictó acuerdo mediante el cual </w:t>
      </w:r>
      <w:r w:rsidRPr="00A2355B">
        <w:rPr>
          <w:rFonts w:cs="Tahoma"/>
          <w:b/>
          <w:bCs/>
        </w:rPr>
        <w:t>se puso a la vista de la Particular el Informe Justificado</w:t>
      </w:r>
      <w:r w:rsidRPr="00A2355B">
        <w:rPr>
          <w:rFonts w:cs="Tahoma"/>
        </w:rPr>
        <w:t xml:space="preserve"> entregado por el Sujeto Obligado, el cual fue notificado al Recurrente, a través del Sistema de Acceso a la Información Mexiquense (SAIMEX), </w:t>
      </w:r>
      <w:r w:rsidR="00E77820" w:rsidRPr="00A2355B">
        <w:rPr>
          <w:rFonts w:cs="Tahoma"/>
        </w:rPr>
        <w:t xml:space="preserve">el </w:t>
      </w:r>
      <w:r w:rsidR="00953BD3">
        <w:rPr>
          <w:rFonts w:cs="Tahoma"/>
        </w:rPr>
        <w:t>mismo  día</w:t>
      </w:r>
      <w:r w:rsidR="00E77820" w:rsidRPr="00A2355B">
        <w:rPr>
          <w:rFonts w:cs="Tahoma"/>
        </w:rPr>
        <w:t xml:space="preserve">. </w:t>
      </w:r>
      <w:r w:rsidRPr="00A2355B">
        <w:rPr>
          <w:rFonts w:cs="Tahoma"/>
          <w:b/>
        </w:rPr>
        <w:t>No obstante</w:t>
      </w:r>
      <w:r w:rsidRPr="00A2355B">
        <w:rPr>
          <w:rFonts w:cs="Tahoma"/>
          <w:b/>
          <w:bCs/>
          <w:iCs/>
          <w:lang w:val="es-ES_tradnl"/>
        </w:rPr>
        <w:t xml:space="preserve">, </w:t>
      </w:r>
      <w:r w:rsidR="0087558A">
        <w:rPr>
          <w:rFonts w:cs="Tahoma"/>
          <w:b/>
          <w:bCs/>
          <w:iCs/>
          <w:lang w:val="es-ES_tradnl"/>
        </w:rPr>
        <w:t>la</w:t>
      </w:r>
      <w:r w:rsidR="00E77820" w:rsidRPr="00A2355B">
        <w:rPr>
          <w:rFonts w:cs="Tahoma"/>
          <w:b/>
          <w:bCs/>
          <w:iCs/>
          <w:lang w:val="es-ES_tradnl"/>
        </w:rPr>
        <w:t xml:space="preserve"> </w:t>
      </w:r>
      <w:r w:rsidRPr="00A2355B">
        <w:rPr>
          <w:rFonts w:cs="Tahoma"/>
          <w:b/>
          <w:bCs/>
          <w:iCs/>
          <w:lang w:val="es-ES_tradnl"/>
        </w:rPr>
        <w:t>Particular omitió realizar manifestación alguna que a su derecho conviniera y asistiera</w:t>
      </w:r>
    </w:p>
    <w:p w14:paraId="139373B8" w14:textId="77777777" w:rsidR="00D8203F" w:rsidRPr="00A2355B" w:rsidRDefault="00D8203F" w:rsidP="00A2355B">
      <w:pPr>
        <w:spacing w:after="0"/>
        <w:rPr>
          <w:rFonts w:eastAsia="Times New Roman" w:cs="Tahoma"/>
          <w:b/>
          <w:color w:val="auto"/>
          <w:szCs w:val="24"/>
          <w:lang w:eastAsia="es-ES"/>
        </w:rPr>
      </w:pPr>
    </w:p>
    <w:p w14:paraId="1ACB06BA" w14:textId="2ED014B3" w:rsidR="00D8203F" w:rsidRDefault="00D8203F" w:rsidP="00A2355B">
      <w:pPr>
        <w:spacing w:after="0"/>
        <w:rPr>
          <w:rFonts w:eastAsia="Times New Roman" w:cs="Tahoma"/>
          <w:color w:val="auto"/>
          <w:szCs w:val="24"/>
          <w:lang w:eastAsia="es-ES"/>
        </w:rPr>
      </w:pPr>
      <w:r w:rsidRPr="00A2355B">
        <w:rPr>
          <w:rFonts w:eastAsia="Times New Roman" w:cs="Tahoma"/>
          <w:b/>
          <w:color w:val="auto"/>
          <w:szCs w:val="24"/>
          <w:lang w:eastAsia="es-ES"/>
        </w:rPr>
        <w:t>e) Cierre de instrucción.</w:t>
      </w:r>
      <w:r w:rsidRPr="00A2355B">
        <w:rPr>
          <w:rFonts w:eastAsia="Times New Roman" w:cs="Tahoma"/>
          <w:color w:val="auto"/>
          <w:szCs w:val="24"/>
          <w:lang w:eastAsia="es-ES"/>
        </w:rPr>
        <w:t xml:space="preserve"> El </w:t>
      </w:r>
      <w:r w:rsidR="0087558A">
        <w:rPr>
          <w:rFonts w:eastAsia="Times New Roman" w:cs="Tahoma"/>
          <w:color w:val="auto"/>
          <w:szCs w:val="24"/>
          <w:lang w:val="es-ES" w:eastAsia="es-ES"/>
        </w:rPr>
        <w:t>tres de marzo</w:t>
      </w:r>
      <w:r w:rsidR="00953BD3">
        <w:rPr>
          <w:rFonts w:eastAsia="Times New Roman" w:cs="Tahoma"/>
          <w:color w:val="auto"/>
          <w:szCs w:val="24"/>
          <w:lang w:val="es-ES" w:eastAsia="es-ES"/>
        </w:rPr>
        <w:t xml:space="preserve"> de dos mil veintidós</w:t>
      </w:r>
      <w:r w:rsidRPr="00A2355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A2355B">
        <w:rPr>
          <w:rFonts w:eastAsia="Times New Roman" w:cs="Tahoma"/>
          <w:color w:val="auto"/>
          <w:szCs w:val="20"/>
          <w:lang w:val="es-ES" w:eastAsia="es-ES"/>
        </w:rPr>
        <w:t>Sistema de Acceso a la Información Mexiquense (SAIMEX)</w:t>
      </w:r>
      <w:r w:rsidRPr="00A2355B">
        <w:rPr>
          <w:rFonts w:eastAsia="Times New Roman" w:cs="Tahoma"/>
          <w:color w:val="auto"/>
          <w:szCs w:val="24"/>
          <w:lang w:eastAsia="es-ES"/>
        </w:rPr>
        <w:t>.</w:t>
      </w:r>
    </w:p>
    <w:p w14:paraId="36DB5FBA" w14:textId="77777777" w:rsidR="006D6996" w:rsidRDefault="006D6996" w:rsidP="00A2355B">
      <w:pPr>
        <w:spacing w:after="0"/>
        <w:rPr>
          <w:rFonts w:eastAsia="Times New Roman" w:cs="Tahoma"/>
          <w:color w:val="auto"/>
          <w:szCs w:val="24"/>
          <w:lang w:eastAsia="es-ES"/>
        </w:rPr>
      </w:pPr>
    </w:p>
    <w:p w14:paraId="18F4458E" w14:textId="77777777" w:rsidR="006D6996" w:rsidRDefault="006D6996" w:rsidP="00A2355B">
      <w:pPr>
        <w:spacing w:after="0"/>
        <w:rPr>
          <w:rFonts w:eastAsia="Times New Roman" w:cs="Tahoma"/>
          <w:color w:val="auto"/>
          <w:szCs w:val="24"/>
          <w:lang w:eastAsia="es-ES"/>
        </w:rPr>
      </w:pPr>
    </w:p>
    <w:p w14:paraId="59A447A6" w14:textId="6888469D" w:rsidR="006D6996" w:rsidRPr="006D6996" w:rsidRDefault="006D6996" w:rsidP="006D6996">
      <w:pPr>
        <w:spacing w:after="0"/>
        <w:rPr>
          <w:rFonts w:eastAsia="Palatino Linotype" w:cs="Palatino Linotype"/>
          <w:color w:val="auto"/>
          <w:lang w:val="es-ES" w:eastAsia="es-ES"/>
        </w:rPr>
      </w:pPr>
      <w:r>
        <w:rPr>
          <w:rFonts w:eastAsia="Palatino Linotype" w:cs="Palatino Linotype"/>
          <w:b/>
          <w:bCs/>
          <w:color w:val="auto"/>
          <w:lang w:val="es-ES" w:eastAsia="es-ES"/>
        </w:rPr>
        <w:t>f</w:t>
      </w:r>
      <w:r w:rsidRPr="006D6996">
        <w:rPr>
          <w:rFonts w:eastAsia="Palatino Linotype" w:cs="Palatino Linotype"/>
          <w:b/>
          <w:bCs/>
          <w:color w:val="auto"/>
          <w:lang w:val="es-ES" w:eastAsia="es-ES"/>
        </w:rPr>
        <w:t xml:space="preserve">) Ampliación de plazo para resolver. </w:t>
      </w:r>
      <w:r w:rsidRPr="006D6996">
        <w:rPr>
          <w:rFonts w:eastAsia="Palatino Linotype" w:cs="Palatino Linotype"/>
          <w:color w:val="auto"/>
          <w:lang w:val="es-ES" w:eastAsia="es-ES"/>
        </w:rPr>
        <w:t>El cuatro</w:t>
      </w:r>
      <w:r>
        <w:rPr>
          <w:rFonts w:eastAsia="Palatino Linotype" w:cs="Palatino Linotype"/>
          <w:color w:val="auto"/>
          <w:lang w:val="es-ES" w:eastAsia="es-ES"/>
        </w:rPr>
        <w:t xml:space="preserve"> de marzo</w:t>
      </w:r>
      <w:r w:rsidRPr="006D6996">
        <w:rPr>
          <w:rFonts w:eastAsia="Palatino Linotype" w:cs="Palatino Linotype"/>
          <w:color w:val="auto"/>
          <w:lang w:val="es-ES" w:eastAsia="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F09EFC4" w14:textId="77777777" w:rsidR="006D6996" w:rsidRDefault="006D6996" w:rsidP="00A2355B">
      <w:pPr>
        <w:spacing w:after="0"/>
        <w:rPr>
          <w:rFonts w:eastAsia="Times New Roman" w:cs="Tahoma"/>
          <w:color w:val="000000"/>
          <w:szCs w:val="24"/>
          <w:lang w:eastAsia="es-ES"/>
        </w:rPr>
      </w:pPr>
    </w:p>
    <w:p w14:paraId="79CDDFD7" w14:textId="77777777" w:rsidR="00D8203F" w:rsidRPr="00A2355B" w:rsidRDefault="00D8203F" w:rsidP="00A2355B">
      <w:pPr>
        <w:spacing w:after="0"/>
        <w:rPr>
          <w:rFonts w:eastAsia="Times New Roman" w:cs="Tahoma"/>
          <w:color w:val="000000"/>
          <w:szCs w:val="24"/>
          <w:lang w:eastAsia="es-ES"/>
        </w:rPr>
      </w:pPr>
      <w:r w:rsidRPr="00A2355B">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6A1125E0" w14:textId="77777777" w:rsidR="00D8203F" w:rsidRPr="00A2355B" w:rsidRDefault="00D8203F" w:rsidP="00A2355B">
      <w:pPr>
        <w:spacing w:after="0"/>
        <w:rPr>
          <w:rFonts w:eastAsia="Times New Roman" w:cs="Tahoma"/>
          <w:bCs/>
          <w:iCs/>
          <w:color w:val="auto"/>
          <w:lang w:val="es-ES" w:eastAsia="es-ES"/>
        </w:rPr>
      </w:pPr>
    </w:p>
    <w:p w14:paraId="2EE6FC6F" w14:textId="77777777" w:rsidR="00D8203F" w:rsidRDefault="00D8203F" w:rsidP="00A2355B">
      <w:pPr>
        <w:spacing w:after="0"/>
        <w:jc w:val="center"/>
        <w:rPr>
          <w:rFonts w:eastAsia="Times New Roman" w:cs="Tahoma"/>
          <w:b/>
          <w:color w:val="auto"/>
          <w:lang w:val="es-ES" w:eastAsia="es-ES"/>
        </w:rPr>
      </w:pPr>
      <w:r w:rsidRPr="00A2355B">
        <w:rPr>
          <w:rFonts w:eastAsia="Times New Roman" w:cs="Tahoma"/>
          <w:b/>
          <w:color w:val="auto"/>
          <w:lang w:val="es-ES" w:eastAsia="es-ES"/>
        </w:rPr>
        <w:t>C O N S I D E R A N D O S:</w:t>
      </w:r>
    </w:p>
    <w:p w14:paraId="777F5F02" w14:textId="77777777" w:rsidR="00091A03" w:rsidRPr="00A2355B" w:rsidRDefault="00091A03" w:rsidP="00A2355B">
      <w:pPr>
        <w:spacing w:after="0"/>
        <w:jc w:val="center"/>
        <w:rPr>
          <w:rFonts w:eastAsia="Times New Roman" w:cs="Tahoma"/>
          <w:b/>
          <w:color w:val="auto"/>
          <w:lang w:val="es-ES" w:eastAsia="es-ES"/>
        </w:rPr>
      </w:pPr>
    </w:p>
    <w:p w14:paraId="33FAEC0B" w14:textId="77777777" w:rsidR="00D8203F" w:rsidRPr="00A2355B" w:rsidRDefault="00D8203F" w:rsidP="00A2355B">
      <w:pPr>
        <w:autoSpaceDE w:val="0"/>
        <w:autoSpaceDN w:val="0"/>
        <w:adjustRightInd w:val="0"/>
        <w:spacing w:after="0"/>
        <w:rPr>
          <w:rFonts w:eastAsia="Times New Roman" w:cs="Tahoma"/>
          <w:b/>
          <w:color w:val="auto"/>
          <w:szCs w:val="24"/>
          <w:lang w:val="es-ES" w:eastAsia="es-ES"/>
        </w:rPr>
      </w:pPr>
      <w:r w:rsidRPr="00A2355B">
        <w:rPr>
          <w:rFonts w:eastAsia="Calibri" w:cs="Tahoma"/>
          <w:b/>
          <w:color w:val="000000"/>
          <w:szCs w:val="24"/>
          <w:lang w:val="es-ES" w:eastAsia="es-MX"/>
        </w:rPr>
        <w:t>PRIMERO</w:t>
      </w:r>
      <w:r w:rsidRPr="00A2355B">
        <w:rPr>
          <w:rFonts w:eastAsia="Calibri" w:cs="Tahoma"/>
          <w:color w:val="000000"/>
          <w:szCs w:val="24"/>
          <w:lang w:val="es-ES" w:eastAsia="es-MX"/>
        </w:rPr>
        <w:t xml:space="preserve">. </w:t>
      </w:r>
      <w:r w:rsidRPr="00A2355B">
        <w:rPr>
          <w:rFonts w:eastAsia="Times New Roman" w:cs="Tahoma"/>
          <w:b/>
          <w:color w:val="auto"/>
          <w:szCs w:val="24"/>
          <w:lang w:val="es-ES" w:eastAsia="es-ES"/>
        </w:rPr>
        <w:t>Competencia.</w:t>
      </w:r>
    </w:p>
    <w:p w14:paraId="3C3E37F0" w14:textId="77777777" w:rsidR="00D8203F" w:rsidRPr="00A2355B" w:rsidRDefault="00D8203F" w:rsidP="00A2355B">
      <w:pPr>
        <w:autoSpaceDE w:val="0"/>
        <w:autoSpaceDN w:val="0"/>
        <w:adjustRightInd w:val="0"/>
        <w:spacing w:after="0"/>
        <w:rPr>
          <w:rFonts w:eastAsia="Times New Roman" w:cs="Tahoma"/>
          <w:b/>
          <w:color w:val="auto"/>
          <w:szCs w:val="24"/>
          <w:lang w:val="es-ES" w:eastAsia="es-ES"/>
        </w:rPr>
      </w:pPr>
    </w:p>
    <w:p w14:paraId="39F4D924" w14:textId="6214F536" w:rsidR="00D8203F" w:rsidRPr="00A2355B" w:rsidRDefault="00D8203F" w:rsidP="00A2355B">
      <w:pPr>
        <w:spacing w:after="0"/>
        <w:rPr>
          <w:rFonts w:eastAsia="Calibri" w:cs="Times New Roman"/>
          <w:color w:val="000000"/>
        </w:rPr>
      </w:pPr>
      <w:r w:rsidRPr="00A2355B">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A1B00" w:rsidRPr="00A2355B">
        <w:rPr>
          <w:rFonts w:eastAsia="Calibri" w:cs="Times New Roman"/>
          <w:color w:val="000000"/>
        </w:rPr>
        <w:t>trigésimo, trigésimo primero y trigésimo segundo</w:t>
      </w:r>
      <w:r w:rsidRPr="00A2355B">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0035784F" w:rsidRPr="00A2355B">
        <w:rPr>
          <w:rFonts w:eastAsia="Calibri" w:cs="Times New Roman"/>
          <w:color w:val="000000"/>
        </w:rPr>
        <w:t xml:space="preserve"> </w:t>
      </w:r>
      <w:r w:rsidRPr="00A2355B">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3B0396" w14:textId="77777777" w:rsidR="00D8203F" w:rsidRPr="00A2355B" w:rsidRDefault="00D8203F" w:rsidP="00A2355B">
      <w:pPr>
        <w:spacing w:after="0"/>
        <w:rPr>
          <w:rFonts w:eastAsia="Times New Roman" w:cs="Tahoma"/>
          <w:bCs/>
          <w:color w:val="auto"/>
          <w:lang w:eastAsia="es-ES"/>
        </w:rPr>
      </w:pPr>
    </w:p>
    <w:p w14:paraId="50054C3C" w14:textId="77777777" w:rsidR="00D8203F" w:rsidRPr="00A2355B" w:rsidRDefault="00D8203F" w:rsidP="00A2355B">
      <w:pPr>
        <w:spacing w:after="0"/>
        <w:rPr>
          <w:rFonts w:eastAsia="Times New Roman" w:cs="Tahoma"/>
          <w:b/>
          <w:color w:val="auto"/>
          <w:lang w:eastAsia="es-ES"/>
        </w:rPr>
      </w:pPr>
      <w:r w:rsidRPr="00A2355B">
        <w:rPr>
          <w:rFonts w:eastAsia="Times New Roman" w:cs="Tahoma"/>
          <w:b/>
          <w:color w:val="auto"/>
          <w:lang w:eastAsia="es-ES"/>
        </w:rPr>
        <w:t>SEGUNDO. Causales de procedencia y sobreseimiento.</w:t>
      </w:r>
    </w:p>
    <w:p w14:paraId="764A8338" w14:textId="77777777" w:rsidR="00D8203F" w:rsidRPr="00A2355B" w:rsidRDefault="00D8203F" w:rsidP="00A2355B">
      <w:pPr>
        <w:spacing w:after="0"/>
        <w:rPr>
          <w:rFonts w:eastAsia="Times New Roman" w:cs="Tahoma"/>
          <w:bCs/>
          <w:color w:val="auto"/>
          <w:lang w:eastAsia="es-ES"/>
        </w:rPr>
      </w:pPr>
    </w:p>
    <w:p w14:paraId="2398F674" w14:textId="0A84A89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E445D88" w14:textId="77777777" w:rsidR="00C3697C" w:rsidRPr="00A2355B" w:rsidRDefault="00C3697C" w:rsidP="00A2355B">
      <w:pPr>
        <w:spacing w:after="0"/>
        <w:rPr>
          <w:rFonts w:eastAsia="Times New Roman" w:cs="Tahoma"/>
          <w:bCs/>
          <w:color w:val="auto"/>
          <w:lang w:eastAsia="es-ES"/>
        </w:rPr>
      </w:pPr>
    </w:p>
    <w:p w14:paraId="3E338467" w14:textId="77777777" w:rsidR="00D8203F" w:rsidRPr="00A2355B" w:rsidRDefault="00D8203F" w:rsidP="00A2355B">
      <w:pPr>
        <w:spacing w:after="0"/>
        <w:rPr>
          <w:rFonts w:eastAsia="Times New Roman" w:cs="Tahoma"/>
          <w:b/>
          <w:color w:val="auto"/>
          <w:lang w:eastAsia="es-ES"/>
        </w:rPr>
      </w:pPr>
      <w:r w:rsidRPr="00A2355B">
        <w:rPr>
          <w:rFonts w:eastAsia="Times New Roman" w:cs="Tahoma"/>
          <w:b/>
          <w:color w:val="auto"/>
          <w:lang w:eastAsia="es-ES"/>
        </w:rPr>
        <w:t xml:space="preserve">Causales de improcedencia. </w:t>
      </w:r>
    </w:p>
    <w:p w14:paraId="596B291A" w14:textId="77777777" w:rsidR="00D8203F" w:rsidRPr="00A2355B" w:rsidRDefault="00D8203F" w:rsidP="00A2355B">
      <w:pPr>
        <w:spacing w:after="0"/>
        <w:rPr>
          <w:rFonts w:eastAsia="Times New Roman" w:cs="Tahoma"/>
          <w:bCs/>
          <w:color w:val="auto"/>
          <w:lang w:eastAsia="es-ES"/>
        </w:rPr>
      </w:pPr>
    </w:p>
    <w:p w14:paraId="7F14A16F"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821B1B"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 </w:t>
      </w:r>
    </w:p>
    <w:p w14:paraId="7B56B757"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48C49152" w14:textId="77777777" w:rsidR="00D8203F" w:rsidRPr="00A2355B" w:rsidRDefault="00D8203F" w:rsidP="00A2355B">
      <w:pPr>
        <w:spacing w:after="0"/>
        <w:rPr>
          <w:rFonts w:eastAsia="Times New Roman" w:cs="Tahoma"/>
          <w:bCs/>
          <w:color w:val="auto"/>
          <w:lang w:eastAsia="es-ES"/>
        </w:rPr>
      </w:pPr>
    </w:p>
    <w:p w14:paraId="3807D56D" w14:textId="30F5ACDD"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Asimismo,</w:t>
      </w:r>
      <w:r w:rsidR="00730406" w:rsidRPr="00A2355B">
        <w:rPr>
          <w:rFonts w:eastAsia="Times New Roman" w:cs="Tahoma"/>
          <w:bCs/>
          <w:color w:val="auto"/>
          <w:lang w:eastAsia="es-ES"/>
        </w:rPr>
        <w:t xml:space="preserve"> </w:t>
      </w:r>
      <w:r w:rsidRPr="00A2355B">
        <w:rPr>
          <w:rFonts w:eastAsia="Times New Roman" w:cs="Tahoma"/>
          <w:bCs/>
          <w:color w:val="auto"/>
          <w:lang w:eastAsia="es-ES"/>
        </w:rPr>
        <w:t xml:space="preserve">se actualiza la causal de procedencia del Recurso de Revisión señalada en el artículo 179, fracciones V de la Ley en cita, pues el Recurrente se inconformó con la entrega de información </w:t>
      </w:r>
      <w:r w:rsidR="00953BD3">
        <w:rPr>
          <w:rFonts w:eastAsia="Times New Roman" w:cs="Tahoma"/>
          <w:bCs/>
          <w:color w:val="auto"/>
          <w:lang w:eastAsia="es-ES"/>
        </w:rPr>
        <w:t>incompleta</w:t>
      </w:r>
      <w:r w:rsidR="00DD3DE5" w:rsidRPr="00A2355B">
        <w:rPr>
          <w:rFonts w:eastAsia="Times New Roman" w:cs="Tahoma"/>
          <w:bCs/>
          <w:color w:val="auto"/>
          <w:lang w:eastAsia="es-ES"/>
        </w:rPr>
        <w:t>.</w:t>
      </w:r>
    </w:p>
    <w:p w14:paraId="1F9379E3" w14:textId="77777777" w:rsidR="00D8203F" w:rsidRPr="00A2355B" w:rsidRDefault="00D8203F" w:rsidP="00A2355B">
      <w:pPr>
        <w:spacing w:after="0"/>
        <w:rPr>
          <w:rFonts w:eastAsia="Times New Roman" w:cs="Tahoma"/>
          <w:bCs/>
          <w:color w:val="auto"/>
          <w:lang w:eastAsia="es-ES"/>
        </w:rPr>
      </w:pPr>
    </w:p>
    <w:p w14:paraId="77B7B149" w14:textId="77777777" w:rsidR="00D8203F" w:rsidRPr="00A2355B" w:rsidRDefault="00D8203F" w:rsidP="00A2355B">
      <w:pPr>
        <w:spacing w:after="0"/>
        <w:rPr>
          <w:rFonts w:eastAsia="Times New Roman" w:cs="Tahoma"/>
          <w:b/>
          <w:color w:val="auto"/>
          <w:lang w:eastAsia="es-ES"/>
        </w:rPr>
      </w:pPr>
      <w:r w:rsidRPr="00A2355B">
        <w:rPr>
          <w:rFonts w:eastAsia="Times New Roman" w:cs="Tahoma"/>
          <w:b/>
          <w:color w:val="auto"/>
          <w:lang w:eastAsia="es-ES"/>
        </w:rPr>
        <w:t>Causales de sobreseimiento.</w:t>
      </w:r>
    </w:p>
    <w:p w14:paraId="5D1923B8" w14:textId="77777777" w:rsidR="00D8203F" w:rsidRPr="00A2355B" w:rsidRDefault="00D8203F" w:rsidP="00A2355B">
      <w:pPr>
        <w:spacing w:after="0"/>
        <w:rPr>
          <w:rFonts w:eastAsia="Times New Roman" w:cs="Tahoma"/>
          <w:bCs/>
          <w:color w:val="auto"/>
          <w:lang w:eastAsia="es-ES"/>
        </w:rPr>
      </w:pPr>
    </w:p>
    <w:p w14:paraId="287C40C2"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Por ser de previo y especial pronunciamiento, este Instituto analiza si se actualiza alguna causal de sobreseimiento.</w:t>
      </w:r>
    </w:p>
    <w:p w14:paraId="41CD1011" w14:textId="77777777" w:rsidR="00D8203F" w:rsidRPr="00A2355B" w:rsidRDefault="00D8203F" w:rsidP="00A2355B">
      <w:pPr>
        <w:spacing w:after="0"/>
        <w:rPr>
          <w:rFonts w:eastAsia="Times New Roman" w:cs="Tahoma"/>
          <w:bCs/>
          <w:color w:val="auto"/>
          <w:lang w:eastAsia="es-ES"/>
        </w:rPr>
      </w:pPr>
    </w:p>
    <w:p w14:paraId="72EE41DA"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96134B1" w14:textId="77777777" w:rsidR="00D8203F" w:rsidRPr="00A2355B" w:rsidRDefault="00D8203F" w:rsidP="00A2355B">
      <w:pPr>
        <w:spacing w:after="0"/>
        <w:rPr>
          <w:rFonts w:eastAsia="Times New Roman" w:cs="Tahoma"/>
          <w:bCs/>
          <w:color w:val="auto"/>
          <w:lang w:eastAsia="es-ES"/>
        </w:rPr>
      </w:pPr>
    </w:p>
    <w:p w14:paraId="612F44BD"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 xml:space="preserve">Por tales motivos, se considera procedente entrar al fondo del presente asunto. </w:t>
      </w:r>
    </w:p>
    <w:p w14:paraId="6D6CE9B7" w14:textId="77777777" w:rsidR="00D8203F" w:rsidRPr="00A2355B" w:rsidRDefault="00D8203F" w:rsidP="00A2355B">
      <w:pPr>
        <w:spacing w:after="0"/>
        <w:rPr>
          <w:rFonts w:eastAsia="Times New Roman" w:cs="Tahoma"/>
          <w:bCs/>
          <w:color w:val="auto"/>
          <w:lang w:eastAsia="es-ES"/>
        </w:rPr>
      </w:pPr>
    </w:p>
    <w:p w14:paraId="064EF045" w14:textId="77777777" w:rsidR="00D8203F" w:rsidRPr="00A2355B" w:rsidRDefault="00D8203F" w:rsidP="00A2355B">
      <w:pPr>
        <w:spacing w:after="0"/>
        <w:rPr>
          <w:rFonts w:eastAsia="Times New Roman" w:cs="Tahoma"/>
          <w:b/>
          <w:color w:val="auto"/>
          <w:lang w:eastAsia="es-ES"/>
        </w:rPr>
      </w:pPr>
      <w:r w:rsidRPr="00A2355B">
        <w:rPr>
          <w:rFonts w:eastAsia="Times New Roman" w:cs="Tahoma"/>
          <w:b/>
          <w:color w:val="auto"/>
          <w:lang w:eastAsia="es-ES"/>
        </w:rPr>
        <w:t xml:space="preserve">TERCERO. Determinación de la Controversia. </w:t>
      </w:r>
    </w:p>
    <w:p w14:paraId="1D643201" w14:textId="77777777" w:rsidR="00D8203F" w:rsidRPr="00A2355B" w:rsidRDefault="00D8203F" w:rsidP="00A2355B">
      <w:pPr>
        <w:spacing w:after="0"/>
        <w:rPr>
          <w:rFonts w:eastAsia="Times New Roman" w:cs="Tahoma"/>
          <w:bCs/>
          <w:color w:val="auto"/>
          <w:lang w:eastAsia="es-ES"/>
        </w:rPr>
      </w:pPr>
    </w:p>
    <w:p w14:paraId="61BA044B" w14:textId="4794596B" w:rsidR="00A73024" w:rsidRDefault="00D8203F" w:rsidP="00060676">
      <w:pPr>
        <w:tabs>
          <w:tab w:val="left" w:pos="4962"/>
        </w:tabs>
        <w:spacing w:after="0"/>
        <w:rPr>
          <w:rFonts w:eastAsia="Calibri" w:cs="Tahoma"/>
          <w:iCs/>
          <w:lang w:val="es-ES" w:eastAsia="es-ES_tradnl"/>
        </w:rPr>
      </w:pPr>
      <w:r w:rsidRPr="00A2355B">
        <w:rPr>
          <w:rFonts w:eastAsia="Calibri" w:cs="Tahoma"/>
          <w:iCs/>
          <w:lang w:val="es-ES" w:eastAsia="es-ES_tradnl"/>
        </w:rPr>
        <w:t xml:space="preserve">Una vez realizado el estudio de las constancias que integran el expediente en que se actúa, </w:t>
      </w:r>
      <w:r w:rsidR="00060676">
        <w:rPr>
          <w:rFonts w:eastAsia="Calibri" w:cs="Tahoma"/>
          <w:iCs/>
          <w:lang w:val="es-ES" w:eastAsia="es-ES_tradnl"/>
        </w:rPr>
        <w:t xml:space="preserve">se </w:t>
      </w:r>
      <w:r w:rsidR="00A73024">
        <w:rPr>
          <w:rFonts w:eastAsia="Calibri" w:cs="Tahoma"/>
          <w:iCs/>
          <w:lang w:val="es-ES" w:eastAsia="es-ES_tradnl"/>
        </w:rPr>
        <w:t>que el Particular solicitó</w:t>
      </w:r>
      <w:r w:rsidR="0087558A">
        <w:rPr>
          <w:rFonts w:eastAsia="Calibri" w:cs="Tahoma"/>
          <w:iCs/>
          <w:lang w:val="es-ES" w:eastAsia="es-ES_tradnl"/>
        </w:rPr>
        <w:t xml:space="preserve"> </w:t>
      </w:r>
      <w:r w:rsidR="00A73024">
        <w:rPr>
          <w:rFonts w:eastAsia="Calibri" w:cs="Tahoma"/>
          <w:iCs/>
          <w:lang w:val="es-ES" w:eastAsia="es-ES_tradnl"/>
        </w:rPr>
        <w:t>los</w:t>
      </w:r>
      <w:r w:rsidR="0087558A">
        <w:rPr>
          <w:rFonts w:eastAsia="Calibri" w:cs="Tahoma"/>
          <w:iCs/>
          <w:lang w:val="es-ES" w:eastAsia="es-ES_tradnl"/>
        </w:rPr>
        <w:t xml:space="preserve"> recibos de nómina, registro de entrada y salida, formatos de incidencia</w:t>
      </w:r>
      <w:r w:rsidR="00A73024">
        <w:rPr>
          <w:rFonts w:eastAsia="Calibri" w:cs="Tahoma"/>
          <w:iCs/>
          <w:lang w:val="es-ES" w:eastAsia="es-ES_tradnl"/>
        </w:rPr>
        <w:t>,</w:t>
      </w:r>
      <w:r w:rsidR="0087558A">
        <w:rPr>
          <w:rFonts w:eastAsia="Calibri" w:cs="Tahoma"/>
          <w:iCs/>
          <w:lang w:val="es-ES" w:eastAsia="es-ES_tradnl"/>
        </w:rPr>
        <w:t xml:space="preserve"> permisos otorgados</w:t>
      </w:r>
      <w:r w:rsidR="00A73024">
        <w:rPr>
          <w:rFonts w:eastAsia="Calibri" w:cs="Tahoma"/>
          <w:iCs/>
          <w:lang w:val="es-ES" w:eastAsia="es-ES_tradnl"/>
        </w:rPr>
        <w:t xml:space="preserve"> y funciones que realizaban dentro de</w:t>
      </w:r>
      <w:r w:rsidR="00A73024" w:rsidRPr="00A73024">
        <w:rPr>
          <w:rFonts w:eastAsia="Calibri" w:cs="Tahoma"/>
          <w:iCs/>
          <w:lang w:val="es-ES" w:eastAsia="es-ES_tradnl"/>
        </w:rPr>
        <w:t xml:space="preserve"> </w:t>
      </w:r>
      <w:r w:rsidR="00A73024">
        <w:rPr>
          <w:rFonts w:eastAsia="Calibri" w:cs="Tahoma"/>
          <w:iCs/>
          <w:lang w:val="es-ES" w:eastAsia="es-ES_tradnl"/>
        </w:rPr>
        <w:t xml:space="preserve">la </w:t>
      </w:r>
      <w:r w:rsidR="00A73024" w:rsidRPr="0087558A">
        <w:rPr>
          <w:rFonts w:eastAsia="Calibri" w:cs="Tahoma"/>
          <w:iCs/>
          <w:lang w:val="es-ES" w:eastAsia="es-ES_tradnl"/>
        </w:rPr>
        <w:t>Coordinación de Estudios Hacendarios</w:t>
      </w:r>
      <w:r w:rsidR="00A73024">
        <w:rPr>
          <w:rFonts w:eastAsia="Calibri" w:cs="Tahoma"/>
          <w:iCs/>
          <w:lang w:val="es-ES" w:eastAsia="es-ES_tradnl"/>
        </w:rPr>
        <w:t xml:space="preserve">, de </w:t>
      </w:r>
      <w:r w:rsidR="0087558A" w:rsidRPr="0087558A">
        <w:rPr>
          <w:rFonts w:eastAsia="Calibri" w:cs="Tahoma"/>
          <w:iCs/>
          <w:lang w:val="es-ES" w:eastAsia="es-ES_tradnl"/>
        </w:rPr>
        <w:t>José Aldo Gutiérrez Sánchez, Ignacio Regueira Rosas, Roberto Gonzalo Saenz Bellanger y Fernando González</w:t>
      </w:r>
      <w:r w:rsidR="00A73024">
        <w:rPr>
          <w:rFonts w:eastAsia="Calibri" w:cs="Tahoma"/>
          <w:iCs/>
          <w:lang w:val="es-ES" w:eastAsia="es-ES_tradnl"/>
        </w:rPr>
        <w:t>.</w:t>
      </w:r>
    </w:p>
    <w:p w14:paraId="15B99472" w14:textId="77777777" w:rsidR="00A73024" w:rsidRDefault="00A73024" w:rsidP="00060676">
      <w:pPr>
        <w:tabs>
          <w:tab w:val="left" w:pos="4962"/>
        </w:tabs>
        <w:spacing w:after="0"/>
        <w:rPr>
          <w:rFonts w:eastAsia="Calibri" w:cs="Tahoma"/>
          <w:iCs/>
          <w:lang w:val="es-ES" w:eastAsia="es-ES_tradnl"/>
        </w:rPr>
      </w:pPr>
    </w:p>
    <w:p w14:paraId="35BB799E" w14:textId="174A94C1" w:rsidR="0087558A" w:rsidRDefault="00A73024" w:rsidP="00060676">
      <w:pPr>
        <w:tabs>
          <w:tab w:val="left" w:pos="4962"/>
        </w:tabs>
        <w:spacing w:after="0"/>
        <w:rPr>
          <w:rFonts w:eastAsia="Calibri" w:cs="Tahoma"/>
          <w:iCs/>
          <w:lang w:val="es-ES" w:eastAsia="es-ES_tradnl"/>
        </w:rPr>
      </w:pPr>
      <w:r>
        <w:rPr>
          <w:rFonts w:eastAsia="Calibri" w:cs="Tahoma"/>
          <w:iCs/>
          <w:lang w:val="es-ES" w:eastAsia="es-ES_tradnl"/>
        </w:rPr>
        <w:t>El</w:t>
      </w:r>
      <w:r w:rsidR="00060676">
        <w:rPr>
          <w:rFonts w:eastAsia="Calibri" w:cs="Tahoma"/>
          <w:iCs/>
          <w:lang w:val="es-ES" w:eastAsia="es-ES_tradnl"/>
        </w:rPr>
        <w:t xml:space="preserve"> Sujeto O</w:t>
      </w:r>
      <w:r w:rsidR="00D56A74">
        <w:rPr>
          <w:rFonts w:eastAsia="Calibri" w:cs="Tahoma"/>
          <w:iCs/>
          <w:lang w:val="es-ES" w:eastAsia="es-ES_tradnl"/>
        </w:rPr>
        <w:t>bligado</w:t>
      </w:r>
      <w:r>
        <w:rPr>
          <w:rFonts w:eastAsia="Calibri" w:cs="Tahoma"/>
          <w:iCs/>
          <w:lang w:val="es-ES" w:eastAsia="es-ES_tradnl"/>
        </w:rPr>
        <w:t>, por una parte,</w:t>
      </w:r>
      <w:r w:rsidR="00D56A74">
        <w:rPr>
          <w:rFonts w:eastAsia="Calibri" w:cs="Tahoma"/>
          <w:iCs/>
          <w:lang w:val="es-ES" w:eastAsia="es-ES_tradnl"/>
        </w:rPr>
        <w:t xml:space="preserve"> proporcionó</w:t>
      </w:r>
      <w:r w:rsidR="00060676">
        <w:rPr>
          <w:rFonts w:eastAsia="Calibri" w:cs="Tahoma"/>
          <w:iCs/>
          <w:lang w:val="es-ES" w:eastAsia="es-ES_tradnl"/>
        </w:rPr>
        <w:t xml:space="preserve"> los documentos requeridos</w:t>
      </w:r>
      <w:r w:rsidR="00623791" w:rsidRPr="00623791">
        <w:t xml:space="preserve"> </w:t>
      </w:r>
      <w:r w:rsidR="00623791">
        <w:t xml:space="preserve">en relación a </w:t>
      </w:r>
      <w:r w:rsidR="00623791" w:rsidRPr="00623791">
        <w:rPr>
          <w:rFonts w:eastAsia="Calibri" w:cs="Tahoma"/>
          <w:iCs/>
          <w:lang w:val="es-ES" w:eastAsia="es-ES_tradnl"/>
        </w:rPr>
        <w:t>Roberto Gonzalo Saenz Bellanger</w:t>
      </w:r>
      <w:r w:rsidR="002D2D85">
        <w:rPr>
          <w:rFonts w:eastAsia="Calibri" w:cs="Tahoma"/>
          <w:iCs/>
          <w:lang w:val="es-ES" w:eastAsia="es-ES_tradnl"/>
        </w:rPr>
        <w:t>, y, por otra parte,</w:t>
      </w:r>
      <w:r w:rsidR="00623791">
        <w:rPr>
          <w:rFonts w:eastAsia="Calibri" w:cs="Tahoma"/>
          <w:iCs/>
          <w:lang w:val="es-ES" w:eastAsia="es-ES_tradnl"/>
        </w:rPr>
        <w:t xml:space="preserve"> </w:t>
      </w:r>
      <w:r w:rsidR="002D2D85">
        <w:rPr>
          <w:rFonts w:eastAsia="Calibri" w:cs="Tahoma"/>
          <w:iCs/>
          <w:lang w:val="es-ES" w:eastAsia="es-ES_tradnl"/>
        </w:rPr>
        <w:t>informó q</w:t>
      </w:r>
      <w:r w:rsidR="00623791">
        <w:rPr>
          <w:rFonts w:eastAsia="Calibri" w:cs="Tahoma"/>
          <w:iCs/>
          <w:lang w:val="es-ES" w:eastAsia="es-ES_tradnl"/>
        </w:rPr>
        <w:t xml:space="preserve">ue el resto de las personas mencionadas </w:t>
      </w:r>
      <w:r w:rsidR="002D2D85">
        <w:rPr>
          <w:rFonts w:eastAsia="Calibri" w:cs="Tahoma"/>
          <w:iCs/>
          <w:lang w:val="es-ES" w:eastAsia="es-ES_tradnl"/>
        </w:rPr>
        <w:t>no eran</w:t>
      </w:r>
      <w:r w:rsidR="00623791">
        <w:rPr>
          <w:rFonts w:eastAsia="Calibri" w:cs="Tahoma"/>
          <w:iCs/>
          <w:lang w:val="es-ES" w:eastAsia="es-ES_tradnl"/>
        </w:rPr>
        <w:t xml:space="preserve"> servidores públicos</w:t>
      </w:r>
      <w:r w:rsidR="002D2D85">
        <w:rPr>
          <w:rFonts w:eastAsia="Calibri" w:cs="Tahoma"/>
          <w:iCs/>
          <w:lang w:val="es-ES" w:eastAsia="es-ES_tradnl"/>
        </w:rPr>
        <w:t xml:space="preserve">, </w:t>
      </w:r>
      <w:r w:rsidR="00623791">
        <w:rPr>
          <w:rFonts w:eastAsia="Calibri" w:cs="Tahoma"/>
          <w:iCs/>
          <w:lang w:val="es-ES" w:eastAsia="es-ES_tradnl"/>
        </w:rPr>
        <w:t xml:space="preserve">por lo que no </w:t>
      </w:r>
      <w:r w:rsidR="002D2D85">
        <w:rPr>
          <w:rFonts w:eastAsia="Calibri" w:cs="Tahoma"/>
          <w:iCs/>
          <w:lang w:val="es-ES" w:eastAsia="es-ES_tradnl"/>
        </w:rPr>
        <w:t>poseía</w:t>
      </w:r>
      <w:r w:rsidR="00623791">
        <w:rPr>
          <w:rFonts w:eastAsia="Calibri" w:cs="Tahoma"/>
          <w:iCs/>
          <w:lang w:val="es-ES" w:eastAsia="es-ES_tradnl"/>
        </w:rPr>
        <w:t xml:space="preserve"> la información en sus archivos; </w:t>
      </w:r>
      <w:r w:rsidR="002D2D85">
        <w:rPr>
          <w:rFonts w:eastAsia="Calibri" w:cs="Tahoma"/>
          <w:iCs/>
          <w:lang w:val="es-ES" w:eastAsia="es-ES_tradnl"/>
        </w:rPr>
        <w:t>ante dicha circunstancia</w:t>
      </w:r>
      <w:r w:rsidR="00060676">
        <w:rPr>
          <w:rFonts w:eastAsia="Calibri" w:cs="Tahoma"/>
          <w:iCs/>
          <w:lang w:val="es-ES" w:eastAsia="es-ES_tradnl"/>
        </w:rPr>
        <w:t xml:space="preserve">, el Particular se inconformó por </w:t>
      </w:r>
      <w:r w:rsidR="002D2D85">
        <w:rPr>
          <w:rFonts w:eastAsia="Calibri" w:cs="Tahoma"/>
          <w:iCs/>
          <w:lang w:val="es-ES" w:eastAsia="es-ES_tradnl"/>
        </w:rPr>
        <w:t>la entrega de información incompleta</w:t>
      </w:r>
      <w:r w:rsidR="00060676">
        <w:rPr>
          <w:rFonts w:eastAsia="Calibri" w:cs="Tahoma"/>
          <w:iCs/>
          <w:lang w:val="es-ES" w:eastAsia="es-ES_tradnl"/>
        </w:rPr>
        <w:t xml:space="preserve">, </w:t>
      </w:r>
      <w:r w:rsidR="002D2D85">
        <w:rPr>
          <w:rFonts w:eastAsia="Calibri" w:cs="Tahoma"/>
          <w:iCs/>
          <w:lang w:val="es-ES" w:eastAsia="es-ES_tradnl"/>
        </w:rPr>
        <w:t xml:space="preserve">pues no se le había entregado </w:t>
      </w:r>
      <w:r w:rsidR="004637D2">
        <w:rPr>
          <w:rFonts w:eastAsia="Calibri" w:cs="Tahoma"/>
          <w:iCs/>
          <w:lang w:val="es-ES" w:eastAsia="es-ES_tradnl"/>
        </w:rPr>
        <w:t>los registros de asistencia y permisos otorgados a</w:t>
      </w:r>
      <w:r w:rsidR="002D2D85">
        <w:rPr>
          <w:rFonts w:eastAsia="Calibri" w:cs="Tahoma"/>
          <w:iCs/>
          <w:lang w:val="es-ES" w:eastAsia="es-ES_tradnl"/>
        </w:rPr>
        <w:t xml:space="preserve"> </w:t>
      </w:r>
      <w:r w:rsidR="002D2D85" w:rsidRPr="0087558A">
        <w:rPr>
          <w:rFonts w:eastAsia="Calibri" w:cs="Tahoma"/>
          <w:iCs/>
          <w:lang w:val="es-ES" w:eastAsia="es-ES_tradnl"/>
        </w:rPr>
        <w:t>José Aldo Gutiérrez Sánchez, Ignacio Regueira Rosas</w:t>
      </w:r>
      <w:r w:rsidR="002D2D85">
        <w:rPr>
          <w:rFonts w:eastAsia="Calibri" w:cs="Tahoma"/>
          <w:iCs/>
          <w:lang w:val="es-ES" w:eastAsia="es-ES_tradnl"/>
        </w:rPr>
        <w:t xml:space="preserve"> </w:t>
      </w:r>
      <w:r w:rsidR="002D2D85" w:rsidRPr="0087558A">
        <w:rPr>
          <w:rFonts w:eastAsia="Calibri" w:cs="Tahoma"/>
          <w:iCs/>
          <w:lang w:val="es-ES" w:eastAsia="es-ES_tradnl"/>
        </w:rPr>
        <w:t>y Fernando González</w:t>
      </w:r>
      <w:r w:rsidR="002D2D85">
        <w:rPr>
          <w:rFonts w:eastAsia="Calibri" w:cs="Tahoma"/>
          <w:iCs/>
          <w:lang w:val="es-ES" w:eastAsia="es-ES_tradnl"/>
        </w:rPr>
        <w:t>, lo cual actualiza la causal de procedencia establecida en el artículo 179, fracción V, de la Ley de la materia.</w:t>
      </w:r>
    </w:p>
    <w:p w14:paraId="7D208264" w14:textId="1F8576DC" w:rsidR="006A4ACF" w:rsidRDefault="006A4ACF" w:rsidP="00A2355B">
      <w:pPr>
        <w:spacing w:after="0"/>
        <w:rPr>
          <w:rFonts w:eastAsia="Times New Roman" w:cs="Tahoma"/>
          <w:bCs/>
          <w:color w:val="auto"/>
          <w:lang w:eastAsia="es-ES"/>
        </w:rPr>
      </w:pPr>
    </w:p>
    <w:p w14:paraId="2354FCE6" w14:textId="301E9973" w:rsidR="002D2D85" w:rsidRPr="002D2D85" w:rsidRDefault="002D2D85" w:rsidP="002D2D85">
      <w:pPr>
        <w:tabs>
          <w:tab w:val="left" w:pos="4962"/>
        </w:tabs>
        <w:spacing w:after="0"/>
        <w:rPr>
          <w:rFonts w:eastAsia="Calibri" w:cs="Tahoma"/>
          <w:iCs/>
          <w:lang w:eastAsia="es-ES_tradnl"/>
        </w:rPr>
      </w:pPr>
      <w:r w:rsidRPr="002D2D85">
        <w:rPr>
          <w:rFonts w:eastAsia="Calibri" w:cs="Tahoma"/>
          <w:iCs/>
          <w:lang w:val="es-ES" w:eastAsia="es-ES_tradnl"/>
        </w:rPr>
        <w:t xml:space="preserve">Conforme a lo anterior, se logra vislumbrar que el ahora Recurrente no se agravió con la </w:t>
      </w:r>
      <w:r w:rsidR="00FE33E9">
        <w:rPr>
          <w:rFonts w:eastAsia="Calibri" w:cs="Tahoma"/>
          <w:iCs/>
          <w:lang w:val="es-ES" w:eastAsia="es-ES_tradnl"/>
        </w:rPr>
        <w:t xml:space="preserve">información entregada respecto a </w:t>
      </w:r>
      <w:r w:rsidR="00FE33E9" w:rsidRPr="00623791">
        <w:rPr>
          <w:rFonts w:eastAsia="Calibri" w:cs="Tahoma"/>
          <w:iCs/>
          <w:lang w:val="es-ES" w:eastAsia="es-ES_tradnl"/>
        </w:rPr>
        <w:t>Roberto Gonzalo Saenz Bellanger</w:t>
      </w:r>
      <w:r w:rsidR="004637D2">
        <w:rPr>
          <w:rFonts w:eastAsia="Calibri" w:cs="Tahoma"/>
          <w:iCs/>
          <w:lang w:val="es-ES" w:eastAsia="es-ES_tradnl"/>
        </w:rPr>
        <w:t>, ni por la inexistencia de las funciones y recibos de pago, de los tres servidores públicos señalados en el párrafo anterior</w:t>
      </w:r>
      <w:r w:rsidRPr="002D2D85">
        <w:rPr>
          <w:rFonts w:eastAsia="Calibri" w:cs="Tahoma"/>
          <w:iCs/>
          <w:lang w:val="es-ES" w:eastAsia="es-ES_tradnl"/>
        </w:rPr>
        <w:t>; p</w:t>
      </w:r>
      <w:r w:rsidRPr="002D2D85">
        <w:rPr>
          <w:rFonts w:cs="Tahoma"/>
          <w:bCs/>
          <w:iCs/>
        </w:rPr>
        <w:t xml:space="preserve">or lo que, </w:t>
      </w:r>
      <w:r w:rsidRPr="002D2D85">
        <w:rPr>
          <w:rFonts w:cs="Tahoma"/>
          <w:bCs/>
          <w:iCs/>
          <w:lang w:val="es-ES"/>
        </w:rPr>
        <w:t xml:space="preserve">no se hará pronunciamiento alguno de conformidad con el artículo 195 </w:t>
      </w:r>
      <w:r w:rsidRPr="002D2D85">
        <w:rPr>
          <w:rFonts w:cs="Tahoma"/>
          <w:bCs/>
          <w:iC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2D2D85">
        <w:rPr>
          <w:rFonts w:cs="Tahoma"/>
          <w:b/>
          <w:bCs/>
          <w:iCs/>
        </w:rPr>
        <w:t>los actos que se hayan consentido tácitamente,</w:t>
      </w:r>
      <w:r w:rsidRPr="002D2D85">
        <w:rPr>
          <w:rFonts w:cs="Tahoma"/>
          <w:bCs/>
          <w:iCs/>
        </w:rPr>
        <w:t xml:space="preserve"> entendiéndose por estos cuando el agravio no se haya promovido en el plazo señalado para el efecto.</w:t>
      </w:r>
    </w:p>
    <w:p w14:paraId="0E76CEA3" w14:textId="77777777" w:rsidR="002D2D85" w:rsidRPr="002D2D85" w:rsidRDefault="002D2D85" w:rsidP="002D2D85">
      <w:pPr>
        <w:spacing w:after="0"/>
        <w:rPr>
          <w:rFonts w:eastAsia="Times New Roman" w:cs="Tahoma"/>
          <w:bCs/>
          <w:lang w:eastAsia="es-ES"/>
        </w:rPr>
      </w:pPr>
    </w:p>
    <w:p w14:paraId="7EE1F6D6" w14:textId="77777777" w:rsidR="002D2D85" w:rsidRPr="002D2D85" w:rsidRDefault="002D2D85" w:rsidP="002D2D85">
      <w:pPr>
        <w:spacing w:after="0"/>
        <w:rPr>
          <w:rFonts w:eastAsia="Times New Roman" w:cs="Tahoma"/>
          <w:bCs/>
          <w:lang w:eastAsia="es-ES"/>
        </w:rPr>
      </w:pPr>
      <w:r w:rsidRPr="002D2D85">
        <w:rPr>
          <w:rFonts w:eastAsia="Times New Roman" w:cs="Tahoma"/>
          <w:bCs/>
          <w:lang w:eastAsia="es-ES"/>
        </w:rPr>
        <w:t xml:space="preserve">De la misma manera resulta aplicable el criterio sostenido por el Poder Judicial de la Federación de rubro </w:t>
      </w:r>
      <w:r w:rsidRPr="002D2D85">
        <w:rPr>
          <w:rFonts w:eastAsia="Times New Roman" w:cs="Tahoma"/>
          <w:b/>
          <w:lang w:eastAsia="es-ES"/>
        </w:rPr>
        <w:t>ACTOS CONSENTIDOS TÁCITAMENTE</w:t>
      </w:r>
      <w:r w:rsidRPr="002D2D85">
        <w:rPr>
          <w:rFonts w:eastAsia="Times New Roman" w:cs="Tahoma"/>
          <w:bCs/>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DC775B7" w14:textId="77777777" w:rsidR="002D2D85" w:rsidRPr="002D2D85" w:rsidRDefault="002D2D85" w:rsidP="002D2D85">
      <w:pPr>
        <w:spacing w:after="0"/>
        <w:rPr>
          <w:rFonts w:eastAsia="Times New Roman" w:cs="Tahoma"/>
          <w:bCs/>
          <w:lang w:eastAsia="es-ES"/>
        </w:rPr>
      </w:pPr>
    </w:p>
    <w:p w14:paraId="27FBBEA1" w14:textId="77777777" w:rsidR="002D2D85" w:rsidRPr="002D2D85" w:rsidRDefault="002D2D85" w:rsidP="002D2D85">
      <w:pPr>
        <w:spacing w:after="0"/>
        <w:rPr>
          <w:rFonts w:eastAsia="Times New Roman" w:cs="Tahoma"/>
          <w:bCs/>
          <w:lang w:eastAsia="es-ES"/>
        </w:rPr>
      </w:pPr>
      <w:r w:rsidRPr="002D2D85">
        <w:rPr>
          <w:rFonts w:eastAsia="Times New Roman" w:cs="Tahoma"/>
          <w:bCs/>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7FCCF576" w14:textId="77777777" w:rsidR="002D2D85" w:rsidRPr="002D2D85" w:rsidRDefault="002D2D85" w:rsidP="002D2D85">
      <w:pPr>
        <w:spacing w:after="0"/>
        <w:rPr>
          <w:rFonts w:eastAsia="Times New Roman" w:cs="Tahoma"/>
          <w:bCs/>
          <w:lang w:eastAsia="es-ES"/>
        </w:rPr>
      </w:pPr>
    </w:p>
    <w:p w14:paraId="74F19AF0" w14:textId="77777777" w:rsidR="002D2D85" w:rsidRPr="002D2D85" w:rsidRDefault="002D2D85" w:rsidP="002D2D85">
      <w:pPr>
        <w:spacing w:after="0"/>
        <w:rPr>
          <w:rFonts w:eastAsia="Times New Roman" w:cs="Tahoma"/>
          <w:bCs/>
          <w:lang w:eastAsia="es-ES"/>
        </w:rPr>
      </w:pPr>
      <w:r w:rsidRPr="002D2D85">
        <w:rPr>
          <w:rFonts w:eastAsia="Times New Roman" w:cs="Tahoma"/>
          <w:bCs/>
          <w:lang w:eastAsia="es-ES"/>
        </w:rPr>
        <w:t>Asimismo, resulta relevante traer a colación el Criterio 01/20, emitido por el Instituto Nacional de Transparencia, Acceso a la Información y Protección de Datos Personales, que establece lo siguiente:</w:t>
      </w:r>
    </w:p>
    <w:p w14:paraId="73D1D8C1" w14:textId="77777777" w:rsidR="002D2D85" w:rsidRPr="002D2D85" w:rsidRDefault="002D2D85" w:rsidP="002D2D85">
      <w:pPr>
        <w:spacing w:after="0"/>
        <w:rPr>
          <w:rFonts w:eastAsia="Times New Roman" w:cs="Tahoma"/>
          <w:bCs/>
          <w:lang w:eastAsia="es-ES"/>
        </w:rPr>
      </w:pPr>
    </w:p>
    <w:p w14:paraId="54754FC9" w14:textId="77777777" w:rsidR="002D2D85" w:rsidRPr="002D2D85" w:rsidRDefault="002D2D85" w:rsidP="002D2D85">
      <w:pPr>
        <w:spacing w:after="0"/>
        <w:ind w:left="567" w:right="567"/>
        <w:rPr>
          <w:rFonts w:cs="Tahoma"/>
          <w:bCs/>
          <w:i/>
          <w:sz w:val="20"/>
          <w:szCs w:val="20"/>
        </w:rPr>
      </w:pPr>
      <w:r w:rsidRPr="002D2D85">
        <w:rPr>
          <w:rFonts w:cs="Tahoma"/>
          <w:b/>
          <w:bCs/>
          <w:i/>
          <w:sz w:val="20"/>
          <w:szCs w:val="20"/>
        </w:rPr>
        <w:t xml:space="preserve">“Actos consentidos tácitamente. Improcedencia de su análisis. </w:t>
      </w:r>
      <w:r w:rsidRPr="002D2D85">
        <w:rPr>
          <w:rFonts w:cs="Tahoma"/>
          <w:bCs/>
          <w:i/>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382AC9C" w14:textId="77777777" w:rsidR="002D2D85" w:rsidRPr="002D2D85" w:rsidRDefault="002D2D85" w:rsidP="002D2D85">
      <w:pPr>
        <w:spacing w:after="0"/>
        <w:ind w:left="567" w:right="567"/>
        <w:rPr>
          <w:rFonts w:cs="Tahoma"/>
          <w:bCs/>
          <w:iCs/>
        </w:rPr>
      </w:pPr>
    </w:p>
    <w:p w14:paraId="1F156B86" w14:textId="1A1A98B4" w:rsidR="004637D2" w:rsidRDefault="002D2D85" w:rsidP="00A2355B">
      <w:pPr>
        <w:spacing w:after="0"/>
        <w:rPr>
          <w:rFonts w:eastAsia="Calibri" w:cs="Tahoma"/>
          <w:iCs/>
          <w:lang w:val="es-ES" w:eastAsia="es-ES_tradnl"/>
        </w:rPr>
      </w:pPr>
      <w:r w:rsidRPr="002D2D85">
        <w:rPr>
          <w:rFonts w:eastAsia="Times New Roman" w:cs="Tahoma"/>
          <w:bCs/>
          <w:lang w:eastAsia="es-ES"/>
        </w:rPr>
        <w:t xml:space="preserve">Conforme al Criterio establecido, es improcedente entrar al análisis de las partes de la respuesta del Sujeto Obligado que no fueron impugnadas por el Recurrente; por lo que, en el presente caso, se tiene por consentida </w:t>
      </w:r>
      <w:r w:rsidR="00FE33E9">
        <w:rPr>
          <w:rFonts w:eastAsia="Times New Roman" w:cs="Tahoma"/>
          <w:bCs/>
          <w:lang w:eastAsia="es-ES"/>
        </w:rPr>
        <w:t xml:space="preserve">la información entregada respecto a </w:t>
      </w:r>
      <w:r w:rsidR="004637D2" w:rsidRPr="00623791">
        <w:rPr>
          <w:rFonts w:eastAsia="Calibri" w:cs="Tahoma"/>
          <w:iCs/>
          <w:lang w:val="es-ES" w:eastAsia="es-ES_tradnl"/>
        </w:rPr>
        <w:t>Roberto Gonzalo Saenz Bellanger</w:t>
      </w:r>
      <w:r w:rsidR="004637D2">
        <w:rPr>
          <w:rFonts w:eastAsia="Calibri" w:cs="Tahoma"/>
          <w:iCs/>
          <w:lang w:val="es-ES" w:eastAsia="es-ES_tradnl"/>
        </w:rPr>
        <w:t xml:space="preserve">, ni por la inexistencia de las funciones y recibos de pago, de </w:t>
      </w:r>
      <w:r w:rsidR="004637D2" w:rsidRPr="0087558A">
        <w:rPr>
          <w:rFonts w:eastAsia="Calibri" w:cs="Tahoma"/>
          <w:iCs/>
          <w:lang w:val="es-ES" w:eastAsia="es-ES_tradnl"/>
        </w:rPr>
        <w:t>José Aldo Gutiérrez Sánchez, Ignacio Regueira Rosas</w:t>
      </w:r>
      <w:r w:rsidR="004637D2">
        <w:rPr>
          <w:rFonts w:eastAsia="Calibri" w:cs="Tahoma"/>
          <w:iCs/>
          <w:lang w:val="es-ES" w:eastAsia="es-ES_tradnl"/>
        </w:rPr>
        <w:t xml:space="preserve"> </w:t>
      </w:r>
      <w:r w:rsidR="004637D2" w:rsidRPr="0087558A">
        <w:rPr>
          <w:rFonts w:eastAsia="Calibri" w:cs="Tahoma"/>
          <w:iCs/>
          <w:lang w:val="es-ES" w:eastAsia="es-ES_tradnl"/>
        </w:rPr>
        <w:t>y Fernando González</w:t>
      </w:r>
      <w:r w:rsidR="004637D2">
        <w:rPr>
          <w:rFonts w:eastAsia="Calibri" w:cs="Tahoma"/>
          <w:iCs/>
          <w:lang w:val="es-ES" w:eastAsia="es-ES_tradnl"/>
        </w:rPr>
        <w:t>.</w:t>
      </w:r>
    </w:p>
    <w:p w14:paraId="0960EA57" w14:textId="77777777" w:rsidR="004637D2" w:rsidRDefault="004637D2" w:rsidP="00A2355B">
      <w:pPr>
        <w:spacing w:after="0"/>
        <w:rPr>
          <w:rFonts w:eastAsia="Times New Roman" w:cs="Tahoma"/>
          <w:bCs/>
          <w:color w:val="auto"/>
          <w:lang w:eastAsia="es-ES"/>
        </w:rPr>
      </w:pPr>
    </w:p>
    <w:p w14:paraId="6CE53822" w14:textId="27509336" w:rsidR="00376DE8" w:rsidRPr="00A2355B" w:rsidRDefault="0086681E" w:rsidP="00A2355B">
      <w:pPr>
        <w:spacing w:after="0"/>
        <w:rPr>
          <w:rFonts w:eastAsia="Times New Roman" w:cs="Tahoma"/>
          <w:bCs/>
          <w:iCs/>
          <w:lang w:eastAsia="es-ES"/>
        </w:rPr>
      </w:pPr>
      <w:r w:rsidRPr="00A2355B">
        <w:rPr>
          <w:rFonts w:eastAsia="Times New Roman" w:cs="Tahoma"/>
          <w:bCs/>
          <w:color w:val="auto"/>
          <w:lang w:val="es-ES" w:eastAsia="es-ES"/>
        </w:rPr>
        <w:t>Así las cosas, una vez admitido y notificado el Recurso de Revisión</w:t>
      </w:r>
      <w:r w:rsidR="00376DE8" w:rsidRPr="00A2355B">
        <w:rPr>
          <w:rFonts w:eastAsia="Times New Roman" w:cs="Tahoma"/>
          <w:bCs/>
          <w:color w:val="auto"/>
          <w:lang w:val="es-ES" w:eastAsia="es-ES"/>
        </w:rPr>
        <w:t xml:space="preserve"> a las partes, el</w:t>
      </w:r>
      <w:r w:rsidR="00C25690" w:rsidRPr="00A2355B">
        <w:rPr>
          <w:rFonts w:eastAsia="Times New Roman" w:cs="Tahoma"/>
          <w:bCs/>
          <w:color w:val="auto"/>
          <w:lang w:val="es-ES" w:eastAsia="es-ES"/>
        </w:rPr>
        <w:t xml:space="preserve"> Sujeto Obligado </w:t>
      </w:r>
      <w:r w:rsidR="00FE33E9">
        <w:rPr>
          <w:rFonts w:eastAsia="Times New Roman" w:cs="Tahoma"/>
          <w:bCs/>
          <w:color w:val="auto"/>
          <w:lang w:val="es-ES" w:eastAsia="es-ES"/>
        </w:rPr>
        <w:t>ratificó</w:t>
      </w:r>
      <w:r w:rsidR="00296195" w:rsidRPr="00A2355B">
        <w:rPr>
          <w:rFonts w:eastAsia="Times New Roman" w:cs="Tahoma"/>
          <w:bCs/>
          <w:iCs/>
          <w:lang w:eastAsia="es-ES"/>
        </w:rPr>
        <w:t xml:space="preserve"> su respuesta inicial</w:t>
      </w:r>
      <w:r w:rsidR="00376DE8" w:rsidRPr="00A2355B">
        <w:rPr>
          <w:rFonts w:eastAsia="Times New Roman" w:cs="Tahoma"/>
          <w:bCs/>
          <w:iCs/>
          <w:lang w:eastAsia="es-ES"/>
        </w:rPr>
        <w:t xml:space="preserve"> y aclaró</w:t>
      </w:r>
      <w:r w:rsidR="00296195" w:rsidRPr="00A2355B">
        <w:rPr>
          <w:rFonts w:eastAsia="Times New Roman" w:cs="Tahoma"/>
          <w:bCs/>
          <w:iCs/>
          <w:lang w:eastAsia="es-ES"/>
        </w:rPr>
        <w:t xml:space="preserve"> que</w:t>
      </w:r>
      <w:r w:rsidR="00806798" w:rsidRPr="00806798">
        <w:t xml:space="preserve"> </w:t>
      </w:r>
      <w:r w:rsidR="00A65096">
        <w:rPr>
          <w:rFonts w:eastAsia="Times New Roman" w:cs="Tahoma"/>
          <w:bCs/>
          <w:iCs/>
          <w:lang w:eastAsia="es-ES"/>
        </w:rPr>
        <w:t>el</w:t>
      </w:r>
      <w:r w:rsidR="00806798" w:rsidRPr="00806798">
        <w:rPr>
          <w:rFonts w:eastAsia="Times New Roman" w:cs="Tahoma"/>
          <w:bCs/>
          <w:iCs/>
          <w:lang w:eastAsia="es-ES"/>
        </w:rPr>
        <w:t xml:space="preserve"> </w:t>
      </w:r>
      <w:r w:rsidR="00A65096">
        <w:rPr>
          <w:rFonts w:eastAsia="Times New Roman" w:cs="Tahoma"/>
          <w:bCs/>
          <w:iCs/>
          <w:lang w:eastAsia="es-ES"/>
        </w:rPr>
        <w:t xml:space="preserve">Instituto Hacendario del Estado </w:t>
      </w:r>
      <w:r w:rsidR="00FE33E9">
        <w:rPr>
          <w:rFonts w:eastAsia="Times New Roman" w:cs="Tahoma"/>
          <w:bCs/>
          <w:iCs/>
          <w:lang w:eastAsia="es-ES"/>
        </w:rPr>
        <w:t>de México</w:t>
      </w:r>
      <w:r w:rsidR="00A65096">
        <w:rPr>
          <w:rFonts w:eastAsia="Times New Roman" w:cs="Tahoma"/>
          <w:bCs/>
          <w:iCs/>
          <w:lang w:eastAsia="es-ES"/>
        </w:rPr>
        <w:t>,</w:t>
      </w:r>
      <w:r w:rsidR="00806798" w:rsidRPr="00806798">
        <w:rPr>
          <w:rFonts w:eastAsia="Times New Roman" w:cs="Tahoma"/>
          <w:bCs/>
          <w:iCs/>
          <w:lang w:eastAsia="es-ES"/>
        </w:rPr>
        <w:t xml:space="preserve"> dio respuesta a cada uno de los puntos </w:t>
      </w:r>
      <w:r w:rsidR="00806798">
        <w:rPr>
          <w:rFonts w:eastAsia="Times New Roman" w:cs="Tahoma"/>
          <w:bCs/>
          <w:iCs/>
          <w:lang w:eastAsia="es-ES"/>
        </w:rPr>
        <w:t>solicitados por la peticionaria y que</w:t>
      </w:r>
      <w:r w:rsidR="00806798" w:rsidRPr="00806798">
        <w:rPr>
          <w:rFonts w:eastAsia="Times New Roman" w:cs="Tahoma"/>
          <w:bCs/>
          <w:iCs/>
          <w:lang w:eastAsia="es-ES"/>
        </w:rPr>
        <w:t xml:space="preserve"> fue debidamente entregada en tiempo y forma</w:t>
      </w:r>
      <w:r w:rsidR="00806798">
        <w:rPr>
          <w:rFonts w:eastAsia="Times New Roman" w:cs="Tahoma"/>
          <w:bCs/>
          <w:iCs/>
          <w:lang w:eastAsia="es-ES"/>
        </w:rPr>
        <w:t>.</w:t>
      </w:r>
    </w:p>
    <w:p w14:paraId="21007BA5" w14:textId="77777777" w:rsidR="00376DE8" w:rsidRPr="00A2355B" w:rsidRDefault="00376DE8" w:rsidP="00A2355B">
      <w:pPr>
        <w:spacing w:after="0"/>
        <w:rPr>
          <w:rFonts w:eastAsia="Times New Roman" w:cs="Tahoma"/>
          <w:bCs/>
          <w:iCs/>
          <w:lang w:eastAsia="es-ES"/>
        </w:rPr>
      </w:pPr>
    </w:p>
    <w:p w14:paraId="633D5E44" w14:textId="2A18EF4F" w:rsidR="002B7026" w:rsidRPr="00A2355B" w:rsidRDefault="002B7026" w:rsidP="00A2355B">
      <w:pPr>
        <w:spacing w:after="0"/>
        <w:rPr>
          <w:rFonts w:eastAsia="Times New Roman" w:cs="Tahoma"/>
          <w:bCs/>
          <w:iCs/>
          <w:color w:val="auto"/>
          <w:lang w:eastAsia="es-ES"/>
        </w:rPr>
      </w:pPr>
      <w:r w:rsidRPr="00A2355B">
        <w:rPr>
          <w:rFonts w:eastAsia="Times New Roman" w:cs="Tahoma"/>
          <w:bCs/>
          <w:iCs/>
          <w:color w:val="auto"/>
          <w:lang w:eastAsia="es-ES"/>
        </w:rPr>
        <w:t>Lo anterior, se desprende de las documentales que obran en los expedientes de referencia, materia de la presente resolución, consistente en: la solicitud de acceso a la información</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la respuesta del Ente Recurrido</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el escrito recursal</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y el Informe Justificado del Sujeto Obligado </w:t>
      </w:r>
      <w:r w:rsidRPr="00A2355B">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38FB9C26" w14:textId="77777777" w:rsidR="00D8203F" w:rsidRPr="00A2355B" w:rsidRDefault="00D8203F" w:rsidP="00A2355B">
      <w:pPr>
        <w:spacing w:after="0"/>
        <w:rPr>
          <w:rFonts w:eastAsia="Times New Roman" w:cs="Tahoma"/>
          <w:bCs/>
          <w:color w:val="auto"/>
          <w:lang w:eastAsia="es-ES"/>
        </w:rPr>
      </w:pPr>
    </w:p>
    <w:p w14:paraId="27A23459" w14:textId="77777777" w:rsidR="00D8203F" w:rsidRDefault="00D8203F" w:rsidP="00A2355B">
      <w:pPr>
        <w:spacing w:after="0"/>
        <w:rPr>
          <w:rFonts w:eastAsia="Times New Roman" w:cs="Tahoma"/>
          <w:b/>
          <w:bCs/>
          <w:color w:val="auto"/>
          <w:lang w:eastAsia="es-ES"/>
        </w:rPr>
      </w:pPr>
      <w:r w:rsidRPr="00A2355B">
        <w:rPr>
          <w:rFonts w:eastAsia="Times New Roman" w:cs="Tahoma"/>
          <w:b/>
          <w:bCs/>
          <w:color w:val="auto"/>
          <w:lang w:val="es-ES" w:eastAsia="es-ES"/>
        </w:rPr>
        <w:t xml:space="preserve">CUARTO. </w:t>
      </w:r>
      <w:r w:rsidRPr="00A2355B">
        <w:rPr>
          <w:rFonts w:eastAsia="Times New Roman" w:cs="Tahoma"/>
          <w:b/>
          <w:bCs/>
          <w:color w:val="auto"/>
          <w:lang w:eastAsia="es-ES"/>
        </w:rPr>
        <w:t>Marco normativo aplicable en materia de transparencia y acceso a la información pública.</w:t>
      </w:r>
    </w:p>
    <w:p w14:paraId="6C6CCA28" w14:textId="77777777" w:rsidR="00091A03" w:rsidRPr="00A2355B" w:rsidRDefault="00091A03" w:rsidP="00A2355B">
      <w:pPr>
        <w:spacing w:after="0"/>
        <w:rPr>
          <w:rFonts w:eastAsia="Times New Roman" w:cs="Tahoma"/>
          <w:b/>
          <w:bCs/>
          <w:color w:val="auto"/>
          <w:lang w:eastAsia="es-ES"/>
        </w:rPr>
      </w:pPr>
    </w:p>
    <w:p w14:paraId="0047DB3D"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FB270E6" w14:textId="77777777" w:rsidR="00D8203F" w:rsidRPr="00A2355B" w:rsidRDefault="00D8203F" w:rsidP="00A2355B">
      <w:pPr>
        <w:spacing w:after="0"/>
        <w:rPr>
          <w:rFonts w:eastAsia="Times New Roman" w:cs="Tahoma"/>
          <w:bCs/>
          <w:color w:val="auto"/>
          <w:lang w:eastAsia="es-ES"/>
        </w:rPr>
      </w:pPr>
    </w:p>
    <w:p w14:paraId="5BA21B2B" w14:textId="7CD74CCC"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4F93342" w14:textId="77777777" w:rsidR="00D8203F" w:rsidRPr="00A2355B" w:rsidRDefault="00D8203F" w:rsidP="00A2355B">
      <w:pPr>
        <w:spacing w:after="0"/>
        <w:rPr>
          <w:rFonts w:eastAsia="Times New Roman" w:cs="Tahoma"/>
          <w:bCs/>
          <w:color w:val="auto"/>
          <w:lang w:eastAsia="es-ES"/>
        </w:rPr>
      </w:pPr>
    </w:p>
    <w:p w14:paraId="173067BC"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085B68" w14:textId="77777777" w:rsidR="00D8203F" w:rsidRPr="00A2355B" w:rsidRDefault="00D8203F" w:rsidP="00A2355B">
      <w:pPr>
        <w:spacing w:after="0"/>
        <w:rPr>
          <w:rFonts w:eastAsia="Times New Roman" w:cs="Tahoma"/>
          <w:bCs/>
          <w:color w:val="auto"/>
          <w:lang w:eastAsia="es-ES"/>
        </w:rPr>
      </w:pPr>
    </w:p>
    <w:p w14:paraId="56A782E4"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Por su parte, la Ley de Transparencia y Acceso a la Información Pública del Estado de México y Municipios (Reglamentaria del artículo 5° de la Constitución Local), establece lo siguiente:</w:t>
      </w:r>
    </w:p>
    <w:p w14:paraId="7355440F" w14:textId="77777777" w:rsidR="00D8203F" w:rsidRPr="00A2355B" w:rsidRDefault="00D8203F" w:rsidP="00A2355B">
      <w:pPr>
        <w:spacing w:after="0"/>
        <w:rPr>
          <w:rFonts w:eastAsia="Times New Roman" w:cs="Tahoma"/>
          <w:bCs/>
          <w:color w:val="auto"/>
          <w:lang w:eastAsia="es-ES"/>
        </w:rPr>
      </w:pPr>
    </w:p>
    <w:p w14:paraId="2920EE7C"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El artículo 12, que, quienes generen, recopilen, administren, manejen, procesen, archiven o conserven información pública serán responsables de la misma.</w:t>
      </w:r>
    </w:p>
    <w:p w14:paraId="6F69C869" w14:textId="77777777" w:rsidR="00D8203F" w:rsidRPr="00A2355B" w:rsidRDefault="00D8203F" w:rsidP="00A2355B">
      <w:pPr>
        <w:spacing w:after="0"/>
        <w:rPr>
          <w:rFonts w:eastAsia="Times New Roman" w:cs="Tahoma"/>
          <w:bCs/>
          <w:color w:val="auto"/>
          <w:lang w:eastAsia="es-ES"/>
        </w:rPr>
      </w:pPr>
    </w:p>
    <w:p w14:paraId="483A5B48" w14:textId="77777777"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1CCABCE" w14:textId="77777777" w:rsidR="00D8203F" w:rsidRPr="00A2355B" w:rsidRDefault="00D8203F" w:rsidP="00A2355B">
      <w:pPr>
        <w:spacing w:after="0"/>
        <w:rPr>
          <w:rFonts w:eastAsia="Times New Roman" w:cs="Tahoma"/>
          <w:bCs/>
          <w:color w:val="auto"/>
          <w:lang w:eastAsia="es-ES"/>
        </w:rPr>
      </w:pPr>
    </w:p>
    <w:p w14:paraId="23E7BEBA" w14:textId="1B6B124F" w:rsidR="00D8203F" w:rsidRPr="00A2355B" w:rsidRDefault="00D8203F" w:rsidP="00A2355B">
      <w:pPr>
        <w:spacing w:after="0"/>
        <w:rPr>
          <w:rFonts w:eastAsia="Times New Roman" w:cs="Tahoma"/>
          <w:bCs/>
          <w:color w:val="auto"/>
          <w:lang w:eastAsia="es-ES"/>
        </w:rPr>
      </w:pPr>
      <w:r w:rsidRPr="00A2355B">
        <w:rPr>
          <w:rFonts w:eastAsia="Times New Roman" w:cs="Tahoma"/>
          <w:b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1B2BD7" w14:textId="77777777" w:rsidR="00376DE8" w:rsidRPr="00A2355B" w:rsidRDefault="00376DE8" w:rsidP="00A2355B">
      <w:pPr>
        <w:spacing w:after="0"/>
        <w:rPr>
          <w:rFonts w:eastAsia="Times New Roman" w:cs="Tahoma"/>
          <w:bCs/>
          <w:color w:val="auto"/>
          <w:lang w:eastAsia="es-ES"/>
        </w:rPr>
      </w:pPr>
    </w:p>
    <w:p w14:paraId="42F8BEC1" w14:textId="77777777" w:rsidR="00D8203F" w:rsidRPr="00A2355B" w:rsidRDefault="00D8203F" w:rsidP="00A2355B">
      <w:pPr>
        <w:spacing w:after="0"/>
        <w:rPr>
          <w:rFonts w:eastAsia="Times New Roman" w:cs="Tahoma"/>
          <w:b/>
          <w:bCs/>
          <w:color w:val="auto"/>
          <w:lang w:val="es-ES" w:eastAsia="es-ES"/>
        </w:rPr>
      </w:pPr>
      <w:r w:rsidRPr="00A2355B">
        <w:rPr>
          <w:rFonts w:eastAsia="Times New Roman" w:cs="Tahoma"/>
          <w:b/>
          <w:bCs/>
          <w:color w:val="auto"/>
          <w:lang w:val="es-ES" w:eastAsia="es-ES"/>
        </w:rPr>
        <w:t>Quinto. Estudio de Fondo.</w:t>
      </w:r>
    </w:p>
    <w:p w14:paraId="5BBAD47E" w14:textId="143C6123" w:rsidR="00D8203F" w:rsidRPr="00A2355B" w:rsidRDefault="00D8203F" w:rsidP="00A2355B">
      <w:pPr>
        <w:spacing w:after="0"/>
        <w:rPr>
          <w:rFonts w:eastAsia="Times New Roman" w:cs="Tahoma"/>
          <w:bCs/>
          <w:color w:val="auto"/>
          <w:lang w:eastAsia="es-ES"/>
        </w:rPr>
      </w:pPr>
    </w:p>
    <w:p w14:paraId="4EDCD9FE" w14:textId="5A6A6824" w:rsidR="005E35B8" w:rsidRDefault="00395577" w:rsidP="005E35B8">
      <w:pPr>
        <w:spacing w:after="0"/>
        <w:rPr>
          <w:rFonts w:eastAsia="Calibri" w:cs="Tahoma"/>
          <w:iCs/>
          <w:lang w:val="es-ES" w:eastAsia="es-ES_tradnl"/>
        </w:rPr>
      </w:pPr>
      <w:r w:rsidRPr="00A2355B">
        <w:rPr>
          <w:rFonts w:eastAsia="Times New Roman" w:cs="Tahoma"/>
          <w:bCs/>
          <w:iCs/>
          <w:color w:val="auto"/>
          <w:lang w:eastAsia="es-ES"/>
        </w:rPr>
        <w:t xml:space="preserve">Expuestas las posturas de las partes, se procede al análisis del agravio hecho valer por la ahora Recurrente, concerniente a </w:t>
      </w:r>
      <w:r w:rsidR="00376DE8" w:rsidRPr="00A2355B">
        <w:rPr>
          <w:rFonts w:eastAsia="Times New Roman" w:cs="Tahoma"/>
          <w:bCs/>
          <w:iCs/>
          <w:color w:val="auto"/>
          <w:lang w:eastAsia="es-ES"/>
        </w:rPr>
        <w:t xml:space="preserve">la entrega </w:t>
      </w:r>
      <w:r w:rsidR="00806798">
        <w:rPr>
          <w:rFonts w:eastAsia="Times New Roman" w:cs="Tahoma"/>
          <w:bCs/>
          <w:iCs/>
          <w:color w:val="auto"/>
          <w:lang w:eastAsia="es-ES"/>
        </w:rPr>
        <w:t>incompleta de la información</w:t>
      </w:r>
      <w:r w:rsidR="00806798" w:rsidRPr="005A0835">
        <w:rPr>
          <w:rFonts w:eastAsia="Times New Roman" w:cs="Tahoma"/>
          <w:bCs/>
          <w:iCs/>
          <w:color w:val="auto"/>
          <w:lang w:eastAsia="es-ES"/>
        </w:rPr>
        <w:t xml:space="preserve">, respecto </w:t>
      </w:r>
      <w:r w:rsidR="00A65096" w:rsidRPr="005A0835">
        <w:rPr>
          <w:rFonts w:eastAsia="Times New Roman" w:cs="Tahoma"/>
          <w:bCs/>
          <w:iCs/>
          <w:color w:val="auto"/>
          <w:lang w:eastAsia="es-ES"/>
        </w:rPr>
        <w:t xml:space="preserve">a </w:t>
      </w:r>
      <w:r w:rsidR="005E35B8" w:rsidRPr="005A0835">
        <w:rPr>
          <w:rFonts w:eastAsia="Times New Roman" w:cs="Tahoma"/>
          <w:bCs/>
          <w:iCs/>
          <w:color w:val="auto"/>
          <w:lang w:eastAsia="es-ES"/>
        </w:rPr>
        <w:t>los documentos</w:t>
      </w:r>
      <w:r w:rsidR="00A65096" w:rsidRPr="005A0835">
        <w:rPr>
          <w:rFonts w:eastAsia="Times New Roman" w:cs="Tahoma"/>
          <w:bCs/>
          <w:iCs/>
          <w:color w:val="auto"/>
          <w:lang w:eastAsia="es-ES"/>
        </w:rPr>
        <w:t xml:space="preserve"> </w:t>
      </w:r>
      <w:r w:rsidR="005E35B8">
        <w:rPr>
          <w:rFonts w:eastAsia="Times New Roman" w:cs="Tahoma"/>
          <w:bCs/>
          <w:iCs/>
          <w:color w:val="auto"/>
          <w:lang w:eastAsia="es-ES"/>
        </w:rPr>
        <w:t>donde se adviertan los registros de entrada y salida</w:t>
      </w:r>
      <w:r w:rsidR="00A65096" w:rsidRPr="005A0835">
        <w:rPr>
          <w:rFonts w:eastAsia="Times New Roman" w:cs="Tahoma"/>
          <w:bCs/>
          <w:iCs/>
          <w:color w:val="auto"/>
          <w:lang w:eastAsia="es-ES"/>
        </w:rPr>
        <w:t>, así como de los permisos otorgad</w:t>
      </w:r>
      <w:r w:rsidR="00541061">
        <w:rPr>
          <w:rFonts w:eastAsia="Times New Roman" w:cs="Tahoma"/>
          <w:bCs/>
          <w:iCs/>
          <w:color w:val="auto"/>
          <w:lang w:eastAsia="es-ES"/>
        </w:rPr>
        <w:t xml:space="preserve">os </w:t>
      </w:r>
      <w:r w:rsidR="005E35B8">
        <w:rPr>
          <w:rFonts w:eastAsia="Times New Roman" w:cs="Tahoma"/>
          <w:bCs/>
          <w:iCs/>
          <w:color w:val="auto"/>
          <w:lang w:eastAsia="es-ES"/>
        </w:rPr>
        <w:t xml:space="preserve">a </w:t>
      </w:r>
      <w:r w:rsidR="005E35B8" w:rsidRPr="0087558A">
        <w:rPr>
          <w:rFonts w:eastAsia="Calibri" w:cs="Tahoma"/>
          <w:iCs/>
          <w:lang w:val="es-ES" w:eastAsia="es-ES_tradnl"/>
        </w:rPr>
        <w:t>José Aldo Gutiérrez Sánchez, Ignacio Regueira Rosas</w:t>
      </w:r>
      <w:r w:rsidR="005E35B8">
        <w:rPr>
          <w:rFonts w:eastAsia="Calibri" w:cs="Tahoma"/>
          <w:iCs/>
          <w:lang w:val="es-ES" w:eastAsia="es-ES_tradnl"/>
        </w:rPr>
        <w:t xml:space="preserve"> </w:t>
      </w:r>
      <w:r w:rsidR="005E35B8" w:rsidRPr="0087558A">
        <w:rPr>
          <w:rFonts w:eastAsia="Calibri" w:cs="Tahoma"/>
          <w:iCs/>
          <w:lang w:val="es-ES" w:eastAsia="es-ES_tradnl"/>
        </w:rPr>
        <w:t>y Fernando González</w:t>
      </w:r>
      <w:r w:rsidR="005E35B8">
        <w:rPr>
          <w:rFonts w:eastAsia="Calibri" w:cs="Tahoma"/>
          <w:iCs/>
          <w:lang w:val="es-ES" w:eastAsia="es-ES_tradnl"/>
        </w:rPr>
        <w:t>.</w:t>
      </w:r>
    </w:p>
    <w:p w14:paraId="64CF89B1" w14:textId="77777777" w:rsidR="00EE423B" w:rsidRPr="00736960" w:rsidRDefault="00EE423B" w:rsidP="00EE423B">
      <w:pPr>
        <w:spacing w:after="0"/>
        <w:rPr>
          <w:rFonts w:eastAsia="Times New Roman" w:cs="Arial"/>
          <w:color w:val="auto"/>
          <w:szCs w:val="28"/>
          <w:lang w:eastAsia="es-ES"/>
        </w:rPr>
      </w:pPr>
      <w:r>
        <w:rPr>
          <w:rFonts w:eastAsia="Times New Roman" w:cs="Tahoma"/>
          <w:bCs/>
          <w:color w:val="auto"/>
          <w:shd w:val="clear" w:color="auto" w:fill="FFFFFF"/>
          <w:lang w:eastAsia="es-ES"/>
        </w:rPr>
        <w:t xml:space="preserve">Previo al análisis de la respuesta, es </w:t>
      </w:r>
      <w:r w:rsidRPr="00736960">
        <w:rPr>
          <w:rFonts w:eastAsia="Times New Roman" w:cs="Tahoma"/>
          <w:bCs/>
          <w:color w:val="auto"/>
          <w:shd w:val="clear" w:color="auto" w:fill="FFFFFF"/>
          <w:lang w:eastAsia="es-ES"/>
        </w:rPr>
        <w:t>necesario aclarar que el Particular no señaló temporalidad de la cual requería la información, por lo que, es necesario traer a colación el C</w:t>
      </w:r>
      <w:r w:rsidRPr="00736960">
        <w:rPr>
          <w:rFonts w:eastAsia="Times New Roman" w:cs="Arial"/>
          <w:color w:val="auto"/>
          <w:szCs w:val="28"/>
          <w:lang w:eastAsia="es-ES"/>
        </w:rPr>
        <w:t>riterio 03/19 del Instituto Nacional de Transparencia, Acceso a la Información y Protección de Datos Personales, que a continuación se reproduce:</w:t>
      </w:r>
    </w:p>
    <w:p w14:paraId="08E23148" w14:textId="77777777" w:rsidR="00EE423B" w:rsidRPr="00736960" w:rsidRDefault="00EE423B" w:rsidP="00EE423B">
      <w:pPr>
        <w:spacing w:after="0"/>
        <w:rPr>
          <w:rFonts w:eastAsia="Calibri" w:cs="Tahoma"/>
          <w:b/>
          <w:bCs/>
          <w:i/>
          <w:color w:val="auto"/>
          <w:sz w:val="20"/>
        </w:rPr>
      </w:pPr>
    </w:p>
    <w:p w14:paraId="688952CC" w14:textId="77777777" w:rsidR="00EE423B" w:rsidRPr="00736960" w:rsidRDefault="00EE423B" w:rsidP="00EE423B">
      <w:pPr>
        <w:spacing w:after="0"/>
        <w:ind w:left="567" w:right="567"/>
        <w:rPr>
          <w:rFonts w:eastAsia="Calibri" w:cs="Tahoma"/>
          <w:bCs/>
          <w:i/>
          <w:color w:val="auto"/>
          <w:sz w:val="20"/>
        </w:rPr>
      </w:pPr>
      <w:r w:rsidRPr="00736960">
        <w:rPr>
          <w:rFonts w:eastAsia="Calibri" w:cs="Tahoma"/>
          <w:b/>
          <w:bCs/>
          <w:i/>
          <w:color w:val="auto"/>
          <w:sz w:val="20"/>
        </w:rPr>
        <w:t>Periodo de búsqueda de la información.</w:t>
      </w:r>
      <w:r w:rsidRPr="00736960">
        <w:rPr>
          <w:rFonts w:eastAsia="Calibri" w:cs="Tahoma"/>
          <w:bCs/>
          <w:i/>
          <w:color w:val="auto"/>
          <w:sz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73A4C6D" w14:textId="77777777" w:rsidR="00EE423B" w:rsidRDefault="00EE423B" w:rsidP="00EE423B">
      <w:pPr>
        <w:spacing w:after="0"/>
        <w:ind w:right="49"/>
        <w:rPr>
          <w:rFonts w:eastAsia="Times New Roman" w:cs="Tahoma"/>
          <w:bCs/>
          <w:color w:val="auto"/>
          <w:shd w:val="clear" w:color="auto" w:fill="FFFFFF"/>
          <w:lang w:eastAsia="es-ES"/>
        </w:rPr>
      </w:pPr>
    </w:p>
    <w:p w14:paraId="1292D628" w14:textId="78DAB964" w:rsidR="00EE423B" w:rsidRPr="00736960" w:rsidRDefault="00EE423B" w:rsidP="00EE423B">
      <w:pPr>
        <w:spacing w:after="0"/>
      </w:pPr>
      <w:r w:rsidRPr="00736960">
        <w:t xml:space="preserve">Conforme a lo anterior, se considera que la pretensión del Particular es obtener la información generada del </w:t>
      </w:r>
      <w:r>
        <w:t>veintidós de noviembre de dos mil veinte al veintidós de noviembre dos mil veintiuno.</w:t>
      </w:r>
    </w:p>
    <w:p w14:paraId="1F218A9E" w14:textId="584E6204" w:rsidR="00EE423B" w:rsidRDefault="00EE423B" w:rsidP="005E35B8">
      <w:pPr>
        <w:spacing w:after="0"/>
        <w:rPr>
          <w:rFonts w:eastAsia="Calibri" w:cs="Tahoma"/>
          <w:iCs/>
          <w:lang w:val="es-ES" w:eastAsia="es-ES_tradnl"/>
        </w:rPr>
      </w:pPr>
    </w:p>
    <w:p w14:paraId="4AE2E729" w14:textId="02FD5420" w:rsidR="00EE423B" w:rsidRPr="00EE423B" w:rsidRDefault="00EE423B" w:rsidP="00EE423B">
      <w:pPr>
        <w:spacing w:after="0"/>
      </w:pPr>
      <w:r w:rsidRPr="00EE423B">
        <w:t xml:space="preserve">Ahora bien, es de señalar que el Sujeto Obligado </w:t>
      </w:r>
      <w:r w:rsidR="009524A5">
        <w:t xml:space="preserve">tanto en respuesta, como en Informe Justificado, precisó que </w:t>
      </w:r>
      <w:r w:rsidR="009524A5" w:rsidRPr="0087558A">
        <w:rPr>
          <w:rFonts w:eastAsia="Calibri" w:cs="Tahoma"/>
          <w:iCs/>
          <w:lang w:val="es-ES" w:eastAsia="es-ES_tradnl"/>
        </w:rPr>
        <w:t>José Aldo Gutiérrez Sánchez, Ignacio Regueira Rosas</w:t>
      </w:r>
      <w:r w:rsidR="009524A5">
        <w:rPr>
          <w:rFonts w:eastAsia="Calibri" w:cs="Tahoma"/>
          <w:iCs/>
          <w:lang w:val="es-ES" w:eastAsia="es-ES_tradnl"/>
        </w:rPr>
        <w:t xml:space="preserve"> </w:t>
      </w:r>
      <w:r w:rsidR="009524A5" w:rsidRPr="0087558A">
        <w:rPr>
          <w:rFonts w:eastAsia="Calibri" w:cs="Tahoma"/>
          <w:iCs/>
          <w:lang w:val="es-ES" w:eastAsia="es-ES_tradnl"/>
        </w:rPr>
        <w:t>y Fernando González</w:t>
      </w:r>
      <w:r w:rsidR="009524A5">
        <w:rPr>
          <w:rFonts w:eastAsia="Calibri" w:cs="Tahoma"/>
          <w:iCs/>
          <w:lang w:val="es-ES" w:eastAsia="es-ES_tradnl"/>
        </w:rPr>
        <w:t>, no eran servidores públicos, pues eran empleados de una empresa privada, la cual pr</w:t>
      </w:r>
      <w:r w:rsidR="00E967C9">
        <w:rPr>
          <w:rFonts w:eastAsia="Calibri" w:cs="Tahoma"/>
          <w:iCs/>
          <w:lang w:val="es-ES" w:eastAsia="es-ES_tradnl"/>
        </w:rPr>
        <w:t>oveí</w:t>
      </w:r>
      <w:r w:rsidR="009524A5">
        <w:rPr>
          <w:rFonts w:eastAsia="Calibri" w:cs="Tahoma"/>
          <w:iCs/>
          <w:lang w:val="es-ES" w:eastAsia="es-ES_tradnl"/>
        </w:rPr>
        <w:t xml:space="preserve">a </w:t>
      </w:r>
      <w:r w:rsidR="00E967C9">
        <w:rPr>
          <w:rFonts w:eastAsia="Calibri" w:cs="Tahoma"/>
          <w:iCs/>
          <w:lang w:val="es-ES" w:eastAsia="es-ES_tradnl"/>
        </w:rPr>
        <w:t xml:space="preserve">servicios </w:t>
      </w:r>
      <w:r w:rsidR="009524A5">
        <w:rPr>
          <w:rFonts w:eastAsia="Calibri" w:cs="Tahoma"/>
          <w:iCs/>
          <w:lang w:val="es-ES" w:eastAsia="es-ES_tradnl"/>
        </w:rPr>
        <w:t>profesionales</w:t>
      </w:r>
      <w:r w:rsidR="00E967C9">
        <w:rPr>
          <w:rFonts w:eastAsia="Calibri" w:cs="Tahoma"/>
          <w:iCs/>
          <w:lang w:val="es-ES" w:eastAsia="es-ES_tradnl"/>
        </w:rPr>
        <w:t xml:space="preserve"> al Instituto Hacendario del Estado de México</w:t>
      </w:r>
      <w:r w:rsidR="00E967C9">
        <w:t>, es decir,</w:t>
      </w:r>
      <w:r w:rsidR="00E967C9">
        <w:rPr>
          <w:bCs/>
        </w:rPr>
        <w:t xml:space="preserve"> aludió a que la información era inexistente</w:t>
      </w:r>
      <w:r w:rsidR="00E967C9">
        <w:t xml:space="preserve">; sobre dicha circunstancia, </w:t>
      </w:r>
      <w:r w:rsidRPr="00EE423B">
        <w:t>el Criterio 14/17, emitido por el Instituto Nacional de Transparencia, Acceso a la Información Pública y Protección de Datos Personales en el Estado de México y Municipios, señala lo siguiente:</w:t>
      </w:r>
    </w:p>
    <w:p w14:paraId="7DCADA25" w14:textId="77777777" w:rsidR="00EE423B" w:rsidRPr="00EE423B" w:rsidRDefault="00EE423B" w:rsidP="00EE423B">
      <w:pPr>
        <w:spacing w:after="0"/>
      </w:pPr>
    </w:p>
    <w:p w14:paraId="5EC3D460" w14:textId="77777777" w:rsidR="00EE423B" w:rsidRPr="00EE423B" w:rsidRDefault="00EE423B" w:rsidP="00EE423B">
      <w:pPr>
        <w:spacing w:after="0"/>
        <w:ind w:left="567" w:right="567"/>
        <w:rPr>
          <w:bCs/>
          <w:i/>
          <w:sz w:val="20"/>
          <w:szCs w:val="20"/>
          <w:lang w:val="es-ES"/>
        </w:rPr>
      </w:pPr>
      <w:r w:rsidRPr="00EE423B">
        <w:rPr>
          <w:bCs/>
          <w:i/>
          <w:sz w:val="20"/>
          <w:szCs w:val="20"/>
          <w:lang w:val="es-ES"/>
        </w:rPr>
        <w:t>“</w:t>
      </w:r>
      <w:r w:rsidRPr="00EE423B">
        <w:rPr>
          <w:b/>
          <w:bCs/>
          <w:i/>
          <w:sz w:val="20"/>
          <w:szCs w:val="20"/>
          <w:lang w:val="es-ES"/>
        </w:rPr>
        <w:t xml:space="preserve">Inexistencia. </w:t>
      </w:r>
      <w:r w:rsidRPr="00EE423B">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19B741D7" w14:textId="77777777" w:rsidR="00EE423B" w:rsidRPr="00EE423B" w:rsidRDefault="00EE423B" w:rsidP="00EE423B">
      <w:pPr>
        <w:spacing w:after="0"/>
      </w:pPr>
    </w:p>
    <w:p w14:paraId="26659C37" w14:textId="77777777" w:rsidR="00EE423B" w:rsidRPr="00EE423B" w:rsidRDefault="00EE423B" w:rsidP="00EE423B">
      <w:pPr>
        <w:spacing w:after="0"/>
      </w:pPr>
      <w:r w:rsidRPr="00EE423B">
        <w:t>Del citado criterio, se desprende que la inexistencia de la información, es una cuestión de hecho que se le atribuye a la misma, cuando ésta no se encuentra en los archivos del sujeto obligado.</w:t>
      </w:r>
    </w:p>
    <w:p w14:paraId="2326ABEB" w14:textId="77777777" w:rsidR="00EE423B" w:rsidRPr="00EE423B" w:rsidRDefault="00EE423B" w:rsidP="00EE423B">
      <w:pPr>
        <w:spacing w:after="0"/>
        <w:rPr>
          <w:lang w:val="es-ES"/>
        </w:rPr>
      </w:pPr>
    </w:p>
    <w:p w14:paraId="1D9E2A38" w14:textId="77777777" w:rsidR="00EE423B" w:rsidRPr="00EE423B" w:rsidRDefault="00EE423B" w:rsidP="00EE423B">
      <w:pPr>
        <w:spacing w:after="0"/>
        <w:rPr>
          <w:lang w:val="es-ES"/>
        </w:rPr>
      </w:pPr>
      <w:r w:rsidRPr="00EE423B">
        <w:rPr>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7C663A2" w14:textId="77777777" w:rsidR="00EE423B" w:rsidRPr="00EE423B" w:rsidRDefault="00EE423B" w:rsidP="00EE423B">
      <w:pPr>
        <w:spacing w:after="0"/>
        <w:rPr>
          <w:lang w:val="es-ES"/>
        </w:rPr>
      </w:pPr>
    </w:p>
    <w:p w14:paraId="70E92E04" w14:textId="77777777" w:rsidR="00EE423B" w:rsidRPr="00EE423B" w:rsidRDefault="00EE423B" w:rsidP="00EE423B">
      <w:pPr>
        <w:spacing w:after="0"/>
      </w:pPr>
      <w:r w:rsidRPr="00EE423B">
        <w:rPr>
          <w:lang w:val="es-ES"/>
        </w:rPr>
        <w:t>Así</w:t>
      </w:r>
      <w:r w:rsidRPr="00EE423B">
        <w:t xml:space="preserve">, es posible concluir que la </w:t>
      </w:r>
      <w:r w:rsidRPr="00EE423B">
        <w:rPr>
          <w:b/>
        </w:rPr>
        <w:t>inexistencia</w:t>
      </w:r>
      <w:r w:rsidRPr="00EE423B">
        <w:t xml:space="preserve"> presupone la competencia del sujeto obligado para conocer de la información, pero por alguna circunstancia, la documentación solicitada no obra en sus archivos; sin embargo, para tal circunstancia, es necesario que acrediten que realizaron una búsqueda exhaustiva y razonable en sus archivos.</w:t>
      </w:r>
    </w:p>
    <w:p w14:paraId="3C974C6F" w14:textId="77777777" w:rsidR="00EE423B" w:rsidRPr="00EE423B" w:rsidRDefault="00EE423B" w:rsidP="00EE423B">
      <w:pPr>
        <w:spacing w:after="0"/>
      </w:pPr>
    </w:p>
    <w:p w14:paraId="3503912A" w14:textId="77777777" w:rsidR="00EE423B" w:rsidRPr="00EE423B" w:rsidRDefault="00EE423B" w:rsidP="00EE423B">
      <w:pPr>
        <w:spacing w:after="0"/>
        <w:rPr>
          <w:rFonts w:eastAsia="Times New Roman" w:cs="Tahoma"/>
          <w:color w:val="auto"/>
          <w:lang w:val="es-ES_tradnl" w:eastAsia="es-ES"/>
        </w:rPr>
      </w:pPr>
      <w:r w:rsidRPr="00EE423B">
        <w:rPr>
          <w:rFonts w:eastAsia="Times New Roman" w:cs="Tahoma"/>
          <w:color w:val="auto"/>
          <w:lang w:val="es-ES_tradnl" w:eastAsia="es-ES"/>
        </w:rPr>
        <w:t xml:space="preserve">En ese contexto, el artículo 162 de la Ley de Transparencia y Acceso a la Información Pública del Estado de México y Municipios, establece que las áreas competentes para conocer de una solicitud de información, deben realizar una </w:t>
      </w:r>
      <w:r w:rsidRPr="00EE423B">
        <w:rPr>
          <w:rFonts w:eastAsia="Times New Roman" w:cs="Tahoma"/>
          <w:b/>
          <w:color w:val="auto"/>
          <w:lang w:val="es-ES_tradnl" w:eastAsia="es-ES"/>
        </w:rPr>
        <w:t>búsqueda exhaustiva y razonable</w:t>
      </w:r>
      <w:r w:rsidRPr="00EE423B">
        <w:rPr>
          <w:rFonts w:eastAsia="Times New Roman" w:cs="Tahoma"/>
          <w:color w:val="auto"/>
          <w:lang w:val="es-ES_tradnl" w:eastAsia="es-ES"/>
        </w:rPr>
        <w:t>; así, resulta necesario determinar, que es una investigación con esas características.</w:t>
      </w:r>
    </w:p>
    <w:p w14:paraId="64E4C1FC" w14:textId="77777777" w:rsidR="00EE423B" w:rsidRPr="00EE423B" w:rsidRDefault="00EE423B" w:rsidP="00EE423B">
      <w:pPr>
        <w:spacing w:after="0"/>
        <w:rPr>
          <w:rFonts w:eastAsia="Times New Roman" w:cs="Tahoma"/>
          <w:color w:val="auto"/>
          <w:lang w:val="es-ES_tradnl" w:eastAsia="es-ES"/>
        </w:rPr>
      </w:pPr>
    </w:p>
    <w:p w14:paraId="36F2D68F" w14:textId="77777777" w:rsidR="00EE423B" w:rsidRPr="00EE423B" w:rsidRDefault="00EE423B" w:rsidP="00EE423B">
      <w:pPr>
        <w:spacing w:after="0"/>
        <w:rPr>
          <w:rFonts w:eastAsia="Times New Roman" w:cs="Arial"/>
          <w:b/>
          <w:bCs/>
          <w:color w:val="auto"/>
          <w:lang w:val="es-ES_tradnl" w:eastAsia="es-ES"/>
        </w:rPr>
      </w:pPr>
      <w:r w:rsidRPr="00EE423B">
        <w:rPr>
          <w:rFonts w:eastAsia="Times New Roman" w:cs="Arial"/>
          <w:bCs/>
          <w:color w:val="auto"/>
          <w:lang w:val="es-ES_tradnl" w:eastAsia="es-ES"/>
        </w:rPr>
        <w:t xml:space="preserve">En ese sentido, según Jarquín, Soledad (2019), en el “Diccionario de Transparencia y Acceso a la Información Pública” (p. 68), </w:t>
      </w:r>
      <w:r w:rsidRPr="00EE423B">
        <w:rPr>
          <w:rFonts w:eastAsia="Times New Roman" w:cs="Arial"/>
          <w:b/>
          <w:bCs/>
          <w:color w:val="auto"/>
          <w:lang w:val="es-ES_tradnl" w:eastAsia="es-ES"/>
        </w:rPr>
        <w:t>la búsqueda exhaustiva</w:t>
      </w:r>
      <w:r w:rsidRPr="00EE423B">
        <w:rPr>
          <w:rFonts w:eastAsia="Times New Roman" w:cs="Arial"/>
          <w:bCs/>
          <w:color w:val="auto"/>
          <w:lang w:val="es-ES_tradnl" w:eastAsia="es-ES"/>
        </w:rPr>
        <w:t xml:space="preserve"> es la obligación del área administrativa del Sujeto Obligado que cuenta o puede contar con la información requerida, la cual consiste en localizar toda aquella que atienda la solicitud, </w:t>
      </w:r>
      <w:r w:rsidRPr="00EE423B">
        <w:rPr>
          <w:rFonts w:eastAsia="Times New Roman" w:cs="Arial"/>
          <w:b/>
          <w:bCs/>
          <w:color w:val="auto"/>
          <w:lang w:val="es-ES_tradnl" w:eastAsia="es-ES"/>
        </w:rPr>
        <w:t>hasta agotar por completo las posibilidades de indagación.</w:t>
      </w:r>
    </w:p>
    <w:p w14:paraId="1D1E0903" w14:textId="77777777" w:rsidR="00EE423B" w:rsidRPr="00EE423B" w:rsidRDefault="00EE423B" w:rsidP="00EE423B">
      <w:pPr>
        <w:spacing w:after="0"/>
        <w:rPr>
          <w:rFonts w:eastAsia="Times New Roman" w:cs="Arial"/>
          <w:b/>
          <w:bCs/>
          <w:color w:val="auto"/>
          <w:lang w:val="es-ES_tradnl" w:eastAsia="es-ES"/>
        </w:rPr>
      </w:pPr>
    </w:p>
    <w:p w14:paraId="244C827F" w14:textId="77777777" w:rsidR="00EE423B" w:rsidRPr="00EE423B" w:rsidRDefault="00EE423B" w:rsidP="00EE423B">
      <w:pPr>
        <w:spacing w:after="0"/>
        <w:rPr>
          <w:rFonts w:eastAsia="Times New Roman" w:cs="Arial"/>
          <w:b/>
          <w:bCs/>
          <w:color w:val="auto"/>
          <w:lang w:val="es-ES_tradnl" w:eastAsia="es-ES"/>
        </w:rPr>
      </w:pPr>
      <w:r w:rsidRPr="00EE423B">
        <w:rPr>
          <w:rFonts w:eastAsia="Times New Roman" w:cs="Arial"/>
          <w:bCs/>
          <w:color w:val="auto"/>
          <w:lang w:val="es-ES_tradnl" w:eastAsia="es-ES"/>
        </w:rPr>
        <w:t xml:space="preserve">Además, según Calero, Natalia (2016), en la “Ley General de Transparencia y Acceso a la Información Pública Comentada” (p. 408), para que exista una búsqueda exhaustiva y razonable, se debe hacer una </w:t>
      </w:r>
      <w:r w:rsidRPr="00EE423B">
        <w:rPr>
          <w:rFonts w:eastAsia="Times New Roman" w:cs="Arial"/>
          <w:b/>
          <w:bCs/>
          <w:color w:val="auto"/>
          <w:lang w:val="es-ES_tradnl" w:eastAsia="es-ES"/>
        </w:rPr>
        <w:t xml:space="preserve">indagación consiente y minuciosa en sus archivos físicos y electrónicos. </w:t>
      </w:r>
    </w:p>
    <w:p w14:paraId="263703C7" w14:textId="77777777" w:rsidR="00EE423B" w:rsidRPr="00EE423B" w:rsidRDefault="00EE423B" w:rsidP="00EE423B">
      <w:pPr>
        <w:spacing w:after="0"/>
        <w:rPr>
          <w:rFonts w:eastAsia="Times New Roman" w:cs="Tahoma"/>
          <w:color w:val="auto"/>
          <w:lang w:val="es-ES_tradnl" w:eastAsia="es-ES"/>
        </w:rPr>
      </w:pPr>
    </w:p>
    <w:p w14:paraId="2798A144" w14:textId="77777777" w:rsidR="00EE423B" w:rsidRPr="00EE423B" w:rsidRDefault="00EE423B" w:rsidP="00EE423B">
      <w:pPr>
        <w:spacing w:after="0"/>
        <w:rPr>
          <w:rFonts w:eastAsia="Times New Roman" w:cs="Tahoma"/>
          <w:b/>
          <w:color w:val="auto"/>
          <w:lang w:val="es-ES_tradnl" w:eastAsia="es-ES"/>
        </w:rPr>
      </w:pPr>
      <w:r w:rsidRPr="00EE423B">
        <w:rPr>
          <w:rFonts w:eastAsia="Times New Roman" w:cs="Tahoma"/>
          <w:color w:val="auto"/>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EE423B">
        <w:rPr>
          <w:rFonts w:eastAsia="Times New Roman" w:cs="Tahoma"/>
          <w:b/>
          <w:color w:val="auto"/>
          <w:lang w:val="es-ES_tradnl" w:eastAsia="es-ES"/>
        </w:rPr>
        <w:t>los criterios de búsqueda utilizados y demás circunstancias que fueron tomadas en cuenta.</w:t>
      </w:r>
    </w:p>
    <w:p w14:paraId="256F7B7B" w14:textId="77777777" w:rsidR="00EE423B" w:rsidRPr="00EE423B" w:rsidRDefault="00EE423B" w:rsidP="00EE423B">
      <w:pPr>
        <w:spacing w:after="0"/>
        <w:rPr>
          <w:rFonts w:eastAsia="Times New Roman" w:cs="Tahoma"/>
          <w:color w:val="auto"/>
          <w:lang w:val="es-ES_tradnl" w:eastAsia="es-ES"/>
        </w:rPr>
      </w:pPr>
    </w:p>
    <w:p w14:paraId="40E0E5FD" w14:textId="77777777" w:rsidR="00EE423B" w:rsidRPr="00EE423B" w:rsidRDefault="00EE423B" w:rsidP="00EE423B">
      <w:pPr>
        <w:spacing w:after="0"/>
        <w:rPr>
          <w:rFonts w:eastAsia="Times New Roman" w:cs="Tahoma"/>
          <w:color w:val="auto"/>
          <w:lang w:val="es-ES_tradnl" w:eastAsia="es-ES"/>
        </w:rPr>
      </w:pPr>
      <w:r w:rsidRPr="00EE423B">
        <w:rPr>
          <w:rFonts w:eastAsia="Times New Roman" w:cs="Tahoma"/>
          <w:color w:val="auto"/>
          <w:lang w:val="es-ES_tradnl" w:eastAsia="es-ES"/>
        </w:rPr>
        <w:t>De tales circunstancias, se considera que para que los Sujetos Obligado justifiquen que realizaron una búsqueda exhaustiva y razonable, deben indicar de manera clara, lo siguiente:</w:t>
      </w:r>
    </w:p>
    <w:p w14:paraId="0EE3FF9E" w14:textId="77777777" w:rsidR="00EE423B" w:rsidRPr="00EE423B" w:rsidRDefault="00EE423B" w:rsidP="00EE423B">
      <w:pPr>
        <w:spacing w:after="0"/>
        <w:rPr>
          <w:rFonts w:eastAsia="Times New Roman" w:cs="Tahoma"/>
          <w:color w:val="auto"/>
          <w:lang w:val="es-ES_tradnl" w:eastAsia="es-ES"/>
        </w:rPr>
      </w:pPr>
    </w:p>
    <w:p w14:paraId="5BD208AB" w14:textId="0A8D7874" w:rsidR="00EE423B" w:rsidRDefault="00EE423B" w:rsidP="00E967C9">
      <w:pPr>
        <w:numPr>
          <w:ilvl w:val="0"/>
          <w:numId w:val="33"/>
        </w:numPr>
        <w:spacing w:after="0"/>
        <w:contextualSpacing/>
        <w:jc w:val="left"/>
        <w:rPr>
          <w:rFonts w:eastAsia="Times New Roman" w:cs="Tahoma"/>
          <w:color w:val="auto"/>
          <w:lang w:val="es-ES_tradnl" w:eastAsia="es-ES"/>
        </w:rPr>
      </w:pPr>
      <w:r w:rsidRPr="00EE423B">
        <w:rPr>
          <w:rFonts w:eastAsia="Times New Roman" w:cs="Tahoma"/>
          <w:color w:val="auto"/>
          <w:lang w:val="es-ES_tradnl" w:eastAsia="es-ES"/>
        </w:rPr>
        <w:t>Las áreas donde se buscó la información;</w:t>
      </w:r>
    </w:p>
    <w:p w14:paraId="7052BF86" w14:textId="77777777" w:rsidR="00105A12" w:rsidRPr="00EE423B" w:rsidRDefault="00105A12" w:rsidP="00105A12">
      <w:pPr>
        <w:spacing w:after="0"/>
        <w:ind w:left="720"/>
        <w:contextualSpacing/>
        <w:jc w:val="left"/>
        <w:rPr>
          <w:rFonts w:eastAsia="Times New Roman" w:cs="Tahoma"/>
          <w:color w:val="auto"/>
          <w:lang w:val="es-ES_tradnl" w:eastAsia="es-ES"/>
        </w:rPr>
      </w:pPr>
    </w:p>
    <w:p w14:paraId="23A371C6" w14:textId="318A592A" w:rsidR="00EE423B" w:rsidRDefault="00EE423B" w:rsidP="00E967C9">
      <w:pPr>
        <w:numPr>
          <w:ilvl w:val="0"/>
          <w:numId w:val="33"/>
        </w:numPr>
        <w:spacing w:after="0"/>
        <w:contextualSpacing/>
        <w:jc w:val="left"/>
        <w:rPr>
          <w:rFonts w:eastAsia="Times New Roman" w:cs="Tahoma"/>
          <w:color w:val="auto"/>
          <w:lang w:val="es-ES_tradnl" w:eastAsia="es-ES"/>
        </w:rPr>
      </w:pPr>
      <w:r w:rsidRPr="00EE423B">
        <w:rPr>
          <w:rFonts w:eastAsia="Times New Roman" w:cs="Tahoma"/>
          <w:color w:val="auto"/>
          <w:lang w:val="es-ES_tradnl" w:eastAsia="es-ES"/>
        </w:rPr>
        <w:t>Tipo de archivos buscados (físicos o electrónicos);</w:t>
      </w:r>
    </w:p>
    <w:p w14:paraId="34E9D005" w14:textId="77777777" w:rsidR="00105A12" w:rsidRDefault="00105A12" w:rsidP="00105A12">
      <w:pPr>
        <w:pStyle w:val="Prrafodelista"/>
        <w:spacing w:after="0"/>
        <w:rPr>
          <w:rFonts w:eastAsia="Times New Roman" w:cs="Tahoma"/>
          <w:color w:val="auto"/>
          <w:lang w:val="es-ES_tradnl" w:eastAsia="es-ES"/>
        </w:rPr>
      </w:pPr>
    </w:p>
    <w:p w14:paraId="505070C0" w14:textId="0C448EA1" w:rsidR="00EE423B" w:rsidRDefault="00EE423B" w:rsidP="00E967C9">
      <w:pPr>
        <w:numPr>
          <w:ilvl w:val="0"/>
          <w:numId w:val="33"/>
        </w:numPr>
        <w:spacing w:after="0"/>
        <w:contextualSpacing/>
        <w:jc w:val="left"/>
        <w:rPr>
          <w:rFonts w:eastAsia="Times New Roman" w:cs="Tahoma"/>
          <w:color w:val="auto"/>
          <w:lang w:val="es-ES_tradnl" w:eastAsia="es-ES"/>
        </w:rPr>
      </w:pPr>
      <w:r w:rsidRPr="00EE423B">
        <w:rPr>
          <w:rFonts w:eastAsia="Times New Roman" w:cs="Tahoma"/>
          <w:color w:val="auto"/>
          <w:lang w:val="es-ES_tradnl" w:eastAsia="es-ES"/>
        </w:rPr>
        <w:t xml:space="preserve">Los criterios de búsqueda utilizados, y </w:t>
      </w:r>
    </w:p>
    <w:p w14:paraId="227678E9" w14:textId="77777777" w:rsidR="00105A12" w:rsidRDefault="00105A12" w:rsidP="00105A12">
      <w:pPr>
        <w:pStyle w:val="Prrafodelista"/>
        <w:spacing w:after="0"/>
        <w:rPr>
          <w:rFonts w:eastAsia="Times New Roman" w:cs="Tahoma"/>
          <w:color w:val="auto"/>
          <w:lang w:val="es-ES_tradnl" w:eastAsia="es-ES"/>
        </w:rPr>
      </w:pPr>
    </w:p>
    <w:p w14:paraId="622C4D01" w14:textId="71562854" w:rsidR="005A0835" w:rsidRDefault="00EE423B" w:rsidP="00A2355B">
      <w:pPr>
        <w:numPr>
          <w:ilvl w:val="0"/>
          <w:numId w:val="33"/>
        </w:numPr>
        <w:spacing w:after="0"/>
        <w:contextualSpacing/>
        <w:jc w:val="left"/>
        <w:rPr>
          <w:rFonts w:eastAsia="Times New Roman" w:cs="Tahoma"/>
          <w:color w:val="auto"/>
          <w:lang w:val="es-ES_tradnl" w:eastAsia="es-ES"/>
        </w:rPr>
      </w:pPr>
      <w:r w:rsidRPr="00EE423B">
        <w:rPr>
          <w:rFonts w:eastAsia="Times New Roman" w:cs="Tahoma"/>
          <w:color w:val="auto"/>
          <w:lang w:val="es-ES_tradnl" w:eastAsia="es-ES"/>
        </w:rPr>
        <w:t>Las circunstancias que fueron tomadas en cuenta.</w:t>
      </w:r>
      <w:r w:rsidRPr="00EE423B">
        <w:rPr>
          <w:rFonts w:eastAsia="Times New Roman" w:cs="Tahoma"/>
          <w:color w:val="auto"/>
          <w:lang w:val="es-ES_tradnl" w:eastAsia="es-ES"/>
        </w:rPr>
        <w:tab/>
      </w:r>
    </w:p>
    <w:p w14:paraId="1156162E" w14:textId="2E9D9956" w:rsidR="004330AE" w:rsidRDefault="004330AE" w:rsidP="004330AE">
      <w:pPr>
        <w:spacing w:after="0"/>
        <w:contextualSpacing/>
        <w:jc w:val="left"/>
        <w:rPr>
          <w:rFonts w:eastAsia="Times New Roman" w:cs="Tahoma"/>
          <w:color w:val="auto"/>
          <w:lang w:val="es-ES_tradnl" w:eastAsia="es-ES"/>
        </w:rPr>
      </w:pPr>
    </w:p>
    <w:p w14:paraId="6F103BAD" w14:textId="65F6B0D7" w:rsidR="004330AE" w:rsidRPr="004330AE" w:rsidRDefault="004330AE" w:rsidP="004330AE">
      <w:pPr>
        <w:spacing w:after="0"/>
        <w:contextualSpacing/>
        <w:rPr>
          <w:rFonts w:eastAsia="Times New Roman" w:cs="Tahoma"/>
          <w:color w:val="auto"/>
          <w:lang w:val="es-ES_tradnl" w:eastAsia="es-ES"/>
        </w:rPr>
      </w:pPr>
      <w:r>
        <w:rPr>
          <w:rFonts w:eastAsia="Times New Roman" w:cs="Tahoma"/>
          <w:color w:val="auto"/>
          <w:lang w:val="es-ES_tradnl" w:eastAsia="es-ES"/>
        </w:rPr>
        <w:t>Conforme a lo anterior, se procede analizar si el Sujeto Obligado cumplió con el procedimiento de búsqueda; para lo cual, de las constancias que obran en el expediente se advierte que en respuesta turno la solicitud de información a la Unidad de Administración y Finanzas y la Coordinación de Estudios Hacendarios y Asistencia Técnica</w:t>
      </w:r>
      <w:r w:rsidR="00DE013E">
        <w:rPr>
          <w:rFonts w:eastAsia="Times New Roman" w:cs="Tahoma"/>
          <w:color w:val="auto"/>
          <w:lang w:val="es-ES_tradnl" w:eastAsia="es-ES"/>
        </w:rPr>
        <w:t>.</w:t>
      </w:r>
    </w:p>
    <w:p w14:paraId="72234EF7" w14:textId="77777777" w:rsidR="00E967C9" w:rsidRDefault="00E967C9" w:rsidP="00A2355B">
      <w:pPr>
        <w:spacing w:after="0"/>
        <w:rPr>
          <w:rFonts w:eastAsia="Times New Roman" w:cs="Tahoma"/>
          <w:bCs/>
          <w:iCs/>
          <w:color w:val="auto"/>
          <w:lang w:eastAsia="es-ES"/>
        </w:rPr>
      </w:pPr>
    </w:p>
    <w:p w14:paraId="06B4C26A" w14:textId="61E536E7" w:rsidR="00DE013E" w:rsidRDefault="00DE013E" w:rsidP="003E713C">
      <w:pPr>
        <w:spacing w:after="0"/>
        <w:rPr>
          <w:rFonts w:eastAsia="Calibri" w:cs="Tahoma"/>
          <w:bCs/>
          <w:color w:val="000000"/>
        </w:rPr>
      </w:pPr>
      <w:r>
        <w:rPr>
          <w:rFonts w:eastAsia="Calibri" w:cs="Tahoma"/>
          <w:bCs/>
          <w:color w:val="000000"/>
        </w:rPr>
        <w:t>Al respecto, el Manual General de Organización del Instituto Hacendario del Estado de México y Municipios, precisa que el Sujeto Obligado cuenta con diversas unidades administrativas para el ejercicio de sus funciones, entre los cuales se encuentra las siguientes:</w:t>
      </w:r>
    </w:p>
    <w:p w14:paraId="31781F0D" w14:textId="684BF51C" w:rsidR="00DE013E" w:rsidRDefault="00DE013E" w:rsidP="003E713C">
      <w:pPr>
        <w:spacing w:after="0"/>
        <w:rPr>
          <w:rFonts w:eastAsia="Calibri" w:cs="Tahoma"/>
          <w:bCs/>
          <w:color w:val="000000"/>
        </w:rPr>
      </w:pPr>
    </w:p>
    <w:p w14:paraId="450726A3" w14:textId="4AE3B1F3" w:rsidR="00DE013E" w:rsidRDefault="00DE013E" w:rsidP="00DE013E">
      <w:pPr>
        <w:pStyle w:val="Prrafodelista"/>
        <w:numPr>
          <w:ilvl w:val="0"/>
          <w:numId w:val="34"/>
        </w:numPr>
        <w:spacing w:after="0"/>
        <w:rPr>
          <w:rFonts w:eastAsia="Calibri" w:cs="Tahoma"/>
          <w:b/>
          <w:color w:val="000000"/>
        </w:rPr>
      </w:pPr>
      <w:r w:rsidRPr="00DE013E">
        <w:rPr>
          <w:rFonts w:eastAsia="Calibri" w:cs="Tahoma"/>
          <w:b/>
          <w:color w:val="000000"/>
        </w:rPr>
        <w:t>Unidad de Administración y Finanzas:</w:t>
      </w:r>
      <w:r w:rsidR="00E7145D">
        <w:rPr>
          <w:rFonts w:eastAsia="Calibri" w:cs="Tahoma"/>
          <w:b/>
          <w:color w:val="000000"/>
        </w:rPr>
        <w:t xml:space="preserve"> </w:t>
      </w:r>
      <w:r w:rsidR="00E7145D">
        <w:rPr>
          <w:rFonts w:eastAsia="Calibri" w:cs="Tahoma"/>
          <w:bCs/>
          <w:color w:val="000000"/>
        </w:rPr>
        <w:t>Que realiza los movimientos de altas, bajas, cambio de adscripción, promociones, permisos, vacaciones, licencias, descuentos, estímulos y demás incidencias del personal, así como, el control de asistencia; así como, ver todas las cuestiones relacionadas con los recursos humanos y contratación de servicios profesionales.</w:t>
      </w:r>
    </w:p>
    <w:p w14:paraId="0ADFDB86" w14:textId="420EF331" w:rsidR="00DE013E" w:rsidRDefault="00DE013E" w:rsidP="00DE013E">
      <w:pPr>
        <w:pStyle w:val="Prrafodelista"/>
        <w:spacing w:after="0"/>
        <w:rPr>
          <w:rFonts w:eastAsia="Calibri" w:cs="Tahoma"/>
          <w:b/>
          <w:color w:val="000000"/>
        </w:rPr>
      </w:pPr>
    </w:p>
    <w:p w14:paraId="1606859C" w14:textId="31A38E0F" w:rsidR="00DE013E" w:rsidRPr="00DE013E" w:rsidRDefault="00DE013E" w:rsidP="00DE013E">
      <w:pPr>
        <w:pStyle w:val="Prrafodelista"/>
        <w:numPr>
          <w:ilvl w:val="0"/>
          <w:numId w:val="34"/>
        </w:numPr>
        <w:spacing w:after="0"/>
        <w:rPr>
          <w:rFonts w:eastAsia="Calibri" w:cs="Tahoma"/>
          <w:b/>
          <w:color w:val="000000"/>
        </w:rPr>
      </w:pPr>
      <w:r>
        <w:rPr>
          <w:rFonts w:eastAsia="Calibri" w:cs="Tahoma"/>
          <w:b/>
          <w:color w:val="000000"/>
        </w:rPr>
        <w:t>Coordinación de Estudios Hacendarios:</w:t>
      </w:r>
      <w:r w:rsidR="00E7145D">
        <w:rPr>
          <w:rFonts w:eastAsia="Calibri" w:cs="Tahoma"/>
          <w:b/>
          <w:color w:val="000000"/>
        </w:rPr>
        <w:t xml:space="preserve"> </w:t>
      </w:r>
      <w:r w:rsidR="00E7145D">
        <w:rPr>
          <w:rFonts w:eastAsia="Calibri" w:cs="Tahoma"/>
          <w:bCs/>
          <w:color w:val="000000"/>
        </w:rPr>
        <w:t>Que es el área donde según el Particular, las tres personas analizadas</w:t>
      </w:r>
      <w:r w:rsidR="00460284">
        <w:rPr>
          <w:rFonts w:eastAsia="Calibri" w:cs="Tahoma"/>
          <w:bCs/>
          <w:color w:val="000000"/>
        </w:rPr>
        <w:t xml:space="preserve"> laboraban.</w:t>
      </w:r>
    </w:p>
    <w:p w14:paraId="29F29009" w14:textId="77777777" w:rsidR="00DE013E" w:rsidRDefault="00DE013E" w:rsidP="003E713C">
      <w:pPr>
        <w:spacing w:after="0"/>
        <w:rPr>
          <w:rFonts w:eastAsia="Calibri" w:cs="Tahoma"/>
          <w:bCs/>
          <w:color w:val="000000"/>
        </w:rPr>
      </w:pPr>
    </w:p>
    <w:p w14:paraId="3E70A392" w14:textId="3EABB4D4" w:rsidR="00E30966" w:rsidRPr="00A2355B" w:rsidRDefault="00D8203F" w:rsidP="003E713C">
      <w:pPr>
        <w:spacing w:after="0"/>
        <w:rPr>
          <w:rFonts w:cs="Tahoma"/>
        </w:rPr>
      </w:pPr>
      <w:r w:rsidRPr="00A2355B">
        <w:rPr>
          <w:rFonts w:eastAsia="Times New Roman" w:cs="Tahoma"/>
          <w:bCs/>
          <w:color w:val="auto"/>
          <w:lang w:eastAsia="es-ES"/>
        </w:rPr>
        <w:t xml:space="preserve">Conforme a lo </w:t>
      </w:r>
      <w:r w:rsidR="003E713C">
        <w:rPr>
          <w:rFonts w:eastAsia="Times New Roman" w:cs="Tahoma"/>
          <w:bCs/>
          <w:color w:val="auto"/>
          <w:lang w:eastAsia="es-ES"/>
        </w:rPr>
        <w:t>previo</w:t>
      </w:r>
      <w:r w:rsidRPr="00A2355B">
        <w:rPr>
          <w:rFonts w:eastAsia="Times New Roman" w:cs="Tahoma"/>
          <w:bCs/>
          <w:color w:val="auto"/>
          <w:lang w:eastAsia="es-ES"/>
        </w:rPr>
        <w:t xml:space="preserve">, se advierte que el Ente Recurrido </w:t>
      </w:r>
      <w:r w:rsidR="003E713C">
        <w:rPr>
          <w:rFonts w:eastAsia="Times New Roman" w:cs="Tahoma"/>
          <w:bCs/>
          <w:color w:val="auto"/>
          <w:lang w:eastAsia="es-ES"/>
        </w:rPr>
        <w:t>gestionó el requerimiento de información al</w:t>
      </w:r>
      <w:r w:rsidRPr="00A2355B">
        <w:rPr>
          <w:rFonts w:eastAsia="Times New Roman" w:cs="Tahoma"/>
          <w:bCs/>
          <w:color w:val="auto"/>
          <w:lang w:eastAsia="es-ES"/>
        </w:rPr>
        <w:t xml:space="preserve"> área específica para conocer de la solicitud de información, a saber, </w:t>
      </w:r>
      <w:r w:rsidR="00324EC3" w:rsidRPr="00A2355B">
        <w:rPr>
          <w:rFonts w:eastAsia="Times New Roman" w:cs="Tahoma"/>
          <w:bCs/>
          <w:color w:val="auto"/>
          <w:lang w:eastAsia="es-ES"/>
        </w:rPr>
        <w:t xml:space="preserve">la </w:t>
      </w:r>
      <w:r w:rsidR="00FE3DC1" w:rsidRPr="00FE3DC1">
        <w:rPr>
          <w:rFonts w:eastAsia="Calibri" w:cs="Tahoma"/>
          <w:bCs/>
          <w:color w:val="000000"/>
        </w:rPr>
        <w:t>Unidad de Administración y Finanzas</w:t>
      </w:r>
      <w:r w:rsidR="00460284">
        <w:rPr>
          <w:rFonts w:eastAsia="Calibri" w:cs="Tahoma"/>
          <w:bCs/>
          <w:color w:val="000000"/>
        </w:rPr>
        <w:t xml:space="preserve"> y la Coordinación de Estudios Hacendarios, la primera,</w:t>
      </w:r>
      <w:r w:rsidR="00FC60F9" w:rsidRPr="00A2355B">
        <w:rPr>
          <w:rFonts w:eastAsia="Calibri" w:cs="Tahoma"/>
          <w:bCs/>
          <w:color w:val="000000"/>
        </w:rPr>
        <w:t xml:space="preserve"> pues </w:t>
      </w:r>
      <w:r w:rsidR="00D56A74">
        <w:rPr>
          <w:rFonts w:eastAsia="Calibri" w:cs="Tahoma"/>
          <w:bCs/>
          <w:color w:val="000000"/>
        </w:rPr>
        <w:t xml:space="preserve">es </w:t>
      </w:r>
      <w:r w:rsidR="00FC60F9" w:rsidRPr="00A2355B">
        <w:rPr>
          <w:rFonts w:eastAsia="Calibri" w:cs="Tahoma"/>
          <w:bCs/>
          <w:color w:val="000000"/>
        </w:rPr>
        <w:t xml:space="preserve">el área que tiene atribuciones para </w:t>
      </w:r>
      <w:r w:rsidR="00623791">
        <w:rPr>
          <w:rFonts w:eastAsia="Calibri" w:cs="Tahoma"/>
          <w:bCs/>
          <w:color w:val="000000"/>
        </w:rPr>
        <w:t xml:space="preserve">conocer de </w:t>
      </w:r>
      <w:r w:rsidR="00FE3DC1" w:rsidRPr="00FE3DC1">
        <w:rPr>
          <w:rFonts w:eastAsia="Calibri" w:cs="Tahoma"/>
          <w:bCs/>
          <w:color w:val="000000"/>
        </w:rPr>
        <w:t>la administración de los recursos h</w:t>
      </w:r>
      <w:r w:rsidR="00FE3DC1">
        <w:rPr>
          <w:rFonts w:eastAsia="Calibri" w:cs="Tahoma"/>
          <w:bCs/>
          <w:color w:val="000000"/>
        </w:rPr>
        <w:t>umanos</w:t>
      </w:r>
      <w:r w:rsidR="00460284">
        <w:rPr>
          <w:rFonts w:eastAsia="Calibri" w:cs="Tahoma"/>
          <w:bCs/>
          <w:color w:val="000000"/>
        </w:rPr>
        <w:t>; mientras que la segunda es el área en la cual laboraban los trabajadores, conforme a lo referido por el Particular</w:t>
      </w:r>
      <w:r w:rsidR="003E713C">
        <w:rPr>
          <w:rFonts w:eastAsia="Calibri" w:cs="Tahoma"/>
          <w:bCs/>
          <w:color w:val="000000"/>
        </w:rPr>
        <w:t>;</w:t>
      </w:r>
      <w:r w:rsidR="001B6B5E" w:rsidRPr="00A2355B">
        <w:rPr>
          <w:rFonts w:cs="Tahoma"/>
        </w:rPr>
        <w:t xml:space="preserve"> por lo que, cumplió </w:t>
      </w:r>
      <w:r w:rsidR="00460284">
        <w:rPr>
          <w:rFonts w:cs="Tahoma"/>
        </w:rPr>
        <w:t>con el primer requisito.</w:t>
      </w:r>
    </w:p>
    <w:p w14:paraId="02FCB3C7" w14:textId="5C450F37" w:rsidR="001136B4" w:rsidRDefault="001136B4" w:rsidP="00A2355B">
      <w:pPr>
        <w:tabs>
          <w:tab w:val="left" w:pos="4962"/>
        </w:tabs>
        <w:spacing w:after="0"/>
        <w:rPr>
          <w:rFonts w:cs="Tahoma"/>
        </w:rPr>
      </w:pPr>
    </w:p>
    <w:p w14:paraId="1BE29C4D" w14:textId="039B7638" w:rsidR="001E6CA8" w:rsidRDefault="00460284" w:rsidP="00A2355B">
      <w:pPr>
        <w:tabs>
          <w:tab w:val="left" w:pos="4962"/>
        </w:tabs>
        <w:spacing w:after="0"/>
        <w:rPr>
          <w:rFonts w:cs="Tahoma"/>
        </w:rPr>
      </w:pPr>
      <w:r>
        <w:rPr>
          <w:rFonts w:cs="Tahoma"/>
        </w:rPr>
        <w:t xml:space="preserve">Ahora bien, por lo que hace al tipo de archivos buscados, cabe señalar que las áreas no fueron clares en precisar en donde buscaron la información, pues únicamente </w:t>
      </w:r>
      <w:r w:rsidR="001E6CA8">
        <w:rPr>
          <w:rFonts w:cs="Tahoma"/>
        </w:rPr>
        <w:t>señalaron</w:t>
      </w:r>
      <w:r>
        <w:rPr>
          <w:rFonts w:cs="Tahoma"/>
        </w:rPr>
        <w:t xml:space="preserve"> que no </w:t>
      </w:r>
      <w:r w:rsidR="001E6CA8">
        <w:rPr>
          <w:rFonts w:cs="Tahoma"/>
        </w:rPr>
        <w:t>contaban al no ser servidores públicos, al ser empleados de una empresa privada, que brindaba servicios profesionales al Sujeto Obligado.</w:t>
      </w:r>
    </w:p>
    <w:p w14:paraId="2576CB65" w14:textId="77777777" w:rsidR="001E6CA8" w:rsidRDefault="001E6CA8" w:rsidP="00A2355B">
      <w:pPr>
        <w:tabs>
          <w:tab w:val="left" w:pos="4962"/>
        </w:tabs>
        <w:spacing w:after="0"/>
        <w:rPr>
          <w:rFonts w:cs="Tahoma"/>
        </w:rPr>
      </w:pPr>
    </w:p>
    <w:p w14:paraId="7E82770E" w14:textId="0B95ED79" w:rsidR="001E6CA8" w:rsidRDefault="001E6CA8" w:rsidP="00A2355B">
      <w:pPr>
        <w:tabs>
          <w:tab w:val="left" w:pos="4962"/>
        </w:tabs>
        <w:spacing w:after="0"/>
        <w:rPr>
          <w:rFonts w:cs="Tahoma"/>
        </w:rPr>
      </w:pPr>
      <w:r>
        <w:rPr>
          <w:rFonts w:cs="Tahoma"/>
        </w:rPr>
        <w:t xml:space="preserve"> Sobre el teme, resulta necesario traer por analogía el Criterio 12/17 emitido por el Instituto Nacional de Transparencia, Acceso a la Información y Protección de Datos Personales, que precisa que los nombres de las personas físicas contratadas con recursos públicos, a través de una empresa de </w:t>
      </w:r>
      <w:r w:rsidRPr="001E6CA8">
        <w:rPr>
          <w:rFonts w:cs="Tahoma"/>
        </w:rPr>
        <w:t>outsourcing</w:t>
      </w:r>
      <w:r>
        <w:rPr>
          <w:rFonts w:cs="Tahoma"/>
        </w:rPr>
        <w:t xml:space="preserve">, aun y </w:t>
      </w:r>
      <w:r w:rsidR="00E623EE">
        <w:rPr>
          <w:rFonts w:cs="Tahoma"/>
        </w:rPr>
        <w:t>cuando</w:t>
      </w:r>
      <w:r>
        <w:rPr>
          <w:rFonts w:cs="Tahoma"/>
        </w:rPr>
        <w:t xml:space="preserve"> no se trate de servidores públicos reviste la naturaleza de pública, al llevar a cabo actividades operativas y administrativas para el cumplimiento del objeto del Ente Recurrido; la misma suerte, corre la información sobre el control y administración de dicho personal, siempre y cuando la información obre en los archivos de la institución.</w:t>
      </w:r>
    </w:p>
    <w:p w14:paraId="1E5A9833" w14:textId="298716EC" w:rsidR="001E6CA8" w:rsidRDefault="001E6CA8" w:rsidP="00A2355B">
      <w:pPr>
        <w:tabs>
          <w:tab w:val="left" w:pos="4962"/>
        </w:tabs>
        <w:spacing w:after="0"/>
        <w:rPr>
          <w:rFonts w:cs="Tahoma"/>
        </w:rPr>
      </w:pPr>
    </w:p>
    <w:p w14:paraId="3E872371" w14:textId="77777777" w:rsidR="00105A12" w:rsidRDefault="00105A12" w:rsidP="00A2355B">
      <w:pPr>
        <w:tabs>
          <w:tab w:val="left" w:pos="4962"/>
        </w:tabs>
        <w:spacing w:after="0"/>
        <w:rPr>
          <w:rFonts w:cs="Tahoma"/>
        </w:rPr>
      </w:pPr>
    </w:p>
    <w:p w14:paraId="6065A7E4" w14:textId="3CA5B5EE" w:rsidR="00460284" w:rsidRDefault="00E623EE" w:rsidP="00A2355B">
      <w:pPr>
        <w:tabs>
          <w:tab w:val="left" w:pos="4962"/>
        </w:tabs>
        <w:spacing w:after="0"/>
      </w:pPr>
      <w:r>
        <w:rPr>
          <w:rFonts w:cs="Tahoma"/>
        </w:rPr>
        <w:t xml:space="preserve">Conforme a lo anterior, se logra colegir que la información que la información sobre la administración y control del personal contratado por </w:t>
      </w:r>
      <w:r>
        <w:t>outsourcing o prestación de servicios profesionales guarda la naturaleza de pública, siempre que la información sea generada o poseída por el Sujeto Obligado; en ese orden de ideas, este Instituto considera que las áreas que se pronunciaron  no fueron claras en especificar en las áreas que buscaron, pues podría existir un expediente respecto al contrato de prestación de servicios profesionales y su ejecución que contenga la información solicitada, esta situación, pues en el Acto Jurídico se establecen las bases de la forma en se realizará el servicio y las circunstancias tomadas en cuenta para la acreditación de este.</w:t>
      </w:r>
    </w:p>
    <w:p w14:paraId="3C4151BD" w14:textId="30E9972D" w:rsidR="00E623EE" w:rsidRDefault="00E623EE" w:rsidP="00A2355B">
      <w:pPr>
        <w:tabs>
          <w:tab w:val="left" w:pos="4962"/>
        </w:tabs>
        <w:spacing w:after="0"/>
      </w:pPr>
    </w:p>
    <w:p w14:paraId="0C59792F" w14:textId="3B220BE4" w:rsidR="00E623EE" w:rsidRDefault="00E623EE" w:rsidP="00A2355B">
      <w:pPr>
        <w:tabs>
          <w:tab w:val="left" w:pos="4962"/>
        </w:tabs>
        <w:spacing w:after="0"/>
        <w:rPr>
          <w:rFonts w:cs="Tahoma"/>
        </w:rPr>
      </w:pPr>
      <w:r>
        <w:t>Tampoco las unidades administrativas fueron clar</w:t>
      </w:r>
      <w:r w:rsidR="00091A55">
        <w:t>a</w:t>
      </w:r>
      <w:r>
        <w:t>s en señalar, los criterios de búsqueda utilizados, pues únicamente señalaron que eran empleados de una empresa privada que brindaba un servicio y omitieron proporcionar el contrato de prestación de servicios, para conocer su objeto y forma de ejecución, ni refi</w:t>
      </w:r>
      <w:r w:rsidR="002D4A52">
        <w:t>ri</w:t>
      </w:r>
      <w:r>
        <w:t xml:space="preserve">eron </w:t>
      </w:r>
      <w:r w:rsidR="002D4A52">
        <w:t>el tipo y materia del servicio, lo cual resulta relevante, pues en el Portal de Información Pública de Oficio Mexiquense del Ente Recurrido (consultado el nueve de marzo de dos mil veintidós, a las trece horas, en la liga</w:t>
      </w:r>
      <w:r w:rsidR="00091A55">
        <w:t xml:space="preserve"> </w:t>
      </w:r>
      <w:hyperlink r:id="rId8" w:history="1">
        <w:r w:rsidR="00091A55" w:rsidRPr="00334E21">
          <w:rPr>
            <w:rStyle w:val="Hipervnculo"/>
          </w:rPr>
          <w:t>https://www.ipomex.org.mx/ipo3/lgt/indice/IHAEM/art_92_xxix_b.web</w:t>
        </w:r>
      </w:hyperlink>
      <w:r w:rsidR="002D4A52">
        <w:t>)</w:t>
      </w:r>
      <w:r w:rsidR="00091A55">
        <w:t>, del cual se advierte que el Sujeto Obligado ha realizado diversos contratos, durante los ejercicios dos mil dieciocho, dos mil diecinueve, dos mil veinte y dos mil veintiuno, para la contratación de servicios profesionales para la celebración de cursos, para la actualización de normas institucionales de competencia laboral, así como, llevar auditorias de seguimiento, acreditación y certificado en normas ISO, entre otros.</w:t>
      </w:r>
    </w:p>
    <w:p w14:paraId="4C721355" w14:textId="4F5C9060" w:rsidR="00460284" w:rsidRDefault="00460284" w:rsidP="00A2355B">
      <w:pPr>
        <w:tabs>
          <w:tab w:val="left" w:pos="4962"/>
        </w:tabs>
        <w:spacing w:after="0"/>
        <w:rPr>
          <w:rFonts w:cs="Tahoma"/>
        </w:rPr>
      </w:pPr>
    </w:p>
    <w:p w14:paraId="2D1B8D51" w14:textId="1C7B7205" w:rsidR="00460284" w:rsidRDefault="00091A55" w:rsidP="00A2355B">
      <w:pPr>
        <w:tabs>
          <w:tab w:val="left" w:pos="4962"/>
        </w:tabs>
        <w:spacing w:after="0"/>
        <w:rPr>
          <w:rFonts w:cs="Tahoma"/>
        </w:rPr>
      </w:pPr>
      <w:r>
        <w:rPr>
          <w:rFonts w:cs="Tahoma"/>
        </w:rPr>
        <w:t>Finalmente, tampoco señalaron las circunstancias tomadas en cuenta para realizar la búsqueda de la información, pues no refirieron la vigencia o periodo de ejecución de l</w:t>
      </w:r>
      <w:r w:rsidR="00A13F7D">
        <w:rPr>
          <w:rFonts w:cs="Tahoma"/>
        </w:rPr>
        <w:t>os servicios profesionales contratados con la empresa, ni refirieron si las personas señaladas, habían estado desde el principio del contrato o no.</w:t>
      </w:r>
    </w:p>
    <w:p w14:paraId="46D1FC3D" w14:textId="00C68283" w:rsidR="00A13F7D" w:rsidRDefault="00A13F7D" w:rsidP="00A2355B">
      <w:pPr>
        <w:tabs>
          <w:tab w:val="left" w:pos="4962"/>
        </w:tabs>
        <w:spacing w:after="0"/>
        <w:rPr>
          <w:rFonts w:cs="Tahoma"/>
        </w:rPr>
      </w:pPr>
    </w:p>
    <w:p w14:paraId="0BE776F9" w14:textId="1319996A" w:rsidR="00A13F7D" w:rsidRDefault="00105A12" w:rsidP="00A13F7D">
      <w:pPr>
        <w:spacing w:after="0"/>
        <w:rPr>
          <w:rFonts w:cs="Tahoma"/>
          <w:iCs/>
          <w:color w:val="auto"/>
          <w:lang w:val="es-ES"/>
        </w:rPr>
      </w:pPr>
      <w:r>
        <w:rPr>
          <w:bCs/>
        </w:rPr>
        <w:t>Así</w:t>
      </w:r>
      <w:r w:rsidR="00A13F7D">
        <w:rPr>
          <w:bCs/>
        </w:rPr>
        <w:t xml:space="preserve">, se logra observar que el Sujeto Obligado no realizó, ni efectuó una búsqueda exhaustiva o razonable, pues si bien si turno el requerimiento de información a las áreas competentes, estás no la realizaron de manera profunda y congruente, pues no cumplieron los requisitos para acreditar que se haya llevado a cabo una indagación correcta en sus archivos, </w:t>
      </w:r>
      <w:r w:rsidR="00A13F7D">
        <w:rPr>
          <w:rFonts w:cs="Tahoma"/>
          <w:iCs/>
          <w:lang w:val="es-ES"/>
        </w:rPr>
        <w:t xml:space="preserve">al no señalar los criterios utilizados para realizar la indagación, el tipo de archivos investigados o bien las circunstancias que fueron tomadas en cuenta. </w:t>
      </w:r>
      <w:r w:rsidR="00A13F7D">
        <w:rPr>
          <w:rFonts w:cs="Tahoma"/>
          <w:lang w:val="es-ES"/>
        </w:rPr>
        <w:t xml:space="preserve">Así, se concluye que el agravio hecho valer por el Particular es </w:t>
      </w:r>
      <w:r w:rsidR="00A13F7D">
        <w:rPr>
          <w:rFonts w:cs="Tahoma"/>
          <w:b/>
          <w:lang w:val="es-ES"/>
        </w:rPr>
        <w:t>FUNDADO.</w:t>
      </w:r>
    </w:p>
    <w:p w14:paraId="5A89809A" w14:textId="2728A7D0" w:rsidR="00A13F7D" w:rsidRDefault="00A13F7D" w:rsidP="00A2355B">
      <w:pPr>
        <w:tabs>
          <w:tab w:val="left" w:pos="4962"/>
        </w:tabs>
        <w:spacing w:after="0"/>
        <w:rPr>
          <w:rFonts w:cs="Tahoma"/>
        </w:rPr>
      </w:pPr>
    </w:p>
    <w:p w14:paraId="3BAEFED3" w14:textId="55E5EC5E" w:rsidR="00F10D52" w:rsidRDefault="00105A12" w:rsidP="00F10D52">
      <w:pPr>
        <w:spacing w:after="0"/>
        <w:rPr>
          <w:rFonts w:eastAsia="Calibri" w:cs="Tahoma"/>
          <w:iCs/>
          <w:lang w:val="es-ES" w:eastAsia="es-ES_tradnl"/>
        </w:rPr>
      </w:pPr>
      <w:r>
        <w:rPr>
          <w:bCs/>
        </w:rPr>
        <w:t>Por lo cual</w:t>
      </w:r>
      <w:r w:rsidR="00A13F7D">
        <w:rPr>
          <w:bCs/>
        </w:rPr>
        <w:t>, se considera que para atender el requerimiento de información, el Sujeto Obligado deberá realizar una búsqueda exhaustiva y razonable en todas las unidades administrativas competentes, entre las cuales no podrá omitir a la</w:t>
      </w:r>
      <w:r w:rsidR="00A13F7D" w:rsidRPr="00A2355B">
        <w:rPr>
          <w:rFonts w:eastAsia="Times New Roman" w:cs="Tahoma"/>
          <w:bCs/>
          <w:color w:val="auto"/>
          <w:lang w:eastAsia="es-ES"/>
        </w:rPr>
        <w:t xml:space="preserve"> </w:t>
      </w:r>
      <w:r w:rsidR="00A13F7D" w:rsidRPr="00FE3DC1">
        <w:rPr>
          <w:rFonts w:eastAsia="Calibri" w:cs="Tahoma"/>
          <w:bCs/>
          <w:color w:val="000000"/>
        </w:rPr>
        <w:t>Unidad de Administración y Finanzas</w:t>
      </w:r>
      <w:r w:rsidR="00A13F7D">
        <w:rPr>
          <w:rFonts w:eastAsia="Calibri" w:cs="Tahoma"/>
          <w:bCs/>
          <w:color w:val="000000"/>
        </w:rPr>
        <w:t xml:space="preserve"> y la Coordinación de Estudios Hacendarios</w:t>
      </w:r>
      <w:r w:rsidR="00A13F7D">
        <w:rPr>
          <w:bCs/>
        </w:rPr>
        <w:t xml:space="preserve">, a efecto de que proporcionen, </w:t>
      </w:r>
      <w:r w:rsidR="00F10D52">
        <w:rPr>
          <w:bCs/>
        </w:rPr>
        <w:t xml:space="preserve">del veintidós de noviembre de dos mil veinte al veintidós de noviembre de dos mil veintiuno, </w:t>
      </w:r>
      <w:r w:rsidR="00A13F7D">
        <w:rPr>
          <w:bCs/>
        </w:rPr>
        <w:t xml:space="preserve">respecto a </w:t>
      </w:r>
      <w:r w:rsidR="00F10D52" w:rsidRPr="0087558A">
        <w:rPr>
          <w:rFonts w:eastAsia="Calibri" w:cs="Tahoma"/>
          <w:iCs/>
          <w:lang w:val="es-ES" w:eastAsia="es-ES_tradnl"/>
        </w:rPr>
        <w:t>José Aldo Gutiérrez Sánchez, Ignacio Regueira Rosas</w:t>
      </w:r>
      <w:r w:rsidR="00F10D52">
        <w:rPr>
          <w:rFonts w:eastAsia="Calibri" w:cs="Tahoma"/>
          <w:iCs/>
          <w:lang w:val="es-ES" w:eastAsia="es-ES_tradnl"/>
        </w:rPr>
        <w:t xml:space="preserve"> </w:t>
      </w:r>
      <w:r w:rsidR="00F10D52" w:rsidRPr="0087558A">
        <w:rPr>
          <w:rFonts w:eastAsia="Calibri" w:cs="Tahoma"/>
          <w:iCs/>
          <w:lang w:val="es-ES" w:eastAsia="es-ES_tradnl"/>
        </w:rPr>
        <w:t>y Fernando González</w:t>
      </w:r>
      <w:r w:rsidR="00F10D52">
        <w:rPr>
          <w:rFonts w:eastAsia="Calibri" w:cs="Tahoma"/>
          <w:iCs/>
          <w:lang w:val="es-ES" w:eastAsia="es-ES_tradnl"/>
        </w:rPr>
        <w:t>, los documentos donde conste lo siguiente:</w:t>
      </w:r>
    </w:p>
    <w:p w14:paraId="692BEE4A" w14:textId="55617B1A" w:rsidR="00F10D52" w:rsidRDefault="00F10D52" w:rsidP="00F10D52">
      <w:pPr>
        <w:spacing w:after="0"/>
        <w:rPr>
          <w:rFonts w:eastAsia="Calibri" w:cs="Tahoma"/>
          <w:iCs/>
          <w:lang w:val="es-ES" w:eastAsia="es-ES_tradnl"/>
        </w:rPr>
      </w:pPr>
    </w:p>
    <w:p w14:paraId="17BC75B4" w14:textId="03D69755" w:rsidR="00F10D52" w:rsidRDefault="00F10D52" w:rsidP="00F10D52">
      <w:pPr>
        <w:pStyle w:val="Prrafodelista"/>
        <w:numPr>
          <w:ilvl w:val="0"/>
          <w:numId w:val="35"/>
        </w:numPr>
        <w:spacing w:after="0"/>
        <w:rPr>
          <w:rFonts w:eastAsia="Calibri" w:cs="Tahoma"/>
          <w:iCs/>
          <w:lang w:val="es-ES" w:eastAsia="es-ES_tradnl"/>
        </w:rPr>
      </w:pPr>
      <w:r>
        <w:rPr>
          <w:rFonts w:eastAsia="Calibri" w:cs="Tahoma"/>
          <w:iCs/>
          <w:lang w:val="es-ES" w:eastAsia="es-ES_tradnl"/>
        </w:rPr>
        <w:t>Registro de asistencia (entrada y salida), y</w:t>
      </w:r>
    </w:p>
    <w:p w14:paraId="5A783B52" w14:textId="77777777" w:rsidR="00F10D52" w:rsidRDefault="00F10D52" w:rsidP="00F10D52">
      <w:pPr>
        <w:pStyle w:val="Prrafodelista"/>
        <w:spacing w:after="0"/>
        <w:rPr>
          <w:rFonts w:eastAsia="Calibri" w:cs="Tahoma"/>
          <w:iCs/>
          <w:lang w:val="es-ES" w:eastAsia="es-ES_tradnl"/>
        </w:rPr>
      </w:pPr>
    </w:p>
    <w:p w14:paraId="74267EAD" w14:textId="371F73F5" w:rsidR="00F10D52" w:rsidRPr="00F10D52" w:rsidRDefault="00F10D52" w:rsidP="00F10D52">
      <w:pPr>
        <w:pStyle w:val="Prrafodelista"/>
        <w:numPr>
          <w:ilvl w:val="0"/>
          <w:numId w:val="35"/>
        </w:numPr>
        <w:spacing w:after="0"/>
        <w:rPr>
          <w:rFonts w:eastAsia="Calibri" w:cs="Tahoma"/>
          <w:iCs/>
          <w:lang w:val="es-ES" w:eastAsia="es-ES_tradnl"/>
        </w:rPr>
      </w:pPr>
      <w:r>
        <w:rPr>
          <w:rFonts w:eastAsia="Calibri" w:cs="Tahoma"/>
          <w:iCs/>
          <w:lang w:val="es-ES" w:eastAsia="es-ES_tradnl"/>
        </w:rPr>
        <w:t>Permisos otorgados.</w:t>
      </w:r>
    </w:p>
    <w:p w14:paraId="41AFCFDE" w14:textId="4372A863" w:rsidR="00147995" w:rsidRDefault="00147995" w:rsidP="00A2355B">
      <w:pPr>
        <w:spacing w:after="0"/>
        <w:rPr>
          <w:bCs/>
        </w:rPr>
      </w:pPr>
    </w:p>
    <w:p w14:paraId="18D511B6" w14:textId="1C369F64" w:rsidR="00A13F7D" w:rsidRDefault="00F10D52" w:rsidP="00A2355B">
      <w:pPr>
        <w:spacing w:after="0"/>
        <w:rPr>
          <w:bCs/>
        </w:rPr>
      </w:pPr>
      <w:r>
        <w:rPr>
          <w:bCs/>
        </w:rPr>
        <w:t xml:space="preserve">Ahora bien, para el caso de que no cuente con algún documento </w:t>
      </w:r>
      <w:r w:rsidR="000C476B">
        <w:rPr>
          <w:bCs/>
        </w:rPr>
        <w:t>que,</w:t>
      </w:r>
      <w:r>
        <w:rPr>
          <w:bCs/>
        </w:rPr>
        <w:t xml:space="preserve"> de cuenta de lo solicitado, al llevar la administración de dicho personal, la empresa que brinda los servicios profesionales y no tener participación alguna el Instituto Hacendario del Estado de México, deberá hacerlo del conocimiento del Recurrente, en términos del artículo 19, párrafo segundo, de la Ley de Transparencia y Acceso a la Información Pública del Estado de México y Municipios.</w:t>
      </w:r>
    </w:p>
    <w:p w14:paraId="6810F1DD" w14:textId="70A9C2B0" w:rsidR="00A13F7D" w:rsidRDefault="00A13F7D" w:rsidP="00A2355B">
      <w:pPr>
        <w:spacing w:after="0"/>
        <w:rPr>
          <w:rFonts w:eastAsia="Times New Roman" w:cs="Tahoma"/>
          <w:bCs/>
          <w:color w:val="auto"/>
          <w:lang w:val="es-ES" w:eastAsia="es-ES"/>
        </w:rPr>
      </w:pPr>
    </w:p>
    <w:p w14:paraId="3B9ED366" w14:textId="5720B477" w:rsidR="00105A12" w:rsidRDefault="00105A12" w:rsidP="00A2355B">
      <w:pPr>
        <w:spacing w:after="0"/>
        <w:rPr>
          <w:rFonts w:eastAsia="Times New Roman" w:cs="Tahoma"/>
          <w:bCs/>
          <w:color w:val="auto"/>
          <w:lang w:val="es-ES" w:eastAsia="es-ES"/>
        </w:rPr>
      </w:pPr>
    </w:p>
    <w:p w14:paraId="1CB80CDA" w14:textId="77777777" w:rsidR="00105A12" w:rsidRDefault="00105A12" w:rsidP="00A2355B">
      <w:pPr>
        <w:spacing w:after="0"/>
        <w:rPr>
          <w:rFonts w:eastAsia="Times New Roman" w:cs="Tahoma"/>
          <w:bCs/>
          <w:color w:val="auto"/>
          <w:lang w:val="es-ES" w:eastAsia="es-ES"/>
        </w:rPr>
      </w:pPr>
    </w:p>
    <w:p w14:paraId="2F8717A7" w14:textId="77777777" w:rsidR="00F10D52" w:rsidRPr="00F10D52" w:rsidRDefault="00F10D52" w:rsidP="00F10D52">
      <w:pPr>
        <w:spacing w:after="0"/>
        <w:rPr>
          <w:rFonts w:eastAsia="Times New Roman" w:cs="Tahoma"/>
          <w:bCs/>
          <w:color w:val="auto"/>
          <w:lang w:val="es-ES" w:eastAsia="es-ES"/>
        </w:rPr>
      </w:pPr>
      <w:r w:rsidRPr="00F10D52">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F10D52">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CA31BBC" w14:textId="77777777" w:rsidR="00F10D52" w:rsidRPr="00F10D52" w:rsidRDefault="00F10D52" w:rsidP="00F10D52">
      <w:pPr>
        <w:spacing w:after="0"/>
        <w:rPr>
          <w:rFonts w:eastAsia="Times New Roman" w:cs="Tahoma"/>
          <w:bCs/>
          <w:color w:val="auto"/>
          <w:lang w:val="es-ES" w:eastAsia="es-ES"/>
        </w:rPr>
      </w:pPr>
    </w:p>
    <w:p w14:paraId="486BF2BB" w14:textId="77777777" w:rsidR="00F10D52" w:rsidRPr="00F10D52" w:rsidRDefault="00F10D52" w:rsidP="00F10D52">
      <w:pPr>
        <w:spacing w:after="0"/>
        <w:rPr>
          <w:rFonts w:eastAsia="Times New Roman" w:cs="Tahoma"/>
          <w:bCs/>
          <w:color w:val="auto"/>
          <w:lang w:val="es-ES" w:eastAsia="es-ES"/>
        </w:rPr>
      </w:pPr>
      <w:r w:rsidRPr="00F10D52">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119703" w14:textId="77777777" w:rsidR="00A13F7D" w:rsidRPr="00A2355B" w:rsidRDefault="00A13F7D" w:rsidP="00A2355B">
      <w:pPr>
        <w:spacing w:after="0"/>
        <w:rPr>
          <w:rFonts w:eastAsia="Times New Roman" w:cs="Tahoma"/>
          <w:bCs/>
          <w:color w:val="auto"/>
          <w:lang w:val="es-ES" w:eastAsia="es-ES"/>
        </w:rPr>
      </w:pPr>
    </w:p>
    <w:p w14:paraId="0C0FCDA9" w14:textId="77777777" w:rsidR="00FA4CDC" w:rsidRPr="00A2355B" w:rsidRDefault="00FA4CDC" w:rsidP="00A2355B">
      <w:pPr>
        <w:spacing w:after="0"/>
        <w:rPr>
          <w:rFonts w:eastAsia="Times New Roman" w:cs="Tahoma"/>
          <w:b/>
          <w:color w:val="auto"/>
          <w:lang w:eastAsia="es-ES"/>
        </w:rPr>
      </w:pPr>
      <w:r w:rsidRPr="00A2355B">
        <w:rPr>
          <w:rFonts w:eastAsia="Times New Roman" w:cs="Tahoma"/>
          <w:b/>
          <w:color w:val="auto"/>
          <w:lang w:eastAsia="es-ES"/>
        </w:rPr>
        <w:t xml:space="preserve">SEXTO. Decisión. </w:t>
      </w:r>
    </w:p>
    <w:p w14:paraId="55517800" w14:textId="77777777" w:rsidR="00FA4CDC" w:rsidRPr="00A2355B" w:rsidRDefault="00FA4CDC" w:rsidP="00A2355B">
      <w:pPr>
        <w:spacing w:after="0"/>
        <w:rPr>
          <w:rFonts w:eastAsia="Times New Roman" w:cs="Tahoma"/>
          <w:bCs/>
          <w:color w:val="auto"/>
          <w:lang w:eastAsia="es-ES"/>
        </w:rPr>
      </w:pPr>
    </w:p>
    <w:p w14:paraId="299FE3E1" w14:textId="43D7593B" w:rsidR="000C476B" w:rsidRDefault="000C476B" w:rsidP="000C476B">
      <w:pPr>
        <w:spacing w:after="0"/>
        <w:rPr>
          <w:rFonts w:eastAsia="Calibri" w:cs="Tahoma"/>
          <w:iCs/>
          <w:lang w:val="es-ES" w:eastAsia="es-ES_tradnl"/>
        </w:rPr>
      </w:pPr>
      <w:r w:rsidRPr="00700D77">
        <w:rPr>
          <w:rFonts w:eastAsia="Times New Roman" w:cs="Tahoma"/>
          <w:iCs/>
          <w:color w:val="auto"/>
          <w:lang w:eastAsia="es-ES"/>
        </w:rPr>
        <w:t xml:space="preserve">De acuerdo con lo expuesto y, con fundamento en el artículo 186, fracción III, de la Ley de Transparencia y Acceso a la Información Pública del Estado de México y Municipios, este Instituto considera procedente </w:t>
      </w:r>
      <w:r>
        <w:rPr>
          <w:rFonts w:eastAsia="Times New Roman" w:cs="Tahoma"/>
          <w:b/>
          <w:iCs/>
          <w:color w:val="auto"/>
          <w:lang w:eastAsia="es-ES"/>
        </w:rPr>
        <w:t xml:space="preserve">MODIFICAR </w:t>
      </w:r>
      <w:r w:rsidRPr="00C57490">
        <w:rPr>
          <w:rFonts w:cs="Tahoma"/>
          <w:bCs/>
          <w:lang w:eastAsia="es-MX"/>
        </w:rPr>
        <w:t xml:space="preserve">la repuesta otorgada </w:t>
      </w:r>
      <w:r w:rsidRPr="00C57490">
        <w:rPr>
          <w:rFonts w:cs="Tahoma"/>
          <w:lang w:eastAsia="es-MX"/>
        </w:rPr>
        <w:t>por el Sujeto Obligado</w:t>
      </w:r>
      <w:r>
        <w:rPr>
          <w:rFonts w:cs="Tahoma"/>
          <w:lang w:eastAsia="es-MX"/>
        </w:rPr>
        <w:t xml:space="preserve"> a la solicitud de información</w:t>
      </w:r>
      <w:r w:rsidRPr="00C57490">
        <w:rPr>
          <w:rFonts w:cs="Tahoma"/>
          <w:lang w:eastAsia="es-MX"/>
        </w:rPr>
        <w:t xml:space="preserve">, a efecto de que, previa búsqueda exhaustiva y razonable en todas las áreas competentes, </w:t>
      </w:r>
      <w:r>
        <w:rPr>
          <w:bCs/>
        </w:rPr>
        <w:t>entre las cuales no podrá omitir a la</w:t>
      </w:r>
      <w:r w:rsidRPr="00A2355B">
        <w:rPr>
          <w:rFonts w:eastAsia="Times New Roman" w:cs="Tahoma"/>
          <w:bCs/>
          <w:color w:val="auto"/>
          <w:lang w:eastAsia="es-ES"/>
        </w:rPr>
        <w:t xml:space="preserve"> </w:t>
      </w:r>
      <w:r w:rsidRPr="00FE3DC1">
        <w:rPr>
          <w:rFonts w:eastAsia="Calibri" w:cs="Tahoma"/>
          <w:bCs/>
          <w:color w:val="000000"/>
        </w:rPr>
        <w:t>Unidad de Administración y Finanzas</w:t>
      </w:r>
      <w:r>
        <w:rPr>
          <w:rFonts w:eastAsia="Calibri" w:cs="Tahoma"/>
          <w:bCs/>
          <w:color w:val="000000"/>
        </w:rPr>
        <w:t xml:space="preserve"> y la Coordinación de Estudios Hacendarios</w:t>
      </w:r>
      <w:r>
        <w:rPr>
          <w:bCs/>
        </w:rPr>
        <w:t xml:space="preserve">, </w:t>
      </w:r>
      <w:r w:rsidRPr="00C57490">
        <w:rPr>
          <w:rFonts w:cs="Tahoma"/>
          <w:lang w:eastAsia="es-MX"/>
        </w:rPr>
        <w:t xml:space="preserve">entregue, </w:t>
      </w:r>
      <w:r w:rsidRPr="00C57490">
        <w:rPr>
          <w:rFonts w:cs="Tahoma"/>
          <w:iCs/>
          <w:lang w:eastAsia="es-MX"/>
        </w:rPr>
        <w:t>a través del Sistema de Acceso a la Información Mexiquense (SAIMEX),</w:t>
      </w:r>
      <w:r>
        <w:rPr>
          <w:rFonts w:cs="Tahoma"/>
          <w:iCs/>
          <w:lang w:eastAsia="es-MX"/>
        </w:rPr>
        <w:t xml:space="preserve"> en su caso, en versión pública</w:t>
      </w:r>
      <w:r>
        <w:rPr>
          <w:bCs/>
        </w:rPr>
        <w:t xml:space="preserve">, del veintidós de noviembre de dos mil veinte al veintidós de noviembre de dos mil veintiuno, respecto a </w:t>
      </w:r>
      <w:r w:rsidRPr="0087558A">
        <w:rPr>
          <w:rFonts w:eastAsia="Calibri" w:cs="Tahoma"/>
          <w:iCs/>
          <w:lang w:val="es-ES" w:eastAsia="es-ES_tradnl"/>
        </w:rPr>
        <w:t>José Aldo Gutiérrez Sánchez, Ignacio Regueira Rosas</w:t>
      </w:r>
      <w:r>
        <w:rPr>
          <w:rFonts w:eastAsia="Calibri" w:cs="Tahoma"/>
          <w:iCs/>
          <w:lang w:val="es-ES" w:eastAsia="es-ES_tradnl"/>
        </w:rPr>
        <w:t xml:space="preserve"> </w:t>
      </w:r>
      <w:r w:rsidRPr="0087558A">
        <w:rPr>
          <w:rFonts w:eastAsia="Calibri" w:cs="Tahoma"/>
          <w:iCs/>
          <w:lang w:val="es-ES" w:eastAsia="es-ES_tradnl"/>
        </w:rPr>
        <w:t>y Fernando González</w:t>
      </w:r>
      <w:r>
        <w:rPr>
          <w:rFonts w:eastAsia="Calibri" w:cs="Tahoma"/>
          <w:iCs/>
          <w:lang w:val="es-ES" w:eastAsia="es-ES_tradnl"/>
        </w:rPr>
        <w:t>, los documentos donde conste lo siguiente:</w:t>
      </w:r>
    </w:p>
    <w:p w14:paraId="75F5F70B" w14:textId="5BD1D5F2" w:rsidR="000C476B" w:rsidRDefault="000C476B" w:rsidP="000C476B">
      <w:pPr>
        <w:spacing w:after="0"/>
        <w:rPr>
          <w:rFonts w:eastAsia="Calibri" w:cs="Tahoma"/>
          <w:iCs/>
          <w:lang w:val="es-ES" w:eastAsia="es-ES_tradnl"/>
        </w:rPr>
      </w:pPr>
    </w:p>
    <w:p w14:paraId="1C097B16" w14:textId="77777777" w:rsidR="00105A12" w:rsidRDefault="00105A12" w:rsidP="000C476B">
      <w:pPr>
        <w:spacing w:after="0"/>
        <w:rPr>
          <w:rFonts w:eastAsia="Calibri" w:cs="Tahoma"/>
          <w:iCs/>
          <w:lang w:val="es-ES" w:eastAsia="es-ES_tradnl"/>
        </w:rPr>
      </w:pPr>
    </w:p>
    <w:p w14:paraId="781345B2" w14:textId="77777777" w:rsidR="000C476B" w:rsidRDefault="000C476B" w:rsidP="000C476B">
      <w:pPr>
        <w:pStyle w:val="Prrafodelista"/>
        <w:numPr>
          <w:ilvl w:val="0"/>
          <w:numId w:val="35"/>
        </w:numPr>
        <w:spacing w:after="0"/>
        <w:rPr>
          <w:rFonts w:eastAsia="Calibri" w:cs="Tahoma"/>
          <w:iCs/>
          <w:lang w:val="es-ES" w:eastAsia="es-ES_tradnl"/>
        </w:rPr>
      </w:pPr>
      <w:r>
        <w:rPr>
          <w:rFonts w:eastAsia="Calibri" w:cs="Tahoma"/>
          <w:iCs/>
          <w:lang w:val="es-ES" w:eastAsia="es-ES_tradnl"/>
        </w:rPr>
        <w:t>Registro de asistencia (entrada y salida), y</w:t>
      </w:r>
    </w:p>
    <w:p w14:paraId="1665C2AA" w14:textId="77777777" w:rsidR="000C476B" w:rsidRDefault="000C476B" w:rsidP="000C476B">
      <w:pPr>
        <w:pStyle w:val="Prrafodelista"/>
        <w:spacing w:after="0"/>
        <w:rPr>
          <w:rFonts w:eastAsia="Calibri" w:cs="Tahoma"/>
          <w:iCs/>
          <w:lang w:val="es-ES" w:eastAsia="es-ES_tradnl"/>
        </w:rPr>
      </w:pPr>
    </w:p>
    <w:p w14:paraId="58E9B71E" w14:textId="77777777" w:rsidR="000C476B" w:rsidRPr="00F10D52" w:rsidRDefault="000C476B" w:rsidP="000C476B">
      <w:pPr>
        <w:pStyle w:val="Prrafodelista"/>
        <w:numPr>
          <w:ilvl w:val="0"/>
          <w:numId w:val="35"/>
        </w:numPr>
        <w:spacing w:after="0"/>
        <w:rPr>
          <w:rFonts w:eastAsia="Calibri" w:cs="Tahoma"/>
          <w:iCs/>
          <w:lang w:val="es-ES" w:eastAsia="es-ES_tradnl"/>
        </w:rPr>
      </w:pPr>
      <w:r>
        <w:rPr>
          <w:rFonts w:eastAsia="Calibri" w:cs="Tahoma"/>
          <w:iCs/>
          <w:lang w:val="es-ES" w:eastAsia="es-ES_tradnl"/>
        </w:rPr>
        <w:t>Permisos otorgados.</w:t>
      </w:r>
    </w:p>
    <w:p w14:paraId="37097187" w14:textId="77777777" w:rsidR="00105A12" w:rsidRDefault="00105A12" w:rsidP="000C476B">
      <w:pPr>
        <w:tabs>
          <w:tab w:val="left" w:pos="4962"/>
        </w:tabs>
        <w:spacing w:after="0"/>
        <w:rPr>
          <w:rFonts w:eastAsia="Calibri" w:cs="Tahoma"/>
          <w:bCs/>
          <w:iCs/>
          <w:color w:val="auto"/>
          <w:lang w:val="es-ES"/>
        </w:rPr>
      </w:pPr>
    </w:p>
    <w:p w14:paraId="1B9BFFD1" w14:textId="17D73B45" w:rsidR="000C476B" w:rsidRPr="000C476B" w:rsidRDefault="000C476B" w:rsidP="000C476B">
      <w:pPr>
        <w:tabs>
          <w:tab w:val="left" w:pos="4962"/>
        </w:tabs>
        <w:spacing w:after="0"/>
        <w:rPr>
          <w:rFonts w:eastAsia="Calibri" w:cs="Tahoma"/>
          <w:bCs/>
          <w:iCs/>
          <w:color w:val="auto"/>
          <w:lang w:val="es-ES"/>
        </w:rPr>
      </w:pPr>
      <w:r w:rsidRPr="000C476B">
        <w:rPr>
          <w:rFonts w:eastAsia="Calibri" w:cs="Tahoma"/>
          <w:bCs/>
          <w:iCs/>
          <w:color w:val="auto"/>
          <w:lang w:val="es-ES"/>
        </w:rPr>
        <w:t>Además,</w:t>
      </w:r>
      <w:r>
        <w:rPr>
          <w:rFonts w:eastAsia="Calibri" w:cs="Tahoma"/>
          <w:bCs/>
          <w:iCs/>
          <w:color w:val="auto"/>
          <w:lang w:val="es-ES"/>
        </w:rPr>
        <w:t xml:space="preserve"> de ser necesario,</w:t>
      </w:r>
      <w:r w:rsidRPr="000C476B">
        <w:rPr>
          <w:rFonts w:eastAsia="Calibri" w:cs="Tahoma"/>
          <w:bCs/>
          <w:iCs/>
          <w:color w:val="auto"/>
          <w:lang w:val="es-ES"/>
        </w:rPr>
        <w:t xml:space="preserve">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5B92773" w14:textId="19FE1B9F" w:rsidR="00FA4CDC" w:rsidRDefault="00FA4CDC" w:rsidP="000C476B">
      <w:pPr>
        <w:autoSpaceDE w:val="0"/>
        <w:autoSpaceDN w:val="0"/>
        <w:adjustRightInd w:val="0"/>
        <w:spacing w:after="0"/>
        <w:rPr>
          <w:rFonts w:eastAsia="Times New Roman" w:cs="Tahoma"/>
          <w:bCs/>
          <w:color w:val="auto"/>
          <w:lang w:eastAsia="es-ES"/>
        </w:rPr>
      </w:pPr>
    </w:p>
    <w:p w14:paraId="12A4726D" w14:textId="61884514" w:rsidR="000C476B" w:rsidRDefault="000C476B" w:rsidP="000C476B">
      <w:pPr>
        <w:spacing w:after="0"/>
        <w:rPr>
          <w:bCs/>
        </w:rPr>
      </w:pPr>
      <w:r>
        <w:rPr>
          <w:bCs/>
        </w:rPr>
        <w:t>Para el supuesto, de que no cuente con algún documento que dé cuenta de lo solicitado, al llevar la administración de dicho personal, la empresa que brinda los servicios profesionales y no tener participación alguna el Instituto Hacendario del Estado de México, deberá hacerlo del conocimiento del Recurrente, de manera clara y precisa.</w:t>
      </w:r>
    </w:p>
    <w:p w14:paraId="2FD4D2B7" w14:textId="77777777" w:rsidR="000C476B" w:rsidRPr="00A2355B" w:rsidRDefault="000C476B" w:rsidP="000C476B">
      <w:pPr>
        <w:autoSpaceDE w:val="0"/>
        <w:autoSpaceDN w:val="0"/>
        <w:adjustRightInd w:val="0"/>
        <w:spacing w:after="0"/>
        <w:rPr>
          <w:rFonts w:eastAsia="Times New Roman" w:cs="Tahoma"/>
          <w:bCs/>
          <w:color w:val="auto"/>
          <w:lang w:eastAsia="es-ES"/>
        </w:rPr>
      </w:pPr>
    </w:p>
    <w:p w14:paraId="2B2B0DAB" w14:textId="77777777" w:rsidR="00FA4CDC" w:rsidRPr="00A2355B" w:rsidRDefault="00FA4CDC" w:rsidP="00A2355B">
      <w:pPr>
        <w:spacing w:after="0"/>
        <w:rPr>
          <w:rFonts w:eastAsia="Times New Roman" w:cs="Tahoma"/>
          <w:b/>
          <w:color w:val="auto"/>
          <w:lang w:eastAsia="es-ES"/>
        </w:rPr>
      </w:pPr>
      <w:r w:rsidRPr="00A2355B">
        <w:rPr>
          <w:rFonts w:eastAsia="Times New Roman" w:cs="Tahoma"/>
          <w:b/>
          <w:color w:val="auto"/>
          <w:lang w:eastAsia="es-ES"/>
        </w:rPr>
        <w:t>Términos de la Resolución para conocimiento del Particular.</w:t>
      </w:r>
    </w:p>
    <w:p w14:paraId="2DB81703" w14:textId="77777777" w:rsidR="00FA4CDC" w:rsidRPr="00A2355B" w:rsidRDefault="00FA4CDC" w:rsidP="00A2355B">
      <w:pPr>
        <w:spacing w:after="0"/>
        <w:rPr>
          <w:rFonts w:eastAsia="Times New Roman" w:cs="Tahoma"/>
          <w:bCs/>
          <w:color w:val="auto"/>
          <w:lang w:eastAsia="es-ES"/>
        </w:rPr>
      </w:pPr>
    </w:p>
    <w:p w14:paraId="430A55B4" w14:textId="5605FE09" w:rsidR="00EA776B" w:rsidRPr="00A2355B" w:rsidRDefault="00FA4CDC" w:rsidP="00A2355B">
      <w:pPr>
        <w:spacing w:after="0"/>
        <w:rPr>
          <w:rFonts w:eastAsia="Times New Roman" w:cs="Tahoma"/>
          <w:bCs/>
          <w:color w:val="auto"/>
          <w:lang w:eastAsia="es-ES"/>
        </w:rPr>
      </w:pPr>
      <w:r w:rsidRPr="00A2355B">
        <w:rPr>
          <w:rFonts w:eastAsia="Times New Roman" w:cs="Tahoma"/>
          <w:bCs/>
          <w:color w:val="auto"/>
          <w:lang w:eastAsia="es-ES"/>
        </w:rPr>
        <w:t xml:space="preserve">Se le hace del conocimiento al Particular, que, en el presente caso, </w:t>
      </w:r>
      <w:r w:rsidR="000C476B">
        <w:rPr>
          <w:rFonts w:eastAsia="Times New Roman" w:cs="Tahoma"/>
          <w:bCs/>
          <w:color w:val="auto"/>
          <w:lang w:eastAsia="es-ES"/>
        </w:rPr>
        <w:t>se le da la razón, pues la información de los trabajadores adscritos a una empresa privada, que brinden servicios profesionales al Instituto Hacendario del Estado de México guardan la naturaleza de pública, siempre y cuando, la información obre en los archivos de dicha institución, por lo que, el Sujeto Obligado deberá realizar una búsqueda exhaustiva y razonable y proporcionar, en su caso, la documentación que obre en sus archivos.</w:t>
      </w:r>
    </w:p>
    <w:p w14:paraId="13FF132B" w14:textId="77777777" w:rsidR="00176419" w:rsidRPr="00A2355B" w:rsidRDefault="00176419" w:rsidP="00A2355B">
      <w:pPr>
        <w:spacing w:after="0"/>
        <w:rPr>
          <w:rFonts w:eastAsia="Times New Roman" w:cs="Tahoma"/>
          <w:bCs/>
          <w:color w:val="auto"/>
          <w:lang w:eastAsia="es-ES"/>
        </w:rPr>
      </w:pPr>
    </w:p>
    <w:p w14:paraId="0A57A948" w14:textId="6F1BAE6A" w:rsidR="00FA4CDC" w:rsidRPr="00A2355B" w:rsidRDefault="00FA4CDC" w:rsidP="00A2355B">
      <w:pPr>
        <w:spacing w:after="0"/>
        <w:rPr>
          <w:rFonts w:eastAsia="Times New Roman" w:cs="Tahoma"/>
          <w:bCs/>
          <w:color w:val="auto"/>
          <w:lang w:eastAsia="es-ES"/>
        </w:rPr>
      </w:pPr>
      <w:r w:rsidRPr="00A2355B">
        <w:rPr>
          <w:rFonts w:eastAsia="Times New Roman" w:cs="Tahoma"/>
          <w:bCs/>
          <w:color w:val="auto"/>
          <w:lang w:eastAsia="es-ES"/>
        </w:rPr>
        <w:t>La labor de este Instituto, es apoyar a la población para acceder a la información pública y garantizar la protección de sus datos personales.</w:t>
      </w:r>
    </w:p>
    <w:p w14:paraId="6005E4CE" w14:textId="00550903" w:rsidR="00FA4CDC" w:rsidRDefault="00FA4CDC" w:rsidP="00A2355B">
      <w:pPr>
        <w:spacing w:after="0"/>
        <w:rPr>
          <w:rFonts w:eastAsia="Times New Roman" w:cs="Tahoma"/>
          <w:bCs/>
          <w:color w:val="auto"/>
          <w:lang w:eastAsia="es-ES"/>
        </w:rPr>
      </w:pPr>
    </w:p>
    <w:p w14:paraId="5D278EC6" w14:textId="77777777" w:rsidR="00FA4CDC" w:rsidRPr="00A2355B" w:rsidRDefault="00FA4CDC" w:rsidP="00A2355B">
      <w:pPr>
        <w:spacing w:after="0"/>
        <w:rPr>
          <w:rFonts w:eastAsia="Times New Roman" w:cs="Tahoma"/>
          <w:bCs/>
          <w:color w:val="auto"/>
          <w:lang w:eastAsia="es-ES"/>
        </w:rPr>
      </w:pPr>
      <w:r w:rsidRPr="00A2355B">
        <w:rPr>
          <w:rFonts w:eastAsia="Times New Roman" w:cs="Tahoma"/>
          <w:bCs/>
          <w:color w:val="auto"/>
          <w:lang w:eastAsia="es-ES"/>
        </w:rPr>
        <w:t>Por lo expuesto y fundado, este Pleno:</w:t>
      </w:r>
    </w:p>
    <w:p w14:paraId="519D16E6" w14:textId="77777777" w:rsidR="00FA4CDC" w:rsidRPr="00A2355B" w:rsidRDefault="00FA4CDC" w:rsidP="00A2355B">
      <w:pPr>
        <w:spacing w:after="0"/>
        <w:rPr>
          <w:rFonts w:eastAsia="Times New Roman" w:cs="Tahoma"/>
          <w:bCs/>
          <w:color w:val="auto"/>
          <w:lang w:eastAsia="es-ES"/>
        </w:rPr>
      </w:pPr>
    </w:p>
    <w:p w14:paraId="12844EA6" w14:textId="77777777" w:rsidR="00FA4CDC" w:rsidRPr="00A2355B" w:rsidRDefault="00FA4CDC" w:rsidP="00A2355B">
      <w:pPr>
        <w:spacing w:after="0"/>
        <w:jc w:val="center"/>
        <w:rPr>
          <w:rFonts w:eastAsia="Times New Roman" w:cs="Tahoma"/>
          <w:b/>
          <w:color w:val="auto"/>
          <w:lang w:eastAsia="es-ES"/>
        </w:rPr>
      </w:pPr>
      <w:r w:rsidRPr="00A2355B">
        <w:rPr>
          <w:rFonts w:eastAsia="Times New Roman" w:cs="Tahoma"/>
          <w:b/>
          <w:color w:val="auto"/>
          <w:lang w:eastAsia="es-ES"/>
        </w:rPr>
        <w:t>R E S U E L V E:</w:t>
      </w:r>
    </w:p>
    <w:p w14:paraId="78C9E8A7" w14:textId="1CE1D355" w:rsidR="00FA4CDC" w:rsidRDefault="00FA4CDC" w:rsidP="00A2355B">
      <w:pPr>
        <w:spacing w:after="0"/>
        <w:rPr>
          <w:rFonts w:eastAsia="Times New Roman" w:cs="Tahoma"/>
          <w:bCs/>
          <w:color w:val="auto"/>
          <w:lang w:eastAsia="es-ES"/>
        </w:rPr>
      </w:pPr>
    </w:p>
    <w:p w14:paraId="1E75249F" w14:textId="0F0A98D8" w:rsidR="000C476B" w:rsidRDefault="000C476B" w:rsidP="00A2355B">
      <w:pPr>
        <w:spacing w:after="0"/>
        <w:rPr>
          <w:rFonts w:eastAsia="Times New Roman" w:cs="Tahoma"/>
          <w:bCs/>
          <w:color w:val="auto"/>
          <w:lang w:eastAsia="es-ES"/>
        </w:rPr>
      </w:pPr>
    </w:p>
    <w:p w14:paraId="47124DB0" w14:textId="47CC34DA" w:rsidR="000C476B" w:rsidRPr="000C476B" w:rsidRDefault="000C476B" w:rsidP="000C476B">
      <w:pPr>
        <w:spacing w:after="0"/>
        <w:contextualSpacing/>
        <w:rPr>
          <w:rFonts w:eastAsia="Calibri" w:cs="Tahoma"/>
          <w:bCs/>
          <w:color w:val="000000"/>
        </w:rPr>
      </w:pPr>
      <w:r w:rsidRPr="000C476B">
        <w:rPr>
          <w:rFonts w:eastAsia="Calibri" w:cs="Tahoma"/>
          <w:b/>
          <w:bCs/>
          <w:color w:val="000000"/>
        </w:rPr>
        <w:t xml:space="preserve">PRIMERO. </w:t>
      </w:r>
      <w:r w:rsidRPr="000C476B">
        <w:rPr>
          <w:rFonts w:eastAsia="Calibri" w:cs="Tahoma"/>
          <w:bCs/>
          <w:color w:val="000000"/>
        </w:rPr>
        <w:t xml:space="preserve">Se </w:t>
      </w:r>
      <w:r>
        <w:rPr>
          <w:rFonts w:eastAsia="Calibri" w:cs="Tahoma"/>
          <w:b/>
          <w:bCs/>
          <w:color w:val="000000"/>
        </w:rPr>
        <w:t>MODIFI</w:t>
      </w:r>
      <w:r w:rsidRPr="000C476B">
        <w:rPr>
          <w:rFonts w:eastAsia="Calibri" w:cs="Tahoma"/>
          <w:b/>
          <w:bCs/>
          <w:color w:val="000000"/>
        </w:rPr>
        <w:t>CA</w:t>
      </w:r>
      <w:r w:rsidRPr="000C476B">
        <w:rPr>
          <w:rFonts w:eastAsia="Calibri" w:cs="Tahoma"/>
          <w:bCs/>
          <w:color w:val="000000"/>
        </w:rPr>
        <w:t xml:space="preserve"> la respuesta entregada por </w:t>
      </w:r>
      <w:r w:rsidR="00105A12">
        <w:rPr>
          <w:rFonts w:eastAsia="Calibri" w:cs="Tahoma"/>
          <w:bCs/>
          <w:color w:val="000000"/>
        </w:rPr>
        <w:t xml:space="preserve">el Instituto Hacendario del Estado de México a </w:t>
      </w:r>
      <w:r w:rsidRPr="000C476B">
        <w:rPr>
          <w:rFonts w:eastAsia="Calibri" w:cs="Tahoma"/>
          <w:bCs/>
          <w:color w:val="000000"/>
        </w:rPr>
        <w:t xml:space="preserve">la solicitud de </w:t>
      </w:r>
      <w:r w:rsidRPr="000C476B">
        <w:rPr>
          <w:rFonts w:eastAsia="Calibri" w:cs="Tahoma"/>
          <w:color w:val="000000"/>
        </w:rPr>
        <w:t xml:space="preserve">información </w:t>
      </w:r>
      <w:r w:rsidR="00105A12" w:rsidRPr="00A93BEA">
        <w:t>00101/IHAEM/IP/2021</w:t>
      </w:r>
      <w:r w:rsidR="00105A12">
        <w:t xml:space="preserve">, </w:t>
      </w:r>
      <w:r w:rsidRPr="000C476B">
        <w:rPr>
          <w:rFonts w:eastAsia="Calibri" w:cs="Times New Roman"/>
          <w:color w:val="000000"/>
        </w:rPr>
        <w:t xml:space="preserve">por resultar </w:t>
      </w:r>
      <w:r w:rsidRPr="000C476B">
        <w:rPr>
          <w:rFonts w:eastAsia="Calibri" w:cs="Times New Roman"/>
          <w:b/>
          <w:color w:val="000000"/>
        </w:rPr>
        <w:t>FUNDADAS</w:t>
      </w:r>
      <w:r w:rsidRPr="000C476B">
        <w:rPr>
          <w:rFonts w:eastAsia="Calibri" w:cs="Tahoma"/>
          <w:color w:val="000000"/>
        </w:rPr>
        <w:t xml:space="preserve"> las razones o motivos de inconformidad hechos valer por el Particular, en</w:t>
      </w:r>
      <w:r w:rsidRPr="000C476B">
        <w:rPr>
          <w:rFonts w:eastAsia="Calibri" w:cs="Tahoma"/>
          <w:bCs/>
          <w:color w:val="000000"/>
        </w:rPr>
        <w:t xml:space="preserve"> términos de los considerandos </w:t>
      </w:r>
      <w:r w:rsidRPr="000C476B">
        <w:rPr>
          <w:rFonts w:eastAsia="Calibri" w:cs="Tahoma"/>
          <w:b/>
          <w:bCs/>
          <w:color w:val="000000"/>
        </w:rPr>
        <w:t xml:space="preserve">QUINTO </w:t>
      </w:r>
      <w:r w:rsidRPr="000C476B">
        <w:rPr>
          <w:rFonts w:eastAsia="Calibri" w:cs="Tahoma"/>
          <w:color w:val="000000"/>
        </w:rPr>
        <w:t xml:space="preserve">y </w:t>
      </w:r>
      <w:r w:rsidRPr="000C476B">
        <w:rPr>
          <w:rFonts w:eastAsia="Calibri" w:cs="Tahoma"/>
          <w:b/>
          <w:bCs/>
          <w:color w:val="000000"/>
        </w:rPr>
        <w:t>SEXTO</w:t>
      </w:r>
      <w:r w:rsidRPr="000C476B">
        <w:rPr>
          <w:rFonts w:eastAsia="Calibri" w:cs="Tahoma"/>
          <w:bCs/>
          <w:color w:val="000000"/>
        </w:rPr>
        <w:t xml:space="preserve"> de la presente Resolución.</w:t>
      </w:r>
    </w:p>
    <w:p w14:paraId="243B28BD" w14:textId="77777777" w:rsidR="000C476B" w:rsidRPr="000C476B" w:rsidRDefault="000C476B" w:rsidP="000C476B">
      <w:pPr>
        <w:spacing w:after="0"/>
        <w:contextualSpacing/>
        <w:rPr>
          <w:rFonts w:eastAsia="Calibri" w:cs="Tahoma"/>
          <w:bCs/>
          <w:color w:val="000000"/>
        </w:rPr>
      </w:pPr>
    </w:p>
    <w:p w14:paraId="64D06623" w14:textId="6CF3E029" w:rsidR="00105A12" w:rsidRPr="00105A12" w:rsidRDefault="000C476B" w:rsidP="00105A12">
      <w:pPr>
        <w:spacing w:after="0"/>
        <w:rPr>
          <w:rFonts w:eastAsia="Calibri" w:cs="Tahoma"/>
          <w:iCs/>
          <w:lang w:val="es-ES" w:eastAsia="es-ES_tradnl"/>
        </w:rPr>
      </w:pPr>
      <w:r w:rsidRPr="000C476B">
        <w:rPr>
          <w:rFonts w:eastAsia="Calibri" w:cs="Tahoma"/>
          <w:b/>
          <w:bCs/>
          <w:color w:val="000000"/>
        </w:rPr>
        <w:t xml:space="preserve">SEGUNDO. </w:t>
      </w:r>
      <w:r w:rsidRPr="000C476B">
        <w:rPr>
          <w:rFonts w:eastAsia="Calibri" w:cs="Tahoma"/>
          <w:color w:val="000000"/>
        </w:rPr>
        <w:t xml:space="preserve">Se </w:t>
      </w:r>
      <w:r w:rsidRPr="000C476B">
        <w:rPr>
          <w:rFonts w:eastAsia="Calibri" w:cs="Tahoma"/>
          <w:b/>
          <w:color w:val="000000"/>
        </w:rPr>
        <w:t xml:space="preserve">ORDENA </w:t>
      </w:r>
      <w:r w:rsidRPr="000C476B">
        <w:rPr>
          <w:rFonts w:eastAsia="Calibri" w:cs="Tahoma"/>
          <w:bCs/>
          <w:color w:val="000000"/>
        </w:rPr>
        <w:t xml:space="preserve">al </w:t>
      </w:r>
      <w:r w:rsidRPr="000C476B">
        <w:rPr>
          <w:rFonts w:eastAsia="Calibri" w:cs="Tahoma"/>
          <w:color w:val="000000"/>
        </w:rPr>
        <w:t xml:space="preserve">Ente Recurrido, </w:t>
      </w:r>
      <w:bookmarkStart w:id="1" w:name="_Hlk96601250"/>
      <w:r w:rsidRPr="000C476B">
        <w:rPr>
          <w:rFonts w:eastAsia="Calibri" w:cs="Tahoma"/>
          <w:color w:val="000000"/>
        </w:rPr>
        <w:t>a efecto de</w:t>
      </w:r>
      <w:r w:rsidRPr="000C476B">
        <w:rPr>
          <w:rFonts w:eastAsia="Calibri" w:cs="Tahoma"/>
          <w:color w:val="000000"/>
          <w:lang w:eastAsia="es-MX"/>
        </w:rPr>
        <w:t xml:space="preserve"> que, previa búsqueda exhaustiva y razonable, en todas las áreas competentes, entregue</w:t>
      </w:r>
      <w:r w:rsidRPr="000C476B">
        <w:rPr>
          <w:rFonts w:eastAsia="Calibri" w:cs="Tahoma"/>
          <w:color w:val="000000"/>
        </w:rPr>
        <w:t xml:space="preserve">, a través del Sistema de Acceso a la Información Mexiquense (SAIMEX), </w:t>
      </w:r>
      <w:bookmarkEnd w:id="1"/>
      <w:r w:rsidR="00105A12" w:rsidRPr="00105A12">
        <w:rPr>
          <w:rFonts w:cs="Tahoma"/>
          <w:iCs/>
          <w:lang w:eastAsia="es-MX"/>
        </w:rPr>
        <w:t>en su caso, en versión pública</w:t>
      </w:r>
      <w:r w:rsidR="00105A12" w:rsidRPr="00105A12">
        <w:rPr>
          <w:bCs/>
        </w:rPr>
        <w:t xml:space="preserve">, del veintidós de noviembre de dos mil veinte al veintidós de noviembre de dos mil veintiuno, respecto a </w:t>
      </w:r>
      <w:r w:rsidR="00105A12">
        <w:rPr>
          <w:rFonts w:eastAsia="Calibri" w:cs="Tahoma"/>
          <w:iCs/>
          <w:lang w:val="es-ES" w:eastAsia="es-ES_tradnl"/>
        </w:rPr>
        <w:t xml:space="preserve">las tres personas señaladas en el Considerando </w:t>
      </w:r>
      <w:r w:rsidR="00105A12" w:rsidRPr="00105A12">
        <w:rPr>
          <w:rFonts w:eastAsia="Calibri" w:cs="Tahoma"/>
          <w:b/>
          <w:bCs/>
          <w:iCs/>
          <w:lang w:val="es-ES" w:eastAsia="es-ES_tradnl"/>
        </w:rPr>
        <w:t>SEXTO</w:t>
      </w:r>
      <w:r w:rsidR="00105A12" w:rsidRPr="00105A12">
        <w:rPr>
          <w:rFonts w:eastAsia="Calibri" w:cs="Tahoma"/>
          <w:iCs/>
          <w:lang w:val="es-ES" w:eastAsia="es-ES_tradnl"/>
        </w:rPr>
        <w:t>, los documentos donde conste lo siguiente:</w:t>
      </w:r>
    </w:p>
    <w:p w14:paraId="29EB26EE" w14:textId="77777777" w:rsidR="00105A12" w:rsidRPr="00105A12" w:rsidRDefault="00105A12" w:rsidP="00105A12">
      <w:pPr>
        <w:spacing w:after="0"/>
        <w:rPr>
          <w:rFonts w:eastAsia="Calibri" w:cs="Tahoma"/>
          <w:iCs/>
          <w:lang w:val="es-ES" w:eastAsia="es-ES_tradnl"/>
        </w:rPr>
      </w:pPr>
    </w:p>
    <w:p w14:paraId="3D41469D" w14:textId="77777777" w:rsidR="00105A12" w:rsidRPr="00105A12" w:rsidRDefault="00105A12" w:rsidP="00105A12">
      <w:pPr>
        <w:numPr>
          <w:ilvl w:val="0"/>
          <w:numId w:val="35"/>
        </w:numPr>
        <w:spacing w:after="0"/>
        <w:contextualSpacing/>
        <w:rPr>
          <w:rFonts w:eastAsia="Calibri" w:cs="Tahoma"/>
          <w:iCs/>
          <w:lang w:val="es-ES" w:eastAsia="es-ES_tradnl"/>
        </w:rPr>
      </w:pPr>
      <w:r w:rsidRPr="00105A12">
        <w:rPr>
          <w:rFonts w:eastAsia="Calibri" w:cs="Tahoma"/>
          <w:iCs/>
          <w:lang w:val="es-ES" w:eastAsia="es-ES_tradnl"/>
        </w:rPr>
        <w:t>Registro de asistencia (entrada y salida), y</w:t>
      </w:r>
    </w:p>
    <w:p w14:paraId="0C3EB9D3" w14:textId="77777777" w:rsidR="00105A12" w:rsidRPr="00105A12" w:rsidRDefault="00105A12" w:rsidP="00105A12">
      <w:pPr>
        <w:spacing w:after="0"/>
        <w:ind w:left="720"/>
        <w:contextualSpacing/>
        <w:rPr>
          <w:rFonts w:eastAsia="Calibri" w:cs="Tahoma"/>
          <w:iCs/>
          <w:lang w:val="es-ES" w:eastAsia="es-ES_tradnl"/>
        </w:rPr>
      </w:pPr>
    </w:p>
    <w:p w14:paraId="5D6B7D63" w14:textId="77777777" w:rsidR="00105A12" w:rsidRPr="00105A12" w:rsidRDefault="00105A12" w:rsidP="00105A12">
      <w:pPr>
        <w:numPr>
          <w:ilvl w:val="0"/>
          <w:numId w:val="35"/>
        </w:numPr>
        <w:spacing w:after="0"/>
        <w:contextualSpacing/>
        <w:rPr>
          <w:rFonts w:eastAsia="Calibri" w:cs="Tahoma"/>
          <w:iCs/>
          <w:lang w:val="es-ES" w:eastAsia="es-ES_tradnl"/>
        </w:rPr>
      </w:pPr>
      <w:r w:rsidRPr="00105A12">
        <w:rPr>
          <w:rFonts w:eastAsia="Calibri" w:cs="Tahoma"/>
          <w:iCs/>
          <w:lang w:val="es-ES" w:eastAsia="es-ES_tradnl"/>
        </w:rPr>
        <w:t>Permisos otorgados.</w:t>
      </w:r>
    </w:p>
    <w:p w14:paraId="7FB61F78" w14:textId="77777777" w:rsidR="00105A12" w:rsidRPr="00105A12" w:rsidRDefault="00105A12" w:rsidP="00105A12">
      <w:pPr>
        <w:rPr>
          <w:rFonts w:cs="Tahoma"/>
          <w:lang w:eastAsia="es-MX"/>
        </w:rPr>
      </w:pPr>
    </w:p>
    <w:p w14:paraId="6A4AECF5" w14:textId="77777777" w:rsidR="00105A12" w:rsidRPr="00105A12" w:rsidRDefault="00105A12" w:rsidP="00105A12">
      <w:pPr>
        <w:tabs>
          <w:tab w:val="left" w:pos="4962"/>
        </w:tabs>
        <w:spacing w:after="0"/>
        <w:rPr>
          <w:rFonts w:eastAsia="Calibri" w:cs="Tahoma"/>
          <w:bCs/>
          <w:iCs/>
          <w:color w:val="auto"/>
          <w:lang w:val="es-ES"/>
        </w:rPr>
      </w:pPr>
      <w:r w:rsidRPr="00105A12">
        <w:rPr>
          <w:rFonts w:eastAsia="Calibri" w:cs="Tahoma"/>
          <w:bCs/>
          <w:iCs/>
          <w:color w:val="auto"/>
          <w:lang w:val="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5771698A" w14:textId="77777777" w:rsidR="00105A12" w:rsidRPr="00105A12" w:rsidRDefault="00105A12" w:rsidP="00105A12">
      <w:pPr>
        <w:autoSpaceDE w:val="0"/>
        <w:autoSpaceDN w:val="0"/>
        <w:adjustRightInd w:val="0"/>
        <w:spacing w:after="0"/>
        <w:rPr>
          <w:rFonts w:eastAsia="Times New Roman" w:cs="Tahoma"/>
          <w:bCs/>
          <w:color w:val="auto"/>
          <w:lang w:eastAsia="es-ES"/>
        </w:rPr>
      </w:pPr>
    </w:p>
    <w:p w14:paraId="34EABA9C" w14:textId="0723FC29" w:rsidR="00105A12" w:rsidRPr="00105A12" w:rsidRDefault="00105A12" w:rsidP="00105A12">
      <w:pPr>
        <w:spacing w:after="0"/>
        <w:rPr>
          <w:bCs/>
        </w:rPr>
      </w:pPr>
      <w:r w:rsidRPr="00105A12">
        <w:rPr>
          <w:bCs/>
        </w:rPr>
        <w:t xml:space="preserve">Para el supuesto, de que no cuente con algún documento que dé cuenta de lo solicitado, </w:t>
      </w:r>
      <w:r>
        <w:rPr>
          <w:bCs/>
        </w:rPr>
        <w:t>en términos del Considerando SEXTO</w:t>
      </w:r>
      <w:r w:rsidRPr="00105A12">
        <w:rPr>
          <w:bCs/>
        </w:rPr>
        <w:t>, deberá hacerlo del conocimiento del Recurrente, de manera clara y precisa.</w:t>
      </w:r>
    </w:p>
    <w:p w14:paraId="576318FB" w14:textId="2C05C698" w:rsidR="000C476B" w:rsidRPr="000C476B" w:rsidRDefault="000C476B" w:rsidP="00105A12">
      <w:pPr>
        <w:spacing w:after="0"/>
        <w:contextualSpacing/>
        <w:rPr>
          <w:rFonts w:eastAsia="Times New Roman" w:cs="Tahoma"/>
          <w:bCs/>
          <w:color w:val="auto"/>
          <w:lang w:eastAsia="es-ES"/>
        </w:rPr>
      </w:pPr>
    </w:p>
    <w:p w14:paraId="0FC23D0A" w14:textId="77777777" w:rsidR="000C476B" w:rsidRPr="000C476B" w:rsidRDefault="000C476B" w:rsidP="000C476B">
      <w:pPr>
        <w:spacing w:after="0"/>
        <w:rPr>
          <w:rFonts w:eastAsia="Calibri" w:cs="Tahoma"/>
          <w:color w:val="000000"/>
        </w:rPr>
      </w:pPr>
      <w:r w:rsidRPr="000C476B">
        <w:rPr>
          <w:rFonts w:eastAsia="Calibri" w:cs="Arial"/>
          <w:b/>
          <w:color w:val="000000"/>
          <w:lang w:val="es-ES_tradnl"/>
        </w:rPr>
        <w:t>TERCERO.</w:t>
      </w:r>
      <w:r w:rsidRPr="000C476B">
        <w:rPr>
          <w:rFonts w:eastAsia="Calibri" w:cs="Tahoma"/>
          <w:b/>
          <w:color w:val="000000"/>
        </w:rPr>
        <w:t xml:space="preserve"> NOTIFÍQUESE </w:t>
      </w:r>
      <w:r w:rsidRPr="000C476B">
        <w:rPr>
          <w:rFonts w:eastAsia="Calibri" w:cs="Tahoma"/>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AC52AB" w14:textId="77777777" w:rsidR="000C476B" w:rsidRPr="000C476B" w:rsidRDefault="000C476B" w:rsidP="000C476B">
      <w:pPr>
        <w:spacing w:after="0"/>
        <w:rPr>
          <w:rFonts w:eastAsia="Calibri" w:cs="Tahoma"/>
          <w:color w:val="000000"/>
        </w:rPr>
      </w:pPr>
    </w:p>
    <w:p w14:paraId="52EC4023" w14:textId="77777777" w:rsidR="000C476B" w:rsidRPr="000C476B" w:rsidRDefault="000C476B" w:rsidP="000C476B">
      <w:pPr>
        <w:spacing w:after="0"/>
        <w:contextualSpacing/>
        <w:rPr>
          <w:rFonts w:eastAsia="Calibri" w:cs="Tahoma"/>
          <w:iCs/>
          <w:color w:val="000000"/>
        </w:rPr>
      </w:pPr>
      <w:bookmarkStart w:id="2" w:name="_Hlk61509110"/>
      <w:r w:rsidRPr="000C476B">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4C656CA2" w14:textId="77777777" w:rsidR="000C476B" w:rsidRPr="000C476B" w:rsidRDefault="000C476B" w:rsidP="000C476B">
      <w:pPr>
        <w:spacing w:after="0"/>
        <w:rPr>
          <w:rFonts w:eastAsia="Calibri" w:cs="Tahoma"/>
          <w:color w:val="000000"/>
        </w:rPr>
      </w:pPr>
    </w:p>
    <w:p w14:paraId="6A056E99" w14:textId="77777777" w:rsidR="000C476B" w:rsidRPr="000C476B" w:rsidRDefault="000C476B" w:rsidP="000C476B">
      <w:pPr>
        <w:spacing w:after="0"/>
        <w:rPr>
          <w:rFonts w:eastAsia="Calibri" w:cs="Tahoma"/>
          <w:color w:val="000000"/>
        </w:rPr>
      </w:pPr>
      <w:r w:rsidRPr="000C476B">
        <w:rPr>
          <w:rFonts w:eastAsia="Calibri" w:cs="Tahoma"/>
          <w:b/>
          <w:color w:val="000000"/>
        </w:rPr>
        <w:t>CUARTO. NOTIFÍQUESE</w:t>
      </w:r>
      <w:r w:rsidRPr="000C476B">
        <w:rPr>
          <w:rFonts w:eastAsia="Calibri" w:cs="Tahoma"/>
          <w:color w:val="000000"/>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9648F9" w14:textId="347A3C45" w:rsidR="000C476B" w:rsidRDefault="000C476B" w:rsidP="00A2355B">
      <w:pPr>
        <w:spacing w:after="0"/>
        <w:rPr>
          <w:rFonts w:eastAsia="Times New Roman" w:cs="Tahoma"/>
          <w:bCs/>
          <w:color w:val="auto"/>
          <w:lang w:eastAsia="es-ES"/>
        </w:rPr>
      </w:pPr>
    </w:p>
    <w:p w14:paraId="6B043FFA" w14:textId="46A6545F" w:rsidR="00D8203F" w:rsidRPr="00A2355B" w:rsidRDefault="009F273D" w:rsidP="00A2355B">
      <w:pPr>
        <w:spacing w:after="0"/>
        <w:rPr>
          <w:rFonts w:eastAsia="Times New Roman" w:cs="Tahoma"/>
          <w:bCs/>
          <w:color w:val="auto"/>
          <w:lang w:eastAsia="es-ES"/>
        </w:rPr>
      </w:pPr>
      <w:r w:rsidRPr="009F273D">
        <w:rPr>
          <w:rFonts w:eastAsia="Times New Roman" w:cs="Tahoma"/>
          <w:bCs/>
          <w:color w:val="auto"/>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A93BEA">
        <w:rPr>
          <w:rFonts w:eastAsia="Times New Roman" w:cs="Tahoma"/>
          <w:bCs/>
          <w:color w:val="auto"/>
          <w:lang w:eastAsia="es-ES"/>
        </w:rPr>
        <w:t xml:space="preserve">LUPE RAMÍREZ PEÑA, EN LA </w:t>
      </w:r>
      <w:r w:rsidR="00105A12">
        <w:rPr>
          <w:rFonts w:eastAsia="Times New Roman" w:cs="Tahoma"/>
          <w:bCs/>
          <w:color w:val="auto"/>
          <w:lang w:eastAsia="es-ES"/>
        </w:rPr>
        <w:t>DÉCIMA</w:t>
      </w:r>
      <w:r w:rsidRPr="009F273D">
        <w:rPr>
          <w:rFonts w:eastAsia="Times New Roman" w:cs="Tahoma"/>
          <w:bCs/>
          <w:color w:val="auto"/>
          <w:lang w:eastAsia="es-ES"/>
        </w:rPr>
        <w:t xml:space="preserve"> SESIÓ</w:t>
      </w:r>
      <w:r w:rsidR="00A93BEA">
        <w:rPr>
          <w:rFonts w:eastAsia="Times New Roman" w:cs="Tahoma"/>
          <w:bCs/>
          <w:color w:val="auto"/>
          <w:lang w:eastAsia="es-ES"/>
        </w:rPr>
        <w:t xml:space="preserve">N ORDINARIA, CELEBRADA EL </w:t>
      </w:r>
      <w:r w:rsidR="00105A12">
        <w:rPr>
          <w:rFonts w:eastAsia="Times New Roman" w:cs="Tahoma"/>
          <w:bCs/>
          <w:color w:val="auto"/>
          <w:lang w:eastAsia="es-ES"/>
        </w:rPr>
        <w:t>DIECISÉIS</w:t>
      </w:r>
      <w:r w:rsidR="00D56A74">
        <w:rPr>
          <w:rFonts w:eastAsia="Times New Roman" w:cs="Tahoma"/>
          <w:bCs/>
          <w:color w:val="auto"/>
          <w:lang w:eastAsia="es-ES"/>
        </w:rPr>
        <w:t xml:space="preserve"> DE MARZO</w:t>
      </w:r>
      <w:r w:rsidRPr="009F273D">
        <w:rPr>
          <w:rFonts w:eastAsia="Times New Roman" w:cs="Tahoma"/>
          <w:bCs/>
          <w:color w:val="auto"/>
          <w:lang w:eastAsia="es-ES"/>
        </w:rPr>
        <w:t xml:space="preserve"> DE DOS MIL VEINTIDÓS, ANTE EL SECRETARIO TÉCNICO DEL PLENO, ALEXIS TAPIA RAMÍREZ.</w:t>
      </w:r>
    </w:p>
    <w:p w14:paraId="6DCEB034" w14:textId="00A3631D" w:rsidR="00D8203F" w:rsidRPr="00A2355B" w:rsidRDefault="00D8203F" w:rsidP="00A2355B">
      <w:pPr>
        <w:spacing w:after="0"/>
        <w:jc w:val="left"/>
        <w:rPr>
          <w:rFonts w:eastAsia="Calibri" w:cs="Tahoma"/>
          <w:color w:val="000000"/>
        </w:rPr>
      </w:pPr>
      <w:r w:rsidRPr="00A2355B">
        <w:rPr>
          <w:rFonts w:eastAsia="Calibri" w:cs="Tahoma"/>
          <w:color w:val="000000"/>
        </w:rPr>
        <w:br w:type="page"/>
      </w:r>
    </w:p>
    <w:p w14:paraId="171DF2FB" w14:textId="77777777" w:rsidR="008A050C" w:rsidRPr="00A2355B" w:rsidRDefault="008A050C" w:rsidP="00A2355B">
      <w:pPr>
        <w:spacing w:after="0"/>
      </w:pPr>
    </w:p>
    <w:sectPr w:rsidR="008A050C" w:rsidRPr="00A2355B" w:rsidSect="001136B4">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12436" w14:textId="77777777" w:rsidR="005D2910" w:rsidRDefault="005D2910" w:rsidP="00D8203F">
      <w:pPr>
        <w:spacing w:after="0" w:line="240" w:lineRule="auto"/>
      </w:pPr>
      <w:r>
        <w:separator/>
      </w:r>
    </w:p>
  </w:endnote>
  <w:endnote w:type="continuationSeparator" w:id="0">
    <w:p w14:paraId="1A683892" w14:textId="77777777" w:rsidR="005D2910" w:rsidRDefault="005D2910" w:rsidP="00D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A052A"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7984F74B" w14:textId="77777777" w:rsidR="00011C57" w:rsidRDefault="005D29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14:paraId="66F7D9E7"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25C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25CA">
              <w:rPr>
                <w:b/>
                <w:bCs/>
                <w:noProof/>
              </w:rPr>
              <w:t>5</w:t>
            </w:r>
            <w:r>
              <w:rPr>
                <w:b/>
                <w:bCs/>
                <w:sz w:val="24"/>
                <w:szCs w:val="24"/>
              </w:rPr>
              <w:fldChar w:fldCharType="end"/>
            </w:r>
          </w:p>
        </w:sdtContent>
      </w:sdt>
    </w:sdtContent>
  </w:sdt>
  <w:p w14:paraId="4D6F5526" w14:textId="77777777" w:rsidR="00011C57" w:rsidRDefault="005D29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947B3"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25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25CA">
      <w:rPr>
        <w:b/>
        <w:bCs/>
        <w:noProof/>
      </w:rPr>
      <w:t>5</w:t>
    </w:r>
    <w:r>
      <w:rPr>
        <w:b/>
        <w:bCs/>
        <w:sz w:val="24"/>
        <w:szCs w:val="24"/>
      </w:rPr>
      <w:fldChar w:fldCharType="end"/>
    </w:r>
  </w:p>
  <w:p w14:paraId="23F05C85" w14:textId="77777777" w:rsidR="00011C57" w:rsidRDefault="005D29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83DBF" w14:textId="77777777" w:rsidR="005D2910" w:rsidRDefault="005D2910" w:rsidP="00D8203F">
      <w:pPr>
        <w:spacing w:after="0" w:line="240" w:lineRule="auto"/>
      </w:pPr>
      <w:r>
        <w:separator/>
      </w:r>
    </w:p>
  </w:footnote>
  <w:footnote w:type="continuationSeparator" w:id="0">
    <w:p w14:paraId="257A8120" w14:textId="77777777" w:rsidR="005D2910" w:rsidRDefault="005D2910" w:rsidP="00D82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860"/>
    </w:tblGrid>
    <w:tr w:rsidR="00011C57" w:rsidRPr="00330DA7" w14:paraId="757EF26E" w14:textId="77777777" w:rsidTr="00B0279C">
      <w:trPr>
        <w:trHeight w:val="144"/>
        <w:jc w:val="right"/>
      </w:trPr>
      <w:tc>
        <w:tcPr>
          <w:tcW w:w="2530" w:type="dxa"/>
          <w:vAlign w:val="center"/>
        </w:tcPr>
        <w:p w14:paraId="704CC7D5"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14:paraId="4C9B1B9B" w14:textId="77777777" w:rsidR="00011C57" w:rsidRPr="00330DA7" w:rsidRDefault="00924CF0" w:rsidP="00B0279C">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00011C57" w:rsidRPr="00330DA7" w14:paraId="64450472" w14:textId="77777777" w:rsidTr="00B0279C">
      <w:trPr>
        <w:trHeight w:val="283"/>
        <w:jc w:val="right"/>
      </w:trPr>
      <w:tc>
        <w:tcPr>
          <w:tcW w:w="2530" w:type="dxa"/>
          <w:vAlign w:val="center"/>
        </w:tcPr>
        <w:p w14:paraId="2227601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14:paraId="5B9E558E" w14:textId="77777777" w:rsidR="00011C57" w:rsidRPr="005754CF" w:rsidRDefault="00924CF0" w:rsidP="00B0279C">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00011C57" w:rsidRPr="00330DA7" w14:paraId="2A4EE535" w14:textId="77777777" w:rsidTr="00B0279C">
      <w:trPr>
        <w:trHeight w:val="283"/>
        <w:jc w:val="right"/>
      </w:trPr>
      <w:tc>
        <w:tcPr>
          <w:tcW w:w="2530" w:type="dxa"/>
          <w:vAlign w:val="center"/>
        </w:tcPr>
        <w:p w14:paraId="46C87DC7"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14:paraId="148E1882"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2FBBDBA6" w14:textId="77777777" w:rsidR="00011C57" w:rsidRDefault="005D2910" w:rsidP="00B0279C">
    <w:pPr>
      <w:pStyle w:val="Encabezado"/>
    </w:pPr>
    <w:r>
      <w:rPr>
        <w:noProof/>
      </w:rPr>
      <w:pict w14:anchorId="7EB5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5" o:spid="_x0000_s2050"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4700"/>
    </w:tblGrid>
    <w:tr w:rsidR="00011C57" w:rsidRPr="00330DA7" w14:paraId="542E7F84" w14:textId="77777777" w:rsidTr="000C476B">
      <w:trPr>
        <w:trHeight w:val="144"/>
        <w:jc w:val="right"/>
      </w:trPr>
      <w:tc>
        <w:tcPr>
          <w:tcW w:w="2530" w:type="dxa"/>
          <w:vAlign w:val="center"/>
        </w:tcPr>
        <w:p w14:paraId="225A191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700" w:type="dxa"/>
          <w:vAlign w:val="center"/>
        </w:tcPr>
        <w:p w14:paraId="75804045" w14:textId="5F10F842" w:rsidR="00011C57" w:rsidRPr="00D65B00" w:rsidRDefault="00D8468C" w:rsidP="00B0279C">
          <w:pPr>
            <w:tabs>
              <w:tab w:val="right" w:pos="8838"/>
            </w:tabs>
            <w:spacing w:line="276" w:lineRule="auto"/>
            <w:ind w:left="-74" w:right="-105"/>
            <w:jc w:val="left"/>
            <w:rPr>
              <w:rFonts w:eastAsia="Calibri" w:cs="Tahoma"/>
            </w:rPr>
          </w:pPr>
          <w:r>
            <w:rPr>
              <w:rFonts w:eastAsia="Calibri" w:cs="Tahoma"/>
            </w:rPr>
            <w:t>06531</w:t>
          </w:r>
          <w:r w:rsidR="00EC3F60">
            <w:rPr>
              <w:rFonts w:eastAsia="Calibri" w:cs="Tahoma"/>
            </w:rPr>
            <w:t>/INFOEM/IP/RR/2021</w:t>
          </w:r>
        </w:p>
      </w:tc>
    </w:tr>
    <w:tr w:rsidR="00011C57" w:rsidRPr="00330DA7" w14:paraId="12309B75" w14:textId="77777777" w:rsidTr="000C476B">
      <w:trPr>
        <w:trHeight w:val="283"/>
        <w:jc w:val="right"/>
      </w:trPr>
      <w:tc>
        <w:tcPr>
          <w:tcW w:w="2530" w:type="dxa"/>
        </w:tcPr>
        <w:p w14:paraId="16DECCE3"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4700" w:type="dxa"/>
          <w:vAlign w:val="center"/>
        </w:tcPr>
        <w:p w14:paraId="7C66E373" w14:textId="57EA2626" w:rsidR="00011C57" w:rsidRPr="00D65B00" w:rsidRDefault="00D8468C" w:rsidP="00D65B00">
          <w:pPr>
            <w:tabs>
              <w:tab w:val="left" w:pos="2834"/>
              <w:tab w:val="right" w:pos="8838"/>
            </w:tabs>
            <w:spacing w:line="276" w:lineRule="auto"/>
            <w:ind w:left="-74" w:right="-105"/>
            <w:rPr>
              <w:rFonts w:eastAsia="Calibri" w:cs="Tahoma"/>
              <w:highlight w:val="yellow"/>
            </w:rPr>
          </w:pPr>
          <w:r w:rsidRPr="00D8468C">
            <w:rPr>
              <w:rFonts w:eastAsia="Calibri" w:cs="Tahoma"/>
            </w:rPr>
            <w:t>Instituto Hacendario del Estado de México</w:t>
          </w:r>
        </w:p>
      </w:tc>
    </w:tr>
    <w:tr w:rsidR="00011C57" w:rsidRPr="00330DA7" w14:paraId="6881DCB9" w14:textId="77777777" w:rsidTr="000C476B">
      <w:trPr>
        <w:trHeight w:val="283"/>
        <w:jc w:val="right"/>
      </w:trPr>
      <w:tc>
        <w:tcPr>
          <w:tcW w:w="2530" w:type="dxa"/>
          <w:vAlign w:val="center"/>
        </w:tcPr>
        <w:p w14:paraId="6DC8818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700" w:type="dxa"/>
          <w:vAlign w:val="center"/>
        </w:tcPr>
        <w:p w14:paraId="401E6127"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58FD90F4" w14:textId="77777777" w:rsidR="00011C57" w:rsidRDefault="005D2910">
    <w:pPr>
      <w:pStyle w:val="Encabezado"/>
    </w:pPr>
    <w:r>
      <w:rPr>
        <w:noProof/>
      </w:rPr>
      <w:pict w14:anchorId="087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6" o:spid="_x0000_s2051"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011C57" w:rsidRPr="00330DA7" w14:paraId="2FB24069" w14:textId="77777777" w:rsidTr="16E1FC8C">
      <w:trPr>
        <w:trHeight w:val="144"/>
        <w:jc w:val="right"/>
      </w:trPr>
      <w:tc>
        <w:tcPr>
          <w:tcW w:w="2410" w:type="dxa"/>
          <w:vAlign w:val="center"/>
        </w:tcPr>
        <w:p w14:paraId="1B6F5EF3"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253" w:type="dxa"/>
          <w:vAlign w:val="center"/>
        </w:tcPr>
        <w:p w14:paraId="1A9A621A" w14:textId="1246A756" w:rsidR="00011C57" w:rsidRPr="00D8203F" w:rsidRDefault="00D8468C" w:rsidP="0099703C">
          <w:pPr>
            <w:tabs>
              <w:tab w:val="right" w:pos="8838"/>
            </w:tabs>
            <w:spacing w:line="276" w:lineRule="auto"/>
            <w:ind w:right="-105"/>
            <w:jc w:val="left"/>
            <w:rPr>
              <w:rFonts w:eastAsia="Calibri" w:cs="Tahoma"/>
            </w:rPr>
          </w:pPr>
          <w:r>
            <w:rPr>
              <w:rFonts w:eastAsia="Calibri" w:cs="Tahoma"/>
            </w:rPr>
            <w:t>06531</w:t>
          </w:r>
          <w:r w:rsidR="00D8203F" w:rsidRPr="00D8203F">
            <w:rPr>
              <w:rFonts w:eastAsia="Calibri" w:cs="Tahoma"/>
            </w:rPr>
            <w:t>/INFOEM/IP/RR/2021</w:t>
          </w:r>
        </w:p>
      </w:tc>
    </w:tr>
    <w:tr w:rsidR="00011C57" w:rsidRPr="00330DA7" w14:paraId="569CFEB5" w14:textId="77777777" w:rsidTr="16E1FC8C">
      <w:trPr>
        <w:trHeight w:val="144"/>
        <w:jc w:val="right"/>
      </w:trPr>
      <w:tc>
        <w:tcPr>
          <w:tcW w:w="2410" w:type="dxa"/>
          <w:vAlign w:val="center"/>
        </w:tcPr>
        <w:p w14:paraId="645DC22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Recurrente:</w:t>
          </w:r>
        </w:p>
      </w:tc>
      <w:tc>
        <w:tcPr>
          <w:tcW w:w="4253" w:type="dxa"/>
          <w:vAlign w:val="center"/>
        </w:tcPr>
        <w:p w14:paraId="7BED387D" w14:textId="5519531F" w:rsidR="00011C57" w:rsidRPr="00330DA7" w:rsidRDefault="16E1FC8C" w:rsidP="0099703C">
          <w:pPr>
            <w:tabs>
              <w:tab w:val="left" w:pos="3122"/>
              <w:tab w:val="right" w:pos="8838"/>
            </w:tabs>
            <w:spacing w:line="276" w:lineRule="auto"/>
            <w:ind w:right="-105"/>
            <w:jc w:val="left"/>
            <w:rPr>
              <w:rFonts w:eastAsia="Calibri" w:cs="Tahoma"/>
            </w:rPr>
          </w:pPr>
          <w:r w:rsidRPr="16E1FC8C">
            <w:rPr>
              <w:rFonts w:eastAsia="Calibri" w:cs="Tahoma"/>
              <w:highlight w:val="black"/>
            </w:rPr>
            <w:t>XXXXXXXXXXXXXX</w:t>
          </w:r>
        </w:p>
      </w:tc>
    </w:tr>
    <w:tr w:rsidR="00011C57" w:rsidRPr="00330DA7" w14:paraId="2CCCDD19" w14:textId="77777777" w:rsidTr="16E1FC8C">
      <w:trPr>
        <w:trHeight w:val="283"/>
        <w:jc w:val="right"/>
      </w:trPr>
      <w:tc>
        <w:tcPr>
          <w:tcW w:w="2410" w:type="dxa"/>
        </w:tcPr>
        <w:p w14:paraId="5FE443CA"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4253" w:type="dxa"/>
          <w:vAlign w:val="center"/>
        </w:tcPr>
        <w:p w14:paraId="530974A6" w14:textId="560F9A98" w:rsidR="00011C57" w:rsidRPr="00D8203F" w:rsidRDefault="00313025" w:rsidP="0099703C">
          <w:pPr>
            <w:tabs>
              <w:tab w:val="left" w:pos="2834"/>
              <w:tab w:val="right" w:pos="8838"/>
            </w:tabs>
            <w:spacing w:line="276" w:lineRule="auto"/>
            <w:ind w:right="-105"/>
            <w:rPr>
              <w:rFonts w:eastAsia="Calibri" w:cs="Tahoma"/>
              <w:highlight w:val="yellow"/>
            </w:rPr>
          </w:pPr>
          <w:r w:rsidRPr="00313025">
            <w:rPr>
              <w:rFonts w:eastAsia="Calibri" w:cs="Tahoma"/>
            </w:rPr>
            <w:t>Instituto Hacendario del Estado de México</w:t>
          </w:r>
        </w:p>
      </w:tc>
    </w:tr>
    <w:tr w:rsidR="00011C57" w:rsidRPr="00330DA7" w14:paraId="6A0D177B" w14:textId="77777777" w:rsidTr="16E1FC8C">
      <w:trPr>
        <w:trHeight w:val="283"/>
        <w:jc w:val="right"/>
      </w:trPr>
      <w:tc>
        <w:tcPr>
          <w:tcW w:w="2410" w:type="dxa"/>
          <w:vAlign w:val="center"/>
        </w:tcPr>
        <w:p w14:paraId="4A4AC4EC"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253" w:type="dxa"/>
          <w:vAlign w:val="center"/>
        </w:tcPr>
        <w:p w14:paraId="31717E75" w14:textId="77777777" w:rsidR="00011C57" w:rsidRPr="005754CF" w:rsidRDefault="00924CF0" w:rsidP="0099703C">
          <w:pPr>
            <w:tabs>
              <w:tab w:val="right" w:pos="8838"/>
            </w:tabs>
            <w:spacing w:line="276" w:lineRule="auto"/>
            <w:ind w:right="-105"/>
            <w:jc w:val="left"/>
            <w:rPr>
              <w:rFonts w:eastAsia="Calibri" w:cs="Tahoma"/>
            </w:rPr>
          </w:pPr>
          <w:r w:rsidRPr="00330DA7">
            <w:rPr>
              <w:rFonts w:eastAsia="Calibri" w:cs="Tahoma"/>
            </w:rPr>
            <w:t>Luis Gustavo Parra Noriega</w:t>
          </w:r>
        </w:p>
      </w:tc>
    </w:tr>
  </w:tbl>
  <w:p w14:paraId="134AC6BE" w14:textId="77777777" w:rsidR="00011C57" w:rsidRDefault="005D2910" w:rsidP="00B0279C">
    <w:pPr>
      <w:pStyle w:val="Encabezado"/>
    </w:pPr>
    <w:r>
      <w:rPr>
        <w:noProof/>
      </w:rPr>
      <w:pict w14:anchorId="26A3A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49" type="#_x0000_t75" style="position:absolute;left:0;text-align:left;margin-left:0;margin-top:0;width:663.5pt;height:12in;z-index:-251657728;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2E554F"/>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D675C"/>
    <w:multiLevelType w:val="hybridMultilevel"/>
    <w:tmpl w:val="1DFCD368"/>
    <w:lvl w:ilvl="0" w:tplc="DA5A3ECE">
      <w:start w:val="1"/>
      <w:numFmt w:val="lowerRoman"/>
      <w:lvlText w:val="%1."/>
      <w:lvlJc w:val="left"/>
      <w:pPr>
        <w:ind w:left="1440" w:hanging="360"/>
      </w:pPr>
      <w:rPr>
        <w:rFonts w:ascii="Palatino Linotype" w:hAnsi="Palatino Linotype"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060AC4"/>
    <w:multiLevelType w:val="hybridMultilevel"/>
    <w:tmpl w:val="6812F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9754F"/>
    <w:multiLevelType w:val="hybridMultilevel"/>
    <w:tmpl w:val="4ABC7128"/>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1149B"/>
    <w:multiLevelType w:val="hybridMultilevel"/>
    <w:tmpl w:val="B018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BA29DD"/>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2275C"/>
    <w:multiLevelType w:val="hybridMultilevel"/>
    <w:tmpl w:val="6BEE2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1B794B"/>
    <w:multiLevelType w:val="hybridMultilevel"/>
    <w:tmpl w:val="178CC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086AB4"/>
    <w:multiLevelType w:val="hybridMultilevel"/>
    <w:tmpl w:val="961C5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8A924B3"/>
    <w:multiLevelType w:val="hybridMultilevel"/>
    <w:tmpl w:val="2EAA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2CEA5692"/>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35B93E7E"/>
    <w:multiLevelType w:val="hybridMultilevel"/>
    <w:tmpl w:val="55761944"/>
    <w:lvl w:ilvl="0" w:tplc="9F6C5B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B91F5B"/>
    <w:multiLevelType w:val="hybridMultilevel"/>
    <w:tmpl w:val="E78EE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3E615346"/>
    <w:multiLevelType w:val="hybridMultilevel"/>
    <w:tmpl w:val="EDCC2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2A6F72"/>
    <w:multiLevelType w:val="hybridMultilevel"/>
    <w:tmpl w:val="71F43B6E"/>
    <w:lvl w:ilvl="0" w:tplc="080A0001">
      <w:start w:val="1"/>
      <w:numFmt w:val="bullet"/>
      <w:lvlText w:val=""/>
      <w:lvlJc w:val="left"/>
      <w:pPr>
        <w:ind w:left="720" w:hanging="360"/>
      </w:pPr>
      <w:rPr>
        <w:rFonts w:ascii="Symbol" w:hAnsi="Symbol" w:hint="default"/>
      </w:rPr>
    </w:lvl>
    <w:lvl w:ilvl="1" w:tplc="DA5A3ECE">
      <w:start w:val="1"/>
      <w:numFmt w:val="lowerRoman"/>
      <w:lvlText w:val="%2."/>
      <w:lvlJc w:val="left"/>
      <w:pPr>
        <w:ind w:left="1440" w:hanging="360"/>
      </w:pPr>
      <w:rPr>
        <w:rFonts w:ascii="Palatino Linotype" w:hAnsi="Palatino Linotype" w:hint="default"/>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E785D"/>
    <w:multiLevelType w:val="hybridMultilevel"/>
    <w:tmpl w:val="A2D4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A603DD"/>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nsid w:val="70036345"/>
    <w:multiLevelType w:val="hybridMultilevel"/>
    <w:tmpl w:val="3BE06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5837861"/>
    <w:multiLevelType w:val="hybridMultilevel"/>
    <w:tmpl w:val="036EF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D1A2A4C"/>
    <w:multiLevelType w:val="hybridMultilevel"/>
    <w:tmpl w:val="C29A3F6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
  </w:num>
  <w:num w:numId="6">
    <w:abstractNumId w:val="11"/>
  </w:num>
  <w:num w:numId="7">
    <w:abstractNumId w:val="25"/>
  </w:num>
  <w:num w:numId="8">
    <w:abstractNumId w:val="27"/>
  </w:num>
  <w:num w:numId="9">
    <w:abstractNumId w:val="6"/>
  </w:num>
  <w:num w:numId="10">
    <w:abstractNumId w:val="26"/>
  </w:num>
  <w:num w:numId="11">
    <w:abstractNumId w:val="28"/>
  </w:num>
  <w:num w:numId="12">
    <w:abstractNumId w:val="7"/>
  </w:num>
  <w:num w:numId="13">
    <w:abstractNumId w:val="2"/>
  </w:num>
  <w:num w:numId="14">
    <w:abstractNumId w:val="13"/>
  </w:num>
  <w:num w:numId="15">
    <w:abstractNumId w:val="17"/>
  </w:num>
  <w:num w:numId="16">
    <w:abstractNumId w:val="5"/>
  </w:num>
  <w:num w:numId="17">
    <w:abstractNumId w:val="4"/>
  </w:num>
  <w:num w:numId="18">
    <w:abstractNumId w:val="24"/>
  </w:num>
  <w:num w:numId="19">
    <w:abstractNumId w:val="3"/>
  </w:num>
  <w:num w:numId="20">
    <w:abstractNumId w:val="8"/>
  </w:num>
  <w:num w:numId="21">
    <w:abstractNumId w:val="30"/>
  </w:num>
  <w:num w:numId="22">
    <w:abstractNumId w:val="12"/>
  </w:num>
  <w:num w:numId="23">
    <w:abstractNumId w:val="14"/>
  </w:num>
  <w:num w:numId="24">
    <w:abstractNumId w:val="19"/>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22"/>
  </w:num>
  <w:num w:numId="30">
    <w:abstractNumId w:val="18"/>
  </w:num>
  <w:num w:numId="31">
    <w:abstractNumId w:val="33"/>
  </w:num>
  <w:num w:numId="32">
    <w:abstractNumId w:val="21"/>
  </w:num>
  <w:num w:numId="33">
    <w:abstractNumId w:val="15"/>
  </w:num>
  <w:num w:numId="34">
    <w:abstractNumId w:val="23"/>
  </w:num>
  <w:num w:numId="35">
    <w:abstractNumId w:val="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3F"/>
    <w:rsid w:val="00002000"/>
    <w:rsid w:val="00005411"/>
    <w:rsid w:val="0001464C"/>
    <w:rsid w:val="00015D26"/>
    <w:rsid w:val="00033495"/>
    <w:rsid w:val="00041034"/>
    <w:rsid w:val="000437E4"/>
    <w:rsid w:val="000530D1"/>
    <w:rsid w:val="00060676"/>
    <w:rsid w:val="0006659E"/>
    <w:rsid w:val="00072F70"/>
    <w:rsid w:val="00077108"/>
    <w:rsid w:val="000805DC"/>
    <w:rsid w:val="00091A03"/>
    <w:rsid w:val="00091A55"/>
    <w:rsid w:val="00092BC4"/>
    <w:rsid w:val="000B38F1"/>
    <w:rsid w:val="000C476B"/>
    <w:rsid w:val="000D5539"/>
    <w:rsid w:val="000E518D"/>
    <w:rsid w:val="000E7811"/>
    <w:rsid w:val="00105A12"/>
    <w:rsid w:val="0010753F"/>
    <w:rsid w:val="001136B4"/>
    <w:rsid w:val="001269EA"/>
    <w:rsid w:val="0013003D"/>
    <w:rsid w:val="0014480C"/>
    <w:rsid w:val="00147995"/>
    <w:rsid w:val="00152501"/>
    <w:rsid w:val="00154A3D"/>
    <w:rsid w:val="00155617"/>
    <w:rsid w:val="0016479F"/>
    <w:rsid w:val="00176419"/>
    <w:rsid w:val="00191AE4"/>
    <w:rsid w:val="00192BF8"/>
    <w:rsid w:val="00193B5F"/>
    <w:rsid w:val="001971E7"/>
    <w:rsid w:val="001A0FE6"/>
    <w:rsid w:val="001B1F7E"/>
    <w:rsid w:val="001B2967"/>
    <w:rsid w:val="001B4FE3"/>
    <w:rsid w:val="001B5B28"/>
    <w:rsid w:val="001B6B5E"/>
    <w:rsid w:val="001C12E6"/>
    <w:rsid w:val="001C5F8F"/>
    <w:rsid w:val="001D4BEF"/>
    <w:rsid w:val="001E601D"/>
    <w:rsid w:val="001E61B0"/>
    <w:rsid w:val="001E6CA8"/>
    <w:rsid w:val="001F6315"/>
    <w:rsid w:val="00202FD6"/>
    <w:rsid w:val="00205C3E"/>
    <w:rsid w:val="00212C5B"/>
    <w:rsid w:val="00221964"/>
    <w:rsid w:val="00224C52"/>
    <w:rsid w:val="00232543"/>
    <w:rsid w:val="002351AB"/>
    <w:rsid w:val="0023761E"/>
    <w:rsid w:val="002419D5"/>
    <w:rsid w:val="002513F1"/>
    <w:rsid w:val="002625D0"/>
    <w:rsid w:val="00273C8F"/>
    <w:rsid w:val="00273D56"/>
    <w:rsid w:val="002751C6"/>
    <w:rsid w:val="00277532"/>
    <w:rsid w:val="00283FB5"/>
    <w:rsid w:val="002878DE"/>
    <w:rsid w:val="00292E42"/>
    <w:rsid w:val="00296195"/>
    <w:rsid w:val="002B7026"/>
    <w:rsid w:val="002C425A"/>
    <w:rsid w:val="002C6689"/>
    <w:rsid w:val="002D1940"/>
    <w:rsid w:val="002D2D85"/>
    <w:rsid w:val="002D4507"/>
    <w:rsid w:val="002D4A52"/>
    <w:rsid w:val="002E32AB"/>
    <w:rsid w:val="002E5BC9"/>
    <w:rsid w:val="002F13CE"/>
    <w:rsid w:val="002F1649"/>
    <w:rsid w:val="002F7105"/>
    <w:rsid w:val="0030159C"/>
    <w:rsid w:val="00304EDC"/>
    <w:rsid w:val="00313025"/>
    <w:rsid w:val="00324ADE"/>
    <w:rsid w:val="00324EC3"/>
    <w:rsid w:val="00325503"/>
    <w:rsid w:val="00327C5F"/>
    <w:rsid w:val="0033169F"/>
    <w:rsid w:val="00335515"/>
    <w:rsid w:val="00337795"/>
    <w:rsid w:val="0034646A"/>
    <w:rsid w:val="00351215"/>
    <w:rsid w:val="003512B5"/>
    <w:rsid w:val="00351BBE"/>
    <w:rsid w:val="0035784F"/>
    <w:rsid w:val="0037052D"/>
    <w:rsid w:val="00371D10"/>
    <w:rsid w:val="0037486D"/>
    <w:rsid w:val="00376DE8"/>
    <w:rsid w:val="003778C6"/>
    <w:rsid w:val="00384899"/>
    <w:rsid w:val="00395577"/>
    <w:rsid w:val="003B0D6C"/>
    <w:rsid w:val="003B1737"/>
    <w:rsid w:val="003B2792"/>
    <w:rsid w:val="003B5A0A"/>
    <w:rsid w:val="003B7B49"/>
    <w:rsid w:val="003C67AD"/>
    <w:rsid w:val="003D66E7"/>
    <w:rsid w:val="003E713C"/>
    <w:rsid w:val="003F0EAA"/>
    <w:rsid w:val="003F3FDB"/>
    <w:rsid w:val="00416FD2"/>
    <w:rsid w:val="0042237E"/>
    <w:rsid w:val="00426064"/>
    <w:rsid w:val="00431386"/>
    <w:rsid w:val="004330AE"/>
    <w:rsid w:val="004436D4"/>
    <w:rsid w:val="00444B06"/>
    <w:rsid w:val="00446040"/>
    <w:rsid w:val="00450E27"/>
    <w:rsid w:val="00454109"/>
    <w:rsid w:val="00460284"/>
    <w:rsid w:val="004637D2"/>
    <w:rsid w:val="004820EA"/>
    <w:rsid w:val="004954EF"/>
    <w:rsid w:val="00495E03"/>
    <w:rsid w:val="004B71D1"/>
    <w:rsid w:val="004D102C"/>
    <w:rsid w:val="004D3EDF"/>
    <w:rsid w:val="004D556A"/>
    <w:rsid w:val="004E0763"/>
    <w:rsid w:val="004E5C8E"/>
    <w:rsid w:val="00501BDA"/>
    <w:rsid w:val="00502445"/>
    <w:rsid w:val="00523A2F"/>
    <w:rsid w:val="0052654D"/>
    <w:rsid w:val="005318F3"/>
    <w:rsid w:val="005345A9"/>
    <w:rsid w:val="00541061"/>
    <w:rsid w:val="00543DD3"/>
    <w:rsid w:val="0055608D"/>
    <w:rsid w:val="0056275B"/>
    <w:rsid w:val="00562EBC"/>
    <w:rsid w:val="005670FF"/>
    <w:rsid w:val="005703B8"/>
    <w:rsid w:val="0058799A"/>
    <w:rsid w:val="00590E15"/>
    <w:rsid w:val="00593B72"/>
    <w:rsid w:val="005A0835"/>
    <w:rsid w:val="005A25CA"/>
    <w:rsid w:val="005A4818"/>
    <w:rsid w:val="005B3BAB"/>
    <w:rsid w:val="005C64C9"/>
    <w:rsid w:val="005D2910"/>
    <w:rsid w:val="005E03C3"/>
    <w:rsid w:val="005E0F61"/>
    <w:rsid w:val="005E21DD"/>
    <w:rsid w:val="005E35B8"/>
    <w:rsid w:val="005F2AA8"/>
    <w:rsid w:val="005F4D3B"/>
    <w:rsid w:val="005F573C"/>
    <w:rsid w:val="00601EA2"/>
    <w:rsid w:val="0060238A"/>
    <w:rsid w:val="00606F85"/>
    <w:rsid w:val="00616387"/>
    <w:rsid w:val="00616923"/>
    <w:rsid w:val="00621403"/>
    <w:rsid w:val="00623791"/>
    <w:rsid w:val="006311A9"/>
    <w:rsid w:val="006319BF"/>
    <w:rsid w:val="00635D9F"/>
    <w:rsid w:val="0065125A"/>
    <w:rsid w:val="0065201C"/>
    <w:rsid w:val="00652BB7"/>
    <w:rsid w:val="00652D8D"/>
    <w:rsid w:val="00654565"/>
    <w:rsid w:val="0067778A"/>
    <w:rsid w:val="006900B8"/>
    <w:rsid w:val="00691F6B"/>
    <w:rsid w:val="006A2FB4"/>
    <w:rsid w:val="006A4ACF"/>
    <w:rsid w:val="006B5465"/>
    <w:rsid w:val="006C0BE4"/>
    <w:rsid w:val="006C526C"/>
    <w:rsid w:val="006D6996"/>
    <w:rsid w:val="006E6D2A"/>
    <w:rsid w:val="006F0034"/>
    <w:rsid w:val="006F47EF"/>
    <w:rsid w:val="007000A0"/>
    <w:rsid w:val="0070107C"/>
    <w:rsid w:val="00711D42"/>
    <w:rsid w:val="0071218A"/>
    <w:rsid w:val="007138B4"/>
    <w:rsid w:val="00716C22"/>
    <w:rsid w:val="00722333"/>
    <w:rsid w:val="00730406"/>
    <w:rsid w:val="00740517"/>
    <w:rsid w:val="00740AC4"/>
    <w:rsid w:val="00752CBF"/>
    <w:rsid w:val="00764A1C"/>
    <w:rsid w:val="00777341"/>
    <w:rsid w:val="00782C2E"/>
    <w:rsid w:val="00784A13"/>
    <w:rsid w:val="007851A6"/>
    <w:rsid w:val="00792F4F"/>
    <w:rsid w:val="007A23FE"/>
    <w:rsid w:val="007B0411"/>
    <w:rsid w:val="007C5768"/>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52035"/>
    <w:rsid w:val="0086681E"/>
    <w:rsid w:val="0087558A"/>
    <w:rsid w:val="00875A4D"/>
    <w:rsid w:val="00887C2C"/>
    <w:rsid w:val="008A050C"/>
    <w:rsid w:val="008A0F99"/>
    <w:rsid w:val="008A5840"/>
    <w:rsid w:val="008B6A10"/>
    <w:rsid w:val="008C1900"/>
    <w:rsid w:val="008D0436"/>
    <w:rsid w:val="008D06D2"/>
    <w:rsid w:val="008D2AA0"/>
    <w:rsid w:val="008D4095"/>
    <w:rsid w:val="008D589F"/>
    <w:rsid w:val="008E2904"/>
    <w:rsid w:val="008E61D4"/>
    <w:rsid w:val="008F0993"/>
    <w:rsid w:val="0090299E"/>
    <w:rsid w:val="00903752"/>
    <w:rsid w:val="00917722"/>
    <w:rsid w:val="00924CF0"/>
    <w:rsid w:val="00941F99"/>
    <w:rsid w:val="009479DF"/>
    <w:rsid w:val="009524A5"/>
    <w:rsid w:val="0095259E"/>
    <w:rsid w:val="00953BD3"/>
    <w:rsid w:val="00954749"/>
    <w:rsid w:val="009638C6"/>
    <w:rsid w:val="009639F0"/>
    <w:rsid w:val="00966490"/>
    <w:rsid w:val="00966655"/>
    <w:rsid w:val="00976739"/>
    <w:rsid w:val="009900F6"/>
    <w:rsid w:val="009B05A5"/>
    <w:rsid w:val="009B2E42"/>
    <w:rsid w:val="009B44DB"/>
    <w:rsid w:val="009C55B6"/>
    <w:rsid w:val="009D3092"/>
    <w:rsid w:val="009E048A"/>
    <w:rsid w:val="009E13D1"/>
    <w:rsid w:val="009E7049"/>
    <w:rsid w:val="009F273D"/>
    <w:rsid w:val="00A021D0"/>
    <w:rsid w:val="00A0231D"/>
    <w:rsid w:val="00A10F3C"/>
    <w:rsid w:val="00A13F7D"/>
    <w:rsid w:val="00A22A88"/>
    <w:rsid w:val="00A2355B"/>
    <w:rsid w:val="00A300C4"/>
    <w:rsid w:val="00A43DE3"/>
    <w:rsid w:val="00A47768"/>
    <w:rsid w:val="00A636D9"/>
    <w:rsid w:val="00A65096"/>
    <w:rsid w:val="00A66BE0"/>
    <w:rsid w:val="00A71605"/>
    <w:rsid w:val="00A73024"/>
    <w:rsid w:val="00A92E13"/>
    <w:rsid w:val="00A93BEA"/>
    <w:rsid w:val="00A95528"/>
    <w:rsid w:val="00A955E1"/>
    <w:rsid w:val="00AA2C3A"/>
    <w:rsid w:val="00AA478B"/>
    <w:rsid w:val="00AA7D70"/>
    <w:rsid w:val="00AC3E38"/>
    <w:rsid w:val="00AC473C"/>
    <w:rsid w:val="00AC59DD"/>
    <w:rsid w:val="00AD046B"/>
    <w:rsid w:val="00AD0556"/>
    <w:rsid w:val="00AD4046"/>
    <w:rsid w:val="00AD4556"/>
    <w:rsid w:val="00AD6A80"/>
    <w:rsid w:val="00AE03DF"/>
    <w:rsid w:val="00AF09A1"/>
    <w:rsid w:val="00B033BC"/>
    <w:rsid w:val="00B248AF"/>
    <w:rsid w:val="00B33B4C"/>
    <w:rsid w:val="00B662F8"/>
    <w:rsid w:val="00B7264D"/>
    <w:rsid w:val="00B82893"/>
    <w:rsid w:val="00B92E09"/>
    <w:rsid w:val="00B96BE1"/>
    <w:rsid w:val="00BA1F27"/>
    <w:rsid w:val="00BB394B"/>
    <w:rsid w:val="00BC3B00"/>
    <w:rsid w:val="00BD016C"/>
    <w:rsid w:val="00BD08C5"/>
    <w:rsid w:val="00BD4FE0"/>
    <w:rsid w:val="00BE14C6"/>
    <w:rsid w:val="00BE3263"/>
    <w:rsid w:val="00BE3F5F"/>
    <w:rsid w:val="00BF27BE"/>
    <w:rsid w:val="00BF3C00"/>
    <w:rsid w:val="00BF44C3"/>
    <w:rsid w:val="00C035DB"/>
    <w:rsid w:val="00C07FA6"/>
    <w:rsid w:val="00C138ED"/>
    <w:rsid w:val="00C24420"/>
    <w:rsid w:val="00C25690"/>
    <w:rsid w:val="00C3697C"/>
    <w:rsid w:val="00C376BD"/>
    <w:rsid w:val="00C40AC9"/>
    <w:rsid w:val="00C435D5"/>
    <w:rsid w:val="00C43F93"/>
    <w:rsid w:val="00C44AF0"/>
    <w:rsid w:val="00C47C15"/>
    <w:rsid w:val="00C54877"/>
    <w:rsid w:val="00C60536"/>
    <w:rsid w:val="00C65A34"/>
    <w:rsid w:val="00C70651"/>
    <w:rsid w:val="00C831F7"/>
    <w:rsid w:val="00C86FBC"/>
    <w:rsid w:val="00C92DAA"/>
    <w:rsid w:val="00C93CBC"/>
    <w:rsid w:val="00CA1B00"/>
    <w:rsid w:val="00CC42FB"/>
    <w:rsid w:val="00CC7B75"/>
    <w:rsid w:val="00CE17DA"/>
    <w:rsid w:val="00CF6930"/>
    <w:rsid w:val="00D03BBC"/>
    <w:rsid w:val="00D0584A"/>
    <w:rsid w:val="00D06558"/>
    <w:rsid w:val="00D142A7"/>
    <w:rsid w:val="00D34ADA"/>
    <w:rsid w:val="00D4040E"/>
    <w:rsid w:val="00D41BDB"/>
    <w:rsid w:val="00D451C6"/>
    <w:rsid w:val="00D50360"/>
    <w:rsid w:val="00D56A74"/>
    <w:rsid w:val="00D715B0"/>
    <w:rsid w:val="00D75842"/>
    <w:rsid w:val="00D8203F"/>
    <w:rsid w:val="00D8468C"/>
    <w:rsid w:val="00D86243"/>
    <w:rsid w:val="00D91B6D"/>
    <w:rsid w:val="00D93C72"/>
    <w:rsid w:val="00D974CF"/>
    <w:rsid w:val="00DB2FCA"/>
    <w:rsid w:val="00DD1AF9"/>
    <w:rsid w:val="00DD3DE5"/>
    <w:rsid w:val="00DD4CC2"/>
    <w:rsid w:val="00DE013E"/>
    <w:rsid w:val="00DE33E5"/>
    <w:rsid w:val="00DF084F"/>
    <w:rsid w:val="00DF5F5D"/>
    <w:rsid w:val="00E1071F"/>
    <w:rsid w:val="00E24DAE"/>
    <w:rsid w:val="00E27548"/>
    <w:rsid w:val="00E30966"/>
    <w:rsid w:val="00E33C78"/>
    <w:rsid w:val="00E461AC"/>
    <w:rsid w:val="00E53178"/>
    <w:rsid w:val="00E5479A"/>
    <w:rsid w:val="00E56E00"/>
    <w:rsid w:val="00E623EE"/>
    <w:rsid w:val="00E637F3"/>
    <w:rsid w:val="00E7145D"/>
    <w:rsid w:val="00E77820"/>
    <w:rsid w:val="00E91068"/>
    <w:rsid w:val="00E915C0"/>
    <w:rsid w:val="00E93CA8"/>
    <w:rsid w:val="00E967C9"/>
    <w:rsid w:val="00EA776B"/>
    <w:rsid w:val="00EC0586"/>
    <w:rsid w:val="00EC3F60"/>
    <w:rsid w:val="00EC7552"/>
    <w:rsid w:val="00EE423B"/>
    <w:rsid w:val="00EF640A"/>
    <w:rsid w:val="00EF700D"/>
    <w:rsid w:val="00EF75FB"/>
    <w:rsid w:val="00F053C6"/>
    <w:rsid w:val="00F10871"/>
    <w:rsid w:val="00F10D52"/>
    <w:rsid w:val="00F16379"/>
    <w:rsid w:val="00F22CD0"/>
    <w:rsid w:val="00F236A7"/>
    <w:rsid w:val="00F304F0"/>
    <w:rsid w:val="00F42CAA"/>
    <w:rsid w:val="00F45A0F"/>
    <w:rsid w:val="00F46BC9"/>
    <w:rsid w:val="00F551BD"/>
    <w:rsid w:val="00F61040"/>
    <w:rsid w:val="00F66D38"/>
    <w:rsid w:val="00F97409"/>
    <w:rsid w:val="00F97C83"/>
    <w:rsid w:val="00FA4CDC"/>
    <w:rsid w:val="00FA4CF7"/>
    <w:rsid w:val="00FB5519"/>
    <w:rsid w:val="00FB6C24"/>
    <w:rsid w:val="00FC5E8D"/>
    <w:rsid w:val="00FC60F9"/>
    <w:rsid w:val="00FC6764"/>
    <w:rsid w:val="00FD3A19"/>
    <w:rsid w:val="00FD4D46"/>
    <w:rsid w:val="00FE03F9"/>
    <w:rsid w:val="00FE1E4A"/>
    <w:rsid w:val="00FE33E9"/>
    <w:rsid w:val="00FE3DC1"/>
    <w:rsid w:val="00FF7458"/>
    <w:rsid w:val="16E1FC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6B"/>
    <w:pPr>
      <w:spacing w:line="360" w:lineRule="auto"/>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customStyle="1" w:styleId="AsuntodelcomentarioCar">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customStyle="1" w:styleId="Mencinsinresolver1">
    <w:name w:val="Mención sin resolver1"/>
    <w:basedOn w:val="Fuentedeprrafopredeter"/>
    <w:uiPriority w:val="99"/>
    <w:semiHidden/>
    <w:unhideWhenUsed/>
    <w:rsid w:val="002513F1"/>
    <w:rPr>
      <w:color w:val="605E5C"/>
      <w:shd w:val="clear" w:color="auto" w:fill="E1DFDD"/>
    </w:rPr>
  </w:style>
  <w:style w:type="character" w:customStyle="1" w:styleId="Mencinsinresolver2">
    <w:name w:val="Mención sin resolver2"/>
    <w:basedOn w:val="Fuentedeprrafopredeter"/>
    <w:uiPriority w:val="99"/>
    <w:semiHidden/>
    <w:unhideWhenUsed/>
    <w:rsid w:val="0009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HAEM/art_92_xxix_b.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523D3F"/>
    <w:rsid w:val="004E11D0"/>
    <w:rsid w:val="00523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AD35-1504-4CDC-B8C4-AEC62686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5720</Words>
  <Characters>31466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2022-05-17T17:01:00Z</dcterms:created>
  <dcterms:modified xsi:type="dcterms:W3CDTF">2022-05-17T17:01:00Z</dcterms:modified>
</cp:coreProperties>
</file>