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once de mayo de dos mil veintidós. </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02484/INFOEM/IP/RR/2022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Tequixquiac,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4C6C59" w:rsidRDefault="004D78A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treinta y uno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00045/TEQUIXQU/IP/2022, </w:t>
      </w:r>
      <w:r>
        <w:rPr>
          <w:rFonts w:ascii="Palatino Linotype" w:eastAsia="Palatino Linotype" w:hAnsi="Palatino Linotype" w:cs="Palatino Linotype"/>
        </w:rPr>
        <w:t xml:space="preserve">mediante la cual requirió la información siguiente: </w:t>
      </w:r>
    </w:p>
    <w:p w:rsidR="004C6C59" w:rsidRDefault="004D78AD">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“Requiero envíen el monto de lo que se ha recabado por concepto de panteones (perpetuidades y permisos para fosas) en el mes de enero de 2022-2024 y en que se ha empleado dicho monto.” (Sic)</w:t>
      </w:r>
    </w:p>
    <w:p w:rsidR="004C6C59" w:rsidRDefault="004C6C59">
      <w:pPr>
        <w:spacing w:line="360" w:lineRule="auto"/>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4C6C59" w:rsidRDefault="004C6C59">
      <w:pPr>
        <w:spacing w:line="360" w:lineRule="auto"/>
        <w:jc w:val="both"/>
        <w:rPr>
          <w:rFonts w:ascii="Palatino Linotype" w:eastAsia="Palatino Linotype" w:hAnsi="Palatino Linotype" w:cs="Palatino Linotype"/>
        </w:rPr>
      </w:pPr>
    </w:p>
    <w:p w:rsidR="004C6C59" w:rsidRDefault="004D78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Prórroga, </w:t>
      </w:r>
      <w:r>
        <w:rPr>
          <w:rFonts w:ascii="Palatino Linotype" w:eastAsia="Palatino Linotype" w:hAnsi="Palatino Linotype" w:cs="Palatino Linotype"/>
        </w:rPr>
        <w:t>de las constancias que obran en el expediente electrónico del SAIMEX, se desprende que el responsable de la Unidad de Transparencia, el veintiuno de febrero del año dos mil veintidós notificó una prórroga de siete días más, a los quince días que señala el artículo 163 de la Ley de Transparencia y Acceso a la Información Pública vigente en la entidad; para emitir su respuesta correspondiente, argumentando lo siguiente:</w:t>
      </w:r>
    </w:p>
    <w:p w:rsidR="004C6C59" w:rsidRDefault="004D78AD">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C6C59" w:rsidRDefault="004D78AD">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Entregar lo </w:t>
      </w:r>
      <w:proofErr w:type="spellStart"/>
      <w:r>
        <w:rPr>
          <w:rFonts w:ascii="Palatino Linotype" w:eastAsia="Palatino Linotype" w:hAnsi="Palatino Linotype" w:cs="Palatino Linotype"/>
          <w:i/>
          <w:sz w:val="22"/>
          <w:szCs w:val="22"/>
        </w:rPr>
        <w:t>mas</w:t>
      </w:r>
      <w:proofErr w:type="spellEnd"/>
      <w:r>
        <w:rPr>
          <w:rFonts w:ascii="Palatino Linotype" w:eastAsia="Palatino Linotype" w:hAnsi="Palatino Linotype" w:cs="Palatino Linotype"/>
          <w:i/>
          <w:sz w:val="22"/>
          <w:szCs w:val="22"/>
        </w:rPr>
        <w:t xml:space="preserve"> pronto posible</w:t>
      </w:r>
    </w:p>
    <w:p w:rsidR="004C6C59" w:rsidRDefault="004D78AD">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LIC. </w:t>
      </w:r>
      <w:proofErr w:type="spellStart"/>
      <w:r>
        <w:rPr>
          <w:rFonts w:ascii="Palatino Linotype" w:eastAsia="Palatino Linotype" w:hAnsi="Palatino Linotype" w:cs="Palatino Linotype"/>
          <w:i/>
          <w:sz w:val="22"/>
          <w:szCs w:val="22"/>
        </w:rPr>
        <w:t>VíCTOR</w:t>
      </w:r>
      <w:proofErr w:type="spellEnd"/>
      <w:r>
        <w:rPr>
          <w:rFonts w:ascii="Palatino Linotype" w:eastAsia="Palatino Linotype" w:hAnsi="Palatino Linotype" w:cs="Palatino Linotype"/>
          <w:i/>
          <w:sz w:val="22"/>
          <w:szCs w:val="22"/>
        </w:rPr>
        <w:t xml:space="preserve"> MANUEL GUTIÉRREZ SÁNCHEZ</w:t>
      </w:r>
    </w:p>
    <w:p w:rsidR="004C6C59" w:rsidRDefault="004D78AD">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Responsable de la Unidad de Transparencia</w:t>
      </w:r>
      <w:r>
        <w:rPr>
          <w:rFonts w:ascii="Palatino Linotype" w:eastAsia="Palatino Linotype" w:hAnsi="Palatino Linotype" w:cs="Palatino Linotype"/>
          <w:i/>
          <w:sz w:val="22"/>
          <w:szCs w:val="22"/>
        </w:rPr>
        <w:t>” (Sic)</w:t>
      </w:r>
    </w:p>
    <w:p w:rsidR="004C6C59" w:rsidRDefault="004D78A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primero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C6C59" w:rsidRDefault="004D78AD">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 conformidad con los artículos 1, 2, 3, fracción XLIV, 41 12, 16, 23, fracción IV, 24, fracción XI y último párrafo, 50, 51, 53, fracciones TI, IV, V y VI de la Ley de Transparencia y Acceso a la información Pública del Estado de México y Municipios en atención a la solicitud de información registrada con el folio número 00045/TEQUIXQU/IP/2022 presentada a través del Sistema de Acceso a la Información Mexiquense (</w:t>
      </w:r>
      <w:proofErr w:type="spellStart"/>
      <w:r>
        <w:rPr>
          <w:rFonts w:ascii="Palatino Linotype" w:eastAsia="Palatino Linotype" w:hAnsi="Palatino Linotype" w:cs="Palatino Linotype"/>
          <w:i/>
          <w:sz w:val="22"/>
          <w:szCs w:val="22"/>
        </w:rPr>
        <w:t>Saimex</w:t>
      </w:r>
      <w:proofErr w:type="spellEnd"/>
      <w:r>
        <w:rPr>
          <w:rFonts w:ascii="Palatino Linotype" w:eastAsia="Palatino Linotype" w:hAnsi="Palatino Linotype" w:cs="Palatino Linotype"/>
          <w:i/>
          <w:sz w:val="22"/>
          <w:szCs w:val="22"/>
        </w:rPr>
        <w:t>), comento lo siguiente: Requiero envíen el monto de lo que se ha recabado por concepto de panteones (perpetuidades y permisos para fosas) en el mes de enero de 2022-2024 y en que se ha empleado dicho monto. En atención a su solicitud le informo que el monto recabado por concepto de panteones (perpetuidades y permisos para fosas) en el mes de enero de 2022-2024 fue de $54,842.00 el cual fue utilizado para gasto corriente...” (Sic)</w:t>
      </w:r>
    </w:p>
    <w:p w:rsidR="004C6C59" w:rsidRDefault="004D78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primero de marzo de dos </w:t>
      </w:r>
      <w:r>
        <w:rPr>
          <w:rFonts w:ascii="Palatino Linotype" w:eastAsia="Palatino Linotype" w:hAnsi="Palatino Linotype" w:cs="Palatino Linotype"/>
          <w:b/>
        </w:rPr>
        <w:lastRenderedPageBreak/>
        <w:t>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4C6C59" w:rsidRDefault="004D78AD">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rsidR="004C6C59" w:rsidRDefault="004D78AD">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“Número de Folio de la Solicitud: 00045/TEQUIXQU/IP/2022” (Sic)</w:t>
      </w: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4C6C59" w:rsidRDefault="004D78AD">
      <w:pPr>
        <w:ind w:left="851" w:right="902"/>
        <w:jc w:val="both"/>
        <w:rPr>
          <w:rFonts w:ascii="Palatino Linotype" w:eastAsia="Palatino Linotype" w:hAnsi="Palatino Linotype" w:cs="Palatino Linotype"/>
          <w:i/>
          <w:sz w:val="22"/>
          <w:szCs w:val="22"/>
        </w:rPr>
      </w:pPr>
      <w:bookmarkStart w:id="1" w:name="_heading=h.30j0zll" w:colFirst="0" w:colLast="0"/>
      <w:bookmarkEnd w:id="1"/>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sz w:val="22"/>
          <w:szCs w:val="22"/>
          <w:u w:val="single"/>
        </w:rPr>
        <w:t xml:space="preserve">NO RECIBI LA INFORMACIÓN SOLICITADA EN TIEMPO Y FORMA </w:t>
      </w:r>
      <w:r>
        <w:rPr>
          <w:rFonts w:ascii="Palatino Linotype" w:eastAsia="Palatino Linotype" w:hAnsi="Palatino Linotype" w:cs="Palatino Linotype"/>
          <w:i/>
          <w:sz w:val="22"/>
          <w:szCs w:val="22"/>
        </w:rPr>
        <w:t>POR PARTE DEL RESPONSABLE DE LA UNIDAD DE TRANSPARENCIA Y ACCESO A LA INFORMACIÓN DE MI MUNUCIPIO.” (Sic)</w:t>
      </w:r>
    </w:p>
    <w:p w:rsidR="004C6C59" w:rsidRDefault="004C6C59">
      <w:pPr>
        <w:spacing w:line="360" w:lineRule="auto"/>
        <w:ind w:right="51"/>
        <w:jc w:val="both"/>
        <w:rPr>
          <w:rFonts w:ascii="Palatino Linotype" w:eastAsia="Palatino Linotype" w:hAnsi="Palatino Linotype" w:cs="Palatino Linotype"/>
          <w:b/>
        </w:rPr>
      </w:pPr>
    </w:p>
    <w:p w:rsidR="004C6C59" w:rsidRDefault="004D78A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4C6C59" w:rsidRDefault="004C6C59">
      <w:pPr>
        <w:spacing w:line="360" w:lineRule="auto"/>
        <w:ind w:right="51"/>
        <w:jc w:val="both"/>
        <w:rPr>
          <w:rFonts w:ascii="Palatino Linotype" w:eastAsia="Palatino Linotype" w:hAnsi="Palatino Linotype" w:cs="Palatino Linotype"/>
        </w:rPr>
      </w:pPr>
    </w:p>
    <w:p w:rsidR="004C6C59" w:rsidRDefault="004D78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siete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4C6C59" w:rsidRDefault="004D78AD">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w:t>
      </w:r>
      <w:r>
        <w:rPr>
          <w:rFonts w:ascii="Palatino Linotype" w:eastAsia="Palatino Linotype" w:hAnsi="Palatino Linotype" w:cs="Palatino Linotype"/>
        </w:rPr>
        <w:lastRenderedPageBreak/>
        <w:t xml:space="preserve">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asimismo cabe señalar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fue omisa en emitir pronunciamientos, ofrecer pruebas o alegatos, por lo que se tiene por precluido su derecho.</w:t>
      </w:r>
    </w:p>
    <w:p w:rsidR="004C6C59" w:rsidRDefault="004D78AD">
      <w:pPr>
        <w:widowControl w:val="0"/>
        <w:spacing w:line="360" w:lineRule="auto"/>
        <w:ind w:right="49"/>
        <w:jc w:val="both"/>
        <w:rPr>
          <w:rFonts w:ascii="Palatino Linotype" w:eastAsia="Palatino Linotype" w:hAnsi="Palatino Linotype" w:cs="Palatino Linotype"/>
        </w:rPr>
      </w:pPr>
      <w:r>
        <w:rPr>
          <w:noProof/>
          <w:lang w:val="en-US" w:eastAsia="en-US"/>
        </w:rPr>
        <w:drawing>
          <wp:inline distT="0" distB="0" distL="0" distR="0">
            <wp:extent cx="5512459" cy="1630398"/>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13300" t="42426" r="14598" b="22776"/>
                    <a:stretch>
                      <a:fillRect/>
                    </a:stretch>
                  </pic:blipFill>
                  <pic:spPr>
                    <a:xfrm>
                      <a:off x="0" y="0"/>
                      <a:ext cx="5512459" cy="1630398"/>
                    </a:xfrm>
                    <a:prstGeom prst="rect">
                      <a:avLst/>
                    </a:prstGeom>
                    <a:ln/>
                  </pic:spPr>
                </pic:pic>
              </a:graphicData>
            </a:graphic>
          </wp:inline>
        </w:drawing>
      </w:r>
    </w:p>
    <w:p w:rsidR="001F35F0" w:rsidRDefault="00F75FBE" w:rsidP="001F35F0">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7</w:t>
      </w:r>
      <w:r w:rsidR="001F35F0">
        <w:rPr>
          <w:rFonts w:ascii="Palatino Linotype" w:eastAsia="Palatino Linotype" w:hAnsi="Palatino Linotype" w:cs="Palatino Linotype"/>
          <w:b/>
        </w:rPr>
        <w:t>.- Ampliación del plazo para emitir resolución.</w:t>
      </w:r>
      <w:r w:rsidR="001F35F0">
        <w:rPr>
          <w:rFonts w:ascii="Palatino Linotype" w:eastAsia="Palatino Linotype" w:hAnsi="Palatino Linotype" w:cs="Palatino Linotype"/>
        </w:rPr>
        <w:t xml:space="preserve"> El </w:t>
      </w:r>
      <w:r w:rsidR="001F35F0">
        <w:rPr>
          <w:rFonts w:ascii="Palatino Linotype" w:eastAsia="Palatino Linotype" w:hAnsi="Palatino Linotype" w:cs="Palatino Linotype"/>
          <w:b/>
        </w:rPr>
        <w:t>seis de mayo de dos mil veintidós</w:t>
      </w:r>
      <w:r w:rsidR="001F35F0">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a fin de aminorar los efectos que conlleva.</w:t>
      </w:r>
    </w:p>
    <w:p w:rsidR="00F75FBE" w:rsidRDefault="00F75FBE" w:rsidP="001F35F0">
      <w:pPr>
        <w:widowControl w:val="0"/>
        <w:spacing w:line="360" w:lineRule="auto"/>
        <w:ind w:right="49"/>
        <w:jc w:val="both"/>
        <w:rPr>
          <w:rFonts w:ascii="Palatino Linotype" w:eastAsia="Palatino Linotype" w:hAnsi="Palatino Linotype" w:cs="Palatino Linotype"/>
        </w:rPr>
      </w:pPr>
    </w:p>
    <w:p w:rsidR="00F75FBE" w:rsidRDefault="00F75FBE" w:rsidP="00F75FB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b/>
        </w:rPr>
        <w:t xml:space="preserve">.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doce de mayo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75FBE" w:rsidRDefault="00F75FBE" w:rsidP="001F35F0">
      <w:pPr>
        <w:widowControl w:val="0"/>
        <w:spacing w:line="360" w:lineRule="auto"/>
        <w:ind w:right="49"/>
        <w:jc w:val="both"/>
        <w:rPr>
          <w:rFonts w:ascii="Palatino Linotype" w:eastAsia="Palatino Linotype" w:hAnsi="Palatino Linotype" w:cs="Palatino Linotype"/>
        </w:rPr>
      </w:pPr>
      <w:bookmarkStart w:id="2" w:name="_GoBack"/>
      <w:bookmarkEnd w:id="2"/>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4C6C59" w:rsidRDefault="004D78A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4C6C59" w:rsidRDefault="004C6C59">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4C6C59" w:rsidRDefault="004D78AD">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rsidR="004C6C59" w:rsidRDefault="004D78AD">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lastRenderedPageBreak/>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C6C59" w:rsidRDefault="004D78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Pr>
          <w:rFonts w:ascii="Palatino Linotype" w:eastAsia="Palatino Linotype" w:hAnsi="Palatino Linotype" w:cs="Palatino Linotype"/>
          <w:b/>
        </w:rPr>
        <w:t xml:space="preserve">primero de marzo de dos mil veintidós, </w:t>
      </w:r>
      <w:r>
        <w:rPr>
          <w:rFonts w:ascii="Palatino Linotype" w:eastAsia="Palatino Linotype" w:hAnsi="Palatino Linotype" w:cs="Palatino Linotype"/>
        </w:rPr>
        <w:t xml:space="preserve">mientras que el recurso de revisión interpuesto por la parte recurrente, se tuvo por presentado el día </w:t>
      </w:r>
      <w:r>
        <w:rPr>
          <w:rFonts w:ascii="Palatino Linotype" w:eastAsia="Palatino Linotype" w:hAnsi="Palatino Linotype" w:cs="Palatino Linotype"/>
          <w:b/>
        </w:rPr>
        <w:t>primero de marzo de dos mil veintidós</w:t>
      </w:r>
      <w:r>
        <w:rPr>
          <w:rFonts w:ascii="Palatino Linotype" w:eastAsia="Palatino Linotype" w:hAnsi="Palatino Linotype" w:cs="Palatino Linotype"/>
        </w:rPr>
        <w:t>; esto es, el mismo día hábil en que tuvo conocimiento de la respuesta impugnada.</w:t>
      </w: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Pr>
          <w:rFonts w:ascii="Palatino Linotype" w:eastAsia="Palatino Linotype" w:hAnsi="Palatino Linotype" w:cs="Palatino Linotype"/>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4C6C59" w:rsidRDefault="004D78A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rsidR="004C6C59" w:rsidRDefault="004D78A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rsidR="001F35F0" w:rsidRDefault="001F35F0" w:rsidP="001F35F0">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por cuanto hace a la procedibilidad del recurso de revisión, es de suma importancia señalar que la parte</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F35F0" w:rsidRDefault="001F35F0" w:rsidP="001F35F0">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C6C59" w:rsidRDefault="004C6C59">
      <w:pPr>
        <w:spacing w:before="240" w:after="240" w:line="360" w:lineRule="auto"/>
        <w:jc w:val="both"/>
        <w:rPr>
          <w:rFonts w:ascii="Palatino Linotype" w:eastAsia="Palatino Linotype" w:hAnsi="Palatino Linotype" w:cs="Palatino Linotype"/>
        </w:rPr>
      </w:pPr>
    </w:p>
    <w:p w:rsidR="001F35F0" w:rsidRDefault="001F35F0" w:rsidP="001F35F0">
      <w:pPr>
        <w:spacing w:before="240" w:after="240" w:line="360" w:lineRule="auto"/>
        <w:ind w:right="49"/>
        <w:jc w:val="both"/>
        <w:rPr>
          <w:rFonts w:ascii="Quattrocento Sans" w:eastAsia="Quattrocento Sans" w:hAnsi="Quattrocento Sans" w:cs="Quattrocento Sans"/>
        </w:rPr>
      </w:pPr>
      <w:r>
        <w:rPr>
          <w:rFonts w:ascii="Palatino Linotype" w:eastAsia="Palatino Linotype" w:hAnsi="Palatino Linotype" w:cs="Palatino Linotype"/>
        </w:rPr>
        <w:lastRenderedPageBreak/>
        <w:t xml:space="preserve">Así las cosas,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los artículos 179 </w:t>
      </w:r>
      <w:r w:rsidRPr="001F35F0">
        <w:rPr>
          <w:rFonts w:ascii="Palatino Linotype" w:eastAsia="Palatino Linotype" w:hAnsi="Palatino Linotype" w:cs="Palatino Linotype"/>
        </w:rPr>
        <w:t>fracción X del</w:t>
      </w:r>
      <w:r>
        <w:rPr>
          <w:rFonts w:ascii="Palatino Linotype" w:eastAsia="Palatino Linotype" w:hAnsi="Palatino Linotype" w:cs="Palatino Linotype"/>
        </w:rPr>
        <w:t xml:space="preserve"> ordenamiento legal citado, que establecen los supuestos en que puede interponerse el recurso de revisión:</w:t>
      </w:r>
    </w:p>
    <w:p w:rsidR="001F35F0" w:rsidRDefault="001F35F0" w:rsidP="001F35F0">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1F35F0" w:rsidRDefault="001F35F0" w:rsidP="001F35F0">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rsidR="001F35F0" w:rsidRDefault="001F35F0" w:rsidP="001F35F0">
      <w:pPr>
        <w:ind w:left="567" w:right="900"/>
        <w:jc w:val="both"/>
        <w:rPr>
          <w:rFonts w:ascii="Palatino Linotype" w:eastAsia="Palatino Linotype" w:hAnsi="Palatino Linotype" w:cs="Palatino Linotype"/>
          <w:i/>
          <w:sz w:val="22"/>
          <w:szCs w:val="22"/>
        </w:rPr>
      </w:pPr>
      <w:r w:rsidRPr="001F35F0">
        <w:rPr>
          <w:rFonts w:ascii="Palatino Linotype" w:eastAsia="Palatino Linotype" w:hAnsi="Palatino Linotype" w:cs="Palatino Linotype"/>
          <w:i/>
          <w:sz w:val="22"/>
          <w:szCs w:val="22"/>
        </w:rPr>
        <w:t>X. Los costos o tiempos de entrega de la información</w:t>
      </w:r>
      <w:r>
        <w:t>…</w:t>
      </w:r>
      <w:r>
        <w:rPr>
          <w:rFonts w:ascii="Palatino Linotype" w:eastAsia="Palatino Linotype" w:hAnsi="Palatino Linotype" w:cs="Palatino Linotype"/>
          <w:i/>
          <w:sz w:val="22"/>
          <w:szCs w:val="22"/>
        </w:rPr>
        <w:t>” (Sic)</w:t>
      </w:r>
    </w:p>
    <w:p w:rsidR="004C6C59" w:rsidRDefault="004D78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pública que motivó el recurso de revisión que ahora se resuelve, se advierte que el particular requirió al Ayuntamiento de Tequixquiac, le proporcionara lo siguiente:</w:t>
      </w:r>
    </w:p>
    <w:p w:rsidR="004C6C59" w:rsidRDefault="004D78AD">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monto de lo que se ha recabado por concepto de panteones (perpetuidades y permisos para fosas) en el mes de enero de 2022-2024 y en que se ha empleado dicho monto.</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su Titular de la Unidad de Transparencia informó</w:t>
      </w:r>
      <w:r>
        <w:rPr>
          <w:rFonts w:ascii="Verdana" w:eastAsia="Verdana" w:hAnsi="Verdana" w:cs="Verdana"/>
          <w:sz w:val="18"/>
          <w:szCs w:val="18"/>
        </w:rPr>
        <w:t xml:space="preserve"> </w:t>
      </w:r>
      <w:r>
        <w:rPr>
          <w:rFonts w:ascii="Palatino Linotype" w:eastAsia="Palatino Linotype" w:hAnsi="Palatino Linotype" w:cs="Palatino Linotype"/>
        </w:rPr>
        <w:t>que el monto recabado por concepto de panteones (perpetuidades y permisos para fosas) en el mes de enero de 2022-2024 fue de $54,842.00 el cual fue utilizado para gasto corriente.</w:t>
      </w:r>
    </w:p>
    <w:p w:rsidR="004C6C59" w:rsidRDefault="004D78A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que se analiza en el presente asunto, quejándose en lo medular porque no recibió la información solicitada en tiempo y forma, por parte del responsable de la unidad de transparencia y acceso a la información de su municipio. </w:t>
      </w:r>
    </w:p>
    <w:p w:rsidR="004C6C59" w:rsidRDefault="004D78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advierte que los motivos de inconformidad acontecen infundados para modificar o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en razón de las consideraciones de derecho que a continuación se exponen:</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w:t>
      </w:r>
      <w:r>
        <w:rPr>
          <w:rFonts w:ascii="Palatino Linotype" w:eastAsia="Palatino Linotype" w:hAnsi="Palatino Linotype" w:cs="Palatino Linotype"/>
          <w:color w:val="000000"/>
        </w:rPr>
        <w:lastRenderedPageBreak/>
        <w:t xml:space="preserve">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4C6C59" w:rsidRDefault="004D78AD">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C6C59" w:rsidRDefault="004D78A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C6C59" w:rsidRDefault="004D78A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4C6C59" w:rsidRDefault="004C6C59">
      <w:pPr>
        <w:ind w:left="709" w:right="760"/>
        <w:jc w:val="both"/>
        <w:rPr>
          <w:rFonts w:ascii="Palatino Linotype" w:eastAsia="Palatino Linotype" w:hAnsi="Palatino Linotype" w:cs="Palatino Linotype"/>
          <w:i/>
        </w:rPr>
      </w:pP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4C6C59" w:rsidRDefault="004D78A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4C6C59" w:rsidRDefault="004D78A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w:t>
      </w:r>
      <w:r>
        <w:rPr>
          <w:rFonts w:ascii="Palatino Linotype" w:eastAsia="Palatino Linotype" w:hAnsi="Palatino Linotype" w:cs="Palatino Linotype"/>
          <w:b/>
          <w:i/>
          <w:sz w:val="22"/>
          <w:szCs w:val="22"/>
        </w:rPr>
        <w:lastRenderedPageBreak/>
        <w:t>misma, ni el presentarla conforme al interés del solicitante; no estarán obligados a generarla, resumirla, efectuar cálculos o practicar investigaciones.” (Sic)</w:t>
      </w:r>
    </w:p>
    <w:p w:rsidR="004C6C59" w:rsidRDefault="004C6C59">
      <w:pPr>
        <w:spacing w:line="360" w:lineRule="auto"/>
        <w:ind w:right="-93"/>
        <w:jc w:val="both"/>
        <w:rPr>
          <w:rFonts w:ascii="Palatino Linotype" w:eastAsia="Palatino Linotype" w:hAnsi="Palatino Linotype" w:cs="Palatino Linotype"/>
          <w:color w:val="000000"/>
        </w:rPr>
      </w:pPr>
    </w:p>
    <w:p w:rsidR="004C6C59" w:rsidRDefault="004D78AD">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4C6C59" w:rsidRDefault="004C6C59">
      <w:pPr>
        <w:spacing w:line="360" w:lineRule="auto"/>
        <w:ind w:right="-93"/>
        <w:jc w:val="both"/>
        <w:rPr>
          <w:rFonts w:ascii="Palatino Linotype" w:eastAsia="Palatino Linotype" w:hAnsi="Palatino Linotype" w:cs="Palatino Linotype"/>
          <w:color w:val="000000"/>
        </w:rPr>
      </w:pPr>
    </w:p>
    <w:p w:rsidR="004C6C59" w:rsidRDefault="004D78AD">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4C6C59" w:rsidRDefault="004C6C59">
      <w:pPr>
        <w:ind w:left="851" w:right="850"/>
        <w:jc w:val="both"/>
        <w:rPr>
          <w:rFonts w:ascii="Palatino Linotype" w:eastAsia="Palatino Linotype" w:hAnsi="Palatino Linotype" w:cs="Palatino Linotype"/>
          <w:color w:val="000000"/>
        </w:rPr>
      </w:pPr>
    </w:p>
    <w:p w:rsidR="004C6C59" w:rsidRDefault="004D78A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C6C59" w:rsidRDefault="004D78A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4C6C59" w:rsidRDefault="004D78AD">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4C6C59" w:rsidRDefault="004D78AD">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4C6C59" w:rsidRDefault="004D78AD">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lastRenderedPageBreak/>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4C6C59" w:rsidRDefault="004C6C59">
      <w:pPr>
        <w:spacing w:line="360" w:lineRule="auto"/>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4C6C59" w:rsidRDefault="004C6C59">
      <w:pPr>
        <w:spacing w:line="360" w:lineRule="auto"/>
        <w:jc w:val="both"/>
        <w:rPr>
          <w:rFonts w:ascii="Palatino Linotype" w:eastAsia="Palatino Linotype" w:hAnsi="Palatino Linotype" w:cs="Palatino Linotype"/>
          <w:color w:val="000000"/>
        </w:rPr>
      </w:pPr>
    </w:p>
    <w:p w:rsidR="004C6C59" w:rsidRDefault="004D78A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C6C59" w:rsidRDefault="004C6C59">
      <w:pPr>
        <w:spacing w:line="360" w:lineRule="auto"/>
        <w:ind w:right="49"/>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4C6C59" w:rsidRDefault="004C6C59">
      <w:pPr>
        <w:ind w:left="851" w:right="899"/>
        <w:jc w:val="both"/>
        <w:rPr>
          <w:rFonts w:ascii="Palatino Linotype" w:eastAsia="Palatino Linotype" w:hAnsi="Palatino Linotype" w:cs="Palatino Linotype"/>
          <w:i/>
          <w:sz w:val="22"/>
          <w:szCs w:val="22"/>
        </w:rPr>
      </w:pP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C6C59" w:rsidRDefault="004D78AD">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4C6C59" w:rsidRDefault="004C6C59">
      <w:pPr>
        <w:ind w:left="851" w:right="899"/>
        <w:jc w:val="both"/>
        <w:rPr>
          <w:rFonts w:ascii="Palatino Linotype" w:eastAsia="Palatino Linotype" w:hAnsi="Palatino Linotype" w:cs="Palatino Linotype"/>
          <w:sz w:val="22"/>
          <w:szCs w:val="22"/>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C6C59" w:rsidRDefault="004C6C59">
      <w:pPr>
        <w:ind w:left="851" w:right="899"/>
        <w:jc w:val="both"/>
        <w:rPr>
          <w:rFonts w:ascii="Palatino Linotype" w:eastAsia="Palatino Linotype" w:hAnsi="Palatino Linotype" w:cs="Palatino Linotype"/>
        </w:rPr>
      </w:pPr>
    </w:p>
    <w:p w:rsidR="004C6C59" w:rsidRDefault="004D78A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4C6C59" w:rsidRDefault="004D78A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4C6C59" w:rsidRDefault="004D78A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rsidR="004C6C59" w:rsidRDefault="004C6C59">
      <w:pPr>
        <w:spacing w:line="360" w:lineRule="auto"/>
        <w:ind w:right="-93"/>
        <w:jc w:val="both"/>
        <w:rPr>
          <w:rFonts w:ascii="Palatino Linotype" w:eastAsia="Palatino Linotype" w:hAnsi="Palatino Linotype" w:cs="Palatino Linotype"/>
          <w:color w:val="000000"/>
        </w:rPr>
      </w:pPr>
    </w:p>
    <w:p w:rsidR="004C6C59" w:rsidRDefault="004D78AD">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color w:val="000000"/>
        </w:rPr>
        <w:t>En virtud de lo anterior</w:t>
      </w:r>
      <w:r>
        <w:rPr>
          <w:rFonts w:ascii="Palatino Linotype" w:eastAsia="Palatino Linotype" w:hAnsi="Palatino Linotype" w:cs="Palatino Linotype"/>
        </w:rPr>
        <w:t xml:space="preserve">, se determina que la información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w:t>
      </w:r>
    </w:p>
    <w:p w:rsidR="004C6C59" w:rsidRDefault="004C6C59">
      <w:pPr>
        <w:spacing w:line="360" w:lineRule="auto"/>
        <w:ind w:right="-93"/>
        <w:jc w:val="both"/>
        <w:rPr>
          <w:rFonts w:ascii="Palatino Linotype" w:eastAsia="Palatino Linotype" w:hAnsi="Palatino Linotype" w:cs="Palatino Linotype"/>
        </w:rPr>
      </w:pPr>
    </w:p>
    <w:p w:rsidR="004C6C59" w:rsidRDefault="004D78AD">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Lo procedente es así, en razón que si bien es cierto que la respuesta fue proporcionada por el Titular de la Unidad de Transparencia del Ayuntamiento de Tequixquiac, lo cierto que del apartado de requerimientos del SAIMEX, se observa que el monto y destino de lo que se ha recabado por concepto de panteones (perpetuidades y permisos para fosas) en el mes de enero del año 2022-2024, fue proporcionada por el Lic. Víctor Manuel Gutiérrez Sánchez, a quien se le turno la solicitud, como se advierte en la siguiente imagen del apartado de requerimientos del SAIMEX, que se inserta a continuación de manera ilustrativa: </w:t>
      </w:r>
    </w:p>
    <w:p w:rsidR="004C6C59" w:rsidRDefault="004C6C59">
      <w:pPr>
        <w:spacing w:line="360" w:lineRule="auto"/>
        <w:ind w:right="-93"/>
        <w:jc w:val="both"/>
      </w:pPr>
    </w:p>
    <w:p w:rsidR="004C6C59" w:rsidRDefault="004D78AD">
      <w:pPr>
        <w:spacing w:line="360" w:lineRule="auto"/>
        <w:ind w:right="-93"/>
        <w:jc w:val="both"/>
        <w:rPr>
          <w:rFonts w:ascii="Palatino Linotype" w:eastAsia="Palatino Linotype" w:hAnsi="Palatino Linotype" w:cs="Palatino Linotype"/>
        </w:rPr>
      </w:pPr>
      <w:r>
        <w:rPr>
          <w:noProof/>
          <w:lang w:val="en-US" w:eastAsia="en-US"/>
        </w:rPr>
        <w:drawing>
          <wp:inline distT="0" distB="0" distL="0" distR="0">
            <wp:extent cx="5738950" cy="1511902"/>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563" t="42426" r="4949" b="18832"/>
                    <a:stretch>
                      <a:fillRect/>
                    </a:stretch>
                  </pic:blipFill>
                  <pic:spPr>
                    <a:xfrm>
                      <a:off x="0" y="0"/>
                      <a:ext cx="5738950" cy="1511902"/>
                    </a:xfrm>
                    <a:prstGeom prst="rect">
                      <a:avLst/>
                    </a:prstGeom>
                    <a:ln/>
                  </pic:spPr>
                </pic:pic>
              </a:graphicData>
            </a:graphic>
          </wp:inline>
        </w:drawing>
      </w:r>
    </w:p>
    <w:p w:rsidR="004C6C59" w:rsidRDefault="004C6C59">
      <w:pPr>
        <w:spacing w:line="360" w:lineRule="auto"/>
        <w:ind w:right="-93"/>
        <w:jc w:val="both"/>
        <w:rPr>
          <w:rFonts w:ascii="Palatino Linotype" w:eastAsia="Palatino Linotype" w:hAnsi="Palatino Linotype" w:cs="Palatino Linotype"/>
          <w:color w:val="000000"/>
        </w:rPr>
      </w:pPr>
    </w:p>
    <w:p w:rsidR="004C6C59" w:rsidRDefault="004D78AD">
      <w:pPr>
        <w:spacing w:line="360" w:lineRule="auto"/>
        <w:jc w:val="both"/>
        <w:rPr>
          <w:rFonts w:ascii="Palatino Linotype" w:eastAsia="Palatino Linotype" w:hAnsi="Palatino Linotype" w:cs="Palatino Linotype"/>
        </w:rPr>
      </w:pPr>
      <w:bookmarkStart w:id="4" w:name="_heading=h.2s8eyo1" w:colFirst="0" w:colLast="0"/>
      <w:bookmarkEnd w:id="4"/>
      <w:r>
        <w:rPr>
          <w:rFonts w:ascii="Palatino Linotype" w:eastAsia="Palatino Linotype" w:hAnsi="Palatino Linotype" w:cs="Palatino Linotype"/>
        </w:rPr>
        <w:t xml:space="preserve">Y que, de acuerdo al directorio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tiene publicado en su página de la información pública de oficio mexiquense (IPOMEX) para el año 2022, </w:t>
      </w:r>
      <w:r>
        <w:rPr>
          <w:rFonts w:ascii="Palatino Linotype" w:eastAsia="Palatino Linotype" w:hAnsi="Palatino Linotype" w:cs="Palatino Linotype"/>
        </w:rPr>
        <w:lastRenderedPageBreak/>
        <w:t>dicho Licenciado corresponde al Tesorero Municipal del Ayuntamiento de Tequixquiac, con lo que se acredita con la siguiente imagen de dicho directorio que se inserta a continuación de forma ilustrativa:</w:t>
      </w:r>
    </w:p>
    <w:p w:rsidR="004C6C59" w:rsidRDefault="004C6C59">
      <w:pPr>
        <w:spacing w:line="360" w:lineRule="auto"/>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rPr>
      </w:pPr>
      <w:r>
        <w:rPr>
          <w:noProof/>
          <w:lang w:val="en-US" w:eastAsia="en-US"/>
        </w:rPr>
        <w:drawing>
          <wp:inline distT="0" distB="0" distL="0" distR="0">
            <wp:extent cx="5532163" cy="3514497"/>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1513" t="19243" r="38724" b="22076"/>
                    <a:stretch>
                      <a:fillRect/>
                    </a:stretch>
                  </pic:blipFill>
                  <pic:spPr>
                    <a:xfrm>
                      <a:off x="0" y="0"/>
                      <a:ext cx="5532163" cy="3514497"/>
                    </a:xfrm>
                    <a:prstGeom prst="rect">
                      <a:avLst/>
                    </a:prstGeom>
                    <a:ln/>
                  </pic:spPr>
                </pic:pic>
              </a:graphicData>
            </a:graphic>
          </wp:inline>
        </w:drawing>
      </w:r>
    </w:p>
    <w:p w:rsidR="004C6C59" w:rsidRDefault="004C6C59">
      <w:pPr>
        <w:spacing w:line="360" w:lineRule="auto"/>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Quien de acuerdo al artículo 119 fracción III del Bando Municipal del Ayuntamiento de Tequixquiac, tiene la atribución de recabar los pagos por concepto de panteones (perpetuidades y permisos para fosas), como se indica a continuación:</w:t>
      </w:r>
    </w:p>
    <w:p w:rsidR="004C6C59" w:rsidRDefault="004C6C59">
      <w:pPr>
        <w:spacing w:line="360" w:lineRule="auto"/>
        <w:jc w:val="both"/>
        <w:rPr>
          <w:rFonts w:ascii="Palatino Linotype" w:eastAsia="Palatino Linotype" w:hAnsi="Palatino Linotype" w:cs="Palatino Linotype"/>
        </w:rPr>
      </w:pP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119.- La Jefatura de Panteones tienen a su cargo las llaves de los panteones y la administración que en ellos sea requerida, sus atribuciones son las siguientes: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Sean asignados los recursos económicos y humanos para la ejecución de sus actividades;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Llevar el censo de los panteones y de los lugares en uso; </w:t>
      </w:r>
    </w:p>
    <w:p w:rsidR="004C6C59" w:rsidRDefault="004D78AD">
      <w:pPr>
        <w:ind w:left="851" w:right="899"/>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rPr>
        <w:lastRenderedPageBreak/>
        <w:t xml:space="preserve">III. Emitir las órdenes de pago para que </w:t>
      </w:r>
      <w:r>
        <w:rPr>
          <w:rFonts w:ascii="Palatino Linotype" w:eastAsia="Palatino Linotype" w:hAnsi="Palatino Linotype" w:cs="Palatino Linotype"/>
          <w:b/>
          <w:i/>
          <w:sz w:val="22"/>
          <w:szCs w:val="22"/>
          <w:u w:val="single"/>
        </w:rPr>
        <w:t>Tesorería recaude el pago de perpetuidad</w:t>
      </w:r>
      <w:r>
        <w:rPr>
          <w:rFonts w:ascii="Palatino Linotype" w:eastAsia="Palatino Linotype" w:hAnsi="Palatino Linotype" w:cs="Palatino Linotype"/>
          <w:i/>
          <w:sz w:val="22"/>
          <w:szCs w:val="22"/>
          <w:u w:val="single"/>
        </w:rPr>
        <w:t xml:space="preserve">;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Llevar el registro de los espacios asignados;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Solicitar apoyo de la Dirección de Servicios Públicos para el mantenimiento y limpieza de los panteones;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Coordinarse con la Dirección de Obras Públicas para la excavación de fosas; VII. Validar constancias y peticiones y en su caso asignar lugares dentro de los panteones municipales;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Asignar los lotes regularmente, de manera intransferible y ordenada; IX. Validar constancias, peticiones y en su caso asignar lugares dentro los panteones municipales; y </w:t>
      </w:r>
    </w:p>
    <w:p w:rsidR="004C6C59" w:rsidRDefault="004D78A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Las demás aplicables de otras leyes y reglamentos.”(Sic)</w:t>
      </w:r>
    </w:p>
    <w:p w:rsidR="004C6C59" w:rsidRDefault="004C6C59">
      <w:pPr>
        <w:spacing w:line="360" w:lineRule="auto"/>
        <w:jc w:val="both"/>
        <w:rPr>
          <w:rFonts w:ascii="Palatino Linotype" w:eastAsia="Palatino Linotype" w:hAnsi="Palatino Linotype" w:cs="Palatino Linotype"/>
        </w:rPr>
      </w:pPr>
    </w:p>
    <w:p w:rsidR="004C6C59" w:rsidRDefault="004D78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Colmando con ello el derecho de acceso a la información del particular, máxime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4C6C59" w:rsidRDefault="004C6C59">
      <w:pPr>
        <w:spacing w:line="360" w:lineRule="auto"/>
        <w:jc w:val="both"/>
        <w:rPr>
          <w:rFonts w:ascii="Palatino Linotype" w:eastAsia="Palatino Linotype" w:hAnsi="Palatino Linotype" w:cs="Palatino Linotype"/>
        </w:rPr>
      </w:pPr>
    </w:p>
    <w:p w:rsidR="004C6C59" w:rsidRDefault="004D78AD">
      <w:pPr>
        <w:spacing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w:t>
      </w:r>
      <w:r>
        <w:rPr>
          <w:rFonts w:ascii="Palatino Linotype" w:eastAsia="Palatino Linotype" w:hAnsi="Palatino Linotype" w:cs="Palatino Linotype"/>
          <w:i/>
          <w:sz w:val="22"/>
          <w:szCs w:val="22"/>
        </w:rPr>
        <w:lastRenderedPageBreak/>
        <w:t>a la Información y Protección de Datos conocer, vía recurso revisión, al respecto.”(Sic)</w:t>
      </w:r>
    </w:p>
    <w:p w:rsidR="004C6C59" w:rsidRDefault="004D78A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sobre “que no recibió la información solicitada en tiempo y forma por parte del responsable de la unidad de transparencia y acceso a la información de su </w:t>
      </w:r>
      <w:proofErr w:type="spellStart"/>
      <w:r>
        <w:rPr>
          <w:rFonts w:ascii="Palatino Linotype" w:eastAsia="Palatino Linotype" w:hAnsi="Palatino Linotype" w:cs="Palatino Linotype"/>
        </w:rPr>
        <w:t>Munucipio</w:t>
      </w:r>
      <w:proofErr w:type="spellEnd"/>
      <w:r>
        <w:rPr>
          <w:rFonts w:ascii="Palatino Linotype" w:eastAsia="Palatino Linotype" w:hAnsi="Palatino Linotype" w:cs="Palatino Linotype"/>
        </w:rPr>
        <w:t>”, cabe señalar que las Unidades de Transparencia tiene la obligación de dar respuesta a los quince días posteriores la interposición de la solicitud y prorrogar dicha respuesta hasta por el término de siete días más, como así lo señala el artículo 163 de la Ley de Transparencia y Acceso a la Información Pública del Estado de México y Municipios, que señala:</w:t>
      </w:r>
    </w:p>
    <w:p w:rsidR="004C6C59" w:rsidRDefault="004D78AD">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163. La Unidad de Transparencia </w:t>
      </w:r>
      <w:r>
        <w:rPr>
          <w:rFonts w:ascii="Palatino Linotype" w:eastAsia="Palatino Linotype" w:hAnsi="Palatino Linotype" w:cs="Palatino Linotype"/>
          <w:b/>
          <w:i/>
          <w:sz w:val="22"/>
          <w:szCs w:val="22"/>
        </w:rPr>
        <w:t>deberá notificar la respuesta a la solicitud al interesado en el menor tiempo posible, que no podrá exceder de quince días hábiles, contados a partir del día siguiente a la presentación de aquélla</w:t>
      </w:r>
      <w:r>
        <w:rPr>
          <w:rFonts w:ascii="Palatino Linotype" w:eastAsia="Palatino Linotype" w:hAnsi="Palatino Linotype" w:cs="Palatino Linotype"/>
          <w:i/>
          <w:sz w:val="22"/>
          <w:szCs w:val="22"/>
        </w:rPr>
        <w:t xml:space="preserve">. </w:t>
      </w:r>
    </w:p>
    <w:p w:rsidR="004C6C59" w:rsidRDefault="004D78AD">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Excepcionalmente, el plazo referido en el párrafo anterior podrá ampliarse hasta por siete días hábiles más</w:t>
      </w:r>
      <w:r>
        <w:rPr>
          <w:rFonts w:ascii="Palatino Linotype" w:eastAsia="Palatino Linotype" w:hAnsi="Palatino Linotype" w:cs="Palatino Linotype"/>
          <w:i/>
          <w:sz w:val="22"/>
          <w:szCs w:val="22"/>
        </w:rPr>
        <w:t xml:space="preserve">, siempre y cuando existan razones fundadas y motivadas, las cuales deberán ser aprobadas por el Comité de Transparencia, mediante la emisión de una resolución que deberá notificarse al solicitante, antes de su vencimiento. </w:t>
      </w:r>
    </w:p>
    <w:p w:rsidR="004C6C59" w:rsidRDefault="004D78AD">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podrán invocarse como causales de ampliación del plazo motivos que supongan negligencia o descuido del sujeto obligado en el desahogo de la solicitud.”(Sic)</w:t>
      </w:r>
    </w:p>
    <w:p w:rsidR="004C6C59" w:rsidRDefault="004D78A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Hipótesis que aconteció en el presente asunto ya que la solicitud del particular se presentó el treinta y uno de enero del año dos mil veintidós, luego entonces la Unidad de Transparencia tenía hasta el veintidós de febrero del año dos mil veintidós para dar su respuesta; sin embargo, el veintiuno de febrero del año en curso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notificó al particular la prórroga de siete días más para otorgar respuesta a su solicitud, siendo hasta el tres de marzo de la anualidad que transcurre que tenía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dar respuesta, pero el Ayuntamiento de Tequixquiac dio su respuesta el pasado primero de marzo de este año, como se advierte dichos plazos y días que fueron atendidos por el </w:t>
      </w:r>
      <w:r>
        <w:rPr>
          <w:rFonts w:ascii="Palatino Linotype" w:eastAsia="Palatino Linotype" w:hAnsi="Palatino Linotype" w:cs="Palatino Linotype"/>
          <w:b/>
        </w:rPr>
        <w:t xml:space="preserve">SUJETO OBLIGADO.  </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 determina que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fue otorgada en tiempo y forma en términos del artículo 163 de la de la Ley de Transparencia y Acceso a la Información Pública del Estado de México y Municipios, previamente señalado.</w:t>
      </w:r>
    </w:p>
    <w:p w:rsidR="004C6C59" w:rsidRDefault="004D78AD">
      <w:pPr>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t xml:space="preserve">De conformidad con todo lo anterior, y una vez analizada las constancias que integran el expediente en que se actúa, el motivo inconformidad vertidos en relación a la respuesta, devienen infundados, por lo que lo </w:t>
      </w:r>
      <w:r>
        <w:rPr>
          <w:rFonts w:ascii="Palatino Linotype" w:eastAsia="Palatino Linotype" w:hAnsi="Palatino Linotype" w:cs="Palatino Linotype"/>
          <w:b/>
        </w:rPr>
        <w:t>PROCEDENTE</w:t>
      </w:r>
      <w:r>
        <w:rPr>
          <w:rFonts w:ascii="Palatino Linotype" w:eastAsia="Palatino Linotype" w:hAnsi="Palatino Linotype" w:cs="Palatino Linotype"/>
        </w:rPr>
        <w:t xml:space="preserve"> será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p>
    <w:p w:rsidR="004C6C59" w:rsidRDefault="004D78A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4C6C59" w:rsidRDefault="004D78A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III. R E S U E L V E:</w:t>
      </w:r>
    </w:p>
    <w:p w:rsidR="004C6C59" w:rsidRDefault="004D78AD">
      <w:pPr>
        <w:pBdr>
          <w:top w:val="nil"/>
          <w:left w:val="nil"/>
          <w:bottom w:val="nil"/>
          <w:right w:val="nil"/>
          <w:between w:val="nil"/>
        </w:pBdr>
        <w:spacing w:after="120" w:line="405" w:lineRule="auto"/>
        <w:jc w:val="both"/>
        <w:rPr>
          <w:rFonts w:ascii="Palatino Linotype" w:eastAsia="Palatino Linotype" w:hAnsi="Palatino Linotype" w:cs="Palatino Linotype"/>
          <w:color w:val="000000"/>
        </w:rPr>
      </w:pPr>
      <w:bookmarkStart w:id="5" w:name="_heading=h.3dy6vkm" w:colFirst="0" w:colLast="0"/>
      <w:bookmarkEnd w:id="5"/>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Resulta infundado el motivo de inconformidad aducido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el recurso de revisión </w:t>
      </w:r>
      <w:r>
        <w:rPr>
          <w:rFonts w:ascii="Palatino Linotype" w:eastAsia="Palatino Linotype" w:hAnsi="Palatino Linotype" w:cs="Palatino Linotype"/>
          <w:b/>
          <w:color w:val="000000"/>
        </w:rPr>
        <w:t>02484/INFOEM/IP/RR/2022</w:t>
      </w:r>
      <w:r>
        <w:rPr>
          <w:rFonts w:ascii="Palatino Linotype" w:eastAsia="Palatino Linotype" w:hAnsi="Palatino Linotype" w:cs="Palatino Linotype"/>
          <w:color w:val="000000"/>
        </w:rPr>
        <w:t xml:space="preserve">; por lo que, en términos de los argumentos señalados en el Considerando Cuarto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emitida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rsidR="004C6C59" w:rsidRDefault="004D78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Notifíquese</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la presente resolución a la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4C6C59" w:rsidRDefault="004D78AD">
      <w:pPr>
        <w:tabs>
          <w:tab w:val="left" w:pos="8647"/>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w:t>
      </w:r>
      <w:r>
        <w:rPr>
          <w:rFonts w:ascii="Palatino Linotype" w:eastAsia="Palatino Linotype" w:hAnsi="Palatino Linotype" w:cs="Palatino Linotype"/>
          <w:b/>
        </w:rPr>
        <w:t xml:space="preserve"> </w:t>
      </w:r>
      <w:r>
        <w:rPr>
          <w:rFonts w:ascii="Palatino Linotype" w:eastAsia="Palatino Linotype" w:hAnsi="Palatino Linotype" w:cs="Palatino Linotype"/>
        </w:rPr>
        <w:t>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C82CAF" w:rsidRDefault="004D78AD">
      <w:pPr>
        <w:spacing w:before="240" w:after="240" w:line="360" w:lineRule="auto"/>
        <w:jc w:val="both"/>
        <w:rPr>
          <w:rFonts w:ascii="Palatino Linotype" w:eastAsia="Palatino Linotype" w:hAnsi="Palatino Linotype" w:cs="Palatino Linotype"/>
        </w:rPr>
        <w:sectPr w:rsidR="00C82CA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w:t>
      </w:r>
      <w:r>
        <w:rPr>
          <w:rFonts w:ascii="Palatino Linotype" w:eastAsia="Palatino Linotype" w:hAnsi="Palatino Linotype" w:cs="Palatino Linotype"/>
        </w:rPr>
        <w:lastRenderedPageBreak/>
        <w:t xml:space="preserve">EL ONCE DE MAYO DE DOS MIL VEINTIDÓS, ANTE EL SECRETARIO </w:t>
      </w:r>
      <w:r w:rsidR="00C82CAF">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675005</wp:posOffset>
                </wp:positionV>
                <wp:extent cx="5438775" cy="71056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438775" cy="7105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588F9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3.15pt" to="428.7pt,6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" strokecolor="black [3200]" strokeweight="2pt">
                <v:shadow on="t" color="black" opacity="24903f" origin=",.5" offset="0,.55556mm"/>
              </v:line>
            </w:pict>
          </mc:Fallback>
        </mc:AlternateContent>
      </w:r>
      <w:r>
        <w:rPr>
          <w:rFonts w:ascii="Palatino Linotype" w:eastAsia="Palatino Linotype" w:hAnsi="Palatino Linotype" w:cs="Palatino Linotype"/>
        </w:rPr>
        <w:t>TÉCNICO DEL PLENO ALEXIS TAPIA RAMÍREZ.</w:t>
      </w:r>
    </w:p>
    <w:p w:rsidR="004C6C59" w:rsidRDefault="004C6C59">
      <w:pPr>
        <w:spacing w:before="240" w:after="240" w:line="360" w:lineRule="auto"/>
        <w:jc w:val="both"/>
        <w:rPr>
          <w:rFonts w:ascii="Palatino Linotype" w:eastAsia="Palatino Linotype" w:hAnsi="Palatino Linotype" w:cs="Palatino Linotype"/>
        </w:rPr>
      </w:pPr>
    </w:p>
    <w:sectPr w:rsidR="004C6C59">
      <w:head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E7" w:rsidRDefault="00CF0FE7">
      <w:r>
        <w:separator/>
      </w:r>
    </w:p>
  </w:endnote>
  <w:endnote w:type="continuationSeparator" w:id="0">
    <w:p w:rsidR="00CF0FE7" w:rsidRDefault="00CF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59" w:rsidRDefault="004D78A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75FB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5FB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4C6C59" w:rsidRDefault="004C6C5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59" w:rsidRDefault="004D78A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C82CAF">
      <w:rPr>
        <w:rFonts w:ascii="Palatino Linotype" w:eastAsia="Palatino Linotype" w:hAnsi="Palatino Linotype" w:cs="Palatino Linotype"/>
        <w:b/>
        <w:color w:val="000000"/>
        <w:sz w:val="20"/>
        <w:szCs w:val="20"/>
      </w:rPr>
      <w:t>21</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75FB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rsidR="004C6C59" w:rsidRDefault="004C6C5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E7" w:rsidRDefault="00CF0FE7">
      <w:r>
        <w:separator/>
      </w:r>
    </w:p>
  </w:footnote>
  <w:footnote w:type="continuationSeparator" w:id="0">
    <w:p w:rsidR="00CF0FE7" w:rsidRDefault="00CF0F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59" w:rsidRDefault="004D78A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n-US" w:eastAsia="en-US"/>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4C6C59">
      <w:tc>
        <w:tcPr>
          <w:tcW w:w="2489" w:type="dxa"/>
          <w:shd w:val="clear" w:color="auto" w:fill="auto"/>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4C6C59" w:rsidRDefault="004D78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02484/INFOEM/IP/RR/2022</w:t>
          </w:r>
        </w:p>
      </w:tc>
    </w:tr>
    <w:tr w:rsidR="004C6C59">
      <w:trPr>
        <w:trHeight w:val="228"/>
      </w:trPr>
      <w:tc>
        <w:tcPr>
          <w:tcW w:w="2489" w:type="dxa"/>
          <w:shd w:val="clear" w:color="auto" w:fill="auto"/>
          <w:vAlign w:val="center"/>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4C6C59" w:rsidRDefault="004D78A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4C6C59">
      <w:tc>
        <w:tcPr>
          <w:tcW w:w="2489" w:type="dxa"/>
          <w:shd w:val="clear" w:color="auto" w:fill="auto"/>
          <w:vAlign w:val="center"/>
        </w:tcPr>
        <w:p w:rsidR="004C6C59" w:rsidRDefault="004D78A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4C6C59" w:rsidRDefault="004D78A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C6C59" w:rsidRDefault="004D78A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59" w:rsidRDefault="004C6C5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4C6C59">
      <w:tc>
        <w:tcPr>
          <w:tcW w:w="2551" w:type="dxa"/>
          <w:shd w:val="clear" w:color="auto" w:fill="auto"/>
          <w:vAlign w:val="center"/>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4C6C59" w:rsidRDefault="004D78A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02484/INFOEM/IP/RR/2022</w:t>
          </w:r>
        </w:p>
      </w:tc>
    </w:tr>
    <w:tr w:rsidR="004C6C59">
      <w:trPr>
        <w:trHeight w:val="130"/>
      </w:trPr>
      <w:tc>
        <w:tcPr>
          <w:tcW w:w="2551" w:type="dxa"/>
          <w:shd w:val="clear" w:color="auto" w:fill="auto"/>
          <w:vAlign w:val="center"/>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4C6C59" w:rsidRDefault="004C6C59">
          <w:pPr>
            <w:ind w:left="-45"/>
            <w:jc w:val="both"/>
            <w:rPr>
              <w:rFonts w:ascii="Palatino Linotype" w:eastAsia="Palatino Linotype" w:hAnsi="Palatino Linotype" w:cs="Palatino Linotype"/>
              <w:b/>
              <w:sz w:val="22"/>
              <w:szCs w:val="22"/>
            </w:rPr>
          </w:pPr>
        </w:p>
      </w:tc>
    </w:tr>
    <w:tr w:rsidR="004C6C59">
      <w:trPr>
        <w:trHeight w:val="228"/>
      </w:trPr>
      <w:tc>
        <w:tcPr>
          <w:tcW w:w="2551" w:type="dxa"/>
          <w:shd w:val="clear" w:color="auto" w:fill="auto"/>
          <w:vAlign w:val="center"/>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4C6C59" w:rsidRDefault="004D78A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4C6C59">
      <w:tc>
        <w:tcPr>
          <w:tcW w:w="2551" w:type="dxa"/>
          <w:shd w:val="clear" w:color="auto" w:fill="auto"/>
          <w:vAlign w:val="center"/>
        </w:tcPr>
        <w:p w:rsidR="004C6C59" w:rsidRDefault="004D78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4C6C59" w:rsidRDefault="004D78A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C6C59" w:rsidRDefault="004D78AD">
    <w:pPr>
      <w:pBdr>
        <w:top w:val="nil"/>
        <w:left w:val="nil"/>
        <w:bottom w:val="nil"/>
        <w:right w:val="nil"/>
        <w:between w:val="nil"/>
      </w:pBdr>
      <w:tabs>
        <w:tab w:val="center" w:pos="4252"/>
        <w:tab w:val="right" w:pos="8504"/>
      </w:tabs>
      <w:rPr>
        <w:rFonts w:ascii="Cambria" w:eastAsia="Cambria" w:hAnsi="Cambria" w:cs="Cambria"/>
        <w:color w:val="000000"/>
      </w:rPr>
    </w:pPr>
    <w:r>
      <w:rPr>
        <w:noProof/>
        <w:lang w:val="en-US" w:eastAsia="en-US"/>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CAF" w:rsidRDefault="00C82CA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C82CAF" w:rsidRDefault="00C82CA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1F35F0"/>
    <w:rsid w:val="004C6C59"/>
    <w:rsid w:val="004D78AD"/>
    <w:rsid w:val="00634F4A"/>
    <w:rsid w:val="00C82CAF"/>
    <w:rsid w:val="00CF0FE7"/>
    <w:rsid w:val="00F75F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99E9"/>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198328-1100-4831-B6FE-DE44BFBA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4751</Words>
  <Characters>27084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NAJERA </cp:lastModifiedBy>
  <cp:revision>5</cp:revision>
  <dcterms:created xsi:type="dcterms:W3CDTF">2022-05-06T04:17:00Z</dcterms:created>
  <dcterms:modified xsi:type="dcterms:W3CDTF">2022-05-12T19:00:00Z</dcterms:modified>
</cp:coreProperties>
</file>