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FF0D" w14:textId="77777777" w:rsidR="00CE10D8" w:rsidRDefault="00CE10D8" w:rsidP="00460DF5">
      <w:pPr>
        <w:spacing w:line="360" w:lineRule="auto"/>
        <w:contextualSpacing/>
        <w:jc w:val="both"/>
        <w:rPr>
          <w:rFonts w:ascii="Palatino Linotype" w:hAnsi="Palatino Linotype" w:cs="Tahoma"/>
          <w:bCs/>
          <w:sz w:val="22"/>
          <w:szCs w:val="22"/>
        </w:rPr>
      </w:pPr>
    </w:p>
    <w:p w14:paraId="2AC12568" w14:textId="4F1A0C4E" w:rsidR="005F2D09" w:rsidRPr="00460DF5" w:rsidRDefault="005F2D09" w:rsidP="00460DF5">
      <w:pPr>
        <w:spacing w:line="360" w:lineRule="auto"/>
        <w:contextualSpacing/>
        <w:jc w:val="both"/>
        <w:rPr>
          <w:rFonts w:ascii="Palatino Linotype" w:hAnsi="Palatino Linotype" w:cs="Tahoma"/>
          <w:sz w:val="22"/>
          <w:szCs w:val="22"/>
          <w:lang w:val="es-ES"/>
        </w:rPr>
      </w:pPr>
      <w:r w:rsidRPr="00460DF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460DF5">
        <w:rPr>
          <w:rFonts w:ascii="Palatino Linotype" w:hAnsi="Palatino Linotype" w:cs="Tahoma"/>
          <w:sz w:val="22"/>
          <w:szCs w:val="22"/>
          <w:lang w:val="es-ES"/>
        </w:rPr>
        <w:t xml:space="preserve">Estado de México, de fecha de </w:t>
      </w:r>
      <w:r w:rsidR="00A03E51" w:rsidRPr="00460DF5">
        <w:rPr>
          <w:rFonts w:ascii="Palatino Linotype" w:hAnsi="Palatino Linotype" w:cs="Tahoma"/>
          <w:sz w:val="22"/>
          <w:szCs w:val="22"/>
          <w:lang w:val="es-ES"/>
        </w:rPr>
        <w:t>cuatro de mayo</w:t>
      </w:r>
      <w:r w:rsidRPr="00460DF5">
        <w:rPr>
          <w:rFonts w:ascii="Palatino Linotype" w:hAnsi="Palatino Linotype" w:cs="Tahoma"/>
          <w:sz w:val="22"/>
          <w:szCs w:val="22"/>
          <w:lang w:val="es-ES"/>
        </w:rPr>
        <w:t xml:space="preserve"> de dos mil veintidós. </w:t>
      </w:r>
    </w:p>
    <w:p w14:paraId="4EC4C9D7" w14:textId="77777777" w:rsidR="005F2D09" w:rsidRPr="00460DF5" w:rsidRDefault="005F2D09" w:rsidP="00460DF5">
      <w:pPr>
        <w:spacing w:line="360" w:lineRule="auto"/>
        <w:contextualSpacing/>
        <w:jc w:val="both"/>
        <w:rPr>
          <w:rFonts w:ascii="Palatino Linotype" w:hAnsi="Palatino Linotype" w:cs="Tahoma"/>
          <w:b/>
          <w:bCs/>
          <w:sz w:val="22"/>
          <w:szCs w:val="22"/>
          <w:lang w:val="es-ES"/>
        </w:rPr>
      </w:pPr>
    </w:p>
    <w:p w14:paraId="6E802CBF" w14:textId="014E150B" w:rsidR="005F2D09" w:rsidRPr="00460DF5" w:rsidRDefault="005F2D09" w:rsidP="00460DF5">
      <w:pPr>
        <w:spacing w:line="360" w:lineRule="auto"/>
        <w:contextualSpacing/>
        <w:jc w:val="both"/>
        <w:rPr>
          <w:rFonts w:ascii="Palatino Linotype" w:hAnsi="Palatino Linotype" w:cs="Tahoma"/>
          <w:bCs/>
          <w:sz w:val="22"/>
          <w:szCs w:val="22"/>
        </w:rPr>
      </w:pPr>
      <w:r w:rsidRPr="00460DF5">
        <w:rPr>
          <w:rFonts w:ascii="Palatino Linotype" w:hAnsi="Palatino Linotype" w:cs="Tahoma"/>
          <w:b/>
          <w:bCs/>
          <w:sz w:val="22"/>
          <w:szCs w:val="22"/>
        </w:rPr>
        <w:t xml:space="preserve">VISTO </w:t>
      </w:r>
      <w:r w:rsidRPr="00460DF5">
        <w:rPr>
          <w:rFonts w:ascii="Palatino Linotype" w:hAnsi="Palatino Linotype" w:cs="Tahoma"/>
          <w:bCs/>
          <w:sz w:val="22"/>
          <w:szCs w:val="22"/>
        </w:rPr>
        <w:t xml:space="preserve">el expediente conformado con motivo del Recurso de Revisión </w:t>
      </w:r>
      <w:r w:rsidR="008F1915">
        <w:rPr>
          <w:rFonts w:ascii="Palatino Linotype" w:eastAsia="Calibri" w:hAnsi="Palatino Linotype" w:cs="Tahoma"/>
          <w:b/>
          <w:bCs/>
          <w:sz w:val="22"/>
          <w:szCs w:val="22"/>
          <w:lang w:eastAsia="en-US"/>
        </w:rPr>
        <w:t>01966/INFOEM/IP/RR/2022</w:t>
      </w:r>
      <w:r w:rsidRPr="00460DF5">
        <w:rPr>
          <w:rFonts w:ascii="Palatino Linotype" w:hAnsi="Palatino Linotype" w:cs="Tahoma"/>
          <w:b/>
          <w:bCs/>
          <w:sz w:val="22"/>
          <w:szCs w:val="22"/>
        </w:rPr>
        <w:t>,</w:t>
      </w:r>
      <w:r w:rsidRPr="00460DF5">
        <w:rPr>
          <w:rFonts w:ascii="Palatino Linotype" w:hAnsi="Palatino Linotype" w:cs="Tahoma"/>
          <w:bCs/>
          <w:sz w:val="22"/>
          <w:szCs w:val="22"/>
        </w:rPr>
        <w:t xml:space="preserve"> interpuesto </w:t>
      </w:r>
      <w:r w:rsidR="006F743A" w:rsidRPr="00460DF5">
        <w:rPr>
          <w:rFonts w:ascii="Palatino Linotype" w:hAnsi="Palatino Linotype" w:cs="Tahoma"/>
          <w:sz w:val="22"/>
          <w:szCs w:val="22"/>
        </w:rPr>
        <w:t>un</w:t>
      </w:r>
      <w:r w:rsidR="00455664" w:rsidRPr="00460DF5">
        <w:rPr>
          <w:rFonts w:ascii="Palatino Linotype" w:hAnsi="Palatino Linotype" w:cs="Tahoma"/>
          <w:sz w:val="22"/>
          <w:szCs w:val="22"/>
        </w:rPr>
        <w:t xml:space="preserve"> Particular, en lo sucesivo</w:t>
      </w:r>
      <w:r w:rsidRPr="00460DF5">
        <w:rPr>
          <w:rFonts w:ascii="Palatino Linotype" w:hAnsi="Palatino Linotype" w:cs="Tahoma"/>
          <w:sz w:val="22"/>
          <w:szCs w:val="22"/>
        </w:rPr>
        <w:t xml:space="preserve"> </w:t>
      </w:r>
      <w:r w:rsidRPr="00460DF5">
        <w:rPr>
          <w:rFonts w:ascii="Palatino Linotype" w:hAnsi="Palatino Linotype" w:cs="Tahoma"/>
          <w:bCs/>
          <w:sz w:val="22"/>
          <w:szCs w:val="22"/>
        </w:rPr>
        <w:t>Recurrente o Particular, en contra de la respuesta del Sujeto Obligado,</w:t>
      </w:r>
      <w:r w:rsidR="00A9475C" w:rsidRPr="00460DF5">
        <w:rPr>
          <w:rFonts w:ascii="Palatino Linotype" w:hAnsi="Palatino Linotype" w:cs="Tahoma"/>
          <w:bCs/>
          <w:sz w:val="22"/>
          <w:szCs w:val="22"/>
        </w:rPr>
        <w:t xml:space="preserve"> </w:t>
      </w:r>
      <w:r w:rsidR="00971432" w:rsidRPr="00460DF5">
        <w:rPr>
          <w:rFonts w:ascii="Palatino Linotype" w:hAnsi="Palatino Linotype" w:cs="Tahoma"/>
          <w:bCs/>
          <w:sz w:val="22"/>
          <w:szCs w:val="22"/>
        </w:rPr>
        <w:t>el</w:t>
      </w:r>
      <w:r w:rsidRPr="00460DF5">
        <w:rPr>
          <w:rFonts w:ascii="Palatino Linotype" w:hAnsi="Palatino Linotype" w:cs="Tahoma"/>
          <w:sz w:val="22"/>
          <w:szCs w:val="22"/>
        </w:rPr>
        <w:t xml:space="preserve"> </w:t>
      </w:r>
      <w:r w:rsidR="008F1915">
        <w:rPr>
          <w:rFonts w:ascii="Palatino Linotype" w:hAnsi="Palatino Linotype" w:cs="Tahoma"/>
          <w:b/>
          <w:sz w:val="22"/>
          <w:szCs w:val="22"/>
        </w:rPr>
        <w:t>Secretaría de Desarrollo Urbano y Obra</w:t>
      </w:r>
      <w:r w:rsidRPr="00460DF5">
        <w:rPr>
          <w:rFonts w:ascii="Palatino Linotype" w:hAnsi="Palatino Linotype" w:cs="Tahoma"/>
          <w:b/>
          <w:sz w:val="22"/>
          <w:szCs w:val="22"/>
        </w:rPr>
        <w:t xml:space="preserve">, </w:t>
      </w:r>
      <w:r w:rsidRPr="00460DF5">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460DF5" w:rsidRDefault="005F2D09" w:rsidP="00460DF5">
      <w:pPr>
        <w:spacing w:line="360" w:lineRule="auto"/>
        <w:contextualSpacing/>
        <w:jc w:val="both"/>
        <w:rPr>
          <w:rFonts w:ascii="Palatino Linotype" w:hAnsi="Palatino Linotype" w:cs="Tahoma"/>
          <w:b/>
          <w:bCs/>
          <w:sz w:val="22"/>
          <w:szCs w:val="22"/>
          <w:lang w:val="es-ES"/>
        </w:rPr>
      </w:pPr>
    </w:p>
    <w:p w14:paraId="5BEF9923" w14:textId="77777777" w:rsidR="005F2D09" w:rsidRPr="00460DF5" w:rsidRDefault="005F2D09" w:rsidP="00460DF5">
      <w:pPr>
        <w:spacing w:line="360" w:lineRule="auto"/>
        <w:contextualSpacing/>
        <w:jc w:val="center"/>
        <w:rPr>
          <w:rFonts w:ascii="Palatino Linotype" w:hAnsi="Palatino Linotype" w:cs="Tahoma"/>
          <w:b/>
          <w:bCs/>
          <w:sz w:val="22"/>
          <w:szCs w:val="22"/>
          <w:lang w:val="es-ES"/>
        </w:rPr>
      </w:pPr>
      <w:r w:rsidRPr="00460DF5">
        <w:rPr>
          <w:rFonts w:ascii="Palatino Linotype" w:hAnsi="Palatino Linotype" w:cs="Tahoma"/>
          <w:b/>
          <w:bCs/>
          <w:sz w:val="22"/>
          <w:szCs w:val="22"/>
          <w:lang w:val="es-ES"/>
        </w:rPr>
        <w:t>A N T E C E D E N T E S:</w:t>
      </w:r>
    </w:p>
    <w:p w14:paraId="11D2C935" w14:textId="77777777" w:rsidR="005F2D09" w:rsidRPr="00460DF5" w:rsidRDefault="005F2D09" w:rsidP="00460DF5">
      <w:pPr>
        <w:spacing w:line="360" w:lineRule="auto"/>
        <w:contextualSpacing/>
        <w:jc w:val="both"/>
        <w:rPr>
          <w:rFonts w:ascii="Palatino Linotype" w:hAnsi="Palatino Linotype" w:cs="Tahoma"/>
          <w:sz w:val="22"/>
          <w:szCs w:val="22"/>
          <w:lang w:val="es-ES"/>
        </w:rPr>
      </w:pPr>
    </w:p>
    <w:p w14:paraId="5E7DA289" w14:textId="77777777" w:rsidR="005F2D09" w:rsidRPr="00460DF5" w:rsidRDefault="005F2D09" w:rsidP="00460DF5">
      <w:pPr>
        <w:spacing w:line="360" w:lineRule="auto"/>
        <w:contextualSpacing/>
        <w:jc w:val="both"/>
        <w:rPr>
          <w:rFonts w:ascii="Palatino Linotype" w:hAnsi="Palatino Linotype" w:cs="Tahoma"/>
          <w:b/>
          <w:bCs/>
          <w:sz w:val="22"/>
          <w:szCs w:val="22"/>
          <w:lang w:val="es-ES"/>
        </w:rPr>
      </w:pPr>
      <w:r w:rsidRPr="00460DF5">
        <w:rPr>
          <w:rFonts w:ascii="Palatino Linotype" w:hAnsi="Palatino Linotype" w:cs="Tahoma"/>
          <w:b/>
          <w:bCs/>
          <w:sz w:val="22"/>
          <w:szCs w:val="22"/>
          <w:lang w:val="es-ES"/>
        </w:rPr>
        <w:t>I. Presentación de la solicitud de información.</w:t>
      </w:r>
    </w:p>
    <w:p w14:paraId="14D14906" w14:textId="77777777" w:rsidR="005F2D09" w:rsidRPr="00460DF5" w:rsidRDefault="005F2D09" w:rsidP="00460DF5">
      <w:pPr>
        <w:spacing w:line="360" w:lineRule="auto"/>
        <w:contextualSpacing/>
        <w:jc w:val="both"/>
        <w:rPr>
          <w:rFonts w:ascii="Palatino Linotype" w:hAnsi="Palatino Linotype" w:cs="Tahoma"/>
          <w:b/>
          <w:bCs/>
          <w:sz w:val="22"/>
          <w:szCs w:val="22"/>
          <w:lang w:val="es-ES"/>
        </w:rPr>
      </w:pPr>
    </w:p>
    <w:p w14:paraId="2BABAC14" w14:textId="560031E8" w:rsidR="003B5082" w:rsidRPr="00460DF5" w:rsidRDefault="00A03E51" w:rsidP="00460DF5">
      <w:pPr>
        <w:pStyle w:val="Prrafodelista"/>
        <w:tabs>
          <w:tab w:val="left" w:pos="567"/>
        </w:tabs>
        <w:spacing w:line="360" w:lineRule="auto"/>
        <w:ind w:left="0"/>
        <w:jc w:val="both"/>
        <w:rPr>
          <w:rFonts w:ascii="Palatino Linotype" w:hAnsi="Palatino Linotype" w:cs="Tahoma"/>
          <w:szCs w:val="22"/>
        </w:rPr>
      </w:pPr>
      <w:r w:rsidRPr="00460DF5">
        <w:rPr>
          <w:rFonts w:ascii="Palatino Linotype" w:hAnsi="Palatino Linotype" w:cs="Tahoma"/>
          <w:szCs w:val="22"/>
          <w:lang w:val="es-ES"/>
        </w:rPr>
        <w:t xml:space="preserve">El </w:t>
      </w:r>
      <w:r w:rsidR="008F1915">
        <w:rPr>
          <w:rFonts w:ascii="Palatino Linotype" w:hAnsi="Palatino Linotype" w:cs="Tahoma"/>
          <w:szCs w:val="22"/>
          <w:lang w:val="es-ES"/>
        </w:rPr>
        <w:t>ocho de febrero</w:t>
      </w:r>
      <w:r w:rsidR="00692DB0" w:rsidRPr="00460DF5">
        <w:rPr>
          <w:rFonts w:ascii="Palatino Linotype" w:hAnsi="Palatino Linotype" w:cs="Tahoma"/>
          <w:szCs w:val="22"/>
          <w:lang w:val="es-ES"/>
        </w:rPr>
        <w:t xml:space="preserve"> de dos mil veintidós, el Particular presentó una solicitud de acceso a la información pública, a través del Sistema de Acceso a la In</w:t>
      </w:r>
      <w:r w:rsidR="008F1915">
        <w:rPr>
          <w:rFonts w:ascii="Palatino Linotype" w:hAnsi="Palatino Linotype" w:cs="Tahoma"/>
          <w:szCs w:val="22"/>
          <w:lang w:val="es-ES"/>
        </w:rPr>
        <w:t xml:space="preserve">formación Mexiquense (SAIMEX); </w:t>
      </w:r>
      <w:r w:rsidR="003B5082" w:rsidRPr="00460DF5">
        <w:rPr>
          <w:rFonts w:ascii="Palatino Linotype" w:hAnsi="Palatino Linotype" w:cs="Tahoma"/>
          <w:szCs w:val="22"/>
        </w:rPr>
        <w:t xml:space="preserve">ante el </w:t>
      </w:r>
      <w:r w:rsidR="008F1915">
        <w:rPr>
          <w:rFonts w:ascii="Palatino Linotype" w:hAnsi="Palatino Linotype" w:cs="Tahoma"/>
          <w:b/>
          <w:bCs/>
          <w:color w:val="0D0D0D" w:themeColor="text1" w:themeTint="F2"/>
          <w:szCs w:val="22"/>
        </w:rPr>
        <w:t>Secretaría de Desarrollo Urbano y Obra</w:t>
      </w:r>
      <w:r w:rsidR="003B5082" w:rsidRPr="00460DF5">
        <w:rPr>
          <w:rFonts w:ascii="Palatino Linotype" w:hAnsi="Palatino Linotype" w:cs="Tahoma"/>
          <w:szCs w:val="22"/>
        </w:rPr>
        <w:t>, mediante el cual requirió lo siguiente:</w:t>
      </w:r>
    </w:p>
    <w:p w14:paraId="47BE90C9" w14:textId="1916BA94" w:rsidR="005F2D09" w:rsidRPr="00460DF5" w:rsidRDefault="005F2D09" w:rsidP="00460DF5">
      <w:pPr>
        <w:spacing w:line="360" w:lineRule="auto"/>
        <w:contextualSpacing/>
        <w:jc w:val="both"/>
        <w:rPr>
          <w:rFonts w:ascii="Palatino Linotype" w:hAnsi="Palatino Linotype" w:cs="Tahoma"/>
          <w:sz w:val="22"/>
          <w:szCs w:val="22"/>
        </w:rPr>
      </w:pPr>
    </w:p>
    <w:p w14:paraId="4B380DAE" w14:textId="381874C9" w:rsidR="00A9475C" w:rsidRPr="00460DF5" w:rsidRDefault="005F2D09" w:rsidP="00460DF5">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460DF5">
        <w:rPr>
          <w:rFonts w:ascii="Palatino Linotype" w:hAnsi="Palatino Linotype" w:cs="Tahoma"/>
          <w:b/>
          <w:bCs/>
        </w:rPr>
        <w:t>Solicitud de folio:</w:t>
      </w:r>
      <w:r w:rsidRPr="00460DF5">
        <w:rPr>
          <w:rFonts w:ascii="Palatino Linotype" w:hAnsi="Palatino Linotype" w:cs="Tahoma"/>
        </w:rPr>
        <w:t xml:space="preserve"> </w:t>
      </w:r>
      <w:r w:rsidR="008F1915" w:rsidRPr="008F1915">
        <w:rPr>
          <w:rFonts w:ascii="Palatino Linotype" w:hAnsi="Palatino Linotype" w:cs="Tahoma"/>
          <w:b/>
          <w:bCs/>
        </w:rPr>
        <w:t>00046/SEDUO/IP/2022</w:t>
      </w:r>
    </w:p>
    <w:p w14:paraId="5218541B" w14:textId="4071AEBE" w:rsidR="005F2D09" w:rsidRPr="00460DF5" w:rsidRDefault="005F2D09" w:rsidP="00460DF5">
      <w:pPr>
        <w:tabs>
          <w:tab w:val="left" w:pos="8505"/>
        </w:tabs>
        <w:spacing w:line="360" w:lineRule="auto"/>
        <w:ind w:left="567" w:right="539"/>
        <w:contextualSpacing/>
        <w:jc w:val="both"/>
        <w:rPr>
          <w:rFonts w:ascii="Palatino Linotype" w:hAnsi="Palatino Linotype" w:cs="Tahoma"/>
          <w:b/>
          <w:bCs/>
        </w:rPr>
      </w:pPr>
      <w:r w:rsidRPr="00460DF5">
        <w:rPr>
          <w:rFonts w:ascii="Palatino Linotype" w:hAnsi="Palatino Linotype" w:cs="Tahoma"/>
          <w:b/>
          <w:bCs/>
        </w:rPr>
        <w:t>DESCRIPCIÓN CLARA Y PRECISA DE LA INFORMACIÓN SOLICITADA:</w:t>
      </w:r>
    </w:p>
    <w:bookmarkEnd w:id="0"/>
    <w:bookmarkEnd w:id="1"/>
    <w:p w14:paraId="7587D682" w14:textId="77777777" w:rsidR="008F1915" w:rsidRPr="008F1915" w:rsidRDefault="008F1915" w:rsidP="008F1915">
      <w:pPr>
        <w:tabs>
          <w:tab w:val="left" w:pos="8505"/>
        </w:tabs>
        <w:spacing w:line="360" w:lineRule="auto"/>
        <w:ind w:left="567" w:right="539"/>
        <w:contextualSpacing/>
        <w:jc w:val="both"/>
        <w:rPr>
          <w:rFonts w:ascii="Palatino Linotype" w:hAnsi="Palatino Linotype" w:cs="Tahoma"/>
          <w:bCs/>
          <w:i/>
        </w:rPr>
      </w:pPr>
    </w:p>
    <w:p w14:paraId="4BF02921" w14:textId="773D3142" w:rsidR="00A504D1" w:rsidRPr="000B4E75" w:rsidRDefault="008F1915" w:rsidP="008F1915">
      <w:pPr>
        <w:tabs>
          <w:tab w:val="left" w:pos="8505"/>
        </w:tabs>
        <w:spacing w:line="360" w:lineRule="auto"/>
        <w:ind w:left="567" w:right="539"/>
        <w:contextualSpacing/>
        <w:jc w:val="both"/>
        <w:rPr>
          <w:rFonts w:ascii="Palatino Linotype" w:hAnsi="Palatino Linotype" w:cs="Tahoma"/>
          <w:bCs/>
          <w:iCs/>
        </w:rPr>
      </w:pPr>
      <w:r w:rsidRPr="008F1915">
        <w:rPr>
          <w:rFonts w:ascii="Palatino Linotype" w:hAnsi="Palatino Linotype" w:cs="Tahoma"/>
          <w:bCs/>
          <w:i/>
        </w:rPr>
        <w:t xml:space="preserve">De acuerdo al documento anexo a la presente </w:t>
      </w:r>
      <w:r w:rsidRPr="000B4E75">
        <w:rPr>
          <w:rFonts w:ascii="Palatino Linotype" w:hAnsi="Palatino Linotype" w:cs="Tahoma"/>
          <w:bCs/>
          <w:i/>
        </w:rPr>
        <w:t xml:space="preserve">solicitud, el cual refiere a la subdivisión de un predio denominado “La Ladera”, cerca de la cabecera municipal, mediante un acta de cabildo fue autorizada la subdivisión de dicho predio para dar como resultado 24 lotes. En virtud de lo anterior, en el documento anexo a la presente solicitud se aprecia un convenio en el cual, la cláusula tercera refiere a que, se dio vista de dicho convenio al Gobierno del Estado de México para que de manera coordinada y concurrente se ejecute el convenio de referencia. Al respecto, requiero lo siguiente: </w:t>
      </w:r>
      <w:r w:rsidRPr="000B4E75">
        <w:rPr>
          <w:rFonts w:ascii="Palatino Linotype" w:hAnsi="Palatino Linotype" w:cs="Tahoma"/>
          <w:b/>
          <w:bCs/>
          <w:i/>
        </w:rPr>
        <w:t xml:space="preserve">A) </w:t>
      </w:r>
      <w:r w:rsidRPr="000B4E75">
        <w:rPr>
          <w:rFonts w:ascii="Palatino Linotype" w:hAnsi="Palatino Linotype" w:cs="Tahoma"/>
          <w:bCs/>
          <w:i/>
        </w:rPr>
        <w:t xml:space="preserve">Conforme a </w:t>
      </w:r>
      <w:r w:rsidRPr="000B4E75">
        <w:rPr>
          <w:rFonts w:ascii="Palatino Linotype" w:hAnsi="Palatino Linotype" w:cs="Tahoma"/>
          <w:bCs/>
          <w:i/>
        </w:rPr>
        <w:lastRenderedPageBreak/>
        <w:t xml:space="preserve">la cláusula tercera del convenio, señale el nombre del área receptora de dicho convenio, así como la versión pública del acuse de recibido ya sea físicamente o digitalmente de dicho convenio; </w:t>
      </w:r>
      <w:r w:rsidRPr="000B4E75">
        <w:rPr>
          <w:rFonts w:ascii="Palatino Linotype" w:hAnsi="Palatino Linotype" w:cs="Tahoma"/>
          <w:b/>
          <w:bCs/>
          <w:i/>
        </w:rPr>
        <w:t xml:space="preserve">B) </w:t>
      </w:r>
      <w:r w:rsidRPr="000B4E75">
        <w:rPr>
          <w:rFonts w:ascii="Palatino Linotype" w:hAnsi="Palatino Linotype" w:cs="Tahoma"/>
          <w:bCs/>
          <w:i/>
        </w:rPr>
        <w:t>Conforme a los documentos que obran en sus archivos tanto físicos y digitales, requiero la versión pública de toda la documentación que acredite y/o autorice la subdivisión del predio denominado “La Ladera”, el cual dio como resultado la subdivisión de 24 lotes, para mejor referencia del domicilio, se anexa el documento el cual detalla la ubicación de dicho predio, así como el convenio mediante el cual refiere a que, se le da vista a la autoridad estatal correspondiente. En caso de no contar con la información total o parcial, previo a que se me acredite la búsqueda exhaustiva y razonable de la información, solicito el acta mediante la cual</w:t>
      </w:r>
      <w:r w:rsidRPr="000B4E75">
        <w:rPr>
          <w:rFonts w:ascii="Palatino Linotype" w:hAnsi="Palatino Linotype" w:cs="Tahoma"/>
          <w:b/>
          <w:bCs/>
          <w:i/>
        </w:rPr>
        <w:t xml:space="preserve"> se declare la inexistencia de la información</w:t>
      </w:r>
      <w:r w:rsidRPr="000B4E75">
        <w:rPr>
          <w:rFonts w:ascii="Palatino Linotype" w:hAnsi="Palatino Linotype" w:cs="Tahoma"/>
          <w:bCs/>
          <w:i/>
        </w:rPr>
        <w:t xml:space="preserve"> ante su comité de transparencia.</w:t>
      </w:r>
      <w:r w:rsidR="00460DF5" w:rsidRPr="000B4E75">
        <w:rPr>
          <w:rFonts w:ascii="Palatino Linotype" w:hAnsi="Palatino Linotype" w:cs="Tahoma"/>
          <w:bCs/>
          <w:i/>
        </w:rPr>
        <w:t xml:space="preserve"> </w:t>
      </w:r>
      <w:r w:rsidR="00460DF5" w:rsidRPr="000B4E75">
        <w:rPr>
          <w:rFonts w:ascii="Palatino Linotype" w:hAnsi="Palatino Linotype" w:cs="Tahoma"/>
          <w:bCs/>
        </w:rPr>
        <w:t>(Sic.)</w:t>
      </w:r>
    </w:p>
    <w:p w14:paraId="211B8915" w14:textId="77777777" w:rsidR="00A504D1" w:rsidRPr="000B4E75" w:rsidRDefault="00A504D1" w:rsidP="00460DF5">
      <w:pPr>
        <w:tabs>
          <w:tab w:val="left" w:pos="567"/>
          <w:tab w:val="left" w:pos="4667"/>
        </w:tabs>
        <w:spacing w:line="360" w:lineRule="auto"/>
        <w:ind w:left="567" w:right="539"/>
        <w:contextualSpacing/>
        <w:jc w:val="both"/>
        <w:rPr>
          <w:rFonts w:ascii="Palatino Linotype" w:hAnsi="Palatino Linotype" w:cs="Tahoma"/>
          <w:bCs/>
        </w:rPr>
      </w:pPr>
    </w:p>
    <w:p w14:paraId="026AF911" w14:textId="77777777" w:rsidR="00692DB0" w:rsidRPr="000B4E75" w:rsidRDefault="00A504D1" w:rsidP="00460DF5">
      <w:pPr>
        <w:tabs>
          <w:tab w:val="left" w:pos="567"/>
          <w:tab w:val="left" w:pos="4667"/>
        </w:tabs>
        <w:spacing w:line="360" w:lineRule="auto"/>
        <w:ind w:left="567" w:right="539"/>
        <w:contextualSpacing/>
        <w:jc w:val="both"/>
        <w:rPr>
          <w:rFonts w:ascii="Palatino Linotype" w:hAnsi="Palatino Linotype" w:cs="Tahoma"/>
          <w:b/>
          <w:bCs/>
          <w:iCs/>
        </w:rPr>
      </w:pPr>
      <w:r w:rsidRPr="000B4E75">
        <w:rPr>
          <w:rFonts w:ascii="Palatino Linotype" w:hAnsi="Palatino Linotype" w:cs="Tahoma"/>
          <w:b/>
          <w:bCs/>
          <w:iCs/>
        </w:rPr>
        <w:t>MODALIDAD DE ENTREGA</w:t>
      </w:r>
    </w:p>
    <w:p w14:paraId="272398A0" w14:textId="73FB153F" w:rsidR="00692DB0" w:rsidRPr="000B4E75" w:rsidRDefault="00692DB0" w:rsidP="00460DF5">
      <w:pPr>
        <w:tabs>
          <w:tab w:val="left" w:pos="567"/>
          <w:tab w:val="left" w:pos="4667"/>
        </w:tabs>
        <w:spacing w:line="360" w:lineRule="auto"/>
        <w:ind w:left="567"/>
        <w:contextualSpacing/>
        <w:jc w:val="both"/>
        <w:rPr>
          <w:rFonts w:ascii="Palatino Linotype" w:hAnsi="Palatino Linotype" w:cs="Tahoma"/>
          <w:b/>
          <w:bCs/>
          <w:iCs/>
          <w:sz w:val="22"/>
          <w:szCs w:val="22"/>
        </w:rPr>
      </w:pPr>
      <w:r w:rsidRPr="000B4E75">
        <w:rPr>
          <w:rFonts w:ascii="Palatino Linotype" w:hAnsi="Palatino Linotype" w:cs="Tahoma"/>
          <w:i/>
          <w:sz w:val="22"/>
          <w:szCs w:val="22"/>
        </w:rPr>
        <w:t>A través del SAIMEX</w:t>
      </w:r>
    </w:p>
    <w:p w14:paraId="542FA957" w14:textId="10429FAD" w:rsidR="00692DB0" w:rsidRPr="000B4E75" w:rsidRDefault="00692DB0" w:rsidP="00460DF5">
      <w:pPr>
        <w:tabs>
          <w:tab w:val="left" w:pos="567"/>
          <w:tab w:val="left" w:pos="4667"/>
        </w:tabs>
        <w:spacing w:line="360" w:lineRule="auto"/>
        <w:contextualSpacing/>
        <w:jc w:val="both"/>
        <w:rPr>
          <w:rFonts w:ascii="Palatino Linotype" w:hAnsi="Palatino Linotype" w:cs="Tahoma"/>
          <w:b/>
          <w:sz w:val="22"/>
          <w:szCs w:val="22"/>
        </w:rPr>
      </w:pPr>
    </w:p>
    <w:p w14:paraId="66F4735B" w14:textId="0A85BDC1" w:rsidR="008F1915" w:rsidRPr="000B4E75" w:rsidRDefault="008F1915" w:rsidP="00460DF5">
      <w:p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 xml:space="preserve">El Particular adjuntó a su solicitud un archivo en formato </w:t>
      </w:r>
      <w:r w:rsidRPr="000B4E75">
        <w:rPr>
          <w:rFonts w:ascii="Palatino Linotype" w:hAnsi="Palatino Linotype" w:cs="Tahoma"/>
          <w:i/>
          <w:sz w:val="22"/>
          <w:szCs w:val="22"/>
        </w:rPr>
        <w:t xml:space="preserve">pdf, </w:t>
      </w:r>
      <w:r w:rsidRPr="000B4E75">
        <w:rPr>
          <w:rFonts w:ascii="Palatino Linotype" w:hAnsi="Palatino Linotype" w:cs="Tahoma"/>
          <w:sz w:val="22"/>
          <w:szCs w:val="22"/>
        </w:rPr>
        <w:t>en el que se observa lo siguiente:</w:t>
      </w:r>
    </w:p>
    <w:p w14:paraId="47CD401F" w14:textId="22E46932" w:rsidR="008F1915" w:rsidRPr="000B4E75" w:rsidRDefault="008F191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 xml:space="preserve">Croquis </w:t>
      </w:r>
    </w:p>
    <w:p w14:paraId="2FA471EA" w14:textId="20FFBCDB" w:rsidR="008F1915" w:rsidRPr="000B4E75" w:rsidRDefault="008F191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Diversas credenciales de elector</w:t>
      </w:r>
    </w:p>
    <w:p w14:paraId="178D40E8" w14:textId="2FE6B02E" w:rsidR="008F1915" w:rsidRPr="000B4E75" w:rsidRDefault="008F191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Carta poder</w:t>
      </w:r>
    </w:p>
    <w:p w14:paraId="37B82EC3" w14:textId="6D6C3A37" w:rsidR="008F1915" w:rsidRPr="000B4E75" w:rsidRDefault="008F191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 xml:space="preserve">Convenio en el que el Ayuntamiento de Chimalhuacán y un Particular realizan la subdivisión de un fraccionamiento y la apertura de tres calles de conformidad con el Proyecto General de Obras de Urbanización y vialidades y lotificación, así como la distribución del área de donación. </w:t>
      </w:r>
    </w:p>
    <w:p w14:paraId="6C024CE2" w14:textId="148BD41A" w:rsidR="008F1915" w:rsidRPr="000B4E75" w:rsidRDefault="008F191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Certificado</w:t>
      </w:r>
      <w:r w:rsidR="00A910C5" w:rsidRPr="000B4E75">
        <w:rPr>
          <w:rFonts w:ascii="Palatino Linotype" w:hAnsi="Palatino Linotype" w:cs="Tahoma"/>
          <w:sz w:val="22"/>
          <w:szCs w:val="22"/>
        </w:rPr>
        <w:t xml:space="preserve"> de Cabildo del acta ochenta y cuatro de fecha veintiuno de julio del dos mil, en el que se aprobó la subdivisión del predio “La Ladera”</w:t>
      </w:r>
    </w:p>
    <w:p w14:paraId="5354ABD5" w14:textId="52537A07" w:rsidR="00A910C5" w:rsidRPr="000B4E75" w:rsidRDefault="00A910C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 xml:space="preserve">Contrato de compra venta privado entre Particulares. </w:t>
      </w:r>
    </w:p>
    <w:p w14:paraId="677D4C77" w14:textId="72C6D849" w:rsidR="00A910C5" w:rsidRPr="000B4E75" w:rsidRDefault="00A910C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Solicitud de servicios catastrales</w:t>
      </w:r>
    </w:p>
    <w:p w14:paraId="7A0D7ED0" w14:textId="35937656" w:rsidR="00A910C5" w:rsidRPr="000B4E75" w:rsidRDefault="00A910C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sidRPr="000B4E75">
        <w:rPr>
          <w:rFonts w:ascii="Palatino Linotype" w:hAnsi="Palatino Linotype" w:cs="Tahoma"/>
          <w:sz w:val="22"/>
          <w:szCs w:val="22"/>
        </w:rPr>
        <w:t>Orden y recibo de pago a favor del Ayuntamiento de Chimalhuacán por concepto de certificación de clave</w:t>
      </w:r>
    </w:p>
    <w:p w14:paraId="4431D64F" w14:textId="0687EB51" w:rsidR="00A910C5" w:rsidRDefault="00A910C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 xml:space="preserve">Fotografías de un inmueble. </w:t>
      </w:r>
    </w:p>
    <w:p w14:paraId="504D9826" w14:textId="45419A15" w:rsidR="00A910C5" w:rsidRDefault="00A910C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Reporte de inspección de campo a un inmueble</w:t>
      </w:r>
    </w:p>
    <w:p w14:paraId="2F948A1C" w14:textId="40D89E79" w:rsidR="00A910C5" w:rsidRDefault="00A910C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Certificación de clave catastral</w:t>
      </w:r>
    </w:p>
    <w:p w14:paraId="19E3524A" w14:textId="0D2804A0" w:rsidR="00A910C5" w:rsidRDefault="00A910C5" w:rsidP="008F1915">
      <w:pPr>
        <w:numPr>
          <w:ilvl w:val="0"/>
          <w:numId w:val="29"/>
        </w:numPr>
        <w:tabs>
          <w:tab w:val="left" w:pos="567"/>
          <w:tab w:val="left" w:pos="4667"/>
        </w:tabs>
        <w:spacing w:line="360" w:lineRule="auto"/>
        <w:contextualSpacing/>
        <w:jc w:val="both"/>
        <w:rPr>
          <w:rFonts w:ascii="Palatino Linotype" w:hAnsi="Palatino Linotype" w:cs="Tahoma"/>
          <w:sz w:val="22"/>
          <w:szCs w:val="22"/>
        </w:rPr>
      </w:pPr>
      <w:r>
        <w:rPr>
          <w:rFonts w:ascii="Palatino Linotype" w:hAnsi="Palatino Linotype" w:cs="Tahoma"/>
          <w:sz w:val="22"/>
          <w:szCs w:val="22"/>
        </w:rPr>
        <w:t>Manifestación catastral</w:t>
      </w:r>
    </w:p>
    <w:p w14:paraId="655F335F" w14:textId="77777777" w:rsidR="008F1915" w:rsidRPr="00A910C5" w:rsidRDefault="008F1915" w:rsidP="00A910C5">
      <w:pPr>
        <w:tabs>
          <w:tab w:val="left" w:pos="567"/>
          <w:tab w:val="left" w:pos="4667"/>
        </w:tabs>
        <w:spacing w:line="360" w:lineRule="auto"/>
        <w:ind w:left="720"/>
        <w:contextualSpacing/>
        <w:jc w:val="both"/>
        <w:rPr>
          <w:rFonts w:ascii="Palatino Linotype" w:hAnsi="Palatino Linotype" w:cs="Tahoma"/>
          <w:sz w:val="22"/>
          <w:szCs w:val="22"/>
        </w:rPr>
      </w:pPr>
    </w:p>
    <w:p w14:paraId="645D93BB" w14:textId="0EB16A4C" w:rsidR="005F2D09" w:rsidRPr="00460DF5" w:rsidRDefault="00535C63" w:rsidP="00460DF5">
      <w:pPr>
        <w:tabs>
          <w:tab w:val="left" w:pos="567"/>
          <w:tab w:val="left" w:pos="4667"/>
        </w:tabs>
        <w:spacing w:line="360" w:lineRule="auto"/>
        <w:contextualSpacing/>
        <w:jc w:val="both"/>
        <w:rPr>
          <w:rFonts w:ascii="Palatino Linotype" w:hAnsi="Palatino Linotype" w:cs="Tahoma"/>
          <w:i/>
          <w:iCs/>
          <w:sz w:val="22"/>
          <w:szCs w:val="22"/>
        </w:rPr>
      </w:pPr>
      <w:r w:rsidRPr="00460DF5">
        <w:rPr>
          <w:rFonts w:ascii="Palatino Linotype" w:hAnsi="Palatino Linotype" w:cs="Tahoma"/>
          <w:b/>
          <w:sz w:val="22"/>
          <w:szCs w:val="22"/>
        </w:rPr>
        <w:t>II</w:t>
      </w:r>
      <w:r w:rsidR="00B62EED" w:rsidRPr="00460DF5">
        <w:rPr>
          <w:rFonts w:ascii="Palatino Linotype" w:hAnsi="Palatino Linotype" w:cs="Tahoma"/>
          <w:b/>
          <w:sz w:val="22"/>
          <w:szCs w:val="22"/>
        </w:rPr>
        <w:t xml:space="preserve">. </w:t>
      </w:r>
      <w:r w:rsidR="005F2D09" w:rsidRPr="00460DF5">
        <w:rPr>
          <w:rFonts w:ascii="Palatino Linotype" w:hAnsi="Palatino Linotype" w:cs="Tahoma"/>
          <w:b/>
          <w:sz w:val="22"/>
          <w:szCs w:val="22"/>
        </w:rPr>
        <w:t>Respuesta</w:t>
      </w:r>
      <w:r w:rsidR="005F2D09" w:rsidRPr="00460DF5">
        <w:rPr>
          <w:rFonts w:ascii="Palatino Linotype" w:hAnsi="Palatino Linotype" w:cs="Tahoma"/>
          <w:b/>
          <w:bCs/>
          <w:sz w:val="22"/>
          <w:szCs w:val="22"/>
        </w:rPr>
        <w:t xml:space="preserve"> del Sujeto Obligado.</w:t>
      </w:r>
    </w:p>
    <w:p w14:paraId="74F960FF" w14:textId="77777777" w:rsidR="005F2D09" w:rsidRPr="00460DF5" w:rsidRDefault="005F2D09" w:rsidP="00460DF5">
      <w:pPr>
        <w:spacing w:line="360" w:lineRule="auto"/>
        <w:contextualSpacing/>
        <w:jc w:val="both"/>
        <w:rPr>
          <w:rFonts w:ascii="Palatino Linotype" w:hAnsi="Palatino Linotype" w:cs="Tahoma"/>
          <w:b/>
          <w:bCs/>
          <w:sz w:val="22"/>
          <w:szCs w:val="22"/>
        </w:rPr>
      </w:pPr>
    </w:p>
    <w:p w14:paraId="1E0AFE57" w14:textId="2BB2229B"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 xml:space="preserve">En fecha </w:t>
      </w:r>
      <w:r w:rsidR="00A910C5">
        <w:rPr>
          <w:rFonts w:ascii="Palatino Linotype" w:hAnsi="Palatino Linotype" w:cs="Tahoma"/>
          <w:sz w:val="22"/>
          <w:szCs w:val="22"/>
        </w:rPr>
        <w:t>veinticinco</w:t>
      </w:r>
      <w:r w:rsidR="00A03E51" w:rsidRPr="00460DF5">
        <w:rPr>
          <w:rFonts w:ascii="Palatino Linotype" w:hAnsi="Palatino Linotype" w:cs="Tahoma"/>
          <w:sz w:val="22"/>
          <w:szCs w:val="22"/>
        </w:rPr>
        <w:t xml:space="preserve"> </w:t>
      </w:r>
      <w:r w:rsidR="00535C63" w:rsidRPr="00460DF5">
        <w:rPr>
          <w:rFonts w:ascii="Palatino Linotype" w:hAnsi="Palatino Linotype" w:cs="Tahoma"/>
          <w:sz w:val="22"/>
          <w:szCs w:val="22"/>
        </w:rPr>
        <w:t xml:space="preserve">de </w:t>
      </w:r>
      <w:r w:rsidR="00FC2BCA" w:rsidRPr="00460DF5">
        <w:rPr>
          <w:rFonts w:ascii="Palatino Linotype" w:hAnsi="Palatino Linotype" w:cs="Tahoma"/>
          <w:sz w:val="22"/>
          <w:szCs w:val="22"/>
        </w:rPr>
        <w:t>febrero</w:t>
      </w:r>
      <w:r w:rsidRPr="00460DF5">
        <w:rPr>
          <w:rFonts w:ascii="Palatino Linotype" w:hAnsi="Palatino Linotype" w:cs="Tahoma"/>
          <w:sz w:val="22"/>
          <w:szCs w:val="22"/>
        </w:rPr>
        <w:t xml:space="preserve"> de dos mil veinti</w:t>
      </w:r>
      <w:r w:rsidR="00FC2BCA" w:rsidRPr="00460DF5">
        <w:rPr>
          <w:rFonts w:ascii="Palatino Linotype" w:hAnsi="Palatino Linotype" w:cs="Tahoma"/>
          <w:sz w:val="22"/>
          <w:szCs w:val="22"/>
        </w:rPr>
        <w:t>dós</w:t>
      </w:r>
      <w:r w:rsidRPr="00460DF5">
        <w:rPr>
          <w:rFonts w:ascii="Palatino Linotype" w:hAnsi="Palatino Linotype" w:cs="Tahoma"/>
          <w:sz w:val="22"/>
          <w:szCs w:val="22"/>
        </w:rPr>
        <w:t>, mediante el Sistema de Acceso a la Información Mexiquense (SAIMEX), el Sujeto Obligado dio respuesta en los siguientes términos:</w:t>
      </w:r>
    </w:p>
    <w:p w14:paraId="371C5134" w14:textId="77777777" w:rsidR="00117DCC" w:rsidRPr="00460DF5" w:rsidRDefault="00117DCC" w:rsidP="00460DF5">
      <w:pPr>
        <w:spacing w:line="360" w:lineRule="auto"/>
        <w:contextualSpacing/>
        <w:jc w:val="both"/>
        <w:rPr>
          <w:rFonts w:ascii="Palatino Linotype" w:hAnsi="Palatino Linotype" w:cs="Tahoma"/>
          <w:bCs/>
          <w:i/>
          <w:sz w:val="22"/>
          <w:szCs w:val="22"/>
        </w:rPr>
      </w:pPr>
    </w:p>
    <w:p w14:paraId="44C31619" w14:textId="77777777" w:rsidR="00B62EED" w:rsidRPr="00460DF5" w:rsidRDefault="0060308A" w:rsidP="00460DF5">
      <w:pPr>
        <w:spacing w:line="360" w:lineRule="auto"/>
        <w:ind w:left="567" w:right="539"/>
        <w:contextualSpacing/>
        <w:jc w:val="both"/>
        <w:rPr>
          <w:rFonts w:ascii="Palatino Linotype" w:hAnsi="Palatino Linotype" w:cs="Tahoma"/>
          <w:bCs/>
          <w:i/>
        </w:rPr>
      </w:pPr>
      <w:r w:rsidRPr="00460DF5">
        <w:rPr>
          <w:rFonts w:ascii="Palatino Linotype" w:hAnsi="Palatino Linotype" w:cs="Tahoma"/>
          <w:bCs/>
          <w:i/>
        </w:rPr>
        <w:t>…</w:t>
      </w:r>
    </w:p>
    <w:p w14:paraId="3EF7B559" w14:textId="77777777" w:rsidR="00A910C5" w:rsidRPr="00A910C5" w:rsidRDefault="00A910C5" w:rsidP="00A910C5">
      <w:pPr>
        <w:spacing w:line="360" w:lineRule="auto"/>
        <w:ind w:left="567" w:right="539"/>
        <w:contextualSpacing/>
        <w:jc w:val="both"/>
        <w:rPr>
          <w:rFonts w:ascii="Palatino Linotype" w:hAnsi="Palatino Linotype" w:cs="Tahoma"/>
          <w:bCs/>
          <w:i/>
        </w:rPr>
      </w:pPr>
      <w:r w:rsidRPr="00A910C5">
        <w:rPr>
          <w:rFonts w:ascii="Palatino Linotype" w:hAnsi="Palatino Linotype" w:cs="Tahoma"/>
          <w:bCs/>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D79A07" w14:textId="60857BBA" w:rsidR="00A03E51" w:rsidRPr="00460DF5" w:rsidRDefault="00A910C5" w:rsidP="00A910C5">
      <w:pPr>
        <w:spacing w:line="360" w:lineRule="auto"/>
        <w:ind w:left="567" w:right="539"/>
        <w:contextualSpacing/>
        <w:jc w:val="both"/>
        <w:rPr>
          <w:rFonts w:ascii="Palatino Linotype" w:hAnsi="Palatino Linotype" w:cs="Tahoma"/>
          <w:bCs/>
          <w:i/>
        </w:rPr>
      </w:pPr>
      <w:r w:rsidRPr="00A910C5">
        <w:rPr>
          <w:rFonts w:ascii="Palatino Linotype" w:hAnsi="Palatino Linotype" w:cs="Tahoma"/>
          <w:bCs/>
          <w:i/>
        </w:rPr>
        <w:t>Sobre el particular, sírvase encontrar en archivo adjunto copia del oficio número SEDUO-CI-0206/2022, de fecha 25 de febrero de 2022, mediante el cual se deta</w:t>
      </w:r>
      <w:r>
        <w:rPr>
          <w:rFonts w:ascii="Palatino Linotype" w:hAnsi="Palatino Linotype" w:cs="Tahoma"/>
          <w:bCs/>
          <w:i/>
        </w:rPr>
        <w:t>lla lo referente a su solicitud</w:t>
      </w:r>
      <w:r w:rsidR="00A03E51" w:rsidRPr="00460DF5">
        <w:rPr>
          <w:rFonts w:ascii="Palatino Linotype" w:hAnsi="Palatino Linotype" w:cs="Tahoma"/>
          <w:bCs/>
          <w:i/>
        </w:rPr>
        <w:t>.</w:t>
      </w:r>
    </w:p>
    <w:p w14:paraId="2BBD4744" w14:textId="743CBFCD" w:rsidR="00455664" w:rsidRPr="00460DF5" w:rsidRDefault="00455664" w:rsidP="00460DF5">
      <w:pPr>
        <w:spacing w:line="360" w:lineRule="auto"/>
        <w:ind w:left="567" w:right="539"/>
        <w:contextualSpacing/>
        <w:jc w:val="both"/>
        <w:rPr>
          <w:rFonts w:ascii="Palatino Linotype" w:eastAsia="Calibri" w:hAnsi="Palatino Linotype" w:cs="Tahoma"/>
          <w:bCs/>
          <w:lang w:val="es-ES" w:eastAsia="en-US"/>
        </w:rPr>
      </w:pPr>
      <w:r w:rsidRPr="00460DF5">
        <w:rPr>
          <w:rFonts w:ascii="Palatino Linotype" w:hAnsi="Palatino Linotype" w:cs="Tahoma"/>
          <w:bCs/>
          <w:i/>
        </w:rPr>
        <w:t>…</w:t>
      </w:r>
    </w:p>
    <w:p w14:paraId="40343847" w14:textId="77777777" w:rsidR="00F77F53" w:rsidRPr="00460DF5" w:rsidRDefault="00F77F53" w:rsidP="00460DF5">
      <w:pPr>
        <w:spacing w:line="360" w:lineRule="auto"/>
        <w:contextualSpacing/>
        <w:jc w:val="both"/>
        <w:rPr>
          <w:rFonts w:ascii="Palatino Linotype" w:hAnsi="Palatino Linotype" w:cs="Tahoma"/>
          <w:bCs/>
          <w:iCs/>
          <w:sz w:val="22"/>
          <w:szCs w:val="22"/>
        </w:rPr>
      </w:pPr>
    </w:p>
    <w:p w14:paraId="018CDBFC" w14:textId="4559949D" w:rsidR="00455664" w:rsidRDefault="00CA1F64" w:rsidP="00460DF5">
      <w:pPr>
        <w:spacing w:line="360" w:lineRule="auto"/>
        <w:contextualSpacing/>
        <w:jc w:val="both"/>
        <w:rPr>
          <w:rFonts w:ascii="Palatino Linotype" w:hAnsi="Palatino Linotype" w:cs="Tahoma"/>
          <w:bCs/>
          <w:iCs/>
          <w:sz w:val="22"/>
          <w:szCs w:val="22"/>
        </w:rPr>
      </w:pPr>
      <w:r w:rsidRPr="00460DF5">
        <w:rPr>
          <w:rFonts w:ascii="Palatino Linotype" w:hAnsi="Palatino Linotype" w:cs="Tahoma"/>
          <w:bCs/>
          <w:iCs/>
          <w:sz w:val="22"/>
          <w:szCs w:val="22"/>
        </w:rPr>
        <w:t>El Sujeto Obligado adjuntó</w:t>
      </w:r>
      <w:r w:rsidR="00856394">
        <w:rPr>
          <w:rFonts w:ascii="Palatino Linotype" w:hAnsi="Palatino Linotype" w:cs="Tahoma"/>
          <w:bCs/>
          <w:iCs/>
          <w:sz w:val="22"/>
          <w:szCs w:val="22"/>
        </w:rPr>
        <w:t xml:space="preserve"> un </w:t>
      </w:r>
      <w:r w:rsidRPr="00460DF5">
        <w:rPr>
          <w:rFonts w:ascii="Palatino Linotype" w:hAnsi="Palatino Linotype" w:cs="Tahoma"/>
          <w:bCs/>
          <w:iCs/>
          <w:sz w:val="22"/>
          <w:szCs w:val="22"/>
        </w:rPr>
        <w:t>a</w:t>
      </w:r>
      <w:r w:rsidR="00856394">
        <w:rPr>
          <w:rFonts w:ascii="Palatino Linotype" w:hAnsi="Palatino Linotype" w:cs="Tahoma"/>
          <w:bCs/>
          <w:iCs/>
          <w:sz w:val="22"/>
          <w:szCs w:val="22"/>
        </w:rPr>
        <w:t>rchivo</w:t>
      </w:r>
      <w:r w:rsidRPr="00460DF5">
        <w:rPr>
          <w:rFonts w:ascii="Palatino Linotype" w:hAnsi="Palatino Linotype" w:cs="Tahoma"/>
          <w:bCs/>
          <w:iCs/>
          <w:sz w:val="22"/>
          <w:szCs w:val="22"/>
        </w:rPr>
        <w:t xml:space="preserve"> en formato </w:t>
      </w:r>
      <w:r w:rsidRPr="00460DF5">
        <w:rPr>
          <w:rFonts w:ascii="Palatino Linotype" w:hAnsi="Palatino Linotype" w:cs="Tahoma"/>
          <w:bCs/>
          <w:i/>
          <w:sz w:val="22"/>
          <w:szCs w:val="22"/>
        </w:rPr>
        <w:t>pdf</w:t>
      </w:r>
      <w:r w:rsidRPr="00460DF5">
        <w:rPr>
          <w:rFonts w:ascii="Palatino Linotype" w:hAnsi="Palatino Linotype" w:cs="Tahoma"/>
          <w:bCs/>
          <w:iCs/>
          <w:sz w:val="22"/>
          <w:szCs w:val="22"/>
        </w:rPr>
        <w:t xml:space="preserve">, </w:t>
      </w:r>
      <w:bookmarkStart w:id="2" w:name="_Hlk90285249"/>
      <w:r w:rsidRPr="00460DF5">
        <w:rPr>
          <w:rFonts w:ascii="Palatino Linotype" w:hAnsi="Palatino Linotype" w:cs="Tahoma"/>
          <w:bCs/>
          <w:iCs/>
          <w:sz w:val="22"/>
          <w:szCs w:val="22"/>
        </w:rPr>
        <w:t>que muestra lo siguiente:</w:t>
      </w:r>
      <w:bookmarkEnd w:id="2"/>
    </w:p>
    <w:p w14:paraId="0FF8F75C" w14:textId="77777777" w:rsidR="003264C1" w:rsidRDefault="003264C1" w:rsidP="00460DF5">
      <w:pPr>
        <w:spacing w:line="360" w:lineRule="auto"/>
        <w:contextualSpacing/>
        <w:jc w:val="both"/>
        <w:rPr>
          <w:rFonts w:ascii="Palatino Linotype" w:hAnsi="Palatino Linotype" w:cs="Tahoma"/>
          <w:bCs/>
          <w:iCs/>
          <w:sz w:val="22"/>
          <w:szCs w:val="22"/>
        </w:rPr>
      </w:pPr>
    </w:p>
    <w:p w14:paraId="7436F3E9" w14:textId="68812E43" w:rsidR="00A910C5" w:rsidRDefault="00A910C5" w:rsidP="00460DF5">
      <w:pPr>
        <w:spacing w:line="360" w:lineRule="auto"/>
        <w:contextualSpacing/>
        <w:jc w:val="both"/>
        <w:rPr>
          <w:rFonts w:ascii="Palatino Linotype" w:hAnsi="Palatino Linotype" w:cs="Tahoma"/>
          <w:bCs/>
          <w:iCs/>
          <w:sz w:val="22"/>
          <w:szCs w:val="22"/>
        </w:rPr>
      </w:pPr>
      <w:r>
        <w:rPr>
          <w:rFonts w:ascii="Palatino Linotype" w:hAnsi="Palatino Linotype" w:cs="Tahoma"/>
          <w:b/>
          <w:bCs/>
          <w:iCs/>
          <w:sz w:val="22"/>
          <w:szCs w:val="22"/>
        </w:rPr>
        <w:t xml:space="preserve">Oficio SEDUO-CI-0206/2022, </w:t>
      </w:r>
      <w:r>
        <w:rPr>
          <w:rFonts w:ascii="Palatino Linotype" w:hAnsi="Palatino Linotype" w:cs="Tahoma"/>
          <w:bCs/>
          <w:iCs/>
          <w:sz w:val="22"/>
          <w:szCs w:val="22"/>
        </w:rPr>
        <w:t xml:space="preserve">suscrito por el Titular de la </w:t>
      </w:r>
      <w:r w:rsidR="00A233BB">
        <w:rPr>
          <w:rFonts w:ascii="Palatino Linotype" w:hAnsi="Palatino Linotype" w:cs="Tahoma"/>
          <w:bCs/>
          <w:iCs/>
          <w:sz w:val="22"/>
          <w:szCs w:val="22"/>
        </w:rPr>
        <w:t>U</w:t>
      </w:r>
      <w:r>
        <w:rPr>
          <w:rFonts w:ascii="Palatino Linotype" w:hAnsi="Palatino Linotype" w:cs="Tahoma"/>
          <w:bCs/>
          <w:iCs/>
          <w:sz w:val="22"/>
          <w:szCs w:val="22"/>
        </w:rPr>
        <w:t xml:space="preserve">nidad de </w:t>
      </w:r>
      <w:r w:rsidR="00A233BB">
        <w:rPr>
          <w:rFonts w:ascii="Palatino Linotype" w:hAnsi="Palatino Linotype" w:cs="Tahoma"/>
          <w:bCs/>
          <w:iCs/>
          <w:sz w:val="22"/>
          <w:szCs w:val="22"/>
        </w:rPr>
        <w:t>T</w:t>
      </w:r>
      <w:r>
        <w:rPr>
          <w:rFonts w:ascii="Palatino Linotype" w:hAnsi="Palatino Linotype" w:cs="Tahoma"/>
          <w:bCs/>
          <w:iCs/>
          <w:sz w:val="22"/>
          <w:szCs w:val="22"/>
        </w:rPr>
        <w:t>ransparencia, en el que informó que la Directora General de Operación y Control Urbano, a través del oficio 2240010500000L/000955/2022, manifestó medularmente, lo siguiente:</w:t>
      </w:r>
    </w:p>
    <w:p w14:paraId="54803867" w14:textId="77777777" w:rsidR="00A910C5" w:rsidRDefault="00A910C5" w:rsidP="00460DF5">
      <w:pPr>
        <w:spacing w:line="360" w:lineRule="auto"/>
        <w:contextualSpacing/>
        <w:jc w:val="both"/>
        <w:rPr>
          <w:rFonts w:ascii="Palatino Linotype" w:hAnsi="Palatino Linotype" w:cs="Tahoma"/>
          <w:bCs/>
          <w:iCs/>
          <w:sz w:val="22"/>
          <w:szCs w:val="22"/>
        </w:rPr>
      </w:pPr>
    </w:p>
    <w:p w14:paraId="54457F96" w14:textId="77777777" w:rsidR="00856394" w:rsidRPr="00856394" w:rsidRDefault="00A910C5" w:rsidP="00856394">
      <w:pPr>
        <w:spacing w:line="360" w:lineRule="auto"/>
        <w:ind w:left="567" w:right="539"/>
        <w:contextualSpacing/>
        <w:jc w:val="both"/>
        <w:rPr>
          <w:rFonts w:ascii="Palatino Linotype" w:hAnsi="Palatino Linotype" w:cs="Tahoma"/>
          <w:bCs/>
          <w:iCs/>
        </w:rPr>
      </w:pPr>
      <w:r w:rsidRPr="00856394">
        <w:rPr>
          <w:rFonts w:ascii="Palatino Linotype" w:hAnsi="Palatino Linotype" w:cs="Tahoma"/>
          <w:bCs/>
          <w:iCs/>
        </w:rPr>
        <w:t>…</w:t>
      </w:r>
    </w:p>
    <w:p w14:paraId="2DABFB8F" w14:textId="6157A270" w:rsidR="00A910C5" w:rsidRPr="00856394" w:rsidRDefault="00856394" w:rsidP="00856394">
      <w:pPr>
        <w:spacing w:line="360" w:lineRule="auto"/>
        <w:ind w:left="567" w:right="539"/>
        <w:contextualSpacing/>
        <w:jc w:val="both"/>
        <w:rPr>
          <w:rFonts w:ascii="Palatino Linotype" w:hAnsi="Palatino Linotype" w:cs="Tahoma"/>
          <w:bCs/>
          <w:i/>
          <w:iCs/>
        </w:rPr>
      </w:pPr>
      <w:r w:rsidRPr="00856394">
        <w:rPr>
          <w:rFonts w:ascii="Palatino Linotype" w:hAnsi="Palatino Linotype" w:cs="Tahoma"/>
          <w:bCs/>
          <w:i/>
          <w:iCs/>
        </w:rPr>
        <w:t>H</w:t>
      </w:r>
      <w:r w:rsidR="00A910C5" w:rsidRPr="00856394">
        <w:rPr>
          <w:rFonts w:ascii="Palatino Linotype" w:hAnsi="Palatino Linotype" w:cs="Tahoma"/>
          <w:bCs/>
          <w:i/>
          <w:iCs/>
        </w:rPr>
        <w:t xml:space="preserve">ago de su conocimiento que después de </w:t>
      </w:r>
      <w:r w:rsidR="00A910C5" w:rsidRPr="00856394">
        <w:rPr>
          <w:rFonts w:ascii="Palatino Linotype" w:hAnsi="Palatino Linotype" w:cs="Tahoma"/>
          <w:b/>
          <w:bCs/>
          <w:i/>
          <w:iCs/>
        </w:rPr>
        <w:t xml:space="preserve">una </w:t>
      </w:r>
      <w:r w:rsidRPr="00856394">
        <w:rPr>
          <w:rFonts w:ascii="Palatino Linotype" w:hAnsi="Palatino Linotype" w:cs="Tahoma"/>
          <w:b/>
          <w:bCs/>
          <w:i/>
          <w:iCs/>
        </w:rPr>
        <w:t>búsqueda</w:t>
      </w:r>
      <w:r w:rsidR="00A910C5" w:rsidRPr="00856394">
        <w:rPr>
          <w:rFonts w:ascii="Palatino Linotype" w:hAnsi="Palatino Linotype" w:cs="Tahoma"/>
          <w:b/>
          <w:bCs/>
          <w:i/>
          <w:iCs/>
        </w:rPr>
        <w:t xml:space="preserve"> exhaustiva y razonada </w:t>
      </w:r>
      <w:r w:rsidR="00A910C5" w:rsidRPr="00856394">
        <w:rPr>
          <w:rFonts w:ascii="Palatino Linotype" w:hAnsi="Palatino Linotype" w:cs="Tahoma"/>
          <w:bCs/>
          <w:i/>
          <w:iCs/>
        </w:rPr>
        <w:t xml:space="preserve">en la Dirección Regional Valle de </w:t>
      </w:r>
      <w:r w:rsidRPr="00856394">
        <w:rPr>
          <w:rFonts w:ascii="Palatino Linotype" w:hAnsi="Palatino Linotype" w:cs="Tahoma"/>
          <w:bCs/>
          <w:i/>
          <w:iCs/>
        </w:rPr>
        <w:t>México</w:t>
      </w:r>
      <w:r w:rsidR="00A910C5" w:rsidRPr="00856394">
        <w:rPr>
          <w:rFonts w:ascii="Palatino Linotype" w:hAnsi="Palatino Linotype" w:cs="Tahoma"/>
          <w:bCs/>
          <w:i/>
          <w:iCs/>
        </w:rPr>
        <w:t xml:space="preserve"> Zona Oriente, dependiente de esta Dirección General de Operación y </w:t>
      </w:r>
      <w:r w:rsidR="00A910C5" w:rsidRPr="00856394">
        <w:rPr>
          <w:rFonts w:ascii="Palatino Linotype" w:hAnsi="Palatino Linotype" w:cs="Tahoma"/>
          <w:bCs/>
          <w:i/>
          <w:iCs/>
        </w:rPr>
        <w:lastRenderedPageBreak/>
        <w:t xml:space="preserve">Control Urbano, mediante oficio </w:t>
      </w:r>
      <w:r w:rsidR="00A910C5" w:rsidRPr="00856394">
        <w:rPr>
          <w:rFonts w:ascii="Palatino Linotype" w:hAnsi="Palatino Linotype" w:cs="Tahoma"/>
          <w:b/>
          <w:bCs/>
          <w:i/>
          <w:iCs/>
        </w:rPr>
        <w:t xml:space="preserve"> 22400105070000T/DRVMZO/087/2022, </w:t>
      </w:r>
      <w:r w:rsidR="00A910C5" w:rsidRPr="00856394">
        <w:rPr>
          <w:rFonts w:ascii="Palatino Linotype" w:hAnsi="Palatino Linotype" w:cs="Tahoma"/>
          <w:bCs/>
          <w:i/>
          <w:iCs/>
        </w:rPr>
        <w:t xml:space="preserve">el encargado de la Dirección </w:t>
      </w:r>
      <w:r w:rsidRPr="00856394">
        <w:rPr>
          <w:rFonts w:ascii="Palatino Linotype" w:hAnsi="Palatino Linotype" w:cs="Tahoma"/>
          <w:bCs/>
          <w:i/>
          <w:iCs/>
        </w:rPr>
        <w:t>R</w:t>
      </w:r>
      <w:r w:rsidR="00A910C5" w:rsidRPr="00856394">
        <w:rPr>
          <w:rFonts w:ascii="Palatino Linotype" w:hAnsi="Palatino Linotype" w:cs="Tahoma"/>
          <w:bCs/>
          <w:i/>
          <w:iCs/>
        </w:rPr>
        <w:t xml:space="preserve">egional Valle de </w:t>
      </w:r>
      <w:r w:rsidRPr="00856394">
        <w:rPr>
          <w:rFonts w:ascii="Palatino Linotype" w:hAnsi="Palatino Linotype" w:cs="Tahoma"/>
          <w:bCs/>
          <w:i/>
          <w:iCs/>
        </w:rPr>
        <w:t>México</w:t>
      </w:r>
      <w:r w:rsidR="00A910C5" w:rsidRPr="00856394">
        <w:rPr>
          <w:rFonts w:ascii="Palatino Linotype" w:hAnsi="Palatino Linotype" w:cs="Tahoma"/>
          <w:bCs/>
          <w:i/>
          <w:iCs/>
        </w:rPr>
        <w:t xml:space="preserve"> Zona Oriente informa que por cuanto hace a su solicitud, en los incisos a) y b), le informo que </w:t>
      </w:r>
      <w:r w:rsidR="00A910C5" w:rsidRPr="00856394">
        <w:rPr>
          <w:rFonts w:ascii="Palatino Linotype" w:hAnsi="Palatino Linotype" w:cs="Tahoma"/>
          <w:b/>
          <w:bCs/>
          <w:i/>
          <w:iCs/>
        </w:rPr>
        <w:t xml:space="preserve">esta autoridad no cuenta con antecedente alguno </w:t>
      </w:r>
      <w:r w:rsidRPr="00856394">
        <w:rPr>
          <w:rFonts w:ascii="Palatino Linotype" w:hAnsi="Palatino Linotype" w:cs="Tahoma"/>
          <w:b/>
          <w:bCs/>
          <w:i/>
          <w:iCs/>
        </w:rPr>
        <w:t>relacionado</w:t>
      </w:r>
      <w:r w:rsidR="00A910C5" w:rsidRPr="00856394">
        <w:rPr>
          <w:rFonts w:ascii="Palatino Linotype" w:hAnsi="Palatino Linotype" w:cs="Tahoma"/>
          <w:b/>
          <w:bCs/>
          <w:i/>
          <w:iCs/>
        </w:rPr>
        <w:t xml:space="preserve"> con la información y documentos que motivan su solicitud.</w:t>
      </w:r>
    </w:p>
    <w:p w14:paraId="1A7D428B" w14:textId="77777777" w:rsidR="00856394" w:rsidRPr="00856394" w:rsidRDefault="00856394" w:rsidP="00856394">
      <w:pPr>
        <w:spacing w:line="360" w:lineRule="auto"/>
        <w:ind w:left="567" w:right="539"/>
        <w:contextualSpacing/>
        <w:jc w:val="both"/>
        <w:rPr>
          <w:rFonts w:ascii="Palatino Linotype" w:hAnsi="Palatino Linotype" w:cs="Tahoma"/>
          <w:bCs/>
          <w:i/>
          <w:iCs/>
        </w:rPr>
      </w:pPr>
    </w:p>
    <w:p w14:paraId="5F7A5E1F" w14:textId="773DD765" w:rsidR="00A910C5" w:rsidRPr="00856394" w:rsidRDefault="00A910C5" w:rsidP="00856394">
      <w:pPr>
        <w:spacing w:line="360" w:lineRule="auto"/>
        <w:ind w:left="567" w:right="539"/>
        <w:contextualSpacing/>
        <w:jc w:val="both"/>
        <w:rPr>
          <w:rFonts w:ascii="Palatino Linotype" w:hAnsi="Palatino Linotype" w:cs="Tahoma"/>
          <w:bCs/>
          <w:i/>
          <w:iCs/>
        </w:rPr>
      </w:pPr>
      <w:r w:rsidRPr="00856394">
        <w:rPr>
          <w:rFonts w:ascii="Palatino Linotype" w:hAnsi="Palatino Linotype" w:cs="Tahoma"/>
          <w:bCs/>
          <w:i/>
          <w:iCs/>
        </w:rPr>
        <w:t xml:space="preserve">Con la </w:t>
      </w:r>
      <w:r w:rsidR="00856394" w:rsidRPr="00856394">
        <w:rPr>
          <w:rFonts w:ascii="Palatino Linotype" w:hAnsi="Palatino Linotype" w:cs="Tahoma"/>
          <w:bCs/>
          <w:i/>
          <w:iCs/>
        </w:rPr>
        <w:t>finalidad</w:t>
      </w:r>
      <w:r w:rsidRPr="00856394">
        <w:rPr>
          <w:rFonts w:ascii="Palatino Linotype" w:hAnsi="Palatino Linotype" w:cs="Tahoma"/>
          <w:bCs/>
          <w:i/>
          <w:iCs/>
        </w:rPr>
        <w:t xml:space="preserve"> y bajo el </w:t>
      </w:r>
      <w:r w:rsidR="00856394" w:rsidRPr="00856394">
        <w:rPr>
          <w:rFonts w:ascii="Palatino Linotype" w:hAnsi="Palatino Linotype" w:cs="Tahoma"/>
          <w:bCs/>
          <w:i/>
          <w:iCs/>
        </w:rPr>
        <w:t>principio</w:t>
      </w:r>
      <w:r w:rsidRPr="00856394">
        <w:rPr>
          <w:rFonts w:ascii="Palatino Linotype" w:hAnsi="Palatino Linotype" w:cs="Tahoma"/>
          <w:bCs/>
          <w:i/>
          <w:iCs/>
        </w:rPr>
        <w:t xml:space="preserve"> de máxima publicidad de que el ciudadano tenga alcance y pueda conocer los datos públicos sobre las </w:t>
      </w:r>
      <w:r w:rsidR="00856394" w:rsidRPr="00856394">
        <w:rPr>
          <w:rFonts w:ascii="Palatino Linotype" w:hAnsi="Palatino Linotype" w:cs="Tahoma"/>
          <w:bCs/>
          <w:i/>
          <w:iCs/>
        </w:rPr>
        <w:t>autorizaciones</w:t>
      </w:r>
      <w:r w:rsidRPr="00856394">
        <w:rPr>
          <w:rFonts w:ascii="Palatino Linotype" w:hAnsi="Palatino Linotype" w:cs="Tahoma"/>
          <w:bCs/>
          <w:i/>
          <w:iCs/>
        </w:rPr>
        <w:t xml:space="preserve"> emitidas por esta </w:t>
      </w:r>
      <w:r w:rsidR="00856394" w:rsidRPr="00856394">
        <w:rPr>
          <w:rFonts w:ascii="Palatino Linotype" w:hAnsi="Palatino Linotype" w:cs="Tahoma"/>
          <w:bCs/>
          <w:i/>
          <w:iCs/>
        </w:rPr>
        <w:t>Secretaría</w:t>
      </w:r>
      <w:r w:rsidRPr="00856394">
        <w:rPr>
          <w:rFonts w:ascii="Palatino Linotype" w:hAnsi="Palatino Linotype" w:cs="Tahoma"/>
          <w:bCs/>
          <w:i/>
          <w:iCs/>
        </w:rPr>
        <w:t xml:space="preserve"> a continuación, se proporciona la liga para su consulta:</w:t>
      </w:r>
    </w:p>
    <w:p w14:paraId="47239E0A" w14:textId="03B150E7" w:rsidR="00A910C5" w:rsidRDefault="00D53E36" w:rsidP="00856394">
      <w:pPr>
        <w:spacing w:line="360" w:lineRule="auto"/>
        <w:ind w:left="567" w:right="539"/>
        <w:contextualSpacing/>
        <w:jc w:val="both"/>
        <w:rPr>
          <w:rFonts w:ascii="Palatino Linotype" w:hAnsi="Palatino Linotype" w:cs="Tahoma"/>
          <w:bCs/>
          <w:i/>
          <w:iCs/>
        </w:rPr>
      </w:pPr>
      <w:hyperlink r:id="rId8" w:history="1">
        <w:r w:rsidR="00A910C5" w:rsidRPr="00856394">
          <w:rPr>
            <w:rStyle w:val="Hipervnculo"/>
            <w:rFonts w:ascii="Palatino Linotype" w:hAnsi="Palatino Linotype" w:cs="Tahoma"/>
            <w:bCs/>
            <w:i/>
            <w:iCs/>
          </w:rPr>
          <w:t>http://seduo.edomex.gob.mx/autorizaciones</w:t>
        </w:r>
      </w:hyperlink>
      <w:r w:rsidR="00A910C5" w:rsidRPr="00856394">
        <w:rPr>
          <w:rFonts w:ascii="Palatino Linotype" w:hAnsi="Palatino Linotype" w:cs="Tahoma"/>
          <w:bCs/>
          <w:i/>
          <w:iCs/>
        </w:rPr>
        <w:t xml:space="preserve"> </w:t>
      </w:r>
    </w:p>
    <w:p w14:paraId="6433BD90" w14:textId="2FFC34D3" w:rsidR="00856394" w:rsidRPr="00856394" w:rsidRDefault="00856394" w:rsidP="00856394">
      <w:pPr>
        <w:spacing w:line="360" w:lineRule="auto"/>
        <w:ind w:left="567" w:right="539"/>
        <w:contextualSpacing/>
        <w:jc w:val="both"/>
        <w:rPr>
          <w:rFonts w:ascii="Palatino Linotype" w:hAnsi="Palatino Linotype" w:cs="Tahoma"/>
          <w:bCs/>
          <w:i/>
          <w:iCs/>
        </w:rPr>
      </w:pPr>
      <w:r>
        <w:rPr>
          <w:rFonts w:ascii="Palatino Linotype" w:hAnsi="Palatino Linotype" w:cs="Tahoma"/>
          <w:bCs/>
          <w:i/>
          <w:iCs/>
        </w:rPr>
        <w:t>...</w:t>
      </w:r>
    </w:p>
    <w:p w14:paraId="43ABB39A" w14:textId="77777777" w:rsidR="00856394" w:rsidRPr="00856394" w:rsidRDefault="00856394" w:rsidP="00856394">
      <w:pPr>
        <w:spacing w:line="360" w:lineRule="auto"/>
        <w:ind w:left="567" w:right="539"/>
        <w:jc w:val="both"/>
        <w:rPr>
          <w:rFonts w:ascii="Palatino Linotype" w:eastAsia="Calibri" w:hAnsi="Palatino Linotype" w:cs="Tahoma"/>
          <w:bCs/>
          <w:lang w:val="es-ES" w:eastAsia="en-US"/>
        </w:rPr>
      </w:pPr>
      <w:r w:rsidRPr="00856394">
        <w:rPr>
          <w:rFonts w:ascii="Palatino Linotype" w:eastAsia="Calibri" w:hAnsi="Palatino Linotype" w:cs="Tahoma"/>
          <w:bCs/>
          <w:lang w:val="es-ES" w:eastAsia="en-US"/>
        </w:rPr>
        <w:t>(Énfasis añadido)</w:t>
      </w:r>
    </w:p>
    <w:p w14:paraId="1FE01FF6" w14:textId="77777777" w:rsidR="00A910C5" w:rsidRPr="00460DF5" w:rsidRDefault="00A910C5" w:rsidP="00460DF5">
      <w:pPr>
        <w:spacing w:line="360" w:lineRule="auto"/>
        <w:contextualSpacing/>
        <w:jc w:val="both"/>
        <w:rPr>
          <w:rFonts w:ascii="Palatino Linotype" w:hAnsi="Palatino Linotype" w:cs="Tahoma"/>
          <w:bCs/>
          <w:iCs/>
          <w:sz w:val="22"/>
          <w:szCs w:val="22"/>
        </w:rPr>
      </w:pPr>
    </w:p>
    <w:p w14:paraId="76001019" w14:textId="77777777" w:rsidR="00460DF5" w:rsidRPr="00460DF5" w:rsidRDefault="007E0453"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t>I</w:t>
      </w:r>
      <w:r w:rsidR="00221A05" w:rsidRPr="00460DF5">
        <w:rPr>
          <w:rFonts w:ascii="Palatino Linotype" w:hAnsi="Palatino Linotype" w:cs="Tahoma"/>
          <w:b/>
          <w:sz w:val="22"/>
          <w:szCs w:val="22"/>
        </w:rPr>
        <w:t>II</w:t>
      </w:r>
      <w:r w:rsidR="005F2D09" w:rsidRPr="00460DF5">
        <w:rPr>
          <w:rFonts w:ascii="Palatino Linotype" w:hAnsi="Palatino Linotype" w:cs="Tahoma"/>
          <w:b/>
          <w:sz w:val="22"/>
          <w:szCs w:val="22"/>
        </w:rPr>
        <w:t>. Interposición del Recurso de Revisión.</w:t>
      </w:r>
    </w:p>
    <w:p w14:paraId="0CCCB68B" w14:textId="77777777" w:rsidR="00856394" w:rsidRDefault="00856394" w:rsidP="00455664">
      <w:pPr>
        <w:pStyle w:val="Prrafodelista"/>
        <w:tabs>
          <w:tab w:val="left" w:pos="567"/>
        </w:tabs>
        <w:spacing w:line="360" w:lineRule="auto"/>
        <w:ind w:left="0"/>
        <w:jc w:val="both"/>
        <w:rPr>
          <w:rFonts w:ascii="Palatino Linotype" w:hAnsi="Palatino Linotype" w:cs="Tahoma"/>
          <w:szCs w:val="22"/>
          <w:lang w:val="es-ES"/>
        </w:rPr>
      </w:pPr>
    </w:p>
    <w:p w14:paraId="74F3D09E" w14:textId="68DCF158" w:rsidR="005F2D09" w:rsidRPr="00460DF5" w:rsidRDefault="00856394" w:rsidP="00856394">
      <w:pPr>
        <w:pStyle w:val="Prrafodelista"/>
        <w:tabs>
          <w:tab w:val="left" w:pos="567"/>
        </w:tabs>
        <w:spacing w:line="360" w:lineRule="auto"/>
        <w:ind w:left="0"/>
        <w:jc w:val="both"/>
        <w:rPr>
          <w:rFonts w:ascii="Palatino Linotype" w:hAnsi="Palatino Linotype" w:cs="Tahoma"/>
          <w:bCs/>
          <w:szCs w:val="22"/>
          <w:lang w:val="es-ES"/>
        </w:rPr>
      </w:pPr>
      <w:r>
        <w:rPr>
          <w:rFonts w:ascii="Palatino Linotype" w:hAnsi="Palatino Linotype" w:cs="Tahoma"/>
          <w:szCs w:val="22"/>
          <w:lang w:val="es-ES"/>
        </w:rPr>
        <w:t xml:space="preserve">El veintiséis de febrero </w:t>
      </w:r>
      <w:r w:rsidRPr="00DA59C1">
        <w:rPr>
          <w:rFonts w:ascii="Palatino Linotype" w:hAnsi="Palatino Linotype" w:cs="Tahoma"/>
          <w:szCs w:val="22"/>
          <w:lang w:val="es-ES"/>
        </w:rPr>
        <w:t xml:space="preserve">de dos mil veintidós, el Particular presentó </w:t>
      </w:r>
      <w:r>
        <w:rPr>
          <w:rFonts w:ascii="Palatino Linotype" w:hAnsi="Palatino Linotype" w:cs="Tahoma"/>
          <w:szCs w:val="22"/>
          <w:lang w:val="es-ES"/>
        </w:rPr>
        <w:t xml:space="preserve">el Recurso de Revisión, </w:t>
      </w:r>
      <w:r w:rsidRPr="00DA59C1">
        <w:rPr>
          <w:rFonts w:ascii="Palatino Linotype" w:hAnsi="Palatino Linotype" w:cs="Tahoma"/>
          <w:szCs w:val="22"/>
          <w:lang w:val="es-ES"/>
        </w:rPr>
        <w:t xml:space="preserve">a través del Sistema de Acceso a la Información Mexiquense (SAIMEX); sin embargo, ya que fue día inhábil; ello en atención a lo dispuesto en el calendario que para tales efectos emite este Organismo Garante; se radicó al siguiente día hábil; es decir, el </w:t>
      </w:r>
      <w:r>
        <w:rPr>
          <w:rFonts w:ascii="Palatino Linotype" w:hAnsi="Palatino Linotype" w:cs="Tahoma"/>
          <w:szCs w:val="22"/>
          <w:lang w:val="es-ES"/>
        </w:rPr>
        <w:t xml:space="preserve">veintiocho de febrero </w:t>
      </w:r>
      <w:r w:rsidRPr="00DA59C1">
        <w:rPr>
          <w:rFonts w:ascii="Palatino Linotype" w:hAnsi="Palatino Linotype" w:cs="Tahoma"/>
          <w:szCs w:val="22"/>
          <w:lang w:val="es-ES"/>
        </w:rPr>
        <w:t>del mismo año;</w:t>
      </w:r>
      <w:r w:rsidRPr="00DA59C1">
        <w:rPr>
          <w:rFonts w:ascii="Palatino Linotype" w:hAnsi="Palatino Linotype" w:cs="Tahoma"/>
          <w:szCs w:val="22"/>
        </w:rPr>
        <w:t xml:space="preserve"> </w:t>
      </w:r>
      <w:r w:rsidR="005F2D09" w:rsidRPr="00460DF5">
        <w:rPr>
          <w:rFonts w:ascii="Palatino Linotype" w:hAnsi="Palatino Linotype" w:cs="Tahoma"/>
          <w:bCs/>
          <w:szCs w:val="22"/>
        </w:rPr>
        <w:t>en los siguientes términos:</w:t>
      </w:r>
    </w:p>
    <w:p w14:paraId="48973B94"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6CD5721B" w14:textId="77777777" w:rsidR="005F2D09" w:rsidRPr="00460DF5" w:rsidRDefault="005F2D09" w:rsidP="00460DF5">
      <w:pPr>
        <w:spacing w:line="360" w:lineRule="auto"/>
        <w:ind w:left="567" w:right="539"/>
        <w:contextualSpacing/>
        <w:jc w:val="both"/>
        <w:rPr>
          <w:rFonts w:ascii="Palatino Linotype" w:hAnsi="Palatino Linotype" w:cs="Tahoma"/>
          <w:b/>
          <w:bCs/>
        </w:rPr>
      </w:pPr>
      <w:r w:rsidRPr="00460DF5">
        <w:rPr>
          <w:rFonts w:ascii="Palatino Linotype" w:hAnsi="Palatino Linotype" w:cs="Tahoma"/>
          <w:b/>
          <w:bCs/>
        </w:rPr>
        <w:t>ACTO IMPUGNADO</w:t>
      </w:r>
    </w:p>
    <w:p w14:paraId="07DE22FC" w14:textId="1973FEFC" w:rsidR="00A7242E" w:rsidRPr="00460DF5" w:rsidRDefault="00856394" w:rsidP="00460DF5">
      <w:pPr>
        <w:spacing w:line="360" w:lineRule="auto"/>
        <w:ind w:left="567" w:right="539"/>
        <w:contextualSpacing/>
        <w:jc w:val="both"/>
        <w:rPr>
          <w:rFonts w:ascii="Palatino Linotype" w:hAnsi="Palatino Linotype" w:cs="Tahoma"/>
        </w:rPr>
      </w:pPr>
      <w:r w:rsidRPr="00856394">
        <w:rPr>
          <w:rFonts w:ascii="Palatino Linotype" w:hAnsi="Palatino Linotype" w:cs="Tahoma"/>
          <w:i/>
        </w:rPr>
        <w:t>La respuesta esta incompleta toda vez que, no me fue entregada el acta del comité de transparencia mediante la cual se detalle la inexistencia de la información.</w:t>
      </w:r>
      <w:r w:rsidR="008A2AAE" w:rsidRPr="00460DF5">
        <w:rPr>
          <w:rFonts w:ascii="Palatino Linotype" w:hAnsi="Palatino Linotype" w:cs="Tahoma"/>
          <w:i/>
        </w:rPr>
        <w:t xml:space="preserve"> </w:t>
      </w:r>
      <w:r w:rsidR="008A2AAE" w:rsidRPr="00460DF5">
        <w:rPr>
          <w:rFonts w:ascii="Palatino Linotype" w:hAnsi="Palatino Linotype" w:cs="Tahoma"/>
        </w:rPr>
        <w:t>(Sic.)</w:t>
      </w:r>
    </w:p>
    <w:p w14:paraId="7DE6BE8D" w14:textId="77777777" w:rsidR="008A2AAE" w:rsidRPr="00460DF5" w:rsidRDefault="008A2AAE" w:rsidP="00460DF5">
      <w:pPr>
        <w:spacing w:line="360" w:lineRule="auto"/>
        <w:ind w:left="567" w:right="539"/>
        <w:contextualSpacing/>
        <w:jc w:val="both"/>
        <w:rPr>
          <w:rFonts w:ascii="Palatino Linotype" w:hAnsi="Palatino Linotype" w:cs="Tahoma"/>
          <w:b/>
          <w:bCs/>
        </w:rPr>
      </w:pPr>
    </w:p>
    <w:p w14:paraId="7AE59833" w14:textId="1E168352" w:rsidR="005F2D09" w:rsidRPr="00460DF5" w:rsidRDefault="005F2D09" w:rsidP="00460DF5">
      <w:pPr>
        <w:spacing w:line="360" w:lineRule="auto"/>
        <w:ind w:left="567" w:right="539"/>
        <w:contextualSpacing/>
        <w:jc w:val="both"/>
        <w:rPr>
          <w:rFonts w:ascii="Palatino Linotype" w:hAnsi="Palatino Linotype" w:cs="Tahoma"/>
          <w:b/>
          <w:bCs/>
        </w:rPr>
      </w:pPr>
      <w:r w:rsidRPr="00460DF5">
        <w:rPr>
          <w:rFonts w:ascii="Palatino Linotype" w:hAnsi="Palatino Linotype" w:cs="Tahoma"/>
          <w:b/>
          <w:bCs/>
        </w:rPr>
        <w:t>RAZONES O MOTIVOS DE LA INCONFORMIDAD</w:t>
      </w:r>
    </w:p>
    <w:p w14:paraId="04B39AD4" w14:textId="06FF0B38" w:rsidR="008A2AAE" w:rsidRPr="00460DF5" w:rsidRDefault="00856394" w:rsidP="00460DF5">
      <w:pPr>
        <w:spacing w:line="360" w:lineRule="auto"/>
        <w:ind w:left="567" w:right="539"/>
        <w:contextualSpacing/>
        <w:jc w:val="both"/>
        <w:rPr>
          <w:rFonts w:ascii="Palatino Linotype" w:eastAsia="Calibri" w:hAnsi="Palatino Linotype" w:cs="Tahoma"/>
          <w:i/>
          <w:iCs/>
        </w:rPr>
      </w:pPr>
      <w:r w:rsidRPr="00856394">
        <w:rPr>
          <w:rFonts w:ascii="Palatino Linotype" w:hAnsi="Palatino Linotype" w:cs="Tahoma"/>
          <w:i/>
          <w:iCs/>
        </w:rPr>
        <w:t>La respuesta esta incompleta toda vez que, no me fue entregada el acta del comité de transparencia mediante la cual se detalle la inexistencia de la información.</w:t>
      </w:r>
      <w:r w:rsidR="008A2AAE" w:rsidRPr="00460DF5">
        <w:rPr>
          <w:rFonts w:ascii="Palatino Linotype" w:eastAsia="Calibri" w:hAnsi="Palatino Linotype" w:cs="Tahoma"/>
          <w:i/>
          <w:iCs/>
        </w:rPr>
        <w:t xml:space="preserve"> </w:t>
      </w:r>
      <w:r w:rsidR="008A2AAE" w:rsidRPr="00460DF5">
        <w:rPr>
          <w:rFonts w:ascii="Palatino Linotype" w:hAnsi="Palatino Linotype" w:cs="Tahoma"/>
        </w:rPr>
        <w:t>(Sic.)</w:t>
      </w:r>
    </w:p>
    <w:p w14:paraId="28F22342" w14:textId="241BAC59" w:rsidR="007E0453" w:rsidRPr="00460DF5" w:rsidRDefault="007E0453" w:rsidP="00460DF5">
      <w:pPr>
        <w:spacing w:line="360" w:lineRule="auto"/>
        <w:contextualSpacing/>
        <w:jc w:val="both"/>
        <w:rPr>
          <w:rFonts w:ascii="Palatino Linotype" w:hAnsi="Palatino Linotype" w:cs="Tahoma"/>
          <w:sz w:val="22"/>
          <w:szCs w:val="22"/>
        </w:rPr>
      </w:pPr>
    </w:p>
    <w:p w14:paraId="13F812BA" w14:textId="202484C8" w:rsidR="005F2D09" w:rsidRPr="00460DF5" w:rsidRDefault="007E0453" w:rsidP="00460DF5">
      <w:pPr>
        <w:spacing w:line="360" w:lineRule="auto"/>
        <w:contextualSpacing/>
        <w:jc w:val="both"/>
        <w:rPr>
          <w:rFonts w:ascii="Palatino Linotype" w:hAnsi="Palatino Linotype" w:cs="Tahoma"/>
          <w:b/>
          <w:bCs/>
          <w:sz w:val="22"/>
          <w:szCs w:val="22"/>
        </w:rPr>
      </w:pPr>
      <w:r w:rsidRPr="00460DF5">
        <w:rPr>
          <w:rFonts w:ascii="Palatino Linotype" w:hAnsi="Palatino Linotype" w:cs="Tahoma"/>
          <w:b/>
          <w:sz w:val="22"/>
          <w:szCs w:val="22"/>
        </w:rPr>
        <w:t>I</w:t>
      </w:r>
      <w:r w:rsidR="00221A05" w:rsidRPr="00460DF5">
        <w:rPr>
          <w:rFonts w:ascii="Palatino Linotype" w:hAnsi="Palatino Linotype" w:cs="Tahoma"/>
          <w:b/>
          <w:sz w:val="22"/>
          <w:szCs w:val="22"/>
        </w:rPr>
        <w:t>V</w:t>
      </w:r>
      <w:r w:rsidR="005F2D09" w:rsidRPr="00460DF5">
        <w:rPr>
          <w:rFonts w:ascii="Palatino Linotype" w:hAnsi="Palatino Linotype" w:cs="Tahoma"/>
          <w:b/>
          <w:sz w:val="22"/>
          <w:szCs w:val="22"/>
        </w:rPr>
        <w:t xml:space="preserve">. </w:t>
      </w:r>
      <w:r w:rsidR="005F2D09" w:rsidRPr="00460DF5">
        <w:rPr>
          <w:rFonts w:ascii="Palatino Linotype" w:hAnsi="Palatino Linotype" w:cs="Tahoma"/>
          <w:b/>
          <w:bCs/>
          <w:sz w:val="22"/>
          <w:szCs w:val="22"/>
        </w:rPr>
        <w:t>Trámite del Recurso de Revisión</w:t>
      </w:r>
      <w:r w:rsidR="005F2D09" w:rsidRPr="00460DF5">
        <w:rPr>
          <w:rFonts w:ascii="Palatino Linotype" w:hAnsi="Palatino Linotype" w:cs="Tahoma"/>
          <w:b/>
          <w:sz w:val="22"/>
          <w:szCs w:val="22"/>
        </w:rPr>
        <w:t xml:space="preserve"> </w:t>
      </w:r>
      <w:r w:rsidR="005F2D09" w:rsidRPr="00460DF5">
        <w:rPr>
          <w:rFonts w:ascii="Palatino Linotype" w:hAnsi="Palatino Linotype" w:cs="Tahoma"/>
          <w:b/>
          <w:bCs/>
          <w:sz w:val="22"/>
          <w:szCs w:val="22"/>
        </w:rPr>
        <w:t>ante este Instituto.</w:t>
      </w:r>
    </w:p>
    <w:p w14:paraId="40F0188C" w14:textId="77777777" w:rsidR="005F2D09" w:rsidRPr="00460DF5" w:rsidRDefault="005F2D09" w:rsidP="00460DF5">
      <w:pPr>
        <w:spacing w:line="360" w:lineRule="auto"/>
        <w:contextualSpacing/>
        <w:jc w:val="both"/>
        <w:rPr>
          <w:rFonts w:ascii="Palatino Linotype" w:hAnsi="Palatino Linotype" w:cs="Tahoma"/>
          <w:b/>
          <w:bCs/>
          <w:sz w:val="22"/>
          <w:szCs w:val="22"/>
        </w:rPr>
      </w:pPr>
      <w:r w:rsidRPr="00460DF5">
        <w:rPr>
          <w:rFonts w:ascii="Palatino Linotype" w:hAnsi="Palatino Linotype" w:cs="Tahoma"/>
          <w:b/>
          <w:bCs/>
          <w:sz w:val="22"/>
          <w:szCs w:val="22"/>
        </w:rPr>
        <w:lastRenderedPageBreak/>
        <w:t xml:space="preserve">a) Turno del </w:t>
      </w:r>
      <w:r w:rsidRPr="00460DF5">
        <w:rPr>
          <w:rFonts w:ascii="Palatino Linotype" w:hAnsi="Palatino Linotype" w:cs="Tahoma"/>
          <w:b/>
          <w:sz w:val="22"/>
          <w:szCs w:val="22"/>
        </w:rPr>
        <w:t>Recurso de Revisión</w:t>
      </w:r>
      <w:r w:rsidRPr="00460DF5">
        <w:rPr>
          <w:rFonts w:ascii="Palatino Linotype" w:hAnsi="Palatino Linotype" w:cs="Tahoma"/>
          <w:b/>
          <w:bCs/>
          <w:sz w:val="22"/>
          <w:szCs w:val="22"/>
        </w:rPr>
        <w:t>.</w:t>
      </w:r>
    </w:p>
    <w:p w14:paraId="55EA8B0D"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21E5438C" w14:textId="6EA108C1" w:rsidR="005F2D09" w:rsidRPr="00460DF5" w:rsidRDefault="005F2D09" w:rsidP="00460DF5">
      <w:pPr>
        <w:spacing w:line="360" w:lineRule="auto"/>
        <w:contextualSpacing/>
        <w:jc w:val="both"/>
        <w:rPr>
          <w:rFonts w:ascii="Palatino Linotype" w:hAnsi="Palatino Linotype" w:cs="Tahoma"/>
          <w:b/>
          <w:bCs/>
          <w:sz w:val="22"/>
          <w:szCs w:val="22"/>
        </w:rPr>
      </w:pPr>
      <w:r w:rsidRPr="00460DF5">
        <w:rPr>
          <w:rFonts w:ascii="Palatino Linotype" w:hAnsi="Palatino Linotype" w:cs="Tahoma"/>
          <w:bCs/>
          <w:sz w:val="22"/>
          <w:szCs w:val="22"/>
        </w:rPr>
        <w:t xml:space="preserve">El </w:t>
      </w:r>
      <w:r w:rsidR="00856394">
        <w:rPr>
          <w:rFonts w:ascii="Palatino Linotype" w:hAnsi="Palatino Linotype" w:cs="Tahoma"/>
          <w:bCs/>
          <w:sz w:val="22"/>
          <w:szCs w:val="22"/>
          <w:lang w:val="es-ES"/>
        </w:rPr>
        <w:t>veintiocho</w:t>
      </w:r>
      <w:r w:rsidR="00AA4EBC" w:rsidRPr="00460DF5">
        <w:rPr>
          <w:rFonts w:ascii="Palatino Linotype" w:hAnsi="Palatino Linotype" w:cs="Tahoma"/>
          <w:bCs/>
          <w:sz w:val="22"/>
          <w:szCs w:val="22"/>
          <w:lang w:val="es-ES"/>
        </w:rPr>
        <w:t xml:space="preserve"> de febrero</w:t>
      </w:r>
      <w:r w:rsidR="007E0453" w:rsidRPr="00460DF5">
        <w:rPr>
          <w:rFonts w:ascii="Palatino Linotype" w:hAnsi="Palatino Linotype" w:cs="Tahoma"/>
          <w:bCs/>
          <w:sz w:val="22"/>
          <w:szCs w:val="22"/>
          <w:lang w:val="es-ES"/>
        </w:rPr>
        <w:t xml:space="preserve"> de dos mil veintidós</w:t>
      </w:r>
      <w:r w:rsidRPr="00460DF5">
        <w:rPr>
          <w:rFonts w:ascii="Palatino Linotype" w:hAnsi="Palatino Linotype" w:cs="Tahoma"/>
          <w:bCs/>
          <w:sz w:val="22"/>
          <w:szCs w:val="22"/>
        </w:rPr>
        <w:t xml:space="preserve">, el </w:t>
      </w:r>
      <w:r w:rsidRPr="00460DF5">
        <w:rPr>
          <w:rFonts w:ascii="Palatino Linotype" w:hAnsi="Palatino Linotype" w:cs="Tahoma"/>
          <w:sz w:val="22"/>
          <w:szCs w:val="22"/>
          <w:lang w:val="es-ES"/>
        </w:rPr>
        <w:t>Sistema de Acceso a la Información Mexiquense (SAIMEX),</w:t>
      </w:r>
      <w:r w:rsidRPr="00460DF5">
        <w:rPr>
          <w:rFonts w:ascii="Palatino Linotype" w:hAnsi="Palatino Linotype" w:cs="Tahoma"/>
          <w:bCs/>
          <w:sz w:val="22"/>
          <w:szCs w:val="22"/>
        </w:rPr>
        <w:t xml:space="preserve"> asignó el número de expediente </w:t>
      </w:r>
      <w:r w:rsidR="008F1915">
        <w:rPr>
          <w:rFonts w:ascii="Palatino Linotype" w:eastAsia="Calibri" w:hAnsi="Palatino Linotype" w:cs="Tahoma"/>
          <w:b/>
          <w:bCs/>
          <w:sz w:val="22"/>
          <w:szCs w:val="22"/>
          <w:lang w:eastAsia="en-US"/>
        </w:rPr>
        <w:t>01966/INFOEM/IP/RR/2022</w:t>
      </w:r>
      <w:r w:rsidRPr="00460DF5">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54A7EEA2" w14:textId="77777777" w:rsidR="005F2D09" w:rsidRPr="00460DF5" w:rsidRDefault="005F2D09" w:rsidP="00460DF5">
      <w:pPr>
        <w:spacing w:line="360" w:lineRule="auto"/>
        <w:contextualSpacing/>
        <w:jc w:val="both"/>
        <w:rPr>
          <w:rFonts w:ascii="Palatino Linotype" w:hAnsi="Palatino Linotype" w:cs="Tahoma"/>
          <w:b/>
          <w:bCs/>
          <w:sz w:val="22"/>
          <w:szCs w:val="22"/>
          <w:lang w:val="es-ES_tradnl"/>
        </w:rPr>
      </w:pPr>
      <w:r w:rsidRPr="00460DF5">
        <w:rPr>
          <w:rFonts w:ascii="Palatino Linotype" w:hAnsi="Palatino Linotype" w:cs="Tahoma"/>
          <w:b/>
          <w:bCs/>
          <w:sz w:val="22"/>
          <w:szCs w:val="22"/>
        </w:rPr>
        <w:t>b) Admisión del Recurso de Revisión</w:t>
      </w:r>
      <w:r w:rsidRPr="00460DF5">
        <w:rPr>
          <w:rFonts w:ascii="Palatino Linotype" w:hAnsi="Palatino Linotype" w:cs="Tahoma"/>
          <w:b/>
          <w:bCs/>
          <w:sz w:val="22"/>
          <w:szCs w:val="22"/>
          <w:lang w:val="es-ES_tradnl"/>
        </w:rPr>
        <w:t xml:space="preserve">. </w:t>
      </w:r>
    </w:p>
    <w:p w14:paraId="497AAFDE" w14:textId="77777777" w:rsidR="005F2D09" w:rsidRPr="00460DF5" w:rsidRDefault="005F2D09" w:rsidP="00460DF5">
      <w:pPr>
        <w:spacing w:line="360" w:lineRule="auto"/>
        <w:contextualSpacing/>
        <w:jc w:val="both"/>
        <w:rPr>
          <w:rFonts w:ascii="Palatino Linotype" w:hAnsi="Palatino Linotype" w:cs="Tahoma"/>
          <w:b/>
          <w:bCs/>
          <w:sz w:val="22"/>
          <w:szCs w:val="22"/>
          <w:lang w:val="es-ES_tradnl"/>
        </w:rPr>
      </w:pPr>
    </w:p>
    <w:p w14:paraId="02B9AA86" w14:textId="149E8190" w:rsidR="005F2D09" w:rsidRPr="00460DF5" w:rsidRDefault="005F2D09" w:rsidP="00460DF5">
      <w:pPr>
        <w:spacing w:line="360" w:lineRule="auto"/>
        <w:contextualSpacing/>
        <w:jc w:val="both"/>
        <w:rPr>
          <w:rFonts w:ascii="Palatino Linotype" w:hAnsi="Palatino Linotype" w:cs="Tahoma"/>
          <w:bCs/>
          <w:sz w:val="22"/>
          <w:szCs w:val="22"/>
          <w:lang w:val="es-ES_tradnl"/>
        </w:rPr>
      </w:pPr>
      <w:r w:rsidRPr="00460DF5">
        <w:rPr>
          <w:rFonts w:ascii="Palatino Linotype" w:hAnsi="Palatino Linotype" w:cs="Tahoma"/>
          <w:bCs/>
          <w:sz w:val="22"/>
          <w:szCs w:val="22"/>
        </w:rPr>
        <w:t xml:space="preserve">El </w:t>
      </w:r>
      <w:r w:rsidR="00856394">
        <w:rPr>
          <w:rFonts w:ascii="Palatino Linotype" w:hAnsi="Palatino Linotype" w:cs="Tahoma"/>
          <w:bCs/>
          <w:sz w:val="22"/>
          <w:szCs w:val="22"/>
        </w:rPr>
        <w:t>siete</w:t>
      </w:r>
      <w:r w:rsidR="008A2AAE" w:rsidRPr="00460DF5">
        <w:rPr>
          <w:rFonts w:ascii="Palatino Linotype" w:hAnsi="Palatino Linotype" w:cs="Tahoma"/>
          <w:bCs/>
          <w:sz w:val="22"/>
          <w:szCs w:val="22"/>
        </w:rPr>
        <w:t xml:space="preserve"> de marzo </w:t>
      </w:r>
      <w:r w:rsidR="007E0453" w:rsidRPr="00460DF5">
        <w:rPr>
          <w:rFonts w:ascii="Palatino Linotype" w:hAnsi="Palatino Linotype" w:cs="Tahoma"/>
          <w:bCs/>
          <w:sz w:val="22"/>
          <w:szCs w:val="22"/>
        </w:rPr>
        <w:t>de dos mil veintidós</w:t>
      </w:r>
      <w:r w:rsidRPr="00460DF5">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460DF5">
        <w:rPr>
          <w:rFonts w:ascii="Palatino Linotype" w:hAnsi="Palatino Linotype" w:cs="Tahoma"/>
          <w:bCs/>
          <w:sz w:val="22"/>
          <w:szCs w:val="22"/>
          <w:lang w:val="es-ES_tradnl"/>
        </w:rPr>
        <w:t xml:space="preserve">el </w:t>
      </w:r>
      <w:r w:rsidR="004327F8" w:rsidRPr="00460DF5">
        <w:rPr>
          <w:rFonts w:ascii="Palatino Linotype" w:hAnsi="Palatino Linotype" w:cs="Tahoma"/>
          <w:bCs/>
          <w:sz w:val="22"/>
          <w:szCs w:val="22"/>
          <w:lang w:val="es-ES_tradnl"/>
        </w:rPr>
        <w:t>mismo día</w:t>
      </w:r>
      <w:r w:rsidRPr="00460DF5">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460DF5" w:rsidRDefault="00746F9D" w:rsidP="00460DF5">
      <w:pPr>
        <w:spacing w:line="360" w:lineRule="auto"/>
        <w:contextualSpacing/>
        <w:jc w:val="both"/>
        <w:rPr>
          <w:rFonts w:ascii="Palatino Linotype" w:hAnsi="Palatino Linotype" w:cs="Tahoma"/>
          <w:b/>
          <w:bCs/>
          <w:sz w:val="22"/>
          <w:szCs w:val="22"/>
        </w:rPr>
      </w:pPr>
    </w:p>
    <w:p w14:paraId="6A421A37" w14:textId="77777777" w:rsidR="008A2AAE" w:rsidRPr="00460DF5" w:rsidRDefault="005F2D09" w:rsidP="00460DF5">
      <w:pPr>
        <w:spacing w:line="360" w:lineRule="auto"/>
        <w:contextualSpacing/>
        <w:jc w:val="both"/>
        <w:rPr>
          <w:rFonts w:ascii="Palatino Linotype" w:hAnsi="Palatino Linotype" w:cs="Tahoma"/>
          <w:b/>
          <w:sz w:val="22"/>
          <w:szCs w:val="22"/>
          <w:lang w:val="es-ES_tradnl"/>
        </w:rPr>
      </w:pPr>
      <w:r w:rsidRPr="00460DF5">
        <w:rPr>
          <w:rFonts w:ascii="Palatino Linotype" w:hAnsi="Palatino Linotype" w:cs="Tahoma"/>
          <w:b/>
          <w:bCs/>
          <w:sz w:val="22"/>
          <w:szCs w:val="22"/>
        </w:rPr>
        <w:t xml:space="preserve">c) </w:t>
      </w:r>
      <w:r w:rsidRPr="00460DF5">
        <w:rPr>
          <w:rFonts w:ascii="Palatino Linotype" w:hAnsi="Palatino Linotype" w:cs="Tahoma"/>
          <w:b/>
          <w:sz w:val="22"/>
          <w:szCs w:val="22"/>
          <w:lang w:val="es-ES_tradnl"/>
        </w:rPr>
        <w:t>Informe Justificado</w:t>
      </w:r>
      <w:r w:rsidR="002820CE" w:rsidRPr="00460DF5">
        <w:rPr>
          <w:rFonts w:ascii="Palatino Linotype" w:hAnsi="Palatino Linotype" w:cs="Tahoma"/>
          <w:b/>
          <w:sz w:val="22"/>
          <w:szCs w:val="22"/>
          <w:lang w:val="es-ES_tradnl"/>
        </w:rPr>
        <w:t xml:space="preserve"> </w:t>
      </w:r>
    </w:p>
    <w:p w14:paraId="6AE0495B" w14:textId="77777777" w:rsidR="008A2AAE" w:rsidRPr="00460DF5" w:rsidRDefault="008A2AAE" w:rsidP="00460DF5">
      <w:pPr>
        <w:spacing w:line="360" w:lineRule="auto"/>
        <w:contextualSpacing/>
        <w:jc w:val="both"/>
        <w:rPr>
          <w:rFonts w:ascii="Palatino Linotype" w:hAnsi="Palatino Linotype" w:cs="Tahoma"/>
          <w:sz w:val="22"/>
          <w:szCs w:val="22"/>
          <w:lang w:val="es-ES_tradnl"/>
        </w:rPr>
      </w:pPr>
    </w:p>
    <w:p w14:paraId="39FB0E0A" w14:textId="6FF32464" w:rsidR="008A2AAE" w:rsidRPr="00460DF5" w:rsidRDefault="008A2AAE" w:rsidP="00460DF5">
      <w:pPr>
        <w:spacing w:line="360" w:lineRule="auto"/>
        <w:contextualSpacing/>
        <w:jc w:val="both"/>
        <w:rPr>
          <w:rFonts w:ascii="Palatino Linotype" w:hAnsi="Palatino Linotype" w:cs="Tahoma"/>
          <w:sz w:val="22"/>
          <w:szCs w:val="22"/>
          <w:lang w:val="es-ES_tradnl"/>
        </w:rPr>
      </w:pPr>
      <w:r w:rsidRPr="00460DF5">
        <w:rPr>
          <w:rFonts w:ascii="Palatino Linotype" w:hAnsi="Palatino Linotype" w:cs="Tahoma"/>
          <w:sz w:val="22"/>
          <w:szCs w:val="22"/>
          <w:lang w:val="es-ES_tradnl"/>
        </w:rPr>
        <w:t xml:space="preserve">En fecha </w:t>
      </w:r>
      <w:r w:rsidR="003B0073">
        <w:rPr>
          <w:rFonts w:ascii="Palatino Linotype" w:hAnsi="Palatino Linotype" w:cs="Tahoma"/>
          <w:sz w:val="22"/>
          <w:szCs w:val="22"/>
          <w:lang w:val="es-ES_tradnl"/>
        </w:rPr>
        <w:t xml:space="preserve">quince </w:t>
      </w:r>
      <w:r w:rsidRPr="00460DF5">
        <w:rPr>
          <w:rFonts w:ascii="Palatino Linotype" w:hAnsi="Palatino Linotype" w:cs="Tahoma"/>
          <w:sz w:val="22"/>
          <w:szCs w:val="22"/>
          <w:lang w:val="es-ES_tradnl"/>
        </w:rPr>
        <w:t xml:space="preserve">de marzo de dos mil veintidós, el Sujeto Obligado a través de Sistema de Acceso a la Información Mexiquense (SAIMEX), rindió informe justificado mediante </w:t>
      </w:r>
      <w:r w:rsidR="003B0073">
        <w:rPr>
          <w:rFonts w:ascii="Palatino Linotype" w:hAnsi="Palatino Linotype" w:cs="Tahoma"/>
          <w:sz w:val="22"/>
          <w:szCs w:val="22"/>
          <w:lang w:val="es-ES_tradnl"/>
        </w:rPr>
        <w:t>6</w:t>
      </w:r>
      <w:r w:rsidRPr="00460DF5">
        <w:rPr>
          <w:rFonts w:ascii="Palatino Linotype" w:hAnsi="Palatino Linotype" w:cs="Tahoma"/>
          <w:sz w:val="22"/>
          <w:szCs w:val="22"/>
          <w:lang w:val="es-ES_tradnl"/>
        </w:rPr>
        <w:t xml:space="preserve"> archivo</w:t>
      </w:r>
      <w:r w:rsidR="003B0073">
        <w:rPr>
          <w:rFonts w:ascii="Palatino Linotype" w:hAnsi="Palatino Linotype" w:cs="Tahoma"/>
          <w:sz w:val="22"/>
          <w:szCs w:val="22"/>
          <w:lang w:val="es-ES_tradnl"/>
        </w:rPr>
        <w:t>s</w:t>
      </w:r>
      <w:r w:rsidRPr="00460DF5">
        <w:rPr>
          <w:rFonts w:ascii="Palatino Linotype" w:hAnsi="Palatino Linotype" w:cs="Tahoma"/>
          <w:sz w:val="22"/>
          <w:szCs w:val="22"/>
          <w:lang w:val="es-ES_tradnl"/>
        </w:rPr>
        <w:t xml:space="preserve"> en formato </w:t>
      </w:r>
      <w:r w:rsidRPr="00460DF5">
        <w:rPr>
          <w:rFonts w:ascii="Palatino Linotype" w:hAnsi="Palatino Linotype" w:cs="Tahoma"/>
          <w:i/>
          <w:sz w:val="22"/>
          <w:szCs w:val="22"/>
          <w:lang w:val="es-ES_tradnl"/>
        </w:rPr>
        <w:t xml:space="preserve">pdf, </w:t>
      </w:r>
      <w:r w:rsidRPr="00460DF5">
        <w:rPr>
          <w:rFonts w:ascii="Palatino Linotype" w:hAnsi="Palatino Linotype" w:cs="Tahoma"/>
          <w:sz w:val="22"/>
          <w:szCs w:val="22"/>
          <w:lang w:val="es-ES_tradnl"/>
        </w:rPr>
        <w:t>de</w:t>
      </w:r>
      <w:r w:rsidR="003B0073">
        <w:rPr>
          <w:rFonts w:ascii="Palatino Linotype" w:hAnsi="Palatino Linotype" w:cs="Tahoma"/>
          <w:sz w:val="22"/>
          <w:szCs w:val="22"/>
          <w:lang w:val="es-ES_tradnl"/>
        </w:rPr>
        <w:t xml:space="preserve"> </w:t>
      </w:r>
      <w:r w:rsidRPr="00460DF5">
        <w:rPr>
          <w:rFonts w:ascii="Palatino Linotype" w:hAnsi="Palatino Linotype" w:cs="Tahoma"/>
          <w:sz w:val="22"/>
          <w:szCs w:val="22"/>
          <w:lang w:val="es-ES_tradnl"/>
        </w:rPr>
        <w:t>l</w:t>
      </w:r>
      <w:r w:rsidR="003B0073">
        <w:rPr>
          <w:rFonts w:ascii="Palatino Linotype" w:hAnsi="Palatino Linotype" w:cs="Tahoma"/>
          <w:sz w:val="22"/>
          <w:szCs w:val="22"/>
          <w:lang w:val="es-ES_tradnl"/>
        </w:rPr>
        <w:t>os</w:t>
      </w:r>
      <w:r w:rsidRPr="00460DF5">
        <w:rPr>
          <w:rFonts w:ascii="Palatino Linotype" w:hAnsi="Palatino Linotype" w:cs="Tahoma"/>
          <w:sz w:val="22"/>
          <w:szCs w:val="22"/>
          <w:lang w:val="es-ES_tradnl"/>
        </w:rPr>
        <w:t xml:space="preserve"> que se desprende, lo siguiente:</w:t>
      </w:r>
    </w:p>
    <w:p w14:paraId="50D18B22" w14:textId="58D05042" w:rsidR="00794AAE" w:rsidRPr="00794AAE" w:rsidRDefault="00794AAE" w:rsidP="00794AAE">
      <w:pPr>
        <w:numPr>
          <w:ilvl w:val="0"/>
          <w:numId w:val="29"/>
        </w:numPr>
        <w:spacing w:line="360" w:lineRule="auto"/>
        <w:contextualSpacing/>
        <w:jc w:val="both"/>
        <w:rPr>
          <w:rFonts w:ascii="Palatino Linotype" w:hAnsi="Palatino Linotype" w:cs="Tahoma"/>
          <w:b/>
          <w:sz w:val="22"/>
          <w:szCs w:val="22"/>
          <w:lang w:val="es-ES_tradnl"/>
        </w:rPr>
      </w:pPr>
      <w:r>
        <w:rPr>
          <w:rFonts w:ascii="Palatino Linotype" w:hAnsi="Palatino Linotype" w:cs="Tahoma"/>
          <w:sz w:val="22"/>
          <w:szCs w:val="22"/>
          <w:lang w:val="es-ES_tradnl"/>
        </w:rPr>
        <w:t>Oficio de turno, a través del cual, la Titular de la Unidad de Transparencia solicitó a la Directora General de Operación y Control Urbano que diera respuesta a la solicitud de información.</w:t>
      </w:r>
    </w:p>
    <w:p w14:paraId="5E3C6C5D" w14:textId="6ED04BE4" w:rsidR="008A2AAE" w:rsidRPr="00794AAE" w:rsidRDefault="003B0073" w:rsidP="003B0073">
      <w:pPr>
        <w:numPr>
          <w:ilvl w:val="0"/>
          <w:numId w:val="29"/>
        </w:numPr>
        <w:spacing w:line="360" w:lineRule="auto"/>
        <w:contextualSpacing/>
        <w:jc w:val="both"/>
        <w:rPr>
          <w:rFonts w:ascii="Palatino Linotype" w:hAnsi="Palatino Linotype" w:cs="Tahoma"/>
          <w:b/>
          <w:sz w:val="22"/>
          <w:szCs w:val="22"/>
          <w:lang w:val="es-ES_tradnl"/>
        </w:rPr>
      </w:pPr>
      <w:r>
        <w:rPr>
          <w:rFonts w:ascii="Palatino Linotype" w:hAnsi="Palatino Linotype" w:cs="Tahoma"/>
          <w:sz w:val="22"/>
          <w:szCs w:val="22"/>
          <w:lang w:val="es-ES_tradnl"/>
        </w:rPr>
        <w:lastRenderedPageBreak/>
        <w:t>La respuesta inicial.</w:t>
      </w:r>
    </w:p>
    <w:p w14:paraId="4AA3C7D2" w14:textId="33554C98" w:rsidR="00794AAE" w:rsidRPr="003B0073" w:rsidRDefault="00794AAE" w:rsidP="003B0073">
      <w:pPr>
        <w:numPr>
          <w:ilvl w:val="0"/>
          <w:numId w:val="29"/>
        </w:numPr>
        <w:spacing w:line="360" w:lineRule="auto"/>
        <w:contextualSpacing/>
        <w:jc w:val="both"/>
        <w:rPr>
          <w:rFonts w:ascii="Palatino Linotype" w:hAnsi="Palatino Linotype" w:cs="Tahoma"/>
          <w:b/>
          <w:sz w:val="22"/>
          <w:szCs w:val="22"/>
          <w:lang w:val="es-ES_tradnl"/>
        </w:rPr>
      </w:pPr>
      <w:r w:rsidRPr="00794AAE">
        <w:rPr>
          <w:rFonts w:ascii="Palatino Linotype" w:hAnsi="Palatino Linotype" w:cs="Tahoma"/>
          <w:b/>
          <w:sz w:val="22"/>
          <w:szCs w:val="22"/>
          <w:lang w:val="es-ES_tradnl"/>
        </w:rPr>
        <w:t xml:space="preserve">Oficio </w:t>
      </w:r>
      <w:r w:rsidRPr="00794AAE">
        <w:rPr>
          <w:rFonts w:ascii="Palatino Linotype" w:hAnsi="Palatino Linotype" w:cs="Tahoma"/>
          <w:b/>
          <w:bCs/>
          <w:iCs/>
          <w:sz w:val="22"/>
          <w:szCs w:val="22"/>
        </w:rPr>
        <w:t>2240010500000L/000955/2022,</w:t>
      </w:r>
      <w:r>
        <w:rPr>
          <w:rFonts w:ascii="Palatino Linotype" w:hAnsi="Palatino Linotype" w:cs="Tahoma"/>
          <w:bCs/>
          <w:iCs/>
          <w:sz w:val="22"/>
          <w:szCs w:val="22"/>
        </w:rPr>
        <w:t xml:space="preserve"> suscrito por la Directora General de Operación y Control Urbano, en el que dio respuesta en los términos descritos en el apartado de correspondiente. </w:t>
      </w:r>
    </w:p>
    <w:p w14:paraId="39EA5BCB" w14:textId="6C48ED48" w:rsidR="003B0073" w:rsidRPr="003B0073" w:rsidRDefault="003B0073" w:rsidP="003B0073">
      <w:pPr>
        <w:numPr>
          <w:ilvl w:val="0"/>
          <w:numId w:val="29"/>
        </w:numPr>
        <w:spacing w:line="360" w:lineRule="auto"/>
        <w:contextualSpacing/>
        <w:jc w:val="both"/>
        <w:rPr>
          <w:rFonts w:ascii="Palatino Linotype" w:hAnsi="Palatino Linotype" w:cs="Tahoma"/>
          <w:b/>
          <w:sz w:val="22"/>
          <w:szCs w:val="22"/>
          <w:lang w:val="es-ES_tradnl"/>
        </w:rPr>
      </w:pPr>
      <w:r>
        <w:rPr>
          <w:rFonts w:ascii="Palatino Linotype" w:hAnsi="Palatino Linotype" w:cs="Tahoma"/>
          <w:sz w:val="22"/>
          <w:szCs w:val="22"/>
          <w:lang w:val="es-ES_tradnl"/>
        </w:rPr>
        <w:t>Oficio de turno, a través del cual, la Titular de la Unidad de Transparencia solicitó a la Directora General de Operación y Control Urbano que se pronunciara respecto al Recurso de Revisión.</w:t>
      </w:r>
    </w:p>
    <w:p w14:paraId="39E4273D" w14:textId="72981E5B" w:rsidR="003B0073" w:rsidRPr="003B0073" w:rsidRDefault="003B0073" w:rsidP="003B0073">
      <w:pPr>
        <w:numPr>
          <w:ilvl w:val="0"/>
          <w:numId w:val="29"/>
        </w:numPr>
        <w:spacing w:line="360" w:lineRule="auto"/>
        <w:contextualSpacing/>
        <w:jc w:val="both"/>
        <w:rPr>
          <w:rFonts w:ascii="Palatino Linotype" w:hAnsi="Palatino Linotype" w:cs="Tahoma"/>
          <w:b/>
          <w:sz w:val="22"/>
          <w:szCs w:val="22"/>
          <w:lang w:val="es-ES_tradnl"/>
        </w:rPr>
      </w:pPr>
      <w:r w:rsidRPr="00794AAE">
        <w:rPr>
          <w:rFonts w:ascii="Palatino Linotype" w:hAnsi="Palatino Linotype" w:cs="Tahoma"/>
          <w:b/>
          <w:sz w:val="22"/>
          <w:szCs w:val="22"/>
          <w:lang w:val="es-ES_tradnl"/>
        </w:rPr>
        <w:t>Oficio 22400105000000L/001158/2022</w:t>
      </w:r>
      <w:r>
        <w:rPr>
          <w:rFonts w:ascii="Palatino Linotype" w:hAnsi="Palatino Linotype" w:cs="Tahoma"/>
          <w:sz w:val="22"/>
          <w:szCs w:val="22"/>
          <w:lang w:val="es-ES_tradnl"/>
        </w:rPr>
        <w:t xml:space="preserve">, suscrito por la Directora </w:t>
      </w:r>
      <w:r w:rsidR="00794AAE">
        <w:rPr>
          <w:rFonts w:ascii="Palatino Linotype" w:hAnsi="Palatino Linotype" w:cs="Tahoma"/>
          <w:sz w:val="22"/>
          <w:szCs w:val="22"/>
          <w:lang w:val="es-ES_tradnl"/>
        </w:rPr>
        <w:t>General</w:t>
      </w:r>
      <w:r>
        <w:rPr>
          <w:rFonts w:ascii="Palatino Linotype" w:hAnsi="Palatino Linotype" w:cs="Tahoma"/>
          <w:sz w:val="22"/>
          <w:szCs w:val="22"/>
          <w:lang w:val="es-ES_tradnl"/>
        </w:rPr>
        <w:t xml:space="preserve"> de Operación y Control Urbano, en el que señalo lo siguiente:</w:t>
      </w:r>
    </w:p>
    <w:p w14:paraId="078F1873" w14:textId="77777777" w:rsidR="003B0073" w:rsidRDefault="003B0073" w:rsidP="003B0073">
      <w:pPr>
        <w:spacing w:line="360" w:lineRule="auto"/>
        <w:contextualSpacing/>
        <w:jc w:val="both"/>
        <w:rPr>
          <w:rFonts w:ascii="Palatino Linotype" w:hAnsi="Palatino Linotype" w:cs="Tahoma"/>
          <w:sz w:val="22"/>
          <w:szCs w:val="22"/>
          <w:lang w:val="es-ES_tradnl"/>
        </w:rPr>
      </w:pPr>
    </w:p>
    <w:p w14:paraId="17A9A5FB" w14:textId="494B3393" w:rsidR="003B0073" w:rsidRPr="00794AAE" w:rsidRDefault="003B0073" w:rsidP="00794AAE">
      <w:pPr>
        <w:spacing w:line="360" w:lineRule="auto"/>
        <w:ind w:left="567" w:right="539"/>
        <w:contextualSpacing/>
        <w:jc w:val="both"/>
        <w:rPr>
          <w:rFonts w:ascii="Palatino Linotype" w:hAnsi="Palatino Linotype" w:cs="Tahoma"/>
          <w:i/>
          <w:lang w:val="es-ES_tradnl"/>
        </w:rPr>
      </w:pPr>
      <w:r w:rsidRPr="00794AAE">
        <w:rPr>
          <w:rFonts w:ascii="Palatino Linotype" w:hAnsi="Palatino Linotype" w:cs="Tahoma"/>
          <w:i/>
          <w:lang w:val="es-ES_tradnl"/>
        </w:rPr>
        <w:t xml:space="preserve">…he de precisar y comentar que la declaratoria de inexistencia no es procedente acorde a lo </w:t>
      </w:r>
      <w:r w:rsidR="00794AAE" w:rsidRPr="00794AAE">
        <w:rPr>
          <w:rFonts w:ascii="Palatino Linotype" w:hAnsi="Palatino Linotype" w:cs="Tahoma"/>
          <w:i/>
          <w:lang w:val="es-ES_tradnl"/>
        </w:rPr>
        <w:t>establecido</w:t>
      </w:r>
      <w:r w:rsidRPr="00794AAE">
        <w:rPr>
          <w:rFonts w:ascii="Palatino Linotype" w:hAnsi="Palatino Linotype" w:cs="Tahoma"/>
          <w:i/>
          <w:lang w:val="es-ES_tradnl"/>
        </w:rPr>
        <w:t xml:space="preserve"> en el artículo 19 de la </w:t>
      </w:r>
      <w:r w:rsidRPr="00794AAE">
        <w:rPr>
          <w:rFonts w:ascii="Palatino Linotype" w:eastAsia="Calibri" w:hAnsi="Palatino Linotype" w:cs="Tahoma"/>
          <w:bCs/>
          <w:i/>
          <w:lang w:val="es-ES_tradnl" w:eastAsia="en-US"/>
        </w:rPr>
        <w:t>Ley de Transparencia y Acceso a la Información Pública del Estado de México y Municipios</w:t>
      </w:r>
      <w:r w:rsidRPr="00794AAE">
        <w:rPr>
          <w:rFonts w:ascii="Palatino Linotype" w:hAnsi="Palatino Linotype" w:cs="Tahoma"/>
          <w:i/>
          <w:lang w:val="es-ES_tradnl"/>
        </w:rPr>
        <w:t xml:space="preserve">, lo anterior, en virtud de que la solicitud de </w:t>
      </w:r>
      <w:r w:rsidR="00794AAE" w:rsidRPr="00794AAE">
        <w:rPr>
          <w:rFonts w:ascii="Palatino Linotype" w:hAnsi="Palatino Linotype" w:cs="Tahoma"/>
          <w:i/>
          <w:lang w:val="es-ES_tradnl"/>
        </w:rPr>
        <w:t>origen</w:t>
      </w:r>
      <w:r w:rsidRPr="00794AAE">
        <w:rPr>
          <w:rFonts w:ascii="Palatino Linotype" w:hAnsi="Palatino Linotype" w:cs="Tahoma"/>
          <w:i/>
          <w:lang w:val="es-ES_tradnl"/>
        </w:rPr>
        <w:t xml:space="preserve">, hace referencia a un trámite, del cual no existe antecedente alguno en esta unidad administrativa, por ende, no se generó, no se posee y no se ha administrado información </w:t>
      </w:r>
      <w:r w:rsidR="00794AAE" w:rsidRPr="00794AAE">
        <w:rPr>
          <w:rFonts w:ascii="Palatino Linotype" w:hAnsi="Palatino Linotype" w:cs="Tahoma"/>
          <w:i/>
          <w:lang w:val="es-ES_tradnl"/>
        </w:rPr>
        <w:t>relacionada</w:t>
      </w:r>
      <w:r w:rsidRPr="00794AAE">
        <w:rPr>
          <w:rFonts w:ascii="Palatino Linotype" w:hAnsi="Palatino Linotype" w:cs="Tahoma"/>
          <w:i/>
          <w:lang w:val="es-ES_tradnl"/>
        </w:rPr>
        <w:t xml:space="preserve"> con lo peticionado, situación por la cual no se ejercieron funciones conferidas a este sujeto obligado y las </w:t>
      </w:r>
      <w:r w:rsidR="00794AAE" w:rsidRPr="00794AAE">
        <w:rPr>
          <w:rFonts w:ascii="Palatino Linotype" w:hAnsi="Palatino Linotype" w:cs="Tahoma"/>
          <w:i/>
          <w:lang w:val="es-ES_tradnl"/>
        </w:rPr>
        <w:t>mismas</w:t>
      </w:r>
      <w:r w:rsidRPr="00794AAE">
        <w:rPr>
          <w:rFonts w:ascii="Palatino Linotype" w:hAnsi="Palatino Linotype" w:cs="Tahoma"/>
          <w:i/>
          <w:lang w:val="es-ES_tradnl"/>
        </w:rPr>
        <w:t xml:space="preserve"> quedan </w:t>
      </w:r>
      <w:r w:rsidR="00794AAE" w:rsidRPr="00794AAE">
        <w:rPr>
          <w:rFonts w:ascii="Palatino Linotype" w:hAnsi="Palatino Linotype" w:cs="Tahoma"/>
          <w:i/>
          <w:lang w:val="es-ES_tradnl"/>
        </w:rPr>
        <w:t>debidamente</w:t>
      </w:r>
      <w:r w:rsidRPr="00794AAE">
        <w:rPr>
          <w:rFonts w:ascii="Palatino Linotype" w:hAnsi="Palatino Linotype" w:cs="Tahoma"/>
          <w:i/>
          <w:lang w:val="es-ES_tradnl"/>
        </w:rPr>
        <w:t xml:space="preserve"> fundadas y motivadas en el oficio de respuesta otorgado a la solicitud de origen. </w:t>
      </w:r>
    </w:p>
    <w:p w14:paraId="24353861" w14:textId="26D89A63" w:rsidR="008A2AAE" w:rsidRPr="00794AAE" w:rsidRDefault="00794AAE" w:rsidP="00794AAE">
      <w:pPr>
        <w:spacing w:line="360" w:lineRule="auto"/>
        <w:ind w:left="567" w:right="539"/>
        <w:contextualSpacing/>
        <w:jc w:val="both"/>
        <w:rPr>
          <w:rFonts w:ascii="Palatino Linotype" w:hAnsi="Palatino Linotype" w:cs="Tahoma"/>
          <w:b/>
          <w:i/>
          <w:lang w:val="es-ES_tradnl"/>
        </w:rPr>
      </w:pPr>
      <w:r w:rsidRPr="00794AAE">
        <w:rPr>
          <w:rFonts w:ascii="Palatino Linotype" w:hAnsi="Palatino Linotype" w:cs="Tahoma"/>
          <w:i/>
          <w:lang w:val="es-ES_tradnl"/>
        </w:rPr>
        <w:t>…</w:t>
      </w:r>
    </w:p>
    <w:p w14:paraId="2DCE746E" w14:textId="2E15FA59" w:rsidR="00794AAE" w:rsidRDefault="00794AAE" w:rsidP="00794AAE">
      <w:pPr>
        <w:numPr>
          <w:ilvl w:val="0"/>
          <w:numId w:val="29"/>
        </w:numPr>
        <w:spacing w:line="360" w:lineRule="auto"/>
        <w:contextualSpacing/>
        <w:jc w:val="both"/>
        <w:rPr>
          <w:rFonts w:ascii="Palatino Linotype" w:hAnsi="Palatino Linotype" w:cs="Tahoma"/>
          <w:sz w:val="22"/>
          <w:szCs w:val="22"/>
        </w:rPr>
      </w:pPr>
      <w:r w:rsidRPr="00794AAE">
        <w:rPr>
          <w:rFonts w:ascii="Palatino Linotype" w:hAnsi="Palatino Linotype" w:cs="Tahoma"/>
          <w:b/>
          <w:sz w:val="22"/>
          <w:szCs w:val="22"/>
        </w:rPr>
        <w:t>Oficio SEDUO-CI-0283/20022</w:t>
      </w:r>
      <w:r>
        <w:rPr>
          <w:rFonts w:ascii="Palatino Linotype" w:hAnsi="Palatino Linotype" w:cs="Tahoma"/>
          <w:sz w:val="22"/>
          <w:szCs w:val="22"/>
        </w:rPr>
        <w:t>, suscrito por el Titular de la Unidad de Transparencia de la Secretaría de Desarrollo Urbano y Obra, en el que rindió informe justificado y ratificó la respuesta inicial, asimismo, indicó:</w:t>
      </w:r>
    </w:p>
    <w:p w14:paraId="5E4DE18A" w14:textId="1B22897A" w:rsidR="00794AAE" w:rsidRPr="00794AAE" w:rsidRDefault="00794AAE" w:rsidP="00794AAE">
      <w:pPr>
        <w:spacing w:line="360" w:lineRule="auto"/>
        <w:ind w:left="567" w:right="539"/>
        <w:contextualSpacing/>
        <w:jc w:val="both"/>
        <w:rPr>
          <w:rFonts w:ascii="Palatino Linotype" w:hAnsi="Palatino Linotype" w:cs="Tahoma"/>
          <w:i/>
        </w:rPr>
      </w:pPr>
      <w:r w:rsidRPr="00794AAE">
        <w:rPr>
          <w:rFonts w:ascii="Palatino Linotype" w:hAnsi="Palatino Linotype" w:cs="Tahoma"/>
          <w:i/>
        </w:rPr>
        <w:t>…</w:t>
      </w:r>
    </w:p>
    <w:p w14:paraId="1C31E793" w14:textId="24841EFA" w:rsidR="00794AAE" w:rsidRPr="00794AAE" w:rsidRDefault="00794AAE" w:rsidP="00794AAE">
      <w:pPr>
        <w:spacing w:line="360" w:lineRule="auto"/>
        <w:ind w:left="567" w:right="539"/>
        <w:contextualSpacing/>
        <w:jc w:val="both"/>
        <w:rPr>
          <w:rFonts w:ascii="Palatino Linotype" w:hAnsi="Palatino Linotype" w:cs="Tahoma"/>
          <w:i/>
        </w:rPr>
      </w:pPr>
      <w:r w:rsidRPr="00794AAE">
        <w:rPr>
          <w:rFonts w:ascii="Palatino Linotype" w:hAnsi="Palatino Linotype" w:cs="Tahoma"/>
          <w:i/>
        </w:rPr>
        <w:t xml:space="preserve">De lo vertido en líneas anteriores, eta Secretaría considera que el ejercicio del derecho de acceso a la información del ciudadano, a caro e este Sujeto Obligado, no ha sido afectado, lo anterior en consideración de que no es posible realizar una declaratoria de inexistencia sobre un trámite especifico, del cual no existe antecedente alguno en la Dirección General de Operación y Control Urbano, por ende, no se generó, no se posee y no se ha administrado información relacionada con lo </w:t>
      </w:r>
      <w:r w:rsidRPr="00794AAE">
        <w:rPr>
          <w:rFonts w:ascii="Palatino Linotype" w:hAnsi="Palatino Linotype" w:cs="Tahoma"/>
          <w:i/>
        </w:rPr>
        <w:lastRenderedPageBreak/>
        <w:t xml:space="preserve">peticionado, hecho negativo, respecto del cual este sujeto obligado lo ha señalado clara y categóricamente. </w:t>
      </w:r>
    </w:p>
    <w:p w14:paraId="7BA52C2B" w14:textId="7EB03840" w:rsidR="00794AAE" w:rsidRPr="00794AAE" w:rsidRDefault="00794AAE" w:rsidP="00794AAE">
      <w:pPr>
        <w:spacing w:line="360" w:lineRule="auto"/>
        <w:ind w:left="567" w:right="539"/>
        <w:contextualSpacing/>
        <w:jc w:val="both"/>
        <w:rPr>
          <w:rFonts w:ascii="Palatino Linotype" w:hAnsi="Palatino Linotype" w:cs="Tahoma"/>
          <w:i/>
        </w:rPr>
      </w:pPr>
      <w:r w:rsidRPr="00794AAE">
        <w:rPr>
          <w:rFonts w:ascii="Palatino Linotype" w:hAnsi="Palatino Linotype" w:cs="Tahoma"/>
          <w:i/>
        </w:rPr>
        <w:t>…</w:t>
      </w:r>
    </w:p>
    <w:p w14:paraId="645570E2" w14:textId="77777777" w:rsidR="00794AAE" w:rsidRDefault="00794AAE" w:rsidP="00460DF5">
      <w:pPr>
        <w:spacing w:line="360" w:lineRule="auto"/>
        <w:contextualSpacing/>
        <w:jc w:val="both"/>
        <w:rPr>
          <w:rFonts w:ascii="Palatino Linotype" w:hAnsi="Palatino Linotype" w:cs="Tahoma"/>
          <w:b/>
          <w:sz w:val="22"/>
          <w:szCs w:val="22"/>
        </w:rPr>
      </w:pPr>
    </w:p>
    <w:p w14:paraId="1D6583E2" w14:textId="147257B4" w:rsidR="008A2AAE" w:rsidRPr="00460DF5" w:rsidRDefault="008A2AAE"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t>d) Vista del informe justificado.</w:t>
      </w:r>
    </w:p>
    <w:p w14:paraId="5A8137C9" w14:textId="77777777" w:rsidR="008A2AAE" w:rsidRPr="00460DF5" w:rsidRDefault="008A2AAE" w:rsidP="00460DF5">
      <w:pPr>
        <w:spacing w:line="360" w:lineRule="auto"/>
        <w:contextualSpacing/>
        <w:jc w:val="both"/>
        <w:rPr>
          <w:rFonts w:ascii="Palatino Linotype" w:hAnsi="Palatino Linotype" w:cs="Tahoma"/>
          <w:b/>
          <w:sz w:val="22"/>
          <w:szCs w:val="22"/>
        </w:rPr>
      </w:pPr>
    </w:p>
    <w:p w14:paraId="2A460D30" w14:textId="4B5F6CAA" w:rsidR="008A2AAE" w:rsidRPr="00460DF5" w:rsidRDefault="008A2AAE" w:rsidP="00460DF5">
      <w:pPr>
        <w:spacing w:line="360" w:lineRule="auto"/>
        <w:contextualSpacing/>
        <w:jc w:val="both"/>
        <w:rPr>
          <w:rFonts w:ascii="Palatino Linotype" w:hAnsi="Palatino Linotype" w:cs="Tahoma"/>
          <w:b/>
          <w:bCs/>
          <w:sz w:val="22"/>
          <w:szCs w:val="22"/>
        </w:rPr>
      </w:pPr>
      <w:r w:rsidRPr="00460DF5">
        <w:rPr>
          <w:rFonts w:ascii="Palatino Linotype" w:hAnsi="Palatino Linotype" w:cs="Tahoma"/>
          <w:sz w:val="22"/>
          <w:szCs w:val="22"/>
        </w:rPr>
        <w:t xml:space="preserve">El </w:t>
      </w:r>
      <w:r w:rsidR="00794AAE">
        <w:rPr>
          <w:rFonts w:ascii="Palatino Linotype" w:hAnsi="Palatino Linotype" w:cs="Tahoma"/>
          <w:sz w:val="22"/>
          <w:szCs w:val="22"/>
        </w:rPr>
        <w:t>veintisiete de abril</w:t>
      </w:r>
      <w:r w:rsidRPr="00460DF5">
        <w:rPr>
          <w:rFonts w:ascii="Palatino Linotype" w:hAnsi="Palatino Linotype" w:cs="Tahoma"/>
          <w:sz w:val="22"/>
          <w:szCs w:val="22"/>
        </w:rPr>
        <w:t xml:space="preserve"> de dos mil veintidós, se dictó acuerdo mediante el cual </w:t>
      </w:r>
      <w:r w:rsidRPr="00460DF5">
        <w:rPr>
          <w:rFonts w:ascii="Palatino Linotype" w:hAnsi="Palatino Linotype" w:cs="Tahoma"/>
          <w:bCs/>
          <w:sz w:val="22"/>
          <w:szCs w:val="22"/>
        </w:rPr>
        <w:t>se puso a la vista del Particular el Informe Justificado</w:t>
      </w:r>
      <w:r w:rsidRPr="00460DF5">
        <w:rPr>
          <w:rFonts w:ascii="Palatino Linotype" w:hAnsi="Palatino Linotype" w:cs="Tahoma"/>
          <w:sz w:val="22"/>
          <w:szCs w:val="22"/>
        </w:rPr>
        <w:t xml:space="preserve"> entregado por el Sujeto Obligado, el cual fue notificado a las partes</w:t>
      </w:r>
      <w:r w:rsidR="002D0767" w:rsidRPr="00460DF5">
        <w:rPr>
          <w:rFonts w:ascii="Palatino Linotype" w:hAnsi="Palatino Linotype" w:cs="Tahoma"/>
          <w:sz w:val="22"/>
          <w:szCs w:val="22"/>
        </w:rPr>
        <w:t xml:space="preserve"> a través del Sistema de Acceso a la Información Mexiquense (SAIMEX) en la misma fecha</w:t>
      </w:r>
      <w:r w:rsidRPr="00460DF5">
        <w:rPr>
          <w:rFonts w:ascii="Palatino Linotype" w:hAnsi="Palatino Linotype" w:cs="Tahoma"/>
          <w:sz w:val="22"/>
          <w:szCs w:val="22"/>
        </w:rPr>
        <w:t xml:space="preserve">. </w:t>
      </w:r>
    </w:p>
    <w:p w14:paraId="542376A5" w14:textId="558D00D3" w:rsidR="008A2AAE" w:rsidRPr="00460DF5" w:rsidRDefault="008A2AAE" w:rsidP="00460DF5">
      <w:pPr>
        <w:spacing w:line="360" w:lineRule="auto"/>
        <w:contextualSpacing/>
        <w:jc w:val="both"/>
        <w:rPr>
          <w:rFonts w:ascii="Palatino Linotype" w:hAnsi="Palatino Linotype" w:cs="Tahoma"/>
          <w:sz w:val="22"/>
          <w:szCs w:val="22"/>
          <w:lang w:val="es-ES_tradnl"/>
        </w:rPr>
      </w:pPr>
    </w:p>
    <w:p w14:paraId="509AD2FE" w14:textId="49C6F24F" w:rsidR="00AE2055" w:rsidRPr="00460DF5" w:rsidRDefault="002D0767" w:rsidP="00460DF5">
      <w:pPr>
        <w:spacing w:line="360" w:lineRule="auto"/>
        <w:contextualSpacing/>
        <w:jc w:val="both"/>
        <w:rPr>
          <w:rFonts w:ascii="Palatino Linotype" w:hAnsi="Palatino Linotype" w:cs="Tahoma"/>
          <w:b/>
          <w:sz w:val="22"/>
          <w:szCs w:val="22"/>
          <w:lang w:val="es-ES_tradnl"/>
        </w:rPr>
      </w:pPr>
      <w:r w:rsidRPr="00460DF5">
        <w:rPr>
          <w:rFonts w:ascii="Palatino Linotype" w:hAnsi="Palatino Linotype" w:cs="Tahoma"/>
          <w:b/>
          <w:sz w:val="22"/>
          <w:szCs w:val="22"/>
          <w:lang w:val="es-ES_tradnl"/>
        </w:rPr>
        <w:t>e</w:t>
      </w:r>
      <w:r w:rsidR="008A2AAE" w:rsidRPr="00460DF5">
        <w:rPr>
          <w:rFonts w:ascii="Palatino Linotype" w:hAnsi="Palatino Linotype" w:cs="Tahoma"/>
          <w:b/>
          <w:sz w:val="22"/>
          <w:szCs w:val="22"/>
          <w:lang w:val="es-ES_tradnl"/>
        </w:rPr>
        <w:t>)</w:t>
      </w:r>
      <w:r w:rsidR="002820CE" w:rsidRPr="00460DF5">
        <w:rPr>
          <w:rFonts w:ascii="Palatino Linotype" w:hAnsi="Palatino Linotype" w:cs="Tahoma"/>
          <w:b/>
          <w:sz w:val="22"/>
          <w:szCs w:val="22"/>
          <w:lang w:val="es-ES_tradnl"/>
        </w:rPr>
        <w:t xml:space="preserve"> </w:t>
      </w:r>
      <w:r w:rsidR="008A2AAE" w:rsidRPr="00460DF5">
        <w:rPr>
          <w:rFonts w:ascii="Palatino Linotype" w:hAnsi="Palatino Linotype" w:cs="Tahoma"/>
          <w:b/>
          <w:sz w:val="22"/>
          <w:szCs w:val="22"/>
        </w:rPr>
        <w:t>M</w:t>
      </w:r>
      <w:r w:rsidR="00AE2055" w:rsidRPr="00460DF5">
        <w:rPr>
          <w:rFonts w:ascii="Palatino Linotype" w:hAnsi="Palatino Linotype" w:cs="Tahoma"/>
          <w:b/>
          <w:sz w:val="22"/>
          <w:szCs w:val="22"/>
        </w:rPr>
        <w:t>anifestaciones del Recurrente.</w:t>
      </w:r>
    </w:p>
    <w:p w14:paraId="7F05C807" w14:textId="77777777" w:rsidR="00AE2055" w:rsidRPr="00460DF5" w:rsidRDefault="00AE2055" w:rsidP="00460DF5">
      <w:pPr>
        <w:spacing w:line="360" w:lineRule="auto"/>
        <w:contextualSpacing/>
        <w:jc w:val="both"/>
        <w:rPr>
          <w:rFonts w:ascii="Palatino Linotype" w:hAnsi="Palatino Linotype" w:cs="Tahoma"/>
          <w:sz w:val="22"/>
          <w:szCs w:val="22"/>
        </w:rPr>
      </w:pPr>
    </w:p>
    <w:p w14:paraId="2A034DC2" w14:textId="226D3F55" w:rsidR="002820CE" w:rsidRPr="00460DF5" w:rsidRDefault="0047072A" w:rsidP="00460DF5">
      <w:pPr>
        <w:widowControl w:val="0"/>
        <w:spacing w:line="360" w:lineRule="auto"/>
        <w:contextualSpacing/>
        <w:jc w:val="both"/>
        <w:rPr>
          <w:rFonts w:ascii="Palatino Linotype" w:hAnsi="Palatino Linotype" w:cs="Tahoma"/>
          <w:b/>
          <w:bCs/>
          <w:sz w:val="22"/>
          <w:szCs w:val="22"/>
          <w:lang w:val="es-ES"/>
        </w:rPr>
      </w:pPr>
      <w:r w:rsidRPr="00460DF5">
        <w:rPr>
          <w:rFonts w:ascii="Palatino Linotype" w:hAnsi="Palatino Linotype" w:cs="Tahoma"/>
          <w:bCs/>
          <w:sz w:val="22"/>
          <w:szCs w:val="22"/>
          <w:lang w:val="es-ES"/>
        </w:rPr>
        <w:t xml:space="preserve">De las constancias que integran el expediente digital que obra en el </w:t>
      </w:r>
      <w:r w:rsidRPr="00460DF5">
        <w:rPr>
          <w:rFonts w:ascii="Palatino Linotype" w:eastAsia="Batang" w:hAnsi="Palatino Linotype" w:cs="Tahoma"/>
          <w:bCs/>
          <w:sz w:val="22"/>
          <w:szCs w:val="22"/>
          <w:lang w:val="es-ES_tradnl"/>
        </w:rPr>
        <w:t xml:space="preserve">Sistema de Acceso a la Información Mexiquense (SAIMEX), se advierte que </w:t>
      </w:r>
      <w:r w:rsidR="001E165C" w:rsidRPr="00460DF5">
        <w:rPr>
          <w:rFonts w:ascii="Palatino Linotype" w:eastAsia="Batang" w:hAnsi="Palatino Linotype" w:cs="Tahoma"/>
          <w:bCs/>
          <w:sz w:val="22"/>
          <w:szCs w:val="22"/>
          <w:lang w:val="es-ES_tradnl"/>
        </w:rPr>
        <w:t xml:space="preserve">el </w:t>
      </w:r>
      <w:r w:rsidR="002820CE" w:rsidRPr="00460DF5">
        <w:rPr>
          <w:rFonts w:ascii="Palatino Linotype" w:eastAsia="Batang" w:hAnsi="Palatino Linotype" w:cs="Tahoma"/>
          <w:bCs/>
          <w:sz w:val="22"/>
          <w:szCs w:val="22"/>
          <w:lang w:val="es-ES_tradnl"/>
        </w:rPr>
        <w:t>Recurrente no</w:t>
      </w:r>
      <w:r w:rsidR="001E165C" w:rsidRPr="00460DF5">
        <w:rPr>
          <w:rFonts w:ascii="Palatino Linotype" w:eastAsia="Batang" w:hAnsi="Palatino Linotype" w:cs="Tahoma"/>
          <w:bCs/>
          <w:sz w:val="22"/>
          <w:szCs w:val="22"/>
          <w:lang w:val="es-ES_tradnl"/>
        </w:rPr>
        <w:t xml:space="preserve"> añadió</w:t>
      </w:r>
      <w:r w:rsidR="002820CE" w:rsidRPr="00460DF5">
        <w:rPr>
          <w:rFonts w:ascii="Palatino Linotype" w:eastAsia="Batang" w:hAnsi="Palatino Linotype" w:cs="Tahoma"/>
          <w:bCs/>
          <w:sz w:val="22"/>
          <w:szCs w:val="22"/>
          <w:lang w:val="es-ES_tradnl"/>
        </w:rPr>
        <w:t xml:space="preserve"> manifestaci</w:t>
      </w:r>
      <w:r w:rsidR="001E165C" w:rsidRPr="00460DF5">
        <w:rPr>
          <w:rFonts w:ascii="Palatino Linotype" w:eastAsia="Batang" w:hAnsi="Palatino Linotype" w:cs="Tahoma"/>
          <w:bCs/>
          <w:sz w:val="22"/>
          <w:szCs w:val="22"/>
          <w:lang w:val="es-ES_tradnl"/>
        </w:rPr>
        <w:t>ones</w:t>
      </w:r>
      <w:r w:rsidR="002820CE" w:rsidRPr="00460DF5">
        <w:rPr>
          <w:rFonts w:ascii="Palatino Linotype" w:eastAsia="Batang" w:hAnsi="Palatino Linotype" w:cs="Tahoma"/>
          <w:bCs/>
          <w:sz w:val="22"/>
          <w:szCs w:val="22"/>
          <w:lang w:val="es-ES_tradnl"/>
        </w:rPr>
        <w:t xml:space="preserve"> adicional</w:t>
      </w:r>
      <w:r w:rsidR="001E165C" w:rsidRPr="00460DF5">
        <w:rPr>
          <w:rFonts w:ascii="Palatino Linotype" w:eastAsia="Batang" w:hAnsi="Palatino Linotype" w:cs="Tahoma"/>
          <w:bCs/>
          <w:sz w:val="22"/>
          <w:szCs w:val="22"/>
          <w:lang w:val="es-ES_tradnl"/>
        </w:rPr>
        <w:t>es</w:t>
      </w:r>
      <w:r w:rsidR="002820CE" w:rsidRPr="00460DF5">
        <w:rPr>
          <w:rFonts w:ascii="Palatino Linotype" w:eastAsia="Batang" w:hAnsi="Palatino Linotype" w:cs="Tahoma"/>
          <w:bCs/>
          <w:sz w:val="22"/>
          <w:szCs w:val="22"/>
          <w:lang w:val="es-ES_tradnl"/>
        </w:rPr>
        <w:t xml:space="preserve">. </w:t>
      </w:r>
    </w:p>
    <w:p w14:paraId="22030E84" w14:textId="77777777" w:rsidR="00AE2055" w:rsidRPr="00460DF5" w:rsidRDefault="00AE2055" w:rsidP="00460DF5">
      <w:pPr>
        <w:spacing w:line="360" w:lineRule="auto"/>
        <w:contextualSpacing/>
        <w:jc w:val="both"/>
        <w:rPr>
          <w:rFonts w:ascii="Palatino Linotype" w:hAnsi="Palatino Linotype" w:cs="Tahoma"/>
          <w:b/>
          <w:sz w:val="22"/>
          <w:szCs w:val="22"/>
        </w:rPr>
      </w:pPr>
    </w:p>
    <w:p w14:paraId="2A57EF40" w14:textId="46417495" w:rsidR="002D0767" w:rsidRPr="00460DF5" w:rsidRDefault="002D0767" w:rsidP="00460DF5">
      <w:pPr>
        <w:spacing w:line="360" w:lineRule="auto"/>
        <w:contextualSpacing/>
        <w:jc w:val="both"/>
        <w:rPr>
          <w:rFonts w:ascii="Palatino Linotype" w:hAnsi="Palatino Linotype"/>
          <w:b/>
          <w:sz w:val="22"/>
          <w:szCs w:val="22"/>
        </w:rPr>
      </w:pPr>
      <w:r w:rsidRPr="00460DF5">
        <w:rPr>
          <w:rFonts w:ascii="Palatino Linotype" w:hAnsi="Palatino Linotype"/>
          <w:b/>
          <w:sz w:val="22"/>
          <w:szCs w:val="22"/>
        </w:rPr>
        <w:t>f) Ampliación del plazo para resolver.</w:t>
      </w:r>
    </w:p>
    <w:p w14:paraId="0A823CE6" w14:textId="77777777" w:rsidR="002D0767" w:rsidRPr="00460DF5" w:rsidRDefault="002D0767" w:rsidP="00460DF5">
      <w:pPr>
        <w:spacing w:line="360" w:lineRule="auto"/>
        <w:contextualSpacing/>
        <w:jc w:val="both"/>
        <w:rPr>
          <w:rFonts w:ascii="Palatino Linotype" w:hAnsi="Palatino Linotype"/>
          <w:b/>
          <w:sz w:val="22"/>
          <w:szCs w:val="22"/>
        </w:rPr>
      </w:pPr>
    </w:p>
    <w:p w14:paraId="7B4CD45B" w14:textId="57BB0607" w:rsidR="002D0767" w:rsidRPr="00460DF5" w:rsidRDefault="002D0767" w:rsidP="00460DF5">
      <w:pPr>
        <w:spacing w:line="360" w:lineRule="auto"/>
        <w:contextualSpacing/>
        <w:jc w:val="both"/>
        <w:rPr>
          <w:rFonts w:ascii="Palatino Linotype" w:hAnsi="Palatino Linotype"/>
          <w:sz w:val="22"/>
          <w:szCs w:val="22"/>
        </w:rPr>
      </w:pPr>
      <w:r w:rsidRPr="00460DF5">
        <w:rPr>
          <w:rFonts w:ascii="Palatino Linotype" w:hAnsi="Palatino Linotype"/>
          <w:sz w:val="22"/>
          <w:szCs w:val="22"/>
        </w:rPr>
        <w:t>En fecha vein</w:t>
      </w:r>
      <w:r w:rsidR="00794AAE">
        <w:rPr>
          <w:rFonts w:ascii="Palatino Linotype" w:hAnsi="Palatino Linotype"/>
          <w:sz w:val="22"/>
          <w:szCs w:val="22"/>
        </w:rPr>
        <w:t>ticinco</w:t>
      </w:r>
      <w:r w:rsidRPr="00460DF5">
        <w:rPr>
          <w:rFonts w:ascii="Palatino Linotype" w:hAnsi="Palatino Linotype"/>
          <w:sz w:val="22"/>
          <w:szCs w:val="22"/>
        </w:rPr>
        <w:t xml:space="preserve"> de abril de dos mil veinte, el Comisionado Ponente, con fundamento en lo dispuesto por el artículo 181, párrafo tercero, de la Ley de Transparencia y Acceso a la Información Pública del Estado de México y Municipios, acordó ampliar por un plazo razonable, el plazo para resolver los recursos de revisión que nos ocupan; acto que fue notificado a las partes, mediante el Sistema de Acceso a la Información Mexiquense (SAIMEX), el veintiuno de abril del año en curso.</w:t>
      </w:r>
    </w:p>
    <w:p w14:paraId="7E4203AC" w14:textId="77777777" w:rsidR="002D0767" w:rsidRPr="00460DF5" w:rsidRDefault="002D0767" w:rsidP="00460DF5">
      <w:pPr>
        <w:spacing w:line="360" w:lineRule="auto"/>
        <w:contextualSpacing/>
        <w:jc w:val="both"/>
        <w:rPr>
          <w:rFonts w:ascii="Palatino Linotype" w:hAnsi="Palatino Linotype" w:cs="Tahoma"/>
          <w:b/>
          <w:sz w:val="22"/>
          <w:szCs w:val="22"/>
        </w:rPr>
      </w:pPr>
    </w:p>
    <w:p w14:paraId="58AA602D" w14:textId="03C3D40F" w:rsidR="005F2D09" w:rsidRPr="00460DF5" w:rsidRDefault="002D0767"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b/>
          <w:sz w:val="22"/>
          <w:szCs w:val="22"/>
        </w:rPr>
        <w:t>g</w:t>
      </w:r>
      <w:r w:rsidR="005F2D09" w:rsidRPr="00460DF5">
        <w:rPr>
          <w:rFonts w:ascii="Palatino Linotype" w:hAnsi="Palatino Linotype" w:cs="Tahoma"/>
          <w:b/>
          <w:sz w:val="22"/>
          <w:szCs w:val="22"/>
        </w:rPr>
        <w:t>) Cierre de instrucción.</w:t>
      </w:r>
      <w:r w:rsidR="005F2D09" w:rsidRPr="00460DF5">
        <w:rPr>
          <w:rFonts w:ascii="Palatino Linotype" w:hAnsi="Palatino Linotype" w:cs="Tahoma"/>
          <w:sz w:val="22"/>
          <w:szCs w:val="22"/>
        </w:rPr>
        <w:t xml:space="preserve"> </w:t>
      </w:r>
    </w:p>
    <w:p w14:paraId="1B388AB2" w14:textId="77777777" w:rsidR="005F2D09" w:rsidRPr="00460DF5" w:rsidRDefault="005F2D09" w:rsidP="00460DF5">
      <w:pPr>
        <w:spacing w:line="360" w:lineRule="auto"/>
        <w:contextualSpacing/>
        <w:jc w:val="both"/>
        <w:rPr>
          <w:rFonts w:ascii="Palatino Linotype" w:hAnsi="Palatino Linotype" w:cs="Tahoma"/>
          <w:sz w:val="22"/>
          <w:szCs w:val="22"/>
        </w:rPr>
      </w:pPr>
    </w:p>
    <w:p w14:paraId="632D9B2A" w14:textId="39555D42" w:rsidR="005F2D09" w:rsidRPr="00460DF5" w:rsidRDefault="005F2D09" w:rsidP="00460DF5">
      <w:pPr>
        <w:spacing w:line="360" w:lineRule="auto"/>
        <w:contextualSpacing/>
        <w:jc w:val="both"/>
        <w:rPr>
          <w:rFonts w:ascii="Palatino Linotype" w:hAnsi="Palatino Linotype" w:cs="Tahoma"/>
          <w:sz w:val="22"/>
          <w:szCs w:val="22"/>
          <w:lang w:val="es-ES"/>
        </w:rPr>
      </w:pPr>
      <w:r w:rsidRPr="00460DF5">
        <w:rPr>
          <w:rFonts w:ascii="Palatino Linotype" w:hAnsi="Palatino Linotype" w:cs="Tahoma"/>
          <w:sz w:val="22"/>
          <w:szCs w:val="22"/>
        </w:rPr>
        <w:t xml:space="preserve">El </w:t>
      </w:r>
      <w:r w:rsidR="00794AAE">
        <w:rPr>
          <w:rFonts w:ascii="Palatino Linotype" w:hAnsi="Palatino Linotype" w:cs="Tahoma"/>
          <w:sz w:val="22"/>
          <w:szCs w:val="22"/>
          <w:lang w:val="es-ES"/>
        </w:rPr>
        <w:t>tres de mayo</w:t>
      </w:r>
      <w:r w:rsidR="00117DCC" w:rsidRPr="00460DF5">
        <w:rPr>
          <w:rFonts w:ascii="Palatino Linotype" w:hAnsi="Palatino Linotype" w:cs="Tahoma"/>
          <w:sz w:val="22"/>
          <w:szCs w:val="22"/>
          <w:lang w:val="es-ES"/>
        </w:rPr>
        <w:t xml:space="preserve"> </w:t>
      </w:r>
      <w:r w:rsidR="00C636A6" w:rsidRPr="00460DF5">
        <w:rPr>
          <w:rFonts w:ascii="Palatino Linotype" w:hAnsi="Palatino Linotype" w:cs="Tahoma"/>
          <w:sz w:val="22"/>
          <w:szCs w:val="22"/>
          <w:lang w:val="es-ES"/>
        </w:rPr>
        <w:t>de dos mil veintidós</w:t>
      </w:r>
      <w:r w:rsidRPr="00460DF5">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60DF5">
        <w:rPr>
          <w:rFonts w:ascii="Palatino Linotype" w:hAnsi="Palatino Linotype" w:cs="Tahoma"/>
          <w:sz w:val="22"/>
          <w:szCs w:val="22"/>
          <w:lang w:val="es-ES"/>
        </w:rPr>
        <w:t>Sistema de Acceso a la Información Mexiquense (SAIMEX)</w:t>
      </w:r>
      <w:r w:rsidRPr="00460DF5">
        <w:rPr>
          <w:rFonts w:ascii="Palatino Linotype" w:hAnsi="Palatino Linotype" w:cs="Tahoma"/>
          <w:sz w:val="22"/>
          <w:szCs w:val="22"/>
        </w:rPr>
        <w:t xml:space="preserve">. </w:t>
      </w:r>
    </w:p>
    <w:p w14:paraId="46E06404" w14:textId="77777777" w:rsidR="00AE2055" w:rsidRPr="00460DF5" w:rsidRDefault="00AE2055" w:rsidP="00460DF5">
      <w:pPr>
        <w:spacing w:line="360" w:lineRule="auto"/>
        <w:contextualSpacing/>
        <w:jc w:val="both"/>
        <w:rPr>
          <w:rFonts w:ascii="Palatino Linotype" w:hAnsi="Palatino Linotype" w:cs="Tahoma"/>
          <w:sz w:val="22"/>
          <w:szCs w:val="22"/>
        </w:rPr>
      </w:pPr>
    </w:p>
    <w:p w14:paraId="7A5E769E" w14:textId="611A3A79"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En razón de que fue debidamente sustanciado e integrado el exp</w:t>
      </w:r>
      <w:r w:rsidR="00E61B74" w:rsidRPr="00460DF5">
        <w:rPr>
          <w:rFonts w:ascii="Palatino Linotype" w:hAnsi="Palatino Linotype" w:cs="Tahoma"/>
          <w:sz w:val="22"/>
          <w:szCs w:val="22"/>
        </w:rPr>
        <w:t xml:space="preserve">ediente electrónico y no existe </w:t>
      </w:r>
      <w:r w:rsidRPr="00460DF5">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460DF5" w:rsidRDefault="005F2D09" w:rsidP="00460DF5">
      <w:pPr>
        <w:spacing w:line="360" w:lineRule="auto"/>
        <w:contextualSpacing/>
        <w:jc w:val="both"/>
        <w:rPr>
          <w:rFonts w:ascii="Palatino Linotype" w:hAnsi="Palatino Linotype" w:cs="Tahoma"/>
          <w:sz w:val="22"/>
          <w:szCs w:val="22"/>
        </w:rPr>
      </w:pPr>
    </w:p>
    <w:p w14:paraId="4431077C" w14:textId="77777777" w:rsidR="005F2D09" w:rsidRPr="00460DF5" w:rsidRDefault="005F2D09" w:rsidP="00460DF5">
      <w:pPr>
        <w:spacing w:line="360" w:lineRule="auto"/>
        <w:contextualSpacing/>
        <w:jc w:val="center"/>
        <w:rPr>
          <w:rFonts w:ascii="Palatino Linotype" w:hAnsi="Palatino Linotype" w:cs="Tahoma"/>
          <w:b/>
          <w:sz w:val="22"/>
          <w:szCs w:val="22"/>
        </w:rPr>
      </w:pPr>
      <w:r w:rsidRPr="00460DF5">
        <w:rPr>
          <w:rFonts w:ascii="Palatino Linotype" w:hAnsi="Palatino Linotype" w:cs="Tahoma"/>
          <w:b/>
          <w:sz w:val="22"/>
          <w:szCs w:val="22"/>
        </w:rPr>
        <w:t>C O N S I D E R A N D O S</w:t>
      </w:r>
    </w:p>
    <w:p w14:paraId="6EF179A1" w14:textId="77777777" w:rsidR="00C636A6" w:rsidRPr="00460DF5" w:rsidRDefault="00C636A6" w:rsidP="00460DF5">
      <w:pPr>
        <w:spacing w:line="360" w:lineRule="auto"/>
        <w:contextualSpacing/>
        <w:jc w:val="both"/>
        <w:rPr>
          <w:rFonts w:ascii="Palatino Linotype" w:hAnsi="Palatino Linotype" w:cs="Tahoma"/>
          <w:b/>
          <w:sz w:val="22"/>
          <w:szCs w:val="22"/>
        </w:rPr>
      </w:pPr>
    </w:p>
    <w:p w14:paraId="27F8EAD4" w14:textId="77777777" w:rsidR="005F2D09" w:rsidRPr="00460DF5" w:rsidRDefault="005F2D09"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t>PRIMERO</w:t>
      </w:r>
      <w:r w:rsidRPr="00460DF5">
        <w:rPr>
          <w:rFonts w:ascii="Palatino Linotype" w:hAnsi="Palatino Linotype" w:cs="Tahoma"/>
          <w:sz w:val="22"/>
          <w:szCs w:val="22"/>
        </w:rPr>
        <w:t xml:space="preserve">. </w:t>
      </w:r>
      <w:r w:rsidRPr="00460DF5">
        <w:rPr>
          <w:rFonts w:ascii="Palatino Linotype" w:hAnsi="Palatino Linotype" w:cs="Tahoma"/>
          <w:b/>
          <w:sz w:val="22"/>
          <w:szCs w:val="22"/>
        </w:rPr>
        <w:t>Competencia.</w:t>
      </w:r>
    </w:p>
    <w:p w14:paraId="13558522" w14:textId="77777777" w:rsidR="005F2D09" w:rsidRPr="00460DF5" w:rsidRDefault="005F2D09" w:rsidP="00460DF5">
      <w:pPr>
        <w:spacing w:line="360" w:lineRule="auto"/>
        <w:contextualSpacing/>
        <w:jc w:val="both"/>
        <w:rPr>
          <w:rFonts w:ascii="Palatino Linotype" w:hAnsi="Palatino Linotype" w:cs="Tahoma"/>
          <w:b/>
          <w:sz w:val="22"/>
          <w:szCs w:val="22"/>
        </w:rPr>
      </w:pPr>
    </w:p>
    <w:p w14:paraId="52E13315" w14:textId="1D929A8D"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2D0767" w:rsidRPr="00460DF5">
        <w:rPr>
          <w:rFonts w:ascii="Palatino Linotype" w:hAnsi="Palatino Linotype" w:cs="Tahoma"/>
          <w:sz w:val="22"/>
          <w:szCs w:val="22"/>
        </w:rPr>
        <w:t>trigésimo, trigésimo primero y trigésimo segundo, fracciones I, II, III, IV y V</w:t>
      </w:r>
      <w:r w:rsidRPr="00460DF5">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460DF5">
        <w:rPr>
          <w:rFonts w:ascii="Palatino Linotype" w:hAnsi="Palatino Linotype" w:cs="Tahoma"/>
          <w:sz w:val="22"/>
          <w:szCs w:val="22"/>
        </w:rPr>
        <w:lastRenderedPageBreak/>
        <w:t>Transparencia, Acceso a la Información Pública y Protección de Datos Personales del Estado de México y Municipios.</w:t>
      </w:r>
    </w:p>
    <w:p w14:paraId="24717C48" w14:textId="77777777" w:rsidR="005F2D09" w:rsidRPr="00460DF5" w:rsidRDefault="005F2D09" w:rsidP="00460DF5">
      <w:pPr>
        <w:spacing w:line="360" w:lineRule="auto"/>
        <w:contextualSpacing/>
        <w:jc w:val="both"/>
        <w:rPr>
          <w:rFonts w:ascii="Palatino Linotype" w:hAnsi="Palatino Linotype" w:cs="Tahoma"/>
          <w:sz w:val="22"/>
          <w:szCs w:val="22"/>
        </w:rPr>
      </w:pPr>
    </w:p>
    <w:p w14:paraId="30B98CDB" w14:textId="77777777" w:rsidR="005F2D09" w:rsidRPr="00460DF5" w:rsidRDefault="005F2D09"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t>SEGUNDO. Causales de improcedencia y sobreseimiento.</w:t>
      </w:r>
    </w:p>
    <w:p w14:paraId="595D77F6" w14:textId="77777777" w:rsidR="005F2D09" w:rsidRPr="00460DF5" w:rsidRDefault="005F2D09" w:rsidP="00460DF5">
      <w:pPr>
        <w:spacing w:line="360" w:lineRule="auto"/>
        <w:contextualSpacing/>
        <w:jc w:val="both"/>
        <w:rPr>
          <w:rFonts w:ascii="Palatino Linotype" w:hAnsi="Palatino Linotype" w:cs="Tahoma"/>
          <w:b/>
          <w:sz w:val="22"/>
          <w:szCs w:val="22"/>
        </w:rPr>
      </w:pPr>
    </w:p>
    <w:p w14:paraId="71D0005D" w14:textId="77777777" w:rsidR="005F2D09" w:rsidRPr="00460DF5" w:rsidRDefault="005F2D09"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t>Causales de improcedencia.</w:t>
      </w:r>
    </w:p>
    <w:p w14:paraId="53AAF47B" w14:textId="77777777" w:rsidR="005F2D09" w:rsidRPr="00460DF5" w:rsidRDefault="005F2D09" w:rsidP="00460DF5">
      <w:pPr>
        <w:spacing w:line="360" w:lineRule="auto"/>
        <w:contextualSpacing/>
        <w:jc w:val="both"/>
        <w:rPr>
          <w:rFonts w:ascii="Palatino Linotype" w:hAnsi="Palatino Linotype" w:cs="Tahoma"/>
          <w:b/>
          <w:sz w:val="22"/>
          <w:szCs w:val="22"/>
        </w:rPr>
      </w:pPr>
    </w:p>
    <w:p w14:paraId="607206E5"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460DF5" w:rsidRDefault="005F2D09" w:rsidP="00460DF5">
      <w:pPr>
        <w:spacing w:line="360" w:lineRule="auto"/>
        <w:contextualSpacing/>
        <w:jc w:val="both"/>
        <w:rPr>
          <w:rFonts w:ascii="Palatino Linotype" w:hAnsi="Palatino Linotype" w:cs="Tahoma"/>
          <w:sz w:val="22"/>
          <w:szCs w:val="22"/>
        </w:rPr>
      </w:pPr>
    </w:p>
    <w:p w14:paraId="61B1C999"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 xml:space="preserve">En el presente caso, </w:t>
      </w:r>
      <w:r w:rsidRPr="00460DF5">
        <w:rPr>
          <w:rFonts w:ascii="Palatino Linotype" w:hAnsi="Palatino Linotype" w:cs="Tahoma"/>
          <w:b/>
          <w:sz w:val="22"/>
          <w:szCs w:val="22"/>
        </w:rPr>
        <w:t>no se actualiza ninguna de las causales de improcedencia</w:t>
      </w:r>
      <w:r w:rsidRPr="00460DF5">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460DF5" w:rsidRDefault="005F2D09" w:rsidP="00460DF5">
      <w:pPr>
        <w:spacing w:line="360" w:lineRule="auto"/>
        <w:contextualSpacing/>
        <w:jc w:val="both"/>
        <w:rPr>
          <w:rFonts w:ascii="Palatino Linotype" w:hAnsi="Palatino Linotype" w:cs="Tahoma"/>
          <w:b/>
          <w:sz w:val="22"/>
          <w:szCs w:val="22"/>
        </w:rPr>
      </w:pPr>
    </w:p>
    <w:p w14:paraId="346873FC" w14:textId="77777777" w:rsidR="005F2D09" w:rsidRPr="00460DF5" w:rsidRDefault="005F2D09"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t>Causales de sobreseimiento.</w:t>
      </w:r>
    </w:p>
    <w:p w14:paraId="26365434" w14:textId="77777777" w:rsidR="005F2D09" w:rsidRPr="00460DF5" w:rsidRDefault="005F2D09" w:rsidP="00460DF5">
      <w:pPr>
        <w:spacing w:line="360" w:lineRule="auto"/>
        <w:contextualSpacing/>
        <w:jc w:val="both"/>
        <w:rPr>
          <w:rFonts w:ascii="Palatino Linotype" w:hAnsi="Palatino Linotype" w:cs="Tahoma"/>
          <w:sz w:val="22"/>
          <w:szCs w:val="22"/>
        </w:rPr>
      </w:pPr>
    </w:p>
    <w:p w14:paraId="0D491793"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lastRenderedPageBreak/>
        <w:t>Por lo que hace a las causales de sobreseimiento, del análisis realizado por este Instituto, se advierte que</w:t>
      </w:r>
      <w:r w:rsidRPr="00460DF5">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460DF5">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460DF5" w:rsidRDefault="005F2D09" w:rsidP="00460DF5">
      <w:pPr>
        <w:spacing w:line="360" w:lineRule="auto"/>
        <w:contextualSpacing/>
        <w:jc w:val="both"/>
        <w:rPr>
          <w:rFonts w:ascii="Palatino Linotype" w:hAnsi="Palatino Linotype" w:cs="Tahoma"/>
          <w:sz w:val="22"/>
          <w:szCs w:val="22"/>
        </w:rPr>
      </w:pPr>
    </w:p>
    <w:p w14:paraId="2CDFDDBD"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bCs/>
          <w:sz w:val="22"/>
          <w:szCs w:val="22"/>
        </w:rPr>
        <w:t xml:space="preserve">Por tales motivos, </w:t>
      </w:r>
      <w:r w:rsidRPr="00460DF5">
        <w:rPr>
          <w:rFonts w:ascii="Palatino Linotype" w:hAnsi="Palatino Linotype" w:cs="Tahoma"/>
          <w:sz w:val="22"/>
          <w:szCs w:val="22"/>
        </w:rPr>
        <w:t xml:space="preserve">se considera procedente entrar al fondo del presente asunto. </w:t>
      </w:r>
    </w:p>
    <w:p w14:paraId="234A60D2" w14:textId="77777777" w:rsidR="005F2D09" w:rsidRPr="00460DF5" w:rsidRDefault="005F2D09" w:rsidP="00460DF5">
      <w:pPr>
        <w:spacing w:line="360" w:lineRule="auto"/>
        <w:contextualSpacing/>
        <w:jc w:val="both"/>
        <w:rPr>
          <w:rFonts w:ascii="Palatino Linotype" w:hAnsi="Palatino Linotype" w:cs="Tahoma"/>
          <w:bCs/>
          <w:iCs/>
          <w:sz w:val="22"/>
          <w:szCs w:val="22"/>
          <w:lang w:val="es-ES"/>
        </w:rPr>
      </w:pPr>
    </w:p>
    <w:p w14:paraId="777124DD" w14:textId="77777777" w:rsidR="005F2D09" w:rsidRPr="00460DF5" w:rsidRDefault="005F2D09" w:rsidP="00460DF5">
      <w:pPr>
        <w:spacing w:line="360" w:lineRule="auto"/>
        <w:contextualSpacing/>
        <w:jc w:val="both"/>
        <w:rPr>
          <w:rFonts w:ascii="Palatino Linotype" w:hAnsi="Palatino Linotype" w:cs="Tahoma"/>
          <w:b/>
          <w:bCs/>
          <w:iCs/>
          <w:sz w:val="22"/>
          <w:szCs w:val="22"/>
          <w:lang w:val="es-ES"/>
        </w:rPr>
      </w:pPr>
      <w:r w:rsidRPr="00460DF5">
        <w:rPr>
          <w:rFonts w:ascii="Palatino Linotype" w:hAnsi="Palatino Linotype" w:cs="Tahoma"/>
          <w:b/>
          <w:bCs/>
          <w:iCs/>
          <w:sz w:val="22"/>
          <w:szCs w:val="22"/>
          <w:lang w:val="es-ES"/>
        </w:rPr>
        <w:t xml:space="preserve">TERCERO. Determinación de la Controversia. </w:t>
      </w:r>
    </w:p>
    <w:p w14:paraId="4AA0248D" w14:textId="77777777" w:rsidR="005F2D09" w:rsidRPr="00460DF5" w:rsidRDefault="005F2D09" w:rsidP="00460DF5">
      <w:pPr>
        <w:spacing w:line="360" w:lineRule="auto"/>
        <w:contextualSpacing/>
        <w:jc w:val="both"/>
        <w:rPr>
          <w:rFonts w:ascii="Palatino Linotype" w:hAnsi="Palatino Linotype" w:cs="Tahoma"/>
          <w:sz w:val="22"/>
          <w:szCs w:val="22"/>
          <w:lang w:val="es-ES"/>
        </w:rPr>
      </w:pPr>
    </w:p>
    <w:p w14:paraId="2D68BDEE" w14:textId="264B201D" w:rsidR="00117DCC" w:rsidRPr="00460DF5" w:rsidRDefault="00756C38" w:rsidP="00460DF5">
      <w:pPr>
        <w:spacing w:line="360" w:lineRule="auto"/>
        <w:contextualSpacing/>
        <w:jc w:val="both"/>
        <w:rPr>
          <w:rFonts w:ascii="Palatino Linotype" w:hAnsi="Palatino Linotype" w:cs="Tahoma"/>
          <w:sz w:val="22"/>
          <w:szCs w:val="22"/>
          <w:lang w:val="es-ES"/>
        </w:rPr>
      </w:pPr>
      <w:r w:rsidRPr="00460DF5">
        <w:rPr>
          <w:rFonts w:ascii="Palatino Linotype" w:hAnsi="Palatino Linotype" w:cs="Tahoma"/>
          <w:sz w:val="22"/>
          <w:szCs w:val="22"/>
          <w:lang w:val="es-ES"/>
        </w:rPr>
        <w:t xml:space="preserve">El Particular solicitó </w:t>
      </w:r>
      <w:r w:rsidR="00117DCC" w:rsidRPr="00460DF5">
        <w:rPr>
          <w:rFonts w:ascii="Palatino Linotype" w:hAnsi="Palatino Linotype" w:cs="Tahoma"/>
          <w:sz w:val="22"/>
          <w:szCs w:val="22"/>
          <w:lang w:val="es-ES"/>
        </w:rPr>
        <w:t>al Sujeto Obligado lo siguiente:</w:t>
      </w:r>
    </w:p>
    <w:p w14:paraId="5617F2E3" w14:textId="77777777" w:rsidR="007F513B" w:rsidRDefault="007F513B" w:rsidP="00460DF5">
      <w:pPr>
        <w:spacing w:line="360" w:lineRule="auto"/>
        <w:contextualSpacing/>
        <w:jc w:val="both"/>
        <w:rPr>
          <w:rFonts w:ascii="Palatino Linotype" w:hAnsi="Palatino Linotype" w:cs="Tahoma"/>
          <w:sz w:val="22"/>
          <w:szCs w:val="22"/>
          <w:lang w:val="es-ES"/>
        </w:rPr>
      </w:pPr>
    </w:p>
    <w:p w14:paraId="009D6C5D" w14:textId="581DE05D" w:rsidR="00AE30FF" w:rsidRDefault="007F513B" w:rsidP="00460DF5">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De la subdivisión de un predio, que tuvo lugar a través de un convenio que celebraron el Ayuntamiento de Chimalhuacán y Particulares; y en el cual, en la cláusula tercera, se </w:t>
      </w:r>
      <w:r w:rsidRPr="007F513B">
        <w:rPr>
          <w:rFonts w:ascii="Palatino Linotype" w:hAnsi="Palatino Linotype" w:cs="Tahoma"/>
          <w:sz w:val="22"/>
          <w:szCs w:val="22"/>
          <w:lang w:val="es-ES"/>
        </w:rPr>
        <w:t>estableció que se daría vista al Gobierno del Estado de México, lo siguiente:</w:t>
      </w:r>
    </w:p>
    <w:p w14:paraId="2E442B67" w14:textId="77777777" w:rsidR="007F513B" w:rsidRPr="007F513B" w:rsidRDefault="007F513B" w:rsidP="00460DF5">
      <w:pPr>
        <w:spacing w:line="360" w:lineRule="auto"/>
        <w:contextualSpacing/>
        <w:jc w:val="both"/>
        <w:rPr>
          <w:rFonts w:ascii="Palatino Linotype" w:hAnsi="Palatino Linotype" w:cs="Tahoma"/>
          <w:sz w:val="22"/>
          <w:szCs w:val="22"/>
          <w:lang w:val="es-ES"/>
        </w:rPr>
      </w:pPr>
    </w:p>
    <w:p w14:paraId="345CEDF7" w14:textId="497EAB39" w:rsidR="007F513B" w:rsidRPr="007F513B" w:rsidRDefault="007F513B" w:rsidP="007F513B">
      <w:pPr>
        <w:numPr>
          <w:ilvl w:val="0"/>
          <w:numId w:val="30"/>
        </w:numPr>
        <w:spacing w:line="360" w:lineRule="auto"/>
        <w:contextualSpacing/>
        <w:jc w:val="both"/>
        <w:rPr>
          <w:rFonts w:ascii="Palatino Linotype" w:hAnsi="Palatino Linotype" w:cs="Tahoma"/>
          <w:sz w:val="22"/>
          <w:szCs w:val="22"/>
          <w:lang w:val="es-ES"/>
        </w:rPr>
      </w:pPr>
      <w:r w:rsidRPr="007F513B">
        <w:rPr>
          <w:rFonts w:ascii="Palatino Linotype" w:hAnsi="Palatino Linotype" w:cs="Tahoma"/>
          <w:bCs/>
          <w:sz w:val="22"/>
          <w:szCs w:val="22"/>
        </w:rPr>
        <w:t>El nombre del área receptora de dicho convenio, así como la versión pública del acuse de recibido ya sea físicamente o digitalmente.</w:t>
      </w:r>
    </w:p>
    <w:p w14:paraId="1B7B81FA" w14:textId="2EF1ACF8" w:rsidR="007F513B" w:rsidRDefault="007F513B" w:rsidP="007F513B">
      <w:pPr>
        <w:numPr>
          <w:ilvl w:val="0"/>
          <w:numId w:val="30"/>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L</w:t>
      </w:r>
      <w:r w:rsidRPr="007F513B">
        <w:rPr>
          <w:rFonts w:ascii="Palatino Linotype" w:hAnsi="Palatino Linotype" w:cs="Tahoma"/>
          <w:sz w:val="22"/>
          <w:szCs w:val="22"/>
          <w:lang w:val="es-ES"/>
        </w:rPr>
        <w:t>a versión pública de toda la documentación que acredite y/o autorice la subdivisión del predio identificado en la solicitud.</w:t>
      </w:r>
    </w:p>
    <w:p w14:paraId="08856A5B" w14:textId="7DA12F4D" w:rsidR="007F513B" w:rsidRDefault="007F513B" w:rsidP="007F513B">
      <w:pPr>
        <w:numPr>
          <w:ilvl w:val="0"/>
          <w:numId w:val="30"/>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caso de no contar con la información la declaración de inexistencia.</w:t>
      </w:r>
    </w:p>
    <w:p w14:paraId="0BDB7842" w14:textId="77777777" w:rsidR="007F513B" w:rsidRDefault="007F513B" w:rsidP="007F513B">
      <w:pPr>
        <w:spacing w:line="360" w:lineRule="auto"/>
        <w:contextualSpacing/>
        <w:jc w:val="both"/>
        <w:rPr>
          <w:rFonts w:ascii="Palatino Linotype" w:hAnsi="Palatino Linotype" w:cs="Tahoma"/>
          <w:sz w:val="22"/>
          <w:szCs w:val="22"/>
          <w:lang w:val="es-ES"/>
        </w:rPr>
      </w:pPr>
    </w:p>
    <w:p w14:paraId="3A809728" w14:textId="5B4317B9" w:rsidR="007F513B" w:rsidRDefault="007F513B" w:rsidP="007F513B">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A dicha solicitud, el Particular adjuntó diverso documentos relacionados con el predio, con los Particulares y el convenio señalado en la solicitud.</w:t>
      </w:r>
    </w:p>
    <w:p w14:paraId="3BAA6763" w14:textId="77777777" w:rsidR="007F513B" w:rsidRDefault="007F513B" w:rsidP="007F513B">
      <w:pPr>
        <w:spacing w:line="360" w:lineRule="auto"/>
        <w:contextualSpacing/>
        <w:jc w:val="both"/>
        <w:rPr>
          <w:rFonts w:ascii="Palatino Linotype" w:hAnsi="Palatino Linotype" w:cs="Tahoma"/>
          <w:sz w:val="22"/>
          <w:szCs w:val="22"/>
          <w:lang w:val="es-ES"/>
        </w:rPr>
      </w:pPr>
    </w:p>
    <w:p w14:paraId="2BA08713" w14:textId="6621BBFF" w:rsidR="007F513B" w:rsidRDefault="007F513B" w:rsidP="007F513B">
      <w:pPr>
        <w:spacing w:line="360" w:lineRule="auto"/>
        <w:contextualSpacing/>
        <w:jc w:val="both"/>
        <w:rPr>
          <w:rFonts w:ascii="Palatino Linotype" w:hAnsi="Palatino Linotype" w:cs="Tahoma"/>
          <w:bCs/>
          <w:iCs/>
          <w:sz w:val="22"/>
          <w:szCs w:val="22"/>
        </w:rPr>
      </w:pPr>
      <w:r>
        <w:rPr>
          <w:rFonts w:ascii="Palatino Linotype" w:hAnsi="Palatino Linotype" w:cs="Tahoma"/>
          <w:sz w:val="22"/>
          <w:szCs w:val="22"/>
          <w:lang w:val="es-ES"/>
        </w:rPr>
        <w:lastRenderedPageBreak/>
        <w:t xml:space="preserve">En respuesta, el Sujeto Obligado, indicó que la </w:t>
      </w:r>
      <w:r>
        <w:rPr>
          <w:rFonts w:ascii="Palatino Linotype" w:hAnsi="Palatino Linotype" w:cs="Tahoma"/>
          <w:bCs/>
          <w:iCs/>
          <w:sz w:val="22"/>
          <w:szCs w:val="22"/>
        </w:rPr>
        <w:t>Dirección General de Operación y Control Urbano, realizó una búsqueda de la información en la Dirección Regional Valle de México Zona Oriente y que no se localizó antecedente alguno relacionado con la información solicitada y con los documento entregados por el Particular.</w:t>
      </w:r>
    </w:p>
    <w:p w14:paraId="0415E8F1" w14:textId="77777777" w:rsidR="007F513B" w:rsidRDefault="007F513B" w:rsidP="007F513B">
      <w:pPr>
        <w:spacing w:line="360" w:lineRule="auto"/>
        <w:contextualSpacing/>
        <w:jc w:val="both"/>
        <w:rPr>
          <w:rFonts w:ascii="Palatino Linotype" w:hAnsi="Palatino Linotype" w:cs="Tahoma"/>
          <w:sz w:val="22"/>
          <w:szCs w:val="22"/>
          <w:lang w:val="es-ES"/>
        </w:rPr>
      </w:pPr>
    </w:p>
    <w:p w14:paraId="3736031C" w14:textId="10772DDD" w:rsidR="007F513B" w:rsidRDefault="007F513B" w:rsidP="007F513B">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Derivado de la respuesta, el Particular interpuso el Recurso de Revisión que nos ocupa, mediante el cual, se inconformó y señaló que la respuesta fue incompleta, pues no se entregó el acuerdo del Comité de Transparencia en el que se declarará la inexistencia de la información.</w:t>
      </w:r>
    </w:p>
    <w:p w14:paraId="49C91FA1" w14:textId="77777777" w:rsidR="007F513B" w:rsidRDefault="007F513B" w:rsidP="007F513B">
      <w:pPr>
        <w:spacing w:line="360" w:lineRule="auto"/>
        <w:contextualSpacing/>
        <w:jc w:val="both"/>
        <w:rPr>
          <w:rFonts w:ascii="Palatino Linotype" w:hAnsi="Palatino Linotype" w:cs="Tahoma"/>
          <w:sz w:val="22"/>
          <w:szCs w:val="22"/>
          <w:lang w:val="es-ES"/>
        </w:rPr>
      </w:pPr>
    </w:p>
    <w:p w14:paraId="25CF90B8" w14:textId="430B9D2E" w:rsidR="007F513B" w:rsidRPr="007F513B" w:rsidRDefault="007F513B" w:rsidP="007F513B">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Durante la substanciación del Recurso de Revisión, el Sujeto Obligado rindió informe justificado mediante el cual, ratificó su respuesta inicial y señaló que no es posible la entrega de la declaratoria de inexistencia, puesto que se trata de un trámite y que no cuenta con la información porque no se generó, no se archivó y no obra en los expedientes del Sujeto Obligado por lo que se trata de hechos negativos y solicitó que se confirmara la respuesta inicial. </w:t>
      </w:r>
    </w:p>
    <w:p w14:paraId="1AE76CBE" w14:textId="77777777" w:rsidR="00794AAE" w:rsidRPr="00460DF5" w:rsidRDefault="00794AAE" w:rsidP="00460DF5">
      <w:pPr>
        <w:spacing w:line="360" w:lineRule="auto"/>
        <w:contextualSpacing/>
        <w:jc w:val="both"/>
        <w:rPr>
          <w:rFonts w:ascii="Palatino Linotype" w:hAnsi="Palatino Linotype" w:cs="Tahoma"/>
          <w:sz w:val="22"/>
          <w:szCs w:val="22"/>
          <w:lang w:val="es-ES"/>
        </w:rPr>
      </w:pPr>
    </w:p>
    <w:p w14:paraId="7A69B4C4" w14:textId="5B39C6AB" w:rsidR="005F2D09" w:rsidRPr="00460DF5" w:rsidRDefault="005F2D09" w:rsidP="00460DF5">
      <w:pPr>
        <w:spacing w:line="360" w:lineRule="auto"/>
        <w:contextualSpacing/>
        <w:jc w:val="both"/>
        <w:rPr>
          <w:rFonts w:ascii="Palatino Linotype" w:hAnsi="Palatino Linotype" w:cs="Tahoma"/>
          <w:b/>
          <w:bCs/>
          <w:sz w:val="22"/>
          <w:szCs w:val="22"/>
        </w:rPr>
      </w:pPr>
      <w:r w:rsidRPr="00460DF5">
        <w:rPr>
          <w:rFonts w:ascii="Palatino Linotype" w:hAnsi="Palatino Linotype" w:cs="Tahoma"/>
          <w:sz w:val="22"/>
          <w:szCs w:val="22"/>
        </w:rPr>
        <w:t xml:space="preserve">Finalmente, en el asunto que nos ocupa se actualiza la causal de procedencia señalada en el </w:t>
      </w:r>
      <w:r w:rsidRPr="00460DF5">
        <w:rPr>
          <w:rFonts w:ascii="Palatino Linotype" w:hAnsi="Palatino Linotype" w:cs="Tahoma"/>
          <w:b/>
          <w:sz w:val="22"/>
          <w:szCs w:val="22"/>
        </w:rPr>
        <w:t xml:space="preserve">artículo 179, fracción </w:t>
      </w:r>
      <w:r w:rsidR="00AE30FF">
        <w:rPr>
          <w:rFonts w:ascii="Palatino Linotype" w:hAnsi="Palatino Linotype" w:cs="Tahoma"/>
          <w:b/>
          <w:sz w:val="22"/>
          <w:szCs w:val="22"/>
        </w:rPr>
        <w:t>V</w:t>
      </w:r>
      <w:r w:rsidRPr="00460DF5">
        <w:rPr>
          <w:rFonts w:ascii="Palatino Linotype" w:hAnsi="Palatino Linotype" w:cs="Tahoma"/>
          <w:b/>
          <w:sz w:val="22"/>
          <w:szCs w:val="22"/>
        </w:rPr>
        <w:t xml:space="preserve"> de la Ley de la materia</w:t>
      </w:r>
      <w:r w:rsidRPr="00460DF5">
        <w:rPr>
          <w:rFonts w:ascii="Palatino Linotype" w:hAnsi="Palatino Linotype" w:cs="Tahoma"/>
          <w:b/>
          <w:bCs/>
          <w:sz w:val="22"/>
          <w:szCs w:val="22"/>
        </w:rPr>
        <w:t xml:space="preserve">, pues el Particular se inconformó por la </w:t>
      </w:r>
      <w:r w:rsidR="00AE30FF">
        <w:rPr>
          <w:rFonts w:ascii="Palatino Linotype" w:hAnsi="Palatino Linotype" w:cs="Tahoma"/>
          <w:b/>
          <w:bCs/>
          <w:sz w:val="22"/>
          <w:szCs w:val="22"/>
        </w:rPr>
        <w:t>entrega de información incompleta.</w:t>
      </w:r>
    </w:p>
    <w:p w14:paraId="4448BDDC"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35A88819" w14:textId="77777777" w:rsidR="005F2D09" w:rsidRPr="00460DF5" w:rsidRDefault="005F2D09"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t>CUARTO. Marco normativo aplicable en materia de transparencia y acceso a la información pública.</w:t>
      </w:r>
    </w:p>
    <w:p w14:paraId="1D7A057E" w14:textId="77777777" w:rsidR="005F2D09" w:rsidRPr="00460DF5" w:rsidRDefault="005F2D09" w:rsidP="00460DF5">
      <w:pPr>
        <w:spacing w:line="360" w:lineRule="auto"/>
        <w:contextualSpacing/>
        <w:jc w:val="both"/>
        <w:rPr>
          <w:rFonts w:ascii="Palatino Linotype" w:hAnsi="Palatino Linotype" w:cs="Tahoma"/>
          <w:b/>
          <w:sz w:val="22"/>
          <w:szCs w:val="22"/>
        </w:rPr>
      </w:pPr>
    </w:p>
    <w:p w14:paraId="6D318784" w14:textId="002F80BD"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F65385" w:rsidRPr="00460DF5">
        <w:rPr>
          <w:rFonts w:ascii="Palatino Linotype" w:hAnsi="Palatino Linotype" w:cs="Tahoma"/>
          <w:sz w:val="22"/>
          <w:szCs w:val="22"/>
        </w:rPr>
        <w:t>autoridad</w:t>
      </w:r>
      <w:r w:rsidRPr="00460DF5">
        <w:rPr>
          <w:rFonts w:ascii="Palatino Linotype" w:hAnsi="Palatino Linotype" w:cs="Tahoma"/>
          <w:sz w:val="22"/>
          <w:szCs w:val="22"/>
        </w:rPr>
        <w:t xml:space="preserve"> es pública y sólo podrá ser reservada temporalmente por razones de interés público.</w:t>
      </w:r>
    </w:p>
    <w:p w14:paraId="2028BD81" w14:textId="77777777" w:rsidR="005F2D09" w:rsidRPr="00460DF5" w:rsidRDefault="005F2D09" w:rsidP="00460DF5">
      <w:pPr>
        <w:spacing w:line="360" w:lineRule="auto"/>
        <w:contextualSpacing/>
        <w:jc w:val="both"/>
        <w:rPr>
          <w:rFonts w:ascii="Palatino Linotype" w:hAnsi="Palatino Linotype" w:cs="Tahoma"/>
          <w:sz w:val="22"/>
          <w:szCs w:val="22"/>
        </w:rPr>
      </w:pPr>
    </w:p>
    <w:p w14:paraId="55FABCBA"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460DF5" w:rsidRDefault="005F2D09" w:rsidP="00460DF5">
      <w:pPr>
        <w:spacing w:line="360" w:lineRule="auto"/>
        <w:contextualSpacing/>
        <w:jc w:val="both"/>
        <w:rPr>
          <w:rFonts w:ascii="Palatino Linotype" w:hAnsi="Palatino Linotype" w:cs="Tahoma"/>
          <w:sz w:val="22"/>
          <w:szCs w:val="22"/>
        </w:rPr>
      </w:pPr>
    </w:p>
    <w:p w14:paraId="694EE490"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460DF5" w:rsidRDefault="005F2D09" w:rsidP="00460DF5">
      <w:pPr>
        <w:spacing w:line="360" w:lineRule="auto"/>
        <w:contextualSpacing/>
        <w:jc w:val="both"/>
        <w:rPr>
          <w:rFonts w:ascii="Palatino Linotype" w:hAnsi="Palatino Linotype" w:cs="Tahoma"/>
          <w:sz w:val="22"/>
          <w:szCs w:val="22"/>
        </w:rPr>
      </w:pPr>
    </w:p>
    <w:p w14:paraId="1D38F7D1"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460DF5" w:rsidRDefault="005F2D09" w:rsidP="00460DF5">
      <w:pPr>
        <w:spacing w:line="360" w:lineRule="auto"/>
        <w:contextualSpacing/>
        <w:jc w:val="both"/>
        <w:rPr>
          <w:rFonts w:ascii="Palatino Linotype" w:hAnsi="Palatino Linotype" w:cs="Tahoma"/>
          <w:sz w:val="22"/>
          <w:szCs w:val="22"/>
        </w:rPr>
      </w:pPr>
    </w:p>
    <w:p w14:paraId="4BEA2138" w14:textId="77777777" w:rsidR="005F2D09"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El artículo 12, que, quienes generen, recopilen, administren, manejen, procesen, archiven o conserven información pública serán responsables de la misma.</w:t>
      </w:r>
    </w:p>
    <w:p w14:paraId="528774D9" w14:textId="77777777" w:rsidR="00AE30FF" w:rsidRPr="00460DF5" w:rsidRDefault="00AE30FF" w:rsidP="00460DF5">
      <w:pPr>
        <w:spacing w:line="360" w:lineRule="auto"/>
        <w:contextualSpacing/>
        <w:jc w:val="both"/>
        <w:rPr>
          <w:rFonts w:ascii="Palatino Linotype" w:hAnsi="Palatino Linotype" w:cs="Tahoma"/>
          <w:sz w:val="22"/>
          <w:szCs w:val="22"/>
        </w:rPr>
      </w:pPr>
    </w:p>
    <w:p w14:paraId="70093EDA"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460DF5" w:rsidRDefault="005F2D09" w:rsidP="00460DF5">
      <w:pPr>
        <w:spacing w:line="360" w:lineRule="auto"/>
        <w:contextualSpacing/>
        <w:jc w:val="both"/>
        <w:rPr>
          <w:rFonts w:ascii="Palatino Linotype" w:hAnsi="Palatino Linotype" w:cs="Tahoma"/>
          <w:sz w:val="22"/>
          <w:szCs w:val="22"/>
        </w:rPr>
      </w:pPr>
    </w:p>
    <w:p w14:paraId="4C50FC7E" w14:textId="77777777" w:rsidR="005F2D09" w:rsidRPr="00460DF5" w:rsidRDefault="005F2D09" w:rsidP="00460DF5">
      <w:pPr>
        <w:spacing w:line="360" w:lineRule="auto"/>
        <w:contextualSpacing/>
        <w:jc w:val="both"/>
        <w:rPr>
          <w:rFonts w:ascii="Palatino Linotype" w:hAnsi="Palatino Linotype" w:cs="Tahoma"/>
          <w:sz w:val="22"/>
          <w:szCs w:val="22"/>
        </w:rPr>
      </w:pPr>
      <w:r w:rsidRPr="00460DF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460DF5" w:rsidRDefault="005F2D09" w:rsidP="00460DF5">
      <w:pPr>
        <w:spacing w:line="360" w:lineRule="auto"/>
        <w:contextualSpacing/>
        <w:jc w:val="both"/>
        <w:rPr>
          <w:rFonts w:ascii="Palatino Linotype" w:hAnsi="Palatino Linotype" w:cs="Tahoma"/>
          <w:sz w:val="22"/>
          <w:szCs w:val="22"/>
        </w:rPr>
      </w:pPr>
    </w:p>
    <w:p w14:paraId="671D2C0A" w14:textId="77777777" w:rsidR="005F2D09" w:rsidRPr="00460DF5" w:rsidRDefault="005F2D09" w:rsidP="00460DF5">
      <w:pPr>
        <w:spacing w:line="360" w:lineRule="auto"/>
        <w:contextualSpacing/>
        <w:jc w:val="both"/>
        <w:rPr>
          <w:rFonts w:ascii="Palatino Linotype" w:hAnsi="Palatino Linotype" w:cs="Tahoma"/>
          <w:b/>
          <w:sz w:val="22"/>
          <w:szCs w:val="22"/>
        </w:rPr>
      </w:pPr>
      <w:r w:rsidRPr="00460DF5">
        <w:rPr>
          <w:rFonts w:ascii="Palatino Linotype" w:hAnsi="Palatino Linotype" w:cs="Tahoma"/>
          <w:b/>
          <w:sz w:val="22"/>
          <w:szCs w:val="22"/>
        </w:rPr>
        <w:lastRenderedPageBreak/>
        <w:t>QUINTO. Estudio de Fondo.</w:t>
      </w:r>
    </w:p>
    <w:p w14:paraId="652F6222" w14:textId="77777777" w:rsidR="005F2D09" w:rsidRPr="00460DF5" w:rsidRDefault="005F2D09" w:rsidP="00460DF5">
      <w:pPr>
        <w:spacing w:line="360" w:lineRule="auto"/>
        <w:contextualSpacing/>
        <w:jc w:val="both"/>
        <w:rPr>
          <w:rFonts w:ascii="Palatino Linotype" w:hAnsi="Palatino Linotype" w:cs="Tahoma"/>
          <w:b/>
          <w:sz w:val="22"/>
          <w:szCs w:val="22"/>
        </w:rPr>
      </w:pPr>
    </w:p>
    <w:p w14:paraId="65D49EC5" w14:textId="77777777" w:rsidR="005F2D09" w:rsidRPr="00460DF5" w:rsidRDefault="005F2D09" w:rsidP="00460DF5">
      <w:pPr>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16FC613C" w14:textId="77777777" w:rsidR="005F2D09" w:rsidRPr="00460DF5" w:rsidRDefault="005F2D09" w:rsidP="00460DF5">
      <w:pPr>
        <w:numPr>
          <w:ilvl w:val="0"/>
          <w:numId w:val="14"/>
        </w:numPr>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69B31D36" w14:textId="77777777" w:rsidR="005F2D09" w:rsidRPr="00460DF5" w:rsidRDefault="005F2D09" w:rsidP="00460DF5">
      <w:pPr>
        <w:numPr>
          <w:ilvl w:val="0"/>
          <w:numId w:val="14"/>
        </w:numPr>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6D0E8F34" w14:textId="77777777" w:rsidR="005F2D09" w:rsidRPr="00460DF5" w:rsidRDefault="005F2D09" w:rsidP="00460DF5">
      <w:pPr>
        <w:numPr>
          <w:ilvl w:val="0"/>
          <w:numId w:val="14"/>
        </w:numPr>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18543562" w14:textId="199794B5" w:rsidR="005F2D09" w:rsidRPr="00460DF5" w:rsidRDefault="005F2D09" w:rsidP="00460DF5">
      <w:pPr>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 xml:space="preserve">Conforme a lo anterior, se deprende que </w:t>
      </w:r>
      <w:r w:rsidRPr="00460DF5">
        <w:rPr>
          <w:rFonts w:ascii="Palatino Linotype" w:hAnsi="Palatino Linotype" w:cs="Tahoma"/>
          <w:b/>
          <w:bCs/>
          <w:sz w:val="22"/>
          <w:szCs w:val="22"/>
        </w:rPr>
        <w:t xml:space="preserve">los objetivos de la Ley de la </w:t>
      </w:r>
      <w:r w:rsidR="00166C32" w:rsidRPr="00460DF5">
        <w:rPr>
          <w:rFonts w:ascii="Palatino Linotype" w:hAnsi="Palatino Linotype" w:cs="Tahoma"/>
          <w:b/>
          <w:bCs/>
          <w:sz w:val="22"/>
          <w:szCs w:val="22"/>
        </w:rPr>
        <w:t>materia</w:t>
      </w:r>
      <w:r w:rsidRPr="00460DF5">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56663441" w14:textId="77777777" w:rsidR="005F2D09" w:rsidRPr="00460DF5" w:rsidRDefault="005F2D09" w:rsidP="00460DF5">
      <w:pPr>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 xml:space="preserve">En ese orden de ideas, para la atención de las solicitudes de acceso a la información, debe privilegiarse el </w:t>
      </w:r>
      <w:r w:rsidRPr="00460DF5">
        <w:rPr>
          <w:rFonts w:ascii="Palatino Linotype" w:hAnsi="Palatino Linotype" w:cs="Tahoma"/>
          <w:b/>
          <w:bCs/>
          <w:sz w:val="22"/>
          <w:szCs w:val="22"/>
        </w:rPr>
        <w:t>principio de máxima publicidad</w:t>
      </w:r>
      <w:r w:rsidRPr="00460DF5">
        <w:rPr>
          <w:rFonts w:ascii="Palatino Linotype" w:hAnsi="Palatino Linotype" w:cs="Tahoma"/>
          <w:bCs/>
          <w:sz w:val="22"/>
          <w:szCs w:val="22"/>
        </w:rPr>
        <w:t xml:space="preserve"> el cual dispone que toda la información en </w:t>
      </w:r>
      <w:r w:rsidRPr="00460DF5">
        <w:rPr>
          <w:rFonts w:ascii="Palatino Linotype" w:hAnsi="Palatino Linotype" w:cs="Tahoma"/>
          <w:bCs/>
          <w:sz w:val="22"/>
          <w:szCs w:val="22"/>
        </w:rPr>
        <w:lastRenderedPageBreak/>
        <w:t>posesión de los Sujetos Obligados será pública, completa, oportuna y accesible, sujeta a un claro régimen de excepciones que deberán estar definidas y ser legítimas y estrictamente necesarias en una sociedad democrática.</w:t>
      </w:r>
    </w:p>
    <w:p w14:paraId="29EF808D" w14:textId="77777777" w:rsidR="005F2D09" w:rsidRPr="00460DF5" w:rsidRDefault="005F2D09" w:rsidP="00460DF5">
      <w:pPr>
        <w:spacing w:line="360" w:lineRule="auto"/>
        <w:contextualSpacing/>
        <w:jc w:val="both"/>
        <w:rPr>
          <w:rFonts w:ascii="Palatino Linotype" w:hAnsi="Palatino Linotype" w:cs="Tahoma"/>
          <w:bCs/>
          <w:sz w:val="22"/>
          <w:szCs w:val="22"/>
        </w:rPr>
      </w:pPr>
    </w:p>
    <w:p w14:paraId="64235A04" w14:textId="77777777" w:rsidR="005F2D09" w:rsidRPr="00460DF5" w:rsidRDefault="005F2D09" w:rsidP="00460DF5">
      <w:pPr>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460DF5" w:rsidRDefault="005F2D09" w:rsidP="00460DF5">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460DF5" w:rsidRDefault="005F2D09" w:rsidP="00460DF5">
      <w:pPr>
        <w:numPr>
          <w:ilvl w:val="0"/>
          <w:numId w:val="3"/>
        </w:numPr>
        <w:tabs>
          <w:tab w:val="left" w:pos="284"/>
        </w:tabs>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460DF5" w:rsidRDefault="005F2D09" w:rsidP="00460DF5">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460DF5" w:rsidRDefault="005F2D09" w:rsidP="00460DF5">
      <w:pPr>
        <w:numPr>
          <w:ilvl w:val="0"/>
          <w:numId w:val="3"/>
        </w:numPr>
        <w:tabs>
          <w:tab w:val="left" w:pos="284"/>
        </w:tabs>
        <w:spacing w:line="360" w:lineRule="auto"/>
        <w:contextualSpacing/>
        <w:jc w:val="both"/>
        <w:rPr>
          <w:rFonts w:ascii="Palatino Linotype" w:hAnsi="Palatino Linotype" w:cs="Tahoma"/>
          <w:bCs/>
          <w:sz w:val="22"/>
          <w:szCs w:val="22"/>
        </w:rPr>
      </w:pPr>
      <w:r w:rsidRPr="00460DF5">
        <w:rPr>
          <w:rFonts w:ascii="Palatino Linotype" w:hAnsi="Palatino Linotype" w:cs="Tahoma"/>
          <w:bCs/>
          <w:sz w:val="22"/>
          <w:szCs w:val="22"/>
        </w:rPr>
        <w:t xml:space="preserve">La respuesta a los requerimientos informativos, deberán notificarse al interesado en el menor tiempo posible, que no podrá exceder de </w:t>
      </w:r>
      <w:r w:rsidRPr="00460DF5">
        <w:rPr>
          <w:rFonts w:ascii="Palatino Linotype" w:hAnsi="Palatino Linotype" w:cs="Tahoma"/>
          <w:b/>
          <w:bCs/>
          <w:sz w:val="22"/>
          <w:szCs w:val="22"/>
        </w:rPr>
        <w:t>quince días hábiles, contados a partir del día siguiente a la presentación de esta.</w:t>
      </w:r>
      <w:r w:rsidRPr="00460DF5">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460DF5" w:rsidRDefault="005F2D09" w:rsidP="00460DF5">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460DF5" w:rsidRDefault="005F2D09" w:rsidP="00460DF5">
      <w:pPr>
        <w:numPr>
          <w:ilvl w:val="0"/>
          <w:numId w:val="3"/>
        </w:numPr>
        <w:tabs>
          <w:tab w:val="left" w:pos="284"/>
        </w:tabs>
        <w:spacing w:line="360" w:lineRule="auto"/>
        <w:contextualSpacing/>
        <w:jc w:val="both"/>
        <w:rPr>
          <w:rFonts w:ascii="Palatino Linotype" w:hAnsi="Palatino Linotype" w:cs="Tahoma"/>
          <w:b/>
          <w:bCs/>
          <w:sz w:val="22"/>
          <w:szCs w:val="22"/>
        </w:rPr>
      </w:pPr>
      <w:r w:rsidRPr="00460DF5">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60DF5">
        <w:rPr>
          <w:rFonts w:ascii="Palatino Linotype" w:hAnsi="Palatino Linotype" w:cs="Tahoma"/>
          <w:b/>
          <w:bCs/>
          <w:sz w:val="22"/>
          <w:szCs w:val="22"/>
        </w:rPr>
        <w:t>que se encuentren en sus archivos o que estén constreñidos a elaborar;</w:t>
      </w:r>
    </w:p>
    <w:p w14:paraId="5729C93A" w14:textId="77777777" w:rsidR="005F2D09" w:rsidRPr="00460DF5" w:rsidRDefault="005F2D09" w:rsidP="00460DF5">
      <w:pPr>
        <w:numPr>
          <w:ilvl w:val="0"/>
          <w:numId w:val="3"/>
        </w:numPr>
        <w:tabs>
          <w:tab w:val="left" w:pos="284"/>
        </w:tabs>
        <w:spacing w:line="360" w:lineRule="auto"/>
        <w:contextualSpacing/>
        <w:jc w:val="both"/>
        <w:rPr>
          <w:rFonts w:ascii="Palatino Linotype" w:hAnsi="Palatino Linotype" w:cs="Tahoma"/>
          <w:b/>
          <w:bCs/>
          <w:sz w:val="22"/>
          <w:szCs w:val="22"/>
        </w:rPr>
      </w:pPr>
      <w:r w:rsidRPr="00460DF5">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460DF5" w:rsidRDefault="005F2D09" w:rsidP="00460DF5">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460DF5" w:rsidRDefault="005F2D09" w:rsidP="00460DF5">
      <w:pPr>
        <w:numPr>
          <w:ilvl w:val="0"/>
          <w:numId w:val="3"/>
        </w:numPr>
        <w:tabs>
          <w:tab w:val="left" w:pos="284"/>
        </w:tabs>
        <w:spacing w:line="360" w:lineRule="auto"/>
        <w:contextualSpacing/>
        <w:jc w:val="both"/>
        <w:rPr>
          <w:rFonts w:ascii="Palatino Linotype" w:hAnsi="Palatino Linotype" w:cs="Tahoma"/>
          <w:b/>
          <w:iCs/>
          <w:sz w:val="22"/>
          <w:szCs w:val="22"/>
        </w:rPr>
      </w:pPr>
      <w:r w:rsidRPr="00460DF5">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460DF5">
        <w:rPr>
          <w:rFonts w:ascii="Palatino Linotype" w:hAnsi="Palatino Linotype" w:cs="Tahoma"/>
          <w:b/>
          <w:iCs/>
          <w:sz w:val="22"/>
          <w:szCs w:val="22"/>
        </w:rPr>
        <w:t xml:space="preserve"> </w:t>
      </w:r>
    </w:p>
    <w:p w14:paraId="0047A050" w14:textId="77777777" w:rsidR="00E21716" w:rsidRPr="00460DF5" w:rsidRDefault="00E21716" w:rsidP="00460DF5">
      <w:pPr>
        <w:spacing w:line="360" w:lineRule="auto"/>
        <w:contextualSpacing/>
        <w:jc w:val="both"/>
        <w:rPr>
          <w:rFonts w:ascii="Palatino Linotype" w:hAnsi="Palatino Linotype" w:cs="Tahoma"/>
          <w:b/>
          <w:sz w:val="22"/>
          <w:szCs w:val="22"/>
          <w:u w:val="single"/>
          <w:lang w:val="es-ES"/>
        </w:rPr>
      </w:pPr>
    </w:p>
    <w:p w14:paraId="403A58BD" w14:textId="77777777" w:rsidR="00E21716" w:rsidRPr="00460DF5" w:rsidRDefault="00E21716" w:rsidP="00460DF5">
      <w:pPr>
        <w:spacing w:line="360" w:lineRule="auto"/>
        <w:contextualSpacing/>
        <w:jc w:val="both"/>
        <w:rPr>
          <w:rFonts w:ascii="Palatino Linotype" w:hAnsi="Palatino Linotype" w:cs="Tahoma"/>
          <w:b/>
          <w:iCs/>
          <w:color w:val="000000" w:themeColor="text1"/>
          <w:sz w:val="22"/>
          <w:szCs w:val="22"/>
          <w:u w:val="single"/>
          <w:lang w:val="es-ES" w:eastAsia="es-ES_tradnl"/>
        </w:rPr>
      </w:pPr>
      <w:r w:rsidRPr="00460DF5">
        <w:rPr>
          <w:rFonts w:ascii="Palatino Linotype" w:hAnsi="Palatino Linotype" w:cs="Tahoma"/>
          <w:b/>
          <w:iCs/>
          <w:color w:val="000000" w:themeColor="text1"/>
          <w:sz w:val="22"/>
          <w:szCs w:val="22"/>
          <w:u w:val="single"/>
          <w:lang w:val="es-ES" w:eastAsia="es-ES_tradnl"/>
        </w:rPr>
        <w:t>De los motivos de agravio.</w:t>
      </w:r>
    </w:p>
    <w:p w14:paraId="196B24E0" w14:textId="77777777" w:rsidR="00E21716" w:rsidRPr="00460DF5" w:rsidRDefault="00E21716" w:rsidP="00460DF5">
      <w:pPr>
        <w:spacing w:line="360" w:lineRule="auto"/>
        <w:contextualSpacing/>
        <w:jc w:val="both"/>
        <w:rPr>
          <w:rFonts w:ascii="Palatino Linotype" w:hAnsi="Palatino Linotype" w:cs="Tahoma"/>
          <w:sz w:val="22"/>
          <w:szCs w:val="22"/>
        </w:rPr>
      </w:pPr>
    </w:p>
    <w:p w14:paraId="4FB66917" w14:textId="6D579E40" w:rsidR="00E21716" w:rsidRDefault="00E21716" w:rsidP="00460DF5">
      <w:pPr>
        <w:spacing w:line="360" w:lineRule="auto"/>
        <w:contextualSpacing/>
        <w:jc w:val="both"/>
        <w:rPr>
          <w:rFonts w:ascii="Palatino Linotype" w:hAnsi="Palatino Linotype" w:cs="Tahoma"/>
          <w:iCs/>
          <w:color w:val="000000" w:themeColor="text1"/>
          <w:sz w:val="22"/>
          <w:szCs w:val="22"/>
          <w:lang w:val="es-ES" w:eastAsia="es-ES_tradnl"/>
        </w:rPr>
      </w:pPr>
      <w:r w:rsidRPr="00460DF5">
        <w:rPr>
          <w:rFonts w:ascii="Palatino Linotype" w:hAnsi="Palatino Linotype" w:cs="Tahoma"/>
          <w:iCs/>
          <w:color w:val="000000" w:themeColor="text1"/>
          <w:sz w:val="22"/>
          <w:szCs w:val="22"/>
          <w:lang w:val="es-ES" w:eastAsia="es-ES_tradnl"/>
        </w:rPr>
        <w:t>Una vez expuesto lo anterior, es preciso señalar que el Particular al momento de solicitar la información; requirió la entrega de lo siguiente:</w:t>
      </w:r>
    </w:p>
    <w:p w14:paraId="141BD88E" w14:textId="77777777" w:rsidR="00AE30FF" w:rsidRPr="00460DF5" w:rsidRDefault="00AE30FF" w:rsidP="00460DF5">
      <w:pPr>
        <w:spacing w:line="360" w:lineRule="auto"/>
        <w:contextualSpacing/>
        <w:jc w:val="both"/>
        <w:rPr>
          <w:rFonts w:ascii="Palatino Linotype" w:hAnsi="Palatino Linotype" w:cs="Tahoma"/>
          <w:iCs/>
          <w:color w:val="000000" w:themeColor="text1"/>
          <w:sz w:val="22"/>
          <w:szCs w:val="22"/>
          <w:lang w:val="es-ES" w:eastAsia="es-ES_tradnl"/>
        </w:rPr>
      </w:pPr>
    </w:p>
    <w:p w14:paraId="29094A43" w14:textId="77777777" w:rsidR="00DF274E" w:rsidRDefault="00DF274E" w:rsidP="00DF274E">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De la subdivisión de un predio, que tuvo lugar a través de un convenio que celebraron el Ayuntamiento de Chimalhuacán y Particulares; y en el cual, en la cláusula tercera, se </w:t>
      </w:r>
      <w:r w:rsidRPr="007F513B">
        <w:rPr>
          <w:rFonts w:ascii="Palatino Linotype" w:hAnsi="Palatino Linotype" w:cs="Tahoma"/>
          <w:sz w:val="22"/>
          <w:szCs w:val="22"/>
          <w:lang w:val="es-ES"/>
        </w:rPr>
        <w:t>estableció que se daría vista al Gobierno del Estado de México, lo siguiente:</w:t>
      </w:r>
    </w:p>
    <w:p w14:paraId="6472A309" w14:textId="77777777" w:rsidR="00DF274E" w:rsidRPr="007F513B" w:rsidRDefault="00DF274E" w:rsidP="00DF274E">
      <w:pPr>
        <w:spacing w:line="360" w:lineRule="auto"/>
        <w:contextualSpacing/>
        <w:jc w:val="both"/>
        <w:rPr>
          <w:rFonts w:ascii="Palatino Linotype" w:hAnsi="Palatino Linotype" w:cs="Tahoma"/>
          <w:sz w:val="22"/>
          <w:szCs w:val="22"/>
          <w:lang w:val="es-ES"/>
        </w:rPr>
      </w:pPr>
    </w:p>
    <w:p w14:paraId="1CE5810A" w14:textId="77777777" w:rsidR="00DF274E" w:rsidRPr="007F513B" w:rsidRDefault="00DF274E" w:rsidP="00DF274E">
      <w:pPr>
        <w:numPr>
          <w:ilvl w:val="0"/>
          <w:numId w:val="31"/>
        </w:numPr>
        <w:spacing w:line="360" w:lineRule="auto"/>
        <w:contextualSpacing/>
        <w:jc w:val="both"/>
        <w:rPr>
          <w:rFonts w:ascii="Palatino Linotype" w:hAnsi="Palatino Linotype" w:cs="Tahoma"/>
          <w:sz w:val="22"/>
          <w:szCs w:val="22"/>
          <w:lang w:val="es-ES"/>
        </w:rPr>
      </w:pPr>
      <w:r w:rsidRPr="007F513B">
        <w:rPr>
          <w:rFonts w:ascii="Palatino Linotype" w:hAnsi="Palatino Linotype" w:cs="Tahoma"/>
          <w:bCs/>
          <w:sz w:val="22"/>
          <w:szCs w:val="22"/>
        </w:rPr>
        <w:t>El nombre del área receptora de dicho convenio, así como la versión pública del acuse de recibido ya sea físicamente o digitalmente.</w:t>
      </w:r>
    </w:p>
    <w:p w14:paraId="2B941E46" w14:textId="77777777" w:rsidR="00DF274E" w:rsidRDefault="00DF274E" w:rsidP="00DF274E">
      <w:pPr>
        <w:numPr>
          <w:ilvl w:val="0"/>
          <w:numId w:val="31"/>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L</w:t>
      </w:r>
      <w:r w:rsidRPr="007F513B">
        <w:rPr>
          <w:rFonts w:ascii="Palatino Linotype" w:hAnsi="Palatino Linotype" w:cs="Tahoma"/>
          <w:sz w:val="22"/>
          <w:szCs w:val="22"/>
          <w:lang w:val="es-ES"/>
        </w:rPr>
        <w:t>a versión pública de toda la documentación que acredite y/o autorice la subdivisión del predio identificado en la solicitud.</w:t>
      </w:r>
    </w:p>
    <w:p w14:paraId="6C5A1B66" w14:textId="77777777" w:rsidR="00DF274E" w:rsidRDefault="00DF274E" w:rsidP="00DF274E">
      <w:pPr>
        <w:numPr>
          <w:ilvl w:val="0"/>
          <w:numId w:val="31"/>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caso de no contar con la información la declaración de inexistencia.</w:t>
      </w:r>
    </w:p>
    <w:p w14:paraId="2799E6D5" w14:textId="77777777" w:rsidR="00E21716" w:rsidRPr="00460DF5" w:rsidRDefault="00E21716" w:rsidP="00460DF5">
      <w:pPr>
        <w:spacing w:line="360" w:lineRule="auto"/>
        <w:contextualSpacing/>
        <w:jc w:val="both"/>
        <w:rPr>
          <w:rFonts w:ascii="Palatino Linotype" w:hAnsi="Palatino Linotype" w:cs="Tahoma"/>
          <w:iCs/>
          <w:color w:val="000000" w:themeColor="text1"/>
          <w:sz w:val="22"/>
          <w:szCs w:val="22"/>
          <w:lang w:val="es-ES" w:eastAsia="es-ES_tradnl"/>
        </w:rPr>
      </w:pPr>
    </w:p>
    <w:p w14:paraId="2FC6831E" w14:textId="05AFED9B" w:rsidR="00E21716" w:rsidRPr="00AE30FF" w:rsidRDefault="00AE30FF" w:rsidP="00460DF5">
      <w:pPr>
        <w:spacing w:line="360" w:lineRule="auto"/>
        <w:contextualSpacing/>
        <w:jc w:val="both"/>
        <w:rPr>
          <w:rFonts w:ascii="Palatino Linotype" w:hAnsi="Palatino Linotype" w:cs="Tahoma"/>
          <w:bCs/>
          <w:sz w:val="22"/>
          <w:szCs w:val="22"/>
        </w:rPr>
      </w:pPr>
      <w:r>
        <w:rPr>
          <w:rFonts w:ascii="Palatino Linotype" w:hAnsi="Palatino Linotype" w:cs="Tahoma"/>
          <w:iCs/>
          <w:color w:val="000000" w:themeColor="text1"/>
          <w:sz w:val="22"/>
          <w:szCs w:val="22"/>
          <w:lang w:val="es-ES" w:eastAsia="es-ES_tradnl"/>
        </w:rPr>
        <w:lastRenderedPageBreak/>
        <w:t>En respuesta el Sujeto Obligado</w:t>
      </w:r>
      <w:r w:rsidR="00DF274E">
        <w:rPr>
          <w:rFonts w:ascii="Palatino Linotype" w:hAnsi="Palatino Linotype" w:cs="Tahoma"/>
          <w:iCs/>
          <w:color w:val="000000" w:themeColor="text1"/>
          <w:sz w:val="22"/>
          <w:szCs w:val="22"/>
          <w:lang w:val="es-ES" w:eastAsia="es-ES_tradnl"/>
        </w:rPr>
        <w:t xml:space="preserve"> señaló que no cuenta con la información porque no obra en sus archivos, por lo que el Particular planteó su inconformidad únicamente por la falta de entrega de la declaración de inexistencia</w:t>
      </w:r>
      <w:r w:rsidR="00E21716" w:rsidRPr="00460DF5">
        <w:rPr>
          <w:rFonts w:ascii="Palatino Linotype" w:hAnsi="Palatino Linotype" w:cs="Tahoma"/>
          <w:bCs/>
          <w:iCs/>
          <w:color w:val="000000"/>
          <w:sz w:val="22"/>
          <w:szCs w:val="22"/>
        </w:rPr>
        <w:t xml:space="preserve">; a fin de robustecer lo </w:t>
      </w:r>
      <w:r w:rsidR="00193DBB">
        <w:rPr>
          <w:rFonts w:ascii="Palatino Linotype" w:hAnsi="Palatino Linotype" w:cs="Tahoma"/>
          <w:bCs/>
          <w:iCs/>
          <w:color w:val="000000"/>
          <w:sz w:val="22"/>
          <w:szCs w:val="22"/>
        </w:rPr>
        <w:t>expuesto</w:t>
      </w:r>
      <w:r w:rsidR="00E21716" w:rsidRPr="00460DF5">
        <w:rPr>
          <w:rFonts w:ascii="Palatino Linotype" w:hAnsi="Palatino Linotype" w:cs="Tahoma"/>
          <w:bCs/>
          <w:iCs/>
          <w:color w:val="000000"/>
          <w:sz w:val="22"/>
          <w:szCs w:val="22"/>
        </w:rPr>
        <w:t>, se inserta impresión de pantalla de los motivos de inconformidad, tal y como consta en el acuse del Sistema de Acceso a la Información Mexiquense (SAIMEX):</w:t>
      </w:r>
    </w:p>
    <w:p w14:paraId="6DA0D00A" w14:textId="2A964273" w:rsidR="00E21716" w:rsidRPr="00460DF5" w:rsidRDefault="00DF274E" w:rsidP="00DF274E">
      <w:pPr>
        <w:spacing w:line="360" w:lineRule="auto"/>
        <w:contextualSpacing/>
        <w:rPr>
          <w:rFonts w:ascii="Palatino Linotype" w:hAnsi="Palatino Linotype" w:cs="Tahoma"/>
          <w:bCs/>
          <w:iCs/>
          <w:color w:val="000000"/>
          <w:sz w:val="22"/>
          <w:szCs w:val="22"/>
        </w:rPr>
      </w:pPr>
      <w:r>
        <w:rPr>
          <w:noProof/>
          <w:lang w:eastAsia="es-MX"/>
        </w:rPr>
        <w:drawing>
          <wp:inline distT="0" distB="0" distL="0" distR="0" wp14:anchorId="617FFC0F" wp14:editId="46F3065D">
            <wp:extent cx="5742940" cy="2677160"/>
            <wp:effectExtent l="19050" t="19050" r="1016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677160"/>
                    </a:xfrm>
                    <a:prstGeom prst="rect">
                      <a:avLst/>
                    </a:prstGeom>
                    <a:ln>
                      <a:solidFill>
                        <a:schemeClr val="accent1"/>
                      </a:solidFill>
                    </a:ln>
                  </pic:spPr>
                </pic:pic>
              </a:graphicData>
            </a:graphic>
          </wp:inline>
        </w:drawing>
      </w:r>
    </w:p>
    <w:p w14:paraId="2F4971AD" w14:textId="77777777" w:rsidR="00AE30FF" w:rsidRDefault="00AE30FF" w:rsidP="00460DF5">
      <w:pPr>
        <w:spacing w:line="360" w:lineRule="auto"/>
        <w:contextualSpacing/>
        <w:jc w:val="both"/>
        <w:rPr>
          <w:rFonts w:ascii="Palatino Linotype" w:hAnsi="Palatino Linotype" w:cs="Tahoma"/>
          <w:bCs/>
          <w:iCs/>
          <w:color w:val="000000"/>
          <w:sz w:val="22"/>
          <w:szCs w:val="22"/>
        </w:rPr>
      </w:pPr>
    </w:p>
    <w:p w14:paraId="20A11372" w14:textId="1529CA6D" w:rsidR="00E21716" w:rsidRPr="00460DF5" w:rsidRDefault="00E21716" w:rsidP="00460DF5">
      <w:pPr>
        <w:spacing w:line="360" w:lineRule="auto"/>
        <w:contextualSpacing/>
        <w:jc w:val="both"/>
        <w:rPr>
          <w:rFonts w:ascii="Palatino Linotype" w:hAnsi="Palatino Linotype" w:cs="Tahoma"/>
          <w:iCs/>
          <w:color w:val="000000" w:themeColor="text1"/>
          <w:sz w:val="22"/>
          <w:szCs w:val="22"/>
          <w:lang w:eastAsia="es-ES_tradnl"/>
        </w:rPr>
      </w:pPr>
      <w:r w:rsidRPr="00460DF5">
        <w:rPr>
          <w:rFonts w:ascii="Palatino Linotype" w:hAnsi="Palatino Linotype" w:cs="Tahoma"/>
          <w:bCs/>
          <w:iCs/>
          <w:color w:val="000000"/>
          <w:sz w:val="22"/>
          <w:szCs w:val="22"/>
        </w:rPr>
        <w:t>Así pues, tal y como obra en el Sistema de Acceso a la Información Mexiquense (SAIMEX), el Particul</w:t>
      </w:r>
      <w:r w:rsidR="00AE30FF">
        <w:rPr>
          <w:rFonts w:ascii="Palatino Linotype" w:hAnsi="Palatino Linotype" w:cs="Tahoma"/>
          <w:bCs/>
          <w:iCs/>
          <w:color w:val="000000"/>
          <w:sz w:val="22"/>
          <w:szCs w:val="22"/>
        </w:rPr>
        <w:t>ar únicamente se inconformó porque no le entregaron</w:t>
      </w:r>
      <w:r w:rsidR="00DF274E">
        <w:rPr>
          <w:rFonts w:ascii="Palatino Linotype" w:hAnsi="Palatino Linotype" w:cs="Tahoma"/>
          <w:bCs/>
          <w:iCs/>
          <w:color w:val="000000"/>
          <w:sz w:val="22"/>
          <w:szCs w:val="22"/>
        </w:rPr>
        <w:t xml:space="preserve"> el acuerdo en el que se declare la inexistencia de la información</w:t>
      </w:r>
      <w:r w:rsidRPr="00460DF5">
        <w:rPr>
          <w:rFonts w:ascii="Palatino Linotype" w:hAnsi="Palatino Linotype" w:cs="Tahoma"/>
          <w:bCs/>
          <w:iCs/>
          <w:color w:val="000000"/>
          <w:sz w:val="22"/>
          <w:szCs w:val="22"/>
        </w:rPr>
        <w:t>; así pues, se dio por satisfecho d</w:t>
      </w:r>
      <w:r w:rsidRPr="00460DF5">
        <w:rPr>
          <w:rFonts w:ascii="Palatino Linotype" w:eastAsia="Calibri" w:hAnsi="Palatino Linotype" w:cs="Tahoma"/>
          <w:bCs/>
          <w:iCs/>
          <w:color w:val="000000"/>
          <w:sz w:val="22"/>
          <w:szCs w:val="22"/>
        </w:rPr>
        <w:t>el resto de la información solicitada</w:t>
      </w:r>
      <w:r w:rsidR="00AE30FF">
        <w:rPr>
          <w:rFonts w:ascii="Palatino Linotype" w:eastAsia="Calibri" w:hAnsi="Palatino Linotype" w:cs="Tahoma"/>
          <w:bCs/>
          <w:iCs/>
          <w:color w:val="000000"/>
          <w:sz w:val="22"/>
          <w:szCs w:val="22"/>
        </w:rPr>
        <w:t>.</w:t>
      </w:r>
    </w:p>
    <w:p w14:paraId="1757CDB1" w14:textId="77777777" w:rsidR="00E21716" w:rsidRPr="00460DF5" w:rsidRDefault="00E21716" w:rsidP="00460DF5">
      <w:pPr>
        <w:spacing w:line="360" w:lineRule="auto"/>
        <w:contextualSpacing/>
        <w:jc w:val="both"/>
        <w:rPr>
          <w:rFonts w:ascii="Palatino Linotype" w:hAnsi="Palatino Linotype" w:cs="Tahoma"/>
          <w:iCs/>
          <w:color w:val="000000" w:themeColor="text1"/>
          <w:sz w:val="22"/>
          <w:szCs w:val="22"/>
          <w:lang w:eastAsia="es-ES_tradnl"/>
        </w:rPr>
      </w:pPr>
    </w:p>
    <w:p w14:paraId="374EEC65" w14:textId="562FB2E9" w:rsidR="00E21716" w:rsidRPr="00460DF5" w:rsidRDefault="00E21716" w:rsidP="00460DF5">
      <w:pPr>
        <w:spacing w:line="360" w:lineRule="auto"/>
        <w:contextualSpacing/>
        <w:jc w:val="both"/>
        <w:rPr>
          <w:rFonts w:ascii="Palatino Linotype" w:hAnsi="Palatino Linotype" w:cs="Tahoma"/>
          <w:bCs/>
          <w:iCs/>
          <w:color w:val="000000"/>
          <w:sz w:val="22"/>
          <w:szCs w:val="22"/>
        </w:rPr>
      </w:pPr>
      <w:r w:rsidRPr="00460DF5">
        <w:rPr>
          <w:rFonts w:ascii="Palatino Linotype" w:eastAsiaTheme="minorHAnsi" w:hAnsi="Palatino Linotype" w:cs="Tahoma"/>
          <w:color w:val="000000" w:themeColor="text1"/>
          <w:sz w:val="22"/>
          <w:szCs w:val="22"/>
          <w:lang w:eastAsia="en-US"/>
        </w:rPr>
        <w:t xml:space="preserve">En atención a lo anterior, no abundará en </w:t>
      </w:r>
      <w:r w:rsidR="009337ED" w:rsidRPr="00460DF5">
        <w:rPr>
          <w:rFonts w:ascii="Palatino Linotype" w:eastAsiaTheme="minorHAnsi" w:hAnsi="Palatino Linotype" w:cs="Tahoma"/>
          <w:color w:val="000000" w:themeColor="text1"/>
          <w:sz w:val="22"/>
          <w:szCs w:val="22"/>
          <w:lang w:eastAsia="en-US"/>
        </w:rPr>
        <w:t>el</w:t>
      </w:r>
      <w:r w:rsidRPr="00460DF5">
        <w:rPr>
          <w:rFonts w:ascii="Palatino Linotype" w:eastAsiaTheme="minorHAnsi" w:hAnsi="Palatino Linotype" w:cs="Tahoma"/>
          <w:color w:val="000000" w:themeColor="text1"/>
          <w:sz w:val="22"/>
          <w:szCs w:val="22"/>
          <w:lang w:eastAsia="en-US"/>
        </w:rPr>
        <w:t xml:space="preserve"> estudio</w:t>
      </w:r>
      <w:r w:rsidR="009337ED" w:rsidRPr="00460DF5">
        <w:rPr>
          <w:rFonts w:ascii="Palatino Linotype" w:eastAsiaTheme="minorHAnsi" w:hAnsi="Palatino Linotype" w:cs="Tahoma"/>
          <w:color w:val="000000" w:themeColor="text1"/>
          <w:sz w:val="22"/>
          <w:szCs w:val="22"/>
          <w:lang w:eastAsia="en-US"/>
        </w:rPr>
        <w:t xml:space="preserve"> de lo entregado y su vinculación con lo solicitado, pues el Particular se tuvo por satisfecho</w:t>
      </w:r>
      <w:r w:rsidRPr="00460DF5">
        <w:rPr>
          <w:rFonts w:ascii="Palatino Linotype" w:eastAsiaTheme="minorHAnsi" w:hAnsi="Palatino Linotype" w:cs="Tahoma"/>
          <w:color w:val="000000" w:themeColor="text1"/>
          <w:sz w:val="22"/>
          <w:szCs w:val="22"/>
          <w:lang w:eastAsia="en-US"/>
        </w:rPr>
        <w:t xml:space="preserve">;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w:t>
      </w:r>
      <w:r w:rsidRPr="00460DF5">
        <w:rPr>
          <w:rFonts w:ascii="Palatino Linotype" w:eastAsiaTheme="minorHAnsi" w:hAnsi="Palatino Linotype" w:cs="Tahoma"/>
          <w:color w:val="000000" w:themeColor="text1"/>
          <w:sz w:val="22"/>
          <w:szCs w:val="22"/>
          <w:lang w:eastAsia="en-US"/>
        </w:rPr>
        <w:lastRenderedPageBreak/>
        <w:t>el recurso contra los actos que se hayan consentido tácitamente, entendiéndose por éstos cuando el recurso no se haya promovido en el plazo señalado para el efecto.</w:t>
      </w:r>
    </w:p>
    <w:p w14:paraId="69CF9FCD" w14:textId="77777777" w:rsidR="00E21716" w:rsidRPr="00460DF5" w:rsidRDefault="00E21716" w:rsidP="00460DF5">
      <w:pPr>
        <w:spacing w:line="360" w:lineRule="auto"/>
        <w:contextualSpacing/>
        <w:jc w:val="both"/>
        <w:rPr>
          <w:rFonts w:ascii="Palatino Linotype" w:eastAsiaTheme="minorHAnsi" w:hAnsi="Palatino Linotype" w:cs="Tahoma"/>
          <w:color w:val="000000" w:themeColor="text1"/>
          <w:sz w:val="22"/>
          <w:szCs w:val="22"/>
          <w:lang w:eastAsia="en-US"/>
        </w:rPr>
      </w:pPr>
    </w:p>
    <w:p w14:paraId="5D3275C1" w14:textId="77777777" w:rsidR="00E21716" w:rsidRPr="00460DF5" w:rsidRDefault="00E21716" w:rsidP="00460DF5">
      <w:pPr>
        <w:spacing w:line="360" w:lineRule="auto"/>
        <w:contextualSpacing/>
        <w:jc w:val="both"/>
        <w:rPr>
          <w:rFonts w:ascii="Palatino Linotype" w:eastAsiaTheme="minorHAnsi" w:hAnsi="Palatino Linotype" w:cs="Tahoma"/>
          <w:color w:val="000000" w:themeColor="text1"/>
          <w:sz w:val="22"/>
          <w:szCs w:val="22"/>
          <w:lang w:eastAsia="en-US"/>
        </w:rPr>
      </w:pPr>
      <w:r w:rsidRPr="00460DF5">
        <w:rPr>
          <w:rFonts w:ascii="Palatino Linotype" w:eastAsiaTheme="minorHAnsi" w:hAnsi="Palatino Linotype" w:cs="Tahoma"/>
          <w:color w:val="000000" w:themeColor="text1"/>
          <w:sz w:val="22"/>
          <w:szCs w:val="22"/>
          <w:lang w:eastAsia="en-US"/>
        </w:rPr>
        <w:t xml:space="preserve">De la misma manera resulta aplicable el criterio sostenido por el Poder Judicial de la Federación de rubro </w:t>
      </w:r>
      <w:r w:rsidRPr="00460DF5">
        <w:rPr>
          <w:rFonts w:ascii="Palatino Linotype" w:eastAsiaTheme="minorHAnsi" w:hAnsi="Palatino Linotype" w:cs="Tahoma"/>
          <w:b/>
          <w:color w:val="000000" w:themeColor="text1"/>
          <w:sz w:val="22"/>
          <w:szCs w:val="22"/>
          <w:lang w:eastAsia="en-US"/>
        </w:rPr>
        <w:t>ACTOS CONSENTIDOS TÁCITAMENTE, Tesis VI.2o. J/21</w:t>
      </w:r>
      <w:r w:rsidRPr="00460DF5">
        <w:rPr>
          <w:rFonts w:ascii="Palatino Linotype" w:eastAsiaTheme="minorHAnsi" w:hAnsi="Palatino Linotype" w:cs="Tahoma"/>
          <w:color w:val="000000" w:themeColor="text1"/>
          <w:sz w:val="22"/>
          <w:szCs w:val="22"/>
          <w:lang w:eastAsia="en-US"/>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3DC57BC" w14:textId="77777777" w:rsidR="00E21716" w:rsidRPr="00460DF5" w:rsidRDefault="00E21716" w:rsidP="00460DF5">
      <w:pPr>
        <w:spacing w:line="360" w:lineRule="auto"/>
        <w:contextualSpacing/>
        <w:jc w:val="both"/>
        <w:rPr>
          <w:rFonts w:ascii="Palatino Linotype" w:eastAsiaTheme="minorHAnsi" w:hAnsi="Palatino Linotype" w:cs="Tahoma"/>
          <w:color w:val="000000" w:themeColor="text1"/>
          <w:sz w:val="22"/>
          <w:szCs w:val="22"/>
          <w:lang w:eastAsia="en-US"/>
        </w:rPr>
      </w:pPr>
    </w:p>
    <w:p w14:paraId="6138EBB6" w14:textId="1B2C040D" w:rsidR="00E21716" w:rsidRDefault="00E21716" w:rsidP="00460DF5">
      <w:pPr>
        <w:spacing w:line="360" w:lineRule="auto"/>
        <w:contextualSpacing/>
        <w:jc w:val="both"/>
        <w:rPr>
          <w:rFonts w:ascii="Palatino Linotype" w:hAnsi="Palatino Linotype"/>
          <w:sz w:val="22"/>
          <w:szCs w:val="22"/>
          <w:lang w:val="es-ES"/>
        </w:rPr>
      </w:pPr>
      <w:r w:rsidRPr="00460DF5">
        <w:rPr>
          <w:rFonts w:ascii="Palatino Linotype" w:eastAsiaTheme="minorHAnsi" w:hAnsi="Palatino Linotype" w:cs="Tahoma"/>
          <w:color w:val="000000" w:themeColor="text1"/>
          <w:sz w:val="22"/>
          <w:szCs w:val="22"/>
          <w:lang w:eastAsia="en-US"/>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de los puntos no controvertidos y se arriba a la conclusión de que estos quedaron firmes; ent</w:t>
      </w:r>
      <w:r w:rsidR="009337ED" w:rsidRPr="00460DF5">
        <w:rPr>
          <w:rFonts w:ascii="Palatino Linotype" w:eastAsiaTheme="minorHAnsi" w:hAnsi="Palatino Linotype" w:cs="Tahoma"/>
          <w:color w:val="000000" w:themeColor="text1"/>
          <w:sz w:val="22"/>
          <w:szCs w:val="22"/>
          <w:lang w:eastAsia="en-US"/>
        </w:rPr>
        <w:t>onces, se tiene por atendidos los requerimientos de información, salvo el caso de</w:t>
      </w:r>
      <w:r w:rsidR="00DF274E">
        <w:rPr>
          <w:rFonts w:ascii="Palatino Linotype" w:eastAsiaTheme="minorHAnsi" w:hAnsi="Palatino Linotype" w:cs="Tahoma"/>
          <w:color w:val="000000" w:themeColor="text1"/>
          <w:sz w:val="22"/>
          <w:szCs w:val="22"/>
          <w:lang w:eastAsia="en-US"/>
        </w:rPr>
        <w:t xml:space="preserve"> la declaratoria de inexistencia</w:t>
      </w:r>
      <w:r w:rsidR="009337ED" w:rsidRPr="00460DF5">
        <w:rPr>
          <w:rFonts w:ascii="Palatino Linotype" w:hAnsi="Palatino Linotype"/>
          <w:sz w:val="22"/>
          <w:szCs w:val="22"/>
          <w:lang w:val="es-ES"/>
        </w:rPr>
        <w:t>.</w:t>
      </w:r>
    </w:p>
    <w:p w14:paraId="70B57859" w14:textId="77777777" w:rsidR="00DF274E" w:rsidRDefault="00DF274E" w:rsidP="00460DF5">
      <w:pPr>
        <w:spacing w:line="360" w:lineRule="auto"/>
        <w:contextualSpacing/>
        <w:jc w:val="both"/>
        <w:rPr>
          <w:rFonts w:ascii="Palatino Linotype" w:hAnsi="Palatino Linotype"/>
          <w:sz w:val="22"/>
          <w:szCs w:val="22"/>
          <w:lang w:val="es-ES"/>
        </w:rPr>
      </w:pPr>
    </w:p>
    <w:p w14:paraId="0EA1F63D" w14:textId="64824684" w:rsidR="00DF274E" w:rsidRDefault="00DF274E" w:rsidP="00460DF5">
      <w:pPr>
        <w:spacing w:line="360" w:lineRule="auto"/>
        <w:contextualSpacing/>
        <w:jc w:val="both"/>
        <w:rPr>
          <w:rFonts w:ascii="Palatino Linotype" w:hAnsi="Palatino Linotype"/>
          <w:b/>
          <w:sz w:val="22"/>
          <w:szCs w:val="22"/>
          <w:u w:val="single"/>
          <w:lang w:val="es-ES"/>
        </w:rPr>
      </w:pPr>
      <w:r>
        <w:rPr>
          <w:rFonts w:ascii="Palatino Linotype" w:hAnsi="Palatino Linotype"/>
          <w:b/>
          <w:sz w:val="22"/>
          <w:szCs w:val="22"/>
          <w:u w:val="single"/>
          <w:lang w:val="es-ES"/>
        </w:rPr>
        <w:t>De la declaratoria de inexistencia.</w:t>
      </w:r>
    </w:p>
    <w:p w14:paraId="1473E889" w14:textId="77777777" w:rsidR="00C87A77" w:rsidRDefault="00C87A77" w:rsidP="00460DF5">
      <w:pPr>
        <w:spacing w:line="360" w:lineRule="auto"/>
        <w:contextualSpacing/>
        <w:jc w:val="both"/>
        <w:rPr>
          <w:rFonts w:ascii="Palatino Linotype" w:hAnsi="Palatino Linotype"/>
          <w:sz w:val="22"/>
          <w:szCs w:val="22"/>
          <w:lang w:val="es-ES"/>
        </w:rPr>
      </w:pPr>
    </w:p>
    <w:p w14:paraId="2D7B0BD9" w14:textId="72B27BCA" w:rsidR="00DF274E" w:rsidRDefault="00AC28E3" w:rsidP="00460DF5">
      <w:pPr>
        <w:spacing w:line="360" w:lineRule="auto"/>
        <w:contextualSpacing/>
        <w:jc w:val="both"/>
        <w:rPr>
          <w:rFonts w:ascii="Palatino Linotype" w:hAnsi="Palatino Linotype"/>
          <w:sz w:val="22"/>
          <w:szCs w:val="22"/>
          <w:lang w:val="es-ES"/>
        </w:rPr>
      </w:pPr>
      <w:r>
        <w:rPr>
          <w:rFonts w:ascii="Palatino Linotype" w:hAnsi="Palatino Linotype"/>
          <w:sz w:val="22"/>
          <w:szCs w:val="22"/>
          <w:lang w:val="es-ES"/>
        </w:rPr>
        <w:t>Es necesario atraer al estudio, que la información solicitada por el Particular, se relaciona con la subdivisión de predios, con la intención de fraccionamientos, ante lo cual, el Sujeto Obligado manifestó que no cuenta con la información solicitada por que se trata de un trámite y que por ende no la generó ni obra en sus archivos.</w:t>
      </w:r>
    </w:p>
    <w:p w14:paraId="1F80FDD8" w14:textId="77777777" w:rsidR="00AC28E3" w:rsidRDefault="00AC28E3" w:rsidP="00460DF5">
      <w:pPr>
        <w:spacing w:line="360" w:lineRule="auto"/>
        <w:contextualSpacing/>
        <w:jc w:val="both"/>
        <w:rPr>
          <w:rFonts w:ascii="Palatino Linotype" w:hAnsi="Palatino Linotype"/>
          <w:sz w:val="22"/>
          <w:szCs w:val="22"/>
          <w:lang w:val="es-ES"/>
        </w:rPr>
      </w:pPr>
    </w:p>
    <w:p w14:paraId="7B02D327" w14:textId="5E8F3A5B" w:rsidR="00AC28E3" w:rsidRDefault="00AC28E3" w:rsidP="00AC28E3">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Al respecto, vale la pena precisar que el Reglamento del Libro Quinto del </w:t>
      </w:r>
      <w:r>
        <w:rPr>
          <w:rFonts w:ascii="Palatino Linotype" w:eastAsia="Calibri" w:hAnsi="Palatino Linotype" w:cs="Tahoma"/>
          <w:bCs/>
          <w:sz w:val="22"/>
          <w:szCs w:val="22"/>
          <w:lang w:eastAsia="en-US"/>
        </w:rPr>
        <w:t>Código</w:t>
      </w:r>
      <w:r>
        <w:rPr>
          <w:rFonts w:ascii="Palatino Linotype" w:eastAsia="Calibri" w:hAnsi="Palatino Linotype" w:cs="Tahoma"/>
          <w:bCs/>
          <w:sz w:val="22"/>
          <w:szCs w:val="22"/>
          <w:lang w:val="es-ES_tradnl" w:eastAsia="en-US"/>
        </w:rPr>
        <w:t xml:space="preserve"> Administrativo del Estado de México; véase: </w:t>
      </w:r>
      <w:hyperlink r:id="rId10" w:history="1">
        <w:r w:rsidRPr="00E92F07">
          <w:rPr>
            <w:rStyle w:val="Hipervnculo"/>
            <w:rFonts w:ascii="Palatino Linotype" w:eastAsia="Calibri" w:hAnsi="Palatino Linotype" w:cs="Tahoma"/>
            <w:bCs/>
            <w:sz w:val="22"/>
            <w:szCs w:val="22"/>
            <w:lang w:val="es-ES_tradnl" w:eastAsia="en-US"/>
          </w:rPr>
          <w:t>http://legislacion.edomex.gob.mx/sites/legislacion.edomex.gob.mx/files/files/pdf/rgl/vig/rglv</w:t>
        </w:r>
        <w:r w:rsidRPr="00E92F07">
          <w:rPr>
            <w:rStyle w:val="Hipervnculo"/>
            <w:rFonts w:ascii="Palatino Linotype" w:eastAsia="Calibri" w:hAnsi="Palatino Linotype" w:cs="Tahoma"/>
            <w:bCs/>
            <w:sz w:val="22"/>
            <w:szCs w:val="22"/>
            <w:lang w:val="es-ES_tradnl" w:eastAsia="en-US"/>
          </w:rPr>
          <w:lastRenderedPageBreak/>
          <w:t>ig107.pdf</w:t>
        </w:r>
      </w:hyperlink>
      <w:r>
        <w:rPr>
          <w:rFonts w:ascii="Palatino Linotype" w:eastAsia="Calibri" w:hAnsi="Palatino Linotype" w:cs="Tahoma"/>
          <w:bCs/>
          <w:sz w:val="22"/>
          <w:szCs w:val="22"/>
          <w:lang w:val="es-ES_tradnl" w:eastAsia="en-US"/>
        </w:rPr>
        <w:t xml:space="preserve">, prevé en su Título Cuarto, lo relativo a los Conjuntos Urbanos y en sus artículos 2 fracción XX, 49, 52, 53 primer párrafo y 54 primer párrafo, que a la letra señalan: </w:t>
      </w:r>
    </w:p>
    <w:p w14:paraId="366B860A" w14:textId="77777777" w:rsidR="00AC28E3" w:rsidRDefault="00AC28E3" w:rsidP="00AC28E3">
      <w:pPr>
        <w:spacing w:line="360" w:lineRule="auto"/>
        <w:contextualSpacing/>
        <w:jc w:val="both"/>
        <w:rPr>
          <w:rFonts w:ascii="Palatino Linotype" w:eastAsia="Calibri" w:hAnsi="Palatino Linotype" w:cs="Tahoma"/>
          <w:bCs/>
          <w:sz w:val="22"/>
          <w:szCs w:val="22"/>
          <w:lang w:val="es-ES_tradnl" w:eastAsia="en-US"/>
        </w:rPr>
      </w:pPr>
    </w:p>
    <w:p w14:paraId="560205AC" w14:textId="77777777" w:rsidR="00AC28E3" w:rsidRPr="005F4A21" w:rsidRDefault="00AC28E3" w:rsidP="00AC28E3">
      <w:pPr>
        <w:spacing w:line="360" w:lineRule="auto"/>
        <w:ind w:left="567" w:right="539"/>
        <w:contextualSpacing/>
        <w:jc w:val="both"/>
        <w:rPr>
          <w:rFonts w:ascii="Palatino Linotype" w:hAnsi="Palatino Linotype"/>
          <w:b/>
          <w:i/>
        </w:rPr>
      </w:pPr>
      <w:r w:rsidRPr="005F4A21">
        <w:rPr>
          <w:rFonts w:ascii="Palatino Linotype" w:hAnsi="Palatino Linotype"/>
          <w:b/>
          <w:i/>
        </w:rPr>
        <w:t xml:space="preserve">DE LAS REFERENCIAS </w:t>
      </w:r>
    </w:p>
    <w:p w14:paraId="26A081BC" w14:textId="77777777" w:rsidR="00AC28E3" w:rsidRPr="005F4A21" w:rsidRDefault="00AC28E3" w:rsidP="00AC28E3">
      <w:pPr>
        <w:spacing w:line="360" w:lineRule="auto"/>
        <w:ind w:left="567" w:right="539"/>
        <w:contextualSpacing/>
        <w:jc w:val="both"/>
        <w:rPr>
          <w:rFonts w:ascii="Palatino Linotype" w:eastAsia="Calibri" w:hAnsi="Palatino Linotype" w:cs="Tahoma"/>
          <w:bCs/>
          <w:i/>
          <w:sz w:val="22"/>
          <w:szCs w:val="22"/>
          <w:lang w:val="es-ES_tradnl" w:eastAsia="en-US"/>
        </w:rPr>
      </w:pPr>
      <w:r w:rsidRPr="005F4A21">
        <w:rPr>
          <w:rFonts w:ascii="Palatino Linotype" w:hAnsi="Palatino Linotype"/>
          <w:b/>
          <w:i/>
        </w:rPr>
        <w:t xml:space="preserve">Artículo 2. </w:t>
      </w:r>
      <w:r w:rsidRPr="005F4A21">
        <w:rPr>
          <w:rFonts w:ascii="Palatino Linotype" w:hAnsi="Palatino Linotype"/>
          <w:i/>
        </w:rPr>
        <w:t>Además de las definiciones contenidas en el Libro Quinto del Código Administrativo del Estado de México, para los efectos de este Reglamento se entenderá por:</w:t>
      </w:r>
    </w:p>
    <w:p w14:paraId="769DD280" w14:textId="77777777" w:rsidR="00AC28E3" w:rsidRPr="005F4A21" w:rsidRDefault="00AC28E3" w:rsidP="00AC28E3">
      <w:pPr>
        <w:spacing w:line="360" w:lineRule="auto"/>
        <w:ind w:left="567" w:right="539"/>
        <w:contextualSpacing/>
        <w:jc w:val="both"/>
        <w:rPr>
          <w:rFonts w:ascii="Palatino Linotype" w:hAnsi="Palatino Linotype"/>
          <w:i/>
        </w:rPr>
      </w:pPr>
      <w:r w:rsidRPr="005F4A21">
        <w:rPr>
          <w:rFonts w:ascii="Palatino Linotype" w:hAnsi="Palatino Linotype"/>
          <w:i/>
        </w:rPr>
        <w:t>I al XIX…</w:t>
      </w:r>
    </w:p>
    <w:p w14:paraId="1FA16419" w14:textId="77777777" w:rsidR="00AC28E3" w:rsidRPr="005F4A21" w:rsidRDefault="00AC28E3" w:rsidP="00AC28E3">
      <w:pPr>
        <w:spacing w:line="360" w:lineRule="auto"/>
        <w:ind w:left="567" w:right="539"/>
        <w:contextualSpacing/>
        <w:jc w:val="both"/>
        <w:rPr>
          <w:rFonts w:ascii="Palatino Linotype" w:hAnsi="Palatino Linotype"/>
          <w:b/>
          <w:i/>
        </w:rPr>
      </w:pPr>
      <w:r w:rsidRPr="005F4A21">
        <w:rPr>
          <w:rFonts w:ascii="Palatino Linotype" w:hAnsi="Palatino Linotype"/>
          <w:b/>
          <w:i/>
        </w:rPr>
        <w:t>XX. Secretaría: A la Secretaría de Desarrollo Urbano y Obra;</w:t>
      </w:r>
    </w:p>
    <w:p w14:paraId="0D89E6A1" w14:textId="77777777" w:rsidR="00AC28E3" w:rsidRDefault="00AC28E3" w:rsidP="00AC28E3">
      <w:pPr>
        <w:spacing w:line="360" w:lineRule="auto"/>
        <w:ind w:left="567" w:right="539"/>
        <w:contextualSpacing/>
        <w:jc w:val="both"/>
        <w:rPr>
          <w:rFonts w:ascii="Palatino Linotype" w:hAnsi="Palatino Linotype"/>
          <w:i/>
        </w:rPr>
      </w:pPr>
      <w:r w:rsidRPr="005F4A21">
        <w:rPr>
          <w:rFonts w:ascii="Palatino Linotype" w:hAnsi="Palatino Linotype"/>
          <w:i/>
        </w:rPr>
        <w:t>XXI al XXIV…</w:t>
      </w:r>
    </w:p>
    <w:p w14:paraId="7E617644" w14:textId="77777777" w:rsidR="00AC28E3" w:rsidRPr="005F4A21" w:rsidRDefault="00AC28E3" w:rsidP="00AC28E3">
      <w:pPr>
        <w:spacing w:line="360" w:lineRule="auto"/>
        <w:ind w:left="567" w:right="539"/>
        <w:contextualSpacing/>
        <w:jc w:val="both"/>
        <w:rPr>
          <w:rFonts w:ascii="Palatino Linotype" w:hAnsi="Palatino Linotype"/>
          <w:b/>
          <w:i/>
        </w:rPr>
      </w:pPr>
    </w:p>
    <w:p w14:paraId="7C030F5A" w14:textId="77777777" w:rsidR="00AC28E3" w:rsidRPr="005F4A21" w:rsidRDefault="00AC28E3" w:rsidP="00AC28E3">
      <w:pPr>
        <w:spacing w:line="360" w:lineRule="auto"/>
        <w:ind w:left="567" w:right="539"/>
        <w:contextualSpacing/>
        <w:jc w:val="both"/>
        <w:rPr>
          <w:rFonts w:ascii="Palatino Linotype" w:hAnsi="Palatino Linotype"/>
          <w:b/>
          <w:i/>
        </w:rPr>
      </w:pPr>
      <w:r w:rsidRPr="005F4A21">
        <w:rPr>
          <w:rFonts w:ascii="Palatino Linotype" w:hAnsi="Palatino Linotype"/>
          <w:b/>
          <w:i/>
        </w:rPr>
        <w:t xml:space="preserve">DEL TITULAR DEL CONJUNTO URBANO </w:t>
      </w:r>
    </w:p>
    <w:p w14:paraId="1C70EB41" w14:textId="77777777" w:rsidR="00AC28E3" w:rsidRPr="005F4A21" w:rsidRDefault="00AC28E3" w:rsidP="00AC28E3">
      <w:pPr>
        <w:spacing w:line="360" w:lineRule="auto"/>
        <w:ind w:left="567" w:right="539"/>
        <w:contextualSpacing/>
        <w:jc w:val="both"/>
        <w:rPr>
          <w:rFonts w:ascii="Palatino Linotype" w:hAnsi="Palatino Linotype"/>
          <w:b/>
          <w:i/>
        </w:rPr>
      </w:pPr>
      <w:r w:rsidRPr="005F4A21">
        <w:rPr>
          <w:rFonts w:ascii="Palatino Linotype" w:hAnsi="Palatino Linotype"/>
          <w:b/>
          <w:i/>
        </w:rPr>
        <w:t xml:space="preserve">Artículo 49. </w:t>
      </w:r>
      <w:r w:rsidRPr="005F4A21">
        <w:rPr>
          <w:rFonts w:ascii="Palatino Linotype" w:hAnsi="Palatino Linotype"/>
          <w:i/>
        </w:rPr>
        <w:t xml:space="preserve">Se considerará Titular de un conjunto urbano, </w:t>
      </w:r>
      <w:r w:rsidRPr="005F4A21">
        <w:rPr>
          <w:rFonts w:ascii="Palatino Linotype" w:hAnsi="Palatino Linotype"/>
          <w:b/>
          <w:i/>
        </w:rPr>
        <w:t xml:space="preserve">a la persona física, jurídica colectiva, fideicomitente, causahabiente o a sus subrogatarios, que hayan obtenido de la Secretaría la autorización respectiva. </w:t>
      </w:r>
    </w:p>
    <w:p w14:paraId="32FDE452" w14:textId="77777777" w:rsidR="00AC28E3" w:rsidRPr="005F4A21" w:rsidRDefault="00AC28E3" w:rsidP="00AC28E3">
      <w:pPr>
        <w:spacing w:line="360" w:lineRule="auto"/>
        <w:ind w:left="567" w:right="539"/>
        <w:contextualSpacing/>
        <w:jc w:val="both"/>
        <w:rPr>
          <w:rFonts w:ascii="Palatino Linotype" w:eastAsia="Calibri" w:hAnsi="Palatino Linotype" w:cs="Tahoma"/>
          <w:bCs/>
          <w:i/>
          <w:sz w:val="22"/>
          <w:szCs w:val="22"/>
          <w:lang w:val="es-ES_tradnl" w:eastAsia="en-US"/>
        </w:rPr>
      </w:pPr>
      <w:r w:rsidRPr="005F4A21">
        <w:rPr>
          <w:rFonts w:ascii="Palatino Linotype" w:hAnsi="Palatino Linotype"/>
          <w:i/>
        </w:rPr>
        <w:t>En caso de extinción del fideicomiso, la persona física o jurídica colectiva que haya tenido el carácter de fideicomitente, continuará siendo la responsable del cumplimiento de las obligaciones establecidas en el acuerdo de autorización sin necesidad de emisión de nuevo acto de la autoridad.</w:t>
      </w:r>
    </w:p>
    <w:p w14:paraId="512CF11C" w14:textId="77777777" w:rsidR="00AC28E3" w:rsidRPr="005F4A21" w:rsidRDefault="00AC28E3" w:rsidP="00AC28E3">
      <w:pPr>
        <w:spacing w:line="360" w:lineRule="auto"/>
        <w:ind w:left="567" w:right="539"/>
        <w:contextualSpacing/>
        <w:jc w:val="both"/>
        <w:rPr>
          <w:rFonts w:ascii="Palatino Linotype" w:hAnsi="Palatino Linotype" w:cs="Tahoma"/>
          <w:bCs/>
          <w:i/>
          <w:sz w:val="22"/>
          <w:szCs w:val="22"/>
        </w:rPr>
      </w:pPr>
    </w:p>
    <w:p w14:paraId="442A9869" w14:textId="77777777" w:rsidR="00AC28E3" w:rsidRPr="005F4A21" w:rsidRDefault="00AC28E3" w:rsidP="00AC28E3">
      <w:pPr>
        <w:spacing w:line="360" w:lineRule="auto"/>
        <w:ind w:left="567" w:right="539"/>
        <w:contextualSpacing/>
        <w:jc w:val="both"/>
        <w:rPr>
          <w:rFonts w:ascii="Palatino Linotype" w:hAnsi="Palatino Linotype" w:cs="Tahoma"/>
          <w:bCs/>
          <w:i/>
          <w:sz w:val="22"/>
          <w:szCs w:val="22"/>
        </w:rPr>
      </w:pPr>
      <w:r w:rsidRPr="005F4A21">
        <w:rPr>
          <w:rFonts w:ascii="Palatino Linotype" w:hAnsi="Palatino Linotype"/>
          <w:b/>
          <w:i/>
        </w:rPr>
        <w:t>Artículo 52.</w:t>
      </w:r>
      <w:r w:rsidRPr="005F4A21">
        <w:rPr>
          <w:rFonts w:ascii="Palatino Linotype" w:hAnsi="Palatino Linotype"/>
          <w:i/>
        </w:rPr>
        <w:t xml:space="preserve"> Una vez obtenida la Evaluación de Impacto Estatal con sujeción a la Ley de la Comisión de Impacto Estatal y las disposiciones jurídicas aplicables, </w:t>
      </w:r>
      <w:r w:rsidRPr="005F4A21">
        <w:rPr>
          <w:rFonts w:ascii="Palatino Linotype" w:hAnsi="Palatino Linotype"/>
          <w:b/>
          <w:i/>
        </w:rPr>
        <w:t>su Titular o Representante Legal deberá exhibirlo a la Secretaría para iniciar el trámite correspondiente,</w:t>
      </w:r>
      <w:r w:rsidRPr="005F4A21">
        <w:rPr>
          <w:rFonts w:ascii="Palatino Linotype" w:hAnsi="Palatino Linotype"/>
          <w:i/>
        </w:rPr>
        <w:t xml:space="preserve"> en términos de lo establecido en el presente Reglamento.</w:t>
      </w:r>
    </w:p>
    <w:p w14:paraId="3125DACC" w14:textId="77777777" w:rsidR="00AC28E3" w:rsidRPr="005F4A21" w:rsidRDefault="00AC28E3" w:rsidP="00AC28E3">
      <w:pPr>
        <w:spacing w:line="360" w:lineRule="auto"/>
        <w:ind w:left="567" w:right="539"/>
        <w:contextualSpacing/>
        <w:jc w:val="both"/>
        <w:rPr>
          <w:rFonts w:ascii="Palatino Linotype" w:hAnsi="Palatino Linotype" w:cs="Tahoma"/>
          <w:bCs/>
          <w:i/>
          <w:sz w:val="22"/>
          <w:szCs w:val="22"/>
        </w:rPr>
      </w:pPr>
    </w:p>
    <w:p w14:paraId="1447981B" w14:textId="77777777" w:rsidR="00AC28E3" w:rsidRPr="005F4A21" w:rsidRDefault="00AC28E3" w:rsidP="00AC28E3">
      <w:pPr>
        <w:spacing w:line="360" w:lineRule="auto"/>
        <w:ind w:left="567" w:right="539"/>
        <w:contextualSpacing/>
        <w:jc w:val="both"/>
        <w:rPr>
          <w:rFonts w:ascii="Palatino Linotype" w:hAnsi="Palatino Linotype"/>
          <w:i/>
        </w:rPr>
      </w:pPr>
      <w:r w:rsidRPr="005F4A21">
        <w:rPr>
          <w:rFonts w:ascii="Palatino Linotype" w:hAnsi="Palatino Linotype"/>
          <w:b/>
          <w:i/>
        </w:rPr>
        <w:t>Artículo 53</w:t>
      </w:r>
      <w:r w:rsidRPr="005F4A21">
        <w:rPr>
          <w:rFonts w:ascii="Palatino Linotype" w:hAnsi="Palatino Linotype"/>
          <w:i/>
        </w:rPr>
        <w:t xml:space="preserve">. </w:t>
      </w:r>
      <w:r w:rsidRPr="005F4A21">
        <w:rPr>
          <w:rFonts w:ascii="Palatino Linotype" w:hAnsi="Palatino Linotype"/>
          <w:b/>
          <w:i/>
        </w:rPr>
        <w:t xml:space="preserve">El interesado deberá obtener de la Secretaría </w:t>
      </w:r>
      <w:r w:rsidRPr="005F4A21">
        <w:rPr>
          <w:rFonts w:ascii="Palatino Linotype" w:hAnsi="Palatino Linotype"/>
          <w:i/>
        </w:rPr>
        <w:t>la aprobación del proyecto de lotificación respectivo, conforme a lo siguiente:</w:t>
      </w:r>
    </w:p>
    <w:p w14:paraId="19A30F0A" w14:textId="77777777" w:rsidR="00AC28E3" w:rsidRPr="005F4A21" w:rsidRDefault="00AC28E3" w:rsidP="00AC28E3">
      <w:pPr>
        <w:spacing w:line="360" w:lineRule="auto"/>
        <w:ind w:left="567" w:right="539"/>
        <w:contextualSpacing/>
        <w:jc w:val="both"/>
        <w:rPr>
          <w:rFonts w:ascii="Palatino Linotype" w:hAnsi="Palatino Linotype"/>
          <w:i/>
        </w:rPr>
      </w:pPr>
      <w:r w:rsidRPr="005F4A21">
        <w:rPr>
          <w:rFonts w:ascii="Palatino Linotype" w:hAnsi="Palatino Linotype"/>
          <w:i/>
        </w:rPr>
        <w:t>I al II…</w:t>
      </w:r>
    </w:p>
    <w:p w14:paraId="1F84B433" w14:textId="77777777" w:rsidR="00AC28E3" w:rsidRPr="005F4A21" w:rsidRDefault="00AC28E3" w:rsidP="00AC28E3">
      <w:pPr>
        <w:spacing w:line="360" w:lineRule="auto"/>
        <w:ind w:left="567" w:right="539"/>
        <w:contextualSpacing/>
        <w:jc w:val="both"/>
        <w:rPr>
          <w:rFonts w:ascii="Palatino Linotype" w:hAnsi="Palatino Linotype" w:cs="Tahoma"/>
          <w:bCs/>
          <w:i/>
          <w:sz w:val="22"/>
          <w:szCs w:val="22"/>
        </w:rPr>
      </w:pPr>
    </w:p>
    <w:p w14:paraId="4101B988" w14:textId="77777777" w:rsidR="00AC28E3" w:rsidRPr="005F4A21" w:rsidRDefault="00AC28E3" w:rsidP="00AC28E3">
      <w:pPr>
        <w:spacing w:line="360" w:lineRule="auto"/>
        <w:ind w:left="567" w:right="539"/>
        <w:contextualSpacing/>
        <w:jc w:val="both"/>
        <w:rPr>
          <w:rFonts w:ascii="Palatino Linotype" w:hAnsi="Palatino Linotype"/>
          <w:b/>
          <w:i/>
        </w:rPr>
      </w:pPr>
      <w:r w:rsidRPr="005F4A21">
        <w:rPr>
          <w:rFonts w:ascii="Palatino Linotype" w:hAnsi="Palatino Linotype"/>
          <w:b/>
          <w:i/>
        </w:rPr>
        <w:t xml:space="preserve">DE LA SOLICITUD DE AUTORIZACIÓN </w:t>
      </w:r>
    </w:p>
    <w:p w14:paraId="7A37684D" w14:textId="77777777" w:rsidR="00AC28E3" w:rsidRPr="005F4A21" w:rsidRDefault="00AC28E3" w:rsidP="00AC28E3">
      <w:pPr>
        <w:spacing w:line="360" w:lineRule="auto"/>
        <w:ind w:left="567" w:right="539"/>
        <w:contextualSpacing/>
        <w:jc w:val="both"/>
        <w:rPr>
          <w:rFonts w:ascii="Palatino Linotype" w:hAnsi="Palatino Linotype"/>
          <w:i/>
        </w:rPr>
      </w:pPr>
      <w:r w:rsidRPr="005F4A21">
        <w:rPr>
          <w:rFonts w:ascii="Palatino Linotype" w:hAnsi="Palatino Linotype"/>
          <w:b/>
          <w:i/>
        </w:rPr>
        <w:lastRenderedPageBreak/>
        <w:t xml:space="preserve">Artículo 54. </w:t>
      </w:r>
      <w:r w:rsidRPr="005F4A21">
        <w:rPr>
          <w:rFonts w:ascii="Palatino Linotype" w:hAnsi="Palatino Linotype"/>
          <w:i/>
        </w:rPr>
        <w:t xml:space="preserve">Aprobado el proyecto de lotificación, </w:t>
      </w:r>
      <w:r w:rsidRPr="005F4A21">
        <w:rPr>
          <w:rFonts w:ascii="Palatino Linotype" w:hAnsi="Palatino Linotype"/>
          <w:b/>
          <w:i/>
        </w:rPr>
        <w:t xml:space="preserve">el interesado presentará a la Secretaría </w:t>
      </w:r>
      <w:r w:rsidRPr="005F4A21">
        <w:rPr>
          <w:rFonts w:ascii="Palatino Linotype" w:hAnsi="Palatino Linotype"/>
          <w:i/>
        </w:rPr>
        <w:t>de manera impresa o electrónica, la solicitud de autorización del conjunto urbano, acompañada de la documentación siguiente:</w:t>
      </w:r>
    </w:p>
    <w:p w14:paraId="3AA94045" w14:textId="77777777" w:rsidR="00AC28E3" w:rsidRDefault="00AC28E3" w:rsidP="00AC28E3">
      <w:pPr>
        <w:spacing w:line="360" w:lineRule="auto"/>
        <w:ind w:left="567" w:right="539"/>
        <w:contextualSpacing/>
        <w:jc w:val="both"/>
        <w:rPr>
          <w:rFonts w:ascii="Palatino Linotype" w:hAnsi="Palatino Linotype"/>
          <w:i/>
        </w:rPr>
      </w:pPr>
      <w:r w:rsidRPr="005F4A21">
        <w:rPr>
          <w:rFonts w:ascii="Palatino Linotype" w:hAnsi="Palatino Linotype"/>
          <w:i/>
        </w:rPr>
        <w:t>I al IV…</w:t>
      </w:r>
    </w:p>
    <w:p w14:paraId="0A1358EF" w14:textId="77777777" w:rsidR="00AC28E3" w:rsidRPr="00341AC3" w:rsidRDefault="00AC28E3" w:rsidP="00AC28E3">
      <w:pPr>
        <w:spacing w:line="360" w:lineRule="auto"/>
        <w:ind w:left="567" w:right="539"/>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23476F57" w14:textId="77777777" w:rsidR="00AC28E3" w:rsidRPr="005F4A21" w:rsidRDefault="00AC28E3" w:rsidP="00AC28E3">
      <w:pPr>
        <w:spacing w:line="360" w:lineRule="auto"/>
        <w:ind w:left="567"/>
        <w:contextualSpacing/>
        <w:jc w:val="both"/>
        <w:rPr>
          <w:rFonts w:ascii="Palatino Linotype" w:hAnsi="Palatino Linotype" w:cs="Tahoma"/>
          <w:bCs/>
          <w:i/>
          <w:sz w:val="22"/>
          <w:szCs w:val="22"/>
        </w:rPr>
      </w:pPr>
    </w:p>
    <w:p w14:paraId="06871E06" w14:textId="77777777" w:rsidR="00AC28E3" w:rsidRDefault="00AC28E3" w:rsidP="00AC28E3">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 los artículos en cita se desprende que para que tenga lugar la autorización de los conjuntos urbanos y su lotificación, se debe solicitar la autorización ante el Sujeto Obligado y que corresponde a un trámite que inicia el interesado; es decir, aquellos que pretendan obtener una autorización deben pedirla ante el Sujeto Obligado; lo que significa que la Secretaría de Desarrollo Urbano y Obra no inicia los trámites de autorización de oficio, sino que se requiere que el interesado realice el trámite y presente la documentación ante el Sujeto Obligado.</w:t>
      </w:r>
    </w:p>
    <w:p w14:paraId="08976F40" w14:textId="77777777" w:rsidR="00AC28E3" w:rsidRDefault="00AC28E3" w:rsidP="00AC28E3">
      <w:pPr>
        <w:spacing w:line="360" w:lineRule="auto"/>
        <w:contextualSpacing/>
        <w:jc w:val="both"/>
        <w:rPr>
          <w:rFonts w:ascii="Palatino Linotype" w:hAnsi="Palatino Linotype" w:cs="Tahoma"/>
          <w:bCs/>
          <w:sz w:val="22"/>
          <w:szCs w:val="22"/>
        </w:rPr>
      </w:pPr>
    </w:p>
    <w:p w14:paraId="34939E07" w14:textId="77777777" w:rsidR="00AC28E3" w:rsidRDefault="00AC28E3" w:rsidP="00AC28E3">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Ahora bien, de conformidad con el artículo 10 del Reglamento Interior de la Secretaría de Desarrollo Urbano y Metropolitano, vigente; véase: </w:t>
      </w:r>
      <w:hyperlink r:id="rId11" w:history="1">
        <w:r w:rsidRPr="00E92F07">
          <w:rPr>
            <w:rStyle w:val="Hipervnculo"/>
            <w:rFonts w:ascii="Palatino Linotype" w:hAnsi="Palatino Linotype" w:cs="Tahoma"/>
            <w:bCs/>
            <w:sz w:val="22"/>
            <w:szCs w:val="22"/>
          </w:rPr>
          <w:t>http://legislacion.edomex.gob.mx/sites/legislacion.edomex.gob.mx/files/files/pdf/rgl/vig/rglvig150.pdf</w:t>
        </w:r>
      </w:hyperlink>
      <w:r>
        <w:rPr>
          <w:rFonts w:ascii="Palatino Linotype" w:hAnsi="Palatino Linotype" w:cs="Tahoma"/>
          <w:bCs/>
          <w:sz w:val="22"/>
          <w:szCs w:val="22"/>
        </w:rPr>
        <w:t>; establece lo siguiente:</w:t>
      </w:r>
    </w:p>
    <w:p w14:paraId="1E2239BA" w14:textId="77777777" w:rsidR="00AC28E3" w:rsidRDefault="00AC28E3" w:rsidP="00AC28E3">
      <w:pPr>
        <w:spacing w:line="360" w:lineRule="auto"/>
        <w:contextualSpacing/>
        <w:jc w:val="both"/>
        <w:rPr>
          <w:rFonts w:ascii="Palatino Linotype" w:hAnsi="Palatino Linotype" w:cs="Tahoma"/>
          <w:bCs/>
          <w:sz w:val="22"/>
          <w:szCs w:val="22"/>
        </w:rPr>
      </w:pPr>
    </w:p>
    <w:p w14:paraId="220D5D7A" w14:textId="77777777" w:rsidR="00AC28E3" w:rsidRPr="008D78DF" w:rsidRDefault="00AC28E3" w:rsidP="00AC28E3">
      <w:pPr>
        <w:spacing w:line="360" w:lineRule="auto"/>
        <w:ind w:left="567" w:right="539"/>
        <w:contextualSpacing/>
        <w:jc w:val="both"/>
        <w:rPr>
          <w:rFonts w:ascii="Palatino Linotype" w:hAnsi="Palatino Linotype"/>
          <w:b/>
          <w:i/>
        </w:rPr>
      </w:pPr>
      <w:r w:rsidRPr="008D78DF">
        <w:rPr>
          <w:rFonts w:ascii="Palatino Linotype" w:hAnsi="Palatino Linotype"/>
          <w:b/>
          <w:i/>
        </w:rPr>
        <w:t xml:space="preserve">Artículo 10. Corresponde a la Dirección General de Operación Urbana: </w:t>
      </w:r>
    </w:p>
    <w:p w14:paraId="75C7E10B"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I. Autorizar conjuntos urbanos habitacionales de hasta mil viviendas, industriales, de abasto, comercio y servicios, científicos, tecnológicos, para unidades económicas de alto impacto y mixtos de hasta diez hectáreas de terreno, así como, su modificación, subrogación, cambio de modalidad, revocación o extinción por renuncia. </w:t>
      </w:r>
    </w:p>
    <w:p w14:paraId="10114707"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II. Elaborar los acuerdos de autorización de conjuntos urbanos, subrogación del titular, cambio de tipo, revocación, extinción por renuncia o cualquier otro que corresponda expedir al Secretario. </w:t>
      </w:r>
    </w:p>
    <w:p w14:paraId="01DE9DE8"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III. Autorizar el inicio de ejecución de obras, la enajenación de lotes y la promoción del desarrollo, fideicomitir, gravar o afectar lotes, prórroga para ejecución de obras, proyectos arquitectónicos de las obras de equipamiento urbano, relotificaciones, la sustitución, liberación o cancelación de garantías, </w:t>
      </w:r>
      <w:r w:rsidRPr="008D78DF">
        <w:rPr>
          <w:rFonts w:ascii="Palatino Linotype" w:hAnsi="Palatino Linotype"/>
          <w:i/>
        </w:rPr>
        <w:lastRenderedPageBreak/>
        <w:t xml:space="preserve">condominios, localización de áreas de donación fuera del desarrollo, sustitución de obras de equipamiento urbano y su ubicación fuera respecto de los fraccionamientos, conjuntos urbanos autorizados. </w:t>
      </w:r>
    </w:p>
    <w:p w14:paraId="545C6FE6"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IV. Aprobar el proyecto de lotificación de conjuntos urbanos. </w:t>
      </w:r>
    </w:p>
    <w:p w14:paraId="793DA13F"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V. Emitir evaluaciones técnicas de impacto urbano. </w:t>
      </w:r>
    </w:p>
    <w:p w14:paraId="4C5FE4CC" w14:textId="77777777" w:rsidR="00AC28E3" w:rsidRPr="008D78DF" w:rsidRDefault="00AC28E3" w:rsidP="00AC28E3">
      <w:pPr>
        <w:spacing w:line="360" w:lineRule="auto"/>
        <w:ind w:left="567" w:right="539"/>
        <w:contextualSpacing/>
        <w:jc w:val="both"/>
        <w:rPr>
          <w:rFonts w:ascii="Palatino Linotype" w:hAnsi="Palatino Linotype"/>
          <w:b/>
          <w:i/>
        </w:rPr>
      </w:pPr>
      <w:r w:rsidRPr="008D78DF">
        <w:rPr>
          <w:rFonts w:ascii="Palatino Linotype" w:hAnsi="Palatino Linotype"/>
          <w:b/>
          <w:i/>
        </w:rPr>
        <w:t xml:space="preserve">VI. Emitir constancias de viabilidad para conjuntos urbanos, subdivisiones y condominios habitacionales de diez o más viviendas, así como, en otros tipos con un coeficiente de utilización de tres mil metros cuadrados o más situados en áreas urbanas o urbanizables para la aprobación del plano de localización, deslinde y fraccionamiento de las zonas de urbanización ejidal o comunal y su área de crecimiento y para proyectos de diez o más viviendas en un predio o lote. </w:t>
      </w:r>
    </w:p>
    <w:p w14:paraId="15D94A24"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VII. Expedir dictámenes técnicos en los procedimientos de expropiación de inmuebles. </w:t>
      </w:r>
    </w:p>
    <w:p w14:paraId="4BFE0D5C"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VIII. Emitir constancias para la obtención de los beneficios fiscales que prevé el Código Financiero del Estado de México y Municipios, en adquisición de predios destinados a la ejecución de conjuntos urbanos habitacionales de tipo social progresivo, de interés social y popular. </w:t>
      </w:r>
    </w:p>
    <w:p w14:paraId="6C536ACB"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IX. Autorizar la apertura, prolongación, ampliación o modificación de las vías públicas que constituyan la infraestructura vial local. </w:t>
      </w:r>
    </w:p>
    <w:p w14:paraId="5734EEEC" w14:textId="77777777" w:rsidR="00AC28E3" w:rsidRPr="008D78DF" w:rsidRDefault="00AC28E3" w:rsidP="00AC28E3">
      <w:pPr>
        <w:spacing w:line="360" w:lineRule="auto"/>
        <w:ind w:left="567" w:right="539"/>
        <w:contextualSpacing/>
        <w:jc w:val="both"/>
        <w:rPr>
          <w:rFonts w:ascii="Palatino Linotype" w:hAnsi="Palatino Linotype"/>
          <w:b/>
          <w:i/>
        </w:rPr>
      </w:pPr>
      <w:r w:rsidRPr="008D78DF">
        <w:rPr>
          <w:rFonts w:ascii="Palatino Linotype" w:hAnsi="Palatino Linotype"/>
          <w:b/>
          <w:i/>
        </w:rPr>
        <w:t xml:space="preserve">X. Emitir cédulas informativas de zonificación para la autorización de conjuntos urbanos en predios que se ubiquen en el territorio de municipios a los que aún no se les hayan transferido formalmente dichas funciones. </w:t>
      </w:r>
    </w:p>
    <w:p w14:paraId="24BEB345"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XI. Ejercer directamente, cuando la atención de los asuntos así lo requieran, las atribuciones asignadas a las direcciones regionales y residencias locales. </w:t>
      </w:r>
    </w:p>
    <w:p w14:paraId="42F0283F"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XII. Atender las denuncias ciudadanas de hechos o actos que constituyan infracciones a las disposiciones jurídicas que regulan el ordenamiento territorial de los asentamientos humanos y el desarrollo urbano de los centros de población. </w:t>
      </w:r>
    </w:p>
    <w:p w14:paraId="1244CBFC" w14:textId="77777777" w:rsidR="00AC28E3" w:rsidRPr="008D78DF" w:rsidRDefault="00AC28E3" w:rsidP="00AC28E3">
      <w:pPr>
        <w:spacing w:line="360" w:lineRule="auto"/>
        <w:ind w:left="567" w:right="539"/>
        <w:contextualSpacing/>
        <w:jc w:val="both"/>
        <w:rPr>
          <w:rFonts w:ascii="Palatino Linotype" w:hAnsi="Palatino Linotype" w:cs="Tahoma"/>
          <w:bCs/>
          <w:i/>
          <w:sz w:val="22"/>
          <w:szCs w:val="22"/>
        </w:rPr>
      </w:pPr>
      <w:r w:rsidRPr="008D78DF">
        <w:rPr>
          <w:rFonts w:ascii="Palatino Linotype" w:hAnsi="Palatino Linotype"/>
          <w:i/>
        </w:rPr>
        <w:t>XIII. Vigilar, en su ámbito de competencia, el cumplimiento de las disposiciones legales que regulan el ordenamiento territorial de los asentamientos humanos y el desarrollo urbano de los centros de población.</w:t>
      </w:r>
      <w:r w:rsidRPr="008D78DF">
        <w:rPr>
          <w:rFonts w:ascii="Palatino Linotype" w:hAnsi="Palatino Linotype" w:cs="Tahoma"/>
          <w:bCs/>
          <w:i/>
          <w:sz w:val="22"/>
          <w:szCs w:val="22"/>
        </w:rPr>
        <w:t xml:space="preserve"> </w:t>
      </w:r>
    </w:p>
    <w:p w14:paraId="745246E1" w14:textId="77777777" w:rsidR="00AC28E3" w:rsidRPr="008D78DF" w:rsidRDefault="00AC28E3" w:rsidP="00AC28E3">
      <w:pPr>
        <w:spacing w:line="360" w:lineRule="auto"/>
        <w:ind w:left="567" w:right="539"/>
        <w:contextualSpacing/>
        <w:jc w:val="both"/>
        <w:rPr>
          <w:rFonts w:ascii="Palatino Linotype" w:hAnsi="Palatino Linotype"/>
          <w:b/>
          <w:i/>
        </w:rPr>
      </w:pPr>
      <w:r w:rsidRPr="008D78DF">
        <w:rPr>
          <w:rFonts w:ascii="Palatino Linotype" w:hAnsi="Palatino Linotype"/>
          <w:b/>
          <w:i/>
        </w:rPr>
        <w:t xml:space="preserve">XIV. Verificar el cumplimiento de las obligaciones que establecen los acuerdos de autorización de fraccionamientos y conjuntos urbanos, así como las señaladas en las </w:t>
      </w:r>
      <w:r w:rsidRPr="008D78DF">
        <w:rPr>
          <w:rFonts w:ascii="Palatino Linotype" w:hAnsi="Palatino Linotype"/>
          <w:b/>
          <w:i/>
        </w:rPr>
        <w:lastRenderedPageBreak/>
        <w:t xml:space="preserve">demás autorizaciones que se otorguen durante la ejecución de los desarrollos autorizados y, en su caso, imponer las medidas de seguridad y/o las sanciones que prevén las disposiciones legales en la materia. </w:t>
      </w:r>
    </w:p>
    <w:p w14:paraId="137618C2"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XV. Emitir mandamientos de visitas de verificación, tramitar y resolver procedimientos administrativos, emitir y notificar citatorios, otorgar y resolver garantías de audiencia, determinar infracciones a las leyes de desarrollo urbano e imponer medidas de seguridad y/o sanciones, formular denuncias penales, así como tramitar y resolver los recursos de inconformidad que los particulares interpongan en contra de sus actos. </w:t>
      </w:r>
    </w:p>
    <w:p w14:paraId="34A0770F"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XVI. Coordinarse con las autoridades federales, estatales y municipales para la ejecución de las medidas de seguridad y/o sanciones que imponga conforme a las leyes de la materia y, en su caso, solicitar el auxilio de la fuerza pública. </w:t>
      </w:r>
    </w:p>
    <w:p w14:paraId="0B045737"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XVII. Planear, programar, supervisar, controlar y evaluar el funcionamiento de las direcciones regionales y residencias locales, de acuerdo con las disposiciones legales que regulan su actuación. </w:t>
      </w:r>
    </w:p>
    <w:p w14:paraId="40928783"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XVIII. Determinar la ubicación de las áreas de donación estatal que se localicen fuera de los conjuntos urbanos, subdivisiones y condominios. </w:t>
      </w:r>
    </w:p>
    <w:p w14:paraId="50657EB6"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XIX. Establecer medidas y acciones en coordinación con la Secretaría General de Gobierno y demás autoridades federales, estatales y municipales competentes para prevenir asentamientos humanos irregulares. </w:t>
      </w:r>
    </w:p>
    <w:p w14:paraId="60BAE8F4"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XX. Verificar que las acciones de suelo y vivienda cumplan con las disposiciones en materia de ordenamiento territorial de los asentamientos humanos y del desarrollo urbano de los centros de población. </w:t>
      </w:r>
    </w:p>
    <w:p w14:paraId="7D87B480"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XXI. Establecer y vigilar el cumplimiento de programas de adquisición de reservas territoriales para el equipamiento urbano del Estado, con la participación que corresponda a otras autoridades. </w:t>
      </w:r>
    </w:p>
    <w:p w14:paraId="5A2486DD" w14:textId="77777777" w:rsidR="00AC28E3" w:rsidRPr="008D78DF" w:rsidRDefault="00AC28E3" w:rsidP="00AC28E3">
      <w:pPr>
        <w:spacing w:line="360" w:lineRule="auto"/>
        <w:ind w:left="567" w:right="539"/>
        <w:contextualSpacing/>
        <w:jc w:val="both"/>
        <w:rPr>
          <w:rFonts w:ascii="Palatino Linotype" w:hAnsi="Palatino Linotype"/>
          <w:b/>
          <w:i/>
        </w:rPr>
      </w:pPr>
      <w:r w:rsidRPr="008D78DF">
        <w:rPr>
          <w:rFonts w:ascii="Palatino Linotype" w:hAnsi="Palatino Linotype"/>
          <w:b/>
          <w:i/>
        </w:rPr>
        <w:t xml:space="preserve">XXII. Coordinar la recepción, entrega y transmisión de propiedad de las áreas de donación estatal que se localicen fuera de los conjuntos urbanos, subdivisiones y lotificaciones para condominio con las unidades administrativas encargadas de su incorporación al patrimonio inmobiliario del Estado. </w:t>
      </w:r>
    </w:p>
    <w:p w14:paraId="4656A992" w14:textId="77777777" w:rsidR="00AC28E3" w:rsidRPr="008D78DF" w:rsidRDefault="00AC28E3" w:rsidP="00AC28E3">
      <w:pPr>
        <w:spacing w:line="360" w:lineRule="auto"/>
        <w:ind w:left="567" w:right="539"/>
        <w:contextualSpacing/>
        <w:jc w:val="both"/>
        <w:rPr>
          <w:rFonts w:ascii="Palatino Linotype" w:hAnsi="Palatino Linotype"/>
          <w:b/>
          <w:i/>
        </w:rPr>
      </w:pPr>
      <w:r w:rsidRPr="008D78DF">
        <w:rPr>
          <w:rFonts w:ascii="Palatino Linotype" w:hAnsi="Palatino Linotype"/>
          <w:b/>
          <w:i/>
        </w:rPr>
        <w:t xml:space="preserve">XXIII. Autorizar el cumplimiento de la obligación de ceder áreas de donación, mediante la aportación de numerario al Fideicomiso de Reserva Territorial para el Desarrollo de Equipamiento Urbano Regional. </w:t>
      </w:r>
    </w:p>
    <w:p w14:paraId="05B4255A"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lastRenderedPageBreak/>
        <w:t xml:space="preserve">XXIV. Autorizar el cumplimiento de la obligación de ejecutar obras de equipamiento urbano regional, mediante aportación de obras o en numerario en la proporción que resulte para el equipamiento urbano regional. La aportación en numerario se integrará al Fideicomiso de Reserva Territorial para el Desarrollo de Equipamiento Urbano Regional. </w:t>
      </w:r>
    </w:p>
    <w:p w14:paraId="6B09A2F8" w14:textId="77777777" w:rsidR="00AC28E3" w:rsidRPr="008D78DF"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 xml:space="preserve">XXV. Participar y dar seguimiento en el ámbito de su competencia al Fideicomiso de Reserva Territorial para el Desarrollo de Equipamiento Urbano Regional. </w:t>
      </w:r>
    </w:p>
    <w:p w14:paraId="6BBDE38D" w14:textId="77777777" w:rsidR="00AC28E3" w:rsidRDefault="00AC28E3" w:rsidP="00AC28E3">
      <w:pPr>
        <w:spacing w:line="360" w:lineRule="auto"/>
        <w:ind w:left="567" w:right="539"/>
        <w:contextualSpacing/>
        <w:jc w:val="both"/>
        <w:rPr>
          <w:rFonts w:ascii="Palatino Linotype" w:hAnsi="Palatino Linotype"/>
          <w:i/>
        </w:rPr>
      </w:pPr>
      <w:r w:rsidRPr="008D78DF">
        <w:rPr>
          <w:rFonts w:ascii="Palatino Linotype" w:hAnsi="Palatino Linotype"/>
          <w:i/>
        </w:rPr>
        <w:t>XXVI. Las demás que le confiere otras disposiciones jurídicas legales y aquellas que le encomiende el Secretario.</w:t>
      </w:r>
    </w:p>
    <w:p w14:paraId="6ECF81F2" w14:textId="77777777" w:rsidR="00AC28E3" w:rsidRPr="00341AC3" w:rsidRDefault="00AC28E3" w:rsidP="00AC28E3">
      <w:pPr>
        <w:spacing w:line="360" w:lineRule="auto"/>
        <w:ind w:left="567" w:right="539"/>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29B90625" w14:textId="77777777" w:rsidR="00AC28E3" w:rsidRPr="008D78DF" w:rsidRDefault="00AC28E3" w:rsidP="00AC28E3">
      <w:pPr>
        <w:spacing w:line="360" w:lineRule="auto"/>
        <w:ind w:left="567"/>
        <w:contextualSpacing/>
        <w:jc w:val="both"/>
        <w:rPr>
          <w:rFonts w:ascii="Palatino Linotype" w:hAnsi="Palatino Linotype" w:cs="Tahoma"/>
          <w:bCs/>
          <w:i/>
          <w:sz w:val="22"/>
          <w:szCs w:val="22"/>
        </w:rPr>
      </w:pPr>
    </w:p>
    <w:p w14:paraId="4759F215" w14:textId="282E663A" w:rsidR="00AC28E3" w:rsidRDefault="00AC28E3" w:rsidP="00AC28E3">
      <w:pPr>
        <w:spacing w:line="360" w:lineRule="auto"/>
        <w:contextualSpacing/>
        <w:jc w:val="both"/>
        <w:rPr>
          <w:rFonts w:ascii="Palatino Linotype" w:hAnsi="Palatino Linotype" w:cs="Tahoma"/>
          <w:sz w:val="22"/>
          <w:szCs w:val="22"/>
          <w:lang w:val="es-ES_tradnl"/>
        </w:rPr>
      </w:pPr>
      <w:r>
        <w:rPr>
          <w:rFonts w:ascii="Palatino Linotype" w:hAnsi="Palatino Linotype" w:cs="Tahoma"/>
          <w:bCs/>
          <w:sz w:val="22"/>
          <w:szCs w:val="22"/>
        </w:rPr>
        <w:t xml:space="preserve">Entonces, de las facultades que tiene conferidas el Sujeto Obligado, se aprecia que la </w:t>
      </w:r>
      <w:r>
        <w:rPr>
          <w:rFonts w:ascii="Palatino Linotype" w:hAnsi="Palatino Linotype" w:cs="Tahoma"/>
          <w:sz w:val="22"/>
          <w:szCs w:val="22"/>
          <w:lang w:val="es-ES_tradnl"/>
        </w:rPr>
        <w:t>Dirección General de Operación y Control Urbano, es el área competente para conocer de lo solicitado, pero las autorizaciones y la entrega de la información se realiza a petición de parte, es decir, debe ser iniciada por los interesados, por lo que, el Sujeto Obligado únicamente contara con la información cuando las partes interesadas hayan entregado la documentación al Sujeto Obligado.</w:t>
      </w:r>
      <w:r w:rsidR="00391660">
        <w:rPr>
          <w:rFonts w:ascii="Palatino Linotype" w:hAnsi="Palatino Linotype" w:cs="Tahoma"/>
          <w:sz w:val="22"/>
          <w:szCs w:val="22"/>
          <w:lang w:val="es-ES_tradnl"/>
        </w:rPr>
        <w:t xml:space="preserve"> </w:t>
      </w:r>
      <w:r>
        <w:rPr>
          <w:rFonts w:ascii="Palatino Linotype" w:hAnsi="Palatino Linotype" w:cs="Tahoma"/>
          <w:sz w:val="22"/>
          <w:szCs w:val="22"/>
          <w:lang w:val="es-ES_tradnl"/>
        </w:rPr>
        <w:t>En conclusión, el Sujeto Obligado no está constreñido a contar con la información solicitada y que no obre en sus archivos, no implica una desatención a las facultades conferidas, sino que se trata de un hecho negativo.</w:t>
      </w:r>
    </w:p>
    <w:p w14:paraId="60A8DDA1" w14:textId="77777777" w:rsidR="00AC28E3" w:rsidRDefault="00AC28E3" w:rsidP="00AC28E3">
      <w:pPr>
        <w:spacing w:line="360" w:lineRule="auto"/>
        <w:contextualSpacing/>
        <w:jc w:val="both"/>
        <w:rPr>
          <w:rFonts w:ascii="Palatino Linotype" w:hAnsi="Palatino Linotype" w:cs="Tahoma"/>
          <w:sz w:val="22"/>
          <w:szCs w:val="22"/>
          <w:lang w:val="es-ES_tradnl"/>
        </w:rPr>
      </w:pPr>
    </w:p>
    <w:p w14:paraId="34AE0AE8" w14:textId="611BDE83" w:rsidR="00AC28E3" w:rsidRPr="005B3636" w:rsidRDefault="00AC28E3" w:rsidP="00AC28E3">
      <w:pPr>
        <w:spacing w:line="360" w:lineRule="auto"/>
        <w:jc w:val="both"/>
        <w:rPr>
          <w:rFonts w:ascii="Palatino Linotype" w:hAnsi="Palatino Linotype" w:cs="Tahoma"/>
          <w:sz w:val="22"/>
          <w:szCs w:val="24"/>
        </w:rPr>
      </w:pPr>
      <w:r>
        <w:rPr>
          <w:rFonts w:ascii="Palatino Linotype" w:eastAsia="Calibri" w:hAnsi="Palatino Linotype" w:cs="Tahoma"/>
          <w:color w:val="000000"/>
          <w:sz w:val="22"/>
          <w:szCs w:val="22"/>
        </w:rPr>
        <w:t xml:space="preserve">Así pues, </w:t>
      </w:r>
      <w:r>
        <w:rPr>
          <w:rFonts w:ascii="Palatino Linotype" w:hAnsi="Palatino Linotype" w:cs="Tahoma"/>
          <w:sz w:val="22"/>
          <w:szCs w:val="24"/>
          <w:lang w:val="es-ES"/>
        </w:rPr>
        <w:t>el Sujeto Obligado realizo una búsqueda en sus archivos de la información solicitada por el Particular, a la cual precisó no contar con lo solicitado porque no se generó y no se entregó al Sujeto Obligado, al respecto este Organismo Garante no está facultado para dudar de la veracidad de lo manifestado por el Sujeto Obligado.</w:t>
      </w:r>
      <w:r w:rsidR="00391660">
        <w:rPr>
          <w:rFonts w:ascii="Palatino Linotype" w:hAnsi="Palatino Linotype" w:cs="Tahoma"/>
          <w:sz w:val="22"/>
          <w:szCs w:val="24"/>
          <w:lang w:val="es-ES"/>
        </w:rPr>
        <w:t xml:space="preserve"> </w:t>
      </w:r>
      <w:r w:rsidR="00C87A77">
        <w:rPr>
          <w:rFonts w:ascii="Palatino Linotype" w:hAnsi="Palatino Linotype" w:cs="Tahoma"/>
          <w:sz w:val="22"/>
          <w:szCs w:val="24"/>
        </w:rPr>
        <w:t xml:space="preserve">Ello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13E5455E" w14:textId="77777777" w:rsidR="00AC28E3" w:rsidRPr="005B3636" w:rsidRDefault="00AC28E3" w:rsidP="00AC28E3">
      <w:pPr>
        <w:spacing w:line="360" w:lineRule="auto"/>
        <w:jc w:val="both"/>
        <w:rPr>
          <w:rFonts w:ascii="Palatino Linotype" w:hAnsi="Palatino Linotype" w:cs="Tahoma"/>
          <w:sz w:val="22"/>
          <w:szCs w:val="24"/>
        </w:rPr>
      </w:pPr>
    </w:p>
    <w:p w14:paraId="5DA2EDE1" w14:textId="77777777" w:rsidR="00AC28E3" w:rsidRPr="000C748E" w:rsidRDefault="00AC28E3" w:rsidP="00AC28E3">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lastRenderedPageBreak/>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w:t>
      </w:r>
      <w:r>
        <w:rPr>
          <w:rFonts w:ascii="Palatino Linotype" w:hAnsi="Palatino Linotype" w:cs="Tahoma"/>
          <w:i/>
          <w:szCs w:val="24"/>
        </w:rPr>
        <w:t>specto.</w:t>
      </w:r>
    </w:p>
    <w:p w14:paraId="4E8CBC8F" w14:textId="77777777" w:rsidR="00AC28E3" w:rsidRPr="005B3636" w:rsidRDefault="00AC28E3" w:rsidP="00AC28E3">
      <w:pPr>
        <w:spacing w:line="360" w:lineRule="auto"/>
        <w:jc w:val="both"/>
        <w:rPr>
          <w:rFonts w:ascii="Palatino Linotype" w:eastAsia="Calibri" w:hAnsi="Palatino Linotype" w:cs="Tahoma"/>
          <w:sz w:val="22"/>
          <w:szCs w:val="22"/>
          <w:lang w:eastAsia="es-ES_tradnl"/>
        </w:rPr>
      </w:pPr>
    </w:p>
    <w:p w14:paraId="63B76127" w14:textId="715F9CAC" w:rsidR="00AC28E3" w:rsidRDefault="00AC28E3" w:rsidP="00AC28E3">
      <w:pPr>
        <w:spacing w:line="360" w:lineRule="auto"/>
        <w:jc w:val="both"/>
        <w:rPr>
          <w:rFonts w:ascii="Palatino Linotype" w:hAnsi="Palatino Linotype" w:cs="Tahoma"/>
          <w:sz w:val="22"/>
          <w:szCs w:val="24"/>
          <w:lang w:val="es-ES"/>
        </w:rPr>
      </w:pPr>
      <w:r>
        <w:rPr>
          <w:rFonts w:ascii="Palatino Linotype" w:hAnsi="Palatino Linotype" w:cs="Tahoma"/>
          <w:sz w:val="22"/>
          <w:szCs w:val="22"/>
        </w:rPr>
        <w:t>A</w:t>
      </w:r>
      <w:r w:rsidRPr="00CE47BC">
        <w:rPr>
          <w:rFonts w:ascii="Palatino Linotype" w:hAnsi="Palatino Linotype" w:cs="Tahoma"/>
          <w:sz w:val="22"/>
          <w:szCs w:val="22"/>
        </w:rPr>
        <w:t>unado</w:t>
      </w:r>
      <w:r>
        <w:rPr>
          <w:rFonts w:ascii="Palatino Linotype" w:hAnsi="Palatino Linotype" w:cs="Tahoma"/>
          <w:sz w:val="22"/>
          <w:szCs w:val="22"/>
        </w:rPr>
        <w:t xml:space="preserve"> a</w:t>
      </w:r>
      <w:r w:rsidRPr="00CE47BC">
        <w:rPr>
          <w:rFonts w:ascii="Palatino Linotype" w:hAnsi="Palatino Linotype" w:cs="Tahoma"/>
          <w:sz w:val="22"/>
          <w:szCs w:val="22"/>
        </w:rPr>
        <w:t xml:space="preserve"> </w:t>
      </w:r>
      <w:r>
        <w:rPr>
          <w:rFonts w:ascii="Palatino Linotype" w:hAnsi="Palatino Linotype" w:cs="Tahoma"/>
          <w:sz w:val="22"/>
          <w:szCs w:val="22"/>
        </w:rPr>
        <w:t>lo anterior y de la manifestación realizada por el Sujeto Obligado,</w:t>
      </w:r>
      <w:r w:rsidRPr="00CE47BC">
        <w:rPr>
          <w:rFonts w:ascii="Palatino Linotype" w:hAnsi="Palatino Linotype" w:cs="Tahoma"/>
          <w:sz w:val="22"/>
          <w:szCs w:val="22"/>
        </w:rPr>
        <w:t xml:space="preserve"> este Pleno considera que constituye una expresión en sentido negativo, ya que, es claro que d</w:t>
      </w:r>
      <w:r>
        <w:rPr>
          <w:rFonts w:ascii="Palatino Linotype" w:hAnsi="Palatino Linotype" w:cs="Tahoma"/>
          <w:sz w:val="22"/>
          <w:szCs w:val="22"/>
        </w:rPr>
        <w:t>icha manifestación se encuentra relacionada</w:t>
      </w:r>
      <w:r w:rsidRPr="00CE47BC">
        <w:rPr>
          <w:rFonts w:ascii="Palatino Linotype" w:hAnsi="Palatino Linotype" w:cs="Tahoma"/>
          <w:sz w:val="22"/>
          <w:szCs w:val="22"/>
        </w:rPr>
        <w:t xml:space="preserve">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 xml:space="preserve">mación en estudio. </w:t>
      </w: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 xml:space="preserve">Obligado, ya que no puede probarse por ser lógica y materialmente imposible; asimismo, no se trata de un caso por el cual la negación del hecho implique la afirmación </w:t>
      </w:r>
      <w:r w:rsidR="00B57C5E" w:rsidRPr="009D0858">
        <w:rPr>
          <w:rFonts w:ascii="Palatino Linotype" w:hAnsi="Palatino Linotype" w:cs="Tahoma"/>
          <w:sz w:val="22"/>
          <w:szCs w:val="24"/>
          <w:lang w:val="es-ES"/>
        </w:rPr>
        <w:t>de este</w:t>
      </w:r>
      <w:r w:rsidRPr="009D0858">
        <w:rPr>
          <w:rFonts w:ascii="Palatino Linotype" w:hAnsi="Palatino Linotype" w:cs="Tahoma"/>
          <w:sz w:val="22"/>
          <w:szCs w:val="24"/>
          <w:lang w:val="es-ES"/>
        </w:rPr>
        <w:t>, simplemente se está ante una notoria y evidente inexistencia fáctica de la información solicitada.</w:t>
      </w:r>
    </w:p>
    <w:p w14:paraId="49DA441D" w14:textId="5573DDD5" w:rsidR="000B4E75" w:rsidRDefault="000B4E75" w:rsidP="00AC28E3">
      <w:pPr>
        <w:spacing w:line="360" w:lineRule="auto"/>
        <w:jc w:val="both"/>
        <w:rPr>
          <w:rFonts w:ascii="Palatino Linotype" w:hAnsi="Palatino Linotype" w:cs="Tahoma"/>
          <w:sz w:val="22"/>
          <w:szCs w:val="24"/>
          <w:lang w:val="es-ES"/>
        </w:rPr>
      </w:pPr>
    </w:p>
    <w:p w14:paraId="5912114A" w14:textId="7E0AF77F" w:rsidR="000B4E75" w:rsidRDefault="000B4E75" w:rsidP="00AC28E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Es importante destacar que entre toda la documentación que entregó el Recurrente, no adjuntó ningún documento que permitiera acreditar que el Ayuntamiento o alguna persona realizó el trámite ante las oficinas del Sujeto Obligado, de tal suerte que lo solicitado deba obrar en los archivos de la dependencia; por otro lado, el ahora Recurrente no proporcionó su nombre de tal forma que resultara procedente que además se debiera hacer una búsqueda bajo este supuesto, de tal suerte que con los elementos proporcionados no existen elementos de </w:t>
      </w:r>
      <w:r>
        <w:rPr>
          <w:rFonts w:ascii="Palatino Linotype" w:hAnsi="Palatino Linotype" w:cs="Tahoma"/>
          <w:sz w:val="22"/>
          <w:szCs w:val="24"/>
          <w:lang w:val="es-ES"/>
        </w:rPr>
        <w:lastRenderedPageBreak/>
        <w:t>convicción que indiquen la obligación de que los documentos obren en los archivos de la Secretaría de Desarrollo Urbano y Obra.</w:t>
      </w:r>
    </w:p>
    <w:p w14:paraId="0D170617" w14:textId="77777777" w:rsidR="00AC28E3" w:rsidRDefault="00AC28E3" w:rsidP="00AC28E3">
      <w:pPr>
        <w:tabs>
          <w:tab w:val="left" w:pos="4962"/>
        </w:tabs>
        <w:spacing w:line="360" w:lineRule="auto"/>
        <w:jc w:val="both"/>
        <w:rPr>
          <w:rFonts w:ascii="Palatino Linotype" w:hAnsi="Palatino Linotype" w:cs="Tahoma"/>
          <w:sz w:val="22"/>
          <w:szCs w:val="22"/>
        </w:rPr>
      </w:pPr>
    </w:p>
    <w:p w14:paraId="47514991" w14:textId="77777777" w:rsidR="00AC28E3" w:rsidRPr="00191EE7" w:rsidRDefault="00AC28E3" w:rsidP="00AC28E3">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 xml:space="preserve">advierte que además el Sujeto Obligado </w:t>
      </w:r>
      <w:r w:rsidRPr="005B3636">
        <w:rPr>
          <w:rFonts w:ascii="Palatino Linotype" w:eastAsia="Calibri" w:hAnsi="Palatino Linotype" w:cs="Tahoma"/>
          <w:sz w:val="22"/>
          <w:szCs w:val="22"/>
          <w:lang w:eastAsia="es-ES_tradnl"/>
        </w:rPr>
        <w:t>siguió el procedimiento establecido en los artículos 160 y 162 de la Ley de Transparencia y Acceso a la Información Pública del Estado de México y Municipios, los cuales disponen que los sujetos obligados deben otorgar a</w:t>
      </w:r>
      <w:r>
        <w:rPr>
          <w:rFonts w:ascii="Palatino Linotype" w:eastAsia="Calibri" w:hAnsi="Palatino Linotype" w:cs="Tahoma"/>
          <w:sz w:val="22"/>
          <w:szCs w:val="22"/>
          <w:lang w:eastAsia="es-ES_tradnl"/>
        </w:rPr>
        <w:t>cceso a</w:t>
      </w:r>
      <w:r w:rsidRPr="005B3636">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r>
        <w:rPr>
          <w:rFonts w:ascii="Palatino Linotype" w:eastAsia="Calibri" w:hAnsi="Palatino Linotype" w:cs="Tahoma"/>
          <w:sz w:val="22"/>
          <w:szCs w:val="22"/>
          <w:lang w:eastAsia="es-ES_tradnl"/>
        </w:rPr>
        <w:t>.</w:t>
      </w:r>
    </w:p>
    <w:p w14:paraId="148015C5" w14:textId="77777777" w:rsidR="00AC28E3" w:rsidRDefault="00AC28E3" w:rsidP="00AC28E3">
      <w:pPr>
        <w:tabs>
          <w:tab w:val="left" w:pos="4962"/>
        </w:tabs>
        <w:spacing w:line="360" w:lineRule="auto"/>
        <w:jc w:val="both"/>
        <w:rPr>
          <w:rFonts w:ascii="Palatino Linotype" w:hAnsi="Palatino Linotype" w:cs="Tahoma"/>
          <w:sz w:val="22"/>
          <w:szCs w:val="22"/>
          <w:lang w:val="es-ES"/>
        </w:rPr>
      </w:pPr>
    </w:p>
    <w:p w14:paraId="10CFF518" w14:textId="77777777" w:rsidR="00AC28E3" w:rsidRPr="003E3F16" w:rsidRDefault="00AC28E3" w:rsidP="00AC28E3">
      <w:pPr>
        <w:tabs>
          <w:tab w:val="left" w:pos="4962"/>
        </w:tabs>
        <w:spacing w:line="360" w:lineRule="auto"/>
        <w:jc w:val="both"/>
        <w:rPr>
          <w:rFonts w:ascii="Palatino Linotype" w:hAnsi="Palatino Linotype" w:cs="Tahoma"/>
          <w:sz w:val="22"/>
          <w:szCs w:val="22"/>
        </w:rPr>
      </w:pPr>
      <w:r w:rsidRPr="003E3F16">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w:t>
      </w:r>
      <w:r>
        <w:rPr>
          <w:rFonts w:ascii="Palatino Linotype" w:hAnsi="Palatino Linotype" w:cs="Tahoma"/>
          <w:sz w:val="22"/>
          <w:szCs w:val="22"/>
        </w:rPr>
        <w:t>iera y que obre en sus archivos.</w:t>
      </w:r>
    </w:p>
    <w:p w14:paraId="6947B7FE" w14:textId="77777777" w:rsidR="00AC28E3" w:rsidRPr="00AC28E3" w:rsidRDefault="00AC28E3" w:rsidP="00460DF5">
      <w:pPr>
        <w:spacing w:line="360" w:lineRule="auto"/>
        <w:contextualSpacing/>
        <w:jc w:val="both"/>
        <w:rPr>
          <w:rFonts w:ascii="Palatino Linotype" w:hAnsi="Palatino Linotype"/>
          <w:sz w:val="22"/>
          <w:szCs w:val="22"/>
          <w:lang w:val="es-ES"/>
        </w:rPr>
      </w:pPr>
    </w:p>
    <w:p w14:paraId="4DCF0719" w14:textId="3BCA4C1F" w:rsidR="00DF274E" w:rsidRPr="00DF274E" w:rsidRDefault="00DF274E" w:rsidP="005F4A21">
      <w:pPr>
        <w:spacing w:line="360" w:lineRule="auto"/>
        <w:contextualSpacing/>
        <w:jc w:val="both"/>
        <w:rPr>
          <w:rFonts w:ascii="Palatino Linotype" w:hAnsi="Palatino Linotype"/>
          <w:sz w:val="22"/>
          <w:szCs w:val="22"/>
          <w:lang w:val="es-ES"/>
        </w:rPr>
      </w:pPr>
      <w:r>
        <w:rPr>
          <w:rFonts w:ascii="Palatino Linotype" w:hAnsi="Palatino Linotype"/>
          <w:sz w:val="22"/>
          <w:szCs w:val="22"/>
          <w:lang w:val="es-ES"/>
        </w:rPr>
        <w:t xml:space="preserve">Ahora bien, respecto a que el Sujeto Obligado no entregara la declaratoria de inexistencia de la información; es importante mencionar, que esta figura jurídica tiene lugar en el marco de lo dispuesto por </w:t>
      </w:r>
      <w:r>
        <w:rPr>
          <w:rFonts w:ascii="Palatino Linotype" w:eastAsia="Calibri" w:hAnsi="Palatino Linotype" w:cs="Tahoma"/>
          <w:bCs/>
          <w:sz w:val="22"/>
          <w:szCs w:val="22"/>
          <w:lang w:eastAsia="en-US"/>
        </w:rPr>
        <w:t xml:space="preserve">los artículos 19 párrafo tercero y 169 de la </w:t>
      </w:r>
      <w:r w:rsidRPr="00460841">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 que a la letra mencionan:</w:t>
      </w:r>
    </w:p>
    <w:p w14:paraId="1A503B4D" w14:textId="77777777" w:rsidR="00DF274E" w:rsidRDefault="00DF274E" w:rsidP="005F4A21">
      <w:pPr>
        <w:spacing w:line="360" w:lineRule="auto"/>
        <w:jc w:val="both"/>
        <w:rPr>
          <w:rFonts w:ascii="Palatino Linotype" w:eastAsia="Calibri" w:hAnsi="Palatino Linotype" w:cs="Tahoma"/>
          <w:bCs/>
          <w:sz w:val="22"/>
          <w:szCs w:val="22"/>
          <w:lang w:eastAsia="en-US"/>
        </w:rPr>
      </w:pPr>
    </w:p>
    <w:p w14:paraId="12FFBE0F" w14:textId="77777777" w:rsidR="00DF274E" w:rsidRPr="00676E32" w:rsidRDefault="00DF274E" w:rsidP="00DF274E">
      <w:pPr>
        <w:spacing w:line="360" w:lineRule="auto"/>
        <w:ind w:left="567" w:right="539"/>
        <w:jc w:val="both"/>
        <w:rPr>
          <w:rFonts w:ascii="Palatino Linotype" w:eastAsia="Calibri" w:hAnsi="Palatino Linotype" w:cs="Tahoma"/>
          <w:bCs/>
          <w:i/>
          <w:lang w:eastAsia="en-US"/>
        </w:rPr>
      </w:pPr>
      <w:r w:rsidRPr="009433FC">
        <w:rPr>
          <w:rFonts w:ascii="Palatino Linotype" w:eastAsia="Calibri" w:hAnsi="Palatino Linotype" w:cs="Tahoma"/>
          <w:b/>
          <w:bCs/>
          <w:i/>
          <w:lang w:eastAsia="en-US"/>
        </w:rPr>
        <w:t>Artículo 19.</w:t>
      </w:r>
      <w:r w:rsidRPr="00676E32">
        <w:rPr>
          <w:rFonts w:ascii="Palatino Linotype" w:eastAsia="Calibri" w:hAnsi="Palatino Linotype" w:cs="Tahoma"/>
          <w:bCs/>
          <w:i/>
          <w:lang w:eastAsia="en-US"/>
        </w:rPr>
        <w:t xml:space="preserve"> Se presume que la información debe existir si se refiere a las facultades, competencias y funciones que los ordenamientos jurídicos aplicables otorgan a los sujetos obligados.</w:t>
      </w:r>
    </w:p>
    <w:p w14:paraId="782B0B0E" w14:textId="77777777" w:rsidR="00DF274E" w:rsidRPr="00676E32" w:rsidRDefault="00DF274E" w:rsidP="00DF274E">
      <w:pPr>
        <w:spacing w:line="360" w:lineRule="auto"/>
        <w:ind w:left="567" w:right="539"/>
        <w:jc w:val="both"/>
        <w:rPr>
          <w:rFonts w:ascii="Palatino Linotype" w:eastAsia="Calibri" w:hAnsi="Palatino Linotype" w:cs="Tahoma"/>
          <w:bCs/>
          <w:i/>
          <w:lang w:eastAsia="en-US"/>
        </w:rPr>
      </w:pPr>
      <w:r w:rsidRPr="00676E32">
        <w:rPr>
          <w:rFonts w:ascii="Palatino Linotype" w:eastAsia="Calibri" w:hAnsi="Palatino Linotype" w:cs="Tahoma"/>
          <w:bCs/>
          <w:i/>
          <w:lang w:eastAsia="en-US"/>
        </w:rPr>
        <w:t>En los casos en que ciertas facultades, competencias o funciones no se hayan ejercido, se debe motivar la respuesta en función de las causas que motiven tal circunstancia.</w:t>
      </w:r>
    </w:p>
    <w:p w14:paraId="26540E79" w14:textId="77777777" w:rsidR="00DF274E" w:rsidRPr="00676E32" w:rsidRDefault="00DF274E" w:rsidP="00DF274E">
      <w:pPr>
        <w:spacing w:line="360" w:lineRule="auto"/>
        <w:ind w:left="567" w:right="539"/>
        <w:jc w:val="both"/>
        <w:rPr>
          <w:rFonts w:ascii="Palatino Linotype" w:eastAsia="Calibri" w:hAnsi="Palatino Linotype" w:cs="Tahoma"/>
          <w:bCs/>
          <w:i/>
          <w:lang w:eastAsia="en-US"/>
        </w:rPr>
      </w:pPr>
      <w:r w:rsidRPr="00DF274E">
        <w:rPr>
          <w:rFonts w:ascii="Palatino Linotype" w:eastAsia="Calibri" w:hAnsi="Palatino Linotype" w:cs="Tahoma"/>
          <w:b/>
          <w:bCs/>
          <w:i/>
          <w:lang w:eastAsia="en-US"/>
        </w:rPr>
        <w:t xml:space="preserve">Si el sujeto obligado, en el ejercicio de sus atribuciones, debía generar, poseer o administrar la información, pero ésta no se encuentra, el Comité de transparencia deberá emitir un </w:t>
      </w:r>
      <w:r w:rsidRPr="00DF274E">
        <w:rPr>
          <w:rFonts w:ascii="Palatino Linotype" w:eastAsia="Calibri" w:hAnsi="Palatino Linotype" w:cs="Tahoma"/>
          <w:b/>
          <w:bCs/>
          <w:i/>
          <w:lang w:eastAsia="en-US"/>
        </w:rPr>
        <w:lastRenderedPageBreak/>
        <w:t>acuerdo de inexistencia, debidamente fundado y motivado,</w:t>
      </w:r>
      <w:r w:rsidRPr="00676E32">
        <w:rPr>
          <w:rFonts w:ascii="Palatino Linotype" w:eastAsia="Calibri" w:hAnsi="Palatino Linotype" w:cs="Tahoma"/>
          <w:bCs/>
          <w:i/>
          <w:lang w:eastAsia="en-US"/>
        </w:rPr>
        <w:t xml:space="preserve"> en el que detalle las razones del por qué no obra en sus archivos.</w:t>
      </w:r>
      <w:r>
        <w:rPr>
          <w:rFonts w:ascii="Palatino Linotype" w:eastAsia="Calibri" w:hAnsi="Palatino Linotype" w:cs="Tahoma"/>
          <w:bCs/>
          <w:i/>
          <w:lang w:eastAsia="en-US"/>
        </w:rPr>
        <w:t>”</w:t>
      </w:r>
    </w:p>
    <w:p w14:paraId="01BC1180" w14:textId="77777777" w:rsidR="00DF274E" w:rsidRPr="00676E32" w:rsidRDefault="00DF274E" w:rsidP="005F4A21">
      <w:pPr>
        <w:spacing w:line="360" w:lineRule="auto"/>
        <w:ind w:left="567" w:right="539"/>
        <w:jc w:val="both"/>
        <w:rPr>
          <w:rFonts w:ascii="Palatino Linotype" w:eastAsia="Calibri" w:hAnsi="Palatino Linotype" w:cs="Tahoma"/>
          <w:bCs/>
          <w:lang w:eastAsia="en-US"/>
        </w:rPr>
      </w:pPr>
    </w:p>
    <w:p w14:paraId="26F8114D" w14:textId="77777777" w:rsidR="00DF274E" w:rsidRPr="00676E32" w:rsidRDefault="00DF274E" w:rsidP="005F4A21">
      <w:pPr>
        <w:spacing w:line="360" w:lineRule="auto"/>
        <w:ind w:left="567" w:right="539"/>
        <w:jc w:val="both"/>
        <w:rPr>
          <w:rFonts w:ascii="Palatino Linotype" w:eastAsia="Calibri" w:hAnsi="Palatino Linotype" w:cs="Tahoma"/>
          <w:bCs/>
          <w:i/>
          <w:lang w:eastAsia="en-US"/>
        </w:rPr>
      </w:pPr>
      <w:r w:rsidRPr="009433FC">
        <w:rPr>
          <w:rFonts w:ascii="Palatino Linotype" w:eastAsia="Calibri" w:hAnsi="Palatino Linotype" w:cs="Tahoma"/>
          <w:b/>
          <w:bCs/>
          <w:i/>
          <w:lang w:eastAsia="en-US"/>
        </w:rPr>
        <w:t>Artículo 169.</w:t>
      </w:r>
      <w:r w:rsidRPr="00676E32">
        <w:rPr>
          <w:rFonts w:ascii="Palatino Linotype" w:eastAsia="Calibri" w:hAnsi="Palatino Linotype" w:cs="Tahoma"/>
          <w:bCs/>
          <w:i/>
          <w:lang w:eastAsia="en-US"/>
        </w:rPr>
        <w:t xml:space="preserve"> Cuando la información </w:t>
      </w:r>
      <w:r w:rsidRPr="00676E32">
        <w:rPr>
          <w:rFonts w:ascii="Palatino Linotype" w:eastAsia="Calibri" w:hAnsi="Palatino Linotype" w:cs="Tahoma"/>
          <w:b/>
          <w:bCs/>
          <w:i/>
          <w:lang w:eastAsia="en-US"/>
        </w:rPr>
        <w:t>no se encuentre en los archivos del sujeto obligado</w:t>
      </w:r>
      <w:r w:rsidRPr="00676E32">
        <w:rPr>
          <w:rFonts w:ascii="Palatino Linotype" w:eastAsia="Calibri" w:hAnsi="Palatino Linotype" w:cs="Tahoma"/>
          <w:bCs/>
          <w:i/>
          <w:lang w:eastAsia="en-US"/>
        </w:rPr>
        <w:t xml:space="preserve">, el </w:t>
      </w:r>
      <w:r w:rsidRPr="00676E32">
        <w:rPr>
          <w:rFonts w:ascii="Palatino Linotype" w:eastAsia="Calibri" w:hAnsi="Palatino Linotype" w:cs="Tahoma"/>
          <w:b/>
          <w:bCs/>
          <w:i/>
          <w:lang w:eastAsia="en-US"/>
        </w:rPr>
        <w:t>Comité de Transparencia</w:t>
      </w:r>
      <w:r w:rsidRPr="00676E32">
        <w:rPr>
          <w:rFonts w:ascii="Palatino Linotype" w:eastAsia="Calibri" w:hAnsi="Palatino Linotype" w:cs="Tahoma"/>
          <w:bCs/>
          <w:i/>
          <w:lang w:eastAsia="en-US"/>
        </w:rPr>
        <w:t>:</w:t>
      </w:r>
    </w:p>
    <w:p w14:paraId="15BC7A7D" w14:textId="77777777" w:rsidR="00DF274E" w:rsidRPr="00676E32" w:rsidRDefault="00DF274E" w:rsidP="005F4A21">
      <w:pPr>
        <w:spacing w:line="360" w:lineRule="auto"/>
        <w:ind w:left="567" w:right="539"/>
        <w:jc w:val="both"/>
        <w:rPr>
          <w:rFonts w:ascii="Palatino Linotype" w:eastAsia="Calibri" w:hAnsi="Palatino Linotype" w:cs="Tahoma"/>
          <w:bCs/>
          <w:i/>
          <w:lang w:eastAsia="en-US"/>
        </w:rPr>
      </w:pPr>
      <w:r w:rsidRPr="00676E32">
        <w:rPr>
          <w:rFonts w:ascii="Palatino Linotype" w:eastAsia="Calibri" w:hAnsi="Palatino Linotype" w:cs="Tahoma"/>
          <w:bCs/>
          <w:i/>
          <w:lang w:eastAsia="en-US"/>
        </w:rPr>
        <w:t>I. Analizará el caso y tomará las medidas necesarias para localizar la información;</w:t>
      </w:r>
    </w:p>
    <w:p w14:paraId="7AB3CAC6" w14:textId="77777777" w:rsidR="00DF274E" w:rsidRPr="00676E32" w:rsidRDefault="00DF274E" w:rsidP="005F4A21">
      <w:pPr>
        <w:spacing w:line="360" w:lineRule="auto"/>
        <w:ind w:left="567" w:right="539"/>
        <w:jc w:val="both"/>
        <w:rPr>
          <w:rFonts w:ascii="Palatino Linotype" w:eastAsia="Calibri" w:hAnsi="Palatino Linotype" w:cs="Tahoma"/>
          <w:b/>
          <w:bCs/>
          <w:i/>
          <w:lang w:eastAsia="en-US"/>
        </w:rPr>
      </w:pPr>
      <w:r w:rsidRPr="00676E32">
        <w:rPr>
          <w:rFonts w:ascii="Palatino Linotype" w:eastAsia="Calibri" w:hAnsi="Palatino Linotype" w:cs="Tahoma"/>
          <w:b/>
          <w:bCs/>
          <w:i/>
          <w:lang w:eastAsia="en-US"/>
        </w:rPr>
        <w:t>II. Expedirá una resolución que confirme la inexistencia del documento;</w:t>
      </w:r>
    </w:p>
    <w:p w14:paraId="5E770510" w14:textId="77777777" w:rsidR="00DF274E" w:rsidRPr="00676E32" w:rsidRDefault="00DF274E" w:rsidP="005F4A21">
      <w:pPr>
        <w:spacing w:line="360" w:lineRule="auto"/>
        <w:ind w:left="567" w:right="539"/>
        <w:jc w:val="both"/>
        <w:rPr>
          <w:rFonts w:ascii="Palatino Linotype" w:eastAsia="Calibri" w:hAnsi="Palatino Linotype" w:cs="Tahoma"/>
          <w:bCs/>
          <w:i/>
          <w:lang w:eastAsia="en-US"/>
        </w:rPr>
      </w:pPr>
      <w:r w:rsidRPr="00676E32">
        <w:rPr>
          <w:rFonts w:ascii="Palatino Linotype" w:eastAsia="Calibri" w:hAnsi="Palatino Linotype" w:cs="Tahoma"/>
          <w:bCs/>
          <w:i/>
          <w:lang w:eastAsia="en-US"/>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676E32">
        <w:rPr>
          <w:rFonts w:ascii="Palatino Linotype" w:eastAsia="Calibri" w:hAnsi="Palatino Linotype" w:cs="Tahoma"/>
          <w:b/>
          <w:bCs/>
          <w:i/>
          <w:lang w:eastAsia="en-US"/>
        </w:rPr>
        <w:t>exponga de forma fundada y motivada, las razones por las cuales en el caso particular no ejerció dichas facultades, competencias o funciones, lo cual notificará al solicitante a través de la Unidad de Transparencia</w:t>
      </w:r>
      <w:r w:rsidRPr="00676E32">
        <w:rPr>
          <w:rFonts w:ascii="Palatino Linotype" w:eastAsia="Calibri" w:hAnsi="Palatino Linotype" w:cs="Tahoma"/>
          <w:bCs/>
          <w:i/>
          <w:lang w:eastAsia="en-US"/>
        </w:rPr>
        <w:t>; y</w:t>
      </w:r>
    </w:p>
    <w:p w14:paraId="170A2FD3" w14:textId="77777777" w:rsidR="00DF274E" w:rsidRPr="00676E32" w:rsidRDefault="00DF274E" w:rsidP="005F4A21">
      <w:pPr>
        <w:spacing w:line="360" w:lineRule="auto"/>
        <w:ind w:left="567" w:right="539"/>
        <w:jc w:val="both"/>
        <w:rPr>
          <w:rFonts w:ascii="Palatino Linotype" w:eastAsia="Calibri" w:hAnsi="Palatino Linotype" w:cs="Tahoma"/>
          <w:b/>
          <w:bCs/>
          <w:i/>
          <w:lang w:eastAsia="en-US"/>
        </w:rPr>
      </w:pPr>
      <w:r w:rsidRPr="00676E32">
        <w:rPr>
          <w:rFonts w:ascii="Palatino Linotype" w:eastAsia="Calibri" w:hAnsi="Palatino Linotype" w:cs="Tahoma"/>
          <w:b/>
          <w:bCs/>
          <w:i/>
          <w:lang w:eastAsia="en-US"/>
        </w:rPr>
        <w:t>IV. Notificará al órgano interno de control o equivalente del sujeto obligado quien, en su caso, deberá iniciar el procedimiento de responsabilidad administrativa que corresponda.</w:t>
      </w:r>
    </w:p>
    <w:p w14:paraId="7CD97289" w14:textId="77777777" w:rsidR="00DF274E" w:rsidRPr="00676E32" w:rsidRDefault="00DF274E" w:rsidP="005F4A21">
      <w:pPr>
        <w:spacing w:line="360" w:lineRule="auto"/>
        <w:ind w:left="567" w:right="539"/>
        <w:jc w:val="both"/>
        <w:rPr>
          <w:rFonts w:ascii="Palatino Linotype" w:eastAsia="Calibri" w:hAnsi="Palatino Linotype" w:cs="Tahoma"/>
          <w:bCs/>
          <w:i/>
          <w:lang w:eastAsia="en-US"/>
        </w:rPr>
      </w:pPr>
      <w:r w:rsidRPr="00676E32">
        <w:rPr>
          <w:rFonts w:ascii="Palatino Linotype" w:eastAsia="Calibri" w:hAnsi="Palatino Linotype" w:cs="Tahoma"/>
          <w:bCs/>
          <w:i/>
          <w:lang w:eastAsia="en-US"/>
        </w:rPr>
        <w:t>La Unidad de Transparencia deberá notificarlo al solicitante por escrito, en un plazo que no exceda de quince días hábiles contados a partir del día siguiente a la presentación de la solicitud.</w:t>
      </w:r>
    </w:p>
    <w:p w14:paraId="3D0BFD83" w14:textId="77777777" w:rsidR="00DF274E" w:rsidRDefault="00DF274E" w:rsidP="005F4A21">
      <w:pPr>
        <w:spacing w:line="360" w:lineRule="auto"/>
        <w:ind w:left="567" w:right="539"/>
        <w:jc w:val="both"/>
        <w:rPr>
          <w:rFonts w:ascii="Palatino Linotype" w:eastAsia="Calibri" w:hAnsi="Palatino Linotype" w:cs="Tahoma"/>
          <w:bCs/>
          <w:i/>
          <w:lang w:eastAsia="en-US"/>
        </w:rPr>
      </w:pPr>
      <w:r w:rsidRPr="00676E32">
        <w:rPr>
          <w:rFonts w:ascii="Palatino Linotype" w:eastAsia="Calibri" w:hAnsi="Palatino Linotype" w:cs="Tahoma"/>
          <w:bCs/>
          <w:i/>
          <w:lang w:eastAsia="en-US"/>
        </w:rPr>
        <w:t>Este plazo podrá ampliarse hasta por otros siete días hábiles, siempre que existan razones para ello, debiendo notifica</w:t>
      </w:r>
      <w:r>
        <w:rPr>
          <w:rFonts w:ascii="Palatino Linotype" w:eastAsia="Calibri" w:hAnsi="Palatino Linotype" w:cs="Tahoma"/>
          <w:bCs/>
          <w:i/>
          <w:lang w:eastAsia="en-US"/>
        </w:rPr>
        <w:t>rse por escrito al solicitante.</w:t>
      </w:r>
    </w:p>
    <w:p w14:paraId="10095B4A" w14:textId="77777777" w:rsidR="00DF274E" w:rsidRPr="00341AC3" w:rsidRDefault="00DF274E" w:rsidP="005F4A21">
      <w:pPr>
        <w:spacing w:line="360" w:lineRule="auto"/>
        <w:ind w:left="567" w:right="567"/>
        <w:jc w:val="both"/>
        <w:rPr>
          <w:rFonts w:ascii="Palatino Linotype" w:eastAsia="Calibri" w:hAnsi="Palatino Linotype" w:cs="Tahoma"/>
          <w:bCs/>
          <w:szCs w:val="22"/>
          <w:lang w:val="es-ES" w:eastAsia="en-US"/>
        </w:rPr>
      </w:pPr>
      <w:r w:rsidRPr="00341AC3">
        <w:rPr>
          <w:rFonts w:ascii="Palatino Linotype" w:eastAsia="Calibri" w:hAnsi="Palatino Linotype" w:cs="Tahoma"/>
          <w:bCs/>
          <w:szCs w:val="22"/>
          <w:lang w:val="es-ES" w:eastAsia="en-US"/>
        </w:rPr>
        <w:t>(Énfasis añadido)</w:t>
      </w:r>
    </w:p>
    <w:p w14:paraId="51FFF169" w14:textId="77777777" w:rsidR="00DF274E" w:rsidRDefault="00DF274E" w:rsidP="005F4A21">
      <w:pPr>
        <w:spacing w:line="360" w:lineRule="auto"/>
        <w:jc w:val="both"/>
        <w:rPr>
          <w:rFonts w:ascii="Palatino Linotype" w:eastAsia="Calibri" w:hAnsi="Palatino Linotype" w:cs="Tahoma"/>
          <w:bCs/>
          <w:sz w:val="22"/>
          <w:szCs w:val="22"/>
          <w:lang w:val="es-ES_tradnl" w:eastAsia="en-US"/>
        </w:rPr>
      </w:pPr>
    </w:p>
    <w:p w14:paraId="199EC140" w14:textId="77777777" w:rsidR="00166758" w:rsidRDefault="00DF274E" w:rsidP="00460DF5">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De la normatividad en cita, se desprende que el Sujeto Obligado declarará la inexistencia de la información, siempre y cuando, determiné que no localizó documentación que debió haber generado; es decir, este supuesto tiene lugar únicamente cuando los Sujetos Obligados, están constreñidos normativamente, o las Leyes y normas que rigen su actuar lo obligan a generar lo solicitado y por algún motivo no lo generaron</w:t>
      </w:r>
      <w:r w:rsidR="00166758">
        <w:rPr>
          <w:rFonts w:ascii="Palatino Linotype" w:eastAsia="Calibri" w:hAnsi="Palatino Linotype" w:cs="Tahoma"/>
          <w:bCs/>
          <w:sz w:val="22"/>
          <w:szCs w:val="22"/>
          <w:lang w:val="es-ES_tradnl" w:eastAsia="en-US"/>
        </w:rPr>
        <w:t>.</w:t>
      </w:r>
    </w:p>
    <w:p w14:paraId="12F2B5A6" w14:textId="77777777" w:rsidR="00166758" w:rsidRDefault="00166758" w:rsidP="00460DF5">
      <w:pPr>
        <w:spacing w:line="360" w:lineRule="auto"/>
        <w:contextualSpacing/>
        <w:jc w:val="both"/>
        <w:rPr>
          <w:rFonts w:ascii="Palatino Linotype" w:eastAsia="Calibri" w:hAnsi="Palatino Linotype" w:cs="Tahoma"/>
          <w:bCs/>
          <w:sz w:val="22"/>
          <w:szCs w:val="22"/>
          <w:lang w:val="es-ES_tradnl" w:eastAsia="en-US"/>
        </w:rPr>
      </w:pPr>
    </w:p>
    <w:p w14:paraId="042F686A" w14:textId="7DF2322C" w:rsidR="00166758" w:rsidRDefault="00166758" w:rsidP="00460DF5">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 xml:space="preserve">En el caso concreto que nos ocupa, el Sujeto Obligado manifestó en respuesta que no localizó la información solicitada y en informe justificado expresó que se trata de un trámite; lo que se </w:t>
      </w:r>
      <w:r>
        <w:rPr>
          <w:rFonts w:ascii="Palatino Linotype" w:eastAsia="Calibri" w:hAnsi="Palatino Linotype" w:cs="Tahoma"/>
          <w:bCs/>
          <w:sz w:val="22"/>
          <w:szCs w:val="22"/>
          <w:lang w:val="es-ES_tradnl" w:eastAsia="en-US"/>
        </w:rPr>
        <w:lastRenderedPageBreak/>
        <w:t>traduce, en que las partes involucradas en la subdivisión pudieron o no informar al Sujeto Obligado, pero la Secretaría de Desarrollo Urbano y Obra no está obligada a contar con la información, pues existe el supuesto, de que las partes involucradas no realizaran el trámite y por lo tanto, la Secretaría no cuente con la información.</w:t>
      </w:r>
    </w:p>
    <w:p w14:paraId="18C906FB" w14:textId="77777777" w:rsidR="00166758" w:rsidRDefault="00166758" w:rsidP="00460DF5">
      <w:pPr>
        <w:spacing w:line="360" w:lineRule="auto"/>
        <w:contextualSpacing/>
        <w:jc w:val="both"/>
        <w:rPr>
          <w:rFonts w:ascii="Palatino Linotype" w:eastAsia="Calibri" w:hAnsi="Palatino Linotype" w:cs="Tahoma"/>
          <w:bCs/>
          <w:sz w:val="22"/>
          <w:szCs w:val="22"/>
          <w:lang w:val="es-ES_tradnl" w:eastAsia="en-US"/>
        </w:rPr>
      </w:pPr>
    </w:p>
    <w:p w14:paraId="19724805" w14:textId="1D08F11B" w:rsidR="00BA6828" w:rsidRDefault="00166758" w:rsidP="00AC28E3">
      <w:pPr>
        <w:spacing w:line="360" w:lineRule="auto"/>
        <w:contextualSpacing/>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Aunado a lo anterior, del estudio minucioso al convenio que fue entregado por el Particular, no se advierte que personal de la Secretaría de Desarrollo Urbano y Obra haya comparecido o participado en la celebración del convenio en mención; lo que fortalece el argumento de que no cuente con la información y que no se encuentre obligado n</w:t>
      </w:r>
      <w:r w:rsidR="00AC28E3">
        <w:rPr>
          <w:rFonts w:ascii="Palatino Linotype" w:eastAsia="Calibri" w:hAnsi="Palatino Linotype" w:cs="Tahoma"/>
          <w:bCs/>
          <w:sz w:val="22"/>
          <w:szCs w:val="22"/>
          <w:lang w:val="es-ES_tradnl" w:eastAsia="en-US"/>
        </w:rPr>
        <w:t>ormativamente a contar con la documentación solicitada.</w:t>
      </w:r>
      <w:r w:rsidR="0066109F">
        <w:rPr>
          <w:rFonts w:ascii="Palatino Linotype" w:eastAsia="Calibri" w:hAnsi="Palatino Linotype" w:cs="Tahoma"/>
          <w:bCs/>
          <w:sz w:val="22"/>
          <w:szCs w:val="22"/>
          <w:lang w:val="es-ES_tradnl" w:eastAsia="en-US"/>
        </w:rPr>
        <w:t xml:space="preserve"> </w:t>
      </w:r>
      <w:r w:rsidR="00BA6828">
        <w:rPr>
          <w:rFonts w:ascii="Palatino Linotype" w:eastAsia="Calibri" w:hAnsi="Palatino Linotype" w:cs="Tahoma"/>
          <w:bCs/>
          <w:sz w:val="22"/>
          <w:szCs w:val="22"/>
          <w:lang w:val="es-ES_tradnl" w:eastAsia="en-US"/>
        </w:rPr>
        <w:t xml:space="preserve">En atención a lo expuesto, es dable considerar que el Sujeto Obligado no se encuentra constreñido a generar la información y que su expresión de hechos negativos, no ameritan la entrega de una declaratoria de inexistencia, por tanto, resultan infundados los motivos de inconformidad planteados por el Recurrente y es procedente </w:t>
      </w:r>
      <w:r w:rsidR="00BA6828" w:rsidRPr="00BA6828">
        <w:rPr>
          <w:rFonts w:ascii="Palatino Linotype" w:eastAsia="Calibri" w:hAnsi="Palatino Linotype" w:cs="Tahoma"/>
          <w:b/>
          <w:bCs/>
          <w:sz w:val="22"/>
          <w:szCs w:val="22"/>
          <w:lang w:val="es-ES_tradnl" w:eastAsia="en-US"/>
        </w:rPr>
        <w:t xml:space="preserve">CONFIRMAR </w:t>
      </w:r>
      <w:r w:rsidR="00BA6828">
        <w:rPr>
          <w:rFonts w:ascii="Palatino Linotype" w:eastAsia="Calibri" w:hAnsi="Palatino Linotype" w:cs="Tahoma"/>
          <w:bCs/>
          <w:sz w:val="22"/>
          <w:szCs w:val="22"/>
          <w:lang w:val="es-ES_tradnl" w:eastAsia="en-US"/>
        </w:rPr>
        <w:t xml:space="preserve">la respuesta del Sujeto Obligado. </w:t>
      </w:r>
    </w:p>
    <w:p w14:paraId="04511487" w14:textId="77777777" w:rsidR="00D8480C" w:rsidRPr="00460DF5" w:rsidRDefault="00D8480C" w:rsidP="00460DF5">
      <w:pPr>
        <w:spacing w:line="360" w:lineRule="auto"/>
        <w:contextualSpacing/>
        <w:jc w:val="both"/>
        <w:rPr>
          <w:rFonts w:ascii="Palatino Linotype" w:hAnsi="Palatino Linotype" w:cs="Tahoma"/>
          <w:b/>
          <w:sz w:val="22"/>
          <w:szCs w:val="22"/>
        </w:rPr>
      </w:pPr>
    </w:p>
    <w:p w14:paraId="03A4EECD" w14:textId="77777777" w:rsidR="00BA6828" w:rsidRPr="00857107" w:rsidRDefault="00BA6828" w:rsidP="00BA6828">
      <w:pPr>
        <w:spacing w:line="360" w:lineRule="auto"/>
        <w:contextualSpacing/>
        <w:jc w:val="both"/>
        <w:rPr>
          <w:rFonts w:ascii="Palatino Linotype" w:hAnsi="Palatino Linotype" w:cs="Tahoma"/>
          <w:b/>
          <w:sz w:val="22"/>
          <w:szCs w:val="22"/>
          <w:lang w:val="es-ES"/>
        </w:rPr>
      </w:pPr>
      <w:r w:rsidRPr="00857107">
        <w:rPr>
          <w:rFonts w:ascii="Palatino Linotype" w:hAnsi="Palatino Linotype" w:cs="Tahoma"/>
          <w:b/>
          <w:sz w:val="22"/>
          <w:szCs w:val="22"/>
          <w:lang w:val="es-ES"/>
        </w:rPr>
        <w:t xml:space="preserve">SEXTO. Decisión. </w:t>
      </w:r>
    </w:p>
    <w:p w14:paraId="6969D775" w14:textId="77777777" w:rsidR="00BA6828" w:rsidRPr="00857107" w:rsidRDefault="00BA6828" w:rsidP="00BA6828">
      <w:pPr>
        <w:spacing w:line="360" w:lineRule="auto"/>
        <w:contextualSpacing/>
        <w:jc w:val="both"/>
        <w:rPr>
          <w:rFonts w:ascii="Palatino Linotype" w:hAnsi="Palatino Linotype" w:cs="Tahoma"/>
          <w:b/>
          <w:sz w:val="22"/>
          <w:szCs w:val="22"/>
          <w:lang w:val="es-ES"/>
        </w:rPr>
      </w:pPr>
    </w:p>
    <w:p w14:paraId="1C7B8B0F" w14:textId="77777777" w:rsidR="00BA6828" w:rsidRDefault="00BA6828" w:rsidP="00BA6828">
      <w:pPr>
        <w:spacing w:line="360" w:lineRule="auto"/>
        <w:contextualSpacing/>
        <w:jc w:val="both"/>
        <w:rPr>
          <w:rFonts w:ascii="Palatino Linotype" w:hAnsi="Palatino Linotype" w:cs="Tahoma"/>
          <w:sz w:val="22"/>
          <w:szCs w:val="22"/>
        </w:rPr>
      </w:pPr>
      <w:r w:rsidRPr="0085710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857107">
        <w:rPr>
          <w:rFonts w:ascii="Palatino Linotype" w:hAnsi="Palatino Linotype" w:cs="Tahoma"/>
          <w:b/>
          <w:sz w:val="22"/>
          <w:szCs w:val="22"/>
        </w:rPr>
        <w:t xml:space="preserve">CONFIRMAR </w:t>
      </w:r>
      <w:r w:rsidRPr="00857107">
        <w:rPr>
          <w:rFonts w:ascii="Palatino Linotype" w:hAnsi="Palatino Linotype" w:cs="Tahoma"/>
          <w:sz w:val="22"/>
          <w:szCs w:val="22"/>
        </w:rPr>
        <w:t>la respuesta otorgada por el Sujeto Obligado.</w:t>
      </w:r>
    </w:p>
    <w:p w14:paraId="60D4A6E5" w14:textId="77777777" w:rsidR="00BA6828" w:rsidRPr="00857107" w:rsidRDefault="00BA6828" w:rsidP="00BA6828">
      <w:pPr>
        <w:spacing w:line="360" w:lineRule="auto"/>
        <w:contextualSpacing/>
        <w:jc w:val="both"/>
        <w:rPr>
          <w:rFonts w:ascii="Palatino Linotype" w:hAnsi="Palatino Linotype" w:cs="Tahoma"/>
          <w:sz w:val="22"/>
          <w:szCs w:val="22"/>
        </w:rPr>
      </w:pPr>
    </w:p>
    <w:p w14:paraId="4A9272F9" w14:textId="77777777" w:rsidR="00BA6828" w:rsidRPr="00857107" w:rsidRDefault="00BA6828" w:rsidP="00BA6828">
      <w:pPr>
        <w:spacing w:line="360" w:lineRule="auto"/>
        <w:contextualSpacing/>
        <w:jc w:val="both"/>
        <w:rPr>
          <w:rFonts w:ascii="Palatino Linotype" w:hAnsi="Palatino Linotype"/>
          <w:b/>
          <w:bCs/>
          <w:iCs/>
          <w:sz w:val="22"/>
          <w:szCs w:val="22"/>
          <w:u w:val="single"/>
          <w:lang w:val="es-ES"/>
        </w:rPr>
      </w:pPr>
      <w:r w:rsidRPr="00857107">
        <w:rPr>
          <w:rFonts w:ascii="Palatino Linotype" w:hAnsi="Palatino Linotype"/>
          <w:b/>
          <w:bCs/>
          <w:iCs/>
          <w:sz w:val="22"/>
          <w:szCs w:val="22"/>
          <w:u w:val="single"/>
          <w:lang w:val="es-ES"/>
        </w:rPr>
        <w:t>Términos de la Resolución para conocimiento del Particular.</w:t>
      </w:r>
    </w:p>
    <w:p w14:paraId="6F51A0F5" w14:textId="77777777" w:rsidR="00BA6828" w:rsidRPr="00857107" w:rsidRDefault="00BA6828" w:rsidP="00BA6828">
      <w:pPr>
        <w:spacing w:line="360" w:lineRule="auto"/>
        <w:contextualSpacing/>
        <w:jc w:val="both"/>
        <w:rPr>
          <w:rFonts w:ascii="Palatino Linotype" w:hAnsi="Palatino Linotype"/>
          <w:sz w:val="22"/>
          <w:szCs w:val="22"/>
        </w:rPr>
      </w:pPr>
    </w:p>
    <w:p w14:paraId="2998C36D" w14:textId="27310E3B" w:rsidR="00BA6828" w:rsidRDefault="00BA6828" w:rsidP="00BA6828">
      <w:pPr>
        <w:spacing w:line="360" w:lineRule="auto"/>
        <w:contextualSpacing/>
        <w:jc w:val="both"/>
        <w:rPr>
          <w:rFonts w:ascii="Palatino Linotype" w:hAnsi="Palatino Linotype"/>
          <w:sz w:val="22"/>
          <w:szCs w:val="22"/>
          <w:u w:val="single"/>
        </w:rPr>
      </w:pPr>
      <w:r w:rsidRPr="00857107">
        <w:rPr>
          <w:rFonts w:ascii="Palatino Linotype" w:hAnsi="Palatino Linotype"/>
          <w:sz w:val="22"/>
          <w:szCs w:val="22"/>
          <w:u w:val="single"/>
        </w:rPr>
        <w:t>Este Organismo Garante, determinó CONFIRMAR la respuesta del Sujet</w:t>
      </w:r>
      <w:r>
        <w:rPr>
          <w:rFonts w:ascii="Palatino Linotype" w:hAnsi="Palatino Linotype"/>
          <w:sz w:val="22"/>
          <w:szCs w:val="22"/>
          <w:u w:val="single"/>
        </w:rPr>
        <w:t xml:space="preserve">o Obligado, pues en respuesta, se indicó que no cuenta con la información solicitada; es importante mencionar que las autorizaciones para lotificación y demás trámites, se inician con la solicitud de los </w:t>
      </w:r>
      <w:r>
        <w:rPr>
          <w:rFonts w:ascii="Palatino Linotype" w:hAnsi="Palatino Linotype"/>
          <w:sz w:val="22"/>
          <w:szCs w:val="22"/>
          <w:u w:val="single"/>
        </w:rPr>
        <w:lastRenderedPageBreak/>
        <w:t>interesados, por lo que el Sujeto Obligado no se encuentra obligado a contar con la información y por lo tanto, no es procedente la entrega de la declaratoria de inexistencia.</w:t>
      </w:r>
    </w:p>
    <w:p w14:paraId="31506EA2" w14:textId="77777777" w:rsidR="00BA6828" w:rsidRDefault="00BA6828" w:rsidP="00BA6828">
      <w:pPr>
        <w:spacing w:line="360" w:lineRule="auto"/>
        <w:contextualSpacing/>
        <w:jc w:val="both"/>
        <w:rPr>
          <w:rFonts w:ascii="Palatino Linotype" w:hAnsi="Palatino Linotype"/>
          <w:sz w:val="22"/>
          <w:szCs w:val="22"/>
          <w:u w:val="single"/>
        </w:rPr>
      </w:pPr>
    </w:p>
    <w:p w14:paraId="121B4EDC" w14:textId="12D0B0A6" w:rsidR="00BA6828" w:rsidRPr="00857107" w:rsidRDefault="00BA6828" w:rsidP="00BA6828">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Es importante señalar que las declaratorias de inexistencia tienen lugar únicamente, cuando los Sujetos Obligados están obligados por Ley a generar, archivar y conocer de la información y no lo hicieron; sin embargo, en el caso que nos ocupa, al tratarse de un trámite que los particulares pueden o no hacer, el Sujeto Obligado no está constreñido a conocer de la información, porque pudo no haberse iniciado el trámite.</w:t>
      </w:r>
    </w:p>
    <w:p w14:paraId="3617F524" w14:textId="77777777" w:rsidR="00BA6828" w:rsidRPr="00857107" w:rsidRDefault="00BA6828" w:rsidP="00BA6828">
      <w:pPr>
        <w:spacing w:line="360" w:lineRule="auto"/>
        <w:contextualSpacing/>
        <w:jc w:val="both"/>
        <w:rPr>
          <w:rFonts w:ascii="Palatino Linotype" w:hAnsi="Palatino Linotype"/>
          <w:sz w:val="22"/>
          <w:szCs w:val="22"/>
          <w:highlight w:val="lightGray"/>
          <w:u w:val="single"/>
        </w:rPr>
      </w:pPr>
    </w:p>
    <w:p w14:paraId="5024368D" w14:textId="77777777" w:rsidR="00BA6828" w:rsidRPr="00857107" w:rsidRDefault="00BA6828" w:rsidP="00BA6828">
      <w:pPr>
        <w:spacing w:line="360" w:lineRule="auto"/>
        <w:contextualSpacing/>
        <w:jc w:val="both"/>
        <w:rPr>
          <w:rFonts w:ascii="Palatino Linotype" w:hAnsi="Palatino Linotype"/>
          <w:iCs/>
          <w:sz w:val="22"/>
          <w:szCs w:val="22"/>
          <w:lang w:val="es-ES"/>
        </w:rPr>
      </w:pPr>
      <w:r w:rsidRPr="00857107">
        <w:rPr>
          <w:rFonts w:ascii="Palatino Linotype" w:hAnsi="Palatino Linotype"/>
          <w:iCs/>
          <w:sz w:val="22"/>
          <w:szCs w:val="22"/>
          <w:u w:val="single"/>
          <w:lang w:val="es-ES"/>
        </w:rPr>
        <w:t>La labor del INFOEM, es apoyar a la población para acceder a la información pública y garantizar la protección de sus datos personales</w:t>
      </w:r>
      <w:r w:rsidRPr="00857107">
        <w:rPr>
          <w:rFonts w:ascii="Palatino Linotype" w:hAnsi="Palatino Linotype"/>
          <w:iCs/>
          <w:sz w:val="22"/>
          <w:szCs w:val="22"/>
          <w:lang w:val="es-ES"/>
        </w:rPr>
        <w:t>.</w:t>
      </w:r>
    </w:p>
    <w:p w14:paraId="184D9C36" w14:textId="77777777" w:rsidR="00BA6828" w:rsidRPr="00857107" w:rsidRDefault="00BA6828" w:rsidP="00BA6828">
      <w:pPr>
        <w:spacing w:line="360" w:lineRule="auto"/>
        <w:contextualSpacing/>
        <w:jc w:val="both"/>
        <w:rPr>
          <w:rFonts w:ascii="Palatino Linotype" w:hAnsi="Palatino Linotype"/>
          <w:iCs/>
          <w:sz w:val="22"/>
          <w:szCs w:val="22"/>
          <w:u w:val="single"/>
          <w:lang w:val="es-ES"/>
        </w:rPr>
      </w:pPr>
    </w:p>
    <w:p w14:paraId="746E870D" w14:textId="77777777" w:rsidR="00BA6828" w:rsidRPr="00857107" w:rsidRDefault="00BA6828" w:rsidP="00BA6828">
      <w:pPr>
        <w:spacing w:line="360" w:lineRule="auto"/>
        <w:contextualSpacing/>
        <w:jc w:val="both"/>
        <w:rPr>
          <w:rFonts w:ascii="Palatino Linotype" w:hAnsi="Palatino Linotype"/>
          <w:bCs/>
          <w:sz w:val="22"/>
          <w:szCs w:val="22"/>
        </w:rPr>
      </w:pPr>
      <w:r w:rsidRPr="00857107">
        <w:rPr>
          <w:rFonts w:ascii="Palatino Linotype" w:hAnsi="Palatino Linotype"/>
          <w:bCs/>
          <w:sz w:val="22"/>
          <w:szCs w:val="22"/>
        </w:rPr>
        <w:t>Por lo expuesto y fundado, este Pleno:</w:t>
      </w:r>
    </w:p>
    <w:p w14:paraId="4F3FE9D8" w14:textId="77777777" w:rsidR="00BA6828" w:rsidRPr="00857107" w:rsidRDefault="00BA6828" w:rsidP="00BA6828">
      <w:pPr>
        <w:spacing w:line="360" w:lineRule="auto"/>
        <w:contextualSpacing/>
        <w:jc w:val="both"/>
        <w:rPr>
          <w:rFonts w:ascii="Palatino Linotype" w:eastAsia="Calibri" w:hAnsi="Palatino Linotype" w:cs="Tahoma"/>
          <w:bCs/>
          <w:sz w:val="22"/>
          <w:szCs w:val="22"/>
          <w:lang w:eastAsia="en-US"/>
        </w:rPr>
      </w:pPr>
    </w:p>
    <w:p w14:paraId="61FAE181" w14:textId="77777777" w:rsidR="00BA6828" w:rsidRPr="00857107" w:rsidRDefault="00BA6828" w:rsidP="00BA6828">
      <w:pPr>
        <w:spacing w:line="360" w:lineRule="auto"/>
        <w:contextualSpacing/>
        <w:jc w:val="center"/>
        <w:rPr>
          <w:rFonts w:ascii="Palatino Linotype" w:eastAsia="Calibri" w:hAnsi="Palatino Linotype" w:cs="Tahoma"/>
          <w:b/>
          <w:bCs/>
          <w:sz w:val="22"/>
          <w:szCs w:val="22"/>
          <w:lang w:eastAsia="en-US"/>
        </w:rPr>
      </w:pPr>
      <w:r w:rsidRPr="00857107">
        <w:rPr>
          <w:rFonts w:ascii="Palatino Linotype" w:eastAsia="Calibri" w:hAnsi="Palatino Linotype" w:cs="Tahoma"/>
          <w:b/>
          <w:bCs/>
          <w:sz w:val="22"/>
          <w:szCs w:val="22"/>
          <w:lang w:eastAsia="en-US"/>
        </w:rPr>
        <w:t>R E S U E L V E</w:t>
      </w:r>
    </w:p>
    <w:p w14:paraId="4187CCC7" w14:textId="77777777" w:rsidR="00BA6828" w:rsidRPr="00857107" w:rsidRDefault="00BA6828" w:rsidP="00BA6828">
      <w:pPr>
        <w:spacing w:line="360" w:lineRule="auto"/>
        <w:contextualSpacing/>
        <w:jc w:val="center"/>
        <w:rPr>
          <w:rFonts w:ascii="Palatino Linotype" w:hAnsi="Palatino Linotype" w:cs="Tahoma"/>
          <w:b/>
          <w:bCs/>
          <w:sz w:val="22"/>
          <w:szCs w:val="22"/>
        </w:rPr>
      </w:pPr>
    </w:p>
    <w:p w14:paraId="11C7D193" w14:textId="7264FAFE" w:rsidR="00BA6828" w:rsidRPr="00857107" w:rsidRDefault="00BA6828" w:rsidP="00BA6828">
      <w:pPr>
        <w:spacing w:line="360" w:lineRule="auto"/>
        <w:contextualSpacing/>
        <w:jc w:val="both"/>
        <w:rPr>
          <w:rFonts w:ascii="Palatino Linotype" w:eastAsia="Calibri" w:hAnsi="Palatino Linotype" w:cs="Tahoma"/>
          <w:bCs/>
          <w:iCs/>
          <w:sz w:val="22"/>
          <w:szCs w:val="22"/>
          <w:lang w:eastAsia="en-US"/>
        </w:rPr>
      </w:pPr>
      <w:r w:rsidRPr="00857107">
        <w:rPr>
          <w:rFonts w:ascii="Palatino Linotype" w:eastAsia="Calibri" w:hAnsi="Palatino Linotype" w:cs="Tahoma"/>
          <w:b/>
          <w:bCs/>
          <w:iCs/>
          <w:sz w:val="22"/>
          <w:szCs w:val="22"/>
          <w:lang w:eastAsia="en-US"/>
        </w:rPr>
        <w:t xml:space="preserve">PRIMERO. </w:t>
      </w:r>
      <w:r w:rsidRPr="00857107">
        <w:rPr>
          <w:rFonts w:ascii="Palatino Linotype" w:eastAsia="Calibri" w:hAnsi="Palatino Linotype" w:cs="Tahoma"/>
          <w:bCs/>
          <w:iCs/>
          <w:sz w:val="22"/>
          <w:szCs w:val="22"/>
          <w:lang w:eastAsia="en-US"/>
        </w:rPr>
        <w:t xml:space="preserve">Se </w:t>
      </w:r>
      <w:r w:rsidRPr="00857107">
        <w:rPr>
          <w:rFonts w:ascii="Palatino Linotype" w:eastAsia="Calibri" w:hAnsi="Palatino Linotype" w:cs="Tahoma"/>
          <w:b/>
          <w:bCs/>
          <w:iCs/>
          <w:sz w:val="22"/>
          <w:szCs w:val="22"/>
          <w:lang w:eastAsia="en-US"/>
        </w:rPr>
        <w:t>CONFIRMA</w:t>
      </w:r>
      <w:r w:rsidRPr="00857107">
        <w:rPr>
          <w:rFonts w:ascii="Palatino Linotype" w:eastAsia="Calibri" w:hAnsi="Palatino Linotype" w:cs="Tahoma"/>
          <w:bCs/>
          <w:iCs/>
          <w:sz w:val="22"/>
          <w:szCs w:val="22"/>
          <w:lang w:eastAsia="en-US"/>
        </w:rPr>
        <w:t xml:space="preserve"> la respuesta del Sujeto Obligado</w:t>
      </w:r>
      <w:r w:rsidRPr="00857107">
        <w:rPr>
          <w:rFonts w:ascii="Palatino Linotype" w:eastAsia="Calibri" w:hAnsi="Palatino Linotype" w:cs="Tahoma"/>
          <w:b/>
          <w:bCs/>
          <w:iCs/>
          <w:sz w:val="22"/>
          <w:szCs w:val="22"/>
          <w:lang w:eastAsia="en-US"/>
        </w:rPr>
        <w:t xml:space="preserve"> </w:t>
      </w:r>
      <w:r w:rsidRPr="00857107">
        <w:rPr>
          <w:rFonts w:ascii="Palatino Linotype" w:eastAsia="Calibri" w:hAnsi="Palatino Linotype" w:cs="Tahoma"/>
          <w:bCs/>
          <w:iCs/>
          <w:sz w:val="22"/>
          <w:szCs w:val="22"/>
          <w:lang w:eastAsia="en-US"/>
        </w:rPr>
        <w:t xml:space="preserve">a la solicitud de información </w:t>
      </w:r>
      <w:r w:rsidRPr="00BA6828">
        <w:rPr>
          <w:rFonts w:ascii="Palatino Linotype" w:hAnsi="Palatino Linotype"/>
          <w:b/>
          <w:bCs/>
          <w:sz w:val="22"/>
          <w:szCs w:val="22"/>
        </w:rPr>
        <w:t>00046/SEDUO/IP/2022</w:t>
      </w:r>
      <w:r w:rsidRPr="00857107">
        <w:rPr>
          <w:rFonts w:ascii="Palatino Linotype" w:eastAsia="Calibri" w:hAnsi="Palatino Linotype"/>
          <w:color w:val="000000"/>
          <w:sz w:val="22"/>
          <w:szCs w:val="22"/>
        </w:rPr>
        <w:t>,</w:t>
      </w:r>
      <w:r w:rsidRPr="00857107">
        <w:rPr>
          <w:rFonts w:ascii="Palatino Linotype" w:eastAsia="Calibri" w:hAnsi="Palatino Linotype" w:cs="Tahoma"/>
          <w:b/>
          <w:bCs/>
          <w:iCs/>
          <w:sz w:val="22"/>
          <w:szCs w:val="22"/>
          <w:lang w:eastAsia="en-US"/>
        </w:rPr>
        <w:t xml:space="preserve"> </w:t>
      </w:r>
      <w:r w:rsidRPr="00857107">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Pr>
          <w:rFonts w:ascii="Palatino Linotype" w:eastAsia="Calibri" w:hAnsi="Palatino Linotype" w:cs="Tahoma"/>
          <w:b/>
          <w:bCs/>
          <w:sz w:val="22"/>
          <w:szCs w:val="22"/>
          <w:lang w:eastAsia="en-US"/>
        </w:rPr>
        <w:t>01966/INFOEM/IP/RR/2022</w:t>
      </w:r>
      <w:r w:rsidRPr="00460DF5">
        <w:rPr>
          <w:rFonts w:ascii="Palatino Linotype" w:hAnsi="Palatino Linotype" w:cs="Tahoma"/>
          <w:b/>
          <w:bCs/>
          <w:sz w:val="22"/>
          <w:szCs w:val="22"/>
        </w:rPr>
        <w:t>,</w:t>
      </w:r>
      <w:r w:rsidRPr="00857107">
        <w:rPr>
          <w:rFonts w:ascii="Palatino Linotype" w:eastAsia="Calibri" w:hAnsi="Palatino Linotype" w:cs="Tahoma"/>
          <w:bCs/>
          <w:iCs/>
          <w:sz w:val="22"/>
          <w:szCs w:val="22"/>
          <w:lang w:eastAsia="en-US"/>
        </w:rPr>
        <w:t xml:space="preserve"> en términos de los Considerandos </w:t>
      </w:r>
      <w:r w:rsidRPr="00B57C5E">
        <w:rPr>
          <w:rFonts w:ascii="Palatino Linotype" w:eastAsia="Calibri" w:hAnsi="Palatino Linotype" w:cs="Tahoma"/>
          <w:iCs/>
          <w:sz w:val="22"/>
          <w:szCs w:val="22"/>
          <w:lang w:eastAsia="en-US"/>
        </w:rPr>
        <w:t>QUINTO y SEXTO</w:t>
      </w:r>
      <w:r w:rsidRPr="00857107">
        <w:rPr>
          <w:rFonts w:ascii="Palatino Linotype" w:eastAsia="Calibri" w:hAnsi="Palatino Linotype" w:cs="Tahoma"/>
          <w:b/>
          <w:bCs/>
          <w:iCs/>
          <w:sz w:val="22"/>
          <w:szCs w:val="22"/>
          <w:lang w:eastAsia="en-US"/>
        </w:rPr>
        <w:t xml:space="preserve"> </w:t>
      </w:r>
      <w:r w:rsidRPr="00857107">
        <w:rPr>
          <w:rFonts w:ascii="Palatino Linotype" w:eastAsia="Calibri" w:hAnsi="Palatino Linotype" w:cs="Tahoma"/>
          <w:bCs/>
          <w:iCs/>
          <w:sz w:val="22"/>
          <w:szCs w:val="22"/>
          <w:lang w:eastAsia="en-US"/>
        </w:rPr>
        <w:t xml:space="preserve">de esta Resolución.  </w:t>
      </w:r>
    </w:p>
    <w:p w14:paraId="39BFC1BB" w14:textId="77777777" w:rsidR="00BA6828" w:rsidRPr="00857107" w:rsidRDefault="00BA6828" w:rsidP="00BA6828">
      <w:pPr>
        <w:spacing w:line="360" w:lineRule="auto"/>
        <w:contextualSpacing/>
        <w:jc w:val="both"/>
        <w:rPr>
          <w:rFonts w:ascii="Palatino Linotype" w:eastAsia="Calibri" w:hAnsi="Palatino Linotype" w:cs="Tahoma"/>
          <w:bCs/>
          <w:iCs/>
          <w:sz w:val="22"/>
          <w:szCs w:val="22"/>
          <w:lang w:eastAsia="en-US"/>
        </w:rPr>
      </w:pPr>
    </w:p>
    <w:p w14:paraId="0C77E7CC" w14:textId="77777777" w:rsidR="00BA6828" w:rsidRPr="00857107" w:rsidRDefault="00BA6828" w:rsidP="00BA6828">
      <w:pPr>
        <w:spacing w:line="360" w:lineRule="auto"/>
        <w:contextualSpacing/>
        <w:jc w:val="both"/>
        <w:rPr>
          <w:rFonts w:ascii="Palatino Linotype" w:eastAsia="Calibri" w:hAnsi="Palatino Linotype" w:cs="Tahoma"/>
          <w:bCs/>
          <w:i/>
          <w:iCs/>
          <w:sz w:val="22"/>
          <w:szCs w:val="22"/>
          <w:lang w:eastAsia="en-US"/>
        </w:rPr>
      </w:pPr>
      <w:r w:rsidRPr="00857107">
        <w:rPr>
          <w:rFonts w:ascii="Palatino Linotype" w:eastAsia="Calibri" w:hAnsi="Palatino Linotype" w:cs="Tahoma"/>
          <w:b/>
          <w:bCs/>
          <w:iCs/>
          <w:sz w:val="22"/>
          <w:szCs w:val="22"/>
          <w:lang w:eastAsia="en-US"/>
        </w:rPr>
        <w:t xml:space="preserve">SEGUNDO. NOTIFÍQUESE </w:t>
      </w:r>
      <w:r w:rsidRPr="00857107">
        <w:rPr>
          <w:rFonts w:ascii="Palatino Linotype" w:eastAsia="Calibri" w:hAnsi="Palatino Linotype" w:cs="Tahoma"/>
          <w:bCs/>
          <w:iCs/>
          <w:sz w:val="22"/>
          <w:szCs w:val="22"/>
          <w:lang w:eastAsia="en-US"/>
        </w:rPr>
        <w:t>la presente resolución al Titular de la Unidad de Transparencia del Sujeto Obligado, a través de Sistema de Acceso a la Información Mexiquense (SAIMEX).</w:t>
      </w:r>
    </w:p>
    <w:p w14:paraId="6F042DCF" w14:textId="77777777" w:rsidR="00BA6828" w:rsidRPr="00857107" w:rsidRDefault="00BA6828" w:rsidP="00BA6828">
      <w:pPr>
        <w:spacing w:line="360" w:lineRule="auto"/>
        <w:contextualSpacing/>
        <w:jc w:val="both"/>
        <w:rPr>
          <w:rFonts w:ascii="Palatino Linotype" w:eastAsia="Calibri" w:hAnsi="Palatino Linotype" w:cs="Tahoma"/>
          <w:bCs/>
          <w:iCs/>
          <w:sz w:val="22"/>
          <w:szCs w:val="22"/>
          <w:lang w:eastAsia="en-US"/>
        </w:rPr>
      </w:pPr>
    </w:p>
    <w:p w14:paraId="0E5E60F4" w14:textId="77777777" w:rsidR="00BA6828" w:rsidRPr="00857107" w:rsidRDefault="00BA6828" w:rsidP="00BA6828">
      <w:pPr>
        <w:spacing w:line="360" w:lineRule="auto"/>
        <w:contextualSpacing/>
        <w:jc w:val="both"/>
        <w:rPr>
          <w:rFonts w:ascii="Palatino Linotype" w:eastAsia="Calibri" w:hAnsi="Palatino Linotype" w:cs="Tahoma"/>
          <w:bCs/>
          <w:iCs/>
          <w:sz w:val="22"/>
          <w:szCs w:val="22"/>
          <w:lang w:eastAsia="en-US"/>
        </w:rPr>
      </w:pPr>
      <w:r w:rsidRPr="00857107">
        <w:rPr>
          <w:rFonts w:ascii="Palatino Linotype" w:eastAsia="Calibri" w:hAnsi="Palatino Linotype" w:cs="Tahoma"/>
          <w:b/>
          <w:bCs/>
          <w:iCs/>
          <w:sz w:val="22"/>
          <w:szCs w:val="22"/>
          <w:lang w:eastAsia="en-US"/>
        </w:rPr>
        <w:t>TERCERO. NOTIFÍQUESE</w:t>
      </w:r>
      <w:r w:rsidRPr="00857107">
        <w:rPr>
          <w:rFonts w:ascii="Palatino Linotype" w:eastAsia="Calibri" w:hAnsi="Palatino Linotype" w:cs="Tahoma"/>
          <w:bCs/>
          <w:iCs/>
          <w:sz w:val="22"/>
          <w:szCs w:val="22"/>
          <w:lang w:eastAsia="en-US"/>
        </w:rPr>
        <w:t xml:space="preserve"> al Recurrente la presente Resolución, vía Sistema de Acceso a la Información Mexiquense (SAIMEX); asimismo, se hace de su conocimiento que de conformidad con lo establecido en el artículo 196 de la Ley de Transparencia y Acceso a la </w:t>
      </w:r>
      <w:r w:rsidRPr="00857107">
        <w:rPr>
          <w:rFonts w:ascii="Palatino Linotype" w:eastAsia="Calibri" w:hAnsi="Palatino Linotype" w:cs="Tahoma"/>
          <w:bCs/>
          <w:iCs/>
          <w:sz w:val="22"/>
          <w:szCs w:val="22"/>
          <w:lang w:eastAsia="en-US"/>
        </w:rPr>
        <w:lastRenderedPageBreak/>
        <w:t>Información Pública del Estado de México y Municipios podrá promover el Juicio de Amparo en los términos de las leyes aplicables.</w:t>
      </w:r>
    </w:p>
    <w:p w14:paraId="7594C3C1" w14:textId="77777777" w:rsidR="00D8480C" w:rsidRPr="00460DF5" w:rsidRDefault="00D8480C" w:rsidP="00460DF5">
      <w:pPr>
        <w:spacing w:line="360" w:lineRule="auto"/>
        <w:contextualSpacing/>
        <w:jc w:val="both"/>
        <w:rPr>
          <w:rFonts w:ascii="Palatino Linotype" w:eastAsia="Calibri" w:hAnsi="Palatino Linotype" w:cs="Tahoma"/>
          <w:sz w:val="22"/>
          <w:szCs w:val="22"/>
          <w:lang w:val="es-ES" w:eastAsia="es-ES_tradnl"/>
        </w:rPr>
      </w:pPr>
    </w:p>
    <w:p w14:paraId="54CF4FCB" w14:textId="410EA235" w:rsidR="00D8480C" w:rsidRPr="00460DF5" w:rsidRDefault="00910463" w:rsidP="00460DF5">
      <w:pPr>
        <w:spacing w:line="360" w:lineRule="auto"/>
        <w:contextualSpacing/>
        <w:jc w:val="both"/>
        <w:rPr>
          <w:rFonts w:ascii="Palatino Linotype" w:hAnsi="Palatino Linotype" w:cs="Tahoma"/>
          <w:sz w:val="22"/>
          <w:szCs w:val="22"/>
          <w:lang w:eastAsia="es-MX"/>
        </w:rPr>
      </w:pPr>
      <w:r w:rsidRPr="00460DF5">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82023" w:rsidRPr="00460DF5">
        <w:rPr>
          <w:rFonts w:ascii="Palatino Linotype" w:hAnsi="Palatino Linotype"/>
          <w:sz w:val="22"/>
          <w:szCs w:val="22"/>
        </w:rPr>
        <w:t>DÉCIMA</w:t>
      </w:r>
      <w:r w:rsidRPr="00460DF5">
        <w:rPr>
          <w:rFonts w:ascii="Palatino Linotype" w:hAnsi="Palatino Linotype"/>
          <w:sz w:val="22"/>
          <w:szCs w:val="22"/>
        </w:rPr>
        <w:t xml:space="preserve"> </w:t>
      </w:r>
      <w:r w:rsidR="00A322E6">
        <w:rPr>
          <w:rFonts w:ascii="Palatino Linotype" w:hAnsi="Palatino Linotype"/>
          <w:sz w:val="22"/>
          <w:szCs w:val="22"/>
        </w:rPr>
        <w:t>SEXTA</w:t>
      </w:r>
      <w:r w:rsidR="0076199D" w:rsidRPr="00460DF5">
        <w:rPr>
          <w:rFonts w:ascii="Palatino Linotype" w:hAnsi="Palatino Linotype"/>
          <w:sz w:val="22"/>
          <w:szCs w:val="22"/>
        </w:rPr>
        <w:t xml:space="preserve"> </w:t>
      </w:r>
      <w:r w:rsidRPr="00460DF5">
        <w:rPr>
          <w:rFonts w:ascii="Palatino Linotype" w:hAnsi="Palatino Linotype"/>
          <w:sz w:val="22"/>
          <w:szCs w:val="22"/>
        </w:rPr>
        <w:t xml:space="preserve">SESIÓN ORDINARIA, CELEBRADA EL </w:t>
      </w:r>
      <w:r w:rsidR="0076199D" w:rsidRPr="00460DF5">
        <w:rPr>
          <w:rFonts w:ascii="Palatino Linotype" w:hAnsi="Palatino Linotype"/>
          <w:sz w:val="22"/>
          <w:szCs w:val="22"/>
        </w:rPr>
        <w:t xml:space="preserve"> </w:t>
      </w:r>
      <w:r w:rsidR="00A322E6">
        <w:rPr>
          <w:rFonts w:ascii="Palatino Linotype" w:hAnsi="Palatino Linotype"/>
          <w:sz w:val="22"/>
          <w:szCs w:val="22"/>
        </w:rPr>
        <w:t>CUATRO DE MAYO</w:t>
      </w:r>
      <w:r w:rsidR="00BF35DC" w:rsidRPr="00460DF5">
        <w:rPr>
          <w:rFonts w:ascii="Palatino Linotype" w:hAnsi="Palatino Linotype"/>
          <w:sz w:val="22"/>
          <w:szCs w:val="22"/>
        </w:rPr>
        <w:t xml:space="preserve"> </w:t>
      </w:r>
      <w:r w:rsidRPr="00460DF5">
        <w:rPr>
          <w:rFonts w:ascii="Palatino Linotype" w:hAnsi="Palatino Linotype"/>
          <w:sz w:val="22"/>
          <w:szCs w:val="22"/>
        </w:rPr>
        <w:t xml:space="preserve">DE </w:t>
      </w:r>
      <w:r w:rsidR="00DC3F7C" w:rsidRPr="00460DF5">
        <w:rPr>
          <w:rFonts w:ascii="Palatino Linotype" w:hAnsi="Palatino Linotype"/>
          <w:sz w:val="22"/>
          <w:szCs w:val="22"/>
        </w:rPr>
        <w:t>DOS MIL VEINTIDÓS,</w:t>
      </w:r>
      <w:r w:rsidRPr="00460DF5">
        <w:rPr>
          <w:rFonts w:ascii="Palatino Linotype" w:hAnsi="Palatino Linotype"/>
          <w:sz w:val="22"/>
          <w:szCs w:val="22"/>
        </w:rPr>
        <w:t xml:space="preserve"> ANTE EL SECRETARIO TÉCNICO DEL PLENO, ALEXIS TAPIA RAMÍREZ.</w:t>
      </w:r>
    </w:p>
    <w:p w14:paraId="48381867" w14:textId="5FB382EE" w:rsidR="00D53E36" w:rsidRDefault="00D53E36">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04B2BE14" w14:textId="77777777" w:rsidR="003633DC" w:rsidRPr="00460DF5" w:rsidRDefault="003633DC" w:rsidP="00460DF5">
      <w:pPr>
        <w:spacing w:line="360" w:lineRule="auto"/>
        <w:contextualSpacing/>
        <w:jc w:val="both"/>
        <w:rPr>
          <w:rFonts w:ascii="Palatino Linotype" w:hAnsi="Palatino Linotype" w:cs="Tahoma"/>
          <w:sz w:val="22"/>
          <w:szCs w:val="22"/>
        </w:rPr>
      </w:pPr>
    </w:p>
    <w:sectPr w:rsidR="003633DC" w:rsidRPr="00460DF5" w:rsidSect="00DB7E5F">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1739" w14:textId="77777777" w:rsidR="005E17A5" w:rsidRDefault="005E17A5" w:rsidP="00B31222">
      <w:r>
        <w:separator/>
      </w:r>
    </w:p>
  </w:endnote>
  <w:endnote w:type="continuationSeparator" w:id="0">
    <w:p w14:paraId="4A7CE0DD" w14:textId="77777777" w:rsidR="005E17A5" w:rsidRDefault="005E17A5" w:rsidP="00B31222">
      <w:r>
        <w:continuationSeparator/>
      </w:r>
    </w:p>
  </w:endnote>
  <w:endnote w:type="continuationNotice" w:id="1">
    <w:p w14:paraId="1A907A58" w14:textId="77777777" w:rsidR="005E17A5" w:rsidRDefault="005E17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5F4A21" w:rsidRDefault="005F4A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0EE5">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0EE5">
              <w:rPr>
                <w:b/>
                <w:bCs/>
                <w:noProof/>
              </w:rPr>
              <w:t>29</w:t>
            </w:r>
            <w:r>
              <w:rPr>
                <w:b/>
                <w:bCs/>
                <w:sz w:val="24"/>
                <w:szCs w:val="24"/>
              </w:rPr>
              <w:fldChar w:fldCharType="end"/>
            </w:r>
          </w:p>
        </w:sdtContent>
      </w:sdt>
    </w:sdtContent>
  </w:sdt>
  <w:p w14:paraId="06068AAA" w14:textId="77777777" w:rsidR="005F4A21" w:rsidRDefault="005F4A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5F4A21" w:rsidRDefault="005F4A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0EE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0EE5">
              <w:rPr>
                <w:b/>
                <w:bCs/>
                <w:noProof/>
              </w:rPr>
              <w:t>29</w:t>
            </w:r>
            <w:r>
              <w:rPr>
                <w:b/>
                <w:bCs/>
                <w:sz w:val="24"/>
                <w:szCs w:val="24"/>
              </w:rPr>
              <w:fldChar w:fldCharType="end"/>
            </w:r>
          </w:p>
        </w:sdtContent>
      </w:sdt>
    </w:sdtContent>
  </w:sdt>
  <w:p w14:paraId="6325C9F5" w14:textId="77777777" w:rsidR="005F4A21" w:rsidRDefault="005F4A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F2AE" w14:textId="77777777" w:rsidR="005E17A5" w:rsidRDefault="005E17A5" w:rsidP="00B31222">
      <w:r>
        <w:separator/>
      </w:r>
    </w:p>
  </w:footnote>
  <w:footnote w:type="continuationSeparator" w:id="0">
    <w:p w14:paraId="30CE3790" w14:textId="77777777" w:rsidR="005E17A5" w:rsidRDefault="005E17A5" w:rsidP="00B31222">
      <w:r>
        <w:continuationSeparator/>
      </w:r>
    </w:p>
  </w:footnote>
  <w:footnote w:type="continuationNotice" w:id="1">
    <w:p w14:paraId="2BDD154F" w14:textId="77777777" w:rsidR="005E17A5" w:rsidRDefault="005E1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5F4A21" w:rsidRDefault="00D53E36">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5F4A21" w:rsidRPr="005C106F" w14:paraId="70F3064E" w14:textId="77777777" w:rsidTr="00202DB8">
      <w:trPr>
        <w:trHeight w:val="1435"/>
      </w:trPr>
      <w:tc>
        <w:tcPr>
          <w:tcW w:w="2835" w:type="dxa"/>
          <w:shd w:val="clear" w:color="auto" w:fill="auto"/>
        </w:tcPr>
        <w:p w14:paraId="75B9D58F" w14:textId="4D562C87" w:rsidR="005F4A21" w:rsidRPr="005C106F" w:rsidRDefault="005F4A21"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5F4A21" w:rsidRDefault="005F4A21"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5F4A21" w14:paraId="7562D8B9" w14:textId="77777777" w:rsidTr="00117DCC">
            <w:trPr>
              <w:trHeight w:val="144"/>
            </w:trPr>
            <w:tc>
              <w:tcPr>
                <w:tcW w:w="3011" w:type="dxa"/>
              </w:tcPr>
              <w:p w14:paraId="1DD2CB33" w14:textId="77777777" w:rsidR="005F4A21" w:rsidRPr="00431A70" w:rsidRDefault="005F4A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3ACA13B5" w14:textId="3958FCCE" w:rsidR="005F4A21" w:rsidRPr="00431A70" w:rsidRDefault="005F4A21" w:rsidP="00117DCC">
                <w:pPr>
                  <w:tabs>
                    <w:tab w:val="right" w:pos="8838"/>
                  </w:tabs>
                  <w:ind w:left="-106" w:right="33"/>
                  <w:jc w:val="both"/>
                  <w:rPr>
                    <w:rFonts w:ascii="Palatino Linotype" w:eastAsia="Calibri" w:hAnsi="Palatino Linotype" w:cs="Tahoma"/>
                    <w:b/>
                    <w:bCs/>
                    <w:sz w:val="22"/>
                    <w:szCs w:val="22"/>
                    <w:lang w:eastAsia="en-US"/>
                  </w:rPr>
                </w:pPr>
                <w:r w:rsidRPr="008F1915">
                  <w:rPr>
                    <w:rFonts w:ascii="Palatino Linotype" w:eastAsia="Calibri" w:hAnsi="Palatino Linotype" w:cs="Tahoma"/>
                    <w:b/>
                    <w:bCs/>
                    <w:sz w:val="22"/>
                    <w:szCs w:val="22"/>
                    <w:lang w:eastAsia="en-US"/>
                  </w:rPr>
                  <w:t>01966/INFOEM/IP/RR/2022</w:t>
                </w:r>
              </w:p>
            </w:tc>
          </w:tr>
          <w:tr w:rsidR="005F4A21" w14:paraId="43905939" w14:textId="77777777" w:rsidTr="00117DCC">
            <w:trPr>
              <w:trHeight w:val="283"/>
            </w:trPr>
            <w:tc>
              <w:tcPr>
                <w:tcW w:w="3011" w:type="dxa"/>
              </w:tcPr>
              <w:p w14:paraId="6C212678" w14:textId="77777777" w:rsidR="005F4A21" w:rsidRPr="00431A70" w:rsidRDefault="005F4A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4ECDADC6" w14:textId="6F002276" w:rsidR="005F4A21" w:rsidRPr="005F13CF" w:rsidRDefault="005F4A21" w:rsidP="00117DCC">
                <w:pPr>
                  <w:tabs>
                    <w:tab w:val="left" w:pos="2834"/>
                    <w:tab w:val="right" w:pos="8838"/>
                  </w:tabs>
                  <w:ind w:left="-106" w:right="33"/>
                  <w:jc w:val="both"/>
                  <w:rPr>
                    <w:rFonts w:ascii="Palatino Linotype" w:eastAsia="Calibri" w:hAnsi="Palatino Linotype" w:cs="Tahoma"/>
                    <w:bCs/>
                    <w:sz w:val="22"/>
                    <w:szCs w:val="22"/>
                    <w:lang w:eastAsia="en-US"/>
                  </w:rPr>
                </w:pPr>
                <w:r w:rsidRPr="008F1915">
                  <w:rPr>
                    <w:rFonts w:ascii="Palatino Linotype" w:eastAsia="Calibri" w:hAnsi="Palatino Linotype" w:cs="Tahoma"/>
                    <w:bCs/>
                    <w:sz w:val="22"/>
                    <w:szCs w:val="22"/>
                    <w:lang w:eastAsia="en-US"/>
                  </w:rPr>
                  <w:t>Secretaría de Desarrollo Urbano y Obra</w:t>
                </w:r>
              </w:p>
            </w:tc>
          </w:tr>
          <w:tr w:rsidR="005F4A21" w14:paraId="5658CE71" w14:textId="77777777" w:rsidTr="00117DCC">
            <w:trPr>
              <w:trHeight w:val="283"/>
            </w:trPr>
            <w:tc>
              <w:tcPr>
                <w:tcW w:w="3011" w:type="dxa"/>
              </w:tcPr>
              <w:p w14:paraId="13BBC6D0" w14:textId="77777777" w:rsidR="005F4A21" w:rsidRPr="00431A70" w:rsidRDefault="005F4A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5C6CAA4" w14:textId="77777777" w:rsidR="005F4A21" w:rsidRPr="00431A70" w:rsidRDefault="005F4A21"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5F4A21" w:rsidRPr="005C106F" w:rsidRDefault="005F4A21" w:rsidP="005743D2">
          <w:pPr>
            <w:tabs>
              <w:tab w:val="right" w:pos="8838"/>
            </w:tabs>
            <w:ind w:left="-28"/>
            <w:jc w:val="both"/>
            <w:rPr>
              <w:rFonts w:ascii="Arial" w:eastAsia="Calibri" w:hAnsi="Arial" w:cs="Arial"/>
              <w:b/>
              <w:sz w:val="22"/>
              <w:szCs w:val="22"/>
              <w:lang w:eastAsia="en-US"/>
            </w:rPr>
          </w:pPr>
        </w:p>
      </w:tc>
    </w:tr>
  </w:tbl>
  <w:p w14:paraId="3645CE0E" w14:textId="77777777" w:rsidR="005F4A21" w:rsidRPr="00443C6B" w:rsidRDefault="00D53E36"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5F4A21" w:rsidRPr="00330DA7" w14:paraId="260C3287" w14:textId="77777777" w:rsidTr="003B165A">
      <w:trPr>
        <w:trHeight w:val="1435"/>
      </w:trPr>
      <w:tc>
        <w:tcPr>
          <w:tcW w:w="2835" w:type="dxa"/>
          <w:shd w:val="clear" w:color="auto" w:fill="auto"/>
        </w:tcPr>
        <w:p w14:paraId="2786E3E5" w14:textId="34BF8D2B" w:rsidR="005F4A21" w:rsidRPr="00330DA7" w:rsidRDefault="005F4A21"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5F4A21" w:rsidRPr="00431A70" w14:paraId="70AEE1B2" w14:textId="77777777" w:rsidTr="00117DCC">
            <w:trPr>
              <w:trHeight w:val="144"/>
            </w:trPr>
            <w:tc>
              <w:tcPr>
                <w:tcW w:w="3011" w:type="dxa"/>
              </w:tcPr>
              <w:p w14:paraId="7CE1822F" w14:textId="77777777" w:rsidR="005F4A21" w:rsidRPr="00431A70" w:rsidRDefault="005F4A2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724C358A" w14:textId="7C305573" w:rsidR="005F4A21" w:rsidRPr="00431A70" w:rsidRDefault="005F4A21" w:rsidP="005F13CF">
                <w:pPr>
                  <w:tabs>
                    <w:tab w:val="right" w:pos="8838"/>
                  </w:tabs>
                  <w:ind w:left="-106" w:right="-105"/>
                  <w:jc w:val="both"/>
                  <w:rPr>
                    <w:rFonts w:ascii="Palatino Linotype" w:eastAsia="Calibri" w:hAnsi="Palatino Linotype" w:cs="Tahoma"/>
                    <w:b/>
                    <w:bCs/>
                    <w:sz w:val="22"/>
                    <w:szCs w:val="22"/>
                    <w:lang w:eastAsia="en-US"/>
                  </w:rPr>
                </w:pPr>
                <w:r w:rsidRPr="008F1915">
                  <w:rPr>
                    <w:rFonts w:ascii="Palatino Linotype" w:eastAsia="Calibri" w:hAnsi="Palatino Linotype" w:cs="Tahoma"/>
                    <w:b/>
                    <w:bCs/>
                    <w:sz w:val="22"/>
                    <w:szCs w:val="22"/>
                    <w:lang w:eastAsia="en-US"/>
                  </w:rPr>
                  <w:t>01966/INFOEM/IP/RR/2022</w:t>
                </w:r>
              </w:p>
            </w:tc>
          </w:tr>
          <w:tr w:rsidR="005F4A21" w:rsidRPr="00286D0C" w14:paraId="167D5D24" w14:textId="77777777" w:rsidTr="00117DCC">
            <w:trPr>
              <w:trHeight w:val="144"/>
            </w:trPr>
            <w:tc>
              <w:tcPr>
                <w:tcW w:w="3011" w:type="dxa"/>
              </w:tcPr>
              <w:p w14:paraId="00155F88" w14:textId="77777777" w:rsidR="005F4A21" w:rsidRPr="00431A70" w:rsidRDefault="005F4A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77" w:type="dxa"/>
              </w:tcPr>
              <w:p w14:paraId="4EFE8D3E" w14:textId="6C52C5A1" w:rsidR="005F4A21" w:rsidRPr="00286D0C" w:rsidRDefault="005F4A21"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5F4A21" w:rsidRPr="00431A70" w14:paraId="63620DE8" w14:textId="77777777" w:rsidTr="00117DCC">
            <w:trPr>
              <w:trHeight w:val="283"/>
            </w:trPr>
            <w:tc>
              <w:tcPr>
                <w:tcW w:w="3011" w:type="dxa"/>
              </w:tcPr>
              <w:p w14:paraId="626AF87B" w14:textId="77777777" w:rsidR="005F4A21" w:rsidRPr="00431A70" w:rsidRDefault="005F4A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3CCB6EAF" w14:textId="277271C6" w:rsidR="005F4A21" w:rsidRPr="005F13CF" w:rsidRDefault="005F4A21" w:rsidP="005F13CF">
                <w:pPr>
                  <w:tabs>
                    <w:tab w:val="left" w:pos="2834"/>
                    <w:tab w:val="right" w:pos="8838"/>
                  </w:tabs>
                  <w:ind w:left="-106" w:right="-105"/>
                  <w:jc w:val="both"/>
                  <w:rPr>
                    <w:rFonts w:ascii="Palatino Linotype" w:eastAsia="Calibri" w:hAnsi="Palatino Linotype" w:cs="Tahoma"/>
                    <w:bCs/>
                    <w:sz w:val="22"/>
                    <w:szCs w:val="22"/>
                    <w:lang w:eastAsia="en-US"/>
                  </w:rPr>
                </w:pPr>
                <w:r w:rsidRPr="008F1915">
                  <w:rPr>
                    <w:rFonts w:ascii="Palatino Linotype" w:eastAsia="Calibri" w:hAnsi="Palatino Linotype" w:cs="Tahoma"/>
                    <w:bCs/>
                    <w:sz w:val="22"/>
                    <w:szCs w:val="22"/>
                    <w:lang w:eastAsia="en-US"/>
                  </w:rPr>
                  <w:t>Secretaría de Desarrollo Urbano y Obra</w:t>
                </w:r>
              </w:p>
            </w:tc>
          </w:tr>
          <w:tr w:rsidR="005F4A21" w:rsidRPr="00431A70" w14:paraId="5EB306D6" w14:textId="77777777" w:rsidTr="00117DCC">
            <w:trPr>
              <w:trHeight w:val="283"/>
            </w:trPr>
            <w:tc>
              <w:tcPr>
                <w:tcW w:w="3011" w:type="dxa"/>
              </w:tcPr>
              <w:p w14:paraId="43BC716C" w14:textId="77777777" w:rsidR="005F4A21" w:rsidRPr="00431A70" w:rsidRDefault="005F4A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F58048B" w14:textId="77777777" w:rsidR="005F4A21" w:rsidRPr="00431A70" w:rsidRDefault="005F4A2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5F4A21" w:rsidRPr="00330DA7" w:rsidRDefault="005F4A21" w:rsidP="00DB7E5F">
          <w:pPr>
            <w:tabs>
              <w:tab w:val="right" w:pos="8838"/>
            </w:tabs>
            <w:ind w:left="-28"/>
            <w:jc w:val="both"/>
            <w:rPr>
              <w:rFonts w:ascii="Arial" w:eastAsia="Calibri" w:hAnsi="Arial" w:cs="Arial"/>
              <w:b/>
              <w:sz w:val="22"/>
              <w:szCs w:val="22"/>
              <w:lang w:eastAsia="en-US"/>
            </w:rPr>
          </w:pPr>
        </w:p>
      </w:tc>
    </w:tr>
  </w:tbl>
  <w:p w14:paraId="3CFB1CDD" w14:textId="77777777" w:rsidR="005F4A21" w:rsidRPr="00330DA7" w:rsidRDefault="00D53E36"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F50CA"/>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AB7081"/>
    <w:multiLevelType w:val="hybridMultilevel"/>
    <w:tmpl w:val="FCEEDEBA"/>
    <w:lvl w:ilvl="0" w:tplc="DF88FC4E">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E245C3"/>
    <w:multiLevelType w:val="hybridMultilevel"/>
    <w:tmpl w:val="1400B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CA0103"/>
    <w:multiLevelType w:val="hybridMultilevel"/>
    <w:tmpl w:val="D94E03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BA60E1"/>
    <w:multiLevelType w:val="hybridMultilevel"/>
    <w:tmpl w:val="94AE5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A47C5E"/>
    <w:multiLevelType w:val="hybridMultilevel"/>
    <w:tmpl w:val="DE8E8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3F4FE7"/>
    <w:multiLevelType w:val="hybridMultilevel"/>
    <w:tmpl w:val="E6E8E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3E7486"/>
    <w:multiLevelType w:val="hybridMultilevel"/>
    <w:tmpl w:val="00FE5C78"/>
    <w:lvl w:ilvl="0" w:tplc="E222EB3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D56602"/>
    <w:multiLevelType w:val="hybridMultilevel"/>
    <w:tmpl w:val="634261D2"/>
    <w:lvl w:ilvl="0" w:tplc="080A0001">
      <w:start w:val="1"/>
      <w:numFmt w:val="bullet"/>
      <w:lvlText w:val=""/>
      <w:lvlJc w:val="left"/>
      <w:pPr>
        <w:ind w:left="720" w:hanging="360"/>
      </w:pPr>
      <w:rPr>
        <w:rFonts w:ascii="Symbol" w:hAnsi="Symbol" w:hint="default"/>
      </w:rPr>
    </w:lvl>
    <w:lvl w:ilvl="1" w:tplc="3A925C8A">
      <w:numFmt w:val="bullet"/>
      <w:lvlText w:val="•"/>
      <w:lvlJc w:val="left"/>
      <w:pPr>
        <w:ind w:left="1440" w:hanging="36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316A30"/>
    <w:multiLevelType w:val="hybridMultilevel"/>
    <w:tmpl w:val="EB4A008C"/>
    <w:lvl w:ilvl="0" w:tplc="450A12A8">
      <w:start w:val="4"/>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CF45057"/>
    <w:multiLevelType w:val="hybridMultilevel"/>
    <w:tmpl w:val="DE8E84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716A3616"/>
    <w:multiLevelType w:val="hybridMultilevel"/>
    <w:tmpl w:val="7A1C0C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3213885">
    <w:abstractNumId w:val="0"/>
  </w:num>
  <w:num w:numId="2" w16cid:durableId="528304388">
    <w:abstractNumId w:val="3"/>
  </w:num>
  <w:num w:numId="3" w16cid:durableId="1787192963">
    <w:abstractNumId w:val="20"/>
  </w:num>
  <w:num w:numId="4" w16cid:durableId="1344941981">
    <w:abstractNumId w:val="13"/>
  </w:num>
  <w:num w:numId="5" w16cid:durableId="1259288028">
    <w:abstractNumId w:val="2"/>
  </w:num>
  <w:num w:numId="6" w16cid:durableId="1642540373">
    <w:abstractNumId w:val="8"/>
  </w:num>
  <w:num w:numId="7" w16cid:durableId="1436638151">
    <w:abstractNumId w:val="17"/>
  </w:num>
  <w:num w:numId="8" w16cid:durableId="1399742624">
    <w:abstractNumId w:val="29"/>
  </w:num>
  <w:num w:numId="9" w16cid:durableId="1217203300">
    <w:abstractNumId w:val="19"/>
  </w:num>
  <w:num w:numId="10" w16cid:durableId="1908876694">
    <w:abstractNumId w:val="9"/>
  </w:num>
  <w:num w:numId="11" w16cid:durableId="2104766718">
    <w:abstractNumId w:val="16"/>
  </w:num>
  <w:num w:numId="12" w16cid:durableId="177475766">
    <w:abstractNumId w:val="27"/>
  </w:num>
  <w:num w:numId="13" w16cid:durableId="1048527643">
    <w:abstractNumId w:val="26"/>
  </w:num>
  <w:num w:numId="14" w16cid:durableId="414088758">
    <w:abstractNumId w:val="1"/>
  </w:num>
  <w:num w:numId="15" w16cid:durableId="1842354895">
    <w:abstractNumId w:val="25"/>
  </w:num>
  <w:num w:numId="16" w16cid:durableId="265774588">
    <w:abstractNumId w:val="30"/>
  </w:num>
  <w:num w:numId="17" w16cid:durableId="1999193095">
    <w:abstractNumId w:val="4"/>
  </w:num>
  <w:num w:numId="18" w16cid:durableId="177818916">
    <w:abstractNumId w:val="14"/>
  </w:num>
  <w:num w:numId="19" w16cid:durableId="2098364109">
    <w:abstractNumId w:val="23"/>
  </w:num>
  <w:num w:numId="20" w16cid:durableId="29914410">
    <w:abstractNumId w:val="15"/>
  </w:num>
  <w:num w:numId="21" w16cid:durableId="1077631206">
    <w:abstractNumId w:val="11"/>
  </w:num>
  <w:num w:numId="22" w16cid:durableId="15813349">
    <w:abstractNumId w:val="18"/>
  </w:num>
  <w:num w:numId="23" w16cid:durableId="2042822675">
    <w:abstractNumId w:val="6"/>
  </w:num>
  <w:num w:numId="24" w16cid:durableId="1681154123">
    <w:abstractNumId w:val="22"/>
  </w:num>
  <w:num w:numId="25" w16cid:durableId="1061320514">
    <w:abstractNumId w:val="10"/>
  </w:num>
  <w:num w:numId="26" w16cid:durableId="1687247098">
    <w:abstractNumId w:val="28"/>
  </w:num>
  <w:num w:numId="27" w16cid:durableId="1478840047">
    <w:abstractNumId w:val="7"/>
  </w:num>
  <w:num w:numId="28" w16cid:durableId="1802844665">
    <w:abstractNumId w:val="21"/>
  </w:num>
  <w:num w:numId="29" w16cid:durableId="615218449">
    <w:abstractNumId w:val="5"/>
  </w:num>
  <w:num w:numId="30" w16cid:durableId="1120959150">
    <w:abstractNumId w:val="12"/>
  </w:num>
  <w:num w:numId="31" w16cid:durableId="172926274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B86"/>
    <w:rsid w:val="0004522F"/>
    <w:rsid w:val="000452B7"/>
    <w:rsid w:val="00045736"/>
    <w:rsid w:val="00045F17"/>
    <w:rsid w:val="0004646B"/>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4E75"/>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66758"/>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0767"/>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20B79"/>
    <w:rsid w:val="00320FC1"/>
    <w:rsid w:val="0032150B"/>
    <w:rsid w:val="0032170B"/>
    <w:rsid w:val="00323325"/>
    <w:rsid w:val="00323552"/>
    <w:rsid w:val="0032377D"/>
    <w:rsid w:val="00323EA6"/>
    <w:rsid w:val="003243B0"/>
    <w:rsid w:val="003243D4"/>
    <w:rsid w:val="00324C7C"/>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660"/>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073"/>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0EE5"/>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7A5"/>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4A2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047"/>
    <w:rsid w:val="006563CA"/>
    <w:rsid w:val="006578FC"/>
    <w:rsid w:val="006607B1"/>
    <w:rsid w:val="006608AB"/>
    <w:rsid w:val="006609AC"/>
    <w:rsid w:val="0066109F"/>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4AAE"/>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513B"/>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6394"/>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8DF"/>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1915"/>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53FD"/>
    <w:rsid w:val="009D5D4B"/>
    <w:rsid w:val="009D65A4"/>
    <w:rsid w:val="009D69C6"/>
    <w:rsid w:val="009D6F70"/>
    <w:rsid w:val="009D7501"/>
    <w:rsid w:val="009D7975"/>
    <w:rsid w:val="009E10E1"/>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3BB"/>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713CB"/>
    <w:rsid w:val="00A719AA"/>
    <w:rsid w:val="00A7242E"/>
    <w:rsid w:val="00A7300E"/>
    <w:rsid w:val="00A731B5"/>
    <w:rsid w:val="00A73DE3"/>
    <w:rsid w:val="00A747F9"/>
    <w:rsid w:val="00A74C2D"/>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0C5"/>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8E3"/>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57C5E"/>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A6828"/>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87A77"/>
    <w:rsid w:val="00C901BB"/>
    <w:rsid w:val="00C90CD3"/>
    <w:rsid w:val="00C92552"/>
    <w:rsid w:val="00C9264E"/>
    <w:rsid w:val="00C92C27"/>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0D8"/>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2782C"/>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3E36"/>
    <w:rsid w:val="00D54ADE"/>
    <w:rsid w:val="00D54BD5"/>
    <w:rsid w:val="00D5699B"/>
    <w:rsid w:val="00D57107"/>
    <w:rsid w:val="00D5750E"/>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274E"/>
    <w:rsid w:val="00DF36FF"/>
    <w:rsid w:val="00DF3F0D"/>
    <w:rsid w:val="00DF4111"/>
    <w:rsid w:val="00DF578C"/>
    <w:rsid w:val="00DF7009"/>
    <w:rsid w:val="00DF72D9"/>
    <w:rsid w:val="00DF7B69"/>
    <w:rsid w:val="00DF7EC8"/>
    <w:rsid w:val="00E00D4F"/>
    <w:rsid w:val="00E0164B"/>
    <w:rsid w:val="00E01B95"/>
    <w:rsid w:val="00E02664"/>
    <w:rsid w:val="00E028ED"/>
    <w:rsid w:val="00E03EB9"/>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40AA"/>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9471DFE3-3813-4056-94AA-E33AD82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4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133182">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400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o.edomex.gob.mx/autorizacion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rgl/vig/rglvig150.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gislacion.edomex.gob.mx/sites/legislacion.edomex.gob.mx/files/files/pdf/rgl/vig/rglvig107.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65A1F-BD58-480F-A1F2-E9BB49B1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8014</Words>
  <Characters>39430</Characters>
  <Application>Microsoft Office Word</Application>
  <DocSecurity>0</DocSecurity>
  <Lines>985</Lines>
  <Paragraphs>277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 Hernández</cp:lastModifiedBy>
  <cp:revision>7</cp:revision>
  <cp:lastPrinted>2021-07-02T04:43:00Z</cp:lastPrinted>
  <dcterms:created xsi:type="dcterms:W3CDTF">2022-04-28T15:51:00Z</dcterms:created>
  <dcterms:modified xsi:type="dcterms:W3CDTF">2022-05-06T01:22:00Z</dcterms:modified>
</cp:coreProperties>
</file>