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19FA5" w14:textId="77777777" w:rsidR="004777C4" w:rsidRDefault="004777C4">
      <w:pPr>
        <w:widowControl w:val="0"/>
        <w:pBdr>
          <w:top w:val="nil"/>
          <w:left w:val="nil"/>
          <w:bottom w:val="nil"/>
          <w:right w:val="nil"/>
          <w:between w:val="nil"/>
        </w:pBdr>
        <w:spacing w:line="276" w:lineRule="auto"/>
      </w:pPr>
    </w:p>
    <w:p w14:paraId="2A364B18"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029C5">
        <w:rPr>
          <w:rFonts w:ascii="Palatino Linotype" w:eastAsia="Palatino Linotype" w:hAnsi="Palatino Linotype" w:cs="Palatino Linotype"/>
        </w:rPr>
        <w:t>nueve</w:t>
      </w:r>
      <w:r>
        <w:rPr>
          <w:rFonts w:ascii="Palatino Linotype" w:eastAsia="Palatino Linotype" w:hAnsi="Palatino Linotype" w:cs="Palatino Linotype"/>
        </w:rPr>
        <w:t xml:space="preserve"> de noviembre de dos mil veintidós. </w:t>
      </w:r>
    </w:p>
    <w:p w14:paraId="7FEB9C80" w14:textId="77777777" w:rsidR="004777C4" w:rsidRDefault="004777C4">
      <w:pPr>
        <w:spacing w:line="360" w:lineRule="auto"/>
        <w:jc w:val="both"/>
        <w:rPr>
          <w:rFonts w:ascii="Palatino Linotype" w:eastAsia="Palatino Linotype" w:hAnsi="Palatino Linotype" w:cs="Palatino Linotype"/>
        </w:rPr>
      </w:pPr>
    </w:p>
    <w:p w14:paraId="0CDFD0F7" w14:textId="0CD00C08"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07967/INFOEM/IP/RR/2022, </w:t>
      </w:r>
      <w:r>
        <w:rPr>
          <w:rFonts w:ascii="Palatino Linotype" w:eastAsia="Palatino Linotype" w:hAnsi="Palatino Linotype" w:cs="Palatino Linotype"/>
        </w:rPr>
        <w:t xml:space="preserve">promovido por </w:t>
      </w:r>
      <w:r w:rsidR="00D00B79">
        <w:rPr>
          <w:rFonts w:ascii="Palatino Linotype" w:eastAsia="Palatino Linotype" w:hAnsi="Palatino Linotype" w:cs="Palatino Linotype"/>
          <w:lang w:val="es-419"/>
        </w:rPr>
        <w:t xml:space="preserve">el C. </w:t>
      </w:r>
      <w:r w:rsidR="000A264A">
        <w:rPr>
          <w:rFonts w:ascii="Palatino Linotype" w:eastAsia="Palatino Linotype" w:hAnsi="Palatino Linotype" w:cs="Palatino Linotype"/>
          <w:lang w:val="es-419"/>
        </w:rPr>
        <w:t>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Ecatepec de Morelos,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01604DF4" w14:textId="77777777" w:rsidR="004777C4" w:rsidRDefault="004777C4">
      <w:pPr>
        <w:spacing w:line="360" w:lineRule="auto"/>
        <w:jc w:val="both"/>
        <w:rPr>
          <w:rFonts w:ascii="Palatino Linotype" w:eastAsia="Palatino Linotype" w:hAnsi="Palatino Linotype" w:cs="Palatino Linotype"/>
          <w:b/>
        </w:rPr>
      </w:pPr>
    </w:p>
    <w:p w14:paraId="669B4249" w14:textId="77777777" w:rsidR="004777C4" w:rsidRDefault="00CF217F">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6D4AD0A5" w14:textId="77777777" w:rsidR="004777C4" w:rsidRDefault="004777C4">
      <w:pPr>
        <w:rPr>
          <w:rFonts w:ascii="Palatino Linotype" w:eastAsia="Palatino Linotype" w:hAnsi="Palatino Linotype" w:cs="Palatino Linotype"/>
          <w:b/>
        </w:rPr>
      </w:pPr>
    </w:p>
    <w:p w14:paraId="6A334559" w14:textId="77777777" w:rsidR="004777C4" w:rsidRDefault="00CF2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4BF84777" w14:textId="77777777" w:rsidR="004777C4" w:rsidRDefault="00CF217F">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Pr>
          <w:rFonts w:ascii="Palatino Linotype" w:eastAsia="Palatino Linotype" w:hAnsi="Palatino Linotype" w:cs="Palatino Linotype"/>
        </w:rPr>
        <w:t xml:space="preserve"> En fecha veintinueve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00493/ECATEPEC/IP/20222, </w:t>
      </w:r>
      <w:r>
        <w:rPr>
          <w:rFonts w:ascii="Palatino Linotype" w:eastAsia="Palatino Linotype" w:hAnsi="Palatino Linotype" w:cs="Palatino Linotype"/>
        </w:rPr>
        <w:t>requirió, lo siguiente:</w:t>
      </w:r>
    </w:p>
    <w:p w14:paraId="0EDA7BCC" w14:textId="77777777" w:rsidR="004777C4" w:rsidRDefault="004777C4">
      <w:pPr>
        <w:ind w:left="850" w:right="899"/>
        <w:jc w:val="both"/>
        <w:rPr>
          <w:rFonts w:ascii="Palatino Linotype" w:eastAsia="Palatino Linotype" w:hAnsi="Palatino Linotype" w:cs="Palatino Linotype"/>
          <w:i/>
          <w:sz w:val="22"/>
          <w:szCs w:val="22"/>
        </w:rPr>
      </w:pPr>
    </w:p>
    <w:p w14:paraId="6ECBF33C" w14:textId="77777777" w:rsidR="004777C4" w:rsidRDefault="004777C4">
      <w:pPr>
        <w:ind w:left="850" w:right="899"/>
        <w:jc w:val="both"/>
        <w:rPr>
          <w:rFonts w:ascii="Palatino Linotype" w:eastAsia="Palatino Linotype" w:hAnsi="Palatino Linotype" w:cs="Palatino Linotype"/>
          <w:i/>
          <w:sz w:val="22"/>
          <w:szCs w:val="22"/>
        </w:rPr>
      </w:pPr>
    </w:p>
    <w:p w14:paraId="213F327E" w14:textId="77777777" w:rsidR="004777C4" w:rsidRDefault="00CF217F">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 xml:space="preserve">“Solicito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M.-Título del contrato N.-Descripción del contrato O.-Importe del contrato P.-Convenio modificatorio Q.-RFC </w:t>
      </w:r>
      <w:proofErr w:type="spellStart"/>
      <w:r>
        <w:rPr>
          <w:rFonts w:ascii="Palatino Linotype" w:eastAsia="Palatino Linotype" w:hAnsi="Palatino Linotype" w:cs="Palatino Linotype"/>
          <w:i/>
          <w:sz w:val="22"/>
          <w:szCs w:val="22"/>
        </w:rPr>
        <w:t>R.Proveedor</w:t>
      </w:r>
      <w:proofErr w:type="spellEnd"/>
      <w:r>
        <w:rPr>
          <w:rFonts w:ascii="Palatino Linotype" w:eastAsia="Palatino Linotype" w:hAnsi="Palatino Linotype" w:cs="Palatino Linotype"/>
          <w:i/>
          <w:sz w:val="22"/>
          <w:szCs w:val="22"/>
        </w:rPr>
        <w:t xml:space="preserve"> o contratista S.-Dirección del anuncio . } También la lista de proveedores de 2012 a la fecha más reciente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14:paraId="1080E29E" w14:textId="77777777" w:rsidR="004777C4" w:rsidRDefault="004777C4">
      <w:pPr>
        <w:tabs>
          <w:tab w:val="left" w:pos="851"/>
        </w:tabs>
        <w:ind w:right="901"/>
        <w:jc w:val="both"/>
        <w:rPr>
          <w:rFonts w:ascii="Palatino Linotype" w:eastAsia="Palatino Linotype" w:hAnsi="Palatino Linotype" w:cs="Palatino Linotype"/>
          <w:sz w:val="22"/>
          <w:szCs w:val="22"/>
        </w:rPr>
      </w:pPr>
    </w:p>
    <w:p w14:paraId="3B828EE1" w14:textId="77777777" w:rsidR="004777C4" w:rsidRDefault="00CF217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1AB03285" w14:textId="77777777" w:rsidR="004777C4" w:rsidRDefault="004777C4">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748ED78E" w14:textId="77777777" w:rsidR="004777C4" w:rsidRDefault="00CF2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26F0481E"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dos de mayo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6B0B5F2B" w14:textId="77777777" w:rsidR="004777C4" w:rsidRDefault="00CF2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2E4EDE45" w14:textId="77777777" w:rsidR="004777C4" w:rsidRDefault="00CF2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22B1DB67"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w:t>
      </w:r>
      <w:r>
        <w:rPr>
          <w:rFonts w:ascii="Palatino Linotype" w:eastAsia="Palatino Linotype" w:hAnsi="Palatino Linotype" w:cs="Palatino Linotype"/>
          <w:b/>
        </w:rPr>
        <w:t>dos de mayo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en los términos siguientes: </w:t>
      </w:r>
    </w:p>
    <w:p w14:paraId="1C3ACC32" w14:textId="77777777" w:rsidR="004777C4" w:rsidRDefault="00CF217F">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Pr>
          <w:rFonts w:ascii="Palatino Linotype" w:eastAsia="Palatino Linotype" w:hAnsi="Palatino Linotype" w:cs="Palatino Linotype"/>
          <w:i/>
          <w:sz w:val="22"/>
          <w:szCs w:val="22"/>
        </w:rPr>
        <w:lastRenderedPageBreak/>
        <w:t>y Acceso a la Información Pública del Estado de México y Municipios, le contestamos que:</w:t>
      </w:r>
    </w:p>
    <w:p w14:paraId="16B86279" w14:textId="77777777" w:rsidR="004777C4" w:rsidRDefault="00CF217F">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El H. Ayuntamiento Constitucional de Ecatepec de Morelos hace de su conocimiento la respuesta emitida por Dirección de Desarrollo Urbano y Obras Públicas, la cual se anexa al presente en formato PDF</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14:paraId="3AA67A4C" w14:textId="77777777" w:rsidR="004777C4" w:rsidRDefault="004777C4">
      <w:pPr>
        <w:spacing w:line="360" w:lineRule="auto"/>
        <w:jc w:val="both"/>
        <w:rPr>
          <w:rFonts w:ascii="Palatino Linotype" w:eastAsia="Palatino Linotype" w:hAnsi="Palatino Linotype" w:cs="Palatino Linotype"/>
        </w:rPr>
      </w:pPr>
    </w:p>
    <w:p w14:paraId="1FAE943F"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el documento de nombre </w:t>
      </w:r>
      <w:r>
        <w:rPr>
          <w:rFonts w:ascii="Palatino Linotype" w:eastAsia="Palatino Linotype" w:hAnsi="Palatino Linotype" w:cs="Palatino Linotype"/>
          <w:i/>
        </w:rPr>
        <w:t xml:space="preserve">493-2022.pdf, </w:t>
      </w:r>
      <w:r>
        <w:rPr>
          <w:rFonts w:ascii="Palatino Linotype" w:eastAsia="Palatino Linotype" w:hAnsi="Palatino Linotype" w:cs="Palatino Linotype"/>
        </w:rPr>
        <w:t xml:space="preserve">el cual consta de veinte fojas donde se observa el oficio de respuesta de la titular de la Unidad de Transparencia, así como de los servidores públicos habilitado de la Dirección de Desarrollo Económico y la Coordinación de Licitaciones y Control de obra quienes refieren remitir la información que obra en sus archivos, señalando que no cuentan con información del 2012 al 2018 y agregando un listado de licitaciones correspondientes a los ejercicios 2021 y 2022. </w:t>
      </w:r>
    </w:p>
    <w:p w14:paraId="0779F82D" w14:textId="77777777" w:rsidR="004777C4" w:rsidRDefault="004777C4">
      <w:pPr>
        <w:spacing w:line="360" w:lineRule="auto"/>
        <w:jc w:val="both"/>
        <w:rPr>
          <w:rFonts w:ascii="Palatino Linotype" w:eastAsia="Palatino Linotype" w:hAnsi="Palatino Linotype" w:cs="Palatino Linotype"/>
        </w:rPr>
      </w:pPr>
    </w:p>
    <w:p w14:paraId="6D328E2B" w14:textId="77777777" w:rsidR="004777C4" w:rsidRDefault="00CF217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4784EDD3" w14:textId="77777777" w:rsidR="004777C4" w:rsidRDefault="00CF217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diecisiete  de mayo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07967/INFOEM/IP/RR/2022,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51A48833" w14:textId="77777777" w:rsidR="004777C4" w:rsidRDefault="004777C4">
      <w:pPr>
        <w:widowControl w:val="0"/>
        <w:spacing w:line="360" w:lineRule="auto"/>
        <w:jc w:val="both"/>
        <w:rPr>
          <w:rFonts w:ascii="Palatino Linotype" w:eastAsia="Palatino Linotype" w:hAnsi="Palatino Linotype" w:cs="Palatino Linotype"/>
        </w:rPr>
      </w:pPr>
    </w:p>
    <w:p w14:paraId="3009F07C" w14:textId="77777777" w:rsidR="004777C4" w:rsidRDefault="00CF217F">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085B845D" w14:textId="77777777" w:rsidR="004777C4" w:rsidRDefault="00CF217F">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han entregado toda la información.”(</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39F1A9EB" w14:textId="77777777" w:rsidR="004777C4" w:rsidRDefault="004777C4">
      <w:pPr>
        <w:ind w:right="899"/>
        <w:jc w:val="both"/>
        <w:rPr>
          <w:rFonts w:ascii="Palatino Linotype" w:eastAsia="Palatino Linotype" w:hAnsi="Palatino Linotype" w:cs="Palatino Linotype"/>
        </w:rPr>
      </w:pPr>
    </w:p>
    <w:p w14:paraId="071076D0" w14:textId="77777777" w:rsidR="004777C4" w:rsidRDefault="00CF217F">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lastRenderedPageBreak/>
        <w:t>Razones o motivos de inconformidad:</w:t>
      </w:r>
    </w:p>
    <w:p w14:paraId="1DAAC642" w14:textId="77777777" w:rsidR="004777C4" w:rsidRDefault="00CF217F">
      <w:pPr>
        <w:tabs>
          <w:tab w:val="left" w:pos="709"/>
        </w:tabs>
        <w:spacing w:before="66"/>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“Faltan seis años de contratos.”(</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3B848A66" w14:textId="77777777" w:rsidR="004777C4" w:rsidRDefault="004777C4">
      <w:pPr>
        <w:spacing w:line="360" w:lineRule="auto"/>
        <w:jc w:val="both"/>
        <w:rPr>
          <w:rFonts w:ascii="Palatino Linotype" w:eastAsia="Palatino Linotype" w:hAnsi="Palatino Linotype" w:cs="Palatino Linotype"/>
          <w:i/>
        </w:rPr>
      </w:pPr>
    </w:p>
    <w:p w14:paraId="66BE3C46" w14:textId="77777777" w:rsidR="004777C4" w:rsidRDefault="00CF2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2B1B45BD"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diecisiete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504F243F" w14:textId="77777777" w:rsidR="004777C4" w:rsidRDefault="004777C4">
      <w:pPr>
        <w:spacing w:line="360" w:lineRule="auto"/>
        <w:jc w:val="both"/>
        <w:rPr>
          <w:rFonts w:ascii="Palatino Linotype" w:eastAsia="Palatino Linotype" w:hAnsi="Palatino Linotype" w:cs="Palatino Linotype"/>
        </w:rPr>
      </w:pPr>
    </w:p>
    <w:p w14:paraId="072E74C2" w14:textId="77777777" w:rsidR="004777C4" w:rsidRDefault="00CF217F">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1C41F139" w14:textId="77777777" w:rsidR="004777C4" w:rsidRDefault="00CF217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dieciocho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8CFDAC5" w14:textId="77777777" w:rsidR="004777C4" w:rsidRDefault="004777C4">
      <w:pPr>
        <w:tabs>
          <w:tab w:val="center" w:pos="4252"/>
          <w:tab w:val="right" w:pos="8504"/>
        </w:tabs>
        <w:spacing w:line="360" w:lineRule="auto"/>
        <w:jc w:val="both"/>
        <w:rPr>
          <w:rFonts w:ascii="Palatino Linotype" w:eastAsia="Palatino Linotype" w:hAnsi="Palatino Linotype" w:cs="Palatino Linotype"/>
        </w:rPr>
      </w:pPr>
    </w:p>
    <w:p w14:paraId="490880D9" w14:textId="77777777" w:rsidR="004777C4" w:rsidRDefault="00CF217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Informe Justificado</w:t>
      </w:r>
    </w:p>
    <w:p w14:paraId="6643D108" w14:textId="77777777" w:rsidR="004777C4" w:rsidRDefault="00CF217F">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w:t>
      </w:r>
    </w:p>
    <w:p w14:paraId="52B715B1" w14:textId="77777777" w:rsidR="004777C4" w:rsidRDefault="004777C4">
      <w:pPr>
        <w:widowControl w:val="0"/>
        <w:tabs>
          <w:tab w:val="left" w:pos="0"/>
        </w:tabs>
        <w:spacing w:line="360" w:lineRule="auto"/>
        <w:jc w:val="both"/>
        <w:rPr>
          <w:rFonts w:ascii="Palatino Linotype" w:eastAsia="Palatino Linotype" w:hAnsi="Palatino Linotype" w:cs="Palatino Linotype"/>
        </w:rPr>
      </w:pPr>
    </w:p>
    <w:p w14:paraId="54C815D2" w14:textId="77777777" w:rsidR="004777C4" w:rsidRDefault="00CF217F">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el  archivo denominado </w:t>
      </w:r>
      <w:r>
        <w:rPr>
          <w:rFonts w:ascii="Palatino Linotype" w:eastAsia="Palatino Linotype" w:hAnsi="Palatino Linotype" w:cs="Palatino Linotype"/>
          <w:i/>
        </w:rPr>
        <w:t xml:space="preserve">07967.pdf </w:t>
      </w:r>
      <w:r>
        <w:rPr>
          <w:rFonts w:ascii="Palatino Linotype" w:eastAsia="Palatino Linotype" w:hAnsi="Palatino Linotype" w:cs="Palatino Linotype"/>
        </w:rPr>
        <w:t>de cuyo contenido se advierten tres oficios de fechas uno, veintiocho y treinta de junio, en donde de forma medular el ente recurrido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refiere no contar con registros de la información  relacionada con los años 2012 al 2018. </w:t>
      </w:r>
    </w:p>
    <w:p w14:paraId="1AF9F00F" w14:textId="77777777" w:rsidR="004777C4" w:rsidRDefault="004777C4">
      <w:pPr>
        <w:widowControl w:val="0"/>
        <w:tabs>
          <w:tab w:val="left" w:pos="0"/>
        </w:tabs>
        <w:spacing w:line="360" w:lineRule="auto"/>
        <w:jc w:val="both"/>
        <w:rPr>
          <w:rFonts w:ascii="Palatino Linotype" w:eastAsia="Palatino Linotype" w:hAnsi="Palatino Linotype" w:cs="Palatino Linotype"/>
        </w:rPr>
      </w:pPr>
    </w:p>
    <w:p w14:paraId="017B2FF7" w14:textId="77777777" w:rsidR="004777C4" w:rsidRDefault="00CF217F">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6DEBD944" w14:textId="77777777" w:rsidR="004777C4" w:rsidRDefault="00CF217F">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En fecha veinte de octubre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BFAEAF0" w14:textId="77777777" w:rsidR="004777C4" w:rsidRDefault="004777C4">
      <w:pPr>
        <w:shd w:val="clear" w:color="auto" w:fill="FFFFFF"/>
        <w:spacing w:line="360" w:lineRule="auto"/>
        <w:jc w:val="both"/>
        <w:rPr>
          <w:rFonts w:ascii="Palatino Linotype" w:eastAsia="Palatino Linotype" w:hAnsi="Palatino Linotype" w:cs="Palatino Linotype"/>
        </w:rPr>
      </w:pPr>
    </w:p>
    <w:p w14:paraId="3413A120" w14:textId="77777777" w:rsidR="004777C4"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70191B58" w14:textId="77777777" w:rsidR="005F02B5"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3AED31" w14:textId="77777777" w:rsidR="005F02B5"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AA2BC6" w14:textId="77777777" w:rsidR="005F02B5"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5DFC88" w14:textId="77777777" w:rsidR="005F02B5"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Por ello, excepcionalmente, si un asunto es resuelto con posterioridad a los plazos </w:t>
      </w:r>
      <w:r>
        <w:rPr>
          <w:rFonts w:ascii="Palatino Linotype" w:eastAsia="Palatino Linotype" w:hAnsi="Palatino Linotype" w:cs="Palatino Linotype"/>
        </w:rPr>
        <w:lastRenderedPageBreak/>
        <w:t>señalados por la norma debe analizarse la razonabilidad del tiempo necesario para su resolución, atentos a los siguientes criterios: </w:t>
      </w:r>
    </w:p>
    <w:p w14:paraId="6CADD0AF" w14:textId="77777777" w:rsidR="005F02B5"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t>b)     Actividad Procesal del interesado: Acciones u omisiones del interesado.</w:t>
      </w:r>
      <w:r>
        <w:rPr>
          <w:rFonts w:ascii="Palatino Linotype" w:eastAsia="Palatino Linotype" w:hAnsi="Palatino Linotype" w:cs="Palatino Linotype"/>
        </w:rPr>
        <w:br/>
        <w:t>c)      Conducta de la Autoridad: Las Acciones u omisiones realizadas en el 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Violación a sus derechos humanos.</w:t>
      </w:r>
    </w:p>
    <w:p w14:paraId="632BBD56" w14:textId="77777777" w:rsidR="004777C4"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Pr>
          <w:rFonts w:ascii="Palatino Linotype" w:eastAsia="Palatino Linotype" w:hAnsi="Palatino Linotype" w:cs="Palatino Linotype"/>
        </w:rPr>
        <w:br/>
      </w:r>
      <w:r>
        <w:rPr>
          <w:rFonts w:ascii="Palatino Linotype" w:eastAsia="Palatino Linotype" w:hAnsi="Palatino Linotype" w:cs="Palatino Linotype"/>
        </w:rPr>
        <w:b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xml:space="preserve">, visible en la </w:t>
      </w:r>
      <w:r>
        <w:rPr>
          <w:rFonts w:ascii="Palatino Linotype" w:eastAsia="Palatino Linotype" w:hAnsi="Palatino Linotype" w:cs="Palatino Linotype"/>
        </w:rPr>
        <w:lastRenderedPageBreak/>
        <w:t>Gaceta del Seminario Judicial de la Federación con el registro digital 205635.</w:t>
      </w:r>
      <w:r>
        <w:rPr>
          <w:rFonts w:ascii="Palatino Linotype" w:eastAsia="Palatino Linotype" w:hAnsi="Palatino Linotype" w:cs="Palatino Linotype"/>
        </w:rPr>
        <w:br/>
      </w:r>
      <w:r>
        <w:rPr>
          <w:rFonts w:ascii="Palatino Linotype" w:eastAsia="Palatino Linotype" w:hAnsi="Palatino Linotype" w:cs="Palatino Linotype"/>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ascii="Palatino Linotype" w:eastAsia="Palatino Linotype" w:hAnsi="Palatino Linotype" w:cs="Palatino Linotype"/>
        </w:rPr>
        <w:br/>
      </w:r>
      <w:r>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r>
        <w:rPr>
          <w:rFonts w:ascii="Palatino Linotype" w:eastAsia="Palatino Linotype" w:hAnsi="Palatino Linotype" w:cs="Palatino Linotype"/>
        </w:rPr>
        <w:br/>
      </w:r>
      <w:r>
        <w:rPr>
          <w:rFonts w:ascii="Palatino Linotype" w:eastAsia="Palatino Linotype" w:hAnsi="Palatino Linotype" w:cs="Palatino Linotype"/>
        </w:rPr>
        <w:br/>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consultable en el Seminario Judicial de la Federación y su gaceta, con el registro digital 2002351.</w:t>
      </w:r>
      <w:r>
        <w:rPr>
          <w:rFonts w:ascii="Palatino Linotype" w:eastAsia="Palatino Linotype" w:hAnsi="Palatino Linotype" w:cs="Palatino Linotype"/>
        </w:rPr>
        <w:br/>
      </w:r>
      <w:r>
        <w:rPr>
          <w:rFonts w:ascii="Palatino Linotype" w:eastAsia="Palatino Linotype" w:hAnsi="Palatino Linotype" w:cs="Palatino Linotype"/>
        </w:rPr>
        <w:br/>
      </w:r>
      <w:r>
        <w:rPr>
          <w:rFonts w:ascii="Palatino Linotype" w:eastAsia="Palatino Linotype" w:hAnsi="Palatino Linotype" w:cs="Palatino Linotype"/>
          <w:i/>
        </w:rPr>
        <w:t xml:space="preserve">“PLAZO RAZONABLE PARA RESOLVER. CONCEPTO Y ELEMENTOS QUE LO </w:t>
      </w:r>
      <w:r>
        <w:rPr>
          <w:rFonts w:ascii="Palatino Linotype" w:eastAsia="Palatino Linotype" w:hAnsi="Palatino Linotype" w:cs="Palatino Linotype"/>
          <w:i/>
        </w:rPr>
        <w:lastRenderedPageBreak/>
        <w:t>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r>
        <w:rPr>
          <w:rFonts w:ascii="Palatino Linotype" w:eastAsia="Palatino Linotype" w:hAnsi="Palatino Linotype" w:cs="Palatino Linotype"/>
        </w:rPr>
        <w:br/>
      </w:r>
      <w:r>
        <w:rPr>
          <w:rFonts w:ascii="Palatino Linotype" w:eastAsia="Palatino Linotype" w:hAnsi="Palatino Linotype" w:cs="Palatino Linotype"/>
        </w:rPr>
        <w:br/>
        <w:t>Por ello, este organismo garante comprometido con la tutela de los derechos humanos confiados, señala que este exceso del plazo legal para resolver el presente asunto, resulta de carácter excepcional.</w:t>
      </w:r>
    </w:p>
    <w:p w14:paraId="200B7E83" w14:textId="77777777" w:rsidR="004777C4" w:rsidRDefault="004777C4">
      <w:pPr>
        <w:spacing w:line="360" w:lineRule="auto"/>
        <w:jc w:val="both"/>
        <w:rPr>
          <w:rFonts w:ascii="Palatino Linotype" w:eastAsia="Palatino Linotype" w:hAnsi="Palatino Linotype" w:cs="Palatino Linotype"/>
        </w:rPr>
      </w:pPr>
    </w:p>
    <w:p w14:paraId="74011B23" w14:textId="77777777" w:rsidR="004777C4" w:rsidRDefault="00CF217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697B0CB7"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00D00B79">
        <w:rPr>
          <w:rFonts w:ascii="Palatino Linotype" w:eastAsia="Palatino Linotype" w:hAnsi="Palatino Linotype" w:cs="Palatino Linotype"/>
          <w:b/>
          <w:lang w:val="es-419"/>
        </w:rPr>
        <w:t>ocho</w:t>
      </w:r>
      <w:r>
        <w:rPr>
          <w:rFonts w:ascii="Palatino Linotype" w:eastAsia="Palatino Linotype" w:hAnsi="Palatino Linotype" w:cs="Palatino Linotype"/>
          <w:b/>
        </w:rPr>
        <w:t xml:space="preserve"> de noviembre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0A3C430" w14:textId="77777777" w:rsidR="004777C4" w:rsidRDefault="004777C4">
      <w:pPr>
        <w:rPr>
          <w:rFonts w:ascii="Palatino Linotype" w:eastAsia="Palatino Linotype" w:hAnsi="Palatino Linotype" w:cs="Palatino Linotype"/>
          <w:b/>
          <w:sz w:val="28"/>
          <w:szCs w:val="28"/>
        </w:rPr>
      </w:pPr>
    </w:p>
    <w:p w14:paraId="15AA3B02" w14:textId="77777777" w:rsidR="004777C4" w:rsidRDefault="004777C4">
      <w:pPr>
        <w:jc w:val="center"/>
        <w:rPr>
          <w:rFonts w:ascii="Palatino Linotype" w:eastAsia="Palatino Linotype" w:hAnsi="Palatino Linotype" w:cs="Palatino Linotype"/>
          <w:b/>
          <w:sz w:val="28"/>
          <w:szCs w:val="28"/>
        </w:rPr>
      </w:pPr>
    </w:p>
    <w:p w14:paraId="3EA67FD6" w14:textId="77777777" w:rsidR="004777C4" w:rsidRDefault="00CF217F">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148312DB" w14:textId="77777777" w:rsidR="004777C4" w:rsidRDefault="004777C4">
      <w:pPr>
        <w:jc w:val="center"/>
        <w:rPr>
          <w:rFonts w:ascii="Palatino Linotype" w:eastAsia="Palatino Linotype" w:hAnsi="Palatino Linotype" w:cs="Palatino Linotype"/>
          <w:b/>
          <w:sz w:val="28"/>
          <w:szCs w:val="28"/>
        </w:rPr>
      </w:pPr>
    </w:p>
    <w:p w14:paraId="0377146F" w14:textId="77777777" w:rsidR="004777C4" w:rsidRDefault="00CF217F">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0A5794A2" w14:textId="77777777" w:rsidR="004777C4" w:rsidRDefault="00CF217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CEDC811" w14:textId="77777777" w:rsidR="004777C4" w:rsidRDefault="004777C4">
      <w:pPr>
        <w:spacing w:line="360" w:lineRule="auto"/>
        <w:jc w:val="both"/>
        <w:rPr>
          <w:rFonts w:ascii="Palatino Linotype" w:eastAsia="Palatino Linotype" w:hAnsi="Palatino Linotype" w:cs="Palatino Linotype"/>
          <w:b/>
          <w:sz w:val="28"/>
          <w:szCs w:val="28"/>
        </w:rPr>
      </w:pPr>
    </w:p>
    <w:p w14:paraId="29211D60" w14:textId="77777777" w:rsidR="004777C4" w:rsidRDefault="00CF217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7670C69C" w14:textId="77777777" w:rsidR="004777C4" w:rsidRDefault="00CF217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5F804D99" w14:textId="77777777" w:rsidR="004777C4" w:rsidRDefault="004777C4">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82DDB65" w14:textId="77777777" w:rsidR="004777C4" w:rsidRDefault="00CF217F">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72469259" w14:textId="77777777" w:rsidR="004777C4" w:rsidRDefault="00CF217F">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8694650" w14:textId="77777777" w:rsidR="004777C4" w:rsidRDefault="004777C4">
      <w:pPr>
        <w:ind w:left="720" w:right="709"/>
        <w:jc w:val="both"/>
        <w:rPr>
          <w:rFonts w:ascii="Palatino Linotype" w:eastAsia="Palatino Linotype" w:hAnsi="Palatino Linotype" w:cs="Palatino Linotype"/>
          <w:i/>
          <w:sz w:val="22"/>
          <w:szCs w:val="22"/>
        </w:rPr>
      </w:pPr>
    </w:p>
    <w:p w14:paraId="19BB26C8" w14:textId="77777777" w:rsidR="004777C4" w:rsidRDefault="00CF217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CB9794" w14:textId="77777777" w:rsidR="004777C4" w:rsidRDefault="004777C4">
      <w:pPr>
        <w:ind w:left="851" w:right="899"/>
        <w:jc w:val="both"/>
        <w:rPr>
          <w:rFonts w:ascii="Palatino Linotype" w:eastAsia="Palatino Linotype" w:hAnsi="Palatino Linotype" w:cs="Palatino Linotype"/>
          <w:i/>
          <w:sz w:val="22"/>
          <w:szCs w:val="22"/>
        </w:rPr>
      </w:pPr>
    </w:p>
    <w:p w14:paraId="0C82E934" w14:textId="77777777" w:rsidR="004777C4" w:rsidRDefault="00CF217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391A9A" w14:textId="77777777" w:rsidR="004777C4" w:rsidRDefault="004777C4">
      <w:pPr>
        <w:ind w:left="851" w:right="899"/>
        <w:jc w:val="both"/>
        <w:rPr>
          <w:rFonts w:ascii="Palatino Linotype" w:eastAsia="Palatino Linotype" w:hAnsi="Palatino Linotype" w:cs="Palatino Linotype"/>
          <w:i/>
          <w:sz w:val="22"/>
          <w:szCs w:val="22"/>
        </w:rPr>
      </w:pPr>
    </w:p>
    <w:p w14:paraId="4ABE4DF3" w14:textId="77777777" w:rsidR="004777C4" w:rsidRDefault="00CF217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1C1527A" w14:textId="77777777" w:rsidR="004777C4" w:rsidRDefault="004777C4">
      <w:pPr>
        <w:ind w:left="720" w:right="709"/>
        <w:jc w:val="both"/>
        <w:rPr>
          <w:rFonts w:ascii="Palatino Linotype" w:eastAsia="Palatino Linotype" w:hAnsi="Palatino Linotype" w:cs="Palatino Linotype"/>
          <w:i/>
          <w:sz w:val="22"/>
          <w:szCs w:val="22"/>
        </w:rPr>
      </w:pPr>
    </w:p>
    <w:p w14:paraId="7085B4B6" w14:textId="77777777" w:rsidR="004777C4" w:rsidRDefault="00CF217F">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dos de mayo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tres al veinticuatro de mayo de dos mil veintidós, </w:t>
      </w:r>
      <w:r>
        <w:rPr>
          <w:rFonts w:ascii="Palatino Linotype" w:eastAsia="Palatino Linotype" w:hAnsi="Palatino Linotype" w:cs="Palatino Linotype"/>
        </w:rPr>
        <w:t xml:space="preserve">sin contemplar en el cómputo los días uno, siete, ocho, catorce, quince, veintiuno y veintidós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Pr>
          <w:rFonts w:ascii="Palatino Linotype" w:eastAsia="Palatino Linotype" w:hAnsi="Palatino Linotype" w:cs="Palatino Linotype"/>
        </w:rPr>
        <w:lastRenderedPageBreak/>
        <w:t>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54729245" w14:textId="77777777" w:rsidR="004777C4" w:rsidRDefault="004777C4">
      <w:pPr>
        <w:spacing w:line="360" w:lineRule="auto"/>
        <w:jc w:val="both"/>
        <w:rPr>
          <w:rFonts w:ascii="Palatino Linotype" w:eastAsia="Palatino Linotype" w:hAnsi="Palatino Linotype" w:cs="Palatino Linotype"/>
        </w:rPr>
      </w:pPr>
      <w:bookmarkStart w:id="4" w:name="_heading=h.orkc3o7h9xbv" w:colFirst="0" w:colLast="0"/>
      <w:bookmarkEnd w:id="4"/>
    </w:p>
    <w:p w14:paraId="4A623E0D" w14:textId="77777777" w:rsidR="004777C4" w:rsidRDefault="00CF217F">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diecisiete  mayo, luego entonces  su interposición se considera oportuna.  </w:t>
      </w:r>
    </w:p>
    <w:p w14:paraId="35F36286" w14:textId="77777777" w:rsidR="004777C4" w:rsidRDefault="004777C4">
      <w:pPr>
        <w:spacing w:line="360" w:lineRule="auto"/>
        <w:jc w:val="both"/>
        <w:rPr>
          <w:rFonts w:ascii="Palatino Linotype" w:eastAsia="Palatino Linotype" w:hAnsi="Palatino Linotype" w:cs="Palatino Linotype"/>
        </w:rPr>
      </w:pPr>
    </w:p>
    <w:p w14:paraId="55177470" w14:textId="77777777" w:rsidR="004777C4" w:rsidRDefault="00CF217F">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7FDACAA5" w14:textId="77777777" w:rsidR="004777C4" w:rsidRDefault="00CF217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079D139B" w14:textId="77777777" w:rsidR="004777C4" w:rsidRDefault="004777C4">
      <w:pPr>
        <w:spacing w:line="360" w:lineRule="auto"/>
        <w:ind w:right="49"/>
        <w:jc w:val="both"/>
        <w:rPr>
          <w:rFonts w:ascii="Palatino Linotype" w:eastAsia="Palatino Linotype" w:hAnsi="Palatino Linotype" w:cs="Palatino Linotype"/>
        </w:rPr>
      </w:pPr>
    </w:p>
    <w:p w14:paraId="3005D7EF" w14:textId="77777777" w:rsidR="004777C4" w:rsidRDefault="00CF217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6B39AF42" w14:textId="77777777" w:rsidR="004777C4" w:rsidRDefault="00CF217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F05631A"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2CB7941E" w14:textId="77777777" w:rsidR="004777C4" w:rsidRDefault="00CF217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19BA1B2B"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3B0F30D" w14:textId="77777777" w:rsidR="004777C4" w:rsidRDefault="004777C4">
      <w:pPr>
        <w:tabs>
          <w:tab w:val="left" w:pos="851"/>
        </w:tabs>
        <w:ind w:right="901"/>
        <w:jc w:val="both"/>
        <w:rPr>
          <w:rFonts w:ascii="Palatino Linotype" w:eastAsia="Palatino Linotype" w:hAnsi="Palatino Linotype" w:cs="Palatino Linotype"/>
          <w:i/>
          <w:sz w:val="22"/>
          <w:szCs w:val="22"/>
        </w:rPr>
      </w:pPr>
    </w:p>
    <w:p w14:paraId="0668F691"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Pr>
          <w:rFonts w:ascii="Palatino Linotype" w:eastAsia="Palatino Linotype" w:hAnsi="Palatino Linotype" w:cs="Palatino Linotype"/>
        </w:rPr>
        <w:lastRenderedPageBreak/>
        <w:t>requisitos, entre ellos, el nombre completo</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03C7DF0A" w14:textId="77777777" w:rsidR="004777C4" w:rsidRDefault="004777C4">
      <w:pPr>
        <w:spacing w:line="360" w:lineRule="auto"/>
        <w:jc w:val="both"/>
        <w:rPr>
          <w:rFonts w:ascii="Palatino Linotype" w:eastAsia="Palatino Linotype" w:hAnsi="Palatino Linotype" w:cs="Palatino Linotype"/>
          <w:b/>
        </w:rPr>
      </w:pPr>
    </w:p>
    <w:p w14:paraId="25C42540"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0D5DEF0" w14:textId="77777777" w:rsidR="004777C4" w:rsidRDefault="004777C4">
      <w:pPr>
        <w:spacing w:line="360" w:lineRule="auto"/>
        <w:jc w:val="both"/>
        <w:rPr>
          <w:rFonts w:ascii="Palatino Linotype" w:eastAsia="Palatino Linotype" w:hAnsi="Palatino Linotype" w:cs="Palatino Linotype"/>
        </w:rPr>
      </w:pPr>
    </w:p>
    <w:p w14:paraId="57D6A375" w14:textId="77777777" w:rsidR="004777C4" w:rsidRDefault="00CF21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049AC86" w14:textId="77777777" w:rsidR="004777C4" w:rsidRDefault="004777C4">
      <w:pPr>
        <w:tabs>
          <w:tab w:val="left" w:pos="851"/>
        </w:tabs>
        <w:ind w:left="851" w:right="901"/>
        <w:jc w:val="both"/>
        <w:rPr>
          <w:rFonts w:ascii="Palatino Linotype" w:eastAsia="Palatino Linotype" w:hAnsi="Palatino Linotype" w:cs="Palatino Linotype"/>
          <w:sz w:val="22"/>
          <w:szCs w:val="22"/>
        </w:rPr>
      </w:pPr>
    </w:p>
    <w:p w14:paraId="056C7589"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w:t>
      </w:r>
      <w:r>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2CE5CEFB" w14:textId="77777777" w:rsidR="004777C4" w:rsidRDefault="004777C4">
      <w:pPr>
        <w:tabs>
          <w:tab w:val="left" w:pos="851"/>
        </w:tabs>
        <w:ind w:left="851" w:right="901"/>
        <w:jc w:val="both"/>
        <w:rPr>
          <w:rFonts w:ascii="Palatino Linotype" w:eastAsia="Palatino Linotype" w:hAnsi="Palatino Linotype" w:cs="Palatino Linotype"/>
          <w:sz w:val="22"/>
          <w:szCs w:val="22"/>
        </w:rPr>
      </w:pPr>
    </w:p>
    <w:p w14:paraId="07422E3B"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0F44602" w14:textId="77777777" w:rsidR="005029C5" w:rsidRDefault="005029C5">
      <w:pPr>
        <w:spacing w:line="360" w:lineRule="auto"/>
        <w:jc w:val="both"/>
        <w:rPr>
          <w:rFonts w:ascii="Palatino Linotype" w:eastAsia="Palatino Linotype" w:hAnsi="Palatino Linotype" w:cs="Palatino Linotype"/>
        </w:rPr>
      </w:pPr>
    </w:p>
    <w:p w14:paraId="062E7387" w14:textId="77777777" w:rsidR="005029C5" w:rsidRDefault="005029C5">
      <w:pPr>
        <w:spacing w:line="360" w:lineRule="auto"/>
        <w:jc w:val="both"/>
        <w:rPr>
          <w:rFonts w:ascii="Palatino Linotype" w:eastAsia="Palatino Linotype" w:hAnsi="Palatino Linotype" w:cs="Palatino Linotype"/>
        </w:rPr>
      </w:pPr>
    </w:p>
    <w:p w14:paraId="3F12A961" w14:textId="77777777" w:rsidR="004777C4" w:rsidRDefault="004777C4">
      <w:pPr>
        <w:spacing w:line="360" w:lineRule="auto"/>
        <w:jc w:val="both"/>
        <w:rPr>
          <w:rFonts w:ascii="Palatino Linotype" w:eastAsia="Palatino Linotype" w:hAnsi="Palatino Linotype" w:cs="Palatino Linotype"/>
          <w:b/>
          <w:sz w:val="28"/>
          <w:szCs w:val="28"/>
        </w:rPr>
      </w:pPr>
    </w:p>
    <w:p w14:paraId="49F8D5F0" w14:textId="77777777" w:rsidR="004777C4" w:rsidRDefault="00CF217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6A344103" w14:textId="77777777" w:rsidR="004777C4" w:rsidRDefault="00CF217F">
      <w:pPr>
        <w:tabs>
          <w:tab w:val="left" w:pos="709"/>
        </w:tabs>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i/>
        </w:rPr>
        <w:t xml:space="preserve">“un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M.-Título del contrato N.-Descripción del contrato O.-Importe del contrato P.-Convenio modificatorio Q.-RFC </w:t>
      </w:r>
      <w:proofErr w:type="spellStart"/>
      <w:r>
        <w:rPr>
          <w:rFonts w:ascii="Palatino Linotype" w:eastAsia="Palatino Linotype" w:hAnsi="Palatino Linotype" w:cs="Palatino Linotype"/>
          <w:i/>
        </w:rPr>
        <w:t>R.Proveedor</w:t>
      </w:r>
      <w:proofErr w:type="spellEnd"/>
      <w:r>
        <w:rPr>
          <w:rFonts w:ascii="Palatino Linotype" w:eastAsia="Palatino Linotype" w:hAnsi="Palatino Linotype" w:cs="Palatino Linotype"/>
          <w:i/>
        </w:rPr>
        <w:t xml:space="preserve"> o contratista S.-Dirección del anuncio . } También la lista de proveedores de 2012 a la fecha más reciente.” (sic)</w:t>
      </w:r>
    </w:p>
    <w:p w14:paraId="71AEEE59" w14:textId="77777777" w:rsidR="004777C4" w:rsidRDefault="004777C4">
      <w:pPr>
        <w:tabs>
          <w:tab w:val="left" w:pos="709"/>
        </w:tabs>
        <w:spacing w:line="360" w:lineRule="auto"/>
        <w:jc w:val="both"/>
        <w:rPr>
          <w:rFonts w:ascii="Palatino Linotype" w:eastAsia="Palatino Linotype" w:hAnsi="Palatino Linotype" w:cs="Palatino Linotype"/>
        </w:rPr>
      </w:pPr>
    </w:p>
    <w:p w14:paraId="5EFAB980" w14:textId="77777777" w:rsidR="004777C4" w:rsidRDefault="00CF217F">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un listado correspondiente a los años 2019, 2020 y 2021, donde se aprecian los rubros denominados, numero de concurso, número de contrato, número de control interno, obra, Fundamento legal, Fecha de Fallo, Publicación, Procedimiento, Contratación y Proveedor, tal y como se puede observar de la captura de pantalla que se inserta a continuación a manera de ejemplo: </w:t>
      </w:r>
    </w:p>
    <w:p w14:paraId="53AB565D" w14:textId="77777777" w:rsidR="004777C4" w:rsidRDefault="00CF217F">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1F583BA2" wp14:editId="16F47638">
            <wp:extent cx="5791835" cy="3263900"/>
            <wp:effectExtent l="0" t="0" r="0" b="0"/>
            <wp:docPr id="3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91835" cy="3263900"/>
                    </a:xfrm>
                    <a:prstGeom prst="rect">
                      <a:avLst/>
                    </a:prstGeom>
                    <a:ln/>
                  </pic:spPr>
                </pic:pic>
              </a:graphicData>
            </a:graphic>
          </wp:inline>
        </w:drawing>
      </w:r>
    </w:p>
    <w:p w14:paraId="6F1D1914" w14:textId="77777777" w:rsidR="004777C4" w:rsidRDefault="00CF217F">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Señalando además que no cuenta con registros de la información generada relativa al periodo de año 2012 al 2018 </w:t>
      </w:r>
    </w:p>
    <w:p w14:paraId="4A5818AA" w14:textId="77777777" w:rsidR="004777C4" w:rsidRDefault="00CF217F">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Inconformándose el  particular toda vez que la información entregada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encuentra incompleta, lo que, en consecuencia actualiza la causal de procedencia prevista en la Ley de Transparencia y Acceso a la Información Pública del Estado de México y Municipios artículo 179 fracción V  que versa sobre lo siguiente: </w:t>
      </w:r>
    </w:p>
    <w:p w14:paraId="30B70A19" w14:textId="77777777" w:rsidR="004777C4" w:rsidRDefault="00CF217F">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B40D6" w14:textId="77777777" w:rsidR="004777C4" w:rsidRDefault="00CF217F">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La entrega de información incompleta;”</w:t>
      </w:r>
    </w:p>
    <w:p w14:paraId="3FC35731" w14:textId="77777777" w:rsidR="004777C4" w:rsidRDefault="00CF217F">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(Énfasis añadido)</w:t>
      </w:r>
    </w:p>
    <w:p w14:paraId="43F4B99C" w14:textId="77777777" w:rsidR="004777C4" w:rsidRDefault="004777C4">
      <w:pPr>
        <w:spacing w:line="360" w:lineRule="auto"/>
        <w:jc w:val="both"/>
        <w:rPr>
          <w:rFonts w:ascii="Palatino Linotype" w:eastAsia="Palatino Linotype" w:hAnsi="Palatino Linotype" w:cs="Palatino Linotype"/>
        </w:rPr>
      </w:pPr>
    </w:p>
    <w:p w14:paraId="1E81621A"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649D3D69" w14:textId="77777777" w:rsidR="004777C4" w:rsidRDefault="004777C4">
      <w:pPr>
        <w:spacing w:line="360" w:lineRule="auto"/>
        <w:jc w:val="both"/>
        <w:rPr>
          <w:rFonts w:ascii="Palatino Linotype" w:eastAsia="Palatino Linotype" w:hAnsi="Palatino Linotype" w:cs="Palatino Linotype"/>
        </w:rPr>
      </w:pPr>
    </w:p>
    <w:p w14:paraId="7F49C74C"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indicar que de los argumentos vertidos por la particular en la interposición del presente Recurso de Revisión, se advierte que su inconformidad versa sobre los contratos relativos a los años faltantes  y no de la información entregada en respuesta, correspondiente a los años 2019 al 2021 o el listado de proveedores; por consiguiente, la parte de la respuesta que no fue impugnada debe declararse </w:t>
      </w:r>
      <w:r>
        <w:rPr>
          <w:rFonts w:ascii="Palatino Linotype" w:eastAsia="Palatino Linotype" w:hAnsi="Palatino Linotype" w:cs="Palatino Linotype"/>
          <w:b/>
        </w:rPr>
        <w:t>consentida</w:t>
      </w:r>
      <w:r>
        <w:rPr>
          <w:rFonts w:ascii="Palatino Linotype" w:eastAsia="Palatino Linotype" w:hAnsi="Palatino Linotype" w:cs="Palatino Linotype"/>
        </w:rPr>
        <w:t xml:space="preserve"> por el hoy </w:t>
      </w:r>
      <w:r>
        <w:rPr>
          <w:rFonts w:ascii="Palatino Linotype" w:eastAsia="Palatino Linotype" w:hAnsi="Palatino Linotype" w:cs="Palatino Linotype"/>
          <w:b/>
        </w:rPr>
        <w:t>RECURRENTE</w:t>
      </w:r>
      <w:r>
        <w:rPr>
          <w:rFonts w:ascii="Palatino Linotype" w:eastAsia="Palatino Linotype" w:hAnsi="Palatino Linotype" w:cs="Palatino Linotype"/>
        </w:rPr>
        <w:t>; pues por estos rubros no expresó manifestaciones de inconformidad, por lo que no pueden producirse efectos jurídicos tendentes a revocar, confirmar o modificar el acto reclamado, ya que se infiere un consentimiento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ante la falta de impugnación eficaz. </w:t>
      </w:r>
    </w:p>
    <w:p w14:paraId="4C6FACDD" w14:textId="77777777" w:rsidR="004777C4" w:rsidRDefault="004777C4">
      <w:pPr>
        <w:spacing w:line="360" w:lineRule="auto"/>
        <w:jc w:val="both"/>
        <w:rPr>
          <w:rFonts w:ascii="Palatino Linotype" w:eastAsia="Palatino Linotype" w:hAnsi="Palatino Linotype" w:cs="Palatino Linotype"/>
        </w:rPr>
      </w:pPr>
    </w:p>
    <w:p w14:paraId="734776AB" w14:textId="77777777" w:rsidR="004777C4" w:rsidRDefault="00CF217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17A07CE7" w14:textId="77777777" w:rsidR="004777C4" w:rsidRDefault="00CF217F">
      <w:pPr>
        <w:shd w:val="clear" w:color="auto" w:fill="FFFFFF"/>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ACTOS CONSENTIDOS. SON LOS QUE NO SE IMPUGNAN MEDIANTE EL RECURSO IDÓNEO</w:t>
      </w:r>
      <w:r>
        <w:rPr>
          <w:rFonts w:ascii="Palatino Linotype" w:eastAsia="Palatino Linotype" w:hAnsi="Palatino Linotype" w:cs="Palatino Linotype"/>
          <w:i/>
        </w:rPr>
        <w:t xml:space="preserve">. Debe reputarse como consentido el acto que no se impugnó por el medio establecido por la ley, ya que si se hizo </w:t>
      </w:r>
      <w:r>
        <w:rPr>
          <w:rFonts w:ascii="Palatino Linotype" w:eastAsia="Palatino Linotype" w:hAnsi="Palatino Linotype" w:cs="Palatino Linotype"/>
          <w:i/>
        </w:rPr>
        <w:lastRenderedPageBreak/>
        <w:t>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2E46A49" w14:textId="77777777" w:rsidR="004777C4" w:rsidRDefault="00CF217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Lo anterior es así, debido a que, cuando</w:t>
      </w:r>
      <w:r>
        <w:rPr>
          <w:rFonts w:ascii="Palatino Linotype" w:eastAsia="Palatino Linotype" w:hAnsi="Palatino Linotype" w:cs="Palatino Linotype"/>
          <w:b/>
        </w:rPr>
        <w:t xml:space="preserve">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información al no contravenir la misma.</w:t>
      </w:r>
    </w:p>
    <w:p w14:paraId="0FCE271F" w14:textId="77777777" w:rsidR="004777C4" w:rsidRDefault="00CF217F">
      <w:pPr>
        <w:spacing w:before="240" w:after="240" w:line="360" w:lineRule="auto"/>
        <w:ind w:right="49"/>
        <w:jc w:val="both"/>
        <w:rPr>
          <w:rFonts w:ascii="Helvetica Neue" w:eastAsia="Helvetica Neue" w:hAnsi="Helvetica Neue" w:cs="Helvetica Neue"/>
          <w:color w:val="FFFFFF"/>
          <w:sz w:val="18"/>
          <w:szCs w:val="18"/>
        </w:rPr>
      </w:pPr>
      <w:r>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72BF975E" w14:textId="77777777" w:rsidR="004777C4" w:rsidRDefault="00CF217F">
      <w:pPr>
        <w:spacing w:before="240" w:line="276" w:lineRule="auto"/>
        <w:ind w:left="1080" w:right="918"/>
        <w:jc w:val="both"/>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 xml:space="preserve">Cuando algún resolutivo de la sentencia impugnada afecta a la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rPr>
        <w:t>RECURRENTE</w:t>
      </w:r>
      <w:r>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3B1EF074" w14:textId="77777777" w:rsidR="004777C4" w:rsidRDefault="004777C4">
      <w:pPr>
        <w:spacing w:line="360" w:lineRule="auto"/>
        <w:jc w:val="both"/>
        <w:rPr>
          <w:rFonts w:ascii="Palatino Linotype" w:eastAsia="Palatino Linotype" w:hAnsi="Palatino Linotype" w:cs="Palatino Linotype"/>
        </w:rPr>
      </w:pPr>
    </w:p>
    <w:p w14:paraId="2CFB5CFF"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Atendiendo a lo anterior, el estudio se centrará particularmente en la parte de la solicitud sobre la cual se inconformó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siendo información relativa </w:t>
      </w:r>
      <w:r>
        <w:rPr>
          <w:rFonts w:ascii="Palatino Linotype" w:eastAsia="Palatino Linotype" w:hAnsi="Palatino Linotype" w:cs="Palatino Linotype"/>
        </w:rPr>
        <w:lastRenderedPageBreak/>
        <w:t xml:space="preserve">al periodo comprendido del primero de enero de 2012 al treinta y uno de diciembre del 2018. </w:t>
      </w:r>
    </w:p>
    <w:p w14:paraId="422B67B9" w14:textId="77777777" w:rsidR="004777C4" w:rsidRDefault="00CF217F">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636E9D1" w14:textId="77777777" w:rsidR="004777C4" w:rsidRDefault="00CF217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53B4C6F3" w14:textId="77777777" w:rsidR="004777C4" w:rsidRDefault="004777C4">
      <w:pPr>
        <w:spacing w:line="360" w:lineRule="auto"/>
        <w:ind w:right="49"/>
        <w:jc w:val="both"/>
        <w:rPr>
          <w:rFonts w:ascii="Palatino Linotype" w:eastAsia="Palatino Linotype" w:hAnsi="Palatino Linotype" w:cs="Palatino Linotype"/>
        </w:rPr>
      </w:pPr>
    </w:p>
    <w:p w14:paraId="594131D1"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520FB17"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4D4D64DE"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236560" w14:textId="77777777" w:rsidR="004777C4" w:rsidRDefault="004777C4">
      <w:pPr>
        <w:spacing w:line="360" w:lineRule="auto"/>
        <w:ind w:right="49"/>
        <w:jc w:val="both"/>
        <w:rPr>
          <w:rFonts w:ascii="Palatino Linotype" w:eastAsia="Palatino Linotype" w:hAnsi="Palatino Linotype" w:cs="Palatino Linotype"/>
        </w:rPr>
      </w:pPr>
    </w:p>
    <w:p w14:paraId="41F4EDB7" w14:textId="77777777" w:rsidR="004777C4" w:rsidRDefault="00CF217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C505726" w14:textId="77777777" w:rsidR="004777C4" w:rsidRDefault="004777C4">
      <w:pPr>
        <w:tabs>
          <w:tab w:val="left" w:pos="851"/>
        </w:tabs>
        <w:ind w:left="851" w:right="901"/>
        <w:jc w:val="both"/>
        <w:rPr>
          <w:rFonts w:ascii="Palatino Linotype" w:eastAsia="Palatino Linotype" w:hAnsi="Palatino Linotype" w:cs="Palatino Linotype"/>
          <w:i/>
          <w:sz w:val="22"/>
          <w:szCs w:val="22"/>
        </w:rPr>
      </w:pPr>
    </w:p>
    <w:p w14:paraId="612C4C8E"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7B81D83F"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F51E1F9"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56D550"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5423F51" w14:textId="77777777" w:rsidR="004777C4" w:rsidRDefault="004777C4">
      <w:pPr>
        <w:tabs>
          <w:tab w:val="left" w:pos="851"/>
        </w:tabs>
        <w:spacing w:line="360" w:lineRule="auto"/>
        <w:ind w:left="851" w:right="901"/>
        <w:jc w:val="both"/>
        <w:rPr>
          <w:rFonts w:ascii="Palatino Linotype" w:eastAsia="Palatino Linotype" w:hAnsi="Palatino Linotype" w:cs="Palatino Linotype"/>
          <w:i/>
          <w:sz w:val="22"/>
          <w:szCs w:val="22"/>
        </w:rPr>
      </w:pPr>
    </w:p>
    <w:p w14:paraId="0983FDCA" w14:textId="77777777" w:rsidR="004777C4" w:rsidRDefault="00CF217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7ABEF7F" w14:textId="77777777" w:rsidR="004777C4" w:rsidRDefault="00CF217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lastRenderedPageBreak/>
        <w:t>“</w:t>
      </w:r>
      <w:r>
        <w:rPr>
          <w:rFonts w:ascii="Palatino Linotype" w:eastAsia="Palatino Linotype" w:hAnsi="Palatino Linotype" w:cs="Palatino Linotype"/>
          <w:b/>
          <w:i/>
          <w:sz w:val="22"/>
          <w:szCs w:val="22"/>
        </w:rPr>
        <w:t>CRITERIO 0002-11</w:t>
      </w:r>
    </w:p>
    <w:p w14:paraId="0A0FAF0F"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BB96B6"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9189CD"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B605477" w14:textId="77777777" w:rsidR="004777C4" w:rsidRDefault="00CF217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9952EA7" w14:textId="77777777" w:rsidR="004777C4" w:rsidRDefault="00CF217F">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5B2B72D7" w14:textId="77777777" w:rsidR="004777C4" w:rsidRDefault="004777C4">
      <w:pPr>
        <w:spacing w:line="360" w:lineRule="auto"/>
        <w:jc w:val="both"/>
        <w:rPr>
          <w:rFonts w:ascii="Palatino Linotype" w:eastAsia="Palatino Linotype" w:hAnsi="Palatino Linotype" w:cs="Palatino Linotype"/>
        </w:rPr>
      </w:pPr>
    </w:p>
    <w:p w14:paraId="2CE18876"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conveniente mencionar que los expedientes que contienen los procedimientos de licitación pública, o bien, de manera excepcional, mediante los procedimientos de invitación restringida y adjudicación directa; es información que este Organismo Garante considera como pública y puede ser entregada en versión pública; 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la cual se relaciona con aquella que se genere de acuerdo con sus facultades, atribuciones y obligaciones señaladas por la Ley en la </w:t>
      </w:r>
      <w:r>
        <w:rPr>
          <w:rFonts w:ascii="Palatino Linotype" w:eastAsia="Palatino Linotype" w:hAnsi="Palatino Linotype" w:cs="Palatino Linotype"/>
        </w:rPr>
        <w:lastRenderedPageBreak/>
        <w:t>materia</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33CCEFD" w14:textId="77777777" w:rsidR="004777C4" w:rsidRDefault="004777C4">
      <w:pPr>
        <w:spacing w:line="360" w:lineRule="auto"/>
        <w:jc w:val="both"/>
        <w:rPr>
          <w:rFonts w:ascii="Palatino Linotype" w:eastAsia="Palatino Linotype" w:hAnsi="Palatino Linotype" w:cs="Palatino Linotype"/>
        </w:rPr>
      </w:pPr>
    </w:p>
    <w:p w14:paraId="2EDD9BA0" w14:textId="77777777" w:rsidR="004777C4" w:rsidRDefault="00CF217F">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como se observa a continuación: </w:t>
      </w:r>
    </w:p>
    <w:p w14:paraId="06A80931" w14:textId="77777777" w:rsidR="004777C4" w:rsidRDefault="004777C4">
      <w:pPr>
        <w:ind w:right="50"/>
        <w:jc w:val="both"/>
        <w:rPr>
          <w:rFonts w:ascii="Palatino Linotype" w:eastAsia="Palatino Linotype" w:hAnsi="Palatino Linotype" w:cs="Palatino Linotype"/>
        </w:rPr>
      </w:pPr>
    </w:p>
    <w:p w14:paraId="77755BE3" w14:textId="77777777" w:rsidR="004777C4" w:rsidRDefault="00CF217F">
      <w:pPr>
        <w:spacing w:line="276" w:lineRule="auto"/>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23…</w:t>
      </w:r>
    </w:p>
    <w:p w14:paraId="6C53116B" w14:textId="77777777" w:rsidR="004777C4" w:rsidRDefault="004777C4">
      <w:pPr>
        <w:spacing w:line="276" w:lineRule="auto"/>
        <w:ind w:left="851" w:right="901"/>
        <w:jc w:val="both"/>
        <w:rPr>
          <w:rFonts w:ascii="Palatino Linotype" w:eastAsia="Palatino Linotype" w:hAnsi="Palatino Linotype" w:cs="Palatino Linotype"/>
          <w:i/>
          <w:sz w:val="22"/>
          <w:szCs w:val="22"/>
        </w:rPr>
      </w:pPr>
    </w:p>
    <w:p w14:paraId="49D01CBF" w14:textId="77777777" w:rsidR="004777C4" w:rsidRDefault="00CF217F">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w:t>
      </w:r>
      <w:r>
        <w:rPr>
          <w:rFonts w:ascii="Palatino Linotype" w:eastAsia="Palatino Linotype" w:hAnsi="Palatino Linotype" w:cs="Palatino Linotype"/>
          <w:i/>
          <w:sz w:val="22"/>
          <w:szCs w:val="22"/>
        </w:rPr>
        <w:lastRenderedPageBreak/>
        <w:t>así como los informes que dichas personas les entreguen sobre el uso y destino de dichos recursos…(Sic)”</w:t>
      </w:r>
    </w:p>
    <w:p w14:paraId="4FEBB45C" w14:textId="77777777" w:rsidR="004777C4" w:rsidRDefault="004777C4">
      <w:pPr>
        <w:spacing w:line="276" w:lineRule="auto"/>
        <w:ind w:left="851" w:right="901"/>
        <w:jc w:val="both"/>
        <w:rPr>
          <w:rFonts w:ascii="Palatino Linotype" w:eastAsia="Palatino Linotype" w:hAnsi="Palatino Linotype" w:cs="Palatino Linotype"/>
          <w:i/>
          <w:sz w:val="22"/>
          <w:szCs w:val="22"/>
        </w:rPr>
      </w:pPr>
    </w:p>
    <w:p w14:paraId="2073199F"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sobre los procedimientos de licitación pública, o bien, de manera excepcional, mediante los procedimientos de invitación restringida y adjudicación directa, se trata de una obligación de transparencia que se debe pública en el IPOMEX (Información pública de oficio mexiquense), de la cual se debe generar expediente respectivo, entre la que podemos encontrar la siguiente conforme a lo señalado por el artículo 92, fracción XXIX, de la Ley de la Materia, que señala:</w:t>
      </w:r>
    </w:p>
    <w:p w14:paraId="7AAAA753" w14:textId="77777777" w:rsidR="004777C4" w:rsidRDefault="004777C4">
      <w:pPr>
        <w:ind w:left="992" w:right="1043"/>
        <w:jc w:val="both"/>
        <w:rPr>
          <w:rFonts w:ascii="Palatino Linotype" w:eastAsia="Palatino Linotype" w:hAnsi="Palatino Linotype" w:cs="Palatino Linotype"/>
          <w:i/>
          <w:sz w:val="22"/>
          <w:szCs w:val="22"/>
        </w:rPr>
      </w:pPr>
    </w:p>
    <w:p w14:paraId="7FE20EB0"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1E5A79BD"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XXIX. La información sobre los procesos y resultados sobre procedimientos de </w:t>
      </w:r>
      <w:r>
        <w:rPr>
          <w:rFonts w:ascii="Palatino Linotype" w:eastAsia="Palatino Linotype" w:hAnsi="Palatino Linotype" w:cs="Palatino Linotype"/>
          <w:b/>
          <w:i/>
          <w:sz w:val="22"/>
          <w:szCs w:val="22"/>
          <w:u w:val="single"/>
        </w:rPr>
        <w:t>adjudicación directa, invitación restringida y licitación de cualquier naturaleza</w:t>
      </w:r>
      <w:r>
        <w:rPr>
          <w:rFonts w:ascii="Palatino Linotype" w:eastAsia="Palatino Linotype" w:hAnsi="Palatino Linotype" w:cs="Palatino Linotype"/>
          <w:b/>
          <w:i/>
          <w:sz w:val="22"/>
          <w:szCs w:val="22"/>
        </w:rPr>
        <w:t>, incluyendo la versión pública</w:t>
      </w:r>
      <w:r>
        <w:rPr>
          <w:rFonts w:ascii="Palatino Linotype" w:eastAsia="Palatino Linotype" w:hAnsi="Palatino Linotype" w:cs="Palatino Linotype"/>
          <w:i/>
          <w:sz w:val="22"/>
          <w:szCs w:val="22"/>
        </w:rPr>
        <w:t xml:space="preserve"> del </w:t>
      </w:r>
      <w:r>
        <w:rPr>
          <w:rFonts w:ascii="Palatino Linotype" w:eastAsia="Palatino Linotype" w:hAnsi="Palatino Linotype" w:cs="Palatino Linotype"/>
          <w:b/>
          <w:i/>
          <w:sz w:val="22"/>
          <w:szCs w:val="22"/>
          <w:u w:val="single"/>
        </w:rPr>
        <w:t>expediente respectivo y de los contratos celebrados</w:t>
      </w:r>
      <w:r>
        <w:rPr>
          <w:rFonts w:ascii="Palatino Linotype" w:eastAsia="Palatino Linotype" w:hAnsi="Palatino Linotype" w:cs="Palatino Linotype"/>
          <w:i/>
          <w:sz w:val="22"/>
          <w:szCs w:val="22"/>
        </w:rPr>
        <w:t xml:space="preserve">, que </w:t>
      </w:r>
      <w:r>
        <w:rPr>
          <w:rFonts w:ascii="Palatino Linotype" w:eastAsia="Palatino Linotype" w:hAnsi="Palatino Linotype" w:cs="Palatino Linotype"/>
          <w:b/>
          <w:i/>
          <w:sz w:val="22"/>
          <w:szCs w:val="22"/>
        </w:rPr>
        <w:t>deberán contener, por los menos</w:t>
      </w:r>
      <w:r>
        <w:rPr>
          <w:rFonts w:ascii="Palatino Linotype" w:eastAsia="Palatino Linotype" w:hAnsi="Palatino Linotype" w:cs="Palatino Linotype"/>
          <w:i/>
          <w:sz w:val="22"/>
          <w:szCs w:val="22"/>
        </w:rPr>
        <w:t xml:space="preserve">, lo siguiente: </w:t>
      </w:r>
    </w:p>
    <w:p w14:paraId="0FFD0E9F"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 licitaciones públicas o procedimientos de invitación restringida: </w:t>
      </w:r>
    </w:p>
    <w:p w14:paraId="7A269DC2"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367F1DED"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2) Los nombres de los participantes o invitados; </w:t>
      </w:r>
    </w:p>
    <w:p w14:paraId="45ABF014"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3) El nombre del ganador y las razones que lo justifican; </w:t>
      </w:r>
    </w:p>
    <w:p w14:paraId="70260714"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El área solicitante y la responsable de su ejecución; </w:t>
      </w:r>
    </w:p>
    <w:p w14:paraId="7DEA85F8"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Las convocatorias e invitaciones emitidas; </w:t>
      </w:r>
    </w:p>
    <w:p w14:paraId="2922771A"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6) Los dictámenes y fallo de adjudicación; </w:t>
      </w:r>
    </w:p>
    <w:p w14:paraId="2A3FEB9A"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7) El contrato y, en su caso, sus anexos; </w:t>
      </w:r>
    </w:p>
    <w:p w14:paraId="713E2D89" w14:textId="77777777" w:rsidR="004777C4" w:rsidRDefault="00CF217F">
      <w:pPr>
        <w:ind w:left="992" w:right="104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rPr>
        <w:t xml:space="preserve">8) Los mecanismos de vigilancia y supervisión, incluyendo en su caso, los </w:t>
      </w:r>
      <w:r>
        <w:rPr>
          <w:rFonts w:ascii="Palatino Linotype" w:eastAsia="Palatino Linotype" w:hAnsi="Palatino Linotype" w:cs="Palatino Linotype"/>
          <w:i/>
          <w:sz w:val="22"/>
          <w:szCs w:val="22"/>
          <w:u w:val="single"/>
        </w:rPr>
        <w:t xml:space="preserve">estudios de impacto urbano y ambiental, según corresponda; </w:t>
      </w:r>
    </w:p>
    <w:p w14:paraId="7965E29E"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lastRenderedPageBreak/>
        <w:t xml:space="preserve">9) La partida presupuestal, de conformidad con el clasificador por objeto del gasto, en el caso de ser aplicable; </w:t>
      </w:r>
    </w:p>
    <w:p w14:paraId="54B3BF5C" w14:textId="77777777" w:rsidR="004777C4" w:rsidRDefault="00CF217F">
      <w:pPr>
        <w:ind w:left="992"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u w:val="single"/>
        </w:rPr>
        <w:t>10) Origen de los recursos especificando si son federales, estatales o municipales, así como el tipo de fondo de participación o aportación respectiva;</w:t>
      </w:r>
      <w:r>
        <w:rPr>
          <w:rFonts w:ascii="Palatino Linotype" w:eastAsia="Palatino Linotype" w:hAnsi="Palatino Linotype" w:cs="Palatino Linotype"/>
          <w:b/>
          <w:i/>
          <w:sz w:val="22"/>
          <w:szCs w:val="22"/>
        </w:rPr>
        <w:t xml:space="preserve"> </w:t>
      </w:r>
    </w:p>
    <w:p w14:paraId="0EC0FEEC" w14:textId="77777777" w:rsidR="004777C4" w:rsidRDefault="00CF217F">
      <w:pPr>
        <w:ind w:left="992" w:right="1043"/>
        <w:jc w:val="both"/>
      </w:pPr>
      <w:r>
        <w:rPr>
          <w:rFonts w:ascii="Palatino Linotype" w:eastAsia="Palatino Linotype" w:hAnsi="Palatino Linotype" w:cs="Palatino Linotype"/>
          <w:i/>
          <w:sz w:val="22"/>
          <w:szCs w:val="22"/>
        </w:rPr>
        <w:t>11) Los convenios modificatorios que, en su caso, sean firmados, precisando el objeto y la fecha de celebración;</w:t>
      </w:r>
      <w:r>
        <w:t xml:space="preserve"> </w:t>
      </w:r>
    </w:p>
    <w:p w14:paraId="1D0056B0"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Los informes de avance físico y financiero sobre las obras o servicios contratados; </w:t>
      </w:r>
    </w:p>
    <w:p w14:paraId="310A6532"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 El convenio de terminación; y </w:t>
      </w:r>
    </w:p>
    <w:p w14:paraId="76D8FF09"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El finiquito.</w:t>
      </w:r>
    </w:p>
    <w:p w14:paraId="7DBCEE3B"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b) De las adjudicaciones directas: </w:t>
      </w:r>
    </w:p>
    <w:p w14:paraId="540C5846"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propuesta enviada por el participante; </w:t>
      </w:r>
    </w:p>
    <w:p w14:paraId="78A36598"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Los motivos y fundamentos legales aplicados para llevarla a cabo; </w:t>
      </w:r>
    </w:p>
    <w:p w14:paraId="2F7D7533"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La autorización del ejercicio de la opción; </w:t>
      </w:r>
    </w:p>
    <w:p w14:paraId="7B05FE77"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30000C60" w14:textId="77777777" w:rsidR="004777C4" w:rsidRDefault="00CF217F">
      <w:pPr>
        <w:ind w:left="992" w:right="104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5) El nombre de la persona física o jurídica colectiva adjudicada; </w:t>
      </w:r>
    </w:p>
    <w:p w14:paraId="0CE77D25"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La unidad administrativa solicitante y la responsable de su ejecución; </w:t>
      </w:r>
    </w:p>
    <w:p w14:paraId="27B8A5BF"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71BB57CA"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3B23E48F"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Los informes de avance sobre las obras o servicios contratados; </w:t>
      </w:r>
    </w:p>
    <w:p w14:paraId="6B04054F"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El convenio de terminación; y </w:t>
      </w:r>
    </w:p>
    <w:p w14:paraId="144C8CDB" w14:textId="77777777" w:rsidR="004777C4" w:rsidRDefault="00CF217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El finiquito.” (Sic) </w:t>
      </w:r>
    </w:p>
    <w:p w14:paraId="57C4696D" w14:textId="77777777" w:rsidR="004777C4" w:rsidRDefault="004777C4">
      <w:pPr>
        <w:spacing w:line="360" w:lineRule="auto"/>
        <w:jc w:val="both"/>
        <w:rPr>
          <w:rFonts w:ascii="Palatino Linotype" w:eastAsia="Palatino Linotype" w:hAnsi="Palatino Linotype" w:cs="Palatino Linotype"/>
        </w:rPr>
      </w:pPr>
    </w:p>
    <w:p w14:paraId="250D5975"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al respecto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la forma, </w:t>
      </w:r>
      <w:r>
        <w:rPr>
          <w:rFonts w:ascii="Palatino Linotype" w:eastAsia="Palatino Linotype" w:hAnsi="Palatino Linotype" w:cs="Palatino Linotype"/>
        </w:rPr>
        <w:lastRenderedPageBreak/>
        <w:t xml:space="preserve">temporalidad y criterios (véase </w:t>
      </w:r>
      <w:hyperlink r:id="rId8">
        <w:r>
          <w:rPr>
            <w:rFonts w:ascii="Palatino Linotype" w:eastAsia="Palatino Linotype" w:hAnsi="Palatino Linotype" w:cs="Palatino Linotype"/>
            <w:color w:val="0563C1"/>
            <w:u w:val="single"/>
          </w:rPr>
          <w:t>https://www.transparencia.ipn.mx/Apoyo/SIPOT/LTG_DOF28122020.pdf</w:t>
        </w:r>
      </w:hyperlink>
      <w:r>
        <w:rPr>
          <w:rFonts w:ascii="Palatino Linotype" w:eastAsia="Palatino Linotype" w:hAnsi="Palatino Linotype" w:cs="Palatino Linotype"/>
        </w:rPr>
        <w:t xml:space="preserve">) para publicar la información de los procedimientos </w:t>
      </w:r>
      <w:r>
        <w:t xml:space="preserve">de </w:t>
      </w:r>
      <w:r>
        <w:rPr>
          <w:rFonts w:ascii="Palatino Linotype" w:eastAsia="Palatino Linotype" w:hAnsi="Palatino Linotype" w:cs="Palatino Linotype"/>
        </w:rPr>
        <w:t>adjudicación directa, invitación restringida y licitación de cualquier naturaleza, incluyendo la Versión Pública del Expediente respectivo y de los contratos celebrados, que deberá contener por lo menos lo siguiente:</w:t>
      </w:r>
    </w:p>
    <w:p w14:paraId="0C2DB5B3" w14:textId="77777777" w:rsidR="004777C4" w:rsidRDefault="004777C4">
      <w:pPr>
        <w:spacing w:line="360" w:lineRule="auto"/>
        <w:jc w:val="both"/>
        <w:rPr>
          <w:rFonts w:ascii="Palatino Linotype" w:eastAsia="Palatino Linotype" w:hAnsi="Palatino Linotype" w:cs="Palatino Linotype"/>
        </w:rPr>
      </w:pPr>
    </w:p>
    <w:p w14:paraId="50A03F7C"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p w14:paraId="2EB05F60" w14:textId="77777777" w:rsidR="004777C4" w:rsidRDefault="00CF217F">
      <w:pPr>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a) De licitaciones públicas o procedimientos de invitación restringida: </w:t>
      </w:r>
    </w:p>
    <w:p w14:paraId="3F47ABDC"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3B98E36D" w14:textId="77777777" w:rsidR="004777C4" w:rsidRDefault="00CF217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Los nombres de los participantes o invitados; </w:t>
      </w:r>
    </w:p>
    <w:p w14:paraId="73599187" w14:textId="77777777" w:rsidR="004777C4" w:rsidRDefault="00CF217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El nombre del ganador y las razones que lo justifican; </w:t>
      </w:r>
    </w:p>
    <w:p w14:paraId="4E30EC71"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El área solicitante y la responsable de su ejecución; </w:t>
      </w:r>
    </w:p>
    <w:p w14:paraId="45EB8364"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Las convocatorias e invitaciones emitidas; </w:t>
      </w:r>
    </w:p>
    <w:p w14:paraId="771C7315" w14:textId="77777777" w:rsidR="004777C4" w:rsidRDefault="00CF217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6. Los dictámenes y fallo de adjudicación; </w:t>
      </w:r>
    </w:p>
    <w:p w14:paraId="1977F214" w14:textId="77777777" w:rsidR="004777C4" w:rsidRDefault="00CF217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7. El contrato y, en su caso, sus anexos; </w:t>
      </w:r>
    </w:p>
    <w:p w14:paraId="298EB013"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62059554"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0B3E9BD9"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7BED8F9F"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63ABC504"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Los informes de avance físico y financiero sobre las obras o servicios contratados; </w:t>
      </w:r>
    </w:p>
    <w:p w14:paraId="4FB206D7"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 El convenio de terminación; y </w:t>
      </w:r>
    </w:p>
    <w:p w14:paraId="7BBD3E84"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El finiquito.</w:t>
      </w:r>
    </w:p>
    <w:p w14:paraId="26145B0C"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b) De las adjudicaciones directas: </w:t>
      </w:r>
    </w:p>
    <w:p w14:paraId="75F59008"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propuesta enviada por el participante; </w:t>
      </w:r>
    </w:p>
    <w:p w14:paraId="68A37758"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Los motivos y fundamentos legales aplicados para llevarla a cabo; </w:t>
      </w:r>
    </w:p>
    <w:p w14:paraId="62264F4C"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La autorización del ejercicio de la opción; </w:t>
      </w:r>
    </w:p>
    <w:p w14:paraId="72BCF8C3"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 su caso, las cotizaciones consideradas, especificando los nombres de los proveedores y los montos; </w:t>
      </w:r>
    </w:p>
    <w:p w14:paraId="56A04F18"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El nombre de la persona física o moral adjudicada; </w:t>
      </w:r>
    </w:p>
    <w:p w14:paraId="5F07281B"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La unidad administrativa solicitante y la responsable de su ejecución; </w:t>
      </w:r>
    </w:p>
    <w:p w14:paraId="309A6C3A"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2F36AD6F"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5FA85649"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Los informes de avance sobre las obras o servicios contratados; </w:t>
      </w:r>
    </w:p>
    <w:p w14:paraId="58031BFD"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El convenio de terminación; y </w:t>
      </w:r>
    </w:p>
    <w:p w14:paraId="0A55A137"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El finiquito. </w:t>
      </w:r>
    </w:p>
    <w:p w14:paraId="12166877"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apartado se dispone cuáles son los contenidos y la forma en que los sujetos obligados deberán publicar y actualizar la información que generen, relativa a los resultados de los procedimientos de licitación pública,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14:paraId="00B25A87"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ese sentido, la información que deberá registrarse en la Plataforma Nacional, es aquella que acredite que ha concluido el procedimiento, es decir cuando los sujetos obligados ya tienen identificado a quién(es) se adjudicó, ganó la licitación realizada, o en su caso si se declaró desierta, por lo que el ejercicio deberá corresponder al periodo en el que ya se podía identificar al ganador. La información sobre los actos, contratos y convenios celebrados se presentará en una base de datos en la que cada registro se hará por tipo de procedimiento: </w:t>
      </w:r>
    </w:p>
    <w:p w14:paraId="5547907C"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Licitación pública </w:t>
      </w:r>
    </w:p>
    <w:p w14:paraId="357EBBAB"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Invitación a cuando menos tres personas (restringida) </w:t>
      </w:r>
    </w:p>
    <w:p w14:paraId="59F24D29"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Adjudicación directa Para cada tipo de procedimiento se deberá especificar la materia: </w:t>
      </w:r>
    </w:p>
    <w:p w14:paraId="3F870705"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Obra pública </w:t>
      </w:r>
    </w:p>
    <w:p w14:paraId="3A251E96"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Servicios relacionados con obra pública </w:t>
      </w:r>
    </w:p>
    <w:p w14:paraId="3D133D2E"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Arrendamiento • Adquisición o </w:t>
      </w:r>
    </w:p>
    <w:p w14:paraId="261EDBA3"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Servicios Y el carácter: </w:t>
      </w:r>
    </w:p>
    <w:p w14:paraId="08DCD276"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Nacional </w:t>
      </w:r>
    </w:p>
    <w:p w14:paraId="1A82AEF8"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Internacional (en cualquier modalidad específica) </w:t>
      </w:r>
    </w:p>
    <w:p w14:paraId="227F191E"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Respecto de los documentos fuente solicitados en los criterios sustantivos que deban ser publicados, tales como contratos, convenios, actas, dictámenes, fallos, convenios modificatorios, informes, entre otros, incluyendo sus anexos correspondientes, exceptuando aquellos que sean demasiado extensos, se deberá elaborar versión pública de los mismos. </w:t>
      </w:r>
    </w:p>
    <w:p w14:paraId="00F35025"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asegurarse de que la información publicada en esta sección mantenga correspondencia y coherencia, con lo publicado en el sistema electrónico de información pública gubernamental sobre contrataciones, concursos, licitaciones, adquisiciones, arrendamientos y servicios, que en su caso cada entidad federativa desarrolle y administre.</w:t>
      </w:r>
    </w:p>
    <w:p w14:paraId="1156506B"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Periodo de actualización: trimestral Conservar en el sitio de Internet: información vigente, es decir, los instrumentos jurídicos vigentes, contratos y convenios, aun cuando éstos sean de ejercicios anteriores; la generada en el ejercicio en curso y la correspondiente a dos ejercicios anteriores. ” (Sic)</w:t>
      </w:r>
    </w:p>
    <w:p w14:paraId="3757DC75" w14:textId="77777777" w:rsidR="004777C4" w:rsidRDefault="004777C4">
      <w:pPr>
        <w:spacing w:line="360" w:lineRule="auto"/>
        <w:jc w:val="both"/>
        <w:rPr>
          <w:rFonts w:ascii="Palatino Linotype" w:eastAsia="Palatino Linotype" w:hAnsi="Palatino Linotype" w:cs="Palatino Linotype"/>
        </w:rPr>
      </w:pPr>
    </w:p>
    <w:p w14:paraId="40B153B3" w14:textId="77777777" w:rsidR="004777C4" w:rsidRDefault="00CF217F">
      <w:pPr>
        <w:shd w:val="clear" w:color="auto" w:fill="FFFFFF"/>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También sobre los contratos, de igual forma se trata de una obligación de transparencia en términos del artículo 92 previamente señalado fracción XXXII, que señala:</w:t>
      </w:r>
    </w:p>
    <w:p w14:paraId="6DE4DE6E" w14:textId="77777777" w:rsidR="004777C4" w:rsidRDefault="00CF217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(Sic)</w:t>
      </w:r>
    </w:p>
    <w:p w14:paraId="00360B17" w14:textId="77777777" w:rsidR="004777C4" w:rsidRDefault="004777C4">
      <w:pPr>
        <w:shd w:val="clear" w:color="auto" w:fill="FFFFFF"/>
        <w:spacing w:line="360" w:lineRule="auto"/>
        <w:jc w:val="both"/>
        <w:rPr>
          <w:rFonts w:ascii="Palatino Linotype" w:eastAsia="Palatino Linotype" w:hAnsi="Palatino Linotype" w:cs="Palatino Linotype"/>
        </w:rPr>
      </w:pPr>
    </w:p>
    <w:p w14:paraId="34541ED7" w14:textId="77777777" w:rsidR="004777C4"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de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advierte que, este en efecto genera la información </w:t>
      </w:r>
      <w:proofErr w:type="gramStart"/>
      <w:r>
        <w:rPr>
          <w:rFonts w:ascii="Palatino Linotype" w:eastAsia="Palatino Linotype" w:hAnsi="Palatino Linotype" w:cs="Palatino Linotype"/>
        </w:rPr>
        <w:t>solicitada ,</w:t>
      </w:r>
      <w:proofErr w:type="gramEnd"/>
      <w:r>
        <w:rPr>
          <w:rFonts w:ascii="Palatino Linotype" w:eastAsia="Palatino Linotype" w:hAnsi="Palatino Linotype" w:cs="Palatino Linotype"/>
        </w:rPr>
        <w:t xml:space="preserve"> ya que hace entrega de un listado con los puntos requeridos por el particular. </w:t>
      </w:r>
    </w:p>
    <w:p w14:paraId="1A2FDB67" w14:textId="77777777" w:rsidR="004777C4" w:rsidRDefault="004777C4">
      <w:pPr>
        <w:shd w:val="clear" w:color="auto" w:fill="FFFFFF"/>
        <w:spacing w:line="360" w:lineRule="auto"/>
        <w:jc w:val="both"/>
        <w:rPr>
          <w:rFonts w:ascii="Palatino Linotype" w:eastAsia="Palatino Linotype" w:hAnsi="Palatino Linotype" w:cs="Palatino Linotype"/>
        </w:rPr>
      </w:pPr>
    </w:p>
    <w:p w14:paraId="3900B03F" w14:textId="77777777" w:rsidR="004777C4" w:rsidRDefault="00CF217F">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mediante respuesta manifiesta que no tiene registros de la información en los periodos solicitados, agregando mediante su Informe Justificado que dicha información fue generada por cada una de las áreas sin que estas generar un registro. </w:t>
      </w:r>
    </w:p>
    <w:p w14:paraId="6A7632B5" w14:textId="77777777" w:rsidR="004777C4" w:rsidRDefault="004777C4">
      <w:pPr>
        <w:shd w:val="clear" w:color="auto" w:fill="FFFFFF"/>
        <w:spacing w:line="360" w:lineRule="auto"/>
        <w:jc w:val="both"/>
        <w:rPr>
          <w:rFonts w:ascii="Palatino Linotype" w:eastAsia="Palatino Linotype" w:hAnsi="Palatino Linotype" w:cs="Palatino Linotype"/>
        </w:rPr>
      </w:pPr>
    </w:p>
    <w:p w14:paraId="53843114" w14:textId="77777777" w:rsidR="004777C4" w:rsidRDefault="00CF217F">
      <w:pPr>
        <w:spacing w:after="100" w:line="360" w:lineRule="auto"/>
        <w:jc w:val="both"/>
        <w:rPr>
          <w:rFonts w:ascii="Palatino Linotype" w:eastAsia="Palatino Linotype" w:hAnsi="Palatino Linotype" w:cs="Palatino Linotype"/>
        </w:rPr>
      </w:pPr>
      <w:bookmarkStart w:id="5" w:name="_heading=h.gfeo10l9mt5m" w:colFirst="0" w:colLast="0"/>
      <w:bookmarkEnd w:id="5"/>
      <w:r>
        <w:rPr>
          <w:rFonts w:ascii="Palatino Linotype" w:eastAsia="Palatino Linotype" w:hAnsi="Palatino Linotype" w:cs="Palatino Linotype"/>
        </w:rPr>
        <w:t xml:space="preserve">Luego entonces, toda vez que la Ley de Transparencia y Acceso a la Información Pública del Estado De México y Municipios establece en su artículo 19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contar con la información si esta se refiere a las facultades, competencias, funciones que los ordenamientos jurídicos aplicables le otorgan a los Sujetos Obligados. Si dicha información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usos de sus funciones debe generar, administrar o poseer no existe, entonces deberá emitir el Acuerdo de Inexistencia correspondiente por medio de su Comité de Transparencia: </w:t>
      </w:r>
    </w:p>
    <w:p w14:paraId="115BB89D" w14:textId="77777777" w:rsidR="004777C4" w:rsidRDefault="00CF217F">
      <w:pPr>
        <w:ind w:left="850" w:right="1184"/>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 xml:space="preserve">“Artículo 19. </w:t>
      </w:r>
      <w:r>
        <w:rPr>
          <w:rFonts w:ascii="Palatino Linotype" w:eastAsia="Palatino Linotype" w:hAnsi="Palatino Linotype" w:cs="Palatino Linotype"/>
          <w:i/>
          <w:color w:val="2F2F2F"/>
          <w:sz w:val="22"/>
          <w:szCs w:val="22"/>
        </w:rPr>
        <w:t>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14:paraId="06C62B8A" w14:textId="77777777" w:rsidR="004777C4" w:rsidRDefault="004777C4">
      <w:pPr>
        <w:ind w:left="850" w:right="1184"/>
        <w:jc w:val="both"/>
        <w:rPr>
          <w:rFonts w:ascii="Palatino Linotype" w:eastAsia="Palatino Linotype" w:hAnsi="Palatino Linotype" w:cs="Palatino Linotype"/>
          <w:i/>
          <w:color w:val="2F2F2F"/>
          <w:sz w:val="22"/>
          <w:szCs w:val="22"/>
        </w:rPr>
      </w:pPr>
    </w:p>
    <w:p w14:paraId="7B811210" w14:textId="77777777" w:rsidR="004777C4" w:rsidRDefault="00CF217F">
      <w:pPr>
        <w:ind w:left="850" w:right="1184"/>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i/>
          <w:color w:val="2F2F2F"/>
          <w:sz w:val="22"/>
          <w:szCs w:val="22"/>
        </w:rPr>
        <w:t>S</w:t>
      </w:r>
      <w:r>
        <w:rPr>
          <w:rFonts w:ascii="Palatino Linotype" w:eastAsia="Palatino Linotype" w:hAnsi="Palatino Linotype" w:cs="Palatino Linotype"/>
          <w:b/>
          <w:i/>
          <w:color w:val="2F2F2F"/>
          <w:sz w:val="22"/>
          <w:szCs w:val="22"/>
        </w:rPr>
        <w:t>i el sujeto obligado, en el ejercicio de sus atribuciones, debía generar, poseer o administrar la información, pero ésta no se encuentra, el Comité de transparencia deberá emitir un acuerdo de inexistencia</w:t>
      </w:r>
      <w:r>
        <w:rPr>
          <w:rFonts w:ascii="Palatino Linotype" w:eastAsia="Palatino Linotype" w:hAnsi="Palatino Linotype" w:cs="Palatino Linotype"/>
          <w:i/>
          <w:color w:val="2F2F2F"/>
          <w:sz w:val="22"/>
          <w:szCs w:val="22"/>
        </w:rPr>
        <w:t xml:space="preserve">, debidamente fundado y motivado, en el que detalle las razones del por qué no obra en sus archivos” </w:t>
      </w:r>
    </w:p>
    <w:p w14:paraId="219EF437" w14:textId="77777777" w:rsidR="004777C4" w:rsidRDefault="00CF217F">
      <w:pPr>
        <w:ind w:left="850" w:right="1184"/>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i/>
          <w:color w:val="2F2F2F"/>
          <w:sz w:val="22"/>
          <w:szCs w:val="22"/>
        </w:rPr>
        <w:lastRenderedPageBreak/>
        <w:t>(Énfasis añadido)</w:t>
      </w:r>
    </w:p>
    <w:p w14:paraId="6A0B93F5" w14:textId="77777777" w:rsidR="004777C4" w:rsidRDefault="004777C4">
      <w:pPr>
        <w:spacing w:after="100" w:line="360" w:lineRule="auto"/>
        <w:jc w:val="both"/>
        <w:rPr>
          <w:rFonts w:ascii="Palatino Linotype" w:eastAsia="Palatino Linotype" w:hAnsi="Palatino Linotype" w:cs="Palatino Linotype"/>
        </w:rPr>
      </w:pPr>
      <w:bookmarkStart w:id="6" w:name="_heading=h.k8645ac48fjc" w:colFirst="0" w:colLast="0"/>
      <w:bookmarkEnd w:id="6"/>
    </w:p>
    <w:p w14:paraId="5937FDC3" w14:textId="77777777" w:rsidR="004777C4" w:rsidRDefault="00CF217F">
      <w:pPr>
        <w:spacing w:after="100" w:line="360" w:lineRule="auto"/>
        <w:jc w:val="both"/>
        <w:rPr>
          <w:rFonts w:ascii="Palatino Linotype" w:eastAsia="Palatino Linotype" w:hAnsi="Palatino Linotype" w:cs="Palatino Linotype"/>
        </w:rPr>
      </w:pPr>
      <w:bookmarkStart w:id="7" w:name="_heading=h.wpkh96khhkta" w:colFirst="0" w:colLast="0"/>
      <w:bookmarkEnd w:id="7"/>
      <w:r>
        <w:rPr>
          <w:rFonts w:ascii="Palatino Linotype" w:eastAsia="Palatino Linotype" w:hAnsi="Palatino Linotype" w:cs="Palatino Linotype"/>
        </w:rPr>
        <w:t xml:space="preserve">Este acuerdo, conforme a lo que establece el artículo en cita, deberá estar debidamente fundado y motivado, estableciendo de forma detallada las razones por las cuales la información no obra en sus archivos. </w:t>
      </w:r>
    </w:p>
    <w:p w14:paraId="540F00EC" w14:textId="77777777" w:rsidR="004777C4" w:rsidRDefault="004777C4">
      <w:pPr>
        <w:spacing w:after="100" w:line="360" w:lineRule="auto"/>
        <w:jc w:val="both"/>
        <w:rPr>
          <w:rFonts w:ascii="Palatino Linotype" w:eastAsia="Palatino Linotype" w:hAnsi="Palatino Linotype" w:cs="Palatino Linotype"/>
        </w:rPr>
      </w:pPr>
      <w:bookmarkStart w:id="8" w:name="_heading=h.wciccg64lnv5" w:colFirst="0" w:colLast="0"/>
      <w:bookmarkEnd w:id="8"/>
    </w:p>
    <w:p w14:paraId="5EA34AD4" w14:textId="77777777" w:rsidR="004777C4" w:rsidRDefault="00CF217F">
      <w:pPr>
        <w:spacing w:after="100" w:line="360" w:lineRule="auto"/>
        <w:jc w:val="both"/>
        <w:rPr>
          <w:rFonts w:ascii="Palatino Linotype" w:eastAsia="Palatino Linotype" w:hAnsi="Palatino Linotype" w:cs="Palatino Linotype"/>
          <w:b/>
          <w:i/>
          <w:sz w:val="22"/>
          <w:szCs w:val="22"/>
        </w:rPr>
      </w:pPr>
      <w:bookmarkStart w:id="9" w:name="_heading=h.miisslvcpouu" w:colFirst="0" w:colLast="0"/>
      <w:bookmarkEnd w:id="9"/>
      <w:r>
        <w:rPr>
          <w:rFonts w:ascii="Palatino Linotype" w:eastAsia="Palatino Linotype" w:hAnsi="Palatino Linotype" w:cs="Palatino Linotype"/>
        </w:rPr>
        <w:t xml:space="preserve">Por su parte, el artículo 169, también de la Ley de Transparencia y Acceso a la Información Pública del Estado de México y Municipios enlista los pasos a seguir cuando la información no se encuentre en los archivos del Sujeto Obligado: </w:t>
      </w:r>
    </w:p>
    <w:p w14:paraId="397A92D7" w14:textId="77777777" w:rsidR="004777C4" w:rsidRDefault="00CF217F">
      <w:pPr>
        <w:ind w:left="860" w:right="900"/>
        <w:jc w:val="both"/>
        <w:rPr>
          <w:rFonts w:ascii="Palatino Linotype" w:eastAsia="Palatino Linotype" w:hAnsi="Palatino Linotype" w:cs="Palatino Linotype"/>
          <w:i/>
          <w:sz w:val="22"/>
          <w:szCs w:val="22"/>
        </w:rPr>
      </w:pPr>
      <w:bookmarkStart w:id="10" w:name="_heading=h.uno97p11sjnt" w:colFirst="0" w:colLast="0"/>
      <w:bookmarkEnd w:id="10"/>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E600432"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Analizará el caso y tomará las medidas necesarias para localizar la información;</w:t>
      </w:r>
    </w:p>
    <w:p w14:paraId="348DAD95"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Expedirá una resolución que confirme la inexistencia del documento;</w:t>
      </w:r>
    </w:p>
    <w:p w14:paraId="3A49088B"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ED9870D"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w:t>
      </w:r>
    </w:p>
    <w:p w14:paraId="1A1ECD4D"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2AB6B2B4" w14:textId="77777777" w:rsidR="004777C4" w:rsidRDefault="00CF217F">
      <w:pPr>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Este plazo podrá ampliarse hasta por otros siete días hábiles, siempre que existan razones para ello, debiendo notificarse por escrito al solicitante.” </w:t>
      </w:r>
    </w:p>
    <w:p w14:paraId="3DF271EA" w14:textId="77777777" w:rsidR="004777C4" w:rsidRDefault="00CF217F">
      <w:pPr>
        <w:ind w:left="860" w:right="900"/>
        <w:jc w:val="both"/>
        <w:rPr>
          <w:rFonts w:ascii="Palatino Linotype" w:eastAsia="Palatino Linotype" w:hAnsi="Palatino Linotype" w:cs="Palatino Linotype"/>
          <w:i/>
          <w:sz w:val="22"/>
          <w:szCs w:val="22"/>
        </w:rPr>
      </w:pPr>
      <w:bookmarkStart w:id="11" w:name="_heading=h.uj9a3g5ztm04" w:colFirst="0" w:colLast="0"/>
      <w:bookmarkEnd w:id="11"/>
      <w:r>
        <w:rPr>
          <w:rFonts w:ascii="Palatino Linotype" w:eastAsia="Palatino Linotype" w:hAnsi="Palatino Linotype" w:cs="Palatino Linotype"/>
          <w:i/>
          <w:sz w:val="22"/>
          <w:szCs w:val="22"/>
        </w:rPr>
        <w:t>(Énfasis añadido)</w:t>
      </w:r>
    </w:p>
    <w:p w14:paraId="190905A3" w14:textId="77777777" w:rsidR="004777C4" w:rsidRDefault="00CF217F">
      <w:pPr>
        <w:spacing w:before="240" w:after="240" w:line="360" w:lineRule="auto"/>
        <w:jc w:val="both"/>
        <w:rPr>
          <w:rFonts w:ascii="Palatino Linotype" w:eastAsia="Palatino Linotype" w:hAnsi="Palatino Linotype" w:cs="Palatino Linotype"/>
          <w:b/>
          <w:i/>
          <w:sz w:val="22"/>
          <w:szCs w:val="22"/>
        </w:rPr>
      </w:pPr>
      <w:bookmarkStart w:id="12" w:name="_heading=h.3bdmd1cw0yn1" w:colFirst="0" w:colLast="0"/>
      <w:bookmarkEnd w:id="12"/>
      <w:r>
        <w:rPr>
          <w:rFonts w:ascii="Palatino Linotype" w:eastAsia="Palatino Linotype" w:hAnsi="Palatino Linotype" w:cs="Palatino Linotype"/>
        </w:rPr>
        <w:lastRenderedPageBreak/>
        <w:t xml:space="preserve">De los preceptos legales señalados, se advierte que en los casos en que la información solicitada no se encuentre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es al Comité de Transparencia al que le corresponde analizar el caso y tomar las medidas necesarias para localización de la información requerida y en su caso ordenará</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que inicie el procedimiento de responsabilidad administrativa correspondiente. </w:t>
      </w:r>
    </w:p>
    <w:p w14:paraId="0A29F9B6" w14:textId="77777777" w:rsidR="004777C4" w:rsidRDefault="00CF217F">
      <w:pPr>
        <w:spacing w:before="240" w:after="240"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Asimismo, se establecerá de manera fundada y motivada las razones del por qué no obra en sus archivos; así como los criterios y los métodos de búsqueda de la información utilizados; así como todas aquéllas circunstancias de modo, tiempo y lugar que se tomaron en cuenta para llegar a determinar que no obra en los archivos la información requerida.</w:t>
      </w:r>
    </w:p>
    <w:p w14:paraId="075D7723" w14:textId="77777777" w:rsidR="004777C4" w:rsidRDefault="00CF217F">
      <w:pPr>
        <w:spacing w:after="100" w:line="360" w:lineRule="auto"/>
        <w:jc w:val="both"/>
        <w:rPr>
          <w:rFonts w:ascii="Palatino Linotype" w:eastAsia="Palatino Linotype" w:hAnsi="Palatino Linotype" w:cs="Palatino Linotype"/>
        </w:rPr>
      </w:pPr>
      <w:bookmarkStart w:id="13" w:name="_heading=h.8gj6oowagx99" w:colFirst="0" w:colLast="0"/>
      <w:bookmarkEnd w:id="13"/>
      <w:r>
        <w:rPr>
          <w:rFonts w:ascii="Palatino Linotype" w:eastAsia="Palatino Linotype" w:hAnsi="Palatino Linotype" w:cs="Palatino Linotype"/>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así como CUARENTA Y CINCO.</w:t>
      </w:r>
    </w:p>
    <w:p w14:paraId="27B04026" w14:textId="77777777" w:rsidR="004777C4" w:rsidRDefault="00CF217F">
      <w:pPr>
        <w:spacing w:after="100" w:line="360" w:lineRule="auto"/>
        <w:jc w:val="center"/>
        <w:rPr>
          <w:rFonts w:ascii="Palatino Linotype" w:eastAsia="Palatino Linotype" w:hAnsi="Palatino Linotype" w:cs="Palatino Linotype"/>
        </w:rPr>
      </w:pPr>
      <w:bookmarkStart w:id="14" w:name="_heading=h.zha7sb9ohkxi" w:colFirst="0" w:colLast="0"/>
      <w:bookmarkEnd w:id="14"/>
      <w:r>
        <w:rPr>
          <w:rFonts w:ascii="Palatino Linotype" w:eastAsia="Palatino Linotype" w:hAnsi="Palatino Linotype" w:cs="Palatino Linotype"/>
          <w:noProof/>
        </w:rPr>
        <w:lastRenderedPageBreak/>
        <w:drawing>
          <wp:inline distT="114300" distB="114300" distL="114300" distR="114300" wp14:anchorId="3B67F6F2" wp14:editId="1E796906">
            <wp:extent cx="5286488" cy="771525"/>
            <wp:effectExtent l="0" t="0" r="0" b="0"/>
            <wp:docPr id="3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86488" cy="771525"/>
                    </a:xfrm>
                    <a:prstGeom prst="rect">
                      <a:avLst/>
                    </a:prstGeom>
                    <a:ln/>
                  </pic:spPr>
                </pic:pic>
              </a:graphicData>
            </a:graphic>
          </wp:inline>
        </w:drawing>
      </w:r>
    </w:p>
    <w:p w14:paraId="2F99C1C1" w14:textId="77777777" w:rsidR="004777C4" w:rsidRDefault="00CF217F">
      <w:pPr>
        <w:spacing w:after="100" w:line="360" w:lineRule="auto"/>
        <w:jc w:val="center"/>
        <w:rPr>
          <w:rFonts w:ascii="Palatino Linotype" w:eastAsia="Palatino Linotype" w:hAnsi="Palatino Linotype" w:cs="Palatino Linotype"/>
        </w:rPr>
      </w:pPr>
      <w:bookmarkStart w:id="15" w:name="_heading=h.ug2p6jqy3n9z" w:colFirst="0" w:colLast="0"/>
      <w:bookmarkEnd w:id="15"/>
      <w:r>
        <w:rPr>
          <w:rFonts w:ascii="Palatino Linotype" w:eastAsia="Palatino Linotype" w:hAnsi="Palatino Linotype" w:cs="Palatino Linotype"/>
          <w:noProof/>
        </w:rPr>
        <w:drawing>
          <wp:inline distT="114300" distB="114300" distL="114300" distR="114300" wp14:anchorId="32BECD1E" wp14:editId="5CCFCBBE">
            <wp:extent cx="5371885" cy="1257300"/>
            <wp:effectExtent l="0" t="0" r="0" b="0"/>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71885" cy="1257300"/>
                    </a:xfrm>
                    <a:prstGeom prst="rect">
                      <a:avLst/>
                    </a:prstGeom>
                    <a:ln/>
                  </pic:spPr>
                </pic:pic>
              </a:graphicData>
            </a:graphic>
          </wp:inline>
        </w:drawing>
      </w:r>
    </w:p>
    <w:p w14:paraId="38AADBAF" w14:textId="77777777" w:rsidR="004777C4" w:rsidRDefault="00CF217F">
      <w:pPr>
        <w:spacing w:before="240" w:after="240" w:line="360" w:lineRule="auto"/>
        <w:ind w:right="60"/>
        <w:jc w:val="both"/>
        <w:rPr>
          <w:rFonts w:ascii="Palatino Linotype" w:eastAsia="Palatino Linotype" w:hAnsi="Palatino Linotype" w:cs="Palatino Linotype"/>
        </w:rPr>
      </w:pPr>
      <w:r>
        <w:rPr>
          <w:rFonts w:ascii="Palatino Linotype" w:eastAsia="Palatino Linotype" w:hAnsi="Palatino Linotype" w:cs="Palatino Linotype"/>
        </w:rPr>
        <w:t xml:space="preserve">Por ello, como se prevé en los criterios anteriores, es necesario que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realicen </w:t>
      </w:r>
      <w:r>
        <w:rPr>
          <w:rFonts w:ascii="Palatino Linotype" w:eastAsia="Palatino Linotype" w:hAnsi="Palatino Linotype" w:cs="Palatino Linotype"/>
          <w:b/>
        </w:rPr>
        <w:t>previo a una declaratoria de inexistencia, una búsqueda exhaustiva y razonable, con la cual se busca garantizar y hacer fehaciente el hecho de que la información ahora requerida por el solicitante fue buscada minuciosamente dentro del ámbito de sus competencia</w:t>
      </w:r>
      <w:r>
        <w:rPr>
          <w:rFonts w:ascii="Palatino Linotype" w:eastAsia="Palatino Linotype" w:hAnsi="Palatino Linotype" w:cs="Palatino Linotype"/>
        </w:rPr>
        <w:t xml:space="preserve">s y deberá precisar en el Acuerdo respectivo, el lugar y fecha de la resolución, nombre del Solicitante, la información solicitada, el fundamento o motivo por el cual se determina que la información no obra en los archivos, el número de acuerdo emitido  y debió hacer del conocimiento del solicitante que puede interponer el Recurso de Revisión respectivo en un término de 15 días, terminando por señalar los nombres y firmas de los integrantes del Comité. </w:t>
      </w:r>
    </w:p>
    <w:p w14:paraId="0DBAA8DC" w14:textId="77777777" w:rsidR="004777C4" w:rsidRDefault="00CF217F">
      <w:pPr>
        <w:spacing w:after="100" w:line="360" w:lineRule="auto"/>
        <w:jc w:val="both"/>
        <w:rPr>
          <w:rFonts w:ascii="Palatino Linotype" w:eastAsia="Palatino Linotype" w:hAnsi="Palatino Linotype" w:cs="Palatino Linotype"/>
        </w:rPr>
      </w:pPr>
      <w:bookmarkStart w:id="16" w:name="_heading=h.76knflui1382" w:colFirst="0" w:colLast="0"/>
      <w:bookmarkEnd w:id="16"/>
      <w:r>
        <w:rPr>
          <w:rFonts w:ascii="Palatino Linotype" w:eastAsia="Palatino Linotype" w:hAnsi="Palatino Linotype" w:cs="Palatino Linotype"/>
        </w:rPr>
        <w:t xml:space="preserve">De tal manera que </w:t>
      </w:r>
      <w:r w:rsidR="005029C5">
        <w:rPr>
          <w:rFonts w:ascii="Palatino Linotype" w:eastAsia="Palatino Linotype" w:hAnsi="Palatino Linotype" w:cs="Palatino Linotype"/>
        </w:rPr>
        <w:t>dé</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debió llevar a cabo un Acuerdo de Inexistencia en donde acreditara los requisitos mínimos exigidos por la Ley de </w:t>
      </w:r>
      <w:r>
        <w:rPr>
          <w:rFonts w:ascii="Palatino Linotype" w:eastAsia="Palatino Linotype" w:hAnsi="Palatino Linotype" w:cs="Palatino Linotype"/>
        </w:rPr>
        <w:lastRenderedPageBreak/>
        <w:t xml:space="preserve">Transparencia y Acceso a la Información Pública del Estado de México y Municipios y los Lineamientos antes citados, como lo señala la ley en comento en su artículo 170: </w:t>
      </w:r>
    </w:p>
    <w:p w14:paraId="4CECC30F" w14:textId="77777777" w:rsidR="004777C4" w:rsidRDefault="004777C4">
      <w:pPr>
        <w:spacing w:after="100" w:line="360" w:lineRule="auto"/>
        <w:jc w:val="both"/>
        <w:rPr>
          <w:rFonts w:ascii="Palatino Linotype" w:eastAsia="Palatino Linotype" w:hAnsi="Palatino Linotype" w:cs="Palatino Linotype"/>
        </w:rPr>
      </w:pPr>
    </w:p>
    <w:p w14:paraId="3203E6B3" w14:textId="77777777" w:rsidR="004777C4" w:rsidRDefault="00CF217F">
      <w:pPr>
        <w:spacing w:line="360" w:lineRule="auto"/>
        <w:ind w:left="860" w:right="900"/>
        <w:jc w:val="both"/>
        <w:rPr>
          <w:rFonts w:ascii="Palatino Linotype" w:eastAsia="Palatino Linotype" w:hAnsi="Palatino Linotype" w:cs="Palatino Linotype"/>
          <w:b/>
          <w:i/>
          <w:sz w:val="22"/>
          <w:szCs w:val="22"/>
        </w:rPr>
      </w:pPr>
      <w:bookmarkStart w:id="17" w:name="_heading=h.9lytijj4rtf" w:colFirst="0" w:colLast="0"/>
      <w:bookmarkEnd w:id="17"/>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[Sic]</w:t>
      </w:r>
    </w:p>
    <w:p w14:paraId="5AB6291B" w14:textId="77777777" w:rsidR="004777C4" w:rsidRDefault="004777C4">
      <w:pPr>
        <w:spacing w:after="100" w:line="360" w:lineRule="auto"/>
        <w:jc w:val="both"/>
        <w:rPr>
          <w:rFonts w:ascii="Palatino Linotype" w:eastAsia="Palatino Linotype" w:hAnsi="Palatino Linotype" w:cs="Palatino Linotype"/>
        </w:rPr>
      </w:pPr>
      <w:bookmarkStart w:id="18" w:name="_heading=h.yq5h0pr9vvbt" w:colFirst="0" w:colLast="0"/>
      <w:bookmarkEnd w:id="18"/>
    </w:p>
    <w:p w14:paraId="1953E6F9" w14:textId="77777777" w:rsidR="004777C4" w:rsidRDefault="00CF217F">
      <w:pPr>
        <w:spacing w:after="100" w:line="360" w:lineRule="auto"/>
        <w:jc w:val="both"/>
        <w:rPr>
          <w:rFonts w:ascii="Palatino Linotype" w:eastAsia="Palatino Linotype" w:hAnsi="Palatino Linotype" w:cs="Palatino Linotype"/>
        </w:rPr>
      </w:pPr>
      <w:bookmarkStart w:id="19" w:name="_heading=h.kkv9p87gzj3l" w:colFirst="0" w:colLast="0"/>
      <w:bookmarkEnd w:id="19"/>
      <w:r>
        <w:rPr>
          <w:rFonts w:ascii="Palatino Linotype" w:eastAsia="Palatino Linotype" w:hAnsi="Palatino Linotype" w:cs="Palatino Linotype"/>
        </w:rPr>
        <w:t>Asimismo debió haber señalado las razones detalladas con modo tiempo y lugar, del porqué la información solicitada no obra en sus archivos y  debió haber acreditado una búsqueda exhaustiva en las diferentes áreas que lo conforman para poder encontrar la información que de acuerdo a sus facultades debe tener; no obstante, en la respuesta solamente señala se pronuncia la Dirección de Desarrollo Económico.</w:t>
      </w:r>
    </w:p>
    <w:p w14:paraId="42D0A317" w14:textId="77777777" w:rsidR="004777C4" w:rsidRDefault="004777C4">
      <w:pPr>
        <w:spacing w:after="100" w:line="360" w:lineRule="auto"/>
        <w:jc w:val="both"/>
        <w:rPr>
          <w:rFonts w:ascii="Palatino Linotype" w:eastAsia="Palatino Linotype" w:hAnsi="Palatino Linotype" w:cs="Palatino Linotype"/>
        </w:rPr>
      </w:pPr>
      <w:bookmarkStart w:id="20" w:name="_heading=h.5k5dvswr2by8" w:colFirst="0" w:colLast="0"/>
      <w:bookmarkEnd w:id="20"/>
    </w:p>
    <w:p w14:paraId="590D91E1" w14:textId="77777777" w:rsidR="004777C4" w:rsidRDefault="00CF217F">
      <w:pPr>
        <w:spacing w:before="240" w:after="240" w:line="360" w:lineRule="auto"/>
        <w:ind w:right="-100"/>
        <w:jc w:val="both"/>
        <w:rPr>
          <w:rFonts w:ascii="Palatino Linotype" w:eastAsia="Palatino Linotype" w:hAnsi="Palatino Linotype" w:cs="Palatino Linotype"/>
        </w:rPr>
      </w:pPr>
      <w:bookmarkStart w:id="21" w:name="_heading=h.uihqarmnfv4b" w:colFirst="0" w:colLast="0"/>
      <w:bookmarkEnd w:id="21"/>
      <w:r>
        <w:rPr>
          <w:rFonts w:ascii="Palatino Linotype" w:eastAsia="Palatino Linotype" w:hAnsi="Palatino Linotype" w:cs="Palatino Linotype"/>
        </w:rPr>
        <w:t xml:space="preserve">Esto con la intención de brindar al solicitante la certeza de las medidas que se llevaron a cabo con la intención de encontrar o en su caso reponer la información, y así no dejar a los particulares en estado de incertidumbre. </w:t>
      </w:r>
    </w:p>
    <w:p w14:paraId="78A24D7C" w14:textId="77777777" w:rsidR="004777C4" w:rsidRDefault="00CF217F">
      <w:pPr>
        <w:spacing w:before="240" w:after="240" w:line="360" w:lineRule="auto"/>
        <w:ind w:right="-100"/>
        <w:jc w:val="both"/>
        <w:rPr>
          <w:rFonts w:ascii="Arial" w:eastAsia="Arial" w:hAnsi="Arial" w:cs="Arial"/>
          <w:b/>
          <w:sz w:val="18"/>
          <w:szCs w:val="18"/>
        </w:rPr>
      </w:pPr>
      <w:bookmarkStart w:id="22" w:name="_heading=h.eobxpiv6vt9w" w:colFirst="0" w:colLast="0"/>
      <w:bookmarkEnd w:id="22"/>
      <w:r>
        <w:rPr>
          <w:rFonts w:ascii="Palatino Linotype" w:eastAsia="Palatino Linotype" w:hAnsi="Palatino Linotype" w:cs="Palatino Linotype"/>
        </w:rPr>
        <w:t xml:space="preserve">Sirve de sustento el Criterio 04/19 de Instituto Nacional de Transparencia, Acceso a la Información y Protección de Datos Personales que versa sobre lo siguiente:   </w:t>
      </w:r>
    </w:p>
    <w:p w14:paraId="05838BB5" w14:textId="77777777" w:rsidR="004777C4" w:rsidRDefault="00CF217F">
      <w:pPr>
        <w:spacing w:after="100" w:line="276" w:lineRule="auto"/>
        <w:ind w:left="850" w:right="118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“Propósito de la declaración formal de inexistencia. </w:t>
      </w:r>
      <w:r>
        <w:rPr>
          <w:rFonts w:ascii="Palatino Linotype" w:eastAsia="Palatino Linotype" w:hAnsi="Palatino Linotype" w:cs="Palatino Linotype"/>
          <w:i/>
          <w:sz w:val="22"/>
          <w:szCs w:val="22"/>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22934365" w14:textId="77777777" w:rsidR="004777C4" w:rsidRDefault="00CF217F">
      <w:pPr>
        <w:spacing w:after="100" w:line="276" w:lineRule="auto"/>
        <w:ind w:left="850" w:right="1184"/>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68D4CB7" w14:textId="77777777" w:rsidR="004777C4" w:rsidRDefault="00CF217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para poder dar certeza a los solicitantes y con ello satisfacer el derecho de acceso a la información, el Acuerdo que emita el Comité de Transparencia,  deberá estar debidamente fundado y motivado. </w:t>
      </w:r>
    </w:p>
    <w:p w14:paraId="75C4C5D8" w14:textId="77777777" w:rsidR="004777C4" w:rsidRDefault="00CF217F">
      <w:pPr>
        <w:spacing w:before="240" w:after="240" w:line="360" w:lineRule="auto"/>
        <w:jc w:val="both"/>
        <w:rPr>
          <w:rFonts w:ascii="Palatino Linotype" w:eastAsia="Palatino Linotype" w:hAnsi="Palatino Linotype" w:cs="Palatino Linotype"/>
        </w:rPr>
      </w:pPr>
      <w:bookmarkStart w:id="23" w:name="_heading=h.qbg1otd2oea2" w:colFirst="0" w:colLast="0"/>
      <w:bookmarkEnd w:id="23"/>
      <w:r>
        <w:rPr>
          <w:rFonts w:ascii="Palatino Linotype" w:eastAsia="Palatino Linotype" w:hAnsi="Palatino Linotype" w:cs="Palatino Linotype"/>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18E6E69C" w14:textId="77777777" w:rsidR="004777C4" w:rsidRDefault="00CF217F">
      <w:pPr>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FUNDAMENTACIÓN Y MOTIVACIÓN. </w:t>
      </w:r>
      <w:r>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D299AF4" w14:textId="77777777" w:rsidR="004777C4" w:rsidRDefault="00CF217F">
      <w:pPr>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702A69E4" w14:textId="77777777" w:rsidR="004777C4" w:rsidRDefault="00CF217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2D355C" w14:textId="77777777" w:rsidR="004777C4" w:rsidRDefault="00CF217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F64C2B2" w14:textId="77777777" w:rsidR="004777C4" w:rsidRDefault="00CF217F">
      <w:pPr>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rPr>
        <w:t xml:space="preserve">, ni es válido exigirle una amplitud o </w:t>
      </w:r>
      <w:r>
        <w:rPr>
          <w:rFonts w:ascii="Palatino Linotype" w:eastAsia="Palatino Linotype" w:hAnsi="Palatino Linotype" w:cs="Palatino Linotype"/>
          <w:b/>
          <w:i/>
          <w:sz w:val="22"/>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 (Sic)</w:t>
      </w:r>
    </w:p>
    <w:p w14:paraId="478DE9F3" w14:textId="77777777" w:rsidR="004777C4" w:rsidRDefault="00CF217F">
      <w:pPr>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A54ED77" w14:textId="77777777" w:rsidR="004777C4" w:rsidRDefault="00CF217F">
      <w:pPr>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1726AE12" w14:textId="77777777" w:rsidR="004777C4" w:rsidRDefault="00CF217F">
      <w:pPr>
        <w:spacing w:line="360" w:lineRule="auto"/>
        <w:ind w:right="50"/>
        <w:jc w:val="both"/>
        <w:rPr>
          <w:rFonts w:ascii="Palatino Linotype" w:eastAsia="Palatino Linotype" w:hAnsi="Palatino Linotype" w:cs="Palatino Linotype"/>
        </w:rPr>
      </w:pPr>
      <w:bookmarkStart w:id="24" w:name="_heading=h.w1iiwjoa1vdj" w:colFirst="0" w:colLast="0"/>
      <w:bookmarkEnd w:id="24"/>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41F0B916" w14:textId="77777777" w:rsidR="004777C4" w:rsidRDefault="004777C4">
      <w:pPr>
        <w:spacing w:line="360" w:lineRule="auto"/>
        <w:ind w:right="50"/>
        <w:jc w:val="both"/>
        <w:rPr>
          <w:rFonts w:ascii="Palatino Linotype" w:eastAsia="Palatino Linotype" w:hAnsi="Palatino Linotype" w:cs="Palatino Linotype"/>
        </w:rPr>
      </w:pPr>
      <w:bookmarkStart w:id="25" w:name="_heading=h.1yaj32kha1nn" w:colFirst="0" w:colLast="0"/>
      <w:bookmarkEnd w:id="25"/>
    </w:p>
    <w:p w14:paraId="4AF964F2" w14:textId="77777777" w:rsidR="004777C4" w:rsidRDefault="00CF217F">
      <w:pPr>
        <w:spacing w:line="360" w:lineRule="auto"/>
        <w:ind w:right="50"/>
        <w:jc w:val="both"/>
        <w:rPr>
          <w:rFonts w:ascii="Palatino Linotype" w:eastAsia="Palatino Linotype" w:hAnsi="Palatino Linotype" w:cs="Palatino Linotype"/>
        </w:rPr>
      </w:pPr>
      <w:bookmarkStart w:id="26" w:name="_heading=h.rla9dffn1uol" w:colFirst="0" w:colLast="0"/>
      <w:bookmarkEnd w:id="26"/>
      <w:r>
        <w:rPr>
          <w:rFonts w:ascii="Palatino Linotype" w:eastAsia="Palatino Linotype" w:hAnsi="Palatino Linotype" w:cs="Palatino Linotype"/>
        </w:rPr>
        <w:t xml:space="preserve">Así, si existiese una causa fundada para no contar con la información solicitada, como pudiese ser el caso de una Baja Documental por el periodo transcurrido, esta deberá ser incluida en el Acuerdo de Inexistencia que lleve a cabo el Comité de Transparencia con la debida fundamentación y motivación, en apego a los requisitos antes señalados. </w:t>
      </w:r>
    </w:p>
    <w:p w14:paraId="5CA27D97" w14:textId="77777777" w:rsidR="004777C4" w:rsidRDefault="00CF217F">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Resulta aplicable el criterio reiterado número </w:t>
      </w:r>
      <w:r>
        <w:rPr>
          <w:rFonts w:ascii="Palatino Linotype" w:eastAsia="Palatino Linotype" w:hAnsi="Palatino Linotype" w:cs="Palatino Linotype"/>
          <w:b/>
        </w:rPr>
        <w:t>08/19</w:t>
      </w:r>
      <w:r>
        <w:rPr>
          <w:rFonts w:ascii="Palatino Linotype" w:eastAsia="Palatino Linotype" w:hAnsi="Palatino Linotype" w:cs="Palatino Linotype"/>
        </w:rPr>
        <w:t>, emitidos por Acuerdo del Pleno del Instituto de Transparencia y Acceso a la Información Pública del Estado de México y Municipios, que a la letra dice:</w:t>
      </w:r>
    </w:p>
    <w:p w14:paraId="60B8F65A" w14:textId="77777777" w:rsidR="004777C4" w:rsidRDefault="00CF217F">
      <w:pPr>
        <w:shd w:val="clear" w:color="auto" w:fill="FFFFFF"/>
        <w:spacing w:line="360" w:lineRule="auto"/>
        <w:ind w:left="860"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 </w:t>
      </w:r>
    </w:p>
    <w:p w14:paraId="32CFB523" w14:textId="77777777" w:rsidR="004777C4" w:rsidRDefault="00CF217F">
      <w:pPr>
        <w:shd w:val="clear" w:color="auto" w:fill="FFFFFF"/>
        <w:ind w:left="860"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“INEXISTENCIA DE LA INFORMACIÓN. SUPUESTOS PARA EMITIR LA RESOLUCIÓN DE LA</w:t>
      </w:r>
      <w:r>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w:t>
      </w:r>
      <w:r>
        <w:rPr>
          <w:rFonts w:ascii="Palatino Linotype" w:eastAsia="Palatino Linotype" w:hAnsi="Palatino Linotype" w:cs="Palatino Linotype"/>
          <w:b/>
          <w:i/>
          <w:sz w:val="22"/>
          <w:szCs w:val="22"/>
        </w:rPr>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w:t>
      </w:r>
      <w:r>
        <w:rPr>
          <w:rFonts w:ascii="Palatino Linotype" w:eastAsia="Palatino Linotype" w:hAnsi="Palatino Linotype" w:cs="Palatino Linotype"/>
          <w:i/>
          <w:sz w:val="22"/>
          <w:szCs w:val="22"/>
        </w:rPr>
        <w:t xml:space="preserve">.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w:t>
      </w:r>
      <w:r>
        <w:rPr>
          <w:rFonts w:ascii="Palatino Linotype" w:eastAsia="Palatino Linotype" w:hAnsi="Palatino Linotype" w:cs="Palatino Linotype"/>
          <w:b/>
          <w:i/>
          <w:sz w:val="22"/>
          <w:szCs w:val="22"/>
        </w:rPr>
        <w:t>acto jurídico que genera certeza jurídica al particular de que se realizó un criterio de búsqueda exhaustivo y razonable con la debida justificación de la falta de información y en su caso, las consecuencias de ello.</w:t>
      </w:r>
    </w:p>
    <w:p w14:paraId="6564BC68" w14:textId="77777777" w:rsidR="004777C4" w:rsidRDefault="00CF217F">
      <w:pPr>
        <w:shd w:val="clear" w:color="auto" w:fill="FFFFFF"/>
        <w:ind w:left="860" w:right="900"/>
        <w:jc w:val="both"/>
        <w:rPr>
          <w:rFonts w:ascii="Palatino Linotype" w:eastAsia="Palatino Linotype" w:hAnsi="Palatino Linotype" w:cs="Palatino Linotype"/>
          <w:i/>
          <w:sz w:val="22"/>
          <w:szCs w:val="22"/>
        </w:rPr>
      </w:pPr>
      <w:bookmarkStart w:id="27" w:name="_heading=h.bapcyuumj6fb" w:colFirst="0" w:colLast="0"/>
      <w:bookmarkEnd w:id="27"/>
      <w:r>
        <w:rPr>
          <w:rFonts w:ascii="Palatino Linotype" w:eastAsia="Palatino Linotype" w:hAnsi="Palatino Linotype" w:cs="Palatino Linotype"/>
          <w:i/>
          <w:sz w:val="22"/>
          <w:szCs w:val="22"/>
        </w:rPr>
        <w:t xml:space="preserve"> (Énfasis añadido)</w:t>
      </w:r>
    </w:p>
    <w:p w14:paraId="649CC090" w14:textId="77777777" w:rsidR="004777C4" w:rsidRDefault="00CF217F">
      <w:pPr>
        <w:spacing w:before="240" w:after="240" w:line="360" w:lineRule="auto"/>
        <w:jc w:val="both"/>
        <w:rPr>
          <w:rFonts w:ascii="Palatino Linotype" w:eastAsia="Palatino Linotype" w:hAnsi="Palatino Linotype" w:cs="Palatino Linotype"/>
        </w:rPr>
      </w:pPr>
      <w:bookmarkStart w:id="28" w:name="_heading=h.3vup8uowajka" w:colFirst="0" w:colLast="0"/>
      <w:bookmarkEnd w:id="28"/>
      <w:r>
        <w:rPr>
          <w:rFonts w:ascii="Palatino Linotype" w:eastAsia="Palatino Linotype" w:hAnsi="Palatino Linotype" w:cs="Palatino Linotype"/>
        </w:rPr>
        <w:t xml:space="preserve">Expuesto todo lo anterior, este Órgano Garante no puede tener por colmado el derecho de Acceso a la Información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toda vez que la simple manifestación de Inexistencia del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cumple con los requisitos mínimos necesarios para acreditar su validez. </w:t>
      </w:r>
    </w:p>
    <w:p w14:paraId="6C944BE5" w14:textId="77777777" w:rsidR="004777C4" w:rsidRDefault="00CF217F">
      <w:pPr>
        <w:spacing w:before="240" w:after="240" w:line="360" w:lineRule="auto"/>
        <w:jc w:val="both"/>
        <w:rPr>
          <w:rFonts w:ascii="Palatino Linotype" w:eastAsia="Palatino Linotype" w:hAnsi="Palatino Linotype" w:cs="Palatino Linotype"/>
        </w:rPr>
      </w:pPr>
      <w:bookmarkStart w:id="29" w:name="_heading=h.7e0qztu6y9ng" w:colFirst="0" w:colLast="0"/>
      <w:bookmarkEnd w:id="29"/>
      <w:r>
        <w:rPr>
          <w:rFonts w:ascii="Palatino Linotype" w:eastAsia="Palatino Linotype" w:hAnsi="Palatino Linotype" w:cs="Palatino Linotype"/>
        </w:rPr>
        <w:lastRenderedPageBreak/>
        <w:t xml:space="preserve">Aunado al hecho de que no se acreditó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llevara a cabo todas las acciones posibles para: 1. Localizar la información y 2. Procurar la reposición de la misma. </w:t>
      </w:r>
    </w:p>
    <w:p w14:paraId="10308C80" w14:textId="77777777" w:rsidR="004777C4" w:rsidRDefault="00CF217F">
      <w:pPr>
        <w:spacing w:before="240" w:after="240" w:line="360" w:lineRule="auto"/>
        <w:jc w:val="both"/>
        <w:rPr>
          <w:rFonts w:ascii="Palatino Linotype" w:eastAsia="Palatino Linotype" w:hAnsi="Palatino Linotype" w:cs="Palatino Linotype"/>
          <w:b/>
        </w:rPr>
      </w:pPr>
      <w:bookmarkStart w:id="30" w:name="_heading=h.2fd7jpiagwjy" w:colFirst="0" w:colLast="0"/>
      <w:bookmarkEnd w:id="30"/>
      <w:r>
        <w:rPr>
          <w:rFonts w:ascii="Palatino Linotype" w:eastAsia="Palatino Linotype" w:hAnsi="Palatino Linotype" w:cs="Palatino Linotype"/>
        </w:rPr>
        <w:t xml:space="preserve">Por lo anterior, este Órgano Garante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acceso a la información pública y ordenarle  realice una búsqueda exhaustiva y razonable de la información solicitada de conformidad con el artículo 162 de la Ley de Transparencia y Acceso a la Información Pública del Estado de México y Municipios y para el caso de que sea localizada la información,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emitir el Acuerdo de Inexistencia conforme a lo establecido en los artículos 19, 49, fracciones II y XIII, 169 y 170 de la Ley de Transparencia y Acceso a la Información Pública del Estado de México y Municipios, observando los requisitos mínimos y la debida fundamentación y motivación para brindar certeza jurídica al</w:t>
      </w:r>
      <w:r>
        <w:rPr>
          <w:rFonts w:ascii="Palatino Linotype" w:eastAsia="Palatino Linotype" w:hAnsi="Palatino Linotype" w:cs="Palatino Linotype"/>
          <w:b/>
        </w:rPr>
        <w:t xml:space="preserve"> RECURRENTE. </w:t>
      </w:r>
    </w:p>
    <w:p w14:paraId="318ACB2A"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el supuesto de que la información sea localizada, esta deberá ser entregada en  </w:t>
      </w: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 xml:space="preserve">en términos del artículo 143 de la Ley de Transparencia y Acceso a la Información Pública del Estado de México y Municipios, en donde deberá omitirse, eliminarse o suprimirse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w:t>
      </w:r>
    </w:p>
    <w:p w14:paraId="34A0DABB" w14:textId="77777777" w:rsidR="004777C4" w:rsidRDefault="004777C4">
      <w:pPr>
        <w:spacing w:line="360" w:lineRule="auto"/>
        <w:jc w:val="both"/>
        <w:rPr>
          <w:rFonts w:ascii="Palatino Linotype" w:eastAsia="Palatino Linotype" w:hAnsi="Palatino Linotype" w:cs="Palatino Linotype"/>
        </w:rPr>
      </w:pPr>
    </w:p>
    <w:p w14:paraId="19F414EC"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3D3652C" w14:textId="77777777" w:rsidR="004777C4" w:rsidRDefault="004777C4">
      <w:pPr>
        <w:spacing w:line="360" w:lineRule="auto"/>
        <w:jc w:val="both"/>
        <w:rPr>
          <w:rFonts w:ascii="Palatino Linotype" w:eastAsia="Palatino Linotype" w:hAnsi="Palatino Linotype" w:cs="Palatino Linotype"/>
        </w:rPr>
      </w:pPr>
    </w:p>
    <w:p w14:paraId="1FDD0EBF"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8B6CFB" w14:textId="77777777" w:rsidR="004777C4" w:rsidRDefault="00CF217F">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45E0D0D8"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5CB8CB74"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38620AF1" w14:textId="77777777" w:rsidR="004777C4" w:rsidRDefault="00CF217F">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244A8550"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E905A8"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B8AF5B1"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7D006435" w14:textId="77777777" w:rsidR="004777C4" w:rsidRDefault="00CF217F">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13114E73"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19FB5BBC"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5AFAF97C"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42011B"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315AB4"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716277"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DB361C"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0B7C9EE"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Séptimo.</w:t>
      </w:r>
      <w:r>
        <w:rPr>
          <w:rFonts w:ascii="Palatino Linotype" w:eastAsia="Palatino Linotype" w:hAnsi="Palatino Linotype" w:cs="Palatino Linotype"/>
          <w:i/>
          <w:sz w:val="22"/>
          <w:szCs w:val="22"/>
        </w:rPr>
        <w:t xml:space="preserve"> La clasificación de la información se llevará a cabo en el momento en que:</w:t>
      </w:r>
    </w:p>
    <w:p w14:paraId="05CA8FAC"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6F675A7"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80C5C09"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D33B358"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373E401"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FEB435"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95437C9"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EECEE64"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2823A09"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8F93E96"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E30019"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877F71"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18311361" w14:textId="77777777" w:rsidR="004777C4" w:rsidRDefault="00CF217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C1377F" w14:textId="77777777" w:rsidR="004777C4" w:rsidRDefault="004777C4">
      <w:pPr>
        <w:ind w:left="851" w:right="902"/>
        <w:jc w:val="both"/>
        <w:rPr>
          <w:rFonts w:ascii="Palatino Linotype" w:eastAsia="Palatino Linotype" w:hAnsi="Palatino Linotype" w:cs="Palatino Linotype"/>
          <w:i/>
          <w:sz w:val="22"/>
          <w:szCs w:val="22"/>
        </w:rPr>
      </w:pPr>
    </w:p>
    <w:p w14:paraId="687AD302" w14:textId="77777777" w:rsidR="004777C4" w:rsidRDefault="00CF217F">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4AFDE5B1" w14:textId="77777777" w:rsidR="004777C4" w:rsidRDefault="00CF217F">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09619BB5" w14:textId="77777777" w:rsidR="004777C4" w:rsidRDefault="00CF217F">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09F3185" w14:textId="77777777" w:rsidR="004777C4" w:rsidRDefault="00CF217F">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3B68B8" w14:textId="77777777" w:rsidR="004777C4" w:rsidRDefault="00CF217F">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602D5DE5" w14:textId="77777777" w:rsidR="004777C4" w:rsidRDefault="004777C4">
      <w:pPr>
        <w:ind w:left="850" w:right="901"/>
        <w:jc w:val="both"/>
        <w:rPr>
          <w:rFonts w:ascii="Palatino Linotype" w:eastAsia="Palatino Linotype" w:hAnsi="Palatino Linotype" w:cs="Palatino Linotype"/>
          <w:i/>
          <w:sz w:val="22"/>
          <w:szCs w:val="22"/>
        </w:rPr>
      </w:pPr>
    </w:p>
    <w:tbl>
      <w:tblPr>
        <w:tblStyle w:val="afffffff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4777C4" w14:paraId="6791FEF1"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777F3BB" w14:textId="77777777" w:rsidR="004777C4" w:rsidRDefault="004777C4">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CE2918" w14:textId="77777777" w:rsidR="004777C4" w:rsidRDefault="00CF217F">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30B6799" w14:textId="77777777" w:rsidR="004777C4" w:rsidRDefault="00CF217F">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4777C4" w14:paraId="1947F2C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66EE63C1" w14:textId="77777777" w:rsidR="004777C4" w:rsidRDefault="00CF217F">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275CBC9"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C17D4B4"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4777C4" w14:paraId="3FAC3A9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83A9483"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6050F5"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C0ED272"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4777C4" w14:paraId="3EE7586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5101F5"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C4EFF1"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935C586"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777C4" w14:paraId="46CAC6A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C37667F"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463F261"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956175B"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4777C4" w14:paraId="140D7C7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C3441F8"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D3BB9C"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4D11487"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4777C4" w14:paraId="6E4509E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46D0A7E"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386A20"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D4C2C1B"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777C4" w14:paraId="4AC4804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990987"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0F6592" w14:textId="77777777" w:rsidR="004777C4" w:rsidRDefault="00CF217F">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CB87098"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4777C4" w14:paraId="0BB5D79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F796CB8"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4CBBA4"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AC75287"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4777C4" w14:paraId="56CA986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1D8251"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1D46ED"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336C259"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4777C4" w14:paraId="5ED98E2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545EA4F"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3A9D55"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1B2AE68" w14:textId="77777777" w:rsidR="004777C4" w:rsidRDefault="00CF217F">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4777C4" w14:paraId="72602C0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B2FDEE9" w14:textId="77777777" w:rsidR="004777C4" w:rsidRDefault="004777C4">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8781EF" w14:textId="77777777" w:rsidR="004777C4" w:rsidRDefault="00CF217F">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790A03E" w14:textId="77777777" w:rsidR="004777C4" w:rsidRDefault="00CF217F">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6E853F7C" w14:textId="77777777" w:rsidR="004777C4" w:rsidRDefault="00CF217F">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8E17482" w14:textId="77777777" w:rsidR="004777C4" w:rsidRDefault="004777C4">
      <w:pPr>
        <w:spacing w:line="360" w:lineRule="auto"/>
        <w:jc w:val="both"/>
        <w:rPr>
          <w:rFonts w:ascii="Palatino Linotype" w:eastAsia="Palatino Linotype" w:hAnsi="Palatino Linotype" w:cs="Palatino Linotype"/>
        </w:rPr>
      </w:pPr>
    </w:p>
    <w:p w14:paraId="4C3F4776" w14:textId="77777777" w:rsidR="004777C4" w:rsidRDefault="00CF217F">
      <w:pPr>
        <w:spacing w:line="360" w:lineRule="auto"/>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w:t>
      </w:r>
      <w:r>
        <w:rPr>
          <w:rFonts w:ascii="Palatino Linotype" w:eastAsia="Palatino Linotype" w:hAnsi="Palatino Linotype" w:cs="Palatino Linotype"/>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A56876" w14:textId="77777777" w:rsidR="004777C4" w:rsidRDefault="00CF217F">
      <w:pPr>
        <w:spacing w:after="100" w:line="360" w:lineRule="auto"/>
        <w:jc w:val="both"/>
        <w:rPr>
          <w:rFonts w:ascii="Palatino Linotype" w:eastAsia="Palatino Linotype" w:hAnsi="Palatino Linotype" w:cs="Palatino Linotype"/>
        </w:rPr>
      </w:pPr>
      <w:bookmarkStart w:id="31" w:name="_heading=h.50gv6imz37h7" w:colFirst="0" w:colLast="0"/>
      <w:bookmarkEnd w:id="31"/>
      <w:r>
        <w:rPr>
          <w:rFonts w:ascii="Palatino Linotype" w:eastAsia="Palatino Linotype" w:hAnsi="Palatino Linotype" w:cs="Palatino Linotype"/>
        </w:rPr>
        <w:t xml:space="preserve"> </w:t>
      </w:r>
    </w:p>
    <w:p w14:paraId="0EA5549B" w14:textId="77777777" w:rsidR="004777C4" w:rsidRDefault="004777C4">
      <w:pPr>
        <w:spacing w:line="360" w:lineRule="auto"/>
        <w:jc w:val="both"/>
        <w:rPr>
          <w:rFonts w:ascii="Palatino Linotype" w:eastAsia="Palatino Linotype" w:hAnsi="Palatino Linotype" w:cs="Palatino Linotype"/>
        </w:rPr>
      </w:pPr>
    </w:p>
    <w:p w14:paraId="77AB7AB3"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88F0E4E" w14:textId="77777777" w:rsidR="004777C4" w:rsidRDefault="004777C4">
      <w:pPr>
        <w:spacing w:line="360" w:lineRule="auto"/>
        <w:jc w:val="center"/>
        <w:rPr>
          <w:rFonts w:ascii="Palatino Linotype" w:eastAsia="Palatino Linotype" w:hAnsi="Palatino Linotype" w:cs="Palatino Linotype"/>
          <w:b/>
          <w:sz w:val="26"/>
          <w:szCs w:val="26"/>
        </w:rPr>
      </w:pPr>
    </w:p>
    <w:p w14:paraId="732481C0" w14:textId="77777777" w:rsidR="004777C4" w:rsidRDefault="00CF217F">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5A92A486" w14:textId="77777777" w:rsidR="004777C4" w:rsidRDefault="004777C4">
      <w:pPr>
        <w:spacing w:line="360" w:lineRule="auto"/>
        <w:ind w:right="49"/>
        <w:jc w:val="both"/>
        <w:rPr>
          <w:rFonts w:ascii="Palatino Linotype" w:eastAsia="Palatino Linotype" w:hAnsi="Palatino Linotype" w:cs="Palatino Linotype"/>
          <w:b/>
        </w:rPr>
      </w:pPr>
    </w:p>
    <w:p w14:paraId="46BE9999" w14:textId="77777777" w:rsidR="004777C4" w:rsidRDefault="00CF217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07967/INFOEM/IP/RR/2022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19175229" w14:textId="77777777" w:rsidR="004777C4" w:rsidRDefault="004777C4">
      <w:pPr>
        <w:spacing w:line="360" w:lineRule="auto"/>
        <w:ind w:right="49"/>
        <w:jc w:val="both"/>
        <w:rPr>
          <w:rFonts w:ascii="Palatino Linotype" w:eastAsia="Palatino Linotype" w:hAnsi="Palatino Linotype" w:cs="Palatino Linotype"/>
        </w:rPr>
      </w:pPr>
    </w:p>
    <w:p w14:paraId="2EB79EA0" w14:textId="77777777" w:rsidR="004777C4" w:rsidRDefault="00CF217F">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lleve a cabo una búsqueda razonable y exhaustiva en todas sus áreas y</w:t>
      </w:r>
      <w:r>
        <w:rPr>
          <w:rFonts w:ascii="Palatino Linotype" w:eastAsia="Palatino Linotype" w:hAnsi="Palatino Linotype" w:cs="Palatino Linotype"/>
          <w:b/>
        </w:rPr>
        <w:t xml:space="preserve"> </w:t>
      </w:r>
      <w:r>
        <w:rPr>
          <w:rFonts w:ascii="Palatino Linotype" w:eastAsia="Palatino Linotype" w:hAnsi="Palatino Linotype" w:cs="Palatino Linotype"/>
        </w:rPr>
        <w:t>haga entrega al Recurrente mediante el Sistema de Acceso a la Información Mexiquense (SAIMEX)  de lo siguiente:</w:t>
      </w:r>
    </w:p>
    <w:p w14:paraId="554D2EA6" w14:textId="77777777" w:rsidR="004777C4" w:rsidRDefault="00CF217F">
      <w:pPr>
        <w:tabs>
          <w:tab w:val="left" w:pos="709"/>
        </w:tabs>
        <w:ind w:left="850" w:right="899"/>
        <w:jc w:val="both"/>
        <w:rPr>
          <w:rFonts w:ascii="Palatino Linotype" w:eastAsia="Palatino Linotype" w:hAnsi="Palatino Linotype" w:cs="Palatino Linotype"/>
          <w:i/>
          <w:sz w:val="22"/>
          <w:szCs w:val="22"/>
        </w:rPr>
      </w:pPr>
      <w:bookmarkStart w:id="32" w:name="_heading=h.gjdgxs" w:colFirst="0" w:colLast="0"/>
      <w:bookmarkEnd w:id="32"/>
      <w:r>
        <w:rPr>
          <w:rFonts w:ascii="Palatino Linotype" w:eastAsia="Palatino Linotype" w:hAnsi="Palatino Linotype" w:cs="Palatino Linotype"/>
          <w:i/>
          <w:sz w:val="22"/>
          <w:szCs w:val="22"/>
        </w:rPr>
        <w:t>El soporte documental, de ser procedente en versión pública donde consten los contratos de obras, bienes y servicios licitados, tanto en adjudicación directa, licitación pública e invitación a cuando menos tres personas, del periodo transcurrido del primero de enero de 2012 al treinta y uno de diciembre de 2018</w:t>
      </w:r>
      <w:r w:rsidR="00376750">
        <w:rPr>
          <w:rFonts w:ascii="Palatino Linotype" w:eastAsia="Palatino Linotype" w:hAnsi="Palatino Linotype" w:cs="Palatino Linotype"/>
          <w:i/>
          <w:sz w:val="22"/>
          <w:szCs w:val="22"/>
        </w:rPr>
        <w:t>.</w:t>
      </w:r>
    </w:p>
    <w:p w14:paraId="0D037DEF" w14:textId="77777777" w:rsidR="004777C4" w:rsidRDefault="004777C4">
      <w:pPr>
        <w:tabs>
          <w:tab w:val="left" w:pos="709"/>
        </w:tabs>
        <w:ind w:left="850" w:right="899"/>
        <w:jc w:val="both"/>
        <w:rPr>
          <w:rFonts w:ascii="Palatino Linotype" w:eastAsia="Palatino Linotype" w:hAnsi="Palatino Linotype" w:cs="Palatino Linotype"/>
          <w:i/>
          <w:sz w:val="22"/>
          <w:szCs w:val="22"/>
        </w:rPr>
      </w:pPr>
    </w:p>
    <w:p w14:paraId="5A02F551" w14:textId="77777777" w:rsidR="004777C4" w:rsidRDefault="00CF217F">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E8A06CF" w14:textId="77777777" w:rsidR="004777C4" w:rsidRDefault="004777C4">
      <w:pPr>
        <w:ind w:left="850" w:right="332"/>
        <w:jc w:val="both"/>
        <w:rPr>
          <w:rFonts w:ascii="Palatino Linotype" w:eastAsia="Palatino Linotype" w:hAnsi="Palatino Linotype" w:cs="Palatino Linotype"/>
          <w:b/>
        </w:rPr>
      </w:pPr>
    </w:p>
    <w:p w14:paraId="5033F9A2" w14:textId="77777777" w:rsidR="004777C4" w:rsidRDefault="00CF217F">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el caso de no contar con la información que se ordena, </w:t>
      </w:r>
      <w:r>
        <w:rPr>
          <w:rFonts w:ascii="Palatino Linotype" w:eastAsia="Palatino Linotype" w:hAnsi="Palatino Linotype" w:cs="Palatino Linotype"/>
          <w:b/>
          <w:i/>
          <w:sz w:val="22"/>
          <w:szCs w:val="22"/>
        </w:rPr>
        <w:t xml:space="preserve">EL SUJETO OBLIGADO </w:t>
      </w:r>
      <w:r>
        <w:rPr>
          <w:rFonts w:ascii="Palatino Linotype" w:eastAsia="Palatino Linotype" w:hAnsi="Palatino Linotype" w:cs="Palatino Linotype"/>
          <w:i/>
          <w:sz w:val="22"/>
          <w:szCs w:val="22"/>
        </w:rPr>
        <w:t xml:space="preserve">deberá entregar el Acuerdo de Inexistencia que emita el Comité de Transparencia de conformidad con los artículos 19, 169 y 170 de la Ley de Transparencia y Acceso a la Información Pública del Estado de México y Municipios. </w:t>
      </w:r>
    </w:p>
    <w:p w14:paraId="74FC8BCC" w14:textId="77777777" w:rsidR="004777C4" w:rsidRDefault="004777C4">
      <w:pPr>
        <w:spacing w:line="360" w:lineRule="auto"/>
        <w:jc w:val="both"/>
        <w:rPr>
          <w:rFonts w:ascii="Palatino Linotype" w:eastAsia="Palatino Linotype" w:hAnsi="Palatino Linotype" w:cs="Palatino Linotype"/>
          <w:b/>
        </w:rPr>
      </w:pPr>
    </w:p>
    <w:p w14:paraId="178C0A0C"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6A286D" w14:textId="77777777" w:rsidR="004777C4" w:rsidRDefault="004777C4">
      <w:pPr>
        <w:spacing w:line="360" w:lineRule="auto"/>
        <w:jc w:val="both"/>
        <w:rPr>
          <w:rFonts w:ascii="Palatino Linotype" w:eastAsia="Palatino Linotype" w:hAnsi="Palatino Linotype" w:cs="Palatino Linotype"/>
          <w:sz w:val="22"/>
          <w:szCs w:val="22"/>
        </w:rPr>
      </w:pPr>
    </w:p>
    <w:p w14:paraId="6D9DD508"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5B02826D" w14:textId="77777777" w:rsidR="004777C4" w:rsidRDefault="004777C4">
      <w:pPr>
        <w:spacing w:line="360" w:lineRule="auto"/>
        <w:jc w:val="both"/>
        <w:rPr>
          <w:rFonts w:ascii="Palatino Linotype" w:eastAsia="Palatino Linotype" w:hAnsi="Palatino Linotype" w:cs="Palatino Linotype"/>
          <w:sz w:val="22"/>
          <w:szCs w:val="22"/>
        </w:rPr>
      </w:pPr>
    </w:p>
    <w:p w14:paraId="0A526671"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30C489" w14:textId="77777777" w:rsidR="004777C4" w:rsidRDefault="004777C4">
      <w:pPr>
        <w:spacing w:line="360" w:lineRule="auto"/>
        <w:jc w:val="both"/>
        <w:rPr>
          <w:rFonts w:ascii="Palatino Linotype" w:eastAsia="Palatino Linotype" w:hAnsi="Palatino Linotype" w:cs="Palatino Linotype"/>
        </w:rPr>
      </w:pPr>
    </w:p>
    <w:p w14:paraId="67F07A2F" w14:textId="77777777" w:rsidR="004777C4" w:rsidRDefault="00CF217F">
      <w:pPr>
        <w:widowControl w:val="0"/>
        <w:tabs>
          <w:tab w:val="left" w:pos="1701"/>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sz w:val="26"/>
          <w:szCs w:val="26"/>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rPr>
        <w:t xml:space="preserve">Hágase del conocimiento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0F8C42AE" w14:textId="77777777" w:rsidR="004777C4" w:rsidRDefault="004777C4">
      <w:pPr>
        <w:spacing w:line="360" w:lineRule="auto"/>
        <w:jc w:val="both"/>
        <w:rPr>
          <w:rFonts w:ascii="Palatino Linotype" w:eastAsia="Palatino Linotype" w:hAnsi="Palatino Linotype" w:cs="Palatino Linotype"/>
        </w:rPr>
      </w:pPr>
    </w:p>
    <w:p w14:paraId="12E6CC61" w14:textId="77777777" w:rsidR="004777C4" w:rsidRDefault="00CF21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0B79">
        <w:rPr>
          <w:rFonts w:ascii="Palatino Linotype" w:eastAsia="Palatino Linotype" w:hAnsi="Palatino Linotype" w:cs="Palatino Linotype"/>
          <w:lang w:val="es-419"/>
        </w:rPr>
        <w:t>CUADRAGÉSIMA</w:t>
      </w:r>
      <w:r>
        <w:rPr>
          <w:rFonts w:ascii="Palatino Linotype" w:eastAsia="Palatino Linotype" w:hAnsi="Palatino Linotype" w:cs="Palatino Linotype"/>
        </w:rPr>
        <w:t xml:space="preserve"> SESIÓN ORDINARIA CELEBRADA EL </w:t>
      </w:r>
      <w:r w:rsidR="00770F3F">
        <w:rPr>
          <w:rFonts w:ascii="Palatino Linotype" w:eastAsia="Palatino Linotype" w:hAnsi="Palatino Linotype" w:cs="Palatino Linotype"/>
        </w:rPr>
        <w:t>NUEVE</w:t>
      </w:r>
      <w:r>
        <w:rPr>
          <w:rFonts w:ascii="Palatino Linotype" w:eastAsia="Palatino Linotype" w:hAnsi="Palatino Linotype" w:cs="Palatino Linotype"/>
        </w:rPr>
        <w:t xml:space="preserve"> DE NOVIEMBRE </w:t>
      </w:r>
      <w:r>
        <w:rPr>
          <w:rFonts w:ascii="Palatino Linotype" w:eastAsia="Palatino Linotype" w:hAnsi="Palatino Linotype" w:cs="Palatino Linotype"/>
        </w:rPr>
        <w:lastRenderedPageBreak/>
        <w:t>DE DOS MIL VEINTIDÓS, ANTE EL SECRETARIO TÉCNICO DEL PLENO, ALEXIS TAPIA RAMÍREZ.</w:t>
      </w:r>
    </w:p>
    <w:p w14:paraId="3B3B5D6F" w14:textId="77777777" w:rsidR="004777C4" w:rsidRDefault="00CF217F">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6F7C4E01" w14:textId="77777777" w:rsidR="004777C4" w:rsidRDefault="00CF217F">
      <w:pPr>
        <w:rPr>
          <w:rFonts w:ascii="Palatino Linotype" w:eastAsia="Palatino Linotype" w:hAnsi="Palatino Linotype" w:cs="Palatino Linotype"/>
        </w:rPr>
      </w:pPr>
      <w:r>
        <w:br w:type="page"/>
      </w:r>
    </w:p>
    <w:p w14:paraId="0EC95EAC" w14:textId="77777777" w:rsidR="004777C4" w:rsidRDefault="004777C4">
      <w:pPr>
        <w:spacing w:line="360" w:lineRule="auto"/>
        <w:jc w:val="both"/>
        <w:rPr>
          <w:rFonts w:ascii="Palatino Linotype" w:eastAsia="Palatino Linotype" w:hAnsi="Palatino Linotype" w:cs="Palatino Linotype"/>
        </w:rPr>
      </w:pPr>
    </w:p>
    <w:p w14:paraId="5E41ABF2" w14:textId="77777777" w:rsidR="004777C4" w:rsidRDefault="004777C4">
      <w:pPr>
        <w:spacing w:line="360" w:lineRule="auto"/>
        <w:jc w:val="both"/>
        <w:rPr>
          <w:rFonts w:ascii="Palatino Linotype" w:eastAsia="Palatino Linotype" w:hAnsi="Palatino Linotype" w:cs="Palatino Linotype"/>
        </w:rPr>
      </w:pPr>
    </w:p>
    <w:p w14:paraId="186E5D5A" w14:textId="77777777" w:rsidR="004777C4" w:rsidRDefault="004777C4">
      <w:pPr>
        <w:spacing w:line="360" w:lineRule="auto"/>
        <w:jc w:val="both"/>
        <w:rPr>
          <w:rFonts w:ascii="Palatino Linotype" w:eastAsia="Palatino Linotype" w:hAnsi="Palatino Linotype" w:cs="Palatino Linotype"/>
        </w:rPr>
      </w:pPr>
      <w:bookmarkStart w:id="33" w:name="_GoBack"/>
      <w:bookmarkEnd w:id="33"/>
    </w:p>
    <w:p w14:paraId="5CFFF187" w14:textId="77777777" w:rsidR="004777C4" w:rsidRDefault="004777C4">
      <w:pPr>
        <w:spacing w:line="360" w:lineRule="auto"/>
        <w:jc w:val="both"/>
        <w:rPr>
          <w:rFonts w:ascii="Palatino Linotype" w:eastAsia="Palatino Linotype" w:hAnsi="Palatino Linotype" w:cs="Palatino Linotype"/>
        </w:rPr>
      </w:pPr>
    </w:p>
    <w:p w14:paraId="61E1ABD9" w14:textId="77777777" w:rsidR="004777C4" w:rsidRDefault="004777C4">
      <w:pPr>
        <w:spacing w:line="360" w:lineRule="auto"/>
        <w:jc w:val="both"/>
        <w:rPr>
          <w:rFonts w:ascii="Palatino Linotype" w:eastAsia="Palatino Linotype" w:hAnsi="Palatino Linotype" w:cs="Palatino Linotype"/>
        </w:rPr>
      </w:pPr>
    </w:p>
    <w:p w14:paraId="298A7B93" w14:textId="77777777" w:rsidR="004777C4" w:rsidRDefault="004777C4">
      <w:pPr>
        <w:spacing w:line="360" w:lineRule="auto"/>
        <w:jc w:val="both"/>
        <w:rPr>
          <w:rFonts w:ascii="Palatino Linotype" w:eastAsia="Palatino Linotype" w:hAnsi="Palatino Linotype" w:cs="Palatino Linotype"/>
        </w:rPr>
      </w:pPr>
    </w:p>
    <w:p w14:paraId="40B384C7" w14:textId="77777777" w:rsidR="004777C4" w:rsidRDefault="004777C4">
      <w:pPr>
        <w:spacing w:line="360" w:lineRule="auto"/>
        <w:jc w:val="both"/>
        <w:rPr>
          <w:rFonts w:ascii="Palatino Linotype" w:eastAsia="Palatino Linotype" w:hAnsi="Palatino Linotype" w:cs="Palatino Linotype"/>
        </w:rPr>
      </w:pPr>
    </w:p>
    <w:p w14:paraId="41F99FFB" w14:textId="77777777" w:rsidR="004777C4" w:rsidRDefault="004777C4">
      <w:pPr>
        <w:spacing w:line="360" w:lineRule="auto"/>
        <w:jc w:val="both"/>
        <w:rPr>
          <w:rFonts w:ascii="Palatino Linotype" w:eastAsia="Palatino Linotype" w:hAnsi="Palatino Linotype" w:cs="Palatino Linotype"/>
        </w:rPr>
      </w:pPr>
    </w:p>
    <w:p w14:paraId="207B4A49" w14:textId="77777777" w:rsidR="004777C4" w:rsidRDefault="004777C4">
      <w:pPr>
        <w:spacing w:line="360" w:lineRule="auto"/>
        <w:jc w:val="both"/>
        <w:rPr>
          <w:rFonts w:ascii="Palatino Linotype" w:eastAsia="Palatino Linotype" w:hAnsi="Palatino Linotype" w:cs="Palatino Linotype"/>
        </w:rPr>
      </w:pPr>
      <w:bookmarkStart w:id="34" w:name="_heading=h.30j0zll" w:colFirst="0" w:colLast="0"/>
      <w:bookmarkEnd w:id="34"/>
    </w:p>
    <w:p w14:paraId="34DD8DCA" w14:textId="77777777" w:rsidR="004777C4" w:rsidRDefault="004777C4">
      <w:pPr>
        <w:spacing w:line="360" w:lineRule="auto"/>
        <w:jc w:val="both"/>
        <w:rPr>
          <w:rFonts w:ascii="Palatino Linotype" w:eastAsia="Palatino Linotype" w:hAnsi="Palatino Linotype" w:cs="Palatino Linotype"/>
        </w:rPr>
      </w:pPr>
    </w:p>
    <w:p w14:paraId="32954BDC" w14:textId="77777777" w:rsidR="004777C4" w:rsidRDefault="004777C4">
      <w:pPr>
        <w:spacing w:line="360" w:lineRule="auto"/>
        <w:jc w:val="both"/>
        <w:rPr>
          <w:rFonts w:ascii="Palatino Linotype" w:eastAsia="Palatino Linotype" w:hAnsi="Palatino Linotype" w:cs="Palatino Linotype"/>
        </w:rPr>
      </w:pPr>
    </w:p>
    <w:p w14:paraId="248C09B8" w14:textId="77777777" w:rsidR="004777C4" w:rsidRDefault="004777C4">
      <w:pPr>
        <w:spacing w:line="360" w:lineRule="auto"/>
        <w:jc w:val="both"/>
        <w:rPr>
          <w:rFonts w:ascii="Palatino Linotype" w:eastAsia="Palatino Linotype" w:hAnsi="Palatino Linotype" w:cs="Palatino Linotype"/>
        </w:rPr>
      </w:pPr>
    </w:p>
    <w:p w14:paraId="2B5DA6AB" w14:textId="77777777" w:rsidR="004777C4" w:rsidRDefault="004777C4">
      <w:pPr>
        <w:spacing w:line="360" w:lineRule="auto"/>
        <w:jc w:val="both"/>
        <w:rPr>
          <w:rFonts w:ascii="Palatino Linotype" w:eastAsia="Palatino Linotype" w:hAnsi="Palatino Linotype" w:cs="Palatino Linotype"/>
        </w:rPr>
      </w:pPr>
    </w:p>
    <w:p w14:paraId="42CFCB42" w14:textId="77777777" w:rsidR="004777C4" w:rsidRDefault="004777C4">
      <w:pPr>
        <w:spacing w:line="360" w:lineRule="auto"/>
        <w:jc w:val="both"/>
        <w:rPr>
          <w:rFonts w:ascii="Palatino Linotype" w:eastAsia="Palatino Linotype" w:hAnsi="Palatino Linotype" w:cs="Palatino Linotype"/>
        </w:rPr>
      </w:pPr>
    </w:p>
    <w:p w14:paraId="38B57459" w14:textId="77777777" w:rsidR="004777C4" w:rsidRDefault="004777C4">
      <w:pPr>
        <w:spacing w:line="360" w:lineRule="auto"/>
        <w:jc w:val="both"/>
        <w:rPr>
          <w:rFonts w:ascii="Palatino Linotype" w:eastAsia="Palatino Linotype" w:hAnsi="Palatino Linotype" w:cs="Palatino Linotype"/>
        </w:rPr>
      </w:pPr>
    </w:p>
    <w:p w14:paraId="243D5E37" w14:textId="77777777" w:rsidR="004777C4" w:rsidRDefault="004777C4">
      <w:pPr>
        <w:spacing w:line="360" w:lineRule="auto"/>
        <w:jc w:val="both"/>
        <w:rPr>
          <w:rFonts w:ascii="Palatino Linotype" w:eastAsia="Palatino Linotype" w:hAnsi="Palatino Linotype" w:cs="Palatino Linotype"/>
        </w:rPr>
      </w:pPr>
    </w:p>
    <w:p w14:paraId="61541C53" w14:textId="77777777" w:rsidR="004777C4" w:rsidRDefault="004777C4">
      <w:pPr>
        <w:spacing w:line="360" w:lineRule="auto"/>
        <w:jc w:val="both"/>
        <w:rPr>
          <w:rFonts w:ascii="Palatino Linotype" w:eastAsia="Palatino Linotype" w:hAnsi="Palatino Linotype" w:cs="Palatino Linotype"/>
        </w:rPr>
      </w:pPr>
    </w:p>
    <w:p w14:paraId="72CF8CC4" w14:textId="77777777" w:rsidR="004777C4" w:rsidRDefault="004777C4">
      <w:pPr>
        <w:spacing w:line="360" w:lineRule="auto"/>
        <w:jc w:val="both"/>
        <w:rPr>
          <w:rFonts w:ascii="Palatino Linotype" w:eastAsia="Palatino Linotype" w:hAnsi="Palatino Linotype" w:cs="Palatino Linotype"/>
        </w:rPr>
      </w:pPr>
    </w:p>
    <w:sectPr w:rsidR="004777C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90476" w14:textId="77777777" w:rsidR="00810FA9" w:rsidRDefault="00810FA9">
      <w:r>
        <w:separator/>
      </w:r>
    </w:p>
  </w:endnote>
  <w:endnote w:type="continuationSeparator" w:id="0">
    <w:p w14:paraId="474FAB10" w14:textId="77777777" w:rsidR="00810FA9" w:rsidRDefault="0081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93EE" w14:textId="77777777" w:rsidR="004777C4" w:rsidRDefault="00CF21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264A">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264A">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CEDF" w14:textId="77777777" w:rsidR="004777C4" w:rsidRDefault="00CF217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264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264A">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1BAE" w14:textId="77777777" w:rsidR="00810FA9" w:rsidRDefault="00810FA9">
      <w:r>
        <w:separator/>
      </w:r>
    </w:p>
  </w:footnote>
  <w:footnote w:type="continuationSeparator" w:id="0">
    <w:p w14:paraId="3505EC12" w14:textId="77777777" w:rsidR="00810FA9" w:rsidRDefault="00810FA9">
      <w:r>
        <w:continuationSeparator/>
      </w:r>
    </w:p>
  </w:footnote>
  <w:footnote w:id="1">
    <w:p w14:paraId="400F7069" w14:textId="77777777" w:rsidR="004777C4" w:rsidRDefault="00CF217F">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2B583C52" w14:textId="77777777" w:rsidR="004777C4" w:rsidRDefault="00CF217F">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sz w:val="20"/>
          <w:szCs w:val="20"/>
        </w:rPr>
        <w:t xml:space="preserve"> (…)</w:t>
      </w:r>
    </w:p>
  </w:footnote>
  <w:footnote w:id="3">
    <w:p w14:paraId="730ED6E6" w14:textId="77777777" w:rsidR="004777C4" w:rsidRDefault="00CF217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F0FEE" w14:textId="77777777" w:rsidR="004777C4" w:rsidRDefault="000A264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71ED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5F148" w14:textId="77777777" w:rsidR="004777C4" w:rsidRDefault="000A264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4331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fffffc"/>
      <w:tblW w:w="9534" w:type="dxa"/>
      <w:tblInd w:w="-142" w:type="dxa"/>
      <w:tblLayout w:type="fixed"/>
      <w:tblLook w:val="0400" w:firstRow="0" w:lastRow="0" w:firstColumn="0" w:lastColumn="0" w:noHBand="0" w:noVBand="1"/>
    </w:tblPr>
    <w:tblGrid>
      <w:gridCol w:w="3261"/>
      <w:gridCol w:w="2551"/>
      <w:gridCol w:w="3722"/>
    </w:tblGrid>
    <w:tr w:rsidR="004777C4" w14:paraId="6BAA0674" w14:textId="77777777">
      <w:tc>
        <w:tcPr>
          <w:tcW w:w="3261" w:type="dxa"/>
          <w:vMerge w:val="restart"/>
        </w:tcPr>
        <w:p w14:paraId="05A65BDC"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739DC7C" wp14:editId="21CC45D5">
                <wp:extent cx="1692162" cy="852673"/>
                <wp:effectExtent l="0" t="0" r="0" b="0"/>
                <wp:docPr id="3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A1EAE68"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615C16B"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07967/INFOEM/IP/RR/2022</w:t>
          </w:r>
        </w:p>
      </w:tc>
    </w:tr>
    <w:tr w:rsidR="004777C4" w14:paraId="224EE371" w14:textId="77777777">
      <w:tc>
        <w:tcPr>
          <w:tcW w:w="3261" w:type="dxa"/>
          <w:vMerge/>
        </w:tcPr>
        <w:p w14:paraId="74C66F26" w14:textId="77777777" w:rsidR="004777C4" w:rsidRDefault="00477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BA2EAEE"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41B9C7B"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Ecatepec de Morelos </w:t>
          </w:r>
        </w:p>
      </w:tc>
    </w:tr>
    <w:tr w:rsidR="004777C4" w14:paraId="63AC09F7" w14:textId="77777777">
      <w:trPr>
        <w:trHeight w:val="790"/>
      </w:trPr>
      <w:tc>
        <w:tcPr>
          <w:tcW w:w="3261" w:type="dxa"/>
          <w:vMerge/>
        </w:tcPr>
        <w:p w14:paraId="477827D6" w14:textId="77777777" w:rsidR="004777C4" w:rsidRDefault="00477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79D2903"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33B43FD"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A072664" w14:textId="77777777" w:rsidR="004777C4" w:rsidRDefault="004777C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2DB7" w14:textId="77777777" w:rsidR="004777C4" w:rsidRDefault="000A264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49FC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b"/>
      <w:tblW w:w="9900" w:type="dxa"/>
      <w:tblInd w:w="-833" w:type="dxa"/>
      <w:tblLayout w:type="fixed"/>
      <w:tblLook w:val="0400" w:firstRow="0" w:lastRow="0" w:firstColumn="0" w:lastColumn="0" w:noHBand="0" w:noVBand="1"/>
    </w:tblPr>
    <w:tblGrid>
      <w:gridCol w:w="3805"/>
      <w:gridCol w:w="3000"/>
      <w:gridCol w:w="3095"/>
    </w:tblGrid>
    <w:tr w:rsidR="004777C4" w14:paraId="1EF679F0" w14:textId="77777777">
      <w:tc>
        <w:tcPr>
          <w:tcW w:w="3805" w:type="dxa"/>
          <w:vMerge w:val="restart"/>
          <w:shd w:val="clear" w:color="auto" w:fill="auto"/>
        </w:tcPr>
        <w:p w14:paraId="70F58265" w14:textId="77777777" w:rsidR="004777C4" w:rsidRDefault="00CF217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17444D3" wp14:editId="1481510F">
                <wp:extent cx="1692162" cy="852673"/>
                <wp:effectExtent l="0" t="0" r="0" b="0"/>
                <wp:docPr id="3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5985062"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F508477"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07967/INFOEM/IP/RR/2022 </w:t>
          </w:r>
        </w:p>
      </w:tc>
    </w:tr>
    <w:tr w:rsidR="004777C4" w14:paraId="079DD0D1" w14:textId="77777777">
      <w:tc>
        <w:tcPr>
          <w:tcW w:w="3805" w:type="dxa"/>
          <w:vMerge/>
          <w:shd w:val="clear" w:color="auto" w:fill="auto"/>
        </w:tcPr>
        <w:p w14:paraId="70B0A235" w14:textId="77777777" w:rsidR="004777C4" w:rsidRDefault="00477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34BCA08"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D927BA2" w14:textId="5FF22C82" w:rsidR="004777C4" w:rsidRDefault="000A264A">
          <w:pPr>
            <w:jc w:val="both"/>
            <w:rPr>
              <w:rFonts w:ascii="Palatino Linotype" w:eastAsia="Palatino Linotype" w:hAnsi="Palatino Linotype" w:cs="Palatino Linotype"/>
              <w:b/>
            </w:rPr>
          </w:pPr>
          <w:r>
            <w:rPr>
              <w:rFonts w:ascii="Palatino Linotype" w:eastAsia="Palatino Linotype" w:hAnsi="Palatino Linotype" w:cs="Palatino Linotype"/>
              <w:b/>
            </w:rPr>
            <w:t>XXXXXX  XXXXXXXX</w:t>
          </w:r>
        </w:p>
      </w:tc>
    </w:tr>
    <w:tr w:rsidR="004777C4" w14:paraId="20C7B3BD" w14:textId="77777777">
      <w:trPr>
        <w:trHeight w:val="228"/>
      </w:trPr>
      <w:tc>
        <w:tcPr>
          <w:tcW w:w="3805" w:type="dxa"/>
          <w:vMerge/>
          <w:shd w:val="clear" w:color="auto" w:fill="auto"/>
        </w:tcPr>
        <w:p w14:paraId="4C60A908" w14:textId="77777777" w:rsidR="004777C4" w:rsidRDefault="00477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3418035"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2E04519"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Ecatepec de Morelos </w:t>
          </w:r>
        </w:p>
      </w:tc>
    </w:tr>
    <w:tr w:rsidR="004777C4" w14:paraId="771AD21C" w14:textId="77777777">
      <w:tc>
        <w:tcPr>
          <w:tcW w:w="3805" w:type="dxa"/>
          <w:vMerge/>
          <w:shd w:val="clear" w:color="auto" w:fill="auto"/>
        </w:tcPr>
        <w:p w14:paraId="2847239E" w14:textId="77777777" w:rsidR="004777C4" w:rsidRDefault="00477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C2E2297" w14:textId="77777777" w:rsidR="004777C4" w:rsidRDefault="00CF217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0F1CB8E" w14:textId="77777777" w:rsidR="004777C4" w:rsidRDefault="00CF217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AFB7FF8" w14:textId="77777777" w:rsidR="004777C4" w:rsidRDefault="004777C4">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C4"/>
    <w:rsid w:val="000A264A"/>
    <w:rsid w:val="00112A46"/>
    <w:rsid w:val="001426B4"/>
    <w:rsid w:val="00376750"/>
    <w:rsid w:val="004777C4"/>
    <w:rsid w:val="005029C5"/>
    <w:rsid w:val="005F02B5"/>
    <w:rsid w:val="00770F3F"/>
    <w:rsid w:val="00810FA9"/>
    <w:rsid w:val="0099563E"/>
    <w:rsid w:val="00BA2036"/>
    <w:rsid w:val="00CF217F"/>
    <w:rsid w:val="00D00B79"/>
    <w:rsid w:val="00F450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14ED6"/>
  <w15:docId w15:val="{4046CA6F-AEE5-4C8C-9A0B-5EB9423C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c"/>
    <w:tblPr>
      <w:tblStyleRowBandSize w:val="1"/>
      <w:tblStyleColBandSize w:val="1"/>
      <w:tblCellMar>
        <w:top w:w="100" w:type="dxa"/>
        <w:left w:w="100" w:type="dxa"/>
        <w:bottom w:w="100" w:type="dxa"/>
        <w:right w:w="100" w:type="dxa"/>
      </w:tblCellMar>
    </w:tblPr>
  </w:style>
  <w:style w:type="table" w:customStyle="1" w:styleId="a0">
    <w:basedOn w:val="TableNormalffc"/>
    <w:tblPr>
      <w:tblStyleRowBandSize w:val="1"/>
      <w:tblStyleColBandSize w:val="1"/>
      <w:tblCellMar>
        <w:left w:w="115" w:type="dxa"/>
        <w:right w:w="115" w:type="dxa"/>
      </w:tblCellMar>
    </w:tblPr>
  </w:style>
  <w:style w:type="table" w:customStyle="1" w:styleId="a1">
    <w:basedOn w:val="TableNormalffc"/>
    <w:tblPr>
      <w:tblStyleRowBandSize w:val="1"/>
      <w:tblStyleColBandSize w:val="1"/>
      <w:tblCellMar>
        <w:left w:w="115" w:type="dxa"/>
        <w:right w:w="115" w:type="dxa"/>
      </w:tblCellMar>
    </w:tblPr>
  </w:style>
  <w:style w:type="table" w:customStyle="1" w:styleId="a2">
    <w:basedOn w:val="TableNormalffc"/>
    <w:tblPr>
      <w:tblStyleRowBandSize w:val="1"/>
      <w:tblStyleColBandSize w:val="1"/>
      <w:tblCellMar>
        <w:left w:w="115" w:type="dxa"/>
        <w:right w:w="115" w:type="dxa"/>
      </w:tblCellMar>
    </w:tblPr>
  </w:style>
  <w:style w:type="table" w:customStyle="1" w:styleId="a3">
    <w:basedOn w:val="TableNormalffc"/>
    <w:tblPr>
      <w:tblStyleRowBandSize w:val="1"/>
      <w:tblStyleColBandSize w:val="1"/>
      <w:tblCellMar>
        <w:left w:w="115" w:type="dxa"/>
        <w:right w:w="115" w:type="dxa"/>
      </w:tblCellMar>
    </w:tblPr>
  </w:style>
  <w:style w:type="table" w:customStyle="1" w:styleId="a4">
    <w:basedOn w:val="TableNormalffc"/>
    <w:tblPr>
      <w:tblStyleRowBandSize w:val="1"/>
      <w:tblStyleColBandSize w:val="1"/>
      <w:tblCellMar>
        <w:left w:w="115" w:type="dxa"/>
        <w:right w:w="115" w:type="dxa"/>
      </w:tblCellMar>
    </w:tblPr>
  </w:style>
  <w:style w:type="table" w:customStyle="1" w:styleId="a5">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c"/>
    <w:tblPr>
      <w:tblStyleRowBandSize w:val="1"/>
      <w:tblStyleColBandSize w:val="1"/>
      <w:tblCellMar>
        <w:left w:w="115" w:type="dxa"/>
        <w:right w:w="115" w:type="dxa"/>
      </w:tblCellMar>
    </w:tblPr>
  </w:style>
  <w:style w:type="table" w:customStyle="1" w:styleId="a7">
    <w:basedOn w:val="TableNormalffc"/>
    <w:tblPr>
      <w:tblStyleRowBandSize w:val="1"/>
      <w:tblStyleColBandSize w:val="1"/>
      <w:tblCellMar>
        <w:left w:w="115" w:type="dxa"/>
        <w:right w:w="115" w:type="dxa"/>
      </w:tblCellMar>
    </w:tblPr>
  </w:style>
  <w:style w:type="table" w:customStyle="1" w:styleId="a8">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b"/>
    <w:tblPr>
      <w:tblStyleRowBandSize w:val="1"/>
      <w:tblStyleColBandSize w:val="1"/>
      <w:tblCellMar>
        <w:left w:w="115" w:type="dxa"/>
        <w:right w:w="115" w:type="dxa"/>
      </w:tblCellMar>
    </w:tblPr>
  </w:style>
  <w:style w:type="table" w:customStyle="1" w:styleId="afff3">
    <w:basedOn w:val="TableNormalfb"/>
    <w:tblPr>
      <w:tblStyleRowBandSize w:val="1"/>
      <w:tblStyleColBandSize w:val="1"/>
      <w:tblCellMar>
        <w:top w:w="100" w:type="dxa"/>
        <w:left w:w="100" w:type="dxa"/>
        <w:bottom w:w="100" w:type="dxa"/>
        <w:right w:w="100" w:type="dxa"/>
      </w:tblCellMar>
    </w:tblPr>
  </w:style>
  <w:style w:type="table" w:customStyle="1" w:styleId="a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b"/>
    <w:tblPr>
      <w:tblStyleRowBandSize w:val="1"/>
      <w:tblStyleColBandSize w:val="1"/>
      <w:tblCellMar>
        <w:top w:w="100" w:type="dxa"/>
        <w:left w:w="100" w:type="dxa"/>
        <w:bottom w:w="100" w:type="dxa"/>
        <w:right w:w="100" w:type="dxa"/>
      </w:tblCellMar>
    </w:tblPr>
  </w:style>
  <w:style w:type="table" w:customStyle="1" w:styleId="a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b"/>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3"/>
    <w:tblPr>
      <w:tblStyleRowBandSize w:val="1"/>
      <w:tblStyleColBandSize w:val="1"/>
      <w:tblCellMar>
        <w:left w:w="115" w:type="dxa"/>
        <w:right w:w="115" w:type="dxa"/>
      </w:tblCellMar>
    </w:tblPr>
  </w:style>
  <w:style w:type="table" w:customStyle="1" w:styleId="afffffff7">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ransparencia.ipn.mx/Apoyo/SIPOT/LTG_DOF2812202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Vqo06FAqdYIozOlIhShWfrC9w==">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10681</Words>
  <Characters>58748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2022-11-11T06:26:00Z</cp:lastPrinted>
  <dcterms:created xsi:type="dcterms:W3CDTF">2022-10-27T15:43:00Z</dcterms:created>
  <dcterms:modified xsi:type="dcterms:W3CDTF">2022-12-08T20:56:00Z</dcterms:modified>
</cp:coreProperties>
</file>