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6BD6B"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14:paraId="59DD9DD7" w14:textId="150C3600"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4679D5">
        <w:rPr>
          <w:rFonts w:ascii="Palatino Linotype" w:eastAsia="Palatino Linotype" w:hAnsi="Palatino Linotype" w:cs="Palatino Linotype"/>
          <w:b/>
        </w:rPr>
        <w:t xml:space="preserve">04039/INFOEM/IP/RR/2022, </w:t>
      </w:r>
      <w:r>
        <w:rPr>
          <w:rFonts w:ascii="Palatino Linotype" w:eastAsia="Palatino Linotype" w:hAnsi="Palatino Linotype" w:cs="Palatino Linotype"/>
        </w:rPr>
        <w:t>interpuesto por</w:t>
      </w:r>
      <w:r w:rsidR="0051266C">
        <w:rPr>
          <w:rFonts w:ascii="Palatino Linotype" w:eastAsia="Palatino Linotype" w:hAnsi="Palatino Linotype" w:cs="Palatino Linotype"/>
          <w:b/>
        </w:rPr>
        <w:t xml:space="preserve"> </w:t>
      </w:r>
      <w:r w:rsidR="006D055E" w:rsidRPr="006D055E">
        <w:rPr>
          <w:rFonts w:ascii="Palatino Linotype" w:eastAsia="Palatino Linotype" w:hAnsi="Palatino Linotype" w:cs="Palatino Linotype"/>
          <w:b/>
        </w:rPr>
        <w:t>XXXXXX XXXX 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Recurrente, </w:t>
      </w:r>
      <w:r>
        <w:rPr>
          <w:rFonts w:ascii="Palatino Linotype" w:eastAsia="Palatino Linotype" w:hAnsi="Palatino Linotype" w:cs="Palatino Linotype"/>
        </w:rPr>
        <w:t xml:space="preserve"> en contra de la respuesta por parte de la </w:t>
      </w:r>
      <w:r>
        <w:rPr>
          <w:rFonts w:ascii="Palatino Linotype" w:eastAsia="Palatino Linotype" w:hAnsi="Palatino Linotype" w:cs="Palatino Linotype"/>
          <w:b/>
        </w:rPr>
        <w:t xml:space="preserve">Procuraduría de Protección al Ambiente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25FD377E" w14:textId="77777777" w:rsidR="00F26D67" w:rsidRDefault="001E2E60">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7E46B64F" w14:textId="77777777" w:rsidR="00F26D67" w:rsidRDefault="001E2E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veintiuno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00014/PROPAEM/IP/2022, </w:t>
      </w:r>
      <w:r>
        <w:rPr>
          <w:rFonts w:ascii="Palatino Linotype" w:eastAsia="Palatino Linotype" w:hAnsi="Palatino Linotype" w:cs="Palatino Linotype"/>
        </w:rPr>
        <w:t xml:space="preserve">mediante la cual requirió la información siguiente: </w:t>
      </w:r>
    </w:p>
    <w:p w14:paraId="79CCF739" w14:textId="77777777" w:rsidR="00F26D67" w:rsidRDefault="001E2E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“Desde hace doce años a la fecha, el problema de la carencia de agua es una constante en el municipio de Cuautitlán y las administraciones municipales han cometido ecocidios, de manera discrecional, en todo el territorio municipal, perturbando el orden natural de un medio ambiente sano, para nuestro desarrollo y bienestar como ciudadanos, tal como lo indica el artículo 4°, párrafo quinto, de la Constitución Política de los Estados Unidos Mexicanos, por este motivo y con fundamento en el artículo 6° de la Constitución Política de los Estados Unidos Mexicanos, artículo 5° de la Constitución Política del Estado Libre y Soberano de México, así como el artículo 23, fracción IV de la Ley de Transparencia y Acceso a la Información Pública del Estado de México y Municipios, </w:t>
      </w:r>
      <w:r>
        <w:rPr>
          <w:rFonts w:ascii="Palatino Linotype" w:eastAsia="Palatino Linotype" w:hAnsi="Palatino Linotype" w:cs="Palatino Linotype"/>
          <w:b/>
          <w:i/>
          <w:color w:val="002060"/>
          <w:sz w:val="22"/>
          <w:szCs w:val="22"/>
        </w:rPr>
        <w:t xml:space="preserve">solicito sea exhibido el acuerdo y/o convenio firmado por los distintos órdenes de gobierno para </w:t>
      </w:r>
      <w:r>
        <w:rPr>
          <w:rFonts w:ascii="Palatino Linotype" w:eastAsia="Palatino Linotype" w:hAnsi="Palatino Linotype" w:cs="Palatino Linotype"/>
          <w:b/>
          <w:i/>
          <w:color w:val="002060"/>
          <w:sz w:val="22"/>
          <w:szCs w:val="22"/>
        </w:rPr>
        <w:lastRenderedPageBreak/>
        <w:t>el periodo 2022-2024, 2019-2021, 2016-2018, 2013-2015, 2010-2012, 2007-2009, 2004-2006, 2001-2003 para realizar los trabajos de retiro y extinción de los árboles, las palmeras, el follaje, pasto y arbustos del camellón situado en calzada de Guadalupe de la colindancia del municipio de Cuautitlán y Cuautitlán Izcalli, en la colonia El Cerrito/ Tlayacac.</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En el mismo orden de ideas, requiero sea comprendido el alcance de mi solicitud de acceso a información pública, por lo referido en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19 de octubre de 2011” (Sic) (Énfasis añadido)</w:t>
      </w:r>
    </w:p>
    <w:p w14:paraId="47352FBB"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p>
    <w:p w14:paraId="5E74F3AC" w14:textId="77777777" w:rsidR="0051266C" w:rsidRDefault="0051266C" w:rsidP="0051266C">
      <w:pPr>
        <w:spacing w:before="240" w:after="240"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b/>
          <w:i/>
          <w:color w:val="000000" w:themeColor="text1"/>
        </w:rPr>
        <w:t>“</w:t>
      </w:r>
      <w:r w:rsidRPr="0051266C">
        <w:rPr>
          <w:rFonts w:ascii="Palatino Linotype" w:eastAsia="Palatino Linotype" w:hAnsi="Palatino Linotype" w:cs="Palatino Linotype"/>
          <w:b/>
          <w:i/>
          <w:color w:val="000000" w:themeColor="text1"/>
        </w:rPr>
        <w:t>pt809.pdf</w:t>
      </w:r>
      <w:r>
        <w:rPr>
          <w:rFonts w:ascii="Palatino Linotype" w:eastAsia="Palatino Linotype" w:hAnsi="Palatino Linotype" w:cs="Palatino Linotype"/>
          <w:b/>
          <w:i/>
          <w:color w:val="000000" w:themeColor="text1"/>
        </w:rPr>
        <w:t>”, “</w:t>
      </w:r>
      <w:r w:rsidRPr="0051266C">
        <w:rPr>
          <w:rFonts w:ascii="Palatino Linotype" w:eastAsia="Palatino Linotype" w:hAnsi="Palatino Linotype" w:cs="Palatino Linotype"/>
          <w:b/>
          <w:i/>
          <w:color w:val="000000" w:themeColor="text1"/>
        </w:rPr>
        <w:t>pht810.pdf</w:t>
      </w:r>
      <w:r>
        <w:rPr>
          <w:rFonts w:ascii="Palatino Linotype" w:eastAsia="Palatino Linotype" w:hAnsi="Palatino Linotype" w:cs="Palatino Linotype"/>
          <w:b/>
          <w:i/>
          <w:color w:val="000000" w:themeColor="text1"/>
        </w:rPr>
        <w:t>” y “</w:t>
      </w:r>
      <w:r w:rsidRPr="0051266C">
        <w:rPr>
          <w:rFonts w:ascii="Palatino Linotype" w:eastAsia="Palatino Linotype" w:hAnsi="Palatino Linotype" w:cs="Palatino Linotype"/>
          <w:b/>
          <w:i/>
          <w:color w:val="000000" w:themeColor="text1"/>
        </w:rPr>
        <w:t>pht808.pdf</w:t>
      </w:r>
      <w:r>
        <w:rPr>
          <w:rFonts w:ascii="Palatino Linotype" w:eastAsia="Palatino Linotype" w:hAnsi="Palatino Linotype" w:cs="Palatino Linotype"/>
          <w:b/>
          <w:i/>
          <w:color w:val="000000" w:themeColor="text1"/>
        </w:rPr>
        <w:t xml:space="preserve">”: </w:t>
      </w:r>
      <w:r>
        <w:rPr>
          <w:rFonts w:ascii="Palatino Linotype" w:eastAsia="Palatino Linotype" w:hAnsi="Palatino Linotype" w:cs="Palatino Linotype"/>
          <w:color w:val="000000" w:themeColor="text1"/>
        </w:rPr>
        <w:t xml:space="preserve">Fotografías en las que se visualiza la problemática referida por la particular. </w:t>
      </w:r>
    </w:p>
    <w:p w14:paraId="47B4E60D" w14:textId="77777777" w:rsidR="0051266C" w:rsidRDefault="0051266C" w:rsidP="0051266C">
      <w:pPr>
        <w:spacing w:before="240" w:after="240" w:line="360" w:lineRule="auto"/>
        <w:jc w:val="center"/>
        <w:rPr>
          <w:rFonts w:ascii="Palatino Linotype" w:eastAsia="Palatino Linotype" w:hAnsi="Palatino Linotype" w:cs="Palatino Linotype"/>
          <w:color w:val="000000" w:themeColor="text1"/>
        </w:rPr>
      </w:pPr>
      <w:r>
        <w:rPr>
          <w:rFonts w:ascii="Palatino Linotype" w:eastAsia="Palatino Linotype" w:hAnsi="Palatino Linotype" w:cs="Palatino Linotype"/>
          <w:noProof/>
          <w:color w:val="000000" w:themeColor="text1"/>
          <w:lang w:val="es-MX"/>
        </w:rPr>
        <w:lastRenderedPageBreak/>
        <w:drawing>
          <wp:inline distT="0" distB="0" distL="0" distR="0" wp14:anchorId="518087AD" wp14:editId="4AE1E70A">
            <wp:extent cx="2314575" cy="36966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238" cy="3712129"/>
                    </a:xfrm>
                    <a:prstGeom prst="rect">
                      <a:avLst/>
                    </a:prstGeom>
                    <a:noFill/>
                    <a:ln>
                      <a:noFill/>
                    </a:ln>
                  </pic:spPr>
                </pic:pic>
              </a:graphicData>
            </a:graphic>
          </wp:inline>
        </w:drawing>
      </w:r>
    </w:p>
    <w:p w14:paraId="01EA4F07" w14:textId="77777777" w:rsidR="0051266C" w:rsidRDefault="0051266C" w:rsidP="0051266C">
      <w:pPr>
        <w:spacing w:before="240" w:after="240" w:line="360" w:lineRule="auto"/>
        <w:jc w:val="center"/>
        <w:rPr>
          <w:rFonts w:ascii="Palatino Linotype" w:eastAsia="Palatino Linotype" w:hAnsi="Palatino Linotype" w:cs="Palatino Linotype"/>
          <w:color w:val="000000" w:themeColor="text1"/>
        </w:rPr>
      </w:pPr>
      <w:r>
        <w:rPr>
          <w:rFonts w:ascii="Palatino Linotype" w:eastAsia="Palatino Linotype" w:hAnsi="Palatino Linotype" w:cs="Palatino Linotype"/>
          <w:noProof/>
          <w:color w:val="000000" w:themeColor="text1"/>
          <w:lang w:val="es-MX"/>
        </w:rPr>
        <w:lastRenderedPageBreak/>
        <w:drawing>
          <wp:inline distT="0" distB="0" distL="0" distR="0" wp14:anchorId="576959C0" wp14:editId="7FA502E6">
            <wp:extent cx="5006205" cy="32861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222" cy="3291387"/>
                    </a:xfrm>
                    <a:prstGeom prst="rect">
                      <a:avLst/>
                    </a:prstGeom>
                    <a:noFill/>
                    <a:ln>
                      <a:noFill/>
                    </a:ln>
                  </pic:spPr>
                </pic:pic>
              </a:graphicData>
            </a:graphic>
          </wp:inline>
        </w:drawing>
      </w:r>
    </w:p>
    <w:p w14:paraId="14E66BE7" w14:textId="3EA2D9B6" w:rsidR="0051266C" w:rsidRPr="0051266C" w:rsidRDefault="006D055E" w:rsidP="0051266C">
      <w:pPr>
        <w:spacing w:before="240" w:after="240" w:line="360" w:lineRule="auto"/>
        <w:jc w:val="center"/>
        <w:rPr>
          <w:rFonts w:ascii="Palatino Linotype" w:eastAsia="Palatino Linotype" w:hAnsi="Palatino Linotype" w:cs="Palatino Linotype"/>
          <w:color w:val="000000" w:themeColor="text1"/>
        </w:rPr>
      </w:pPr>
      <w:r>
        <w:rPr>
          <w:rFonts w:ascii="Palatino Linotype" w:eastAsia="Palatino Linotype" w:hAnsi="Palatino Linotype" w:cs="Palatino Linotype"/>
          <w:noProof/>
          <w:color w:val="000000" w:themeColor="text1"/>
          <w:lang w:val="es-MX"/>
        </w:rPr>
        <w:drawing>
          <wp:inline distT="0" distB="0" distL="0" distR="0" wp14:anchorId="76B404C2" wp14:editId="33F0F990">
            <wp:extent cx="4905375" cy="3638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638550"/>
                    </a:xfrm>
                    <a:prstGeom prst="rect">
                      <a:avLst/>
                    </a:prstGeom>
                    <a:noFill/>
                    <a:ln>
                      <a:noFill/>
                    </a:ln>
                  </pic:spPr>
                </pic:pic>
              </a:graphicData>
            </a:graphic>
          </wp:inline>
        </w:drawing>
      </w:r>
    </w:p>
    <w:p w14:paraId="66C644C6" w14:textId="77777777" w:rsidR="00F26D67" w:rsidRDefault="001E2E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5F495830"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Incompetencia de</w:t>
      </w:r>
      <w:r w:rsidR="0051266C">
        <w:rPr>
          <w:rFonts w:ascii="Palatino Linotype" w:eastAsia="Palatino Linotype" w:hAnsi="Palatino Linotype" w:cs="Palatino Linotype"/>
          <w:b/>
        </w:rPr>
        <w:t>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Recurrente, la incompetencia para atender su solicitud en los términos siguientes: </w:t>
      </w:r>
    </w:p>
    <w:p w14:paraId="1BC917BC" w14:textId="77777777" w:rsidR="00F26D67" w:rsidRDefault="001E2E60">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“Con fundamento en lo dispuesto por los artículos 3, fracción XLIV, 23 fracción I, 24 fracciones XI y XXIV, 53 fracciones II, III y VI, 167, así como demás preceptos relativos, vigentes y aplicables de la Ley de Transparencia y Acceso a la Información Pública del Estado de México y Municipios, de manera atenta y respetuosa, manifiesto a usted lo siguiente: Una vez analizado el contenido de su amable solicitud, </w:t>
      </w:r>
      <w:r>
        <w:rPr>
          <w:rFonts w:ascii="Palatino Linotype" w:eastAsia="Palatino Linotype" w:hAnsi="Palatino Linotype" w:cs="Palatino Linotype"/>
          <w:b/>
          <w:i/>
          <w:sz w:val="22"/>
          <w:szCs w:val="22"/>
        </w:rPr>
        <w:t>resulta importante precisar que este sujeto obligado no cuenta con la información consistente en: el acuerdo y/o convenio firmado por los distintos órdenes de gobierno para el periodo 2022-2024, 2019-2021, 2016-2018, 2013-2015, 2010-2012, 2007-2009, 2004-2006, 2001-2003 para realizar los trabajos de retiro y extinción de los árboles, las palmeras, el follaje, pasto y arbustos del camellón situado en calzada de Guadalupe de la colindancia del municipio de Cuautitlán y Cuautitlán Izcalli, en la colonia El Cerrito/ Tlayacac, que le pudiera ser proporcionada en atención a su requerimiento; esto en virtud de que dicha información no corresponde a las atribuciones que son competencia de la Procuraduría de Protección al Ambiente del Estado de México (PROPAEM), mismas que se encuentran contenidas en el artículo 4 del Decreto del Ejecutivo del 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del Gobierno” el 16 de diciembre de 2011.</w:t>
      </w:r>
      <w:r>
        <w:rPr>
          <w:rFonts w:ascii="Palatino Linotype" w:eastAsia="Palatino Linotype" w:hAnsi="Palatino Linotype" w:cs="Palatino Linotype"/>
          <w:i/>
          <w:sz w:val="22"/>
          <w:szCs w:val="22"/>
        </w:rPr>
        <w:t xml:space="preserve"> De este modo, se observa que existe fundamento y motivo para determinar la notoria incompetencia total de este Organismo para la atención de su solicitud de información pública; razón por la cual, de conformidad con lo previsto en el artículo 167 de la Ley de Transparencia y Acceso a la Información Pública del Estado de México y Municipios, </w:t>
      </w:r>
      <w:r>
        <w:rPr>
          <w:rFonts w:ascii="Palatino Linotype" w:eastAsia="Palatino Linotype" w:hAnsi="Palatino Linotype" w:cs="Palatino Linotype"/>
          <w:b/>
          <w:i/>
          <w:sz w:val="22"/>
          <w:szCs w:val="22"/>
        </w:rPr>
        <w:t xml:space="preserve">me permito orientarle a efecto de que en caso de </w:t>
      </w:r>
      <w:r>
        <w:rPr>
          <w:rFonts w:ascii="Palatino Linotype" w:eastAsia="Palatino Linotype" w:hAnsi="Palatino Linotype" w:cs="Palatino Linotype"/>
          <w:b/>
          <w:i/>
          <w:sz w:val="22"/>
          <w:szCs w:val="22"/>
        </w:rPr>
        <w:lastRenderedPageBreak/>
        <w:t xml:space="preserve">estimarlo conveniente, pudiera usted presentar su solicitud de información ante los siguientes sujetos obligados, quienes pudieran contar con información relativa a su amable solicitud: </w:t>
      </w:r>
      <w:r>
        <w:rPr>
          <w:rFonts w:ascii="Palatino Linotype" w:eastAsia="Palatino Linotype" w:hAnsi="Palatino Linotype" w:cs="Palatino Linotype"/>
          <w:b/>
          <w:i/>
          <w:sz w:val="22"/>
          <w:szCs w:val="22"/>
        </w:rPr>
        <w:t xml:space="preserve"> Secretaría del Medio Ambiente del Gobierno del Estado de México, específicamente con el Lic. Juan José Alva Sánchez, Titular de la Unidad de Información, Planeación, Programación y Evaluación y de la Unidad de Transparencia, con domicilio en Conjunto SEDAGRO, Edificio “C”, sin número, Ex Rancho San Lorenzo, C.P. 52140, Metepec, Estado de México, teléfono: 722 2758994, correo electrónico: medioambiente@itaipem.org.mx, en un horario de atención de 9:00 a 18:00 horas. </w:t>
      </w:r>
      <w:r>
        <w:rPr>
          <w:rFonts w:ascii="Palatino Linotype" w:eastAsia="Palatino Linotype" w:hAnsi="Palatino Linotype" w:cs="Palatino Linotype"/>
          <w:b/>
          <w:i/>
          <w:sz w:val="22"/>
          <w:szCs w:val="22"/>
        </w:rPr>
        <w:t xml:space="preserve"> H. Ayuntamiento de Cuautitlán, específicamente con la C. Sandra Centeno Ledezma, Titular de la Unidad de Transparencia, con domicilio en calle Alfonso Reyes esquina Venustiano Carranza, sin número, Fraccionamiento Santa María, C.P. 54820, Cuautitlán, Estado de México, teléfono: 5526207800, Ext. 144, correo electrónico: transparencia.cuautitlan@gmail.com, en un horario de atención de lunes a viernes de 9:00 a 18:00 horas. </w:t>
      </w:r>
      <w:r>
        <w:rPr>
          <w:rFonts w:ascii="Palatino Linotype" w:eastAsia="Palatino Linotype" w:hAnsi="Palatino Linotype" w:cs="Palatino Linotype"/>
          <w:b/>
          <w:i/>
          <w:sz w:val="22"/>
          <w:szCs w:val="22"/>
        </w:rPr>
        <w:t> H. Ayuntamiento de Cuautitlán Izcalli, específicamente con la Mtra. María Isabel Cisneros Márquez, Titular de la Coordinación de Transparencia, con domicilio en Avenida La Súper, Lote 3, Manzana C44, número 7A-7B, Colonia Centro Urbano, C.P. 54700, Cuautitlán Izcalli, Estado de México, teléfono: 5558689405, correo electrónico: coordinacion.transparencia@cizcalli.gob.mx, en un horario de atención de 9:00 a 18:00 horas.</w:t>
      </w:r>
    </w:p>
    <w:p w14:paraId="0CA0492A" w14:textId="77777777" w:rsidR="00F26D67" w:rsidRDefault="001E2E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C2376C5" w14:textId="77777777" w:rsidR="00F26D67" w:rsidRDefault="001E2E60">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LICENCIADA ELENA SALAZAR GÓMEZ” (Sic)</w:t>
      </w:r>
    </w:p>
    <w:p w14:paraId="77904B57" w14:textId="77777777" w:rsidR="00F26D67" w:rsidRDefault="001E2E60">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denominado </w:t>
      </w:r>
      <w:r>
        <w:rPr>
          <w:rFonts w:ascii="Palatino Linotype" w:eastAsia="Palatino Linotype" w:hAnsi="Palatino Linotype" w:cs="Palatino Linotype"/>
          <w:i/>
        </w:rPr>
        <w:t>“</w:t>
      </w:r>
      <w:r>
        <w:rPr>
          <w:rFonts w:ascii="Palatino Linotype" w:eastAsia="Palatino Linotype" w:hAnsi="Palatino Linotype" w:cs="Palatino Linotype"/>
          <w:b/>
          <w:i/>
        </w:rPr>
        <w:t xml:space="preserve">SAIMEX 14 - 3. Respuesta para el solicitante.pdf”, </w:t>
      </w:r>
      <w:r>
        <w:rPr>
          <w:rFonts w:ascii="Palatino Linotype" w:eastAsia="Palatino Linotype" w:hAnsi="Palatino Linotype" w:cs="Palatino Linotype"/>
        </w:rPr>
        <w:t xml:space="preserve">el cual consta de dos fojas y medularmente se aprecia que medularmente declara la incompetencia para atender la solicitud, ello en los siguientes términos: </w:t>
      </w:r>
    </w:p>
    <w:p w14:paraId="75A73878" w14:textId="212459A1" w:rsidR="00F26D67" w:rsidRDefault="00E448A5">
      <w:pPr>
        <w:spacing w:before="240" w:after="240" w:line="360" w:lineRule="auto"/>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2FBA475B" wp14:editId="0435DB22">
            <wp:extent cx="5153025" cy="6000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6000750"/>
                    </a:xfrm>
                    <a:prstGeom prst="rect">
                      <a:avLst/>
                    </a:prstGeom>
                    <a:noFill/>
                    <a:ln>
                      <a:noFill/>
                    </a:ln>
                  </pic:spPr>
                </pic:pic>
              </a:graphicData>
            </a:graphic>
          </wp:inline>
        </w:drawing>
      </w:r>
      <w:bookmarkStart w:id="0" w:name="_GoBack"/>
      <w:bookmarkEnd w:id="0"/>
    </w:p>
    <w:p w14:paraId="2B2E5B24" w14:textId="77777777" w:rsidR="00F26D67" w:rsidRDefault="001E2E60">
      <w:pPr>
        <w:spacing w:before="240" w:after="240" w:line="360"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3831EE06" wp14:editId="6E852010">
            <wp:extent cx="5486400" cy="5133975"/>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86400" cy="5133975"/>
                    </a:xfrm>
                    <a:prstGeom prst="rect">
                      <a:avLst/>
                    </a:prstGeom>
                    <a:ln/>
                  </pic:spPr>
                </pic:pic>
              </a:graphicData>
            </a:graphic>
          </wp:inline>
        </w:drawing>
      </w:r>
    </w:p>
    <w:p w14:paraId="2C6B3E2F" w14:textId="77777777" w:rsidR="00F26D67" w:rsidRDefault="001E2E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Pr>
          <w:rFonts w:ascii="Palatino Linotype" w:eastAsia="Palatino Linotype" w:hAnsi="Palatino Linotype" w:cs="Palatino Linotype"/>
          <w:b/>
        </w:rPr>
        <w:t>diecisiete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293D5D34" w14:textId="77777777" w:rsidR="00F26D67" w:rsidRDefault="00F26D67">
      <w:pPr>
        <w:spacing w:before="240" w:after="240" w:line="360" w:lineRule="auto"/>
        <w:ind w:right="49"/>
        <w:jc w:val="both"/>
        <w:rPr>
          <w:rFonts w:ascii="Palatino Linotype" w:eastAsia="Palatino Linotype" w:hAnsi="Palatino Linotype" w:cs="Palatino Linotype"/>
        </w:rPr>
      </w:pPr>
    </w:p>
    <w:p w14:paraId="322D5C59" w14:textId="77777777" w:rsidR="00F26D67" w:rsidRDefault="001E2E60">
      <w:pPr>
        <w:numPr>
          <w:ilvl w:val="0"/>
          <w:numId w:val="9"/>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Acto impugnado: </w:t>
      </w:r>
    </w:p>
    <w:p w14:paraId="113C8E9D" w14:textId="77777777" w:rsidR="00F26D67" w:rsidRDefault="001E2E60">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se entrego la respuesta requerida” (Sic)</w:t>
      </w:r>
    </w:p>
    <w:p w14:paraId="5B37CD10" w14:textId="77777777" w:rsidR="00F26D67" w:rsidRDefault="00F26D67">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14:paraId="06C2C937" w14:textId="77777777" w:rsidR="00F26D67" w:rsidRDefault="001E2E60">
      <w:pPr>
        <w:numPr>
          <w:ilvl w:val="0"/>
          <w:numId w:val="9"/>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79ADF3C1" w14:textId="77777777" w:rsidR="00F26D67" w:rsidRDefault="00F26D67">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14:paraId="216D3CD5" w14:textId="77777777" w:rsidR="00F26D67" w:rsidRDefault="001E2E60">
      <w:pPr>
        <w:pBdr>
          <w:top w:val="nil"/>
          <w:left w:val="nil"/>
          <w:bottom w:val="nil"/>
          <w:right w:val="nil"/>
          <w:between w:val="nil"/>
        </w:pBdr>
        <w:tabs>
          <w:tab w:val="left" w:pos="567"/>
        </w:tabs>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se entrego la respuesta requerida” (Sic)</w:t>
      </w:r>
    </w:p>
    <w:p w14:paraId="76C38BD2" w14:textId="77777777" w:rsidR="00F26D67" w:rsidRDefault="00F26D67">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14:paraId="46D7EC54" w14:textId="77777777" w:rsidR="00F26D67" w:rsidRDefault="001E2E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649221DD" w14:textId="77777777" w:rsidR="00F26D67" w:rsidRDefault="001E2E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veintitrés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552A02D6" w14:textId="77777777" w:rsidR="00F26D67" w:rsidRDefault="001E2E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uno de abril de dos mil veintidós </w:t>
      </w:r>
      <w:r>
        <w:rPr>
          <w:rFonts w:ascii="Palatino Linotype" w:eastAsia="Palatino Linotype" w:hAnsi="Palatino Linotype" w:cs="Palatino Linotype"/>
        </w:rPr>
        <w:t xml:space="preserve">mediante los documentos electrónicos </w:t>
      </w:r>
      <w:r>
        <w:rPr>
          <w:rFonts w:ascii="Palatino Linotype" w:eastAsia="Palatino Linotype" w:hAnsi="Palatino Linotype" w:cs="Palatino Linotype"/>
          <w:b/>
          <w:i/>
        </w:rPr>
        <w:t>“SAIMEX 14 - 5. RR 04039 - Informe Justificado.pdf”</w:t>
      </w:r>
      <w:r>
        <w:rPr>
          <w:rFonts w:ascii="Palatino Linotype" w:eastAsia="Palatino Linotype" w:hAnsi="Palatino Linotype" w:cs="Palatino Linotype"/>
        </w:rPr>
        <w:t xml:space="preserve">, mismos que se describen a continuación: </w:t>
      </w:r>
    </w:p>
    <w:p w14:paraId="47BBA6A1" w14:textId="77777777" w:rsidR="00F26D67" w:rsidRDefault="001E2E60">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“SAIMEX 14 - 5. RR 04039 - Informe Justificado.pdf”: </w:t>
      </w:r>
      <w:r>
        <w:rPr>
          <w:rFonts w:ascii="Palatino Linotype" w:eastAsia="Palatino Linotype" w:hAnsi="Palatino Linotype" w:cs="Palatino Linotype"/>
        </w:rPr>
        <w:t xml:space="preserve">Documento de </w:t>
      </w:r>
      <w:r>
        <w:rPr>
          <w:rFonts w:ascii="Palatino Linotype" w:eastAsia="Palatino Linotype" w:hAnsi="Palatino Linotype" w:cs="Palatino Linotype"/>
        </w:rPr>
        <w:lastRenderedPageBreak/>
        <w:t xml:space="preserve">veintiocho fojas, mediante 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amplia los argumentos para declarar su incompetencia para atender la solicitud de información, se inserta la primera foja a manera de ilustración. </w:t>
      </w:r>
    </w:p>
    <w:p w14:paraId="04F454FE" w14:textId="77777777" w:rsidR="00F26D67" w:rsidRDefault="001E2E60">
      <w:pPr>
        <w:widowControl w:val="0"/>
        <w:spacing w:before="240" w:after="240" w:line="360" w:lineRule="auto"/>
        <w:ind w:left="567" w:right="851"/>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42BF562" wp14:editId="257175EA">
            <wp:extent cx="4264904" cy="5212661"/>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264904" cy="5212661"/>
                    </a:xfrm>
                    <a:prstGeom prst="rect">
                      <a:avLst/>
                    </a:prstGeom>
                    <a:ln/>
                  </pic:spPr>
                </pic:pic>
              </a:graphicData>
            </a:graphic>
          </wp:inline>
        </w:drawing>
      </w:r>
    </w:p>
    <w:p w14:paraId="2C6D5A55" w14:textId="77777777" w:rsidR="00F26D67" w:rsidRDefault="001E2E60">
      <w:pPr>
        <w:spacing w:before="240" w:after="240" w:line="360" w:lineRule="auto"/>
        <w:ind w:right="49"/>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 xml:space="preserve">Es de señalar que esta documentación se puso a la vista de la particular mediante acuerdo emitido por la Comisionada Ponente, en fecha </w:t>
      </w:r>
      <w:r>
        <w:rPr>
          <w:rFonts w:ascii="Palatino Linotype" w:eastAsia="Palatino Linotype" w:hAnsi="Palatino Linotype" w:cs="Palatino Linotype"/>
          <w:b/>
        </w:rPr>
        <w:t xml:space="preserve">veintidós de junio de dos </w:t>
      </w:r>
      <w:r>
        <w:rPr>
          <w:rFonts w:ascii="Palatino Linotype" w:eastAsia="Palatino Linotype" w:hAnsi="Palatino Linotype" w:cs="Palatino Linotype"/>
          <w:b/>
        </w:rPr>
        <w:lastRenderedPageBreak/>
        <w:t>mil veintidós</w:t>
      </w:r>
      <w:r>
        <w:rPr>
          <w:rFonts w:ascii="Palatino Linotype" w:eastAsia="Palatino Linotype" w:hAnsi="Palatino Linotype" w:cs="Palatino Linotype"/>
        </w:rPr>
        <w:t>, asimismo por cuanto hace a la parte Recurrente, se tiene que fue omiso en presentar manifestaciones, pruebas y/o alegatos en la etapa procedimental previamente reconocida en nuestra Ley de Transparencia, por lo cual se tiene por precluido su derecho.</w:t>
      </w:r>
    </w:p>
    <w:p w14:paraId="7A2F4259" w14:textId="77777777" w:rsidR="00F26D67" w:rsidRDefault="001E2E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CC54629" wp14:editId="0721568F">
            <wp:extent cx="5486400" cy="14097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86400" cy="1409700"/>
                    </a:xfrm>
                    <a:prstGeom prst="rect">
                      <a:avLst/>
                    </a:prstGeom>
                    <a:ln/>
                  </pic:spPr>
                </pic:pic>
              </a:graphicData>
            </a:graphic>
          </wp:inline>
        </w:drawing>
      </w:r>
    </w:p>
    <w:p w14:paraId="02113783"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veintidós de junio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98B54B5"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13DA5D5"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550FB372"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63F8CD"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544CA8E3"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F7F332"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123979C4"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011B4F"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3F818E00" w14:textId="77777777" w:rsidR="00550686" w:rsidRPr="00550686" w:rsidRDefault="00550686" w:rsidP="00550686">
      <w:pPr>
        <w:spacing w:line="360" w:lineRule="auto"/>
        <w:jc w:val="both"/>
        <w:rPr>
          <w:rFonts w:ascii="Palatino Linotype" w:eastAsia="Palatino Linotype" w:hAnsi="Palatino Linotype" w:cs="Palatino Linotype"/>
          <w:strike/>
          <w:color w:val="FF0000"/>
          <w:lang w:eastAsia="es-ES"/>
        </w:rPr>
      </w:pPr>
      <w:r w:rsidRPr="00550686">
        <w:rPr>
          <w:rFonts w:ascii="Palatino Linotype" w:eastAsia="Palatino Linotype" w:hAnsi="Palatino Linotype" w:cs="Palatino Linotype"/>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683169D8"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4AB66720" w14:textId="77777777" w:rsidR="00550686" w:rsidRPr="00550686" w:rsidRDefault="00550686" w:rsidP="00550686">
      <w:pPr>
        <w:numPr>
          <w:ilvl w:val="0"/>
          <w:numId w:val="11"/>
        </w:num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lastRenderedPageBreak/>
        <w:t xml:space="preserve">Complejidad del Asunto: La complejidad de la prueba, la pluralidad de sujetos procesales, el tiempo transcurrido, las características y contexto del recurso. </w:t>
      </w:r>
    </w:p>
    <w:p w14:paraId="529F006E" w14:textId="77777777" w:rsidR="00550686" w:rsidRPr="00550686" w:rsidRDefault="00550686" w:rsidP="00550686">
      <w:pPr>
        <w:spacing w:line="360" w:lineRule="auto"/>
        <w:ind w:left="927"/>
        <w:jc w:val="both"/>
        <w:rPr>
          <w:rFonts w:ascii="Palatino Linotype" w:eastAsia="Palatino Linotype" w:hAnsi="Palatino Linotype" w:cs="Palatino Linotype"/>
          <w:lang w:eastAsia="es-ES"/>
        </w:rPr>
      </w:pPr>
    </w:p>
    <w:p w14:paraId="38E05294" w14:textId="77777777" w:rsidR="00550686" w:rsidRPr="00550686" w:rsidRDefault="00550686" w:rsidP="00550686">
      <w:pPr>
        <w:numPr>
          <w:ilvl w:val="0"/>
          <w:numId w:val="11"/>
        </w:num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Actividad Procesal del interesado. Acciones u omisiones del interesado.</w:t>
      </w:r>
    </w:p>
    <w:p w14:paraId="10CCD0B5"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1C6F7A89" w14:textId="77777777" w:rsidR="00550686" w:rsidRPr="00550686" w:rsidRDefault="00550686" w:rsidP="00550686">
      <w:pPr>
        <w:numPr>
          <w:ilvl w:val="0"/>
          <w:numId w:val="11"/>
        </w:num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14:paraId="7BBC97E2" w14:textId="77777777" w:rsidR="00550686" w:rsidRPr="00550686" w:rsidRDefault="00550686" w:rsidP="00550686">
      <w:pPr>
        <w:spacing w:line="360" w:lineRule="auto"/>
        <w:ind w:left="708"/>
        <w:rPr>
          <w:rFonts w:ascii="Palatino Linotype" w:eastAsia="Palatino Linotype" w:hAnsi="Palatino Linotype" w:cs="Palatino Linotype"/>
          <w:lang w:eastAsia="es-ES"/>
        </w:rPr>
      </w:pPr>
    </w:p>
    <w:p w14:paraId="0D1BA933" w14:textId="77777777" w:rsidR="00550686" w:rsidRPr="00550686" w:rsidRDefault="00550686" w:rsidP="00550686">
      <w:pPr>
        <w:spacing w:line="360" w:lineRule="auto"/>
        <w:ind w:left="567"/>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d) La afectación generada en la situación jurídica de la persona involucrada en el proceso: Violación a sus derechos humanos.</w:t>
      </w:r>
    </w:p>
    <w:p w14:paraId="7936B2CF"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4276B2A0"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AF6EAD"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0B35D8CA" w14:textId="77777777" w:rsidR="00550686" w:rsidRPr="00550686" w:rsidRDefault="00550686" w:rsidP="00550686">
      <w:pPr>
        <w:spacing w:line="360" w:lineRule="auto"/>
        <w:jc w:val="both"/>
        <w:rPr>
          <w:rFonts w:ascii="Palatino Linotype" w:eastAsia="Palatino Linotype" w:hAnsi="Palatino Linotype" w:cs="Palatino Linotype"/>
          <w:b/>
          <w:lang w:eastAsia="es-ES"/>
        </w:rPr>
      </w:pPr>
      <w:r w:rsidRPr="00550686">
        <w:rPr>
          <w:rFonts w:ascii="Palatino Linotype" w:eastAsia="Palatino Linotype" w:hAnsi="Palatino Linotype" w:cs="Palatino Linotype"/>
          <w:lang w:eastAsia="es-ES"/>
        </w:rPr>
        <w:t xml:space="preserve">Argumento que encuentra sustento en la jurisprudencia P./J. 32/92 emitida por el Pleno de la Suprema Corte de Justicia de la Nación de rubro </w:t>
      </w:r>
      <w:r w:rsidRPr="00550686">
        <w:rPr>
          <w:rFonts w:ascii="Palatino Linotype" w:eastAsia="Palatino Linotype" w:hAnsi="Palatino Linotype" w:cs="Palatino Linotype"/>
          <w:i/>
          <w:lang w:eastAsia="es-ES"/>
        </w:rPr>
        <w:t xml:space="preserve">“TÉRMINOS PROCESALES. PARA DETERMINAR SI UN FUNCIONARIO JUDICIAL ACTUÓ INDEBIDAMENTE POR NO RESPETARLOS SE DEBE ATENDER AL </w:t>
      </w:r>
      <w:r w:rsidRPr="00550686">
        <w:rPr>
          <w:rFonts w:ascii="Palatino Linotype" w:eastAsia="Palatino Linotype" w:hAnsi="Palatino Linotype" w:cs="Palatino Linotype"/>
          <w:i/>
          <w:lang w:eastAsia="es-ES"/>
        </w:rPr>
        <w:lastRenderedPageBreak/>
        <w:t>PRESUPUESTO QUE CONSIDERÓ EL LEGISLADOR AL FIJARLOS Y LAS CARACTERÍSTICAS DEL CASO.”</w:t>
      </w:r>
      <w:r w:rsidRPr="00550686">
        <w:rPr>
          <w:rFonts w:ascii="Palatino Linotype" w:eastAsia="Palatino Linotype" w:hAnsi="Palatino Linotype" w:cs="Palatino Linotype"/>
          <w:lang w:eastAsia="es-ES"/>
        </w:rPr>
        <w:t>, visible en la Gaceta del Seminario Judicial de la Federación con el registro digital 205635.</w:t>
      </w:r>
    </w:p>
    <w:p w14:paraId="2BCA6D1D"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0FC8C010"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7CE714"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09B9A5C3"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14:paraId="3218E5DC"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0036EF5C"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 xml:space="preserve"> </w:t>
      </w:r>
      <w:r w:rsidRPr="00550686">
        <w:rPr>
          <w:rFonts w:ascii="Palatino Linotype" w:eastAsia="Palatino Linotype" w:hAnsi="Palatino Linotype" w:cs="Palatino Linotype"/>
          <w:i/>
          <w:lang w:eastAsia="es-ES"/>
        </w:rPr>
        <w:t>“PLAZO RAZONABLE PARA RESOLVER. DIMENSIÓN Y EFECTOS DE ESTE CONCEPTO CUANDO SE ADUCE EXCESIVA CARGA DE TRABAJO.”</w:t>
      </w:r>
      <w:r w:rsidRPr="00550686">
        <w:rPr>
          <w:rFonts w:ascii="Palatino Linotype" w:eastAsia="Palatino Linotype" w:hAnsi="Palatino Linotype" w:cs="Palatino Linotype"/>
          <w:lang w:eastAsia="es-ES"/>
        </w:rPr>
        <w:t xml:space="preserve"> consultable en el Seminario Judicial de la Federación y su gaceta, con el registro digital 2002351.</w:t>
      </w:r>
    </w:p>
    <w:p w14:paraId="56894602" w14:textId="77777777" w:rsidR="00550686" w:rsidRPr="00550686" w:rsidRDefault="00550686" w:rsidP="00550686">
      <w:pPr>
        <w:spacing w:line="360" w:lineRule="auto"/>
        <w:jc w:val="both"/>
        <w:rPr>
          <w:rFonts w:ascii="Palatino Linotype" w:eastAsia="Palatino Linotype" w:hAnsi="Palatino Linotype" w:cs="Palatino Linotype"/>
          <w:b/>
          <w:lang w:eastAsia="es-ES"/>
        </w:rPr>
      </w:pPr>
    </w:p>
    <w:p w14:paraId="6B4F8D4C"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550686">
        <w:rPr>
          <w:rFonts w:ascii="Palatino Linotype" w:eastAsia="Palatino Linotype" w:hAnsi="Palatino Linotype" w:cs="Palatino Linotype"/>
          <w:lang w:eastAsia="es-ES"/>
        </w:rPr>
        <w:t>, visible en el Seminario Judicial de la Federación y su gaceta, con el registro digital 2002350.</w:t>
      </w:r>
    </w:p>
    <w:p w14:paraId="65EC8B47" w14:textId="77777777" w:rsidR="00550686" w:rsidRPr="00550686" w:rsidRDefault="00550686" w:rsidP="00550686">
      <w:pPr>
        <w:spacing w:line="360" w:lineRule="auto"/>
        <w:jc w:val="both"/>
        <w:rPr>
          <w:rFonts w:ascii="Palatino Linotype" w:eastAsia="Palatino Linotype" w:hAnsi="Palatino Linotype" w:cs="Palatino Linotype"/>
          <w:lang w:eastAsia="es-ES"/>
        </w:rPr>
      </w:pPr>
    </w:p>
    <w:p w14:paraId="3EA80792" w14:textId="77777777" w:rsidR="00550686" w:rsidRPr="00550686" w:rsidRDefault="00550686" w:rsidP="00550686">
      <w:pPr>
        <w:spacing w:line="360" w:lineRule="auto"/>
        <w:jc w:val="both"/>
        <w:rPr>
          <w:rFonts w:ascii="Palatino Linotype" w:eastAsia="Palatino Linotype" w:hAnsi="Palatino Linotype" w:cs="Palatino Linotype"/>
          <w:lang w:eastAsia="es-ES"/>
        </w:rPr>
      </w:pPr>
      <w:r w:rsidRPr="00550686">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14:paraId="4F3751A4" w14:textId="77777777" w:rsidR="00550686" w:rsidRPr="00550686" w:rsidRDefault="00550686" w:rsidP="00550686">
      <w:pPr>
        <w:rPr>
          <w:lang w:eastAsia="es-ES"/>
        </w:rPr>
      </w:pPr>
    </w:p>
    <w:p w14:paraId="1843E61C"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veintinueve</w:t>
      </w:r>
      <w:r>
        <w:rPr>
          <w:rFonts w:ascii="Palatino Linotype" w:eastAsia="Palatino Linotype" w:hAnsi="Palatino Linotype" w:cs="Palatino Linotype"/>
          <w:b/>
          <w:color w:val="000000"/>
        </w:rPr>
        <w:t xml:space="preser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7FDF785D"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B1990D4" w14:textId="77777777" w:rsidR="00550686" w:rsidRDefault="00550686">
      <w:pPr>
        <w:spacing w:before="240" w:after="240" w:line="360" w:lineRule="auto"/>
        <w:jc w:val="both"/>
        <w:rPr>
          <w:rFonts w:ascii="Palatino Linotype" w:eastAsia="Palatino Linotype" w:hAnsi="Palatino Linotype" w:cs="Palatino Linotype"/>
        </w:rPr>
      </w:pPr>
    </w:p>
    <w:p w14:paraId="5ED5F765" w14:textId="77777777" w:rsidR="00550686" w:rsidRDefault="00550686">
      <w:pPr>
        <w:spacing w:before="240" w:after="240" w:line="360" w:lineRule="auto"/>
        <w:jc w:val="both"/>
        <w:rPr>
          <w:rFonts w:ascii="Palatino Linotype" w:eastAsia="Palatino Linotype" w:hAnsi="Palatino Linotype" w:cs="Palatino Linotype"/>
        </w:rPr>
      </w:pPr>
    </w:p>
    <w:p w14:paraId="5180CA7D" w14:textId="77777777" w:rsidR="00F26D67" w:rsidRDefault="001E2E60">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CONSIDERANDO</w:t>
      </w:r>
    </w:p>
    <w:p w14:paraId="54E4ED5C" w14:textId="77777777" w:rsidR="00F26D67" w:rsidRDefault="001E2E60">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72B4FE"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veinticuatro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diecisiete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cuarto día hábil</w:t>
      </w:r>
      <w:r>
        <w:rPr>
          <w:rFonts w:ascii="Palatino Linotype" w:eastAsia="Palatino Linotype" w:hAnsi="Palatino Linotype" w:cs="Palatino Linotype"/>
        </w:rPr>
        <w:t xml:space="preserve"> en el que tuvo conocimiento de la respuesta. </w:t>
      </w:r>
    </w:p>
    <w:p w14:paraId="6496548E" w14:textId="77777777" w:rsidR="00F26D67" w:rsidRDefault="001E2E60">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636B528"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fracciones I y IV del ordenamiento legal citado, que a la letra dice: </w:t>
      </w:r>
    </w:p>
    <w:p w14:paraId="2BD0BD1D" w14:textId="77777777" w:rsidR="00F26D67" w:rsidRDefault="001E2E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1F3C580" w14:textId="77777777" w:rsidR="00F26D67" w:rsidRDefault="001E2E6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7FEC694E" w14:textId="77777777" w:rsidR="00F26D67" w:rsidRDefault="001E2E6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B90E32E" w14:textId="77777777" w:rsidR="00F26D67" w:rsidRDefault="001E2E6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La declaración de incompetencia por el sujeto obligado;”</w:t>
      </w:r>
    </w:p>
    <w:p w14:paraId="70682045" w14:textId="77777777" w:rsidR="00F26D67" w:rsidRDefault="001E2E60">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65AAD89F"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rPr>
        <w:lastRenderedPageBreak/>
        <w:t>parte Recurrente, o en su defecto, en caso de ser procedente, ordenar la entrega de información oportuna.</w:t>
      </w:r>
    </w:p>
    <w:p w14:paraId="664538C8" w14:textId="77777777" w:rsidR="00F26D67" w:rsidRDefault="001E2E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A03583" w14:textId="77777777" w:rsidR="00F26D67" w:rsidRDefault="001E2E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531A8CD" w14:textId="77777777" w:rsidR="00F26D67" w:rsidRDefault="001E2E6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D257B84" w14:textId="77777777" w:rsidR="00F26D67" w:rsidRDefault="001E2E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20055E4" w14:textId="77777777" w:rsidR="00F26D67" w:rsidRDefault="001E2E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61EBC49F" w14:textId="77777777" w:rsidR="00F26D67" w:rsidRDefault="001E2E6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CE2FBD4" w14:textId="77777777" w:rsidR="00F26D67" w:rsidRDefault="001E2E6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E3CC5C"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30239ED1"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909702" w14:textId="77777777" w:rsidR="00F26D67" w:rsidRDefault="001E2E60">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2FE14D4"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6871A81C"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B4B229F"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7C268C"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1DF9B36" w14:textId="77777777" w:rsidR="00F26D67" w:rsidRDefault="001E2E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A520BA1"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895155B" w14:textId="77777777" w:rsidR="00F26D67" w:rsidRDefault="001E2E6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A6103D2" w14:textId="77777777" w:rsidR="00F26D67" w:rsidRDefault="001E2E60">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6DC7F3C" w14:textId="77777777" w:rsidR="00F26D67" w:rsidRDefault="001E2E6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409E282"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A437A88" w14:textId="77777777" w:rsidR="00F26D67" w:rsidRDefault="001E2E6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C07D10" w14:textId="77777777" w:rsidR="00F26D67" w:rsidRDefault="001E2E6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88A977E" w14:textId="77777777" w:rsidR="00F26D67" w:rsidRDefault="001E2E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color w:val="000000"/>
        </w:rPr>
        <w:lastRenderedPageBreak/>
        <w:t>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57E29DF4" w14:textId="77777777" w:rsidR="00F26D67" w:rsidRDefault="001E2E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BD28A09" w14:textId="77777777" w:rsidR="00F26D67" w:rsidRDefault="001E2E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4706406E" w14:textId="77777777" w:rsidR="00F26D67" w:rsidRDefault="001E2E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5E28889" w14:textId="77777777" w:rsidR="00F26D67" w:rsidRDefault="001E2E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9CE208" w14:textId="77777777" w:rsidR="00F26D67" w:rsidRDefault="001E2E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984D30"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4D5DCB7" w14:textId="77777777" w:rsidR="00F26D67" w:rsidRDefault="001E2E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B812DC0" w14:textId="77777777" w:rsidR="00F26D67" w:rsidRDefault="001E2E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C4ED5A" w14:textId="77777777" w:rsidR="00F26D67" w:rsidRDefault="001E2E60">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Pr>
          <w:rFonts w:ascii="Palatino Linotype" w:eastAsia="Palatino Linotype" w:hAnsi="Palatino Linotype" w:cs="Palatino Linotype"/>
          <w:i/>
          <w:color w:val="000000"/>
          <w:sz w:val="22"/>
          <w:szCs w:val="22"/>
        </w:rPr>
        <w:lastRenderedPageBreak/>
        <w:t>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3ED25DED"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6A2AD6" w14:textId="77777777" w:rsidR="00F26D67" w:rsidRDefault="001E2E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EFA1023" w14:textId="77777777" w:rsidR="00F26D67" w:rsidRDefault="001E2E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49D1A0" w14:textId="77777777" w:rsidR="00F26D67" w:rsidRDefault="001E2E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CFBC8D6" w14:textId="77777777" w:rsidR="00F26D67" w:rsidRDefault="001E2E60">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325467D3" w14:textId="77777777" w:rsidR="00F26D67" w:rsidRDefault="001E2E60">
      <w:pPr>
        <w:numPr>
          <w:ilvl w:val="0"/>
          <w:numId w:val="3"/>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6B1FD853" w14:textId="77777777" w:rsidR="00F26D67" w:rsidRDefault="001E2E60">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FBADDB7"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7ED88F2B"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54F94EB8" w14:textId="77777777" w:rsidR="00F26D67" w:rsidRDefault="001E2E60">
      <w:pPr>
        <w:numPr>
          <w:ilvl w:val="0"/>
          <w:numId w:val="4"/>
        </w:numPr>
        <w:pBdr>
          <w:top w:val="nil"/>
          <w:left w:val="nil"/>
          <w:bottom w:val="nil"/>
          <w:right w:val="nil"/>
          <w:between w:val="nil"/>
        </w:pBdr>
        <w:spacing w:before="240" w:after="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El acuerdo y/o convenio firmado por los distintos órdenes de gobierno para el periodo 2022-2024, 2019-2021, 2016-2018, 2013-2015, 2010-2012, 2007-2009, 2004-2006, 2001-2003 para realizar los trabajos de retiro y extinción de los árboles, las palmeras, el follaje, pasto y arbustos del camellón situado en calzada de Guadalupe de la </w:t>
      </w:r>
      <w:r>
        <w:rPr>
          <w:rFonts w:ascii="Palatino Linotype" w:eastAsia="Palatino Linotype" w:hAnsi="Palatino Linotype" w:cs="Palatino Linotype"/>
          <w:b/>
          <w:color w:val="000000"/>
        </w:rPr>
        <w:lastRenderedPageBreak/>
        <w:t>colindancia del municipio de Cuautitlán y Cuautitlán Izcalli, en la colonia El Cerrito/ Tlayacac.</w:t>
      </w:r>
    </w:p>
    <w:p w14:paraId="7B4DCA79" w14:textId="77777777" w:rsidR="00F26D67" w:rsidRDefault="001E2E60">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en respuesta que </w:t>
      </w:r>
      <w:r>
        <w:rPr>
          <w:rFonts w:ascii="Palatino Linotype" w:eastAsia="Palatino Linotype" w:hAnsi="Palatino Linotype" w:cs="Palatino Linotype"/>
          <w:b/>
          <w:u w:val="single"/>
        </w:rPr>
        <w:t xml:space="preserve">dicha información no corresponde a las atribuciones que son competencia de la Procuraduría de Protección al Ambiente del Estado de México (PROPAEM), </w:t>
      </w:r>
      <w:r>
        <w:rPr>
          <w:rFonts w:ascii="Palatino Linotype" w:eastAsia="Palatino Linotype" w:hAnsi="Palatino Linotype" w:cs="Palatino Linotype"/>
        </w:rPr>
        <w:t xml:space="preserve">mismas que se encuentran contenidas en el artículo 4 del Decreto del Ejecutivo del Estado por el que se transforma el Órgano Descentralizado, publicado en el Periódico Oficial “Gaceta de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 Gobierno” el 16 de diciembre de 2011, orientando a la particular para que presente su solicitud ante los siguientes sujetos obligados: </w:t>
      </w:r>
    </w:p>
    <w:p w14:paraId="725D77CB" w14:textId="77777777" w:rsidR="0051266C" w:rsidRDefault="0051266C">
      <w:pPr>
        <w:tabs>
          <w:tab w:val="left" w:pos="7513"/>
        </w:tabs>
        <w:spacing w:line="360" w:lineRule="auto"/>
        <w:ind w:right="49"/>
        <w:jc w:val="both"/>
        <w:rPr>
          <w:rFonts w:ascii="Palatino Linotype" w:eastAsia="Palatino Linotype" w:hAnsi="Palatino Linotype" w:cs="Palatino Linotype"/>
        </w:rPr>
      </w:pPr>
    </w:p>
    <w:p w14:paraId="06C9A00F" w14:textId="77777777" w:rsidR="0051266C" w:rsidRPr="0051266C" w:rsidRDefault="0051266C" w:rsidP="009728C0">
      <w:pPr>
        <w:tabs>
          <w:tab w:val="left" w:pos="7513"/>
        </w:tabs>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51266C">
        <w:rPr>
          <w:rFonts w:ascii="Palatino Linotype" w:eastAsia="Palatino Linotype" w:hAnsi="Palatino Linotype" w:cs="Palatino Linotype"/>
          <w:i/>
          <w:sz w:val="22"/>
        </w:rPr>
        <w:t xml:space="preserve">Una vez analizado el contenido de su amable solicitud, resulta importante precisar que este sujeto obligado no cuenta con la información consistente en: el acuerdo y/o convenio firmado por los distintos órdenes de gobierno para el periodo 2022-2024, 2019-2021, 2016-2018, 2013-2015, 2010-2012, 2007-2009, 2004-2006, 2001-2003 para realizar los trabajos de retiro y extinción de los árboles, las palmeras, el follaje, pasto y arbustos del camellón situado en calzada de Guadalupe de la colindancia del municipio de Cuautitlán y Cuautitlán Izcalli, en la colonia El Cerrito/ Tlayacac, que le pudiera ser proporcionada en atención a su requerimiento; esto en virtud de que </w:t>
      </w:r>
      <w:r w:rsidRPr="009728C0">
        <w:rPr>
          <w:rFonts w:ascii="Palatino Linotype" w:eastAsia="Palatino Linotype" w:hAnsi="Palatino Linotype" w:cs="Palatino Linotype"/>
          <w:b/>
          <w:i/>
          <w:sz w:val="22"/>
        </w:rPr>
        <w:t>dicha información no corresponde a las atribuciones que son competencia de la Procuraduría de Protección al Ambiente del Estado de México (PROPAEM)</w:t>
      </w:r>
      <w:r w:rsidRPr="0051266C">
        <w:rPr>
          <w:rFonts w:ascii="Palatino Linotype" w:eastAsia="Palatino Linotype" w:hAnsi="Palatino Linotype" w:cs="Palatino Linotype"/>
          <w:i/>
          <w:sz w:val="22"/>
        </w:rPr>
        <w:t xml:space="preserve">, mismas que se encuentran contenidas en el artículo 4 del Decreto del Ejecutivo del Estado por el que se transforma el Órgano Desconcentrado denominado Procuraduría de Protección al Ambiente del Estado de México, en Organismo Público Descentralizado, publicado en el Periódico </w:t>
      </w:r>
      <w:r w:rsidRPr="0051266C">
        <w:rPr>
          <w:rFonts w:ascii="Palatino Linotype" w:eastAsia="Palatino Linotype" w:hAnsi="Palatino Linotype" w:cs="Palatino Linotype"/>
          <w:i/>
          <w:sz w:val="22"/>
        </w:rPr>
        <w:lastRenderedPageBreak/>
        <w:t xml:space="preserve">Oficial “Gaceta del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del Gobierno” el 16 de diciembre de 2011. De este modo, se observa que existe fundamento y motivo para determinar la notoria incompetencia total de este Organismo para la atención de su solicitud de información pública; razón por la cual, de conformidad con lo previsto en el artículo 167 de la Ley de Transparencia y Acceso a la Información Pública del Estado de México y Municipios, </w:t>
      </w:r>
      <w:r w:rsidRPr="0051266C">
        <w:rPr>
          <w:rFonts w:ascii="Palatino Linotype" w:eastAsia="Palatino Linotype" w:hAnsi="Palatino Linotype" w:cs="Palatino Linotype"/>
          <w:b/>
          <w:i/>
          <w:sz w:val="22"/>
        </w:rPr>
        <w:t>me permito orientarle a efecto de que en caso de estimarlo conveniente, pudiera usted presentar su solicitud de información ante los siguientes sujetos obligados, quienes pudieran contar con información relativa a su amable solicitud</w:t>
      </w:r>
      <w:r w:rsidRPr="0051266C">
        <w:rPr>
          <w:rFonts w:ascii="Palatino Linotype" w:eastAsia="Palatino Linotype" w:hAnsi="Palatino Linotype" w:cs="Palatino Linotype"/>
          <w:i/>
          <w:sz w:val="22"/>
        </w:rPr>
        <w:t xml:space="preserve">: </w:t>
      </w:r>
      <w:r w:rsidRPr="0051266C">
        <w:rPr>
          <w:rFonts w:ascii="Palatino Linotype" w:eastAsia="Palatino Linotype" w:hAnsi="Palatino Linotype" w:cs="Palatino Linotype"/>
          <w:i/>
          <w:sz w:val="22"/>
        </w:rPr>
        <w:t xml:space="preserve"> </w:t>
      </w:r>
      <w:r w:rsidRPr="009728C0">
        <w:rPr>
          <w:rFonts w:ascii="Palatino Linotype" w:eastAsia="Palatino Linotype" w:hAnsi="Palatino Linotype" w:cs="Palatino Linotype"/>
          <w:b/>
          <w:i/>
          <w:sz w:val="22"/>
          <w:u w:val="single"/>
        </w:rPr>
        <w:t>Secretaría del Medio Ambiente del Gobierno del Estado de México</w:t>
      </w:r>
      <w:r w:rsidRPr="0051266C">
        <w:rPr>
          <w:rFonts w:ascii="Palatino Linotype" w:eastAsia="Palatino Linotype" w:hAnsi="Palatino Linotype" w:cs="Palatino Linotype"/>
          <w:i/>
          <w:sz w:val="22"/>
        </w:rPr>
        <w:t xml:space="preserve">, específicamente con el Lic. Juan José Alva Sánchez, Titular de la Unidad de Información, Planeación, Programación y Evaluación y de la Unidad de Transparencia, con domicilio en Conjunto SEDAGRO, Edificio “C”, sin número, Ex Rancho San Lorenzo, C.P. 52140, Metepec, Estado de México, teléfono: 722 2758994, correo electrónico: medioambiente@itaipem.org.mx, en un horario de atención de 9:00 a 18:00 horas. </w:t>
      </w:r>
      <w:r w:rsidRPr="0051266C">
        <w:rPr>
          <w:rFonts w:ascii="Palatino Linotype" w:eastAsia="Palatino Linotype" w:hAnsi="Palatino Linotype" w:cs="Palatino Linotype"/>
          <w:i/>
          <w:sz w:val="22"/>
        </w:rPr>
        <w:t xml:space="preserve"> </w:t>
      </w:r>
      <w:r w:rsidRPr="009728C0">
        <w:rPr>
          <w:rFonts w:ascii="Palatino Linotype" w:eastAsia="Palatino Linotype" w:hAnsi="Palatino Linotype" w:cs="Palatino Linotype"/>
          <w:b/>
          <w:i/>
          <w:sz w:val="22"/>
          <w:u w:val="single"/>
        </w:rPr>
        <w:t>H. Ayuntamiento de Cuautitlán</w:t>
      </w:r>
      <w:r w:rsidRPr="0051266C">
        <w:rPr>
          <w:rFonts w:ascii="Palatino Linotype" w:eastAsia="Palatino Linotype" w:hAnsi="Palatino Linotype" w:cs="Palatino Linotype"/>
          <w:i/>
          <w:sz w:val="22"/>
        </w:rPr>
        <w:t xml:space="preserve">, específicamente con la C. Sandra Centeno Ledezma, Titular de la Unidad de Transparencia, con domicilio en calle Alfonso Reyes esquina Venustiano Carranza, sin número, Fraccionamiento Santa María, C.P. 54820, Cuautitlán, Estado de México, teléfono: 5526207800, Ext. 144, correo electrónico: transparencia.cuautitlan@gmail.com, en un horario de atención de lunes a viernes de 9:00 a 18:00 horas. </w:t>
      </w:r>
      <w:r w:rsidRPr="0051266C">
        <w:rPr>
          <w:rFonts w:ascii="Palatino Linotype" w:eastAsia="Palatino Linotype" w:hAnsi="Palatino Linotype" w:cs="Palatino Linotype"/>
          <w:i/>
          <w:sz w:val="22"/>
        </w:rPr>
        <w:t xml:space="preserve"> </w:t>
      </w:r>
      <w:r w:rsidRPr="009728C0">
        <w:rPr>
          <w:rFonts w:ascii="Palatino Linotype" w:eastAsia="Palatino Linotype" w:hAnsi="Palatino Linotype" w:cs="Palatino Linotype"/>
          <w:b/>
          <w:i/>
          <w:sz w:val="22"/>
          <w:u w:val="single"/>
        </w:rPr>
        <w:t>H. Ayuntamiento de Cuautitlán Izcalli</w:t>
      </w:r>
      <w:r w:rsidRPr="0051266C">
        <w:rPr>
          <w:rFonts w:ascii="Palatino Linotype" w:eastAsia="Palatino Linotype" w:hAnsi="Palatino Linotype" w:cs="Palatino Linotype"/>
          <w:i/>
          <w:sz w:val="22"/>
        </w:rPr>
        <w:t>, específicamente con la Mtra. María Isabel Cisneros Márquez, Titular de la Coordinación de Transparencia, con domicilio en Avenida La Súper, Lote 3, Manzana C44, número 7A-7B, Colonia Centro Urbano, C.P. 54700, Cuautitlán Izcalli, Estado de México, teléfono: 5558689405, correo electrónico: coordinacion.transparencia@cizcalli.gob.mx, en un horario de atención de 9:00 a 18:00 horas.</w:t>
      </w:r>
      <w:r w:rsidR="009728C0">
        <w:rPr>
          <w:rFonts w:ascii="Palatino Linotype" w:eastAsia="Palatino Linotype" w:hAnsi="Palatino Linotype" w:cs="Palatino Linotype"/>
          <w:i/>
          <w:sz w:val="22"/>
        </w:rPr>
        <w:t>” (Énfasis añadido)</w:t>
      </w:r>
    </w:p>
    <w:p w14:paraId="000E15ED" w14:textId="77777777" w:rsidR="001E2E60" w:rsidRPr="009728C0" w:rsidRDefault="001E2E60">
      <w:pPr>
        <w:tabs>
          <w:tab w:val="left" w:pos="7513"/>
        </w:tabs>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b/>
          <w:noProof/>
          <w:u w:val="single"/>
          <w:lang w:val="es-MX"/>
        </w:rPr>
        <w:lastRenderedPageBreak/>
        <w:drawing>
          <wp:inline distT="0" distB="0" distL="0" distR="0" wp14:anchorId="25026040" wp14:editId="673348D8">
            <wp:extent cx="5467350" cy="1943100"/>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2047" b="2856"/>
                    <a:stretch>
                      <a:fillRect/>
                    </a:stretch>
                  </pic:blipFill>
                  <pic:spPr>
                    <a:xfrm>
                      <a:off x="0" y="0"/>
                      <a:ext cx="5467350" cy="1943100"/>
                    </a:xfrm>
                    <a:prstGeom prst="rect">
                      <a:avLst/>
                    </a:prstGeom>
                    <a:ln/>
                  </pic:spPr>
                </pic:pic>
              </a:graphicData>
            </a:graphic>
          </wp:inline>
        </w:drawing>
      </w:r>
    </w:p>
    <w:p w14:paraId="376BDA99" w14:textId="77777777" w:rsidR="00F26D67" w:rsidRDefault="001E2E6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notificación de incompetencia para atender la solicitud, la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“no se entrego la respuesta requerida” (Sic)</w:t>
      </w:r>
    </w:p>
    <w:p w14:paraId="3FADED96"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 xml:space="preserve">“SAIMEX 14 - 5. RR 04039 - Informe Justificado.pdf”, </w:t>
      </w:r>
      <w:r>
        <w:rPr>
          <w:rFonts w:ascii="Palatino Linotype" w:eastAsia="Palatino Linotype" w:hAnsi="Palatino Linotype" w:cs="Palatino Linotype"/>
        </w:rPr>
        <w:t xml:space="preserve">mediante el cual amplió los argumentos de respuesta vertida inicialmente que dio origen a la interposición del recurso de revisión que nos ocupa, expresando medularmente lo siguiente: </w:t>
      </w:r>
    </w:p>
    <w:p w14:paraId="0E8057FB" w14:textId="77777777" w:rsidR="00F26D67" w:rsidRDefault="001E2E6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57E7F41" wp14:editId="50E4B2F5">
            <wp:extent cx="5555378" cy="1391402"/>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555378" cy="1391402"/>
                    </a:xfrm>
                    <a:prstGeom prst="rect">
                      <a:avLst/>
                    </a:prstGeom>
                    <a:ln/>
                  </pic:spPr>
                </pic:pic>
              </a:graphicData>
            </a:graphic>
          </wp:inline>
        </w:drawing>
      </w:r>
    </w:p>
    <w:p w14:paraId="6CBBEC68" w14:textId="77777777" w:rsidR="00F26D67" w:rsidRDefault="001E2E6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0B252BE" wp14:editId="041D38E4">
            <wp:extent cx="5038725" cy="571500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38725" cy="5715000"/>
                    </a:xfrm>
                    <a:prstGeom prst="rect">
                      <a:avLst/>
                    </a:prstGeom>
                    <a:ln/>
                  </pic:spPr>
                </pic:pic>
              </a:graphicData>
            </a:graphic>
          </wp:inline>
        </w:drawing>
      </w:r>
    </w:p>
    <w:p w14:paraId="006942C7" w14:textId="77777777" w:rsidR="00F26D67" w:rsidRDefault="001E2E6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01C2BA9" wp14:editId="03C3F260">
            <wp:extent cx="5133975" cy="534352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133975" cy="5343525"/>
                    </a:xfrm>
                    <a:prstGeom prst="rect">
                      <a:avLst/>
                    </a:prstGeom>
                    <a:ln/>
                  </pic:spPr>
                </pic:pic>
              </a:graphicData>
            </a:graphic>
          </wp:inline>
        </w:drawing>
      </w:r>
    </w:p>
    <w:p w14:paraId="61337C78" w14:textId="77777777" w:rsidR="00F26D67" w:rsidRDefault="001E2E6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F3609A5" wp14:editId="271CBE55">
            <wp:extent cx="5448300" cy="5972175"/>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448300" cy="5972175"/>
                    </a:xfrm>
                    <a:prstGeom prst="rect">
                      <a:avLst/>
                    </a:prstGeom>
                    <a:ln/>
                  </pic:spPr>
                </pic:pic>
              </a:graphicData>
            </a:graphic>
          </wp:inline>
        </w:drawing>
      </w:r>
    </w:p>
    <w:p w14:paraId="0F3AFFEF" w14:textId="77777777" w:rsidR="00F26D67" w:rsidRDefault="001E2E6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4BE8FFC" wp14:editId="6DA66680">
            <wp:extent cx="5124450" cy="3019425"/>
            <wp:effectExtent l="0" t="0" r="0"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r="2181" b="4228"/>
                    <a:stretch>
                      <a:fillRect/>
                    </a:stretch>
                  </pic:blipFill>
                  <pic:spPr>
                    <a:xfrm>
                      <a:off x="0" y="0"/>
                      <a:ext cx="5124450" cy="3019425"/>
                    </a:xfrm>
                    <a:prstGeom prst="rect">
                      <a:avLst/>
                    </a:prstGeom>
                    <a:ln/>
                  </pic:spPr>
                </pic:pic>
              </a:graphicData>
            </a:graphic>
          </wp:inline>
        </w:drawing>
      </w:r>
    </w:p>
    <w:p w14:paraId="65792ABF"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Asimismo, se tiene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7469C0B1"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debe precisarse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ante el cual se formule la solicitud de acceso.</w:t>
      </w:r>
    </w:p>
    <w:p w14:paraId="1812484E"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preciso señalar que los Comités de Transparencia tienen entre sus atribuciones confirmar, modificar o revocar la declaración de incompetencia que realicen los titulares de las unidades administrativas.</w:t>
      </w:r>
    </w:p>
    <w:p w14:paraId="106C9182"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cuando las Unidades de Transparencia determinen la notoria incompetencia por parte de los Sujetos Obligados deberán comunicar al solicitante la misma dentro de los tres días posteriores a la recepción de la solicitud.</w:t>
      </w:r>
    </w:p>
    <w:p w14:paraId="3016F268"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14:paraId="7B5E52E0"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6C9E4612" w14:textId="77777777" w:rsidR="00F26D67" w:rsidRDefault="001E2E60">
      <w:pPr>
        <w:numPr>
          <w:ilvl w:val="0"/>
          <w:numId w:val="7"/>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14:paraId="0EF3138F" w14:textId="77777777" w:rsidR="00F26D67" w:rsidRDefault="00F26D67">
      <w:pPr>
        <w:spacing w:line="360" w:lineRule="auto"/>
        <w:ind w:left="780"/>
        <w:jc w:val="both"/>
        <w:rPr>
          <w:rFonts w:ascii="Palatino Linotype" w:eastAsia="Palatino Linotype" w:hAnsi="Palatino Linotype" w:cs="Palatino Linotype"/>
          <w:color w:val="000000"/>
          <w:sz w:val="22"/>
          <w:szCs w:val="22"/>
        </w:rPr>
      </w:pPr>
    </w:p>
    <w:p w14:paraId="1E420189" w14:textId="77777777" w:rsidR="00F26D67" w:rsidRDefault="001E2E60">
      <w:pPr>
        <w:numPr>
          <w:ilvl w:val="0"/>
          <w:numId w:val="7"/>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14:paraId="65419B2A"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20EA9584" w14:textId="77777777" w:rsidR="00F26D67" w:rsidRDefault="001E2E6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6276BB13"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7FF3A4BC" w14:textId="77777777" w:rsidR="00F26D67" w:rsidRDefault="001E2E60">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“LEGITIMACIÓN DE FUNCIONARIOS PÚBLICOS. LOS TRIBUNALES DE AMPARO, POR ESTAR VINCULADOS CON EL CONCEPTO DE COMPETENCIA A QUE SE REFIERE EL ARTÍCULO 16 CONSTITUCIONAL, NO PUEDEN CONOCER DE AQUÉLLA. </w:t>
      </w:r>
      <w:r>
        <w:rPr>
          <w:rFonts w:ascii="Palatino Linotype" w:eastAsia="Palatino Linotype" w:hAnsi="Palatino Linotype" w:cs="Palatino Linotype"/>
          <w:i/>
          <w:color w:val="000000"/>
          <w:sz w:val="22"/>
          <w:szCs w:val="22"/>
        </w:rPr>
        <w:t>El artículo </w:t>
      </w:r>
      <w:hyperlink r:id="rId21">
        <w:r>
          <w:rPr>
            <w:rFonts w:ascii="Palatino Linotype" w:eastAsia="Palatino Linotype" w:hAnsi="Palatino Linotype" w:cs="Palatino Linotype"/>
            <w:i/>
            <w:color w:val="0000FF"/>
            <w:sz w:val="22"/>
            <w:szCs w:val="22"/>
            <w:u w:val="single"/>
          </w:rPr>
          <w:t>16 constitucional</w:t>
        </w:r>
      </w:hyperlink>
      <w:r>
        <w:rPr>
          <w:rFonts w:ascii="Palatino Linotype" w:eastAsia="Palatino Linotype" w:hAnsi="Palatino Linotype" w:cs="Palatino Linotype"/>
          <w:i/>
          <w:color w:val="000000"/>
          <w:sz w:val="22"/>
          <w:szCs w:val="22"/>
        </w:rPr>
        <w:t xml:space="preserve"> se refiere a la competencia que tienen las autoridades para conocer de determinadas conductas en particular, caso que corresponde a la esfera de atribuciones </w:t>
      </w:r>
      <w:r>
        <w:rPr>
          <w:rFonts w:ascii="Palatino Linotype" w:eastAsia="Palatino Linotype" w:hAnsi="Palatino Linotype" w:cs="Palatino Linotype"/>
          <w:i/>
          <w:color w:val="000000"/>
          <w:sz w:val="22"/>
          <w:szCs w:val="22"/>
        </w:rPr>
        <w:lastRenderedPageBreak/>
        <w:t>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4103C286"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484A5CD4" w14:textId="77777777" w:rsidR="00F26D67" w:rsidRDefault="001E2E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14:paraId="67D81C29"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68BD475B" w14:textId="77777777" w:rsidR="00F26D67" w:rsidRDefault="001E2E60">
      <w:pP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Incompetencia. </w:t>
      </w:r>
      <w:r>
        <w:rPr>
          <w:rFonts w:ascii="Palatino Linotype" w:eastAsia="Palatino Linotype" w:hAnsi="Palatino Linotype" w:cs="Palatino Linotype"/>
          <w:i/>
          <w:color w:val="000000"/>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40674E91" w14:textId="77777777" w:rsidR="00F26D67" w:rsidRDefault="00F26D67">
      <w:pPr>
        <w:spacing w:line="360" w:lineRule="auto"/>
        <w:jc w:val="both"/>
        <w:rPr>
          <w:rFonts w:ascii="Palatino Linotype" w:eastAsia="Palatino Linotype" w:hAnsi="Palatino Linotype" w:cs="Palatino Linotype"/>
          <w:color w:val="000000"/>
          <w:sz w:val="22"/>
          <w:szCs w:val="22"/>
        </w:rPr>
      </w:pPr>
    </w:p>
    <w:p w14:paraId="563DE8B7" w14:textId="77777777" w:rsidR="00F26D67" w:rsidRDefault="001E2E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habría razón por la cual éste deba contar con la información solicitada, en cuyo caso, tendría que orientar al particular para que acuda a la instancia competente.</w:t>
      </w:r>
    </w:p>
    <w:p w14:paraId="20159EBB" w14:textId="77777777" w:rsidR="00F26D67" w:rsidRDefault="00F26D67">
      <w:pPr>
        <w:spacing w:line="360" w:lineRule="auto"/>
        <w:jc w:val="both"/>
        <w:rPr>
          <w:rFonts w:ascii="Palatino Linotype" w:eastAsia="Palatino Linotype" w:hAnsi="Palatino Linotype" w:cs="Palatino Linotype"/>
          <w:color w:val="000000"/>
        </w:rPr>
      </w:pPr>
    </w:p>
    <w:p w14:paraId="78773523" w14:textId="77777777" w:rsidR="00F26D67" w:rsidRDefault="001E2E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103E6B51" w14:textId="77777777" w:rsidR="00F26D67" w:rsidRDefault="00F26D67">
      <w:pPr>
        <w:spacing w:line="360" w:lineRule="auto"/>
        <w:jc w:val="both"/>
        <w:rPr>
          <w:rFonts w:ascii="Palatino Linotype" w:eastAsia="Palatino Linotype" w:hAnsi="Palatino Linotype" w:cs="Palatino Linotype"/>
          <w:color w:val="000000"/>
        </w:rPr>
      </w:pPr>
    </w:p>
    <w:p w14:paraId="45A7AF9C" w14:textId="77777777" w:rsidR="00F26D67" w:rsidRDefault="001E2E6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 De las facultades de la Procuraduría de Protección al Ambiente del Estado de México (PROPAEM) para generar la información solicitada</w:t>
      </w:r>
    </w:p>
    <w:p w14:paraId="4D08BB74"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a continuación, se analiza si en la especie, la Procuraduría de Protección al Ambiente del Estado de México (PROPAEM), cuenta con atribuciones para conocer sobre la información requerida; para ello es necesario traer a colación el contenido del Decreto del Ejecutivo del Estado Por el que se Reforma el Diverso por el que se Transforma el Órgano Desconcentrado Denominado Procuraduría de Protección al Ambiente del Estado de México, en Organismo Público Descentralizado, el cual refiere en sus artículos 3 y 4, lo siguiente: </w:t>
      </w:r>
    </w:p>
    <w:p w14:paraId="630C2B6D"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 La Procuraduría tendrá como objeto:</w:t>
      </w:r>
    </w:p>
    <w:p w14:paraId="64EAF014"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Garantizar el derecho de toda persona a vivir en un ambiente adecuado para su desarrollo, salud y bienestar, mediante la procuración, vigilancia y difusión del cumplimiento de la normatividad ambiental aplicable al ámbito estatal</w:t>
      </w:r>
      <w:r>
        <w:rPr>
          <w:rFonts w:ascii="Palatino Linotype" w:eastAsia="Palatino Linotype" w:hAnsi="Palatino Linotype" w:cs="Palatino Linotype"/>
          <w:i/>
          <w:sz w:val="22"/>
          <w:szCs w:val="22"/>
        </w:rPr>
        <w:t>;</w:t>
      </w:r>
    </w:p>
    <w:p w14:paraId="2409164B"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Vigilar el cumplimiento de las disposiciones jurídicas aplicables a la preservación, fomento y aprovechamiento sostenible de la fauna, así como la protección y bienestar animal.</w:t>
      </w:r>
    </w:p>
    <w:p w14:paraId="0BA90BB9"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sidRPr="00471833">
        <w:rPr>
          <w:rFonts w:ascii="Palatino Linotype" w:eastAsia="Palatino Linotype" w:hAnsi="Palatino Linotype" w:cs="Palatino Linotype"/>
          <w:b/>
          <w:i/>
          <w:sz w:val="22"/>
          <w:szCs w:val="22"/>
        </w:rPr>
        <w:t>III. Iniciar las acciones que procedan ante las autoridades competentes, cuando conozca de actos, hechos y omisiones que produzcan desequilibrios ecológicos o daños al ambiente, y por violaciones a las disposiciones jurídicas en materia ambiental.</w:t>
      </w:r>
    </w:p>
    <w:p w14:paraId="6F336ED4"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4.- Para el cumplimiento de su objeto, la Procuraduría tendrá las siguientes atribuciones: </w:t>
      </w:r>
    </w:p>
    <w:p w14:paraId="232FA4D1" w14:textId="77777777" w:rsidR="00F26D67" w:rsidRDefault="001E2E60">
      <w:pPr>
        <w:numPr>
          <w:ilvl w:val="0"/>
          <w:numId w:val="8"/>
        </w:numPr>
        <w:pBdr>
          <w:top w:val="nil"/>
          <w:left w:val="nil"/>
          <w:bottom w:val="nil"/>
          <w:right w:val="nil"/>
          <w:between w:val="nil"/>
        </w:pBdr>
        <w:spacing w:before="240"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Recibir, investigar, atender y, en su caso, canalizar ante las autoridades competentes, las denuncias y quejas de la ciudadanía; así como las presentadas por autoridades federales, estatales y municipales, por presuntas violaciones a las disposiciones jurídicas en materia ambiental y de la fauna; </w:t>
      </w:r>
    </w:p>
    <w:p w14:paraId="75D2ABAE"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Ordenar y practicar las visitas de inspección de oficio o por denuncia a las fuentes móviles o fijas en etapa de construcción, preoperativa y operativa, para cerciorarse del cumplimiento de los reglamentos, normas técnicas estatales ambientales y normas oficiales mexicanas; </w:t>
      </w:r>
    </w:p>
    <w:p w14:paraId="2E113689"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Tramitar y resolver los procedimientos administrativos que instaure por conducto de las unidades administrativas correspondientes; </w:t>
      </w:r>
    </w:p>
    <w:p w14:paraId="6565F737"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Realizar auditorías, formular y validar dictámenes técnicos y periciales respecto de los daños ocasionados por violaciones o incumplimiento a las disposiciones jurídicas en materia ambiental en el Estado de México; </w:t>
      </w:r>
    </w:p>
    <w:p w14:paraId="13C9E3D5"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Ejercer ante los órganos jurisdiccionales, las acciones necesarias para representar el interés legítimo de las personas que resulten o puedan resultar afectadas por actos, hechos u omisiones que impliquen o puedan implicar violaciones, incumplimiento o falta de aplicación de las disposiciones en materia ambiental y de la fauna, de conformidad con las normas que en cada caso resulten aplicables; </w:t>
      </w:r>
    </w:p>
    <w:p w14:paraId="4336169B"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Verificar el cumplimiento de las normas técnicas estatales ambientales y de la fauna, así como coadyuvar en la vigilancia del cumplimiento de las normas oficiales mexicanas; </w:t>
      </w:r>
    </w:p>
    <w:p w14:paraId="0D0E02F1"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Informar, orientar y asesorar a la población, dependencias, municipios y organismos descentralizados de carácter estatal y municipal, respecto del cumplimiento y aplicación de las disposiciones jurídicas en materia ambiental y de la fauna; </w:t>
      </w:r>
    </w:p>
    <w:p w14:paraId="6D9387BA"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Realizar, en el ámbito de su competencia, acciones de control, consistentes en la inspección y vigilancia de las actividades productivas;</w:t>
      </w:r>
    </w:p>
    <w:p w14:paraId="4FCAE2E8"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Elaborar, ejecutar y evaluar programas orientados a la conservación ecológica, protección al ambiente y de la fauna; </w:t>
      </w:r>
    </w:p>
    <w:p w14:paraId="356FAD55" w14:textId="77777777" w:rsidR="00F26D67"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Coordinarse con las autoridades y dependencias federales, estatales y municipales para el ejercicio de sus atribuciones; </w:t>
      </w:r>
    </w:p>
    <w:p w14:paraId="1859618F" w14:textId="77777777" w:rsidR="00F26D67" w:rsidRPr="00471833"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Promover y procurar la conciliación de intereses entre particulares y en sus relaciones con las autoridades, en asuntos competencia de la Procuraduría, así como aplicar la mediación y el arbitraje como mecanismos alternativos de solución de </w:t>
      </w:r>
      <w:r w:rsidRPr="00471833">
        <w:rPr>
          <w:rFonts w:ascii="Palatino Linotype" w:eastAsia="Palatino Linotype" w:hAnsi="Palatino Linotype" w:cs="Palatino Linotype"/>
          <w:i/>
          <w:color w:val="000000"/>
          <w:sz w:val="22"/>
          <w:szCs w:val="22"/>
        </w:rPr>
        <w:t xml:space="preserve">controversias; </w:t>
      </w:r>
    </w:p>
    <w:p w14:paraId="38006FF6" w14:textId="77777777" w:rsidR="00F26D67" w:rsidRPr="00471833" w:rsidRDefault="001E2E60">
      <w:pPr>
        <w:numPr>
          <w:ilvl w:val="0"/>
          <w:numId w:val="8"/>
        </w:numPr>
        <w:pBdr>
          <w:top w:val="nil"/>
          <w:left w:val="nil"/>
          <w:bottom w:val="nil"/>
          <w:right w:val="nil"/>
          <w:between w:val="nil"/>
        </w:pBdr>
        <w:spacing w:line="276" w:lineRule="auto"/>
        <w:ind w:left="567" w:right="851" w:hanging="283"/>
        <w:jc w:val="both"/>
        <w:rPr>
          <w:rFonts w:ascii="Palatino Linotype" w:eastAsia="Palatino Linotype" w:hAnsi="Palatino Linotype" w:cs="Palatino Linotype"/>
          <w:i/>
          <w:color w:val="000000"/>
          <w:sz w:val="22"/>
          <w:szCs w:val="22"/>
        </w:rPr>
      </w:pPr>
      <w:r w:rsidRPr="00471833">
        <w:rPr>
          <w:rFonts w:ascii="Palatino Linotype" w:eastAsia="Palatino Linotype" w:hAnsi="Palatino Linotype" w:cs="Palatino Linotype"/>
          <w:i/>
          <w:color w:val="000000"/>
          <w:sz w:val="22"/>
          <w:szCs w:val="22"/>
        </w:rPr>
        <w:t xml:space="preserve">Celebrar </w:t>
      </w:r>
      <w:r w:rsidRPr="00471833">
        <w:rPr>
          <w:rFonts w:ascii="Palatino Linotype" w:eastAsia="Palatino Linotype" w:hAnsi="Palatino Linotype" w:cs="Palatino Linotype"/>
          <w:b/>
          <w:i/>
          <w:color w:val="000000"/>
          <w:sz w:val="22"/>
          <w:szCs w:val="22"/>
          <w:u w:val="single"/>
        </w:rPr>
        <w:t>acuerdos,</w:t>
      </w:r>
      <w:r w:rsidRPr="00471833">
        <w:rPr>
          <w:rFonts w:ascii="Palatino Linotype" w:eastAsia="Palatino Linotype" w:hAnsi="Palatino Linotype" w:cs="Palatino Linotype"/>
          <w:i/>
          <w:color w:val="000000"/>
          <w:sz w:val="22"/>
          <w:szCs w:val="22"/>
        </w:rPr>
        <w:t xml:space="preserve"> convenios o contratos con los gobiernos federal, de otras entidades federativas y municipales; organismos del sector social y privado, nacionales o extranjeros en las materias de su competencia; </w:t>
      </w:r>
    </w:p>
    <w:p w14:paraId="03D3EF03"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Coadyuvar con las autoridades federales, estatales y municipales en el cumplimiento de la legislación de la materia y en la atención de contingencias y emergencias ambientales y de la fauna; </w:t>
      </w:r>
    </w:p>
    <w:p w14:paraId="7484F3DE"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Participar en coordinación con las autoridades competentes, en la formulación de normas técnicas estatales ambientales y de la fauna; </w:t>
      </w:r>
    </w:p>
    <w:p w14:paraId="2B8C8B2E"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Sistematizar y difundir estudios, reportes e investigaciones respecto del cumplimiento y aplicación de las disposiciones jurídicas en materia ambiental y de la fauna; </w:t>
      </w:r>
    </w:p>
    <w:p w14:paraId="49C41D2E"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Aplicar medidas de seguridad cuando exista riesgo inminente de desequilibrio ecológico o de daño o deterioro graves a los recursos naturales, casos de contaminación con repercusiones peligrosas para los ecosistemas, sus componentes o para la salud pública, así como cuando exista riesgo inminente de daño o deterioro grave contra la fauna o su hábitat; </w:t>
      </w:r>
    </w:p>
    <w:p w14:paraId="03A053C4"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Aplicar sanciones por el incumplimiento de las disposiciones jurídicas en materia de protección al ambiente y de la fauna, derivado de la tramitación y resolución de los procedimientos administrativos que instaure en ejercicio de sus atribuciones; </w:t>
      </w:r>
    </w:p>
    <w:p w14:paraId="38BA48D1" w14:textId="77777777" w:rsidR="00F26D67" w:rsidRDefault="001E2E60">
      <w:pPr>
        <w:numPr>
          <w:ilvl w:val="0"/>
          <w:numId w:val="8"/>
        </w:numPr>
        <w:pBdr>
          <w:top w:val="nil"/>
          <w:left w:val="nil"/>
          <w:bottom w:val="nil"/>
          <w:right w:val="nil"/>
          <w:between w:val="nil"/>
        </w:pBdr>
        <w:spacing w:line="276" w:lineRule="auto"/>
        <w:ind w:left="567" w:righ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Dar contestación debidamente fundada y motivada a la denuncia presentada y, en su caso, ratificada ante la Procuraduría, notificando del resultado de la verificación, de las medidas que se hayan tomado y, en su caso, de la imposición de la sanción respectiva; </w:t>
      </w:r>
    </w:p>
    <w:p w14:paraId="5D883FC2" w14:textId="77777777" w:rsidR="00F26D67" w:rsidRDefault="001E2E60">
      <w:pPr>
        <w:numPr>
          <w:ilvl w:val="0"/>
          <w:numId w:val="8"/>
        </w:numPr>
        <w:pBdr>
          <w:top w:val="nil"/>
          <w:left w:val="nil"/>
          <w:bottom w:val="nil"/>
          <w:right w:val="nil"/>
          <w:between w:val="nil"/>
        </w:pBdr>
        <w:spacing w:line="276" w:lineRule="auto"/>
        <w:ind w:left="567" w:righ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Denunciar ante el Ministerio Público, los actos u omisiones que impliquen la comisión de delitos, a efecto de proteger y defender el ambiente y la fauna, así como dar seguimiento a las denuncias presentadas; </w:t>
      </w:r>
    </w:p>
    <w:p w14:paraId="4F02DA68" w14:textId="77777777" w:rsidR="00F26D67" w:rsidRDefault="001E2E60">
      <w:pPr>
        <w:numPr>
          <w:ilvl w:val="0"/>
          <w:numId w:val="8"/>
        </w:numPr>
        <w:pBdr>
          <w:top w:val="nil"/>
          <w:left w:val="nil"/>
          <w:bottom w:val="nil"/>
          <w:right w:val="nil"/>
          <w:between w:val="nil"/>
        </w:pBdr>
        <w:spacing w:line="276" w:lineRule="auto"/>
        <w:ind w:left="567" w:righ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Substanciar y resolver el recurso administrativo de inconformidad, interpuesto por las y los particulares afectados por actos y resoluciones emitidos por esta Procuraduría; y </w:t>
      </w:r>
    </w:p>
    <w:p w14:paraId="3B8194F5" w14:textId="77777777" w:rsidR="00F26D67" w:rsidRDefault="001E2E60">
      <w:pPr>
        <w:numPr>
          <w:ilvl w:val="0"/>
          <w:numId w:val="8"/>
        </w:numPr>
        <w:pBdr>
          <w:top w:val="nil"/>
          <w:left w:val="nil"/>
          <w:bottom w:val="nil"/>
          <w:right w:val="nil"/>
          <w:between w:val="nil"/>
        </w:pBdr>
        <w:spacing w:line="276" w:lineRule="auto"/>
        <w:ind w:left="567" w:righ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Ordenar y practicar las visitas de verificación de oficio o por denuncia para vigilar el cumplimiento a las disposiciones jurídicas aplicables a la preservación, fomento y aprovechamiento sostenible de la fauna, así como la protección y bienestar animal.</w:t>
      </w:r>
    </w:p>
    <w:p w14:paraId="753C5849" w14:textId="77777777" w:rsidR="00F26D67" w:rsidRDefault="001E2E60">
      <w:pPr>
        <w:numPr>
          <w:ilvl w:val="0"/>
          <w:numId w:val="8"/>
        </w:numPr>
        <w:pBdr>
          <w:top w:val="nil"/>
          <w:left w:val="nil"/>
          <w:bottom w:val="nil"/>
          <w:right w:val="nil"/>
          <w:between w:val="nil"/>
        </w:pBdr>
        <w:spacing w:after="240" w:line="276" w:lineRule="auto"/>
        <w:ind w:left="567" w:righ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demás que le confieran otros ordenamientos legales para el cumplimiento de su objeto.”</w:t>
      </w:r>
    </w:p>
    <w:p w14:paraId="2713EE32"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advierte que si bien es cierto,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facultado para celebrar acuerdos, convenios o contratos con los gobiernos federal, de otras entidades federativas y municipales; organismos del sector social y privado, nacionales o extranjeros en las materias de su competencia, no menos cierto es que el objetivo general de esta institución, consiste en </w:t>
      </w:r>
      <w:r>
        <w:rPr>
          <w:rFonts w:ascii="Palatino Linotype" w:eastAsia="Palatino Linotype" w:hAnsi="Palatino Linotype" w:cs="Palatino Linotype"/>
          <w:b/>
          <w:u w:val="single"/>
        </w:rPr>
        <w:t xml:space="preserve">garantizar el derecho de toda persona a vivir en un ambiente adecuado para su desarrollo, salud y bienestar, mediante la procuración, vigilancia y difusión del cumplimiento de la normatividad ambiental aplicable al ámbito estatal, así como realizar las acciones procedentes cuando se conozca de actos, hechos u omisiones que produzcan desequilibrios ecológicos o daños al ambiente y por violaciones a las disposiciones jurídicas en materia ambiental y de protección y bienestar animal, </w:t>
      </w:r>
      <w:r>
        <w:rPr>
          <w:rFonts w:ascii="Palatino Linotype" w:eastAsia="Palatino Linotype" w:hAnsi="Palatino Linotype" w:cs="Palatino Linotype"/>
        </w:rPr>
        <w:t xml:space="preserve">es decir, dicha institución se encarga de la protección al medio ambiente, por lo que de un análisis minucioso a la normatividad aplicable a este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se vislumbra alguna disposición normativa que le mandate expresamente la generación de un documento que dé cuenta del acuerdo y/o convenio firmado por los distintos órdenes de gobierno para el periodo 2022-2024, 2019-2021, 2016-2018, 2013-2015, 2010-2012, 2007-2009, 2004-2006, 2001-2003 para </w:t>
      </w:r>
      <w:r>
        <w:rPr>
          <w:rFonts w:ascii="Palatino Linotype" w:eastAsia="Palatino Linotype" w:hAnsi="Palatino Linotype" w:cs="Palatino Linotype"/>
        </w:rPr>
        <w:lastRenderedPageBreak/>
        <w:t>realizar los trabajos de retiro y extinción de los árboles, las palmeras, el follaje, pasto y arbustos del camellón situado en calzada de Guadalupe.</w:t>
      </w:r>
    </w:p>
    <w:p w14:paraId="42A5A970" w14:textId="77777777" w:rsidR="005652F5" w:rsidRPr="005652F5" w:rsidRDefault="001E2E60">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Es de precisar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respuesta, mencionó que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que pudieran ser competentes para conocer de la información solicitada son</w:t>
      </w:r>
      <w:r w:rsidR="009728C0">
        <w:rPr>
          <w:rFonts w:ascii="Palatino Linotype" w:eastAsia="Palatino Linotype" w:hAnsi="Palatino Linotype" w:cs="Palatino Linotype"/>
        </w:rPr>
        <w:t xml:space="preserve"> la </w:t>
      </w:r>
      <w:r w:rsidR="009728C0" w:rsidRPr="009728C0">
        <w:rPr>
          <w:rFonts w:ascii="Palatino Linotype" w:eastAsia="Palatino Linotype" w:hAnsi="Palatino Linotype" w:cs="Palatino Linotype"/>
          <w:b/>
        </w:rPr>
        <w:t>Secretaría del Medio Ambiente del Gobierno del Estado de México</w:t>
      </w:r>
      <w:r w:rsidR="009728C0">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Pr="009728C0">
        <w:rPr>
          <w:rFonts w:ascii="Palatino Linotype" w:eastAsia="Palatino Linotype" w:hAnsi="Palatino Linotype" w:cs="Palatino Linotype"/>
          <w:b/>
        </w:rPr>
        <w:t>el Ayuntamiento de Cuautitlán y el Ayuntamiento de Cuautitlán Izcalli</w:t>
      </w:r>
      <w:r>
        <w:rPr>
          <w:rFonts w:ascii="Palatino Linotype" w:eastAsia="Palatino Linotype" w:hAnsi="Palatino Linotype" w:cs="Palatino Linotype"/>
        </w:rPr>
        <w:t xml:space="preserve">, </w:t>
      </w:r>
      <w:r w:rsidR="009728C0">
        <w:rPr>
          <w:rFonts w:ascii="Palatino Linotype" w:eastAsia="Palatino Linotype" w:hAnsi="Palatino Linotype" w:cs="Palatino Linotype"/>
        </w:rPr>
        <w:t xml:space="preserve">estos últimos </w:t>
      </w:r>
      <w:r>
        <w:rPr>
          <w:rFonts w:ascii="Palatino Linotype" w:eastAsia="Palatino Linotype" w:hAnsi="Palatino Linotype" w:cs="Palatino Linotype"/>
        </w:rPr>
        <w:t xml:space="preserve">en razón de que la Calzada de Guadalupe, citada por la particular es una zona en colindancia del municipio de Cuautitlán y Cuautitlán Izcalli, en la colonia El Cerrito/ Tlayacac, tal como se visualiza en la siguiente imagen: </w:t>
      </w:r>
    </w:p>
    <w:p w14:paraId="68620D25"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3B71FEF" wp14:editId="4350C8CC">
            <wp:extent cx="5977187" cy="2906714"/>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977187" cy="2906714"/>
                    </a:xfrm>
                    <a:prstGeom prst="rect">
                      <a:avLst/>
                    </a:prstGeom>
                    <a:ln/>
                  </pic:spPr>
                </pic:pic>
              </a:graphicData>
            </a:graphic>
          </wp:inline>
        </w:drawing>
      </w:r>
    </w:p>
    <w:p w14:paraId="149F2E05" w14:textId="77777777" w:rsidR="00F26D67" w:rsidRDefault="00F26D67">
      <w:pPr>
        <w:spacing w:before="240" w:after="240" w:line="360" w:lineRule="auto"/>
        <w:jc w:val="both"/>
        <w:rPr>
          <w:rFonts w:ascii="Palatino Linotype" w:eastAsia="Palatino Linotype" w:hAnsi="Palatino Linotype" w:cs="Palatino Linotype"/>
        </w:rPr>
      </w:pPr>
    </w:p>
    <w:p w14:paraId="39B526AC" w14:textId="77777777" w:rsidR="009728C0" w:rsidRDefault="009728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iniciar la delimitación de atribuciones, conviene iniciar resaltando que </w:t>
      </w:r>
      <w:r w:rsidR="00824F50">
        <w:rPr>
          <w:rFonts w:ascii="Palatino Linotype" w:eastAsia="Palatino Linotype" w:hAnsi="Palatino Linotype" w:cs="Palatino Linotype"/>
        </w:rPr>
        <w:t xml:space="preserve">para el caso de la Secretaría de Medio Ambiente del Gobierno del Estado de México, </w:t>
      </w:r>
      <w:r>
        <w:rPr>
          <w:rFonts w:ascii="Palatino Linotype" w:eastAsia="Palatino Linotype" w:hAnsi="Palatino Linotype" w:cs="Palatino Linotype"/>
        </w:rPr>
        <w:t>la Ley Orgánica de la Administración Pública del Estado d</w:t>
      </w:r>
      <w:r w:rsidRPr="009728C0">
        <w:rPr>
          <w:rFonts w:ascii="Palatino Linotype" w:eastAsia="Palatino Linotype" w:hAnsi="Palatino Linotype" w:cs="Palatino Linotype"/>
        </w:rPr>
        <w:t>e México</w:t>
      </w:r>
      <w:r>
        <w:rPr>
          <w:rFonts w:ascii="Palatino Linotype" w:eastAsia="Palatino Linotype" w:hAnsi="Palatino Linotype" w:cs="Palatino Linotype"/>
        </w:rPr>
        <w:t xml:space="preserve"> delimita a la Secretaría del Medio Ambiente, las siguientes atribuciones: </w:t>
      </w:r>
    </w:p>
    <w:p w14:paraId="75995871" w14:textId="77777777" w:rsidR="00824F50" w:rsidRPr="005A20B3" w:rsidRDefault="00824F50" w:rsidP="00824F50">
      <w:pPr>
        <w:spacing w:before="240" w:after="240" w:line="276" w:lineRule="auto"/>
        <w:ind w:left="567" w:right="851"/>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009728C0" w:rsidRPr="00824F50">
        <w:rPr>
          <w:rFonts w:ascii="Palatino Linotype" w:eastAsia="Palatino Linotype" w:hAnsi="Palatino Linotype" w:cs="Palatino Linotype"/>
          <w:i/>
          <w:sz w:val="22"/>
        </w:rPr>
        <w:t xml:space="preserve">Artículo 32 Bis.- </w:t>
      </w:r>
      <w:r w:rsidR="009728C0" w:rsidRPr="005A20B3">
        <w:rPr>
          <w:rFonts w:ascii="Palatino Linotype" w:eastAsia="Palatino Linotype" w:hAnsi="Palatino Linotype" w:cs="Palatino Linotype"/>
          <w:b/>
          <w:i/>
          <w:sz w:val="22"/>
        </w:rPr>
        <w:t>La Secretaría del Medio Ambiente, es el órgano encargado de la formulación, ejecución y evaluación de la política estatal en materia de conservación ecológica</w:t>
      </w:r>
      <w:r w:rsidR="009728C0" w:rsidRPr="00824F50">
        <w:rPr>
          <w:rFonts w:ascii="Palatino Linotype" w:eastAsia="Palatino Linotype" w:hAnsi="Palatino Linotype" w:cs="Palatino Linotype"/>
          <w:i/>
          <w:sz w:val="22"/>
        </w:rPr>
        <w:t xml:space="preserve">, biodiversidad </w:t>
      </w:r>
      <w:r w:rsidR="009728C0" w:rsidRPr="005A20B3">
        <w:rPr>
          <w:rFonts w:ascii="Palatino Linotype" w:eastAsia="Palatino Linotype" w:hAnsi="Palatino Linotype" w:cs="Palatino Linotype"/>
          <w:b/>
          <w:i/>
          <w:sz w:val="22"/>
        </w:rPr>
        <w:t xml:space="preserve">y protección al medio ambiente para el desarrollo sostenible. </w:t>
      </w:r>
    </w:p>
    <w:p w14:paraId="16E2DD97" w14:textId="77777777" w:rsidR="009728C0" w:rsidRPr="00824F50" w:rsidRDefault="009728C0" w:rsidP="00824F50">
      <w:pPr>
        <w:spacing w:before="240" w:after="240" w:line="276" w:lineRule="auto"/>
        <w:ind w:left="567" w:right="851"/>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A esta Secretaría le corresponde el despacho de los siguientes asuntos: </w:t>
      </w:r>
    </w:p>
    <w:p w14:paraId="185BAB1F" w14:textId="77777777" w:rsidR="009728C0" w:rsidRPr="00824F50" w:rsidRDefault="009728C0" w:rsidP="00824F50">
      <w:pPr>
        <w:pStyle w:val="Prrafodelista"/>
        <w:numPr>
          <w:ilvl w:val="0"/>
          <w:numId w:val="10"/>
        </w:numPr>
        <w:spacing w:before="240" w:after="240" w:line="276" w:lineRule="auto"/>
        <w:ind w:left="567" w:right="851" w:hanging="141"/>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Aplicar y vigilar el cumplimiento de las disposiciones legales en materia de ecología y de protección al ambiente atribuidas al Ejecutivo Estatal. </w:t>
      </w:r>
    </w:p>
    <w:p w14:paraId="0FC07FC2" w14:textId="77777777" w:rsidR="009728C0" w:rsidRPr="00824F50" w:rsidRDefault="009728C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Formular, ejecutar y evaluar el Programa Estatal de Protección al Ambiente. </w:t>
      </w:r>
    </w:p>
    <w:p w14:paraId="66F1F17E" w14:textId="77777777" w:rsidR="009728C0" w:rsidRPr="00824F50" w:rsidRDefault="009728C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Emitir los lineamientos destinados a preservar y restaurar el equilibrio ecológico y proteger el ambiente.</w:t>
      </w:r>
    </w:p>
    <w:p w14:paraId="6ACA5B91" w14:textId="77777777" w:rsidR="009728C0" w:rsidRPr="005A20B3" w:rsidRDefault="009728C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b/>
          <w:i/>
          <w:sz w:val="22"/>
        </w:rPr>
      </w:pPr>
      <w:r w:rsidRPr="00824F50">
        <w:rPr>
          <w:rFonts w:ascii="Palatino Linotype" w:eastAsia="Palatino Linotype" w:hAnsi="Palatino Linotype" w:cs="Palatino Linotype"/>
          <w:i/>
          <w:sz w:val="22"/>
        </w:rPr>
        <w:t xml:space="preserve"> </w:t>
      </w:r>
      <w:r w:rsidRPr="005A20B3">
        <w:rPr>
          <w:rFonts w:ascii="Palatino Linotype" w:eastAsia="Palatino Linotype" w:hAnsi="Palatino Linotype" w:cs="Palatino Linotype"/>
          <w:b/>
          <w:i/>
          <w:sz w:val="22"/>
        </w:rPr>
        <w:t xml:space="preserve">Convenir con los Gobiernos Federal, de las Entidades Federativas y de los Municipios del Estado, así como con los particulares, la realización conjunta y coordinada de acciones de protección ambiental. </w:t>
      </w:r>
    </w:p>
    <w:p w14:paraId="7027BFFC" w14:textId="77777777" w:rsidR="009728C0" w:rsidRPr="00824F50" w:rsidRDefault="009728C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Establecer medidas y criterios para la prevención y control de residuos y emisiones generadas por fuentes contaminantes. </w:t>
      </w:r>
    </w:p>
    <w:p w14:paraId="3FFD1F8E" w14:textId="77777777" w:rsidR="009728C0" w:rsidRPr="00824F50" w:rsidRDefault="009728C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Establecer sistemas de verificación ambiental y monitoreo de contaminantes. </w:t>
      </w:r>
    </w:p>
    <w:p w14:paraId="6CB071E9" w14:textId="77777777" w:rsidR="00824F50" w:rsidRPr="00824F50" w:rsidRDefault="009728C0" w:rsidP="00824F50">
      <w:pPr>
        <w:pStyle w:val="Prrafodelista"/>
        <w:numPr>
          <w:ilvl w:val="0"/>
          <w:numId w:val="10"/>
        </w:numPr>
        <w:spacing w:before="240" w:after="240" w:line="276" w:lineRule="auto"/>
        <w:ind w:left="567" w:right="851" w:hanging="425"/>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Implantar medidas y mecanismos para prevenir, restaurar y corregir la contaminación del aire, suelo, agua y</w:t>
      </w:r>
      <w:r w:rsidR="00824F50" w:rsidRPr="00824F50">
        <w:rPr>
          <w:rFonts w:ascii="Palatino Linotype" w:eastAsia="Palatino Linotype" w:hAnsi="Palatino Linotype" w:cs="Palatino Linotype"/>
          <w:i/>
          <w:sz w:val="22"/>
        </w:rPr>
        <w:t xml:space="preserve"> del ambiente en general. </w:t>
      </w:r>
    </w:p>
    <w:p w14:paraId="480EE3FE" w14:textId="77777777" w:rsidR="009728C0" w:rsidRPr="00824F50" w:rsidRDefault="009728C0" w:rsidP="00824F50">
      <w:pPr>
        <w:pStyle w:val="Prrafodelista"/>
        <w:numPr>
          <w:ilvl w:val="0"/>
          <w:numId w:val="10"/>
        </w:numPr>
        <w:spacing w:before="240" w:after="240" w:line="276" w:lineRule="auto"/>
        <w:ind w:left="567" w:right="851" w:hanging="425"/>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Difundir los programas y estrategias relacionadas con el equilibrio ecológico y la protección del ambiente. </w:t>
      </w:r>
    </w:p>
    <w:p w14:paraId="7E4D53EC" w14:textId="77777777" w:rsidR="009728C0" w:rsidRDefault="009728C0" w:rsidP="00824F50">
      <w:pPr>
        <w:pStyle w:val="Prrafodelista"/>
        <w:numPr>
          <w:ilvl w:val="0"/>
          <w:numId w:val="10"/>
        </w:numPr>
        <w:spacing w:before="240" w:after="240" w:line="276" w:lineRule="auto"/>
        <w:ind w:left="567" w:right="851" w:hanging="425"/>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Fomentar la creación y desarrollo del mercado de derechos de uso del medio ambiente.</w:t>
      </w:r>
    </w:p>
    <w:p w14:paraId="77997DF7" w14:textId="77777777" w:rsidR="00824F50" w:rsidRDefault="00824F50" w:rsidP="00824F50">
      <w:pPr>
        <w:pStyle w:val="Prrafodelista"/>
        <w:numPr>
          <w:ilvl w:val="0"/>
          <w:numId w:val="10"/>
        </w:numPr>
        <w:spacing w:before="240" w:after="240" w:line="276" w:lineRule="auto"/>
        <w:ind w:left="567" w:right="851" w:hanging="283"/>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Desarrollar los mecanismos de regulación del mercado de derechos de uso del medio ambiente. </w:t>
      </w:r>
    </w:p>
    <w:p w14:paraId="56826909" w14:textId="77777777" w:rsidR="00824F50" w:rsidRDefault="00824F50" w:rsidP="005A20B3">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lastRenderedPageBreak/>
        <w:t xml:space="preserve">Fijar, a través del indicador genérico de degradación ambiental que elabore el Instituto de Información e Investigación Geográfica, Estadística y Catastral del Estado de México, los topes de utilización de los derechos de uso del medio ambiente. </w:t>
      </w:r>
    </w:p>
    <w:p w14:paraId="6404654B" w14:textId="77777777" w:rsidR="00824F50" w:rsidRPr="005A20B3" w:rsidRDefault="00824F50" w:rsidP="00824F50">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b/>
          <w:i/>
          <w:sz w:val="22"/>
        </w:rPr>
      </w:pPr>
      <w:r w:rsidRPr="005A20B3">
        <w:rPr>
          <w:rFonts w:ascii="Palatino Linotype" w:eastAsia="Palatino Linotype" w:hAnsi="Palatino Linotype" w:cs="Palatino Linotype"/>
          <w:b/>
          <w:i/>
          <w:sz w:val="22"/>
        </w:rPr>
        <w:t xml:space="preserve">Determinar el valor económico de los derechos de uso del medio ambiente y de las penalizaciones en que incurran los agentes, cuidando en todo momento de establecer un mecanismo eficiente de incentivos y desincentivos que contribuya a la reducción de la tasa de degradación ambiental. </w:t>
      </w:r>
    </w:p>
    <w:p w14:paraId="17AEE516" w14:textId="77777777" w:rsidR="00824F50" w:rsidRPr="005A20B3" w:rsidRDefault="00824F50" w:rsidP="00824F50">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b/>
          <w:i/>
          <w:sz w:val="22"/>
        </w:rPr>
      </w:pPr>
      <w:r w:rsidRPr="005A20B3">
        <w:rPr>
          <w:rFonts w:ascii="Palatino Linotype" w:eastAsia="Palatino Linotype" w:hAnsi="Palatino Linotype" w:cs="Palatino Linotype"/>
          <w:b/>
          <w:i/>
          <w:sz w:val="22"/>
        </w:rPr>
        <w:t xml:space="preserve">Incentivar la participación e inversión de los agentes productivos en proyectos de recuperación ambiental. </w:t>
      </w:r>
    </w:p>
    <w:p w14:paraId="2B97339E" w14:textId="77777777" w:rsidR="00824F50" w:rsidRDefault="00824F50" w:rsidP="00824F50">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Promover la educación y la participación comunitaria, social y privada, para la preservación y restauración de los recursos naturales y la protección del ambiente. </w:t>
      </w:r>
    </w:p>
    <w:p w14:paraId="62A3F7D5" w14:textId="77777777" w:rsidR="00824F50" w:rsidRDefault="00824F50" w:rsidP="00824F50">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Aplicar la normatividad para el manejo y disposición final de los residuos industriales, así como para la construcción de los sistemas de tratamiento de aguas residuales. </w:t>
      </w:r>
    </w:p>
    <w:p w14:paraId="47679280" w14:textId="77777777" w:rsidR="00824F50" w:rsidRDefault="00824F50" w:rsidP="00824F50">
      <w:pPr>
        <w:pStyle w:val="Prrafodelista"/>
        <w:numPr>
          <w:ilvl w:val="0"/>
          <w:numId w:val="10"/>
        </w:numPr>
        <w:spacing w:before="240" w:after="240" w:line="276" w:lineRule="auto"/>
        <w:ind w:left="284"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Promover y ejecutar directamente o por terceros, la construcción y operación de instalaciones para el tratamiento de residuos industriales, desechos sólidos, tóxicos y aguas residuales. </w:t>
      </w:r>
    </w:p>
    <w:p w14:paraId="6B6C1675"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Concesionar la construcción, administración, operación y conservación de las instalaciones a que se refiere la fracción anterior. </w:t>
      </w:r>
    </w:p>
    <w:p w14:paraId="2CA67E2A"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Derogada. </w:t>
      </w:r>
    </w:p>
    <w:p w14:paraId="0A42EE3F"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Regular y promover la protección de los recursos de fauna y flora silvestres en territorio del Estado. </w:t>
      </w:r>
    </w:p>
    <w:p w14:paraId="44BAAA52"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Declarar las áreas naturales protegidas de interés Estatal. </w:t>
      </w:r>
    </w:p>
    <w:p w14:paraId="4824F7E9"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Fomentar, ejecutar y en su caso, operar parques y áreas verdes. </w:t>
      </w:r>
    </w:p>
    <w:p w14:paraId="4D47839B"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Administrar, vigilar y controlar los parques naturales que tenga a su cargo. </w:t>
      </w:r>
    </w:p>
    <w:p w14:paraId="4B90A29B"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Promover y fomentar las investigaciones ecológicas. </w:t>
      </w:r>
    </w:p>
    <w:p w14:paraId="06BAF139" w14:textId="77777777" w:rsidR="00824F50" w:rsidRPr="005A20B3" w:rsidRDefault="00824F50" w:rsidP="005A20B3">
      <w:pPr>
        <w:pStyle w:val="Prrafodelista"/>
        <w:numPr>
          <w:ilvl w:val="0"/>
          <w:numId w:val="10"/>
        </w:numPr>
        <w:spacing w:before="240" w:after="240" w:line="276" w:lineRule="auto"/>
        <w:ind w:left="0" w:right="851" w:firstLine="0"/>
        <w:jc w:val="both"/>
        <w:rPr>
          <w:rFonts w:ascii="Palatino Linotype" w:eastAsia="Palatino Linotype" w:hAnsi="Palatino Linotype" w:cs="Palatino Linotype"/>
          <w:b/>
          <w:i/>
          <w:sz w:val="22"/>
        </w:rPr>
      </w:pPr>
      <w:r w:rsidRPr="005A20B3">
        <w:rPr>
          <w:rFonts w:ascii="Palatino Linotype" w:eastAsia="Palatino Linotype" w:hAnsi="Palatino Linotype" w:cs="Palatino Linotype"/>
          <w:b/>
          <w:i/>
          <w:sz w:val="22"/>
        </w:rPr>
        <w:t xml:space="preserve">Emitir dictámenes técnicos para cuantificar el daño causado al ambiente. </w:t>
      </w:r>
    </w:p>
    <w:p w14:paraId="4CC4D42C"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Bis. Emitir las evaluaciones técnicas de impacto en materia ambiental en términos del Código para la Biodiversidad del Estado de México, y demás disposiciones jurídicas aplicables; </w:t>
      </w:r>
    </w:p>
    <w:p w14:paraId="360C8C3A"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Aplicar las sanciones previstas en las disposiciones legales de la materia y promover la aplicación de las que corresponda a otras autoridades. </w:t>
      </w:r>
    </w:p>
    <w:p w14:paraId="1A6C6AA9" w14:textId="77777777" w:rsidR="00824F50" w:rsidRDefault="00824F50" w:rsidP="005A20B3">
      <w:pPr>
        <w:pStyle w:val="Prrafodelista"/>
        <w:numPr>
          <w:ilvl w:val="0"/>
          <w:numId w:val="10"/>
        </w:numPr>
        <w:spacing w:before="240" w:after="240" w:line="276" w:lineRule="auto"/>
        <w:ind w:left="142"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t xml:space="preserve">Determinar el uso restringido de la infraestructura vial; </w:t>
      </w:r>
    </w:p>
    <w:p w14:paraId="4C4483DA" w14:textId="77777777" w:rsidR="00824F50" w:rsidRPr="00824F50" w:rsidRDefault="00824F50" w:rsidP="005A20B3">
      <w:pPr>
        <w:pStyle w:val="Prrafodelista"/>
        <w:numPr>
          <w:ilvl w:val="0"/>
          <w:numId w:val="10"/>
        </w:numPr>
        <w:spacing w:before="240" w:after="240" w:line="276" w:lineRule="auto"/>
        <w:ind w:left="567" w:right="851" w:firstLine="0"/>
        <w:jc w:val="both"/>
        <w:rPr>
          <w:rFonts w:ascii="Palatino Linotype" w:eastAsia="Palatino Linotype" w:hAnsi="Palatino Linotype" w:cs="Palatino Linotype"/>
          <w:i/>
          <w:sz w:val="22"/>
        </w:rPr>
      </w:pPr>
      <w:r w:rsidRPr="00824F50">
        <w:rPr>
          <w:rFonts w:ascii="Palatino Linotype" w:eastAsia="Palatino Linotype" w:hAnsi="Palatino Linotype" w:cs="Palatino Linotype"/>
          <w:i/>
          <w:sz w:val="22"/>
        </w:rPr>
        <w:lastRenderedPageBreak/>
        <w:t>Las demás que señalen las leyes y reglamentos vigentes en el Estado.</w:t>
      </w:r>
      <w:r w:rsidR="005A20B3">
        <w:rPr>
          <w:rFonts w:ascii="Palatino Linotype" w:eastAsia="Palatino Linotype" w:hAnsi="Palatino Linotype" w:cs="Palatino Linotype"/>
          <w:i/>
          <w:sz w:val="22"/>
        </w:rPr>
        <w:t>”</w:t>
      </w:r>
    </w:p>
    <w:p w14:paraId="7B830D58" w14:textId="77777777" w:rsidR="009728C0" w:rsidRDefault="005A20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se advierte que la Secretaría del Medio Ambiente pudiera conocer de la información solicitada, en razón de que </w:t>
      </w:r>
      <w:r w:rsidRPr="005A20B3">
        <w:rPr>
          <w:rFonts w:ascii="Palatino Linotype" w:eastAsia="Palatino Linotype" w:hAnsi="Palatino Linotype" w:cs="Palatino Linotype"/>
        </w:rPr>
        <w:t>es el órgano encargado de la formulación, ejecución y evaluación de la política estatal en materia de conservación ecológica, biodiversidad y protección al medio ambient</w:t>
      </w:r>
      <w:r>
        <w:rPr>
          <w:rFonts w:ascii="Palatino Linotype" w:eastAsia="Palatino Linotype" w:hAnsi="Palatino Linotype" w:cs="Palatino Linotype"/>
        </w:rPr>
        <w:t>e para el desarrollo sostenible, asimismo puede c</w:t>
      </w:r>
      <w:r w:rsidRPr="005A20B3">
        <w:rPr>
          <w:rFonts w:ascii="Palatino Linotype" w:eastAsia="Palatino Linotype" w:hAnsi="Palatino Linotype" w:cs="Palatino Linotype"/>
        </w:rPr>
        <w:t>onvenir con los Gobiernos Federal, de las Entidades Federativas y de los Municipios del Estado, así como con los particulares, la realización conjunta y coordinada de acciones de protección ambiental.</w:t>
      </w:r>
    </w:p>
    <w:p w14:paraId="6DA3F049" w14:textId="77777777" w:rsidR="00F26D67" w:rsidRDefault="005A20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respecto de los dos municipios</w:t>
      </w:r>
      <w:r w:rsidR="001E2E60">
        <w:rPr>
          <w:rFonts w:ascii="Palatino Linotype" w:eastAsia="Palatino Linotype" w:hAnsi="Palatino Linotype" w:cs="Palatino Linotype"/>
        </w:rPr>
        <w:t xml:space="preserve">, </w:t>
      </w:r>
      <w:r>
        <w:rPr>
          <w:rFonts w:ascii="Palatino Linotype" w:eastAsia="Palatino Linotype" w:hAnsi="Palatino Linotype" w:cs="Palatino Linotype"/>
        </w:rPr>
        <w:t xml:space="preserve">debe iniciar mencionándose que </w:t>
      </w:r>
      <w:r w:rsidR="001E2E60">
        <w:rPr>
          <w:rFonts w:ascii="Palatino Linotype" w:eastAsia="Palatino Linotype" w:hAnsi="Palatino Linotype" w:cs="Palatino Linotype"/>
        </w:rPr>
        <w:t xml:space="preserve">nuestro texto constitucional federal, establece lo siguiente en su artículo 115, fracción III en su inciso g): </w:t>
      </w:r>
    </w:p>
    <w:p w14:paraId="45462285"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EA727DA"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B0A05F"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Los Municipios tendrán a su cargo las funciones y servicios públicos siguientes:</w:t>
      </w:r>
    </w:p>
    <w:p w14:paraId="5C0555F8"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BFF5CA"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g) Calles, parques y jardines y su equipamiento;</w:t>
      </w:r>
      <w:r>
        <w:rPr>
          <w:rFonts w:ascii="Palatino Linotype" w:eastAsia="Palatino Linotype" w:hAnsi="Palatino Linotype" w:cs="Palatino Linotype"/>
          <w:i/>
          <w:sz w:val="22"/>
          <w:szCs w:val="22"/>
        </w:rPr>
        <w:t>”</w:t>
      </w:r>
    </w:p>
    <w:p w14:paraId="06453967"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armonía con este precepto, los artículos 125 y 126 de la Ley Orgánica Municipal, disponen lo siguiente: </w:t>
      </w:r>
    </w:p>
    <w:p w14:paraId="28B7D0ED"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125.- </w:t>
      </w:r>
      <w:r>
        <w:rPr>
          <w:rFonts w:ascii="Palatino Linotype" w:eastAsia="Palatino Linotype" w:hAnsi="Palatino Linotype" w:cs="Palatino Linotype"/>
          <w:b/>
          <w:i/>
          <w:sz w:val="22"/>
          <w:szCs w:val="22"/>
        </w:rPr>
        <w:t>Los municipios tendrán a su cargo la prestación, explotación, administración y conservación de los servicios públicos municipales, considerándose enunciativa y no limitativamente, los siguientes:</w:t>
      </w:r>
    </w:p>
    <w:p w14:paraId="2ED6E9E4"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D7A8D9"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Calles, parques, jardines, áreas verdes y recreativas;</w:t>
      </w:r>
    </w:p>
    <w:p w14:paraId="3D753837"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4FA7656"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126.- La prestación de los servicios públicos deberá realizarse por los ayuntamientos, sus unidades administrativas y organismos auxiliares, quienes podrán coordinarse con el Estado o con otros municipios para la eficacia en su prestación.”</w:t>
      </w:r>
    </w:p>
    <w:p w14:paraId="279AB1B6"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Hasta este punto, se tiene que corresponde a los municipios, la prestación de los servicios públicos municipales, entre ellos destaca la preservación, administración, prestación y explotación  de las calles, parques, jardines, áreas verdes y recreativas. </w:t>
      </w:r>
    </w:p>
    <w:p w14:paraId="74A05F3E"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al precepto previamente analizado, el artículo 96  Octies, mandata al Director de Ecología o Titular de la Unidad Administrativa equivalente, el ejercicio de diversas facultades, de las cuales destaca la siguiente: </w:t>
      </w:r>
    </w:p>
    <w:p w14:paraId="4772BC58"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96. Octies. </w:t>
      </w:r>
      <w:r>
        <w:rPr>
          <w:rFonts w:ascii="Palatino Linotype" w:eastAsia="Palatino Linotype" w:hAnsi="Palatino Linotype" w:cs="Palatino Linotype"/>
          <w:b/>
          <w:i/>
          <w:sz w:val="22"/>
          <w:szCs w:val="22"/>
        </w:rPr>
        <w:t>El Director de Ecología o el Titular de la Unidad Administrativa equivalente, tiene las atribuciones siguientes:</w:t>
      </w:r>
    </w:p>
    <w:p w14:paraId="17B04853"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0D34F26"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 Preservar, rescatar, restaurar y vigilar las áreas verdes municipales</w:t>
      </w:r>
      <w:r>
        <w:rPr>
          <w:rFonts w:ascii="Palatino Linotype" w:eastAsia="Palatino Linotype" w:hAnsi="Palatino Linotype" w:cs="Palatino Linotype"/>
          <w:i/>
          <w:sz w:val="22"/>
          <w:szCs w:val="22"/>
        </w:rPr>
        <w:t>;”</w:t>
      </w:r>
    </w:p>
    <w:p w14:paraId="25904B15"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trasladando estas premisas a los ordenamientos de los Ayuntamientos de Cuautitlán y Cuautitlán Izcalli respectivamente, este Organismo Garante obtuvo lo siguiente: </w:t>
      </w:r>
    </w:p>
    <w:p w14:paraId="2B9D3C26" w14:textId="77777777" w:rsidR="00F26D67" w:rsidRDefault="001E2E60">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 xml:space="preserve">Bando Municipal de Cuautitlán 2022: </w:t>
      </w:r>
    </w:p>
    <w:p w14:paraId="4A193746"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“Artículo 124</w:t>
      </w:r>
      <w:r>
        <w:rPr>
          <w:rFonts w:ascii="Palatino Linotype" w:eastAsia="Palatino Linotype" w:hAnsi="Palatino Linotype" w:cs="Palatino Linotype"/>
          <w:b/>
          <w:i/>
          <w:sz w:val="22"/>
          <w:szCs w:val="22"/>
        </w:rPr>
        <w:t xml:space="preserve">. La Dirección de Medio Ambiente desarrollará las políticas públicas para garantizar el derecho de las personas a vivir en un medio ambiente sano para su desarrollo, salud y bienestar; diseñando, implementado y evaluando programas y proyectos que garanticen el cuidado, preservación y restauración del equilibrio ecológico y la protección al ambiente. </w:t>
      </w:r>
    </w:p>
    <w:p w14:paraId="446A5E7B"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Estableciendo las medidas de control y de seguridad que garanticen el cumplimiento y la aplicación de las leyes Federales, Estatales y Municipales. </w:t>
      </w:r>
    </w:p>
    <w:p w14:paraId="3FB77DA9"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Teniendo acciones que permitan controlar y mitigar las emisiones a la atmosfera, así como realizar los estudios de adaptación del entorno por las afectaciones de la contaminación, con el fin de aportar beneficios al cambio climático. </w:t>
      </w:r>
    </w:p>
    <w:p w14:paraId="7D5C8239"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125. Realiza planes que permitan disminuir la generación de contaminantes emitidos a la atmósfera, disposición al suelo al verter aguas contaminadas a las redes municipales, con estrategias eficientes y eficaces que permitan garantizar en entorno digno de los Cuautitlenses. </w:t>
      </w:r>
    </w:p>
    <w:p w14:paraId="60FCCFFF"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126. </w:t>
      </w:r>
      <w:r>
        <w:rPr>
          <w:rFonts w:ascii="Palatino Linotype" w:eastAsia="Palatino Linotype" w:hAnsi="Palatino Linotype" w:cs="Palatino Linotype"/>
          <w:b/>
          <w:i/>
          <w:sz w:val="22"/>
          <w:szCs w:val="22"/>
        </w:rPr>
        <w:t>Expedirá constancias, visto bueno, registros o licencias en materia ambiental, los cuales tendrán una vigencia anual. En materia de la biodiversidad se establecerán los programas que protejan la flora y fauna del territorio municipal, en especial se buscará la protección y cuidado de las áreas verdes. A través de la difusión de información que promueva el cambio de hábitos en la ciudadanía, en el manejo de los residuos, del cuidado y protección del medio ambiente.</w:t>
      </w:r>
    </w:p>
    <w:p w14:paraId="5DC45D40"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163. Queda estrictamente prohibido a la población:</w:t>
      </w:r>
    </w:p>
    <w:p w14:paraId="513A4481"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362E40D"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Realizar la poda, trasplante o derribo de árboles sin contar con el permiso que para tal efecto emita la Dirección de Medio Ambiente, así como incumplir con las medidas de restitución, reparación o compensación del daño ambiental que la Dirección determine; </w:t>
      </w:r>
    </w:p>
    <w:p w14:paraId="43D3A2BC" w14:textId="77777777" w:rsidR="00F26D67" w:rsidRPr="005A20B3" w:rsidRDefault="001E2E60" w:rsidP="005A20B3">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A excepción de lo dispuesto en el párrafo anterior, la poda de árboles y arbustos cuando se realice exclusivamente con fines de estética o mantenimiento solamente requerirá del visto bueno y autorización de la Dirección de Medio Ambiente a condición de que los trabajos se realicen con tijera tipo jardinera, siempre y cuando no rebase un porcentaje del 10 al 15 por ciento del follaje;” </w:t>
      </w:r>
      <w:r>
        <w:rPr>
          <w:rFonts w:ascii="Palatino Linotype" w:eastAsia="Palatino Linotype" w:hAnsi="Palatino Linotype" w:cs="Palatino Linotype"/>
          <w:i/>
          <w:sz w:val="22"/>
          <w:szCs w:val="22"/>
        </w:rPr>
        <w:t>(Sic)</w:t>
      </w:r>
    </w:p>
    <w:p w14:paraId="2916E23C" w14:textId="77777777" w:rsidR="00F26D67" w:rsidRDefault="001E2E60">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Reglamento Interno de Cuautitlán, Estado de México, vigente: </w:t>
      </w:r>
    </w:p>
    <w:p w14:paraId="6DF1ECC3"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2.33.- Para el desarrollo de sus atribuciones, la Coordinación de Medio Ambiente contará con un Titular que será responsable de la conducción, supervisión y ejecución de las acciones a que se refiere el artículo que antecede y que para su auxilio tendrá a su cargo las siguientes Unidades Administrativas: </w:t>
      </w:r>
    </w:p>
    <w:p w14:paraId="7514F44A" w14:textId="77777777" w:rsidR="00F26D67" w:rsidRDefault="001E2E60">
      <w:pPr>
        <w:numPr>
          <w:ilvl w:val="0"/>
          <w:numId w:val="1"/>
        </w:numPr>
        <w:pBdr>
          <w:top w:val="nil"/>
          <w:left w:val="nil"/>
          <w:bottom w:val="nil"/>
          <w:right w:val="nil"/>
          <w:between w:val="nil"/>
        </w:pBdr>
        <w:spacing w:before="240" w:line="276" w:lineRule="auto"/>
        <w:ind w:left="567" w:right="851"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Departamento de Gestión Ambiental; </w:t>
      </w:r>
    </w:p>
    <w:p w14:paraId="3FECBA09" w14:textId="77777777" w:rsidR="00F26D67" w:rsidRDefault="001E2E60">
      <w:pPr>
        <w:numPr>
          <w:ilvl w:val="0"/>
          <w:numId w:val="1"/>
        </w:numPr>
        <w:pBdr>
          <w:top w:val="nil"/>
          <w:left w:val="nil"/>
          <w:bottom w:val="nil"/>
          <w:right w:val="nil"/>
          <w:between w:val="nil"/>
        </w:pBdr>
        <w:spacing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Centro de Atención y Bienestar Animal; y </w:t>
      </w:r>
    </w:p>
    <w:p w14:paraId="77A9CE8C" w14:textId="77777777" w:rsidR="00F26D67" w:rsidRDefault="001E2E60">
      <w:pPr>
        <w:numPr>
          <w:ilvl w:val="0"/>
          <w:numId w:val="1"/>
        </w:numPr>
        <w:pBdr>
          <w:top w:val="nil"/>
          <w:left w:val="nil"/>
          <w:bottom w:val="nil"/>
          <w:right w:val="nil"/>
          <w:between w:val="nil"/>
        </w:pBdr>
        <w:spacing w:line="276" w:lineRule="auto"/>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Departamento de Biodiversidad y Educación Ambiental. </w:t>
      </w:r>
    </w:p>
    <w:p w14:paraId="4865C48C" w14:textId="77777777" w:rsidR="00F26D67" w:rsidRDefault="001E2E60">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2.34.- Son facultades y obligaciones del Departamento de Gestión Ambiental, las siguientes:</w:t>
      </w:r>
    </w:p>
    <w:p w14:paraId="03321A16" w14:textId="77777777" w:rsidR="00F26D67" w:rsidRDefault="001E2E60">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41F6EB2" w14:textId="77777777" w:rsidR="00F26D67" w:rsidRDefault="001E2E60">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VI. Vigilar que los programas de derribo y poda de árboles en zonas urbanas se lleven a cabo con la moderación técnica requerida para que no exista afectación a la salud de los árboles y además se realice de conformidad con lo establecido en las leyes federales y estatales en materia ambiental;</w:t>
      </w:r>
    </w:p>
    <w:p w14:paraId="34E67F0E" w14:textId="77777777" w:rsidR="005A20B3" w:rsidRDefault="005A20B3">
      <w:pPr>
        <w:spacing w:before="240" w:after="240" w:line="360" w:lineRule="auto"/>
        <w:jc w:val="both"/>
        <w:rPr>
          <w:rFonts w:ascii="Palatino Linotype" w:eastAsia="Palatino Linotype" w:hAnsi="Palatino Linotype" w:cs="Palatino Linotype"/>
          <w:b/>
        </w:rPr>
      </w:pPr>
    </w:p>
    <w:p w14:paraId="09A50525" w14:textId="77777777" w:rsidR="00F26D67" w:rsidRDefault="001E2E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Bando Municipal de Cuautitlán Izcalli 2022: </w:t>
      </w:r>
    </w:p>
    <w:p w14:paraId="1AC313BE"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87. Para incrementar la calidad de vida de la población del municipio y respetar su derecho a un medio ambiente propicio para su sano desarrollo, la administración pública municipal, mediante la Dirección de Sustentabilidad y Medio Ambiente, deberá realizar las acciones siguientes:</w:t>
      </w:r>
    </w:p>
    <w:p w14:paraId="48D91572"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Aplicar lo conducente en materia municipal de la Ley General del Equilibrio Ecológico y la Protección al Ambiente, la Ley de Protección al Ambiente del Estado de México, sus reglamentos, las normas técnicas y criterios ecológicos y demás disposiciones administrativas aplicables, vigilando su observancia;</w:t>
      </w:r>
    </w:p>
    <w:p w14:paraId="4B18A3CF"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Estimular la protección, conservación y creación de áreas naturales protegidas, áreas arboladas y áreas verdes en zonas urbanas;”</w:t>
      </w:r>
    </w:p>
    <w:p w14:paraId="0B511D89" w14:textId="77777777" w:rsidR="00F26D67" w:rsidRDefault="001E2E60">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Reglamento de Protección al Ambiente para el Desarrollo Sostenible del Municipio de Cuautitlán Izcalli: </w:t>
      </w:r>
    </w:p>
    <w:p w14:paraId="41E6C25F"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6.- La Dirección</w:t>
      </w:r>
      <w:r>
        <w:rPr>
          <w:rFonts w:ascii="Palatino Linotype" w:eastAsia="Palatino Linotype" w:hAnsi="Palatino Linotype" w:cs="Palatino Linotype"/>
          <w:i/>
          <w:sz w:val="22"/>
          <w:szCs w:val="22"/>
          <w:vertAlign w:val="superscript"/>
        </w:rPr>
        <w:footnoteReference w:id="3"/>
      </w:r>
      <w:r>
        <w:rPr>
          <w:rFonts w:ascii="Palatino Linotype" w:eastAsia="Palatino Linotype" w:hAnsi="Palatino Linotype" w:cs="Palatino Linotype"/>
          <w:i/>
          <w:sz w:val="22"/>
          <w:szCs w:val="22"/>
        </w:rPr>
        <w:t>, a través de su titular, tendrá entre otras, las siguientes atribuciones:</w:t>
      </w:r>
    </w:p>
    <w:p w14:paraId="4CBB99CB"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407CE12"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XIII. Establecer las especificaciones de protección ambiental en relación con la poda, derribo, trasplante y restitución de árboles en el territorio municipal, de observancia obligatoria para las autoridades, empresas privadas y particulares que requieran realizar éstas actividades;</w:t>
      </w:r>
    </w:p>
    <w:p w14:paraId="4A7973C3"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05AD6E8" w14:textId="77777777" w:rsidR="00F26D67" w:rsidRDefault="001E2E60">
      <w:pPr>
        <w:spacing w:before="240" w:after="240" w:line="276" w:lineRule="auto"/>
        <w:ind w:left="426"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96.- La normatividad en cuanto al manejo y mantenimiento de la vegetación en bienes de dominio público es atribución del Ayuntamiento, a través de la Dirección, y a partir de la inspección y dictamen técnico correspondiente se: </w:t>
      </w:r>
    </w:p>
    <w:p w14:paraId="27F35EAB" w14:textId="77777777" w:rsidR="00F26D67" w:rsidRDefault="001E2E60">
      <w:pPr>
        <w:numPr>
          <w:ilvl w:val="0"/>
          <w:numId w:val="2"/>
        </w:numPr>
        <w:pBdr>
          <w:top w:val="nil"/>
          <w:left w:val="nil"/>
          <w:bottom w:val="nil"/>
          <w:right w:val="nil"/>
          <w:between w:val="nil"/>
        </w:pBdr>
        <w:spacing w:before="240" w:line="276" w:lineRule="auto"/>
        <w:ind w:left="426" w:right="851" w:hanging="14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Determinará el tipo de poda, así como la necesidad de realizar retiros y trasplantes; </w:t>
      </w:r>
    </w:p>
    <w:p w14:paraId="3E839E89" w14:textId="77777777" w:rsidR="00F26D67" w:rsidRDefault="001E2E60">
      <w:pPr>
        <w:numPr>
          <w:ilvl w:val="0"/>
          <w:numId w:val="2"/>
        </w:numPr>
        <w:pBdr>
          <w:top w:val="nil"/>
          <w:left w:val="nil"/>
          <w:bottom w:val="nil"/>
          <w:right w:val="nil"/>
          <w:between w:val="nil"/>
        </w:pBdr>
        <w:spacing w:line="276" w:lineRule="auto"/>
        <w:ind w:left="426" w:right="851" w:hanging="28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Establecerá la compensación del daño ambiental ocasionado por el retiro de vegetación, el cual será cuantificado en proporción de diez árboles por cada árbol derribado, con excepción de aquellos que pongan en riesgo la integridad física de la ciudadanía o sus bienes, se encuentren secos, totalmente o en un alto porcentaje, o enfermos; y </w:t>
      </w:r>
    </w:p>
    <w:p w14:paraId="5A65D47F" w14:textId="77777777" w:rsidR="00F26D67" w:rsidRDefault="001E2E60">
      <w:pPr>
        <w:numPr>
          <w:ilvl w:val="0"/>
          <w:numId w:val="2"/>
        </w:numPr>
        <w:pBdr>
          <w:top w:val="nil"/>
          <w:left w:val="nil"/>
          <w:bottom w:val="nil"/>
          <w:right w:val="nil"/>
          <w:between w:val="nil"/>
        </w:pBdr>
        <w:spacing w:line="276" w:lineRule="auto"/>
        <w:ind w:left="426" w:right="851" w:hanging="28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Supervisará que el programa de mantenimiento de arbolado urbano municipal se realice conforme a los criterios en materia de poda y derribo establecidos por la Dirección</w:t>
      </w:r>
      <w:r>
        <w:rPr>
          <w:rFonts w:ascii="Palatino Linotype" w:eastAsia="Palatino Linotype" w:hAnsi="Palatino Linotype" w:cs="Palatino Linotype"/>
          <w:i/>
          <w:color w:val="000000"/>
          <w:sz w:val="22"/>
          <w:szCs w:val="22"/>
        </w:rPr>
        <w:t xml:space="preserve">. </w:t>
      </w:r>
    </w:p>
    <w:p w14:paraId="0F95E71A" w14:textId="77777777" w:rsidR="00F26D67" w:rsidRDefault="001E2E60">
      <w:pPr>
        <w:pBdr>
          <w:top w:val="nil"/>
          <w:left w:val="nil"/>
          <w:bottom w:val="nil"/>
          <w:right w:val="nil"/>
          <w:between w:val="nil"/>
        </w:pBdr>
        <w:spacing w:line="276" w:lineRule="auto"/>
        <w:ind w:left="426"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97.- La Dirección emitirá los lineamientos y el visto bueno para la planeación y desarrollo de proyectos o actividades que impliquen la selección, plantación, mantenimiento, retiro y trasplante de especies ornamentales, arbustivas y arbóreas, en territorio municipal.</w:t>
      </w:r>
    </w:p>
    <w:p w14:paraId="04CF978E" w14:textId="77777777" w:rsidR="00F26D67" w:rsidRDefault="001E2E60">
      <w:pPr>
        <w:pBdr>
          <w:top w:val="nil"/>
          <w:left w:val="nil"/>
          <w:bottom w:val="nil"/>
          <w:right w:val="nil"/>
          <w:between w:val="nil"/>
        </w:pBdr>
        <w:spacing w:after="240" w:line="276" w:lineRule="auto"/>
        <w:ind w:left="426"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99.- La Dirección emitirá la autorización para la poda, derribo o trasplante de vegetación ubicada en bienes de dominio municipal o en bienes de dominio privado, previo dictamen técnico.”</w:t>
      </w:r>
      <w:r>
        <w:rPr>
          <w:rFonts w:ascii="Palatino Linotype" w:eastAsia="Palatino Linotype" w:hAnsi="Palatino Linotype" w:cs="Palatino Linotype"/>
          <w:i/>
          <w:color w:val="000000"/>
          <w:sz w:val="22"/>
          <w:szCs w:val="22"/>
        </w:rPr>
        <w:t xml:space="preserve"> (Sic) </w:t>
      </w:r>
    </w:p>
    <w:p w14:paraId="2AF5E486"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como se advierte de lo anteriormente citado, compete a los Ayuntamientos, por conducto de sus Direcciones de Medio Ambiente,</w:t>
      </w:r>
      <w:r>
        <w:t xml:space="preserve"> </w:t>
      </w:r>
      <w:r>
        <w:rPr>
          <w:rFonts w:ascii="Palatino Linotype" w:eastAsia="Palatino Linotype" w:hAnsi="Palatino Linotype" w:cs="Palatino Linotype"/>
        </w:rPr>
        <w:t xml:space="preserve">los trabajos de retiro y extinción de los árboles, las palmeras, el follaje, pasto y arbustos, por lo que se estima que dentro de sus archivos pueden obrar los documentos que requiere la particular, si bien es cierto, ella refiere en su solicitud la entrega de un acuerdo y/o convenio firmado por los distintos órdenes de gobierno, de lo analizado durante el presente análisis, se advierte que no se requiere de un acuerdo o convenio, sino de una autorización emitida por autoridad competente, </w:t>
      </w:r>
      <w:r>
        <w:rPr>
          <w:rFonts w:ascii="Palatino Linotype" w:eastAsia="Palatino Linotype" w:hAnsi="Palatino Linotype" w:cs="Palatino Linotype"/>
        </w:rPr>
        <w:lastRenderedPageBreak/>
        <w:t xml:space="preserve">por lo que dicho requerimiento puede obrar en permisos de poda o retiro de vegetación emitidos por los Ayuntamientos de Cuautitlán o Cuautitlán Izcalli respectivamente. </w:t>
      </w:r>
    </w:p>
    <w:p w14:paraId="364CBC86"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no pasa desapercibido para este Organismo Garante que en la Norma Técnica Estatal Ambiental Ntea-018-Semagem-Ds-2017, que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se vislumbra lo siguiente en sus numerales 5.5 y 5.6:</w:t>
      </w:r>
    </w:p>
    <w:p w14:paraId="38E94456" w14:textId="77777777" w:rsidR="00F26D67" w:rsidRDefault="001E2E60">
      <w:pPr>
        <w:spacing w:before="240" w:after="240"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5.5 Para realizar labores de poda, derribo, trasplante y sustitución de árboles en zonas urbanas del Estado de México, </w:t>
      </w:r>
      <w:r>
        <w:rPr>
          <w:rFonts w:ascii="Palatino Linotype" w:eastAsia="Palatino Linotype" w:hAnsi="Palatino Linotype" w:cs="Palatino Linotype"/>
          <w:b/>
          <w:i/>
          <w:sz w:val="22"/>
          <w:szCs w:val="22"/>
          <w:u w:val="single"/>
        </w:rPr>
        <w:t xml:space="preserve">deberá existir una causa plenamente identificada y soportada con un dictamen elaborado por personal técnico y contar con la autorización tramitada ante el Ayuntamiento correspondiente. </w:t>
      </w:r>
    </w:p>
    <w:p w14:paraId="67EF610B" w14:textId="77777777" w:rsidR="00F26D67" w:rsidRDefault="001E2E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5.6 </w:t>
      </w:r>
      <w:r>
        <w:rPr>
          <w:rFonts w:ascii="Palatino Linotype" w:eastAsia="Palatino Linotype" w:hAnsi="Palatino Linotype" w:cs="Palatino Linotype"/>
          <w:b/>
          <w:i/>
          <w:sz w:val="22"/>
          <w:szCs w:val="22"/>
          <w:u w:val="single"/>
        </w:rPr>
        <w:t>El personal que realice los trabajos y transporte de los productos resultantes de la poda y derribo de árboles deberán traer copia de la autorización de la actividad realizada, para garantizar que el material proviene de la ejecución de los trabajos de poda, derribo, trasplante y sustitución de arbolado urbano</w:t>
      </w:r>
      <w:r>
        <w:rPr>
          <w:rFonts w:ascii="Palatino Linotype" w:eastAsia="Palatino Linotype" w:hAnsi="Palatino Linotype" w:cs="Palatino Linotype"/>
          <w:i/>
          <w:sz w:val="22"/>
          <w:szCs w:val="22"/>
        </w:rPr>
        <w:t>.” (Sic) (Énfasis añadido)</w:t>
      </w:r>
    </w:p>
    <w:p w14:paraId="656ADFF9"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tiene que tal y como lo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w:t>
      </w:r>
      <w:r>
        <w:rPr>
          <w:rFonts w:ascii="Palatino Linotype" w:eastAsia="Palatino Linotype" w:hAnsi="Palatino Linotype" w:cs="Palatino Linotype"/>
          <w:b/>
        </w:rPr>
        <w:t>Procuraduría de Protección al Ambiente del Estado de México, no es competente para generar o archivar la documentación correspondiente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 un acuerdo y/o convenio firmado por los distintos órdenes de gobierno para autorizar la </w:t>
      </w:r>
      <w:r>
        <w:rPr>
          <w:rFonts w:ascii="Palatino Linotype" w:eastAsia="Palatino Linotype" w:hAnsi="Palatino Linotype" w:cs="Palatino Linotype"/>
          <w:b/>
        </w:rPr>
        <w:lastRenderedPageBreak/>
        <w:t>ejecución de trabajos de poda, derribo</w:t>
      </w:r>
      <w:r>
        <w:t xml:space="preserve"> </w:t>
      </w:r>
      <w:r>
        <w:rPr>
          <w:rFonts w:ascii="Palatino Linotype" w:eastAsia="Palatino Linotype" w:hAnsi="Palatino Linotype" w:cs="Palatino Linotype"/>
          <w:b/>
        </w:rPr>
        <w:t>y extinción de los árboles, las palmeras, el follaje, pasto y arbustos</w:t>
      </w:r>
      <w:r>
        <w:rPr>
          <w:rFonts w:ascii="Palatino Linotype" w:eastAsia="Palatino Linotype" w:hAnsi="Palatino Linotype" w:cs="Palatino Linotype"/>
        </w:rPr>
        <w:t xml:space="preserve">; ya que esta es generada por los Ayuntamientos; en atención a ello se dejan a salvo los derechos de la Particular para que; en caso de considerarlo conveniente a sus intereses solicite a dicho </w:t>
      </w:r>
      <w:r>
        <w:rPr>
          <w:rFonts w:ascii="Palatino Linotype" w:eastAsia="Palatino Linotype" w:hAnsi="Palatino Linotype" w:cs="Palatino Linotype"/>
          <w:b/>
        </w:rPr>
        <w:t>Sujeto Obligado</w:t>
      </w:r>
      <w:r>
        <w:rPr>
          <w:rFonts w:ascii="Palatino Linotype" w:eastAsia="Palatino Linotype" w:hAnsi="Palatino Linotype" w:cs="Palatino Linotype"/>
        </w:rPr>
        <w:t>, la información que requiera.</w:t>
      </w:r>
    </w:p>
    <w:p w14:paraId="501F52C2"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 antes expuesto, se tiene que mediante respuesta e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cuenta de la incompetencia para conocer de la información; pues en efecto, no conoce del documento que dé cuenta de acuerdo y/o convenio firmado por los distintos órdenes de gobierno para autorizar la ejecución de trabajos de poda, derribo y extinción de los árboles, las palmeras, el follaje, pasto y arbustos, ya que no cuenta con ninguna área que genere la información; pues es una facultad concedida a otro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informe permitió advertir que la Procuraduría de Protección al Ambiente del Estado de México, únicamente se encuentra encargada de garantizar el derecho de toda persona a vivir en un ambiente adecuado para su desarrollo, salud y bienestar, mediante la procuración, vigilancia y difusión del cumplimiento de la normatividad ambiental aplicable al ámbito estatal, así como realizar las </w:t>
      </w:r>
      <w:r w:rsidRPr="00824F50">
        <w:rPr>
          <w:rFonts w:ascii="Palatino Linotype" w:eastAsia="Palatino Linotype" w:hAnsi="Palatino Linotype" w:cs="Palatino Linotype"/>
        </w:rPr>
        <w:t>acciones procedentes cuando se conozca de actos, hechos u omisiones que produzcan desequilibrios ecológicos o daños al ambiente y por violaciones a las disposiciones jurídicas en materia ambiental y de protección y bienestar animal; e</w:t>
      </w:r>
      <w:r>
        <w:rPr>
          <w:rFonts w:ascii="Palatino Linotype" w:eastAsia="Palatino Linotype" w:hAnsi="Palatino Linotype" w:cs="Palatino Linotype"/>
        </w:rPr>
        <w:t xml:space="preserve">n consecuencia, amplió su respuesta inicial y proporcionó la información necesaria para confirmar la respuesta vertida en el presente Recurso de Revisión. </w:t>
      </w:r>
    </w:p>
    <w:p w14:paraId="5CB6CD9E"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tal como se mencionó en los antecedentes, en fecha </w:t>
      </w:r>
      <w:r>
        <w:rPr>
          <w:rFonts w:ascii="Palatino Linotype" w:eastAsia="Palatino Linotype" w:hAnsi="Palatino Linotype" w:cs="Palatino Linotype"/>
          <w:b/>
        </w:rPr>
        <w:t>veinticuatro de febrero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incompetencia para atender la solicitud de información, es de precisar que esta situación aconteció al </w:t>
      </w:r>
      <w:r>
        <w:rPr>
          <w:rFonts w:ascii="Palatino Linotype" w:eastAsia="Palatino Linotype" w:hAnsi="Palatino Linotype" w:cs="Palatino Linotype"/>
          <w:b/>
        </w:rPr>
        <w:t>tercer día hábil</w:t>
      </w:r>
      <w:r>
        <w:rPr>
          <w:rFonts w:ascii="Palatino Linotype" w:eastAsia="Palatino Linotype" w:hAnsi="Palatino Linotype" w:cs="Palatino Linotype"/>
        </w:rPr>
        <w:t>, lo cual obedece a lo establecido en el artículo 167 de la Ley de Transparencia y Acceso a la Información Pública del Estado de México y Municipios, el cual refiere que cuando las unidades de transparencia determinen la notoria incompetencia deben realizar lo siguiente:</w:t>
      </w:r>
    </w:p>
    <w:p w14:paraId="6BFB0AE0" w14:textId="77777777" w:rsidR="00F26D67" w:rsidRDefault="001E2E6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Hacerlo del conocimiento del Particular, dentro de los tres días hábiles, posteriores a la presentación de la solicitud de información, y</w:t>
      </w:r>
    </w:p>
    <w:p w14:paraId="18DD2378" w14:textId="77777777" w:rsidR="00F26D67" w:rsidRDefault="00F26D67">
      <w:pPr>
        <w:spacing w:line="360" w:lineRule="auto"/>
        <w:ind w:left="720"/>
        <w:jc w:val="both"/>
        <w:rPr>
          <w:rFonts w:ascii="Palatino Linotype" w:eastAsia="Palatino Linotype" w:hAnsi="Palatino Linotype" w:cs="Palatino Linotype"/>
        </w:rPr>
      </w:pPr>
    </w:p>
    <w:p w14:paraId="76A6823D" w14:textId="77777777" w:rsidR="00F26D67" w:rsidRDefault="001E2E60">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14:paraId="6CDF6195" w14:textId="77777777" w:rsidR="00F26D67" w:rsidRDefault="001E2E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caso, de la revisión de las constancias del expediente electrónico, localizados en el Sistema de Acceso a la Información Mexiquense (SAIMEX), se advierte que la Procuraduría de Protección al Ambiente del Estado de México, orientó oportunamente al particular, respecto del Sujeto Obligado competente tanto en respuesta como en informe justificado, sin pasar de vista que este último punto es una facultad potestativa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se tiene por atendido el requerimiento de información.</w:t>
      </w:r>
    </w:p>
    <w:p w14:paraId="50AF820C" w14:textId="77777777" w:rsidR="00F26D67" w:rsidRDefault="00F26D67">
      <w:pPr>
        <w:spacing w:line="360" w:lineRule="auto"/>
        <w:jc w:val="both"/>
        <w:rPr>
          <w:rFonts w:ascii="Palatino Linotype" w:eastAsia="Palatino Linotype" w:hAnsi="Palatino Linotype" w:cs="Palatino Linotype"/>
        </w:rPr>
      </w:pPr>
    </w:p>
    <w:p w14:paraId="781CD601" w14:textId="77777777" w:rsidR="00F26D67" w:rsidRDefault="001E2E60">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w:t>
      </w:r>
      <w:r>
        <w:rPr>
          <w:rFonts w:ascii="Palatino Linotype" w:eastAsia="Palatino Linotype" w:hAnsi="Palatino Linotype" w:cs="Palatino Linotype"/>
        </w:rPr>
        <w:lastRenderedPageBreak/>
        <w:t xml:space="preserve">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054AE7CB" w14:textId="77777777" w:rsidR="00F26D67" w:rsidRDefault="00F26D67">
      <w:pPr>
        <w:spacing w:line="360" w:lineRule="auto"/>
        <w:jc w:val="both"/>
        <w:rPr>
          <w:rFonts w:ascii="Palatino Linotype" w:eastAsia="Palatino Linotype" w:hAnsi="Palatino Linotype" w:cs="Palatino Linotype"/>
        </w:rPr>
      </w:pPr>
    </w:p>
    <w:p w14:paraId="25AAFAF0" w14:textId="77777777" w:rsidR="00F26D67" w:rsidRDefault="001E2E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2B6998C3" w14:textId="77777777" w:rsidR="00F26D67" w:rsidRDefault="001E2E60">
      <w:pPr>
        <w:numPr>
          <w:ilvl w:val="0"/>
          <w:numId w:val="5"/>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0D1646F0" w14:textId="77777777" w:rsidR="00F26D67" w:rsidRDefault="001E2E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04039/INFOEM/IP/RR/2022,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2AAC0D5A" w14:textId="77777777" w:rsidR="00F26D67" w:rsidRDefault="001E2E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14:paraId="2588F6F6" w14:textId="77777777" w:rsidR="00F26D67" w:rsidRDefault="001E2E60">
      <w:pPr>
        <w:spacing w:before="240" w:after="240" w:line="360" w:lineRule="auto"/>
        <w:jc w:val="both"/>
        <w:rPr>
          <w:rFonts w:ascii="Palatino Linotype" w:eastAsia="Palatino Linotype" w:hAnsi="Palatino Linotype" w:cs="Palatino Linotype"/>
          <w:b/>
          <w:color w:val="FF0000"/>
          <w:highlight w:val="yellow"/>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1276F6DD" w14:textId="08F0F751" w:rsidR="00550686" w:rsidRPr="00550686" w:rsidRDefault="001E2E60" w:rsidP="001F0D9A">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w:t>
      </w:r>
      <w:r w:rsidR="00766A28">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S</w:t>
      </w:r>
      <w:r w:rsidR="00550686">
        <w:rPr>
          <w:rFonts w:ascii="Palatino Linotype" w:eastAsia="Palatino Linotype" w:hAnsi="Palatino Linotype" w:cs="Palatino Linotype"/>
        </w:rPr>
        <w:t>HARON CRISTINA MORALES MARTÍNEZ (AUSENCIA JUSTIFICADA);</w:t>
      </w:r>
      <w:r>
        <w:rPr>
          <w:rFonts w:ascii="Palatino Linotype" w:eastAsia="Palatino Linotype" w:hAnsi="Palatino Linotype" w:cs="Palatino Linotype"/>
        </w:rPr>
        <w:t xml:space="preserve"> LUIS GUSTAVO PARRA NORIEGA Y GUADALUPE RAMÍREZ PEÑA; EN LA VIGÉSIMA QUINTA SESIÓN ORDINARIA CELEBRADA EL SEIS DE JULIO DEL DOS MIL VEINTIDÓS, ANTE EL SECRETARIO TÉCNICO DEL PLENO, ALEXIS TAPIA </w:t>
      </w:r>
      <w:r w:rsidR="00550686">
        <w:rPr>
          <w:rFonts w:ascii="Palatino Linotype" w:eastAsia="Palatino Linotype" w:hAnsi="Palatino Linotype" w:cs="Palatino Linotype"/>
        </w:rPr>
        <w:t>RAMÍREZ</w:t>
      </w:r>
      <w:r w:rsidR="00496F22">
        <w:rPr>
          <w:rFonts w:ascii="Palatino Linotype" w:eastAsia="Palatino Linotype" w:hAnsi="Palatino Linotype" w:cs="Palatino Linotype"/>
        </w:rPr>
        <w:t>.</w:t>
      </w:r>
    </w:p>
    <w:p w14:paraId="78E9384D" w14:textId="77777777" w:rsidR="00550686" w:rsidRPr="00550686" w:rsidRDefault="00550686" w:rsidP="00550686">
      <w:pPr>
        <w:rPr>
          <w:rFonts w:ascii="Palatino Linotype" w:eastAsia="Palatino Linotype" w:hAnsi="Palatino Linotype" w:cs="Palatino Linotype"/>
        </w:rPr>
      </w:pPr>
    </w:p>
    <w:p w14:paraId="2621CEC5" w14:textId="77777777" w:rsidR="00550686" w:rsidRPr="00550686" w:rsidRDefault="00550686" w:rsidP="00550686">
      <w:pPr>
        <w:rPr>
          <w:rFonts w:ascii="Palatino Linotype" w:eastAsia="Palatino Linotype" w:hAnsi="Palatino Linotype" w:cs="Palatino Linotype"/>
        </w:rPr>
      </w:pPr>
    </w:p>
    <w:p w14:paraId="7A062B83" w14:textId="77777777" w:rsidR="00550686" w:rsidRPr="00550686" w:rsidRDefault="00550686" w:rsidP="00550686">
      <w:pPr>
        <w:rPr>
          <w:rFonts w:ascii="Palatino Linotype" w:eastAsia="Palatino Linotype" w:hAnsi="Palatino Linotype" w:cs="Palatino Linotype"/>
        </w:rPr>
      </w:pPr>
    </w:p>
    <w:p w14:paraId="59C03986" w14:textId="77777777" w:rsidR="00550686" w:rsidRPr="00550686" w:rsidRDefault="00550686" w:rsidP="00550686">
      <w:pPr>
        <w:rPr>
          <w:rFonts w:ascii="Palatino Linotype" w:eastAsia="Palatino Linotype" w:hAnsi="Palatino Linotype" w:cs="Palatino Linotype"/>
        </w:rPr>
      </w:pPr>
    </w:p>
    <w:p w14:paraId="3E6BAA1D" w14:textId="77777777" w:rsidR="00F26D67" w:rsidRPr="00550686" w:rsidRDefault="00F26D67" w:rsidP="00550686">
      <w:pPr>
        <w:rPr>
          <w:rFonts w:ascii="Palatino Linotype" w:eastAsia="Palatino Linotype" w:hAnsi="Palatino Linotype" w:cs="Palatino Linotype"/>
        </w:rPr>
        <w:sectPr w:rsidR="00F26D67" w:rsidRPr="00550686">
          <w:headerReference w:type="default" r:id="rId23"/>
          <w:footerReference w:type="default" r:id="rId24"/>
          <w:headerReference w:type="first" r:id="rId25"/>
          <w:footerReference w:type="first" r:id="rId26"/>
          <w:pgSz w:w="12240" w:h="15840"/>
          <w:pgMar w:top="1985" w:right="1892" w:bottom="1701" w:left="1701" w:header="709" w:footer="709" w:gutter="0"/>
          <w:cols w:space="720"/>
          <w:titlePg/>
        </w:sectPr>
      </w:pPr>
    </w:p>
    <w:p w14:paraId="4369EB9C" w14:textId="77777777" w:rsidR="00F26D67" w:rsidRDefault="00F26D67">
      <w:pPr>
        <w:spacing w:before="240" w:after="240" w:line="360" w:lineRule="auto"/>
        <w:jc w:val="both"/>
        <w:rPr>
          <w:rFonts w:ascii="Palatino Linotype" w:eastAsia="Palatino Linotype" w:hAnsi="Palatino Linotype" w:cs="Palatino Linotype"/>
        </w:rPr>
      </w:pPr>
    </w:p>
    <w:sectPr w:rsidR="00F26D67">
      <w:headerReference w:type="first" r:id="rId2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01B39" w14:textId="77777777" w:rsidR="006A6106" w:rsidRDefault="006A6106">
      <w:r>
        <w:separator/>
      </w:r>
    </w:p>
  </w:endnote>
  <w:endnote w:type="continuationSeparator" w:id="0">
    <w:p w14:paraId="35CB2C0C" w14:textId="77777777" w:rsidR="006A6106" w:rsidRDefault="006A6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03BA" w14:textId="77777777" w:rsidR="00F26D67" w:rsidRDefault="001E2E6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48A5">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48A5">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1865E47E" w14:textId="77777777" w:rsidR="00F26D67" w:rsidRDefault="00F26D6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8F04" w14:textId="77777777" w:rsidR="00F26D67" w:rsidRDefault="001E2E6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48A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48A5">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16B4BFF" w14:textId="77777777" w:rsidR="00F26D67" w:rsidRDefault="00F26D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EA7EA" w14:textId="77777777" w:rsidR="006A6106" w:rsidRDefault="006A6106">
      <w:r>
        <w:separator/>
      </w:r>
    </w:p>
  </w:footnote>
  <w:footnote w:type="continuationSeparator" w:id="0">
    <w:p w14:paraId="75CC9DF3" w14:textId="77777777" w:rsidR="006A6106" w:rsidRDefault="006A6106">
      <w:r>
        <w:continuationSeparator/>
      </w:r>
    </w:p>
  </w:footnote>
  <w:footnote w:id="1">
    <w:p w14:paraId="1569E9F2" w14:textId="77777777" w:rsidR="00F26D67" w:rsidRDefault="001E2E6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B40981F" w14:textId="77777777" w:rsidR="00F26D67" w:rsidRDefault="001E2E6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818A160" w14:textId="77777777" w:rsidR="00F26D67" w:rsidRDefault="001E2E6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XVI. Dirección: Dirección de Medio Ambiente y Desarrollo Urbano.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056C7" w14:textId="77777777" w:rsidR="00F26D67" w:rsidRDefault="001E2E6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0288" behindDoc="1" locked="0" layoutInCell="1" hidden="0" allowOverlap="1" wp14:anchorId="79E6EE6D" wp14:editId="2B55CB6D">
          <wp:simplePos x="0" y="0"/>
          <wp:positionH relativeFrom="column">
            <wp:posOffset>-1121409</wp:posOffset>
          </wp:positionH>
          <wp:positionV relativeFrom="paragraph">
            <wp:posOffset>-415289</wp:posOffset>
          </wp:positionV>
          <wp:extent cx="7809865" cy="10165715"/>
          <wp:effectExtent l="0" t="0" r="0" b="0"/>
          <wp:wrapNone/>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F26D67" w14:paraId="0FD84D57" w14:textId="77777777">
      <w:tc>
        <w:tcPr>
          <w:tcW w:w="2489" w:type="dxa"/>
          <w:shd w:val="clear" w:color="auto" w:fill="auto"/>
        </w:tcPr>
        <w:p w14:paraId="16AE14B2" w14:textId="77777777" w:rsidR="00F26D67" w:rsidRDefault="001E2E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5CA2A5" w14:textId="77777777" w:rsidR="00F26D67" w:rsidRDefault="001E2E60">
          <w:pPr>
            <w:ind w:right="45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04039/INFOEM/IP/RR/2022</w:t>
          </w:r>
        </w:p>
      </w:tc>
    </w:tr>
    <w:tr w:rsidR="00F26D67" w14:paraId="02EFF8B6" w14:textId="77777777">
      <w:trPr>
        <w:trHeight w:val="228"/>
      </w:trPr>
      <w:tc>
        <w:tcPr>
          <w:tcW w:w="2489" w:type="dxa"/>
          <w:shd w:val="clear" w:color="auto" w:fill="auto"/>
          <w:vAlign w:val="center"/>
        </w:tcPr>
        <w:p w14:paraId="781BBB53" w14:textId="77777777" w:rsidR="00F26D67" w:rsidRDefault="001E2E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AEE4C3F" w14:textId="77777777" w:rsidR="00F26D67" w:rsidRDefault="001E2E60">
          <w:pPr>
            <w:ind w:left="-45" w:right="45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Procuraduría de Protección al Ambiente del Estado de México</w:t>
          </w:r>
        </w:p>
      </w:tc>
    </w:tr>
    <w:tr w:rsidR="00F26D67" w14:paraId="4BF754E6" w14:textId="77777777">
      <w:tc>
        <w:tcPr>
          <w:tcW w:w="2489" w:type="dxa"/>
          <w:shd w:val="clear" w:color="auto" w:fill="auto"/>
          <w:vAlign w:val="center"/>
        </w:tcPr>
        <w:p w14:paraId="4B252034" w14:textId="77777777" w:rsidR="00F26D67" w:rsidRDefault="001E2E6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A514CAC" w14:textId="77777777" w:rsidR="00F26D67" w:rsidRDefault="001E2E6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80E367" w14:textId="77777777" w:rsidR="00F26D67" w:rsidRDefault="001E2E6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00" w:firstRow="0" w:lastRow="0" w:firstColumn="0" w:lastColumn="0" w:noHBand="0" w:noVBand="1"/>
    </w:tblPr>
    <w:tblGrid>
      <w:gridCol w:w="2489"/>
      <w:gridCol w:w="3464"/>
    </w:tblGrid>
    <w:tr w:rsidR="00380E72" w14:paraId="6C11D036" w14:textId="77777777" w:rsidTr="008D640D">
      <w:tc>
        <w:tcPr>
          <w:tcW w:w="2489" w:type="dxa"/>
          <w:shd w:val="clear" w:color="auto" w:fill="auto"/>
        </w:tcPr>
        <w:p w14:paraId="0C6D9017" w14:textId="6A586C89" w:rsidR="006D055E" w:rsidRDefault="00380E72" w:rsidP="00380E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23D7DD9" w14:textId="77777777" w:rsidR="00380E72" w:rsidRDefault="00380E72" w:rsidP="00380E72">
          <w:pPr>
            <w:ind w:right="45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04039/INFOEM/IP/RR/2022</w:t>
          </w:r>
        </w:p>
      </w:tc>
    </w:tr>
    <w:tr w:rsidR="00380E72" w14:paraId="71443913" w14:textId="77777777" w:rsidTr="008D640D">
      <w:trPr>
        <w:trHeight w:val="228"/>
      </w:trPr>
      <w:tc>
        <w:tcPr>
          <w:tcW w:w="2489" w:type="dxa"/>
          <w:shd w:val="clear" w:color="auto" w:fill="auto"/>
          <w:vAlign w:val="center"/>
        </w:tcPr>
        <w:p w14:paraId="5D48C086" w14:textId="324EC903" w:rsidR="006D055E" w:rsidRDefault="006D055E" w:rsidP="00380E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p w14:paraId="026D946B" w14:textId="77777777" w:rsidR="00380E72" w:rsidRDefault="00380E72" w:rsidP="00380E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5643602" w14:textId="00DE6D2B" w:rsidR="006D055E" w:rsidRDefault="006D055E" w:rsidP="00380E72">
          <w:pPr>
            <w:ind w:left="-45" w:right="45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XXXXXX XXXX XXXXX</w:t>
          </w:r>
        </w:p>
        <w:p w14:paraId="40E37675" w14:textId="6078AB9D" w:rsidR="00380E72" w:rsidRDefault="00380E72" w:rsidP="006D055E">
          <w:pPr>
            <w:ind w:right="45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Procuraduría de Protección al Ambiente del Estado de México</w:t>
          </w:r>
        </w:p>
      </w:tc>
    </w:tr>
    <w:tr w:rsidR="00380E72" w14:paraId="05D5D617" w14:textId="77777777" w:rsidTr="008D640D">
      <w:tc>
        <w:tcPr>
          <w:tcW w:w="2489" w:type="dxa"/>
          <w:shd w:val="clear" w:color="auto" w:fill="auto"/>
          <w:vAlign w:val="center"/>
        </w:tcPr>
        <w:p w14:paraId="614E8530" w14:textId="77777777" w:rsidR="00380E72" w:rsidRDefault="00380E72" w:rsidP="00380E7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C5862DF" w14:textId="77777777" w:rsidR="00380E72" w:rsidRDefault="00380E72" w:rsidP="00380E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878A80" w14:textId="77777777" w:rsidR="00380E72" w:rsidRDefault="00380E72">
    <w:pPr>
      <w:pStyle w:val="Encabezado"/>
    </w:pPr>
    <w:r>
      <w:rPr>
        <w:noProof/>
        <w:lang w:val="es-MX"/>
      </w:rPr>
      <w:drawing>
        <wp:anchor distT="0" distB="0" distL="0" distR="0" simplePos="0" relativeHeight="251662336" behindDoc="1" locked="0" layoutInCell="1" hidden="0" allowOverlap="1" wp14:anchorId="3478B63B" wp14:editId="596A573F">
          <wp:simplePos x="0" y="0"/>
          <wp:positionH relativeFrom="margin">
            <wp:align>center</wp:align>
          </wp:positionH>
          <wp:positionV relativeFrom="paragraph">
            <wp:posOffset>-1355923</wp:posOffset>
          </wp:positionV>
          <wp:extent cx="7809865" cy="10165715"/>
          <wp:effectExtent l="0" t="0" r="635" b="6985"/>
          <wp:wrapNone/>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70D23" w14:textId="77777777" w:rsidR="00F26D67" w:rsidRDefault="00F26D6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734C5"/>
    <w:multiLevelType w:val="multilevel"/>
    <w:tmpl w:val="5E66F7B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DEA09CB"/>
    <w:multiLevelType w:val="multilevel"/>
    <w:tmpl w:val="DF10119C"/>
    <w:lvl w:ilvl="0">
      <w:start w:val="1"/>
      <w:numFmt w:val="upperRoman"/>
      <w:pStyle w:val="Listaconvietas3"/>
      <w:lvlText w:val="%1."/>
      <w:lvlJc w:val="left"/>
      <w:pPr>
        <w:ind w:left="1288" w:hanging="71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nsid w:val="12406804"/>
    <w:multiLevelType w:val="multilevel"/>
    <w:tmpl w:val="64D827BC"/>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C224868"/>
    <w:multiLevelType w:val="multilevel"/>
    <w:tmpl w:val="008683C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33463823"/>
    <w:multiLevelType w:val="multilevel"/>
    <w:tmpl w:val="9498367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396D586D"/>
    <w:multiLevelType w:val="hybridMultilevel"/>
    <w:tmpl w:val="02C244AE"/>
    <w:lvl w:ilvl="0" w:tplc="F99201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2C3120"/>
    <w:multiLevelType w:val="multilevel"/>
    <w:tmpl w:val="CB6A2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F195353"/>
    <w:multiLevelType w:val="multilevel"/>
    <w:tmpl w:val="9CECA2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2A86EFA"/>
    <w:multiLevelType w:val="multilevel"/>
    <w:tmpl w:val="95C09456"/>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7A607A89"/>
    <w:multiLevelType w:val="multilevel"/>
    <w:tmpl w:val="6F5EDE5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5"/>
  </w:num>
  <w:num w:numId="5">
    <w:abstractNumId w:val="8"/>
  </w:num>
  <w:num w:numId="6">
    <w:abstractNumId w:val="7"/>
  </w:num>
  <w:num w:numId="7">
    <w:abstractNumId w:val="10"/>
  </w:num>
  <w:num w:numId="8">
    <w:abstractNumId w:val="9"/>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D67"/>
    <w:rsid w:val="001E2E60"/>
    <w:rsid w:val="001F0D9A"/>
    <w:rsid w:val="00290AFE"/>
    <w:rsid w:val="00380E72"/>
    <w:rsid w:val="004679D5"/>
    <w:rsid w:val="00471833"/>
    <w:rsid w:val="004876B3"/>
    <w:rsid w:val="00495809"/>
    <w:rsid w:val="00496F22"/>
    <w:rsid w:val="0051266C"/>
    <w:rsid w:val="00550686"/>
    <w:rsid w:val="00551DD0"/>
    <w:rsid w:val="005652F5"/>
    <w:rsid w:val="005A20B3"/>
    <w:rsid w:val="006A6106"/>
    <w:rsid w:val="006D055E"/>
    <w:rsid w:val="00766A28"/>
    <w:rsid w:val="0077645E"/>
    <w:rsid w:val="00824F50"/>
    <w:rsid w:val="008C505A"/>
    <w:rsid w:val="009728C0"/>
    <w:rsid w:val="00E448A5"/>
    <w:rsid w:val="00F26D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0444F"/>
  <w15:docId w15:val="{E2B38356-D4E2-4FD0-A218-A9D0ECFE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7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m52DY/OXHk0slX08lLiKVqGBNw==">AMUW2mX1y+G/MkHHDZ58bNEwYPYlUmSz7cgHMzfE5onJFZOjctffyr+QREqkNbBCSN+D8Lr7AwV1hUgAVl0XG4pSZ1xXPr6Hu+0Oqn8hMBdd5U6RF919KHfdQIjMJqJaGfGp9G1T0WJW1ydgRFE3gNfjHts+eayMmg==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10592</Words>
  <Characters>58260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cp:lastPrinted>2022-07-08T16:55:00Z</cp:lastPrinted>
  <dcterms:created xsi:type="dcterms:W3CDTF">2022-09-06T15:07:00Z</dcterms:created>
  <dcterms:modified xsi:type="dcterms:W3CDTF">2022-09-06T15:07:00Z</dcterms:modified>
</cp:coreProperties>
</file>